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590DC9" w:rsidRPr="00222E94" w14:paraId="7C0F6CE4" w14:textId="77777777" w:rsidTr="00D37ECD">
        <w:trPr>
          <w:trHeight w:hRule="exact" w:val="418"/>
          <w:jc w:val="center"/>
        </w:trPr>
        <w:tc>
          <w:tcPr>
            <w:tcW w:w="8721" w:type="dxa"/>
            <w:gridSpan w:val="2"/>
          </w:tcPr>
          <w:p w14:paraId="65049686" w14:textId="77777777" w:rsidR="00590DC9" w:rsidRPr="00222E94" w:rsidRDefault="00590DC9" w:rsidP="002E2711">
            <w:pPr>
              <w:pStyle w:val="a5"/>
              <w:jc w:val="center"/>
              <w:rPr>
                <w:rFonts w:ascii="Tahoma" w:hAnsi="Tahoma" w:cs="Tahoma"/>
                <w:color w:val="000080"/>
                <w:rtl/>
              </w:rPr>
            </w:pPr>
            <w:bookmarkStart w:id="0" w:name="LastJudge"/>
            <w:r w:rsidRPr="00222E94">
              <w:rPr>
                <w:rFonts w:ascii="Tahoma" w:hAnsi="Tahoma" w:cs="Tahoma"/>
                <w:b/>
                <w:bCs/>
                <w:color w:val="000080"/>
                <w:rtl/>
              </w:rPr>
              <w:t>בית משפט השלום בבאר שבע</w:t>
            </w:r>
          </w:p>
        </w:tc>
      </w:tr>
      <w:tr w:rsidR="00590DC9" w:rsidRPr="00222E94" w14:paraId="7822E8E2" w14:textId="77777777" w:rsidTr="00D37ECD">
        <w:trPr>
          <w:trHeight w:val="337"/>
          <w:jc w:val="center"/>
        </w:trPr>
        <w:tc>
          <w:tcPr>
            <w:tcW w:w="5054" w:type="dxa"/>
          </w:tcPr>
          <w:p w14:paraId="76D15B57" w14:textId="77777777" w:rsidR="00590DC9" w:rsidRPr="00222E94" w:rsidRDefault="00590DC9" w:rsidP="002E2711">
            <w:pPr>
              <w:rPr>
                <w:rFonts w:cs="FrankRuehl"/>
                <w:sz w:val="28"/>
                <w:szCs w:val="28"/>
                <w:rtl/>
              </w:rPr>
            </w:pPr>
            <w:r w:rsidRPr="00222E94">
              <w:rPr>
                <w:rFonts w:cs="FrankRuehl"/>
                <w:sz w:val="28"/>
                <w:szCs w:val="28"/>
                <w:rtl/>
              </w:rPr>
              <w:t>ת"פ</w:t>
            </w:r>
            <w:r w:rsidRPr="00222E94">
              <w:rPr>
                <w:rFonts w:cs="FrankRuehl" w:hint="cs"/>
                <w:sz w:val="28"/>
                <w:szCs w:val="28"/>
                <w:rtl/>
              </w:rPr>
              <w:t xml:space="preserve"> </w:t>
            </w:r>
            <w:r w:rsidRPr="00222E94">
              <w:rPr>
                <w:rFonts w:cs="FrankRuehl"/>
                <w:sz w:val="28"/>
                <w:szCs w:val="28"/>
                <w:rtl/>
              </w:rPr>
              <w:t>49910-06-21</w:t>
            </w:r>
            <w:r w:rsidRPr="00222E94">
              <w:rPr>
                <w:rFonts w:cs="FrankRuehl" w:hint="cs"/>
                <w:sz w:val="28"/>
                <w:szCs w:val="28"/>
                <w:rtl/>
              </w:rPr>
              <w:t xml:space="preserve"> </w:t>
            </w:r>
            <w:r w:rsidRPr="00222E94">
              <w:rPr>
                <w:rFonts w:cs="FrankRuehl"/>
                <w:sz w:val="28"/>
                <w:szCs w:val="28"/>
                <w:rtl/>
              </w:rPr>
              <w:t>מדינת ישראל נ' מלכה</w:t>
            </w:r>
          </w:p>
          <w:p w14:paraId="58AA03D4" w14:textId="77777777" w:rsidR="00590DC9" w:rsidRPr="00222E94" w:rsidRDefault="00590DC9" w:rsidP="002E2711">
            <w:pPr>
              <w:pStyle w:val="a5"/>
              <w:rPr>
                <w:rFonts w:cs="FrankRuehl"/>
                <w:sz w:val="28"/>
                <w:szCs w:val="28"/>
                <w:rtl/>
              </w:rPr>
            </w:pPr>
          </w:p>
        </w:tc>
        <w:tc>
          <w:tcPr>
            <w:tcW w:w="3667" w:type="dxa"/>
          </w:tcPr>
          <w:p w14:paraId="0D61B329" w14:textId="77777777" w:rsidR="00590DC9" w:rsidRPr="00222E94" w:rsidRDefault="00590DC9" w:rsidP="002E2711">
            <w:pPr>
              <w:pStyle w:val="a5"/>
              <w:jc w:val="right"/>
              <w:rPr>
                <w:rFonts w:cs="FrankRuehl"/>
                <w:sz w:val="28"/>
                <w:szCs w:val="28"/>
                <w:rtl/>
              </w:rPr>
            </w:pPr>
          </w:p>
        </w:tc>
      </w:tr>
    </w:tbl>
    <w:p w14:paraId="6E4D20C2" w14:textId="77777777" w:rsidR="00590DC9" w:rsidRPr="00222E94" w:rsidRDefault="00590DC9" w:rsidP="00D37ECD">
      <w:pPr>
        <w:pStyle w:val="a5"/>
        <w:rPr>
          <w:sz w:val="18"/>
          <w:szCs w:val="18"/>
          <w:rtl/>
        </w:rPr>
      </w:pPr>
      <w:r w:rsidRPr="00222E94">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590DC9" w:rsidRPr="00222E94" w14:paraId="7F8E6F29" w14:textId="77777777" w:rsidTr="00590DC9">
        <w:trPr>
          <w:trHeight w:val="295"/>
          <w:jc w:val="center"/>
        </w:trPr>
        <w:tc>
          <w:tcPr>
            <w:tcW w:w="923" w:type="dxa"/>
            <w:tcBorders>
              <w:top w:val="nil"/>
              <w:left w:val="nil"/>
              <w:bottom w:val="nil"/>
              <w:right w:val="nil"/>
            </w:tcBorders>
            <w:shd w:val="clear" w:color="auto" w:fill="auto"/>
          </w:tcPr>
          <w:p w14:paraId="1FEE99A8" w14:textId="77777777" w:rsidR="00590DC9" w:rsidRPr="00222E94" w:rsidRDefault="00590DC9" w:rsidP="00590DC9">
            <w:pPr>
              <w:jc w:val="both"/>
              <w:rPr>
                <w:rFonts w:ascii="David" w:hAnsi="David"/>
                <w:sz w:val="26"/>
                <w:szCs w:val="26"/>
              </w:rPr>
            </w:pPr>
            <w:r w:rsidRPr="00222E94">
              <w:rPr>
                <w:rFonts w:ascii="David" w:hAnsi="David" w:hint="cs"/>
                <w:sz w:val="26"/>
                <w:szCs w:val="26"/>
                <w:rtl/>
              </w:rPr>
              <w:t>ל</w:t>
            </w:r>
            <w:r w:rsidRPr="00222E94">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1F897A28" w14:textId="77777777" w:rsidR="00590DC9" w:rsidRPr="00222E94" w:rsidRDefault="00590DC9" w:rsidP="002E2711">
            <w:pPr>
              <w:rPr>
                <w:rFonts w:ascii="David" w:hAnsi="David"/>
                <w:b/>
                <w:bCs/>
                <w:sz w:val="26"/>
                <w:szCs w:val="26"/>
                <w:rtl/>
              </w:rPr>
            </w:pPr>
            <w:r w:rsidRPr="00222E94">
              <w:rPr>
                <w:rFonts w:ascii="David" w:hAnsi="David"/>
                <w:b/>
                <w:bCs/>
                <w:sz w:val="26"/>
                <w:szCs w:val="26"/>
                <w:rtl/>
              </w:rPr>
              <w:t>כבוד השופט יריב בן דוד</w:t>
            </w:r>
          </w:p>
          <w:p w14:paraId="782005E1" w14:textId="77777777" w:rsidR="00590DC9" w:rsidRPr="00222E94" w:rsidRDefault="00590DC9" w:rsidP="00590DC9">
            <w:pPr>
              <w:jc w:val="both"/>
              <w:rPr>
                <w:rFonts w:ascii="David" w:hAnsi="David"/>
                <w:sz w:val="26"/>
                <w:szCs w:val="26"/>
              </w:rPr>
            </w:pPr>
          </w:p>
        </w:tc>
      </w:tr>
      <w:tr w:rsidR="00590DC9" w:rsidRPr="00222E94" w14:paraId="44CE6DB0" w14:textId="77777777" w:rsidTr="00590DC9">
        <w:trPr>
          <w:trHeight w:val="355"/>
          <w:jc w:val="center"/>
        </w:trPr>
        <w:tc>
          <w:tcPr>
            <w:tcW w:w="923" w:type="dxa"/>
            <w:tcBorders>
              <w:top w:val="nil"/>
              <w:left w:val="nil"/>
              <w:bottom w:val="nil"/>
              <w:right w:val="nil"/>
            </w:tcBorders>
            <w:shd w:val="clear" w:color="auto" w:fill="auto"/>
          </w:tcPr>
          <w:p w14:paraId="164B83CA" w14:textId="77777777" w:rsidR="00590DC9" w:rsidRPr="00222E94" w:rsidRDefault="00590DC9" w:rsidP="00590DC9">
            <w:pPr>
              <w:jc w:val="both"/>
              <w:rPr>
                <w:rFonts w:ascii="David" w:hAnsi="David"/>
                <w:sz w:val="26"/>
                <w:szCs w:val="26"/>
              </w:rPr>
            </w:pPr>
            <w:bookmarkStart w:id="1" w:name="FirstAppellant"/>
            <w:bookmarkStart w:id="2" w:name="FirstLawyer"/>
            <w:r w:rsidRPr="00222E94">
              <w:rPr>
                <w:rFonts w:ascii="David" w:hAnsi="David"/>
                <w:sz w:val="26"/>
                <w:szCs w:val="26"/>
                <w:rtl/>
              </w:rPr>
              <w:t>בעניין:</w:t>
            </w:r>
          </w:p>
        </w:tc>
        <w:tc>
          <w:tcPr>
            <w:tcW w:w="3219" w:type="dxa"/>
            <w:tcBorders>
              <w:top w:val="nil"/>
              <w:left w:val="nil"/>
              <w:bottom w:val="nil"/>
              <w:right w:val="nil"/>
            </w:tcBorders>
            <w:shd w:val="clear" w:color="auto" w:fill="auto"/>
          </w:tcPr>
          <w:p w14:paraId="6A0B94A7" w14:textId="77777777" w:rsidR="00590DC9" w:rsidRPr="00222E94" w:rsidRDefault="00590DC9" w:rsidP="00590DC9">
            <w:pPr>
              <w:suppressLineNumbers/>
            </w:pPr>
            <w:r w:rsidRPr="00222E94">
              <w:rPr>
                <w:rFonts w:ascii="Arial" w:hAnsi="Arial" w:hint="cs"/>
                <w:b/>
                <w:bCs/>
                <w:sz w:val="26"/>
                <w:szCs w:val="26"/>
                <w:rtl/>
              </w:rPr>
              <w:t>ה</w:t>
            </w:r>
            <w:r w:rsidRPr="00222E94">
              <w:rPr>
                <w:rFonts w:ascii="Arial" w:hAnsi="Arial"/>
                <w:b/>
                <w:bCs/>
                <w:sz w:val="26"/>
                <w:szCs w:val="26"/>
                <w:rtl/>
              </w:rPr>
              <w:t>מאשימה</w:t>
            </w:r>
          </w:p>
          <w:p w14:paraId="5952B451" w14:textId="77777777" w:rsidR="00590DC9" w:rsidRPr="00222E94" w:rsidRDefault="00590DC9" w:rsidP="002E2711">
            <w:pPr>
              <w:rPr>
                <w:rFonts w:ascii="David" w:hAnsi="David"/>
                <w:sz w:val="26"/>
                <w:szCs w:val="26"/>
              </w:rPr>
            </w:pPr>
          </w:p>
        </w:tc>
        <w:tc>
          <w:tcPr>
            <w:tcW w:w="4678" w:type="dxa"/>
            <w:tcBorders>
              <w:top w:val="nil"/>
              <w:left w:val="nil"/>
              <w:bottom w:val="nil"/>
              <w:right w:val="nil"/>
            </w:tcBorders>
            <w:shd w:val="clear" w:color="auto" w:fill="auto"/>
            <w:vAlign w:val="center"/>
          </w:tcPr>
          <w:p w14:paraId="54DC659C" w14:textId="77777777" w:rsidR="00590DC9" w:rsidRPr="00222E94" w:rsidRDefault="00590DC9" w:rsidP="00590DC9">
            <w:pPr>
              <w:suppressLineNumbers/>
              <w:rPr>
                <w:rFonts w:ascii="Arial" w:hAnsi="Arial"/>
                <w:b/>
                <w:bCs/>
                <w:sz w:val="26"/>
                <w:szCs w:val="26"/>
                <w:rtl/>
              </w:rPr>
            </w:pPr>
            <w:r w:rsidRPr="00222E94">
              <w:rPr>
                <w:rFonts w:ascii="Arial" w:hAnsi="Arial"/>
                <w:b/>
                <w:bCs/>
                <w:sz w:val="26"/>
                <w:szCs w:val="26"/>
                <w:rtl/>
              </w:rPr>
              <w:t>מדינת ישראל</w:t>
            </w:r>
            <w:r w:rsidRPr="00222E94">
              <w:rPr>
                <w:rFonts w:ascii="Arial" w:hAnsi="Arial" w:hint="cs"/>
                <w:b/>
                <w:bCs/>
                <w:sz w:val="26"/>
                <w:szCs w:val="26"/>
                <w:rtl/>
              </w:rPr>
              <w:t xml:space="preserve"> </w:t>
            </w:r>
          </w:p>
          <w:p w14:paraId="2632F7E0" w14:textId="77777777" w:rsidR="00590DC9" w:rsidRPr="00222E94" w:rsidRDefault="00590DC9" w:rsidP="00590DC9">
            <w:pPr>
              <w:suppressLineNumbers/>
            </w:pPr>
            <w:r w:rsidRPr="00222E94">
              <w:rPr>
                <w:rFonts w:ascii="Arial" w:hAnsi="Arial"/>
                <w:b/>
                <w:bCs/>
                <w:sz w:val="26"/>
                <w:szCs w:val="26"/>
                <w:rtl/>
              </w:rPr>
              <w:t>ע"י ב"כ עוה"ד</w:t>
            </w:r>
            <w:r w:rsidRPr="00222E94">
              <w:rPr>
                <w:rFonts w:ascii="Arial" w:hAnsi="Arial" w:hint="cs"/>
                <w:b/>
                <w:bCs/>
                <w:sz w:val="26"/>
                <w:szCs w:val="26"/>
                <w:rtl/>
              </w:rPr>
              <w:t xml:space="preserve"> ליטל פרץ</w:t>
            </w:r>
          </w:p>
          <w:p w14:paraId="0C5C1CED" w14:textId="77777777" w:rsidR="00590DC9" w:rsidRPr="00222E94" w:rsidRDefault="00590DC9" w:rsidP="002E2711">
            <w:pPr>
              <w:rPr>
                <w:rFonts w:ascii="David" w:hAnsi="David"/>
                <w:sz w:val="26"/>
                <w:szCs w:val="26"/>
              </w:rPr>
            </w:pPr>
          </w:p>
        </w:tc>
      </w:tr>
      <w:bookmarkEnd w:id="1"/>
      <w:bookmarkEnd w:id="2"/>
      <w:tr w:rsidR="00590DC9" w:rsidRPr="00222E94" w14:paraId="50656077" w14:textId="77777777" w:rsidTr="00590DC9">
        <w:trPr>
          <w:trHeight w:val="355"/>
          <w:jc w:val="center"/>
        </w:trPr>
        <w:tc>
          <w:tcPr>
            <w:tcW w:w="923" w:type="dxa"/>
            <w:tcBorders>
              <w:top w:val="nil"/>
              <w:left w:val="nil"/>
              <w:bottom w:val="nil"/>
              <w:right w:val="nil"/>
            </w:tcBorders>
            <w:shd w:val="clear" w:color="auto" w:fill="auto"/>
          </w:tcPr>
          <w:p w14:paraId="3E52DE9E" w14:textId="77777777" w:rsidR="00590DC9" w:rsidRPr="00222E94" w:rsidRDefault="00590DC9" w:rsidP="00590DC9">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0C331989" w14:textId="77777777" w:rsidR="00590DC9" w:rsidRPr="00222E94" w:rsidRDefault="00590DC9" w:rsidP="00590DC9">
            <w:pPr>
              <w:jc w:val="center"/>
              <w:rPr>
                <w:rFonts w:ascii="David" w:hAnsi="David"/>
                <w:b/>
                <w:bCs/>
                <w:sz w:val="26"/>
                <w:szCs w:val="26"/>
                <w:rtl/>
              </w:rPr>
            </w:pPr>
          </w:p>
          <w:p w14:paraId="1F6750D9" w14:textId="77777777" w:rsidR="00590DC9" w:rsidRPr="00222E94" w:rsidRDefault="00590DC9" w:rsidP="00590DC9">
            <w:pPr>
              <w:jc w:val="center"/>
              <w:rPr>
                <w:rFonts w:ascii="David" w:hAnsi="David"/>
                <w:b/>
                <w:bCs/>
                <w:sz w:val="26"/>
                <w:szCs w:val="26"/>
                <w:rtl/>
              </w:rPr>
            </w:pPr>
            <w:r w:rsidRPr="00222E94">
              <w:rPr>
                <w:rFonts w:ascii="David" w:hAnsi="David"/>
                <w:b/>
                <w:bCs/>
                <w:sz w:val="26"/>
                <w:szCs w:val="26"/>
                <w:rtl/>
              </w:rPr>
              <w:t>נגד</w:t>
            </w:r>
          </w:p>
          <w:p w14:paraId="59955186" w14:textId="77777777" w:rsidR="00590DC9" w:rsidRPr="00222E94" w:rsidRDefault="00590DC9" w:rsidP="00590DC9">
            <w:pPr>
              <w:jc w:val="both"/>
              <w:rPr>
                <w:rFonts w:ascii="David" w:hAnsi="David"/>
                <w:sz w:val="26"/>
                <w:szCs w:val="26"/>
              </w:rPr>
            </w:pPr>
          </w:p>
        </w:tc>
      </w:tr>
      <w:tr w:rsidR="00590DC9" w:rsidRPr="00222E94" w14:paraId="2387926E" w14:textId="77777777" w:rsidTr="00590DC9">
        <w:trPr>
          <w:trHeight w:val="355"/>
          <w:jc w:val="center"/>
        </w:trPr>
        <w:tc>
          <w:tcPr>
            <w:tcW w:w="923" w:type="dxa"/>
            <w:tcBorders>
              <w:top w:val="nil"/>
              <w:left w:val="nil"/>
              <w:bottom w:val="nil"/>
              <w:right w:val="nil"/>
            </w:tcBorders>
            <w:shd w:val="clear" w:color="auto" w:fill="auto"/>
          </w:tcPr>
          <w:p w14:paraId="5C328674" w14:textId="77777777" w:rsidR="00590DC9" w:rsidRPr="00222E94" w:rsidRDefault="00590DC9" w:rsidP="002E2711">
            <w:pPr>
              <w:rPr>
                <w:rFonts w:ascii="David" w:hAnsi="David"/>
                <w:sz w:val="26"/>
                <w:szCs w:val="26"/>
                <w:rtl/>
              </w:rPr>
            </w:pPr>
          </w:p>
        </w:tc>
        <w:tc>
          <w:tcPr>
            <w:tcW w:w="3219" w:type="dxa"/>
            <w:tcBorders>
              <w:top w:val="nil"/>
              <w:left w:val="nil"/>
              <w:bottom w:val="nil"/>
              <w:right w:val="nil"/>
            </w:tcBorders>
            <w:shd w:val="clear" w:color="auto" w:fill="auto"/>
          </w:tcPr>
          <w:p w14:paraId="195CE616" w14:textId="77777777" w:rsidR="00590DC9" w:rsidRPr="00222E94" w:rsidRDefault="00590DC9" w:rsidP="002E2711">
            <w:pPr>
              <w:rPr>
                <w:rFonts w:ascii="Arial" w:hAnsi="Arial"/>
                <w:b/>
                <w:bCs/>
                <w:sz w:val="26"/>
                <w:szCs w:val="26"/>
                <w:rtl/>
              </w:rPr>
            </w:pPr>
            <w:r w:rsidRPr="00222E94">
              <w:rPr>
                <w:rFonts w:ascii="Arial" w:hAnsi="Arial"/>
                <w:b/>
                <w:bCs/>
                <w:sz w:val="26"/>
                <w:szCs w:val="26"/>
                <w:rtl/>
              </w:rPr>
              <w:t>הנאש</w:t>
            </w:r>
            <w:r w:rsidRPr="00222E94">
              <w:rPr>
                <w:rFonts w:ascii="Arial" w:hAnsi="Arial" w:hint="cs"/>
                <w:b/>
                <w:bCs/>
                <w:sz w:val="26"/>
                <w:szCs w:val="26"/>
                <w:rtl/>
              </w:rPr>
              <w:t>ם</w:t>
            </w:r>
          </w:p>
        </w:tc>
        <w:tc>
          <w:tcPr>
            <w:tcW w:w="4678" w:type="dxa"/>
            <w:tcBorders>
              <w:top w:val="nil"/>
              <w:left w:val="nil"/>
              <w:bottom w:val="nil"/>
              <w:right w:val="nil"/>
            </w:tcBorders>
            <w:shd w:val="clear" w:color="auto" w:fill="auto"/>
            <w:vAlign w:val="center"/>
          </w:tcPr>
          <w:p w14:paraId="1BF39A95" w14:textId="77777777" w:rsidR="00590DC9" w:rsidRPr="00222E94" w:rsidRDefault="00590DC9" w:rsidP="00590DC9">
            <w:pPr>
              <w:suppressLineNumbers/>
              <w:rPr>
                <w:rFonts w:ascii="Arial" w:hAnsi="Arial"/>
                <w:b/>
                <w:bCs/>
                <w:sz w:val="26"/>
                <w:szCs w:val="26"/>
                <w:rtl/>
              </w:rPr>
            </w:pPr>
            <w:r w:rsidRPr="00222E94">
              <w:rPr>
                <w:rFonts w:ascii="Arial" w:hAnsi="Arial"/>
                <w:b/>
                <w:bCs/>
                <w:sz w:val="26"/>
                <w:szCs w:val="26"/>
                <w:rtl/>
              </w:rPr>
              <w:t>גל מלכה</w:t>
            </w:r>
            <w:r w:rsidRPr="00222E94">
              <w:rPr>
                <w:rFonts w:ascii="Arial" w:hAnsi="Arial" w:hint="cs"/>
                <w:b/>
                <w:bCs/>
                <w:sz w:val="26"/>
                <w:szCs w:val="26"/>
                <w:rtl/>
              </w:rPr>
              <w:t xml:space="preserve"> </w:t>
            </w:r>
          </w:p>
          <w:p w14:paraId="6B7E0FA2" w14:textId="77777777" w:rsidR="00590DC9" w:rsidRPr="00222E94" w:rsidRDefault="00590DC9" w:rsidP="00590DC9">
            <w:pPr>
              <w:suppressLineNumbers/>
            </w:pPr>
            <w:r w:rsidRPr="00222E94">
              <w:rPr>
                <w:rFonts w:ascii="Arial" w:hAnsi="Arial"/>
                <w:b/>
                <w:bCs/>
                <w:sz w:val="26"/>
                <w:szCs w:val="26"/>
                <w:rtl/>
              </w:rPr>
              <w:t>ע"י ב"כ עוה"ד</w:t>
            </w:r>
            <w:r w:rsidRPr="00222E94">
              <w:rPr>
                <w:rFonts w:ascii="Arial" w:hAnsi="Arial" w:hint="cs"/>
                <w:b/>
                <w:bCs/>
                <w:sz w:val="26"/>
                <w:szCs w:val="26"/>
                <w:rtl/>
              </w:rPr>
              <w:t xml:space="preserve"> עינב יתח</w:t>
            </w:r>
          </w:p>
          <w:p w14:paraId="5E2A9AF5" w14:textId="77777777" w:rsidR="00590DC9" w:rsidRPr="00222E94" w:rsidRDefault="00590DC9" w:rsidP="002E2711">
            <w:pPr>
              <w:rPr>
                <w:rFonts w:ascii="David" w:hAnsi="David"/>
                <w:sz w:val="26"/>
                <w:szCs w:val="26"/>
              </w:rPr>
            </w:pPr>
          </w:p>
        </w:tc>
      </w:tr>
    </w:tbl>
    <w:p w14:paraId="23094F3E" w14:textId="77777777" w:rsidR="00590DC9" w:rsidRPr="00222E94" w:rsidRDefault="00590DC9" w:rsidP="00590DC9">
      <w:pPr>
        <w:rPr>
          <w:sz w:val="18"/>
          <w:szCs w:val="18"/>
        </w:rPr>
      </w:pPr>
    </w:p>
    <w:p w14:paraId="3731C9BA" w14:textId="77777777" w:rsidR="00D37ECD" w:rsidRPr="00D37ECD" w:rsidRDefault="00D37ECD" w:rsidP="00D37ECD">
      <w:pPr>
        <w:pStyle w:val="11"/>
        <w:spacing w:before="120" w:after="120" w:line="240" w:lineRule="exact"/>
        <w:ind w:left="283" w:hanging="283"/>
        <w:jc w:val="both"/>
        <w:rPr>
          <w:rFonts w:ascii="FrankRuehl" w:hAnsi="FrankRuehl" w:cs="FrankRuehl"/>
          <w:b w:val="0"/>
          <w:bCs w:val="0"/>
          <w:u w:val="none"/>
          <w:rtl/>
        </w:rPr>
      </w:pPr>
      <w:bookmarkStart w:id="3" w:name="LawTable"/>
      <w:bookmarkEnd w:id="3"/>
      <w:r w:rsidRPr="00D37ECD">
        <w:rPr>
          <w:rFonts w:ascii="FrankRuehl" w:hAnsi="FrankRuehl" w:cs="FrankRuehl"/>
          <w:b w:val="0"/>
          <w:bCs w:val="0"/>
          <w:u w:val="none"/>
          <w:rtl/>
        </w:rPr>
        <w:t xml:space="preserve">חקיקה שאוזכרה: </w:t>
      </w:r>
    </w:p>
    <w:p w14:paraId="0C14B3FF" w14:textId="77777777" w:rsidR="00D37ECD" w:rsidRPr="00D37ECD" w:rsidRDefault="00D37ECD" w:rsidP="00D37ECD">
      <w:pPr>
        <w:pStyle w:val="11"/>
        <w:spacing w:before="120" w:after="120" w:line="240" w:lineRule="exact"/>
        <w:ind w:left="283" w:hanging="283"/>
        <w:jc w:val="both"/>
        <w:rPr>
          <w:rFonts w:ascii="FrankRuehl" w:hAnsi="FrankRuehl" w:cs="FrankRuehl"/>
          <w:b w:val="0"/>
          <w:bCs w:val="0"/>
          <w:color w:val="0000FF"/>
          <w:u w:val="none"/>
          <w:rtl/>
        </w:rPr>
      </w:pPr>
      <w:hyperlink r:id="rId7" w:history="1">
        <w:r w:rsidRPr="00D37ECD">
          <w:rPr>
            <w:rStyle w:val="Hyperlink"/>
            <w:rFonts w:ascii="FrankRuehl" w:eastAsia="Times New Roman" w:hAnsi="FrankRuehl" w:cs="FrankRuehl"/>
            <w:b w:val="0"/>
            <w:bCs w:val="0"/>
            <w:u w:val="none"/>
            <w:rtl/>
          </w:rPr>
          <w:t>פקודת הסמים המסוכנים [נוסח חדש], תשל"ג-1973</w:t>
        </w:r>
      </w:hyperlink>
      <w:r w:rsidRPr="00D37ECD">
        <w:rPr>
          <w:rFonts w:ascii="FrankRuehl" w:hAnsi="FrankRuehl" w:cs="FrankRuehl"/>
          <w:b w:val="0"/>
          <w:bCs w:val="0"/>
          <w:color w:val="0000FF"/>
          <w:u w:val="none"/>
          <w:rtl/>
        </w:rPr>
        <w:t xml:space="preserve">: סע'  </w:t>
      </w:r>
      <w:hyperlink r:id="rId8" w:history="1">
        <w:r w:rsidRPr="00D37ECD">
          <w:rPr>
            <w:rStyle w:val="Hyperlink"/>
            <w:rFonts w:ascii="FrankRuehl" w:eastAsia="Times New Roman" w:hAnsi="FrankRuehl" w:cs="FrankRuehl"/>
            <w:b w:val="0"/>
            <w:bCs w:val="0"/>
            <w:u w:val="none"/>
          </w:rPr>
          <w:t>7</w:t>
        </w:r>
      </w:hyperlink>
      <w:r w:rsidRPr="00D37ECD">
        <w:rPr>
          <w:rFonts w:ascii="FrankRuehl" w:hAnsi="FrankRuehl" w:cs="FrankRuehl"/>
          <w:b w:val="0"/>
          <w:bCs w:val="0"/>
          <w:color w:val="0000FF"/>
          <w:u w:val="none"/>
          <w:rtl/>
        </w:rPr>
        <w:t xml:space="preserve">(א), </w:t>
      </w:r>
      <w:hyperlink r:id="rId9" w:history="1">
        <w:r w:rsidRPr="00D37ECD">
          <w:rPr>
            <w:rStyle w:val="Hyperlink"/>
            <w:rFonts w:ascii="FrankRuehl" w:eastAsia="Times New Roman" w:hAnsi="FrankRuehl" w:cs="FrankRuehl"/>
            <w:b w:val="0"/>
            <w:bCs w:val="0"/>
            <w:u w:val="none"/>
          </w:rPr>
          <w:t>7</w:t>
        </w:r>
      </w:hyperlink>
      <w:r w:rsidRPr="00D37ECD">
        <w:rPr>
          <w:rFonts w:ascii="FrankRuehl" w:hAnsi="FrankRuehl" w:cs="FrankRuehl"/>
          <w:b w:val="0"/>
          <w:bCs w:val="0"/>
          <w:color w:val="0000FF"/>
          <w:u w:val="none"/>
          <w:rtl/>
        </w:rPr>
        <w:t>(ג)</w:t>
      </w:r>
    </w:p>
    <w:p w14:paraId="114A05CC" w14:textId="77777777" w:rsidR="00D37ECD" w:rsidRPr="00D37ECD" w:rsidRDefault="00D37ECD" w:rsidP="00D37ECD">
      <w:pPr>
        <w:pStyle w:val="11"/>
        <w:spacing w:before="120" w:after="120" w:line="240" w:lineRule="exact"/>
        <w:ind w:left="283" w:hanging="283"/>
        <w:jc w:val="both"/>
        <w:rPr>
          <w:rFonts w:ascii="FrankRuehl" w:hAnsi="FrankRuehl" w:cs="FrankRuehl"/>
          <w:b w:val="0"/>
          <w:bCs w:val="0"/>
          <w:color w:val="0000FF"/>
          <w:u w:val="none"/>
          <w:rtl/>
        </w:rPr>
      </w:pPr>
      <w:hyperlink r:id="rId10" w:history="1">
        <w:r w:rsidRPr="00D37ECD">
          <w:rPr>
            <w:rStyle w:val="Hyperlink"/>
            <w:rFonts w:ascii="FrankRuehl" w:eastAsia="Times New Roman" w:hAnsi="FrankRuehl" w:cs="FrankRuehl"/>
            <w:b w:val="0"/>
            <w:bCs w:val="0"/>
            <w:u w:val="none"/>
            <w:rtl/>
          </w:rPr>
          <w:t>חוק העונשין, תשל"ז-1977</w:t>
        </w:r>
      </w:hyperlink>
      <w:r w:rsidRPr="00D37ECD">
        <w:rPr>
          <w:rFonts w:ascii="FrankRuehl" w:hAnsi="FrankRuehl" w:cs="FrankRuehl"/>
          <w:b w:val="0"/>
          <w:bCs w:val="0"/>
          <w:color w:val="0000FF"/>
          <w:u w:val="none"/>
          <w:rtl/>
        </w:rPr>
        <w:t xml:space="preserve">: סע'  </w:t>
      </w:r>
      <w:hyperlink r:id="rId11" w:history="1">
        <w:r w:rsidRPr="00D37ECD">
          <w:rPr>
            <w:rStyle w:val="Hyperlink"/>
            <w:rFonts w:ascii="FrankRuehl" w:eastAsia="Times New Roman" w:hAnsi="FrankRuehl" w:cs="FrankRuehl"/>
            <w:b w:val="0"/>
            <w:bCs w:val="0"/>
            <w:u w:val="none"/>
          </w:rPr>
          <w:t>40</w:t>
        </w:r>
        <w:r w:rsidRPr="00D37ECD">
          <w:rPr>
            <w:rStyle w:val="Hyperlink"/>
            <w:rFonts w:ascii="FrankRuehl" w:eastAsia="Times New Roman" w:hAnsi="FrankRuehl" w:cs="FrankRuehl"/>
            <w:b w:val="0"/>
            <w:bCs w:val="0"/>
            <w:u w:val="none"/>
            <w:rtl/>
          </w:rPr>
          <w:t>ב</w:t>
        </w:r>
      </w:hyperlink>
      <w:r w:rsidRPr="00D37ECD">
        <w:rPr>
          <w:rFonts w:ascii="FrankRuehl" w:hAnsi="FrankRuehl" w:cs="FrankRuehl"/>
          <w:b w:val="0"/>
          <w:bCs w:val="0"/>
          <w:color w:val="0000FF"/>
          <w:u w:val="none"/>
          <w:rtl/>
        </w:rPr>
        <w:t xml:space="preserve">, </w:t>
      </w:r>
      <w:hyperlink r:id="rId12" w:history="1">
        <w:r w:rsidRPr="00D37ECD">
          <w:rPr>
            <w:rStyle w:val="Hyperlink"/>
            <w:rFonts w:ascii="FrankRuehl" w:eastAsia="Times New Roman" w:hAnsi="FrankRuehl" w:cs="FrankRuehl"/>
            <w:b w:val="0"/>
            <w:bCs w:val="0"/>
            <w:u w:val="none"/>
          </w:rPr>
          <w:t>40</w:t>
        </w:r>
        <w:r w:rsidRPr="00D37ECD">
          <w:rPr>
            <w:rStyle w:val="Hyperlink"/>
            <w:rFonts w:ascii="FrankRuehl" w:eastAsia="Times New Roman" w:hAnsi="FrankRuehl" w:cs="FrankRuehl"/>
            <w:b w:val="0"/>
            <w:bCs w:val="0"/>
            <w:u w:val="none"/>
            <w:rtl/>
          </w:rPr>
          <w:t>ג</w:t>
        </w:r>
      </w:hyperlink>
      <w:r w:rsidRPr="00D37ECD">
        <w:rPr>
          <w:rFonts w:ascii="FrankRuehl" w:hAnsi="FrankRuehl" w:cs="FrankRuehl"/>
          <w:b w:val="0"/>
          <w:bCs w:val="0"/>
          <w:color w:val="0000FF"/>
          <w:u w:val="none"/>
          <w:rtl/>
        </w:rPr>
        <w:t xml:space="preserve">(א), </w:t>
      </w:r>
      <w:hyperlink r:id="rId13" w:history="1">
        <w:r w:rsidRPr="00D37ECD">
          <w:rPr>
            <w:rStyle w:val="Hyperlink"/>
            <w:rFonts w:ascii="FrankRuehl" w:eastAsia="Times New Roman" w:hAnsi="FrankRuehl" w:cs="FrankRuehl"/>
            <w:b w:val="0"/>
            <w:bCs w:val="0"/>
            <w:u w:val="none"/>
          </w:rPr>
          <w:t xml:space="preserve">40 </w:t>
        </w:r>
        <w:r w:rsidRPr="00D37ECD">
          <w:rPr>
            <w:rStyle w:val="Hyperlink"/>
            <w:rFonts w:ascii="FrankRuehl" w:eastAsia="Times New Roman" w:hAnsi="FrankRuehl" w:cs="FrankRuehl"/>
            <w:b w:val="0"/>
            <w:bCs w:val="0"/>
            <w:u w:val="none"/>
            <w:rtl/>
          </w:rPr>
          <w:t>ג</w:t>
        </w:r>
      </w:hyperlink>
      <w:r w:rsidRPr="00D37ECD">
        <w:rPr>
          <w:rFonts w:ascii="FrankRuehl" w:hAnsi="FrankRuehl" w:cs="FrankRuehl"/>
          <w:b w:val="0"/>
          <w:bCs w:val="0"/>
          <w:color w:val="0000FF"/>
          <w:u w:val="none"/>
          <w:rtl/>
        </w:rPr>
        <w:t xml:space="preserve">(ב), </w:t>
      </w:r>
      <w:hyperlink r:id="rId14" w:history="1">
        <w:r w:rsidRPr="00D37ECD">
          <w:rPr>
            <w:rStyle w:val="Hyperlink"/>
            <w:rFonts w:ascii="FrankRuehl" w:eastAsia="Times New Roman" w:hAnsi="FrankRuehl" w:cs="FrankRuehl"/>
            <w:b w:val="0"/>
            <w:bCs w:val="0"/>
            <w:u w:val="none"/>
          </w:rPr>
          <w:t>40</w:t>
        </w:r>
        <w:r w:rsidRPr="00D37ECD">
          <w:rPr>
            <w:rStyle w:val="Hyperlink"/>
            <w:rFonts w:ascii="FrankRuehl" w:eastAsia="Times New Roman" w:hAnsi="FrankRuehl" w:cs="FrankRuehl"/>
            <w:b w:val="0"/>
            <w:bCs w:val="0"/>
            <w:u w:val="none"/>
            <w:rtl/>
          </w:rPr>
          <w:t>ד</w:t>
        </w:r>
      </w:hyperlink>
      <w:r w:rsidRPr="00D37ECD">
        <w:rPr>
          <w:rFonts w:ascii="FrankRuehl" w:hAnsi="FrankRuehl" w:cs="FrankRuehl"/>
          <w:b w:val="0"/>
          <w:bCs w:val="0"/>
          <w:color w:val="0000FF"/>
          <w:u w:val="none"/>
          <w:rtl/>
        </w:rPr>
        <w:t xml:space="preserve">, </w:t>
      </w:r>
      <w:hyperlink r:id="rId15" w:history="1">
        <w:r w:rsidRPr="00D37ECD">
          <w:rPr>
            <w:rStyle w:val="Hyperlink"/>
            <w:rFonts w:ascii="FrankRuehl" w:eastAsia="Times New Roman" w:hAnsi="FrankRuehl" w:cs="FrankRuehl"/>
            <w:b w:val="0"/>
            <w:bCs w:val="0"/>
            <w:u w:val="none"/>
          </w:rPr>
          <w:t>40</w:t>
        </w:r>
        <w:r w:rsidRPr="00D37ECD">
          <w:rPr>
            <w:rStyle w:val="Hyperlink"/>
            <w:rFonts w:ascii="FrankRuehl" w:eastAsia="Times New Roman" w:hAnsi="FrankRuehl" w:cs="FrankRuehl"/>
            <w:b w:val="0"/>
            <w:bCs w:val="0"/>
            <w:u w:val="none"/>
            <w:rtl/>
          </w:rPr>
          <w:t>ד</w:t>
        </w:r>
      </w:hyperlink>
      <w:r w:rsidRPr="00D37ECD">
        <w:rPr>
          <w:rFonts w:ascii="FrankRuehl" w:hAnsi="FrankRuehl" w:cs="FrankRuehl"/>
          <w:b w:val="0"/>
          <w:bCs w:val="0"/>
          <w:color w:val="0000FF"/>
          <w:u w:val="none"/>
          <w:rtl/>
        </w:rPr>
        <w:t xml:space="preserve">(א), </w:t>
      </w:r>
      <w:hyperlink r:id="rId16" w:history="1">
        <w:r w:rsidRPr="00D37ECD">
          <w:rPr>
            <w:rStyle w:val="Hyperlink"/>
            <w:rFonts w:ascii="FrankRuehl" w:eastAsia="Times New Roman" w:hAnsi="FrankRuehl" w:cs="FrankRuehl"/>
            <w:b w:val="0"/>
            <w:bCs w:val="0"/>
            <w:u w:val="none"/>
          </w:rPr>
          <w:t>40</w:t>
        </w:r>
        <w:r w:rsidRPr="00D37ECD">
          <w:rPr>
            <w:rStyle w:val="Hyperlink"/>
            <w:rFonts w:ascii="FrankRuehl" w:eastAsia="Times New Roman" w:hAnsi="FrankRuehl" w:cs="FrankRuehl"/>
            <w:b w:val="0"/>
            <w:bCs w:val="0"/>
            <w:u w:val="none"/>
            <w:rtl/>
          </w:rPr>
          <w:t>ט</w:t>
        </w:r>
      </w:hyperlink>
      <w:r w:rsidRPr="00D37ECD">
        <w:rPr>
          <w:rFonts w:ascii="FrankRuehl" w:hAnsi="FrankRuehl" w:cs="FrankRuehl"/>
          <w:b w:val="0"/>
          <w:bCs w:val="0"/>
          <w:color w:val="0000FF"/>
          <w:u w:val="none"/>
          <w:rtl/>
        </w:rPr>
        <w:t xml:space="preserve">, </w:t>
      </w:r>
      <w:hyperlink r:id="rId17" w:history="1">
        <w:r w:rsidRPr="00D37ECD">
          <w:rPr>
            <w:rStyle w:val="Hyperlink"/>
            <w:rFonts w:ascii="FrankRuehl" w:eastAsia="Times New Roman" w:hAnsi="FrankRuehl" w:cs="FrankRuehl"/>
            <w:b w:val="0"/>
            <w:bCs w:val="0"/>
            <w:u w:val="none"/>
          </w:rPr>
          <w:t>40</w:t>
        </w:r>
        <w:r w:rsidRPr="00D37ECD">
          <w:rPr>
            <w:rStyle w:val="Hyperlink"/>
            <w:rFonts w:ascii="FrankRuehl" w:eastAsia="Times New Roman" w:hAnsi="FrankRuehl" w:cs="FrankRuehl"/>
            <w:b w:val="0"/>
            <w:bCs w:val="0"/>
            <w:u w:val="none"/>
            <w:rtl/>
          </w:rPr>
          <w:t>ט</w:t>
        </w:r>
      </w:hyperlink>
      <w:r w:rsidRPr="00D37ECD">
        <w:rPr>
          <w:rFonts w:ascii="FrankRuehl" w:hAnsi="FrankRuehl" w:cs="FrankRuehl"/>
          <w:b w:val="0"/>
          <w:bCs w:val="0"/>
          <w:color w:val="0000FF"/>
          <w:u w:val="none"/>
          <w:rtl/>
        </w:rPr>
        <w:t xml:space="preserve">(א)(6), </w:t>
      </w:r>
      <w:hyperlink r:id="rId18" w:history="1">
        <w:r w:rsidRPr="00D37ECD">
          <w:rPr>
            <w:rStyle w:val="Hyperlink"/>
            <w:rFonts w:ascii="FrankRuehl" w:eastAsia="Times New Roman" w:hAnsi="FrankRuehl" w:cs="FrankRuehl"/>
            <w:b w:val="0"/>
            <w:bCs w:val="0"/>
            <w:u w:val="none"/>
          </w:rPr>
          <w:t>40</w:t>
        </w:r>
        <w:r w:rsidRPr="00D37ECD">
          <w:rPr>
            <w:rStyle w:val="Hyperlink"/>
            <w:rFonts w:ascii="FrankRuehl" w:eastAsia="Times New Roman" w:hAnsi="FrankRuehl" w:cs="FrankRuehl"/>
            <w:b w:val="0"/>
            <w:bCs w:val="0"/>
            <w:u w:val="none"/>
            <w:rtl/>
          </w:rPr>
          <w:t>ט</w:t>
        </w:r>
      </w:hyperlink>
      <w:r w:rsidRPr="00D37ECD">
        <w:rPr>
          <w:rFonts w:ascii="FrankRuehl" w:hAnsi="FrankRuehl" w:cs="FrankRuehl"/>
          <w:b w:val="0"/>
          <w:bCs w:val="0"/>
          <w:color w:val="0000FF"/>
          <w:u w:val="none"/>
          <w:rtl/>
        </w:rPr>
        <w:t xml:space="preserve">(א)(7), </w:t>
      </w:r>
      <w:hyperlink r:id="rId19" w:history="1">
        <w:r w:rsidRPr="00D37ECD">
          <w:rPr>
            <w:rStyle w:val="Hyperlink"/>
            <w:rFonts w:ascii="FrankRuehl" w:eastAsia="Times New Roman" w:hAnsi="FrankRuehl" w:cs="FrankRuehl"/>
            <w:b w:val="0"/>
            <w:bCs w:val="0"/>
            <w:u w:val="none"/>
          </w:rPr>
          <w:t>40</w:t>
        </w:r>
        <w:r w:rsidRPr="00D37ECD">
          <w:rPr>
            <w:rStyle w:val="Hyperlink"/>
            <w:rFonts w:ascii="FrankRuehl" w:eastAsia="Times New Roman" w:hAnsi="FrankRuehl" w:cs="FrankRuehl"/>
            <w:b w:val="0"/>
            <w:bCs w:val="0"/>
            <w:u w:val="none"/>
            <w:rtl/>
          </w:rPr>
          <w:t>יא</w:t>
        </w:r>
      </w:hyperlink>
    </w:p>
    <w:p w14:paraId="5FCD1383" w14:textId="77777777" w:rsidR="00590DC9" w:rsidRPr="00D37ECD" w:rsidRDefault="00590DC9" w:rsidP="00D37ECD">
      <w:pPr>
        <w:pStyle w:val="11"/>
        <w:rPr>
          <w:b w:val="0"/>
          <w:bCs w:val="0"/>
          <w:u w:val="none"/>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90DC9" w14:paraId="0D3D0438" w14:textId="77777777" w:rsidTr="00590DC9">
        <w:trPr>
          <w:trHeight w:val="355"/>
          <w:jc w:val="center"/>
        </w:trPr>
        <w:tc>
          <w:tcPr>
            <w:tcW w:w="8820" w:type="dxa"/>
            <w:tcBorders>
              <w:top w:val="nil"/>
              <w:left w:val="nil"/>
              <w:bottom w:val="nil"/>
              <w:right w:val="nil"/>
            </w:tcBorders>
            <w:shd w:val="clear" w:color="auto" w:fill="auto"/>
          </w:tcPr>
          <w:p w14:paraId="59726F77" w14:textId="77777777" w:rsidR="00222E94" w:rsidRPr="00222E94" w:rsidRDefault="00222E94" w:rsidP="00222E94">
            <w:pPr>
              <w:jc w:val="center"/>
              <w:rPr>
                <w:rFonts w:ascii="David" w:hAnsi="David"/>
                <w:b/>
                <w:bCs/>
                <w:sz w:val="32"/>
                <w:szCs w:val="32"/>
                <w:u w:val="single"/>
                <w:rtl/>
              </w:rPr>
            </w:pPr>
            <w:bookmarkStart w:id="5" w:name="PsakDin" w:colFirst="0" w:colLast="0"/>
            <w:bookmarkEnd w:id="0"/>
            <w:r w:rsidRPr="00222E94">
              <w:rPr>
                <w:rFonts w:ascii="David" w:hAnsi="David"/>
                <w:b/>
                <w:bCs/>
                <w:sz w:val="32"/>
                <w:szCs w:val="32"/>
                <w:u w:val="single"/>
                <w:rtl/>
              </w:rPr>
              <w:t>גזר דין</w:t>
            </w:r>
          </w:p>
          <w:p w14:paraId="162B1122" w14:textId="77777777" w:rsidR="00590DC9" w:rsidRPr="00222E94" w:rsidRDefault="00590DC9" w:rsidP="00222E94">
            <w:pPr>
              <w:jc w:val="center"/>
              <w:rPr>
                <w:rFonts w:ascii="David" w:hAnsi="David"/>
                <w:bCs/>
                <w:sz w:val="32"/>
                <w:szCs w:val="32"/>
                <w:u w:val="single"/>
                <w:rtl/>
              </w:rPr>
            </w:pPr>
          </w:p>
        </w:tc>
      </w:tr>
    </w:tbl>
    <w:bookmarkEnd w:id="5"/>
    <w:p w14:paraId="78D79B07" w14:textId="77777777" w:rsidR="00590DC9" w:rsidRDefault="00590DC9" w:rsidP="00590DC9">
      <w:pPr>
        <w:pStyle w:val="11"/>
      </w:pPr>
      <w:r>
        <w:rPr>
          <w:rtl/>
        </w:rPr>
        <w:t>רקע</w:t>
      </w:r>
      <w:bookmarkStart w:id="6" w:name="ABSTRACT_START"/>
      <w:bookmarkEnd w:id="6"/>
    </w:p>
    <w:p w14:paraId="02634EB6" w14:textId="77777777" w:rsidR="00590DC9" w:rsidRDefault="00590DC9" w:rsidP="00590DC9">
      <w:pPr>
        <w:pStyle w:val="a"/>
        <w:numPr>
          <w:ilvl w:val="1"/>
          <w:numId w:val="3"/>
        </w:numPr>
        <w:tabs>
          <w:tab w:val="num" w:pos="-58"/>
        </w:tabs>
        <w:ind w:left="651"/>
      </w:pPr>
      <w:r>
        <w:rPr>
          <w:rFonts w:hint="cs"/>
          <w:rtl/>
        </w:rPr>
        <w:t xml:space="preserve">הנאשם הורשע על פי הודאתו בכתב אישום מתוקן, המייחס לו עבירה של החזקת סמים שלא לצריכה עצמית, על פי </w:t>
      </w:r>
      <w:hyperlink r:id="rId20" w:history="1">
        <w:r w:rsidR="00D37ECD" w:rsidRPr="00D37ECD">
          <w:rPr>
            <w:rStyle w:val="Hyperlink"/>
            <w:rFonts w:hint="eastAsia"/>
            <w:color w:val="0000FF"/>
            <w:rtl/>
          </w:rPr>
          <w:t>סעיפים</w:t>
        </w:r>
        <w:r w:rsidR="00D37ECD" w:rsidRPr="00D37ECD">
          <w:rPr>
            <w:rStyle w:val="Hyperlink"/>
            <w:color w:val="0000FF"/>
            <w:rtl/>
          </w:rPr>
          <w:t xml:space="preserve"> 7(א)</w:t>
        </w:r>
      </w:hyperlink>
      <w:r>
        <w:rPr>
          <w:rFonts w:hint="cs"/>
          <w:rtl/>
        </w:rPr>
        <w:t xml:space="preserve"> ו-</w:t>
      </w:r>
      <w:hyperlink r:id="rId21" w:history="1">
        <w:r w:rsidR="00D37ECD" w:rsidRPr="00D37ECD">
          <w:rPr>
            <w:rStyle w:val="Hyperlink"/>
            <w:color w:val="0000FF"/>
            <w:rtl/>
          </w:rPr>
          <w:t>7(ג)</w:t>
        </w:r>
      </w:hyperlink>
      <w:r>
        <w:rPr>
          <w:rFonts w:hint="cs"/>
          <w:rtl/>
        </w:rPr>
        <w:t xml:space="preserve"> רישא ל</w:t>
      </w:r>
      <w:hyperlink r:id="rId22" w:history="1">
        <w:r w:rsidR="00222E94" w:rsidRPr="00222E94">
          <w:rPr>
            <w:color w:val="0000FF"/>
            <w:u w:val="single"/>
            <w:rtl/>
          </w:rPr>
          <w:t>פקודת הסמים המסוכנים</w:t>
        </w:r>
      </w:hyperlink>
      <w:r>
        <w:rPr>
          <w:rFonts w:hint="cs"/>
          <w:rtl/>
        </w:rPr>
        <w:t xml:space="preserve"> [נוסח חדש], תשל"ג-1973. (להלן: "</w:t>
      </w:r>
      <w:r>
        <w:rPr>
          <w:rFonts w:hint="cs"/>
          <w:b/>
          <w:bCs/>
          <w:rtl/>
        </w:rPr>
        <w:t>פקודת הסמים</w:t>
      </w:r>
      <w:bookmarkStart w:id="7" w:name="ABSTRACT_END"/>
      <w:bookmarkEnd w:id="7"/>
      <w:r>
        <w:rPr>
          <w:rFonts w:hint="cs"/>
          <w:rtl/>
        </w:rPr>
        <w:t>").</w:t>
      </w:r>
    </w:p>
    <w:p w14:paraId="36CF56A3" w14:textId="77777777" w:rsidR="00590DC9" w:rsidRDefault="00590DC9" w:rsidP="00590DC9">
      <w:pPr>
        <w:pStyle w:val="ab"/>
      </w:pPr>
      <w:r>
        <w:rPr>
          <w:rFonts w:hint="cs"/>
          <w:rtl/>
        </w:rPr>
        <w:t>על פי עובדות כתב האישום, החזיק הנאשם בשעות הלילה של יום 18.6.21 בחמש שקיות של סם מסוכן מסוג קנביס במשקל כולל של 5 ק"ג (להלן: "</w:t>
      </w:r>
      <w:r>
        <w:rPr>
          <w:rFonts w:hint="cs"/>
          <w:b/>
          <w:bCs/>
          <w:rtl/>
        </w:rPr>
        <w:t>הסם</w:t>
      </w:r>
      <w:r>
        <w:rPr>
          <w:rFonts w:hint="cs"/>
          <w:rtl/>
        </w:rPr>
        <w:t>"), בתוך במזוודה, בתחנה המרכזית בדימונה.</w:t>
      </w:r>
    </w:p>
    <w:p w14:paraId="4B3B7FBC" w14:textId="77777777" w:rsidR="00590DC9" w:rsidRDefault="00590DC9" w:rsidP="00590DC9">
      <w:pPr>
        <w:pStyle w:val="11"/>
        <w:rPr>
          <w:rtl/>
        </w:rPr>
      </w:pPr>
      <w:r>
        <w:rPr>
          <w:rtl/>
        </w:rPr>
        <w:t>תסקיר שירות המבחן</w:t>
      </w:r>
    </w:p>
    <w:p w14:paraId="44A03BF1" w14:textId="77777777" w:rsidR="00590DC9" w:rsidRDefault="00590DC9" w:rsidP="00590DC9">
      <w:pPr>
        <w:pStyle w:val="a"/>
        <w:numPr>
          <w:ilvl w:val="0"/>
          <w:numId w:val="3"/>
        </w:numPr>
        <w:rPr>
          <w:rtl/>
        </w:rPr>
      </w:pPr>
      <w:r>
        <w:rPr>
          <w:rFonts w:hint="cs"/>
          <w:rtl/>
        </w:rPr>
        <w:t>ביום 11.2.24, התקבל תסקיר לעונש מטעם שירות המבחן (להלן: "</w:t>
      </w:r>
      <w:r w:rsidRPr="004A0066">
        <w:rPr>
          <w:rFonts w:hint="cs"/>
          <w:b/>
          <w:bCs/>
          <w:rtl/>
        </w:rPr>
        <w:t>התסקיר</w:t>
      </w:r>
      <w:r>
        <w:rPr>
          <w:rFonts w:hint="cs"/>
          <w:rtl/>
        </w:rPr>
        <w:t>").</w:t>
      </w:r>
    </w:p>
    <w:p w14:paraId="522874ED" w14:textId="77777777" w:rsidR="00590DC9" w:rsidRDefault="00590DC9" w:rsidP="00590DC9">
      <w:pPr>
        <w:pStyle w:val="ab"/>
        <w:ind w:left="720" w:firstLine="0"/>
        <w:rPr>
          <w:rtl/>
        </w:rPr>
      </w:pPr>
      <w:r>
        <w:rPr>
          <w:rFonts w:hint="cs"/>
          <w:rtl/>
        </w:rPr>
        <w:t xml:space="preserve">בהתאם לתסקיר, הנאשם רווק בן 26 המתגורר בבאר-שבע, המתקיים מקצבת נכות מטעם  הביטוח הלאומי וזכאי לסל שיקום.  </w:t>
      </w:r>
    </w:p>
    <w:p w14:paraId="751A82E8" w14:textId="77777777" w:rsidR="00590DC9" w:rsidRDefault="00590DC9" w:rsidP="00590DC9">
      <w:pPr>
        <w:pStyle w:val="ab"/>
        <w:ind w:left="720" w:firstLine="0"/>
        <w:rPr>
          <w:rtl/>
        </w:rPr>
      </w:pPr>
      <w:r>
        <w:rPr>
          <w:rFonts w:hint="cs"/>
          <w:rtl/>
        </w:rPr>
        <w:lastRenderedPageBreak/>
        <w:t>הנאשם מאובחן עם הפרעות אישיות, הפרעות חרדה, קשיי קשב וריכוז, הפרעות תלויות דחק, הפרעת אכילה ו -</w:t>
      </w:r>
      <w:r>
        <w:t>OCD</w:t>
      </w:r>
      <w:r>
        <w:rPr>
          <w:rFonts w:hint="cs"/>
          <w:rtl/>
        </w:rPr>
        <w:t>.</w:t>
      </w:r>
    </w:p>
    <w:p w14:paraId="151D042E" w14:textId="77777777" w:rsidR="00590DC9" w:rsidRDefault="00590DC9" w:rsidP="00590DC9">
      <w:pPr>
        <w:pStyle w:val="ab"/>
        <w:ind w:left="720" w:firstLine="0"/>
        <w:rPr>
          <w:rtl/>
        </w:rPr>
      </w:pPr>
      <w:r>
        <w:rPr>
          <w:rFonts w:hint="cs"/>
          <w:rtl/>
        </w:rPr>
        <w:t>הנאשם ואחיו התאום הוצאו מביתם למרכז חירום בגיל 6 על רקע הזנחה הורית, ובהמשך שהו בפנימיות שונות עד גיל 18.</w:t>
      </w:r>
    </w:p>
    <w:p w14:paraId="153622F8" w14:textId="77777777" w:rsidR="00590DC9" w:rsidRDefault="00590DC9" w:rsidP="00590DC9">
      <w:pPr>
        <w:pStyle w:val="ab"/>
        <w:rPr>
          <w:rtl/>
        </w:rPr>
      </w:pPr>
      <w:r>
        <w:rPr>
          <w:rFonts w:hint="cs"/>
          <w:rtl/>
        </w:rPr>
        <w:t xml:space="preserve"> הנאשם סיים 12 שנות לימוד והוסמך למקצוע מכונאות רכבים. </w:t>
      </w:r>
    </w:p>
    <w:p w14:paraId="58E837CB" w14:textId="77777777" w:rsidR="00590DC9" w:rsidRDefault="00590DC9" w:rsidP="00590DC9">
      <w:pPr>
        <w:pStyle w:val="ab"/>
        <w:ind w:left="720"/>
        <w:rPr>
          <w:rtl/>
        </w:rPr>
      </w:pPr>
      <w:r>
        <w:rPr>
          <w:rFonts w:hint="cs"/>
          <w:rtl/>
        </w:rPr>
        <w:t>הנאשם שירת שירות צבאי מלא בבסיס המיועד לחיילי מקא"מ (קידום אוכלוסייה מיוחדת). במהלך שירותו, נפטר אבי הנאשם, ואירוע זה השפיע על הנאשם רבות. לאחר שחרורו מהצבא, התגורר הנאשם שנתיים בבאר-שבע ובהמשך עבר להתגורר עם אחיו הגדול באילת למשך של כשנה, עד למעצרו.</w:t>
      </w:r>
    </w:p>
    <w:p w14:paraId="5FB14D52" w14:textId="77777777" w:rsidR="00590DC9" w:rsidRDefault="00590DC9" w:rsidP="00590DC9">
      <w:pPr>
        <w:pStyle w:val="ab"/>
        <w:ind w:left="713"/>
        <w:rPr>
          <w:rtl/>
        </w:rPr>
      </w:pPr>
      <w:r>
        <w:rPr>
          <w:rFonts w:hint="cs"/>
          <w:rtl/>
        </w:rPr>
        <w:t>מנתונים אשר הועברו לשירות המבחן מהפנימייה האחרונה בה שהה הנאשם ("עדנים") במהלך השנים 2012-2016, עלה כי הנאשם תפקד ברמה שכלית נמוכה הנובעת מקשיי התפתחות ומקשיי קשב וריכוז, וכן כי אובחן כלוקה בפיגור שכלי עם פגימה מזערית בהתנהגות.</w:t>
      </w:r>
    </w:p>
    <w:p w14:paraId="2FF0362E" w14:textId="77777777" w:rsidR="00590DC9" w:rsidRDefault="00590DC9" w:rsidP="00590DC9">
      <w:pPr>
        <w:pStyle w:val="ab"/>
        <w:ind w:left="706"/>
        <w:rPr>
          <w:rtl/>
        </w:rPr>
      </w:pPr>
      <w:r>
        <w:rPr>
          <w:rFonts w:hint="cs"/>
          <w:rtl/>
        </w:rPr>
        <w:t>נמסר כי החל מחודש ספטמבר 23', מלווה הנאשם בידי עובדת סוציאלית מטעם עמותת "אנוש", בתדירות של מפגשים שבועיים, וכן עם מדריכת שיקום בתכיפות מפגשים דו-שבועית. צוין כי הנאשם מקפיד להתייצב לפגישות אלה ומגלה מוטיבציה רבה בתהליך השיקום.</w:t>
      </w:r>
    </w:p>
    <w:p w14:paraId="2D5B5210" w14:textId="77777777" w:rsidR="00590DC9" w:rsidRDefault="00590DC9" w:rsidP="00590DC9">
      <w:pPr>
        <w:pStyle w:val="ab"/>
        <w:ind w:left="699" w:firstLine="0"/>
        <w:rPr>
          <w:rtl/>
        </w:rPr>
      </w:pPr>
      <w:r>
        <w:rPr>
          <w:rFonts w:hint="cs"/>
          <w:rtl/>
        </w:rPr>
        <w:t>הנאשם שלל שימוש בחומרים משני תודעה. תוצאות בדיקות השתן שנערכו לנאשם תמכו בדבריו.</w:t>
      </w:r>
    </w:p>
    <w:p w14:paraId="2367F101" w14:textId="77777777" w:rsidR="00590DC9" w:rsidRDefault="00590DC9" w:rsidP="00590DC9">
      <w:pPr>
        <w:pStyle w:val="ab"/>
        <w:ind w:left="699"/>
        <w:rPr>
          <w:rtl/>
        </w:rPr>
      </w:pPr>
      <w:r>
        <w:rPr>
          <w:rFonts w:hint="cs"/>
          <w:rtl/>
        </w:rPr>
        <w:t>נמסר כי הנאשם נטל אך אחריות חלקית ביחס לעבירה בה הורשע - הנאשם טען כי קיבל לידיו את המזוודה בכדי להעבירה לאילת, תוך שידע כי מכילה סמים, אך לא קיבל על כך תשלום, ונמנע מלפרט מה עמד מאחורי הסכמתו לביצוע העבירה זולת תחושת ריגוש.</w:t>
      </w:r>
    </w:p>
    <w:p w14:paraId="659567E3" w14:textId="77777777" w:rsidR="00590DC9" w:rsidRDefault="00590DC9" w:rsidP="00590DC9">
      <w:pPr>
        <w:pStyle w:val="ab"/>
        <w:ind w:left="692"/>
        <w:rPr>
          <w:rtl/>
        </w:rPr>
      </w:pPr>
      <w:r>
        <w:rPr>
          <w:rFonts w:hint="cs"/>
          <w:rtl/>
        </w:rPr>
        <w:t>שירות המבחן ציין כי בשל הימנעות הנאשם להרחיב אודות הנסיבות הרגשיות שהובילו אותו לבצע את העבירה, הבנתם את הדינאמיקה העומדת בבסיס העבירה הינה מוגבלת, אך ההערכה היא כי ברקע התנהגות הנאשם עומדים דפוסי אישיותו, והצורך בריצוי חברתי, תחושת שייכות, וניסיון יצירת מעגלים חברתיים, גם במחיר של פגיעה אישית.</w:t>
      </w:r>
    </w:p>
    <w:p w14:paraId="2FBF55F8" w14:textId="77777777" w:rsidR="00590DC9" w:rsidRDefault="00590DC9" w:rsidP="00590DC9">
      <w:pPr>
        <w:pStyle w:val="ab"/>
        <w:ind w:left="685"/>
        <w:rPr>
          <w:rtl/>
        </w:rPr>
      </w:pPr>
      <w:r>
        <w:rPr>
          <w:rFonts w:hint="cs"/>
          <w:rtl/>
        </w:rPr>
        <w:t>להערכת השירות הנאשם התקשה לגבש זהותו במסגרת תהליך התפתחותו והתבגרותו ובשל כך עשוי לפעול בחוסר שיקול דעת ובהתנהגות המתאפיינת בנגררות מתוך רצון למצוא חן בעיני האחר.</w:t>
      </w:r>
    </w:p>
    <w:p w14:paraId="5A51D127" w14:textId="77777777" w:rsidR="00590DC9" w:rsidRDefault="00590DC9" w:rsidP="00590DC9">
      <w:pPr>
        <w:pStyle w:val="ab"/>
        <w:ind w:left="678"/>
        <w:rPr>
          <w:rtl/>
        </w:rPr>
      </w:pPr>
      <w:r>
        <w:rPr>
          <w:rFonts w:hint="cs"/>
          <w:b/>
          <w:bCs/>
          <w:rtl/>
        </w:rPr>
        <w:lastRenderedPageBreak/>
        <w:t>סיכוי לשיקום</w:t>
      </w:r>
      <w:r>
        <w:rPr>
          <w:rFonts w:hint="cs"/>
          <w:rtl/>
        </w:rPr>
        <w:t>: היעדר עבר פלילי לצד היות ההליך הפלילי גורם מרתיע ומציב גבול; שיתוף הפעולה עם שירות המבחן על אף קשיי הנאשם להיפתח; חרף נסיבות חייו המורכבות, המדובר במי שהשלים מסגרת חינוכית ושירות צבאי ומצליח לדאוג לצרכיו, והבעת מוטיבציה לניהול אורח חיים נורמטיבי בליווי גורמי טיפול ותמיכה רבים.</w:t>
      </w:r>
    </w:p>
    <w:p w14:paraId="0FD198A4" w14:textId="77777777" w:rsidR="00590DC9" w:rsidRDefault="00590DC9" w:rsidP="00590DC9">
      <w:pPr>
        <w:pStyle w:val="ab"/>
        <w:ind w:left="671"/>
        <w:rPr>
          <w:rtl/>
        </w:rPr>
      </w:pPr>
      <w:r>
        <w:rPr>
          <w:rFonts w:hint="cs"/>
          <w:b/>
          <w:bCs/>
          <w:rtl/>
        </w:rPr>
        <w:t>גורמי סיכון</w:t>
      </w:r>
      <w:r>
        <w:rPr>
          <w:rFonts w:hint="cs"/>
          <w:rtl/>
        </w:rPr>
        <w:t>: חומרת העבירה המיוחסת לנאשם ואופיה, קושי בזיהוי גורמי סיכון וחבירה לגורמים שוליים מתוך רצון לתחושת שייכות; מערכת פנימית מוחלשת ומאפייני התנהגות העלולים להביא את הנאשם לפעול בחוסר שיקול דעת ולהיגרר אחר אחרים.</w:t>
      </w:r>
    </w:p>
    <w:p w14:paraId="76D98C63" w14:textId="77777777" w:rsidR="00590DC9" w:rsidRDefault="00590DC9" w:rsidP="00590DC9">
      <w:pPr>
        <w:pStyle w:val="ab"/>
        <w:rPr>
          <w:rtl/>
        </w:rPr>
      </w:pPr>
      <w:r>
        <w:rPr>
          <w:rFonts w:hint="cs"/>
          <w:rtl/>
        </w:rPr>
        <w:t>הומלץ על ענישה של צו שירות לתועלת הציבור בהיקף של 180 שעות וצו מבחן, אשר במסגרתו יעקוב שירות המבחן אחר המשך טיפולו של הנאשם בעמותת "אנוש" תוך שימת דגש על שילובו בתעסוקה, מיצוי זכויות והרחבת המעגל החברתי.</w:t>
      </w:r>
    </w:p>
    <w:p w14:paraId="12EBB6BE" w14:textId="77777777" w:rsidR="00590DC9" w:rsidRDefault="00590DC9" w:rsidP="00590DC9">
      <w:pPr>
        <w:pStyle w:val="11"/>
        <w:rPr>
          <w:rtl/>
        </w:rPr>
      </w:pPr>
      <w:r>
        <w:rPr>
          <w:rtl/>
        </w:rPr>
        <w:t>טיעונים לעונש</w:t>
      </w:r>
    </w:p>
    <w:p w14:paraId="77CE4567" w14:textId="77777777" w:rsidR="00590DC9" w:rsidRDefault="00590DC9" w:rsidP="00590DC9">
      <w:pPr>
        <w:pStyle w:val="a"/>
        <w:numPr>
          <w:ilvl w:val="0"/>
          <w:numId w:val="3"/>
        </w:numPr>
      </w:pPr>
      <w:r>
        <w:rPr>
          <w:rFonts w:hint="cs"/>
          <w:rtl/>
        </w:rPr>
        <w:t>בדיון שנערך ביום 11.2.24, הגישה המאשימה תמונות הסמים שנתפסו (</w:t>
      </w:r>
      <w:r>
        <w:rPr>
          <w:rFonts w:hint="cs"/>
          <w:b/>
          <w:bCs/>
          <w:rtl/>
        </w:rPr>
        <w:t>ת/1</w:t>
      </w:r>
      <w:r>
        <w:rPr>
          <w:rFonts w:hint="cs"/>
          <w:rtl/>
        </w:rPr>
        <w:t>) וטיעונים לעונש בכתב (</w:t>
      </w:r>
      <w:r>
        <w:rPr>
          <w:rFonts w:hint="cs"/>
          <w:b/>
          <w:bCs/>
          <w:rtl/>
        </w:rPr>
        <w:t>ת/2</w:t>
      </w:r>
      <w:r>
        <w:rPr>
          <w:rFonts w:hint="cs"/>
          <w:rtl/>
        </w:rPr>
        <w:t>). ב"כ הנאשם הגישה דוח ממנהלת קהילה תומכת "בית גיא" (</w:t>
      </w:r>
      <w:r>
        <w:rPr>
          <w:rFonts w:hint="cs"/>
          <w:b/>
          <w:bCs/>
          <w:rtl/>
        </w:rPr>
        <w:t>נ/1</w:t>
      </w:r>
      <w:r>
        <w:rPr>
          <w:rFonts w:hint="cs"/>
          <w:rtl/>
        </w:rPr>
        <w:t>); דוח מטעם "שלו" (</w:t>
      </w:r>
      <w:r>
        <w:rPr>
          <w:rFonts w:hint="cs"/>
          <w:b/>
          <w:bCs/>
          <w:rtl/>
        </w:rPr>
        <w:t>נ/2</w:t>
      </w:r>
      <w:r>
        <w:rPr>
          <w:rFonts w:hint="cs"/>
          <w:rtl/>
        </w:rPr>
        <w:t>); אסופת מסמכים מהמוסד לביטוח לאומי (</w:t>
      </w:r>
      <w:r>
        <w:rPr>
          <w:rFonts w:hint="cs"/>
          <w:b/>
          <w:bCs/>
          <w:rtl/>
        </w:rPr>
        <w:t>נ/3</w:t>
      </w:r>
      <w:r>
        <w:rPr>
          <w:rFonts w:hint="cs"/>
          <w:rtl/>
        </w:rPr>
        <w:t>); דוח מטעם פנימיית "עדנים" (</w:t>
      </w:r>
      <w:r>
        <w:rPr>
          <w:rFonts w:hint="cs"/>
          <w:b/>
          <w:bCs/>
          <w:rtl/>
        </w:rPr>
        <w:t>נ/4</w:t>
      </w:r>
      <w:r>
        <w:rPr>
          <w:rFonts w:hint="cs"/>
          <w:rtl/>
        </w:rPr>
        <w:t>). בנוסף, העידו לטובת הנאשם שתי עובדות סוציאליות מטעם עמותת "אנוש", הגב' יובל פינצבסקי (להלן: "</w:t>
      </w:r>
      <w:r>
        <w:rPr>
          <w:rFonts w:hint="cs"/>
          <w:b/>
          <w:bCs/>
          <w:rtl/>
        </w:rPr>
        <w:t>יובל</w:t>
      </w:r>
      <w:r>
        <w:rPr>
          <w:rFonts w:hint="cs"/>
          <w:rtl/>
        </w:rPr>
        <w:t>") והגב' אורטל פייביש (להלן: "</w:t>
      </w:r>
      <w:r>
        <w:rPr>
          <w:rFonts w:hint="cs"/>
          <w:b/>
          <w:bCs/>
          <w:rtl/>
        </w:rPr>
        <w:t>אורטל</w:t>
      </w:r>
      <w:r>
        <w:rPr>
          <w:rFonts w:hint="cs"/>
          <w:rtl/>
        </w:rPr>
        <w:t>").</w:t>
      </w:r>
    </w:p>
    <w:p w14:paraId="3F496AF7" w14:textId="77777777" w:rsidR="00590DC9" w:rsidRDefault="00590DC9" w:rsidP="00590DC9">
      <w:pPr>
        <w:pStyle w:val="ab"/>
        <w:ind w:left="720"/>
        <w:rPr>
          <w:rtl/>
        </w:rPr>
      </w:pPr>
      <w:r>
        <w:rPr>
          <w:rFonts w:hint="cs"/>
          <w:b/>
          <w:bCs/>
          <w:rtl/>
        </w:rPr>
        <w:t>יובל</w:t>
      </w:r>
      <w:r>
        <w:rPr>
          <w:rFonts w:hint="cs"/>
          <w:rtl/>
        </w:rPr>
        <w:t xml:space="preserve"> מסרה בעדותה כי ליוותה את הנאשם החל מחודש דצמבר 22' ועד אוגוסט 23', כשהגיע הנאשם מחלופת מעצר "בית גיא" וביקש לעבור לדיור עצמאי בקהילה. יובל הסיקה משיחותיה עם הנאשם כי הוא מצטער על ביצוע העבירה, נוטל אחריות על ביצועה ומבין את משמעות המעשים. עוד מסרה כי הנאשם בעל רמה קוגנטיבית נמוכה, מתמודד עם קשיים בירוקרטיים ונעזר בצוות הטיפול. יובל ציינה כי לנאשם מוטיבציה גבוהה מאוד ביחס לעתידו ושאיפותיו.</w:t>
      </w:r>
    </w:p>
    <w:p w14:paraId="7E996AF5" w14:textId="77777777" w:rsidR="00590DC9" w:rsidRDefault="00590DC9" w:rsidP="00590DC9">
      <w:pPr>
        <w:pStyle w:val="ab"/>
        <w:ind w:left="713"/>
        <w:rPr>
          <w:rtl/>
        </w:rPr>
      </w:pPr>
      <w:r>
        <w:rPr>
          <w:rFonts w:hint="cs"/>
          <w:b/>
          <w:bCs/>
          <w:rtl/>
        </w:rPr>
        <w:t>אורטל</w:t>
      </w:r>
      <w:r>
        <w:rPr>
          <w:rFonts w:hint="cs"/>
          <w:rtl/>
        </w:rPr>
        <w:t xml:space="preserve"> העידה כי היא מלווה את הנאשם החל מחודש ספטמבר 23'. העדה הדגישה כי לנאשם מוטיבציה גבוהה מאוד לצלוח ההליך השיקומי . אורטל מסרה כי הנאשם מתמיד בפגישותיו הן עימה והן עם מדריכה נוספת. גם עדה זו התרשמה מכך שהנאשם מכיר בעבירה שעשה, מצטער עליה ומבין את החומרה שבמעשה. עוד הוסיפה העדה כי משפחת הנאשם לא מעורבת בהליך השיקומי, עימו מתמודד הנאשם לבדו.</w:t>
      </w:r>
    </w:p>
    <w:p w14:paraId="5EA9220D" w14:textId="77777777" w:rsidR="00590DC9" w:rsidRDefault="00590DC9" w:rsidP="00590DC9">
      <w:pPr>
        <w:pStyle w:val="a"/>
        <w:numPr>
          <w:ilvl w:val="0"/>
          <w:numId w:val="0"/>
        </w:numPr>
        <w:ind w:left="706"/>
        <w:rPr>
          <w:rtl/>
        </w:rPr>
      </w:pPr>
      <w:r>
        <w:rPr>
          <w:rFonts w:hint="cs"/>
          <w:b/>
          <w:bCs/>
          <w:rtl/>
        </w:rPr>
        <w:t>ב"כ המאשימה</w:t>
      </w:r>
      <w:r>
        <w:rPr>
          <w:rFonts w:hint="cs"/>
          <w:rtl/>
        </w:rPr>
        <w:t xml:space="preserve"> הפנתה לערכים המוגנים שנפגעו – הגנה על שלום הציבור במובן הרחב מפני נגע הסם אשר מחולל פשיעה רבגונית, והגנה על גופם  ושלומם של צרכני הסמים עצמם. </w:t>
      </w:r>
    </w:p>
    <w:p w14:paraId="198C400A" w14:textId="77777777" w:rsidR="00590DC9" w:rsidRDefault="00590DC9" w:rsidP="00590DC9">
      <w:pPr>
        <w:pStyle w:val="a"/>
        <w:numPr>
          <w:ilvl w:val="0"/>
          <w:numId w:val="0"/>
        </w:numPr>
        <w:ind w:left="706"/>
        <w:rPr>
          <w:b/>
          <w:bCs/>
          <w:rtl/>
        </w:rPr>
      </w:pPr>
      <w:r>
        <w:rPr>
          <w:rFonts w:hint="cs"/>
          <w:b/>
          <w:bCs/>
          <w:rtl/>
        </w:rPr>
        <w:t>נטען כי נוכח סוג הסם, כמותו ונסיבות החזקתו, מידת הפגיעה ערכים הינה ברמה משמעותית מאוד וכי על מתחם העונש ההולם לנוע בין 14 ל-30 חודשי מאסר בפועל.</w:t>
      </w:r>
    </w:p>
    <w:p w14:paraId="34818804" w14:textId="77777777" w:rsidR="00590DC9" w:rsidRDefault="00590DC9" w:rsidP="00590DC9">
      <w:pPr>
        <w:pStyle w:val="ab"/>
        <w:spacing w:before="240"/>
        <w:ind w:left="706"/>
        <w:rPr>
          <w:rtl/>
        </w:rPr>
      </w:pPr>
      <w:r>
        <w:rPr>
          <w:rFonts w:hint="cs"/>
          <w:rtl/>
        </w:rPr>
        <w:t xml:space="preserve">ב"כ המאשימה הפנתה לעברו הפלילי הנקי של הנאשם, ולהודאתו במיוחס לו, ובשקלול האמור, עתרה לקביעת עונשו של הנאשם </w:t>
      </w:r>
      <w:r>
        <w:rPr>
          <w:rFonts w:hint="cs"/>
          <w:u w:val="single"/>
          <w:rtl/>
        </w:rPr>
        <w:t>ברף הנמוך</w:t>
      </w:r>
      <w:r>
        <w:rPr>
          <w:rFonts w:hint="cs"/>
          <w:rtl/>
        </w:rPr>
        <w:t xml:space="preserve"> של מתחם הענישה (אך לא בתחתית). לצד עונש זה, עתרה ב"כ המאשימה להטלת מאסר מותנה ארוך ומשמעותי, פסילת רישיון נהיגה על תנאי, קנס משמעותי והתחייבות.</w:t>
      </w:r>
    </w:p>
    <w:p w14:paraId="684BC6C2" w14:textId="77777777" w:rsidR="00590DC9" w:rsidRDefault="00590DC9" w:rsidP="00590DC9">
      <w:pPr>
        <w:pStyle w:val="a"/>
        <w:numPr>
          <w:ilvl w:val="0"/>
          <w:numId w:val="3"/>
        </w:numPr>
        <w:rPr>
          <w:rtl/>
        </w:rPr>
      </w:pPr>
      <w:r>
        <w:rPr>
          <w:rFonts w:hint="cs"/>
          <w:b/>
          <w:bCs/>
          <w:rtl/>
        </w:rPr>
        <w:t xml:space="preserve">ב"כ הנאשם </w:t>
      </w:r>
      <w:r>
        <w:rPr>
          <w:rFonts w:hint="cs"/>
          <w:rtl/>
        </w:rPr>
        <w:t xml:space="preserve">עמדה על הודאת הנאשם, על נטילת אחריות על מעשיו, ועל חלוף הזמן מביצוע העבירה. </w:t>
      </w:r>
    </w:p>
    <w:p w14:paraId="3E15015B" w14:textId="77777777" w:rsidR="00590DC9" w:rsidRDefault="00590DC9" w:rsidP="00590DC9">
      <w:pPr>
        <w:pStyle w:val="ab"/>
        <w:ind w:left="720"/>
        <w:rPr>
          <w:rtl/>
        </w:rPr>
      </w:pPr>
      <w:r>
        <w:rPr>
          <w:rFonts w:eastAsia="David" w:hint="cs"/>
          <w:rtl/>
        </w:rPr>
        <w:t xml:space="preserve">נטען </w:t>
      </w:r>
      <w:r>
        <w:rPr>
          <w:rFonts w:hint="cs"/>
          <w:rtl/>
        </w:rPr>
        <w:t>כי בנסיבות ביצוע העבירה על מתחם העונש להתחיל במספר חודשי מאסר בדרך של עבודות שירות , וכי בשל קרבה לסייג  נוכח נתוני הנאשם, יש מקום לקבוע במקרה זה מתחם נמוך עוד יותר, שאף ממנו יש מקום לסטות משיקולי שיקום.</w:t>
      </w:r>
    </w:p>
    <w:p w14:paraId="46E1C3B8" w14:textId="77777777" w:rsidR="00590DC9" w:rsidRDefault="00590DC9" w:rsidP="00590DC9">
      <w:pPr>
        <w:pStyle w:val="ab"/>
        <w:ind w:left="713"/>
        <w:rPr>
          <w:rtl/>
        </w:rPr>
      </w:pPr>
      <w:r>
        <w:rPr>
          <w:rFonts w:hint="cs"/>
          <w:rtl/>
        </w:rPr>
        <w:t>ב"כ הנאשם הפנתה לנסיבות חייו המורכבות של הנאשם, כפי שעלו מהתסקיר ומהמסמכים אשר הוגשו, בדגש על מצבו הקוגניטיבי של הנאשם, אשר חרף קשייו השלים שירות צבאי ועבד במסגרת שיקומית.</w:t>
      </w:r>
    </w:p>
    <w:p w14:paraId="5E1E4481" w14:textId="77777777" w:rsidR="00590DC9" w:rsidRDefault="00590DC9" w:rsidP="00590DC9">
      <w:pPr>
        <w:pStyle w:val="ab"/>
        <w:ind w:left="706"/>
        <w:rPr>
          <w:rtl/>
        </w:rPr>
      </w:pPr>
      <w:r>
        <w:rPr>
          <w:rFonts w:hint="cs"/>
          <w:rtl/>
        </w:rPr>
        <w:t>ב"כ הנאשם הפנתה להשתלבות הנאשם במסגרת הליך המעצר בהוסטל שיקומי "בית גיא", וזאת, לאחר מעצר של חודשיים מאחורי סורג ובריח שהיו קשים לו מאוד. צוין על ידה כי הנאשם עבד תחילה 3 ימים בשבוע במסגרת ההוסטל במפעל מוגן, ובהמשך, נקלט לעבודה בסידור וליקוט מוצרים. עוד צוין כי נוכח התקדמותו של הנאשם, הוא הועבר להמשך טיפול תחת עמותת "אנוש" והפנתה לדברי העובדות הסוציאליות שבעמותה – יובל ואורטל.</w:t>
      </w:r>
    </w:p>
    <w:p w14:paraId="4A3700D3" w14:textId="77777777" w:rsidR="00590DC9" w:rsidRDefault="00590DC9" w:rsidP="00590DC9">
      <w:pPr>
        <w:pStyle w:val="ab"/>
        <w:rPr>
          <w:rtl/>
        </w:rPr>
      </w:pPr>
      <w:r>
        <w:rPr>
          <w:rFonts w:hint="cs"/>
          <w:rtl/>
        </w:rPr>
        <w:t>ב"כ הנאשם עתרה להיעתר להמלצתו העונשית שיקומית של שירות המבחן.</w:t>
      </w:r>
    </w:p>
    <w:p w14:paraId="3B277113" w14:textId="77777777" w:rsidR="00590DC9" w:rsidRDefault="00590DC9" w:rsidP="00590DC9">
      <w:pPr>
        <w:pStyle w:val="a"/>
        <w:numPr>
          <w:ilvl w:val="0"/>
          <w:numId w:val="3"/>
        </w:numPr>
        <w:tabs>
          <w:tab w:val="clear" w:pos="1440"/>
        </w:tabs>
        <w:rPr>
          <w:rtl/>
        </w:rPr>
      </w:pPr>
      <w:r>
        <w:rPr>
          <w:rFonts w:hint="cs"/>
          <w:rtl/>
        </w:rPr>
        <w:t>ב"כ הצדדים הפנו לפסיקה אשר תומכת לשיטתם בעתירתם העונשית.</w:t>
      </w:r>
    </w:p>
    <w:p w14:paraId="7329B83F" w14:textId="77777777" w:rsidR="00590DC9" w:rsidRDefault="00590DC9" w:rsidP="00590DC9">
      <w:pPr>
        <w:pStyle w:val="a"/>
        <w:numPr>
          <w:ilvl w:val="0"/>
          <w:numId w:val="3"/>
        </w:numPr>
        <w:rPr>
          <w:rtl/>
        </w:rPr>
      </w:pPr>
      <w:r>
        <w:rPr>
          <w:rFonts w:hint="cs"/>
          <w:rtl/>
        </w:rPr>
        <w:t xml:space="preserve">בדבריו האחרונים, מסר </w:t>
      </w:r>
      <w:r>
        <w:rPr>
          <w:rFonts w:hint="cs"/>
          <w:b/>
          <w:bCs/>
          <w:rtl/>
        </w:rPr>
        <w:t>הנאשם</w:t>
      </w:r>
      <w:r>
        <w:rPr>
          <w:rFonts w:hint="cs"/>
          <w:rtl/>
        </w:rPr>
        <w:t>:</w:t>
      </w:r>
    </w:p>
    <w:p w14:paraId="228E3AA1" w14:textId="77777777" w:rsidR="00590DC9" w:rsidRDefault="00590DC9" w:rsidP="00590DC9">
      <w:pPr>
        <w:pStyle w:val="ad"/>
        <w:rPr>
          <w:rtl/>
        </w:rPr>
      </w:pPr>
      <w:r>
        <w:rPr>
          <w:rFonts w:hint="cs"/>
          <w:rtl/>
        </w:rPr>
        <w:t>"אני כן מודה במה שעשיתי ולוקח אחריות"</w:t>
      </w:r>
    </w:p>
    <w:p w14:paraId="456C0223" w14:textId="77777777" w:rsidR="00590DC9" w:rsidRDefault="00590DC9" w:rsidP="00590DC9">
      <w:pPr>
        <w:pStyle w:val="11"/>
        <w:rPr>
          <w:rtl/>
        </w:rPr>
      </w:pPr>
      <w:r>
        <w:rPr>
          <w:rtl/>
        </w:rPr>
        <w:t>מתחם העונש ההולם</w:t>
      </w:r>
    </w:p>
    <w:p w14:paraId="5B9AD5C6" w14:textId="77777777" w:rsidR="00590DC9" w:rsidRDefault="00590DC9" w:rsidP="00590DC9">
      <w:pPr>
        <w:pStyle w:val="a"/>
        <w:numPr>
          <w:ilvl w:val="0"/>
          <w:numId w:val="3"/>
        </w:numPr>
        <w:rPr>
          <w:rtl/>
        </w:rPr>
      </w:pPr>
      <w:bookmarkStart w:id="8" w:name="_Hlk157318527"/>
      <w:r>
        <w:rPr>
          <w:rFonts w:hint="cs"/>
          <w:rtl/>
        </w:rPr>
        <w:t xml:space="preserve">מתחם העונש ייקבע בהתאם לעקרון ההלימה תוך מתן משקל </w:t>
      </w:r>
      <w:r>
        <w:rPr>
          <w:rFonts w:hint="cs"/>
          <w:b/>
          <w:bCs/>
          <w:rtl/>
        </w:rPr>
        <w:t>לערכים החברתיים</w:t>
      </w:r>
      <w:r>
        <w:rPr>
          <w:rFonts w:hint="cs"/>
          <w:rtl/>
        </w:rPr>
        <w:t xml:space="preserve"> שנפגעו מביצוע העבירות, </w:t>
      </w:r>
      <w:r>
        <w:rPr>
          <w:rFonts w:hint="cs"/>
          <w:b/>
          <w:bCs/>
          <w:rtl/>
        </w:rPr>
        <w:t xml:space="preserve">למידת הפגיעה </w:t>
      </w:r>
      <w:r>
        <w:rPr>
          <w:rFonts w:hint="cs"/>
          <w:rtl/>
        </w:rPr>
        <w:t xml:space="preserve">בהם </w:t>
      </w:r>
      <w:r>
        <w:rPr>
          <w:rFonts w:hint="cs"/>
          <w:b/>
          <w:bCs/>
          <w:rtl/>
        </w:rPr>
        <w:t>ולמדיניות הענישה</w:t>
      </w:r>
      <w:r>
        <w:rPr>
          <w:rFonts w:hint="cs"/>
          <w:rtl/>
        </w:rPr>
        <w:t xml:space="preserve"> הנהוגה, והכל </w:t>
      </w:r>
      <w:r>
        <w:rPr>
          <w:rFonts w:hint="cs"/>
          <w:b/>
          <w:bCs/>
          <w:rtl/>
        </w:rPr>
        <w:t xml:space="preserve">בנסיבות הקשורות בביצוע העבירה </w:t>
      </w:r>
      <w:r>
        <w:rPr>
          <w:rFonts w:hint="cs"/>
          <w:rtl/>
        </w:rPr>
        <w:t>(</w:t>
      </w:r>
      <w:hyperlink r:id="rId23" w:history="1">
        <w:r w:rsidR="00D37ECD" w:rsidRPr="00D37ECD">
          <w:rPr>
            <w:rStyle w:val="Hyperlink"/>
            <w:rFonts w:hint="eastAsia"/>
            <w:color w:val="0000FF"/>
            <w:rtl/>
          </w:rPr>
          <w:t>סעיף</w:t>
        </w:r>
        <w:r w:rsidR="00D37ECD" w:rsidRPr="00D37ECD">
          <w:rPr>
            <w:rStyle w:val="Hyperlink"/>
            <w:color w:val="0000FF"/>
            <w:rtl/>
          </w:rPr>
          <w:t xml:space="preserve"> 40ג(א)</w:t>
        </w:r>
      </w:hyperlink>
      <w:r>
        <w:rPr>
          <w:rFonts w:hint="cs"/>
          <w:rtl/>
        </w:rPr>
        <w:t xml:space="preserve"> ל</w:t>
      </w:r>
      <w:hyperlink r:id="rId24" w:history="1">
        <w:r w:rsidR="00222E94" w:rsidRPr="00222E94">
          <w:rPr>
            <w:color w:val="0000FF"/>
            <w:u w:val="single"/>
            <w:rtl/>
          </w:rPr>
          <w:t>חוק העונשין</w:t>
        </w:r>
      </w:hyperlink>
      <w:r>
        <w:rPr>
          <w:rFonts w:hint="cs"/>
          <w:rtl/>
        </w:rPr>
        <w:t>).</w:t>
      </w:r>
    </w:p>
    <w:bookmarkEnd w:id="8"/>
    <w:p w14:paraId="5E07FDB2" w14:textId="77777777" w:rsidR="00590DC9" w:rsidRDefault="00590DC9" w:rsidP="00590DC9">
      <w:pPr>
        <w:pStyle w:val="ab"/>
        <w:ind w:left="720"/>
      </w:pPr>
      <w:r>
        <w:rPr>
          <w:rFonts w:hint="cs"/>
          <w:rtl/>
        </w:rPr>
        <w:t>עיקרון ההלימה הינו העיקרון המנחה בענישה – קיומו של יחס הולם בין חומרת מעשה העבירה בנסיבותיו ומידת אשמה של הנאשם ובין סוג ומידת העונש המוטל עליו (</w:t>
      </w:r>
      <w:hyperlink r:id="rId25" w:history="1">
        <w:r w:rsidR="00D37ECD" w:rsidRPr="00D37ECD">
          <w:rPr>
            <w:rStyle w:val="Hyperlink"/>
            <w:rFonts w:hint="eastAsia"/>
            <w:color w:val="0000FF"/>
            <w:rtl/>
          </w:rPr>
          <w:t>סעיף</w:t>
        </w:r>
        <w:r w:rsidR="00D37ECD" w:rsidRPr="00D37ECD">
          <w:rPr>
            <w:rStyle w:val="Hyperlink"/>
            <w:color w:val="0000FF"/>
            <w:rtl/>
          </w:rPr>
          <w:t xml:space="preserve"> 40ב</w:t>
        </w:r>
      </w:hyperlink>
      <w:r>
        <w:rPr>
          <w:rFonts w:hint="cs"/>
          <w:rtl/>
        </w:rPr>
        <w:t xml:space="preserve"> ל</w:t>
      </w:r>
      <w:hyperlink r:id="rId26" w:history="1">
        <w:r w:rsidR="00222E94" w:rsidRPr="00222E94">
          <w:rPr>
            <w:color w:val="0000FF"/>
            <w:u w:val="single"/>
            <w:rtl/>
          </w:rPr>
          <w:t>חוק העונשין</w:t>
        </w:r>
      </w:hyperlink>
      <w:r>
        <w:rPr>
          <w:rFonts w:hint="cs"/>
          <w:rtl/>
        </w:rPr>
        <w:t>).</w:t>
      </w:r>
    </w:p>
    <w:p w14:paraId="739C7DA9" w14:textId="77777777" w:rsidR="00590DC9" w:rsidRDefault="00590DC9" w:rsidP="00590DC9">
      <w:pPr>
        <w:pStyle w:val="a"/>
        <w:numPr>
          <w:ilvl w:val="0"/>
          <w:numId w:val="3"/>
        </w:numPr>
        <w:rPr>
          <w:rtl/>
        </w:rPr>
      </w:pPr>
      <w:r>
        <w:rPr>
          <w:rFonts w:hint="cs"/>
          <w:rtl/>
        </w:rPr>
        <w:t xml:space="preserve">הערכים החברתיים שפקודת הסמים מבקשת להגן עליהם הם שמירה על בריאות הציבור ובטחונו מפני נגע הסמים והנזקים החברתיים, הכלכליים והגופניים אשר נגרמים בעטיו. זאת, גם בבחינת נזקים ישירים למשתמשים עצמם וגם נזקים עקיפים אשר נגרמים לציבור בכללותו, למשל בדמות עבירות רכוש אותן עוברים חלק לא מבוטל מהמכורים לסמים. </w:t>
      </w:r>
    </w:p>
    <w:p w14:paraId="558DC117" w14:textId="77777777" w:rsidR="00590DC9" w:rsidRDefault="00590DC9" w:rsidP="00590DC9">
      <w:pPr>
        <w:pStyle w:val="ab"/>
        <w:ind w:left="720"/>
        <w:rPr>
          <w:rtl/>
        </w:rPr>
      </w:pPr>
      <w:r>
        <w:rPr>
          <w:rFonts w:hint="cs"/>
          <w:rtl/>
        </w:rPr>
        <w:t>במעשיו, פגע הנאשם פגיעה ממשית בערכים המוגנים, בהיותו גורם המחזיק סמים מחולקים במשקל רב, שלא לצריכתו העצמית, בתוך מזוודה אשר נתפסה עליו בתחנה מרכזית , דבר המעיד על שינוע הסם.</w:t>
      </w:r>
    </w:p>
    <w:p w14:paraId="3A358392" w14:textId="77777777" w:rsidR="00590DC9" w:rsidRDefault="00590DC9" w:rsidP="00590DC9">
      <w:pPr>
        <w:pStyle w:val="ab"/>
        <w:ind w:firstLine="0"/>
        <w:rPr>
          <w:rtl/>
        </w:rPr>
      </w:pPr>
      <w:r>
        <w:rPr>
          <w:rFonts w:hint="cs"/>
          <w:rtl/>
        </w:rPr>
        <w:t xml:space="preserve">ר' בעניין זה </w:t>
      </w:r>
      <w:hyperlink r:id="rId27" w:history="1">
        <w:r w:rsidR="00222E94" w:rsidRPr="00222E94">
          <w:rPr>
            <w:color w:val="0000FF"/>
            <w:u w:val="single"/>
            <w:rtl/>
          </w:rPr>
          <w:t>ע"פ 1345/08</w:t>
        </w:r>
      </w:hyperlink>
      <w:r>
        <w:rPr>
          <w:rFonts w:hint="cs"/>
          <w:rtl/>
        </w:rPr>
        <w:t xml:space="preserve"> </w:t>
      </w:r>
      <w:r>
        <w:rPr>
          <w:rFonts w:hint="cs"/>
          <w:b/>
          <w:bCs/>
          <w:rtl/>
        </w:rPr>
        <w:t>ארקדי איסטחרוב נ' מדינת ישראל</w:t>
      </w:r>
      <w:r>
        <w:rPr>
          <w:rFonts w:hint="cs"/>
          <w:rtl/>
        </w:rPr>
        <w:t xml:space="preserve"> (נבו 18.05.2009)‏‏:</w:t>
      </w:r>
    </w:p>
    <w:p w14:paraId="32054750" w14:textId="77777777" w:rsidR="00590DC9" w:rsidRDefault="00590DC9" w:rsidP="00590DC9">
      <w:pPr>
        <w:pStyle w:val="ad"/>
        <w:rPr>
          <w:rtl/>
        </w:rPr>
      </w:pPr>
      <w:r>
        <w:rPr>
          <w:rFonts w:hint="cs"/>
          <w:rtl/>
        </w:rPr>
        <w:t xml:space="preserve">"אין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w:t>
      </w:r>
      <w:r>
        <w:rPr>
          <w:rFonts w:hint="cs"/>
          <w:u w:val="single"/>
          <w:rtl/>
        </w:rPr>
        <w:t>עבירה זו היא תאומתה הסטטוטורית של עבירת הסחר בסמים</w:t>
      </w:r>
      <w:r>
        <w:rPr>
          <w:rFonts w:hint="cs"/>
          <w:rtl/>
        </w:rPr>
        <w:t>, אלא שלא ניתן להוכיח לגביה את הסחר עצמו, ונקבע לשתיהן עונשה זהה, עונש מירבי של עשרים שנות מאסר וקנס פי עשרים וחמישה מזה הקבוע בסעיף 61(א)(4) ל</w:t>
      </w:r>
      <w:hyperlink r:id="rId28" w:history="1">
        <w:r w:rsidR="00222E94" w:rsidRPr="00222E94">
          <w:rPr>
            <w:color w:val="0000FF"/>
            <w:u w:val="single"/>
            <w:rtl/>
          </w:rPr>
          <w:t>חוק העונשין</w:t>
        </w:r>
      </w:hyperlink>
      <w:r>
        <w:rPr>
          <w:rFonts w:hint="cs"/>
          <w:rtl/>
        </w:rPr>
        <w:t>"</w:t>
      </w:r>
    </w:p>
    <w:p w14:paraId="0F8DA8A6" w14:textId="77777777" w:rsidR="00590DC9" w:rsidRDefault="00590DC9" w:rsidP="00590DC9">
      <w:pPr>
        <w:pStyle w:val="a"/>
        <w:numPr>
          <w:ilvl w:val="0"/>
          <w:numId w:val="0"/>
        </w:numPr>
        <w:ind w:left="651"/>
        <w:rPr>
          <w:rtl/>
        </w:rPr>
      </w:pPr>
      <w:r>
        <w:rPr>
          <w:rFonts w:hint="cs"/>
          <w:rtl/>
        </w:rPr>
        <w:t>וכן ב</w:t>
      </w:r>
      <w:hyperlink r:id="rId29" w:history="1">
        <w:r w:rsidR="00222E94" w:rsidRPr="00222E94">
          <w:rPr>
            <w:color w:val="0000FF"/>
            <w:u w:val="single"/>
            <w:rtl/>
          </w:rPr>
          <w:t>ע"פ 6990/13</w:t>
        </w:r>
      </w:hyperlink>
      <w:r>
        <w:rPr>
          <w:rFonts w:hint="cs"/>
          <w:rtl/>
        </w:rPr>
        <w:t xml:space="preserve"> </w:t>
      </w:r>
      <w:r>
        <w:rPr>
          <w:rFonts w:hint="cs"/>
          <w:b/>
          <w:bCs/>
          <w:rtl/>
        </w:rPr>
        <w:t>מוסא ח'טיב נ' מדינת ישראל</w:t>
      </w:r>
      <w:r>
        <w:rPr>
          <w:rFonts w:hint="cs"/>
          <w:rtl/>
        </w:rPr>
        <w:t xml:space="preserve"> (נבו 24.02.2014) </w:t>
      </w:r>
    </w:p>
    <w:p w14:paraId="488BA0F3" w14:textId="77777777" w:rsidR="00590DC9" w:rsidRDefault="00590DC9" w:rsidP="00590DC9">
      <w:pPr>
        <w:pStyle w:val="ad"/>
        <w:rPr>
          <w:rtl/>
        </w:rPr>
      </w:pPr>
      <w:r>
        <w:rPr>
          <w:rFonts w:hint="cs"/>
          <w:rtl/>
        </w:rPr>
        <w:t>"קשה להגזים בהערכת הנזק הנגרם מייצור, הפצה, סחר ושימוש בסמים. נזק ממוני, גופני ונפשי, המקיף את החברה בכללותה, ואיננו נעצר במשתמש או במעורבים הישירים בביצוע העבירות: "לעולם נזכור עבירת סמים מה היא, ומה הם ערכי-החברה שאנו נדרשים להגן עליהם. מעבר מזה עומדים המערערים – הם ואחרים שכמותם – אנשים שעיניהם אל בצע-כסף, ומעבר מזה עומדים צרכני הסם, אנשים אומללים שגופם ונפשם מכורים לסם. אותם עלובים תלו עצמם בסם, ואנשים רעים כמערערים מנצלים תלות זו עד-תום לגריפת כסף-רע לכיסיהם. המערערים מוכרים סם-מוות למי שמכרו את גופם לסם, ועל עסקאות-מכר אלו זוכים הם בתמורה כספית. למותר להזכיר את שרשרת העבירות הנדרשת מעסקאות הסם: צרכנים שאין הפרוטה מצויה בכיסם פושטים על אחרים, שודדים אותם, פורצים לבתיהם, תוקפים אותם, והכול כדי להשיג מימון לרכישתו של הסם. המערערים אינם חבים, כמובן, מבחינה משפטית בעבירות שעוברים אחרים, אך לעת גזירת העונש נביא כל אלה במניין" (</w:t>
      </w:r>
      <w:hyperlink r:id="rId30" w:history="1">
        <w:r w:rsidR="00222E94" w:rsidRPr="00222E94">
          <w:rPr>
            <w:color w:val="0000FF"/>
            <w:u w:val="single"/>
            <w:rtl/>
          </w:rPr>
          <w:t>ע"פ 4998/95</w:t>
        </w:r>
      </w:hyperlink>
      <w:r>
        <w:rPr>
          <w:rFonts w:hint="cs"/>
          <w:rtl/>
        </w:rPr>
        <w:t xml:space="preserve"> </w:t>
      </w:r>
      <w:r>
        <w:rPr>
          <w:rFonts w:hint="cs"/>
          <w:b/>
          <w:bCs/>
          <w:rtl/>
        </w:rPr>
        <w:t>מדינת ישראל נ' קרדוסו</w:t>
      </w:r>
      <w:r>
        <w:rPr>
          <w:rFonts w:hint="cs"/>
          <w:rtl/>
        </w:rPr>
        <w:t>, פ"ד נא(3) 769, 787 (1997)"</w:t>
      </w:r>
    </w:p>
    <w:p w14:paraId="2FAA7068" w14:textId="77777777" w:rsidR="00590DC9" w:rsidRDefault="00590DC9" w:rsidP="00590DC9">
      <w:pPr>
        <w:pStyle w:val="a"/>
        <w:numPr>
          <w:ilvl w:val="0"/>
          <w:numId w:val="3"/>
        </w:numPr>
        <w:rPr>
          <w:rtl/>
        </w:rPr>
      </w:pPr>
      <w:r>
        <w:rPr>
          <w:rFonts w:hint="cs"/>
          <w:rtl/>
        </w:rPr>
        <w:t xml:space="preserve">מעיון בפסיקה הקיימת במקרים דומים של ביצוע עבירת החזקת סמים שלא לצריכה עצמית, בחלקם חמורים יותר וחמורים פחות, עולה התמונה הבאה: </w:t>
      </w:r>
    </w:p>
    <w:p w14:paraId="38A70F5D" w14:textId="77777777" w:rsidR="00590DC9" w:rsidRDefault="00222E94" w:rsidP="00590DC9">
      <w:pPr>
        <w:pStyle w:val="a0"/>
        <w:rPr>
          <w:rtl/>
        </w:rPr>
      </w:pPr>
      <w:hyperlink r:id="rId31" w:history="1">
        <w:r w:rsidRPr="00222E94">
          <w:rPr>
            <w:color w:val="0000FF"/>
            <w:u w:val="single"/>
            <w:rtl/>
          </w:rPr>
          <w:t>רע"פ 8630/21</w:t>
        </w:r>
      </w:hyperlink>
      <w:r w:rsidR="00590DC9">
        <w:rPr>
          <w:rFonts w:hint="cs"/>
          <w:rtl/>
        </w:rPr>
        <w:t xml:space="preserve"> </w:t>
      </w:r>
      <w:r w:rsidR="00590DC9">
        <w:rPr>
          <w:rFonts w:hint="cs"/>
          <w:b/>
          <w:bCs/>
          <w:rtl/>
        </w:rPr>
        <w:t>נחמן האמער נ' מדינת ישראל</w:t>
      </w:r>
      <w:r w:rsidR="00590DC9">
        <w:rPr>
          <w:rFonts w:hint="cs"/>
          <w:rtl/>
        </w:rPr>
        <w:t xml:space="preserve"> (נבו 21.12.2021)</w:t>
      </w:r>
    </w:p>
    <w:p w14:paraId="7C05247E" w14:textId="77777777" w:rsidR="00590DC9" w:rsidRDefault="00590DC9" w:rsidP="00590DC9">
      <w:pPr>
        <w:pStyle w:val="-"/>
        <w:rPr>
          <w:rtl/>
        </w:rPr>
      </w:pPr>
      <w:r>
        <w:rPr>
          <w:rFonts w:hint="cs"/>
          <w:rtl/>
        </w:rPr>
        <w:t xml:space="preserve">הנאשם הורשע על פי הודאתו בהחזקת </w:t>
      </w:r>
      <w:r>
        <w:rPr>
          <w:rFonts w:hint="cs"/>
          <w:u w:val="single"/>
          <w:rtl/>
        </w:rPr>
        <w:t xml:space="preserve">3.5 ק"ג סם מסוכן מסוג קנביס </w:t>
      </w:r>
      <w:r>
        <w:rPr>
          <w:rFonts w:hint="cs"/>
          <w:rtl/>
        </w:rPr>
        <w:t xml:space="preserve">בתוך מחסן, שלא לצריכתו העצמית. במסגרת הסדר הטיעון, הגבילה המאשימה את טיעוניה ל-13 חודשי מאסר. </w:t>
      </w:r>
      <w:r>
        <w:rPr>
          <w:rFonts w:hint="cs"/>
          <w:b/>
          <w:bCs/>
          <w:rtl/>
        </w:rPr>
        <w:t>בית-המשפט קבע מתחם שנע בין 10 ל-30 חודשי מאסר</w:t>
      </w:r>
      <w:r>
        <w:rPr>
          <w:rFonts w:hint="cs"/>
          <w:rtl/>
        </w:rPr>
        <w:t xml:space="preserve"> ובהעדר עבר פלילי ובשל נסיבות אישיות ולרבות רפואיות, גזר על הנאשם 11 חודשי מאסר. בדחותו את הערעור, ציין בית-המשפט המחוזי כי מדובר במתחם ענישה ראוי. בקשת הרשות לערעור נדחתה.</w:t>
      </w:r>
    </w:p>
    <w:p w14:paraId="6C560170" w14:textId="77777777" w:rsidR="00590DC9" w:rsidRDefault="00222E94" w:rsidP="00590DC9">
      <w:pPr>
        <w:pStyle w:val="a0"/>
        <w:rPr>
          <w:rtl/>
        </w:rPr>
      </w:pPr>
      <w:hyperlink r:id="rId32" w:history="1">
        <w:r w:rsidRPr="00222E94">
          <w:rPr>
            <w:color w:val="0000FF"/>
            <w:u w:val="single"/>
            <w:rtl/>
          </w:rPr>
          <w:t>רע"פ 3084/21</w:t>
        </w:r>
      </w:hyperlink>
      <w:r w:rsidR="00590DC9">
        <w:rPr>
          <w:rFonts w:hint="cs"/>
          <w:rtl/>
        </w:rPr>
        <w:t xml:space="preserve"> </w:t>
      </w:r>
      <w:r w:rsidR="00590DC9">
        <w:rPr>
          <w:rFonts w:hint="cs"/>
          <w:b/>
          <w:bCs/>
          <w:rtl/>
        </w:rPr>
        <w:t>יוסף יאגודאייב נ' מדינת ישראל</w:t>
      </w:r>
      <w:r w:rsidR="00590DC9">
        <w:rPr>
          <w:rFonts w:hint="cs"/>
          <w:rtl/>
        </w:rPr>
        <w:t xml:space="preserve"> (נבו 12.05.2021) </w:t>
      </w:r>
    </w:p>
    <w:p w14:paraId="3A8215B5" w14:textId="77777777" w:rsidR="00590DC9" w:rsidRDefault="00590DC9" w:rsidP="00590DC9">
      <w:pPr>
        <w:pStyle w:val="-"/>
      </w:pPr>
      <w:r>
        <w:rPr>
          <w:rFonts w:hint="cs"/>
          <w:rtl/>
        </w:rPr>
        <w:t xml:space="preserve">הנאשם הורשע על פי הודאתו בהחזקה של </w:t>
      </w:r>
      <w:r>
        <w:rPr>
          <w:rFonts w:hint="cs"/>
          <w:u w:val="single"/>
          <w:rtl/>
        </w:rPr>
        <w:t>כ-10 ק"ג סם מסוכן מסוג קנביס</w:t>
      </w:r>
      <w:r>
        <w:rPr>
          <w:rFonts w:hint="cs"/>
          <w:rtl/>
        </w:rPr>
        <w:t xml:space="preserve"> בתא המטען ברכבו. </w:t>
      </w:r>
      <w:r>
        <w:rPr>
          <w:rFonts w:hint="cs"/>
          <w:b/>
          <w:bCs/>
          <w:rtl/>
        </w:rPr>
        <w:t>המתחם שנקבע נע בין 10 ל-24 חודשי מאסר</w:t>
      </w:r>
      <w:r>
        <w:rPr>
          <w:rFonts w:hint="cs"/>
          <w:rtl/>
        </w:rPr>
        <w:t>. נוכח עבר פלילי וחרף המלצה שיקומית של שירות המבחן, נגזרו על הנאשם 12 חודשי מאסר. הן ערעורו והן בקשת הרשות לערעור נדחו.</w:t>
      </w:r>
    </w:p>
    <w:p w14:paraId="2B878983" w14:textId="77777777" w:rsidR="00590DC9" w:rsidRDefault="00222E94" w:rsidP="00590DC9">
      <w:pPr>
        <w:pStyle w:val="a0"/>
        <w:rPr>
          <w:rtl/>
        </w:rPr>
      </w:pPr>
      <w:hyperlink r:id="rId33" w:history="1">
        <w:r w:rsidRPr="00222E94">
          <w:rPr>
            <w:color w:val="0000FF"/>
            <w:u w:val="single"/>
            <w:rtl/>
          </w:rPr>
          <w:t>עפ"ג (מח' ב"ש) 32345-04-23</w:t>
        </w:r>
      </w:hyperlink>
      <w:r w:rsidR="00590DC9">
        <w:rPr>
          <w:rFonts w:hint="cs"/>
          <w:rtl/>
        </w:rPr>
        <w:t xml:space="preserve"> </w:t>
      </w:r>
      <w:r w:rsidR="00590DC9">
        <w:rPr>
          <w:rFonts w:hint="cs"/>
          <w:b/>
          <w:bCs/>
          <w:rtl/>
        </w:rPr>
        <w:t>סאנע נ' מדינת ישראל</w:t>
      </w:r>
      <w:r w:rsidR="00590DC9">
        <w:rPr>
          <w:rFonts w:hint="cs"/>
          <w:rtl/>
        </w:rPr>
        <w:t xml:space="preserve"> (28.6.23) </w:t>
      </w:r>
    </w:p>
    <w:p w14:paraId="09B32861" w14:textId="77777777" w:rsidR="00590DC9" w:rsidRDefault="00590DC9" w:rsidP="00590DC9">
      <w:pPr>
        <w:pStyle w:val="-"/>
        <w:rPr>
          <w:rtl/>
        </w:rPr>
      </w:pPr>
      <w:r>
        <w:rPr>
          <w:rFonts w:hint="cs"/>
          <w:rtl/>
        </w:rPr>
        <w:t xml:space="preserve">הנאשם הורשע על פי הודאתו, בהחזקה של </w:t>
      </w:r>
      <w:r>
        <w:rPr>
          <w:rFonts w:hint="cs"/>
          <w:u w:val="single"/>
          <w:rtl/>
        </w:rPr>
        <w:t xml:space="preserve">8.5 ק"ג סם מסוכן מסוג קנביס </w:t>
      </w:r>
      <w:r>
        <w:rPr>
          <w:rFonts w:hint="cs"/>
          <w:rtl/>
        </w:rPr>
        <w:t xml:space="preserve">שהיה מחולק ל-3 יחידות. </w:t>
      </w:r>
      <w:r>
        <w:rPr>
          <w:rFonts w:hint="cs"/>
          <w:b/>
          <w:bCs/>
          <w:rtl/>
        </w:rPr>
        <w:t>המתחם שנקבע לעבירה נע בין 16 ל-36 חודשי מאסר</w:t>
      </w:r>
      <w:r>
        <w:rPr>
          <w:rFonts w:hint="cs"/>
          <w:rtl/>
        </w:rPr>
        <w:t xml:space="preserve">. בשל היעדר עבר פלילי נגזרו על הנאשם 16 חודשי מאסר, 15,000 ₪ קנס ופסילת רישיון נהיגה למשך שנה. </w:t>
      </w:r>
    </w:p>
    <w:p w14:paraId="3920D726" w14:textId="77777777" w:rsidR="00590DC9" w:rsidRDefault="00222E94" w:rsidP="00590DC9">
      <w:pPr>
        <w:pStyle w:val="a0"/>
        <w:rPr>
          <w:rtl/>
        </w:rPr>
      </w:pPr>
      <w:hyperlink r:id="rId34" w:history="1">
        <w:r w:rsidRPr="00222E94">
          <w:rPr>
            <w:color w:val="0000FF"/>
            <w:u w:val="single"/>
            <w:rtl/>
          </w:rPr>
          <w:t>עפ"ג (מח' ב"ש) 24817-04-23</w:t>
        </w:r>
      </w:hyperlink>
      <w:r w:rsidR="00590DC9">
        <w:rPr>
          <w:rFonts w:hint="cs"/>
          <w:rtl/>
        </w:rPr>
        <w:t xml:space="preserve"> </w:t>
      </w:r>
      <w:r w:rsidR="00590DC9">
        <w:rPr>
          <w:rFonts w:hint="cs"/>
          <w:b/>
          <w:bCs/>
          <w:rtl/>
        </w:rPr>
        <w:t>זמירו נ' מדינת ישראל</w:t>
      </w:r>
      <w:r w:rsidR="00590DC9">
        <w:rPr>
          <w:rFonts w:hint="cs"/>
          <w:rtl/>
        </w:rPr>
        <w:t xml:space="preserve"> (31.5.23)</w:t>
      </w:r>
    </w:p>
    <w:p w14:paraId="3BEA9257" w14:textId="77777777" w:rsidR="00590DC9" w:rsidRDefault="00590DC9" w:rsidP="00590DC9">
      <w:pPr>
        <w:pStyle w:val="-"/>
        <w:rPr>
          <w:rtl/>
        </w:rPr>
      </w:pPr>
      <w:r>
        <w:rPr>
          <w:rFonts w:hint="cs"/>
          <w:rtl/>
        </w:rPr>
        <w:t xml:space="preserve">הנאשם (1) הורשע על פי הודאתו, בהחזקה של 2.6 ק"ג </w:t>
      </w:r>
      <w:r>
        <w:rPr>
          <w:rFonts w:hint="cs"/>
          <w:u w:val="single"/>
          <w:rtl/>
        </w:rPr>
        <w:t>סם מסוכן מסוג קנביס</w:t>
      </w:r>
      <w:r>
        <w:rPr>
          <w:rFonts w:hint="cs"/>
          <w:rtl/>
        </w:rPr>
        <w:t xml:space="preserve"> ברכב והסתייעות ברכב. הסם היה מחולק ל-2 אזורים ברכב. </w:t>
      </w:r>
      <w:r>
        <w:rPr>
          <w:rFonts w:hint="cs"/>
          <w:b/>
          <w:bCs/>
          <w:rtl/>
        </w:rPr>
        <w:t>המתחם שנקבע לעבירה נע בין 10 ל-20 חודשי מאסר</w:t>
      </w:r>
      <w:r>
        <w:rPr>
          <w:rFonts w:hint="cs"/>
          <w:rtl/>
        </w:rPr>
        <w:t>. בשל היעדר עבר פלילי מחד אך קיומו של עבר תעבורתי מכביד מאידך, נדון הנאשם ל-12 חודשי מאסר בפועל, 12 חודשי מע"ת, 12,500 ₪ קנס ופסילת רישיון נהיגה למשך שנה וחצי. במסגרת הערעור, הסכימו הצדדים להצעת בית-המשפט לעניין ביטול הקנס והעמדת רכיב פסילת הרישיון לכדי שנה אחת.</w:t>
      </w:r>
    </w:p>
    <w:p w14:paraId="30FCDCA9" w14:textId="77777777" w:rsidR="00590DC9" w:rsidRDefault="00222E94" w:rsidP="00590DC9">
      <w:pPr>
        <w:pStyle w:val="a0"/>
        <w:rPr>
          <w:rtl/>
        </w:rPr>
      </w:pPr>
      <w:hyperlink r:id="rId35" w:history="1">
        <w:r w:rsidRPr="00222E94">
          <w:rPr>
            <w:color w:val="0000FF"/>
            <w:u w:val="single"/>
            <w:rtl/>
          </w:rPr>
          <w:t>ת"פ (שלום ב"ש) 44501-11-16</w:t>
        </w:r>
      </w:hyperlink>
      <w:r w:rsidR="00590DC9">
        <w:rPr>
          <w:rFonts w:hint="cs"/>
          <w:rtl/>
        </w:rPr>
        <w:t xml:space="preserve"> </w:t>
      </w:r>
      <w:r w:rsidR="00590DC9">
        <w:rPr>
          <w:rFonts w:hint="cs"/>
          <w:b/>
          <w:bCs/>
          <w:rtl/>
        </w:rPr>
        <w:t>מדינת ישראל נ' עזאזמה</w:t>
      </w:r>
      <w:r w:rsidR="00590DC9">
        <w:rPr>
          <w:rFonts w:hint="cs"/>
          <w:rtl/>
        </w:rPr>
        <w:t xml:space="preserve"> (8.6.17)</w:t>
      </w:r>
    </w:p>
    <w:p w14:paraId="6FAA1D0D" w14:textId="77777777" w:rsidR="00590DC9" w:rsidRDefault="00590DC9" w:rsidP="00590DC9">
      <w:pPr>
        <w:pStyle w:val="-"/>
        <w:rPr>
          <w:rtl/>
        </w:rPr>
      </w:pPr>
      <w:r>
        <w:rPr>
          <w:rFonts w:hint="cs"/>
          <w:rtl/>
        </w:rPr>
        <w:t xml:space="preserve">הנאשמים הורשעו בהחזקה של </w:t>
      </w:r>
      <w:r>
        <w:rPr>
          <w:rFonts w:hint="cs"/>
          <w:u w:val="single"/>
          <w:rtl/>
        </w:rPr>
        <w:t>3.3 ק"ג סם מסוכן מסוג קנביס ו-1.5 ק"ג סם מסוכן מסוג חשיש</w:t>
      </w:r>
      <w:r>
        <w:rPr>
          <w:rFonts w:hint="cs"/>
          <w:rtl/>
        </w:rPr>
        <w:t xml:space="preserve"> ברכב והפרעה לשוטר, בכך שעקפו מחסום, נסעו במהירות והשליכו הסמים. בנוסף, הורשע נאשם 1 בנהיגה ללא רישיון נהיגה. </w:t>
      </w:r>
      <w:r>
        <w:rPr>
          <w:rFonts w:hint="cs"/>
          <w:b/>
          <w:bCs/>
          <w:rtl/>
        </w:rPr>
        <w:t>המתחם שנקבע לנאשם 2 נע בין 10 ל-24 חודשי מאסר ואילו לנאשם 1, נע בין 13 ל-30 חודשי מאסר</w:t>
      </w:r>
      <w:r>
        <w:rPr>
          <w:rFonts w:hint="cs"/>
          <w:rtl/>
        </w:rPr>
        <w:t>. נאשם 2 אשר נעדר עבר פלילי נדון ל-11 חודשי מאסר ואילו שותפו, נאשם 1 נדון ל-18 חודשי מאסר בשל חלקו הגדול יותר וקיומו של עבר פלילי.</w:t>
      </w:r>
    </w:p>
    <w:p w14:paraId="6C297DDF" w14:textId="77777777" w:rsidR="00590DC9" w:rsidRDefault="00590DC9" w:rsidP="00590DC9">
      <w:pPr>
        <w:pStyle w:val="-"/>
        <w:rPr>
          <w:rtl/>
        </w:rPr>
      </w:pPr>
    </w:p>
    <w:p w14:paraId="0ECEC17C" w14:textId="77777777" w:rsidR="00590DC9" w:rsidRDefault="00222E94" w:rsidP="00590DC9">
      <w:pPr>
        <w:pStyle w:val="a0"/>
        <w:rPr>
          <w:rtl/>
        </w:rPr>
      </w:pPr>
      <w:hyperlink r:id="rId36" w:history="1">
        <w:r w:rsidRPr="00222E94">
          <w:rPr>
            <w:color w:val="0000FF"/>
            <w:u w:val="single"/>
            <w:rtl/>
          </w:rPr>
          <w:t>ת"פ (שלום ב"ש) 10382-08-22</w:t>
        </w:r>
      </w:hyperlink>
      <w:r w:rsidR="00590DC9">
        <w:rPr>
          <w:rFonts w:hint="cs"/>
          <w:rtl/>
        </w:rPr>
        <w:t xml:space="preserve"> </w:t>
      </w:r>
      <w:r w:rsidR="00590DC9">
        <w:rPr>
          <w:rFonts w:hint="cs"/>
          <w:b/>
          <w:bCs/>
          <w:rtl/>
        </w:rPr>
        <w:t>מדינת ישראל נ' שיך</w:t>
      </w:r>
      <w:r w:rsidR="00590DC9">
        <w:rPr>
          <w:rFonts w:hint="cs"/>
          <w:rtl/>
        </w:rPr>
        <w:t xml:space="preserve"> (7.11.22) </w:t>
      </w:r>
    </w:p>
    <w:p w14:paraId="2CE1740F" w14:textId="77777777" w:rsidR="00590DC9" w:rsidRDefault="00590DC9" w:rsidP="00590DC9">
      <w:pPr>
        <w:pStyle w:val="-"/>
        <w:rPr>
          <w:rtl/>
        </w:rPr>
      </w:pPr>
      <w:r>
        <w:rPr>
          <w:rFonts w:hint="cs"/>
          <w:rtl/>
        </w:rPr>
        <w:t xml:space="preserve">הנאשם הורשע על פי הודאתו, בהחזקה של </w:t>
      </w:r>
      <w:r>
        <w:rPr>
          <w:rFonts w:hint="cs"/>
          <w:u w:val="single"/>
          <w:rtl/>
        </w:rPr>
        <w:t>3 ק"ג סם מסוכן מסוג קנביס</w:t>
      </w:r>
      <w:r>
        <w:rPr>
          <w:rFonts w:hint="cs"/>
          <w:rtl/>
        </w:rPr>
        <w:t xml:space="preserve"> ברכב, נהיגה ללא רישיון והסתייעות ברכב. הסם היה מחולק ל-30 יחידות (פלטות). </w:t>
      </w:r>
      <w:r>
        <w:rPr>
          <w:rFonts w:hint="cs"/>
          <w:b/>
          <w:bCs/>
          <w:rtl/>
        </w:rPr>
        <w:t>המתחם שנקבע לעבירה נע בין 10 ל-20 חודשי מאסר</w:t>
      </w:r>
      <w:r>
        <w:rPr>
          <w:rFonts w:hint="cs"/>
          <w:rtl/>
        </w:rPr>
        <w:t xml:space="preserve">. בשל היעדר עבר פלילי נגזרו על הנאשם 10 חודשי מאסר בפועל, 12 חודשי מע"ת, 15,000 ₪ קנס ופסילת רישיון נהיגה למשך שנה. </w:t>
      </w:r>
    </w:p>
    <w:p w14:paraId="602E3E43" w14:textId="77777777" w:rsidR="00590DC9" w:rsidRDefault="00590DC9" w:rsidP="00590DC9">
      <w:pPr>
        <w:pStyle w:val="a"/>
        <w:numPr>
          <w:ilvl w:val="0"/>
          <w:numId w:val="3"/>
        </w:numPr>
        <w:rPr>
          <w:rtl/>
        </w:rPr>
      </w:pPr>
      <w:r>
        <w:rPr>
          <w:rFonts w:hint="cs"/>
          <w:rtl/>
        </w:rPr>
        <w:t>בבחינת נסיבות הקשורות בביצוע העבירה (</w:t>
      </w:r>
      <w:hyperlink r:id="rId37" w:history="1">
        <w:r w:rsidR="00D37ECD" w:rsidRPr="00D37ECD">
          <w:rPr>
            <w:rStyle w:val="Hyperlink"/>
            <w:rFonts w:hint="eastAsia"/>
            <w:color w:val="0000FF"/>
            <w:rtl/>
          </w:rPr>
          <w:t>סעיף</w:t>
        </w:r>
        <w:r w:rsidR="00D37ECD" w:rsidRPr="00D37ECD">
          <w:rPr>
            <w:rStyle w:val="Hyperlink"/>
            <w:color w:val="0000FF"/>
            <w:rtl/>
          </w:rPr>
          <w:t xml:space="preserve"> 40ט</w:t>
        </w:r>
      </w:hyperlink>
      <w:r>
        <w:rPr>
          <w:rFonts w:hint="cs"/>
          <w:rtl/>
        </w:rPr>
        <w:t xml:space="preserve"> ל</w:t>
      </w:r>
      <w:hyperlink r:id="rId38" w:history="1">
        <w:r w:rsidR="00222E94" w:rsidRPr="00222E94">
          <w:rPr>
            <w:color w:val="0000FF"/>
            <w:u w:val="single"/>
            <w:rtl/>
          </w:rPr>
          <w:t>חוק העונשין</w:t>
        </w:r>
      </w:hyperlink>
      <w:r>
        <w:rPr>
          <w:rFonts w:hint="cs"/>
          <w:rtl/>
        </w:rPr>
        <w:t>) נשקלו הבאים:</w:t>
      </w:r>
    </w:p>
    <w:p w14:paraId="69176FDF" w14:textId="77777777" w:rsidR="00590DC9" w:rsidRDefault="00590DC9" w:rsidP="00590DC9">
      <w:pPr>
        <w:pStyle w:val="ab"/>
        <w:ind w:left="720"/>
        <w:rPr>
          <w:rtl/>
        </w:rPr>
      </w:pPr>
      <w:r>
        <w:rPr>
          <w:rFonts w:hint="cs"/>
          <w:rtl/>
        </w:rPr>
        <w:t>המדובר בהחזקת כמות  סמים משמעותית אשר חולקו בין חמש שקיות בתוך מזוודה, בתחנה המרכזית, "מוכנים" להעברה לגורמים הבאים בשרשרת הפצת הסם. יחד עם זאת, ומבלי להקל ראש, אין מדובר בהחזקת סמים הנחשבים לסמים "קשים" דוגמת קוקאין ו/או סמים סינתטיים אחרים.</w:t>
      </w:r>
    </w:p>
    <w:p w14:paraId="432BAE8E" w14:textId="77777777" w:rsidR="00590DC9" w:rsidRDefault="00590DC9" w:rsidP="00590DC9">
      <w:pPr>
        <w:pStyle w:val="ab"/>
        <w:ind w:left="713"/>
        <w:rPr>
          <w:rtl/>
        </w:rPr>
      </w:pPr>
      <w:r>
        <w:rPr>
          <w:rFonts w:hint="cs"/>
          <w:u w:val="single"/>
          <w:rtl/>
        </w:rPr>
        <w:t>תכנון המעשים</w:t>
      </w:r>
      <w:r>
        <w:rPr>
          <w:rFonts w:hint="cs"/>
          <w:rtl/>
        </w:rPr>
        <w:t>: החזקת סמים ארוזים ומחולקים בהיקף ניכר בתוך מזוודה בתחנה מרכזית, מלמדת על פעולה מתוכננת ויזומה וכן על השקעת משאבים ומחשבה עובר לביצועה. הכמות המשמעותית שנתפסה וחלוקתה מלמדים כי מאחורי הפעולה עומדים גורמים המעורים ונטועים היטב בעולם הסמים.</w:t>
      </w:r>
    </w:p>
    <w:p w14:paraId="7DD450AE" w14:textId="77777777" w:rsidR="00590DC9" w:rsidRDefault="00590DC9" w:rsidP="00590DC9">
      <w:pPr>
        <w:pStyle w:val="ab"/>
        <w:ind w:left="706"/>
        <w:rPr>
          <w:rtl/>
        </w:rPr>
      </w:pPr>
      <w:r>
        <w:rPr>
          <w:rFonts w:hint="cs"/>
          <w:u w:val="single"/>
          <w:rtl/>
        </w:rPr>
        <w:t>פוטנציאל נזק</w:t>
      </w:r>
      <w:r>
        <w:rPr>
          <w:rFonts w:hint="cs"/>
          <w:rtl/>
        </w:rPr>
        <w:t>: פוטנציאל הנזק לצד מעשי הנאשם משמעותי. מדובר בכמות סמים גדולה מאוד, אשר עלולה הייתה להגיע למאות צרכנים, לרבות לצרכנים "חדשים" וצעירים. דומה כי מיותר יהיה להרחיב בדבר נזקים בריאותיים חברתיים וכלכליים אשר לצד שימוש אינטנסיבי בסמים, הן ישירים והן עקיפים.</w:t>
      </w:r>
    </w:p>
    <w:p w14:paraId="55280DE8" w14:textId="77777777" w:rsidR="00590DC9" w:rsidRDefault="00590DC9" w:rsidP="00590DC9">
      <w:pPr>
        <w:pStyle w:val="ab"/>
        <w:ind w:left="699"/>
        <w:rPr>
          <w:rtl/>
        </w:rPr>
      </w:pPr>
      <w:r>
        <w:rPr>
          <w:rFonts w:hint="cs"/>
          <w:u w:val="single"/>
          <w:rtl/>
        </w:rPr>
        <w:t>הרקע לביצוע המעשים</w:t>
      </w:r>
      <w:r>
        <w:rPr>
          <w:rFonts w:hint="cs"/>
          <w:rtl/>
        </w:rPr>
        <w:t>: ככלל, ניסיון החיים מלמד כי מדובר בעבירות המבוצעות על רקע בצע כסף ורצון להפקת רווח מהיר וקל על חשבון בריאות וביטחון הציבור.</w:t>
      </w:r>
    </w:p>
    <w:p w14:paraId="7CAA704B" w14:textId="77777777" w:rsidR="00590DC9" w:rsidRDefault="00590DC9" w:rsidP="00590DC9">
      <w:pPr>
        <w:pStyle w:val="ab"/>
        <w:rPr>
          <w:rtl/>
        </w:rPr>
      </w:pPr>
      <w:r>
        <w:rPr>
          <w:rFonts w:hint="cs"/>
          <w:rtl/>
        </w:rPr>
        <w:t xml:space="preserve"> </w:t>
      </w:r>
      <w:r>
        <w:rPr>
          <w:rtl/>
        </w:rPr>
        <w:tab/>
      </w:r>
      <w:r>
        <w:rPr>
          <w:rFonts w:hint="cs"/>
          <w:rtl/>
        </w:rPr>
        <w:t>בעניין זה, ר' האמור ב</w:t>
      </w:r>
      <w:hyperlink r:id="rId39" w:history="1">
        <w:r w:rsidR="00222E94" w:rsidRPr="00222E94">
          <w:rPr>
            <w:color w:val="0000FF"/>
            <w:u w:val="single"/>
            <w:rtl/>
          </w:rPr>
          <w:t>ע"פ 9192/07</w:t>
        </w:r>
      </w:hyperlink>
      <w:r>
        <w:rPr>
          <w:rFonts w:hint="cs"/>
          <w:rtl/>
        </w:rPr>
        <w:t xml:space="preserve"> </w:t>
      </w:r>
      <w:r>
        <w:rPr>
          <w:rFonts w:hint="cs"/>
          <w:b/>
          <w:bCs/>
          <w:rtl/>
        </w:rPr>
        <w:t>ארתור איסטרחוב נ' מדינת ישראל</w:t>
      </w:r>
      <w:r>
        <w:rPr>
          <w:rFonts w:hint="cs"/>
          <w:rtl/>
        </w:rPr>
        <w:t xml:space="preserve"> (20.03.2008)</w:t>
      </w:r>
    </w:p>
    <w:p w14:paraId="31A2E67B" w14:textId="77777777" w:rsidR="00590DC9" w:rsidRDefault="00590DC9" w:rsidP="00590DC9">
      <w:pPr>
        <w:pStyle w:val="ad"/>
        <w:rPr>
          <w:rtl/>
        </w:rPr>
      </w:pPr>
      <w:r>
        <w:rPr>
          <w:rFonts w:hint="cs"/>
          <w:rtl/>
        </w:rPr>
        <w:t>"המערער נמצא מחזיק בכמות גדולה ביותר של סם מסוכן, ועד לסוף משפטו הוא לא טרח ליתן הסבר כיצד הגיע הסם לידיו ומה היתה מטרתו. לפיכך, המסקנה המתבקשת היא שהוא ביצע את העבירה, למצער, מתוך מניע של רווח קל ובצע כסף, תוך שהוא תורם תרומה אדירה להפצתו של נגע הסמים בקרב החברה בישראל."</w:t>
      </w:r>
    </w:p>
    <w:p w14:paraId="5170D2A0" w14:textId="77777777" w:rsidR="00590DC9" w:rsidRDefault="00590DC9" w:rsidP="00590DC9">
      <w:pPr>
        <w:pStyle w:val="ab"/>
        <w:ind w:left="720"/>
        <w:rPr>
          <w:rtl/>
        </w:rPr>
      </w:pPr>
      <w:r>
        <w:rPr>
          <w:rFonts w:hint="cs"/>
          <w:rtl/>
        </w:rPr>
        <w:t>בענייננו, שלל הנאשם קבלת תמורה. להערכת שירות המבחן ברקע המעשים רצון לתחושת ריגוש, תחושת שייכות וריצוי האחר. ודוק, הנאשם לא מסר פרטים ביחס לגורמים המעורבים במעשה, ביקש שלא להרחיב על הרקע לביצוע המעשים,  ואלו מקימים קושי מסוים גם בענין אישוש גרסתו בענין העדר תמורה.</w:t>
      </w:r>
    </w:p>
    <w:p w14:paraId="704D2B13" w14:textId="77777777" w:rsidR="00590DC9" w:rsidRDefault="00590DC9" w:rsidP="00590DC9">
      <w:pPr>
        <w:pStyle w:val="ab"/>
        <w:rPr>
          <w:u w:val="single"/>
          <w:rtl/>
        </w:rPr>
      </w:pPr>
    </w:p>
    <w:p w14:paraId="5B7A67C5" w14:textId="77777777" w:rsidR="00590DC9" w:rsidRDefault="00590DC9" w:rsidP="00590DC9">
      <w:pPr>
        <w:pStyle w:val="ab"/>
        <w:rPr>
          <w:rtl/>
        </w:rPr>
      </w:pPr>
      <w:r>
        <w:rPr>
          <w:rFonts w:hint="cs"/>
          <w:u w:val="single"/>
          <w:rtl/>
        </w:rPr>
        <w:t>יכולת הבנת המעשים והקרבה לסייג</w:t>
      </w:r>
      <w:r>
        <w:rPr>
          <w:rFonts w:hint="cs"/>
          <w:rtl/>
        </w:rPr>
        <w:t xml:space="preserve">: </w:t>
      </w:r>
    </w:p>
    <w:p w14:paraId="01EBD1C1" w14:textId="77777777" w:rsidR="00590DC9" w:rsidRDefault="00590DC9" w:rsidP="00590DC9">
      <w:pPr>
        <w:pStyle w:val="ab"/>
        <w:ind w:left="720"/>
        <w:rPr>
          <w:rtl/>
        </w:rPr>
      </w:pPr>
      <w:r>
        <w:rPr>
          <w:rFonts w:hint="cs"/>
          <w:rtl/>
        </w:rPr>
        <w:t>במסגרת התסקיר, הפנה שירות המבחן למסמך שהתקבל מפנימיית "עדנים". מסמך שכותרתו "דוח סיכום שהות וטיפול" מיום 7.8.16 מטעם עמותת "עדנים" (</w:t>
      </w:r>
      <w:r>
        <w:rPr>
          <w:rFonts w:hint="cs"/>
          <w:b/>
          <w:bCs/>
          <w:rtl/>
        </w:rPr>
        <w:t>נ/4</w:t>
      </w:r>
      <w:r>
        <w:rPr>
          <w:rFonts w:hint="cs"/>
          <w:rtl/>
        </w:rPr>
        <w:t xml:space="preserve">) מלמד על כך שהנאשם שהה בפנימייה זו מאז גיל 15, ועד היותו בן 18.5. בהתאם למסמך זה, הנאשם תפקד ברמה שכלית נמוכה, והדברים נתמכו על ידי פסיכיאטר אשר ייעץ במסגרת הפנימייה. </w:t>
      </w:r>
    </w:p>
    <w:p w14:paraId="4EDA7CC7" w14:textId="77777777" w:rsidR="00590DC9" w:rsidRDefault="00590DC9" w:rsidP="00590DC9">
      <w:pPr>
        <w:pStyle w:val="ab"/>
        <w:ind w:left="713"/>
        <w:rPr>
          <w:rtl/>
        </w:rPr>
      </w:pPr>
      <w:r>
        <w:rPr>
          <w:rFonts w:hint="cs"/>
          <w:rtl/>
        </w:rPr>
        <w:t>שירות המבחן עמד על מצבו הנפשי של הנאשם, על דפוסי אישיותו, שלל הפרעות מהן סובל ועל היות הנאשם נתמך ביטוח לאומי המלווה על ידי גורמי טיפול שונים במסגרת סל שיקום. אלו היוו, בין היתר, רקע וטעם להמלצתו השיקומית.</w:t>
      </w:r>
    </w:p>
    <w:p w14:paraId="2EF1C9D2" w14:textId="77777777" w:rsidR="00590DC9" w:rsidRDefault="00590DC9" w:rsidP="00590DC9">
      <w:pPr>
        <w:pStyle w:val="ab"/>
        <w:ind w:left="706"/>
        <w:rPr>
          <w:rtl/>
        </w:rPr>
      </w:pPr>
      <w:r>
        <w:rPr>
          <w:rFonts w:hint="cs"/>
          <w:rtl/>
        </w:rPr>
        <w:t>עיון במסמכי המוסד לביטוח לאומי מיום 17.5.20 (</w:t>
      </w:r>
      <w:r>
        <w:rPr>
          <w:rFonts w:hint="cs"/>
          <w:b/>
          <w:bCs/>
          <w:rtl/>
        </w:rPr>
        <w:t>נ/3</w:t>
      </w:r>
      <w:r>
        <w:rPr>
          <w:rFonts w:hint="cs"/>
          <w:rtl/>
        </w:rPr>
        <w:t xml:space="preserve"> – עמ' 4) מלמד כי קיימת לנאשם "הפרעה ניכרת בתפקוד הנפשי והחברתי". </w:t>
      </w:r>
    </w:p>
    <w:p w14:paraId="0CD83A82" w14:textId="77777777" w:rsidR="00590DC9" w:rsidRDefault="00590DC9" w:rsidP="00590DC9">
      <w:pPr>
        <w:pStyle w:val="ab"/>
        <w:ind w:left="699"/>
        <w:rPr>
          <w:rtl/>
        </w:rPr>
      </w:pPr>
      <w:r>
        <w:rPr>
          <w:rFonts w:hint="cs"/>
          <w:rtl/>
        </w:rPr>
        <w:t>בחוות הדעת של קהילת "בית גיא" מיום 29.11.22 (</w:t>
      </w:r>
      <w:r>
        <w:rPr>
          <w:rFonts w:hint="cs"/>
          <w:b/>
          <w:bCs/>
          <w:rtl/>
        </w:rPr>
        <w:t>נ/1</w:t>
      </w:r>
      <w:r>
        <w:rPr>
          <w:rFonts w:hint="cs"/>
          <w:rtl/>
        </w:rPr>
        <w:t>),  צוינה קיומה של התרשמות בדבר "הנמכה קוגניטיבית עם פגיעה מזערית בהתנהגות" ובדומה, צוין גם במסמך מטעם חברת "שלו" מיום 29.11.22 (</w:t>
      </w:r>
      <w:r>
        <w:rPr>
          <w:rFonts w:hint="cs"/>
          <w:b/>
          <w:bCs/>
          <w:rtl/>
        </w:rPr>
        <w:t>נ/2</w:t>
      </w:r>
      <w:r>
        <w:rPr>
          <w:rFonts w:hint="cs"/>
          <w:rtl/>
        </w:rPr>
        <w:t xml:space="preserve">) כי ניכר שלנאשם "ישנו קושי קוגניטיבי אשר מהווה קושי גם בהשתלבות שלו בעבודה בשוק החופשי". </w:t>
      </w:r>
    </w:p>
    <w:p w14:paraId="5E495010" w14:textId="77777777" w:rsidR="00590DC9" w:rsidRDefault="00590DC9" w:rsidP="00590DC9">
      <w:pPr>
        <w:pStyle w:val="ab"/>
        <w:ind w:left="692"/>
        <w:rPr>
          <w:rtl/>
        </w:rPr>
      </w:pPr>
      <w:r>
        <w:rPr>
          <w:rFonts w:hint="cs"/>
          <w:rtl/>
        </w:rPr>
        <w:t>עיון בחוות ועדת אבחון מיום 14.3.22 מלמד אומנם כי הנאשם כשיר ואחראי, אולם צוינו בתוצאות ההערכה שלו מיום 27.2.22 הדברים הבאים: "מבחינת תפקוד קוגניטיבי קיימת הנמכה חלקית בתפקודו, להנמכה תורמים הפרעות קשב וריכוז, לקויות למידה קשיים רגשיים וחסך סביבתי. שיפוטו החברתי חלקי".</w:t>
      </w:r>
    </w:p>
    <w:p w14:paraId="3D91508D" w14:textId="77777777" w:rsidR="00590DC9" w:rsidRDefault="00590DC9" w:rsidP="00590DC9">
      <w:pPr>
        <w:pStyle w:val="a"/>
        <w:numPr>
          <w:ilvl w:val="0"/>
          <w:numId w:val="0"/>
        </w:numPr>
        <w:ind w:left="685"/>
        <w:rPr>
          <w:b/>
          <w:bCs/>
          <w:rtl/>
        </w:rPr>
      </w:pPr>
      <w:r>
        <w:rPr>
          <w:rFonts w:hint="cs"/>
          <w:rtl/>
        </w:rPr>
        <w:t>בהתאם לאמור לעיל, סבורני כי הגם שמידת הפגיעה בערכים המוגנים שנפגעו כתוצאה מביצוע העבירה הינה משמעותית, מצבו הקוגניטיבי נפשי של הנאשם הכרוך הן ביכולתו להבין את משמעות מעשיו והן בקרבתו לסייג (</w:t>
      </w:r>
      <w:hyperlink r:id="rId40" w:history="1">
        <w:r w:rsidR="00D37ECD" w:rsidRPr="00D37ECD">
          <w:rPr>
            <w:rStyle w:val="Hyperlink"/>
            <w:rFonts w:hint="eastAsia"/>
            <w:color w:val="0000FF"/>
            <w:rtl/>
          </w:rPr>
          <w:t>סעיפים</w:t>
        </w:r>
        <w:r w:rsidR="00D37ECD" w:rsidRPr="00D37ECD">
          <w:rPr>
            <w:rStyle w:val="Hyperlink"/>
            <w:color w:val="0000FF"/>
            <w:rtl/>
          </w:rPr>
          <w:t xml:space="preserve"> 40ט(א)(6)</w:t>
        </w:r>
      </w:hyperlink>
      <w:r>
        <w:rPr>
          <w:rFonts w:hint="cs"/>
          <w:rtl/>
        </w:rPr>
        <w:t xml:space="preserve"> ו -</w:t>
      </w:r>
      <w:hyperlink r:id="rId41" w:history="1">
        <w:r w:rsidR="00D37ECD" w:rsidRPr="00D37ECD">
          <w:rPr>
            <w:rStyle w:val="Hyperlink"/>
            <w:color w:val="0000FF"/>
            <w:rtl/>
          </w:rPr>
          <w:t>40ט(א)(7)</w:t>
        </w:r>
      </w:hyperlink>
      <w:r>
        <w:rPr>
          <w:rFonts w:hint="cs"/>
          <w:rtl/>
        </w:rPr>
        <w:t xml:space="preserve"> ל</w:t>
      </w:r>
      <w:hyperlink r:id="rId42" w:history="1">
        <w:r w:rsidR="00222E94" w:rsidRPr="00222E94">
          <w:rPr>
            <w:color w:val="0000FF"/>
            <w:u w:val="single"/>
            <w:rtl/>
          </w:rPr>
          <w:t>חוק העונשין</w:t>
        </w:r>
      </w:hyperlink>
      <w:r>
        <w:rPr>
          <w:rFonts w:hint="cs"/>
          <w:rtl/>
        </w:rPr>
        <w:t xml:space="preserve">) מפחית </w:t>
      </w:r>
      <w:r>
        <w:rPr>
          <w:rFonts w:hint="cs"/>
          <w:u w:val="single"/>
          <w:rtl/>
        </w:rPr>
        <w:t>באופן מסוים</w:t>
      </w:r>
      <w:r>
        <w:rPr>
          <w:rFonts w:hint="cs"/>
          <w:rtl/>
        </w:rPr>
        <w:t xml:space="preserve"> את מידת האשם שבמעשיו ומשפיע על קביעת מתחם העונש ההולם למעשה העבירה.</w:t>
      </w:r>
    </w:p>
    <w:p w14:paraId="0ACC09CB" w14:textId="77777777" w:rsidR="00590DC9" w:rsidRDefault="00590DC9" w:rsidP="00590DC9">
      <w:pPr>
        <w:pStyle w:val="a"/>
        <w:numPr>
          <w:ilvl w:val="0"/>
          <w:numId w:val="0"/>
        </w:numPr>
        <w:ind w:left="651"/>
        <w:rPr>
          <w:b/>
          <w:bCs/>
          <w:rtl/>
        </w:rPr>
      </w:pPr>
      <w:r>
        <w:rPr>
          <w:rFonts w:hint="cs"/>
          <w:b/>
          <w:bCs/>
          <w:rtl/>
        </w:rPr>
        <w:t>נוכח אלו, סבורני כי מתחם העונש ההולם לנאשם הינו מתחם עונש שבין 8 חודשי מאסר אשר יכול וירוצו בעבודות שירות ל-16 חודשי מאסר בפועל.</w:t>
      </w:r>
    </w:p>
    <w:p w14:paraId="50A058AF" w14:textId="77777777" w:rsidR="00590DC9" w:rsidRDefault="00590DC9" w:rsidP="00590DC9">
      <w:pPr>
        <w:pStyle w:val="11"/>
      </w:pPr>
      <w:r>
        <w:rPr>
          <w:rtl/>
        </w:rPr>
        <w:t>שיקולי הענישה בתוך מתחם העונש</w:t>
      </w:r>
    </w:p>
    <w:p w14:paraId="3277044C" w14:textId="77777777" w:rsidR="00590DC9" w:rsidRDefault="00590DC9" w:rsidP="00590DC9">
      <w:pPr>
        <w:pStyle w:val="a"/>
        <w:numPr>
          <w:ilvl w:val="0"/>
          <w:numId w:val="3"/>
        </w:numPr>
        <w:rPr>
          <w:rtl/>
        </w:rPr>
      </w:pPr>
      <w:r>
        <w:rPr>
          <w:rFonts w:hint="cs"/>
          <w:rtl/>
        </w:rPr>
        <w:t>בגזירת העונש המתאים לנאשם בתוך מתחם העונש, נשקלו הנסיבות הבאות שאינן קשורות בביצוע העבירה (</w:t>
      </w:r>
      <w:hyperlink r:id="rId43" w:history="1">
        <w:r w:rsidR="00D37ECD" w:rsidRPr="00D37ECD">
          <w:rPr>
            <w:rStyle w:val="Hyperlink"/>
            <w:rFonts w:hint="eastAsia"/>
            <w:color w:val="0000FF"/>
            <w:rtl/>
          </w:rPr>
          <w:t>סעיף</w:t>
        </w:r>
        <w:r w:rsidR="00D37ECD" w:rsidRPr="00D37ECD">
          <w:rPr>
            <w:rStyle w:val="Hyperlink"/>
            <w:color w:val="0000FF"/>
            <w:rtl/>
          </w:rPr>
          <w:t xml:space="preserve"> 40יא</w:t>
        </w:r>
      </w:hyperlink>
      <w:r>
        <w:rPr>
          <w:rFonts w:hint="cs"/>
          <w:rtl/>
        </w:rPr>
        <w:t xml:space="preserve"> ל</w:t>
      </w:r>
      <w:hyperlink r:id="rId44" w:history="1">
        <w:r w:rsidR="00222E94" w:rsidRPr="00222E94">
          <w:rPr>
            <w:color w:val="0000FF"/>
            <w:u w:val="single"/>
            <w:rtl/>
          </w:rPr>
          <w:t>חוק העונשין</w:t>
        </w:r>
      </w:hyperlink>
      <w:r>
        <w:rPr>
          <w:rFonts w:hint="cs"/>
          <w:rtl/>
        </w:rPr>
        <w:t>):</w:t>
      </w:r>
    </w:p>
    <w:p w14:paraId="1AEC9F78" w14:textId="77777777" w:rsidR="00590DC9" w:rsidRDefault="00590DC9" w:rsidP="00590DC9">
      <w:pPr>
        <w:pStyle w:val="ab"/>
        <w:ind w:firstLine="0"/>
        <w:rPr>
          <w:u w:val="single"/>
          <w:rtl/>
        </w:rPr>
      </w:pPr>
      <w:r>
        <w:rPr>
          <w:rFonts w:hint="cs"/>
          <w:u w:val="single"/>
          <w:rtl/>
        </w:rPr>
        <w:t>גיל ועבר פלילי</w:t>
      </w:r>
      <w:r>
        <w:rPr>
          <w:rFonts w:hint="cs"/>
          <w:rtl/>
        </w:rPr>
        <w:t xml:space="preserve">: הנאשם נעדר עבר פלילי, צעיר יליד 1997 </w:t>
      </w:r>
    </w:p>
    <w:p w14:paraId="02AE797E" w14:textId="77777777" w:rsidR="00590DC9" w:rsidRDefault="00590DC9" w:rsidP="00590DC9">
      <w:pPr>
        <w:pStyle w:val="ab"/>
        <w:ind w:left="713"/>
        <w:rPr>
          <w:rtl/>
        </w:rPr>
      </w:pPr>
      <w:r>
        <w:rPr>
          <w:rFonts w:hint="cs"/>
          <w:u w:val="single"/>
          <w:rtl/>
        </w:rPr>
        <w:t>חלוף זמן</w:t>
      </w:r>
      <w:r>
        <w:rPr>
          <w:rFonts w:hint="cs"/>
          <w:rtl/>
        </w:rPr>
        <w:t>: חלפו מאז ביצוע העבירה 3 שנים. מדובר בפרק זמן לא מבוטל,  ודומה כי הנאשם השכיל לנצל את הזמן החולף לשיקום וטיפול.</w:t>
      </w:r>
    </w:p>
    <w:p w14:paraId="7A778168" w14:textId="77777777" w:rsidR="00590DC9" w:rsidRDefault="00590DC9" w:rsidP="00590DC9">
      <w:pPr>
        <w:pStyle w:val="ab"/>
        <w:ind w:left="720"/>
        <w:rPr>
          <w:rtl/>
        </w:rPr>
      </w:pPr>
      <w:r>
        <w:rPr>
          <w:rFonts w:hint="cs"/>
          <w:u w:val="single"/>
          <w:rtl/>
        </w:rPr>
        <w:t>נטילת אחריות על המעשים</w:t>
      </w:r>
      <w:r>
        <w:rPr>
          <w:rFonts w:hint="cs"/>
          <w:rtl/>
        </w:rPr>
        <w:t>: הודאת נאשם מגלמת (בדרך כלל) קבלת אחריות על ביצוע המעשים, ונלווה לה חסכון משמעותי מזמנם של עדי התביעה, ומזמנו של בית-המשפט. בענייננו, נטל הנאשם אחריות על ביצוע העבירה הן במסגרת הסדר הטיעון והן בשיח שקיים מול גורמי הטיפול השונים {בענין זה לא נסתר מעיני כי שירות המבחן התרשם אך מלקיחת אחריות חלקית, אולם דומה כי הדברים כרוכים בעיקר בהימנעות הנאשם מלשתף בדבר הנסיבות שהביאו אותו לביצוע המעשה}.</w:t>
      </w:r>
    </w:p>
    <w:p w14:paraId="55AC5A2F" w14:textId="77777777" w:rsidR="00590DC9" w:rsidRDefault="00590DC9" w:rsidP="00590DC9">
      <w:pPr>
        <w:pStyle w:val="ab"/>
        <w:ind w:left="713" w:firstLine="0"/>
        <w:rPr>
          <w:rtl/>
        </w:rPr>
      </w:pPr>
      <w:r>
        <w:rPr>
          <w:rFonts w:hint="cs"/>
          <w:u w:val="single"/>
          <w:rtl/>
        </w:rPr>
        <w:t>הפגיעה של העונש בנאשם</w:t>
      </w:r>
      <w:r>
        <w:rPr>
          <w:rFonts w:hint="cs"/>
          <w:rtl/>
        </w:rPr>
        <w:t>: סבורני כי בנתוניו של הנאשם, עונש של מאסר מאחורי סורג ובריח יהווה עבורו קושי ממשי גם בהשוואה לנאשמים אחרים צעירים נעדרי עבר פלילי, וזאת נוכח מצבו הקוגניטיבי נפשי והעדרה של תמיכה משפחתית (להבדיל מתמיכת גורמי הטיפול בקהילה).</w:t>
      </w:r>
    </w:p>
    <w:p w14:paraId="500CA11A" w14:textId="77777777" w:rsidR="00590DC9" w:rsidRDefault="00590DC9" w:rsidP="00590DC9">
      <w:pPr>
        <w:pStyle w:val="11"/>
        <w:jc w:val="both"/>
        <w:rPr>
          <w:rtl/>
        </w:rPr>
      </w:pPr>
      <w:r>
        <w:rPr>
          <w:rtl/>
        </w:rPr>
        <w:t xml:space="preserve">סטייה ממתחם הענישה </w:t>
      </w:r>
    </w:p>
    <w:p w14:paraId="0F8D4F18" w14:textId="77777777" w:rsidR="00590DC9" w:rsidRDefault="00590DC9" w:rsidP="00590DC9">
      <w:pPr>
        <w:pStyle w:val="a"/>
        <w:numPr>
          <w:ilvl w:val="0"/>
          <w:numId w:val="3"/>
        </w:numPr>
        <w:tabs>
          <w:tab w:val="clear" w:pos="1440"/>
        </w:tabs>
        <w:rPr>
          <w:rtl/>
        </w:rPr>
      </w:pPr>
      <w:r>
        <w:rPr>
          <w:rFonts w:hint="cs"/>
          <w:rtl/>
        </w:rPr>
        <w:t xml:space="preserve">על פי סעיף </w:t>
      </w:r>
      <w:hyperlink r:id="rId45" w:history="1">
        <w:r w:rsidR="00D37ECD" w:rsidRPr="00D37ECD">
          <w:rPr>
            <w:rStyle w:val="Hyperlink"/>
            <w:color w:val="0000FF"/>
            <w:rtl/>
          </w:rPr>
          <w:t>40 ג(ב)</w:t>
        </w:r>
      </w:hyperlink>
      <w:r>
        <w:rPr>
          <w:rFonts w:hint="cs"/>
          <w:rtl/>
        </w:rPr>
        <w:t xml:space="preserve"> ל</w:t>
      </w:r>
      <w:hyperlink r:id="rId46" w:history="1">
        <w:r w:rsidR="00222E94" w:rsidRPr="00222E94">
          <w:rPr>
            <w:color w:val="0000FF"/>
            <w:u w:val="single"/>
            <w:rtl/>
          </w:rPr>
          <w:t>חוק העונשין</w:t>
        </w:r>
      </w:hyperlink>
      <w:r>
        <w:rPr>
          <w:rFonts w:hint="cs"/>
          <w:rtl/>
        </w:rPr>
        <w:t xml:space="preserve"> רשאי בית המשפט לחרוג לקולה ממתחם העונש ההולם אשר נקבע בשל </w:t>
      </w:r>
      <w:r>
        <w:rPr>
          <w:rFonts w:hint="cs"/>
          <w:b/>
          <w:bCs/>
          <w:rtl/>
        </w:rPr>
        <w:t>שיקולי שיקום</w:t>
      </w:r>
      <w:r>
        <w:rPr>
          <w:rFonts w:hint="cs"/>
          <w:rtl/>
        </w:rPr>
        <w:t xml:space="preserve"> על פי הוראות </w:t>
      </w:r>
      <w:hyperlink r:id="rId47" w:history="1">
        <w:r w:rsidR="00D37ECD" w:rsidRPr="00D37ECD">
          <w:rPr>
            <w:rStyle w:val="Hyperlink"/>
            <w:rFonts w:hint="eastAsia"/>
            <w:color w:val="0000FF"/>
            <w:rtl/>
          </w:rPr>
          <w:t>סעיף</w:t>
        </w:r>
        <w:r w:rsidR="00D37ECD" w:rsidRPr="00D37ECD">
          <w:rPr>
            <w:rStyle w:val="Hyperlink"/>
            <w:color w:val="0000FF"/>
            <w:rtl/>
          </w:rPr>
          <w:t xml:space="preserve"> 40ד</w:t>
        </w:r>
      </w:hyperlink>
      <w:r>
        <w:rPr>
          <w:rFonts w:hint="cs"/>
          <w:rtl/>
        </w:rPr>
        <w:t xml:space="preserve"> לחוק.</w:t>
      </w:r>
    </w:p>
    <w:p w14:paraId="3B200DBB" w14:textId="77777777" w:rsidR="00590DC9" w:rsidRDefault="00D37ECD" w:rsidP="00590DC9">
      <w:pPr>
        <w:pStyle w:val="ab"/>
        <w:ind w:left="720"/>
      </w:pPr>
      <w:hyperlink r:id="rId48" w:history="1">
        <w:r w:rsidRPr="00D37ECD">
          <w:rPr>
            <w:rStyle w:val="Hyperlink"/>
            <w:rFonts w:hint="eastAsia"/>
            <w:color w:val="0000FF"/>
            <w:rtl/>
          </w:rPr>
          <w:t>סעיף</w:t>
        </w:r>
        <w:r w:rsidRPr="00D37ECD">
          <w:rPr>
            <w:rStyle w:val="Hyperlink"/>
            <w:color w:val="0000FF"/>
            <w:rtl/>
          </w:rPr>
          <w:t xml:space="preserve"> 40ד(א)</w:t>
        </w:r>
      </w:hyperlink>
      <w:r w:rsidR="00590DC9">
        <w:rPr>
          <w:rFonts w:hint="cs"/>
          <w:rtl/>
        </w:rPr>
        <w:t xml:space="preserve"> לחוק מורה כי בית המשפט רשאי לחרוג ממתחם הענישה ולקבוע את עונשו של הנאשם לפי שיקולי שיקום ככל שמצא כי הנאשם </w:t>
      </w:r>
      <w:r w:rsidR="00590DC9">
        <w:rPr>
          <w:rFonts w:hint="cs"/>
          <w:u w:val="single"/>
          <w:rtl/>
        </w:rPr>
        <w:t>השתקם</w:t>
      </w:r>
      <w:r w:rsidR="00590DC9">
        <w:rPr>
          <w:rFonts w:hint="cs"/>
          <w:rtl/>
        </w:rPr>
        <w:t xml:space="preserve"> או יש </w:t>
      </w:r>
      <w:r w:rsidR="00590DC9">
        <w:rPr>
          <w:rFonts w:hint="cs"/>
          <w:u w:val="single"/>
          <w:rtl/>
        </w:rPr>
        <w:t>סיכוי של ממש</w:t>
      </w:r>
      <w:r w:rsidR="00590DC9">
        <w:rPr>
          <w:rFonts w:hint="cs"/>
          <w:rtl/>
        </w:rPr>
        <w:t xml:space="preserve"> שישתקם.</w:t>
      </w:r>
    </w:p>
    <w:p w14:paraId="57BB99BF" w14:textId="77777777" w:rsidR="00590DC9" w:rsidRDefault="00590DC9" w:rsidP="00590DC9">
      <w:pPr>
        <w:pStyle w:val="ab"/>
        <w:ind w:left="713"/>
        <w:rPr>
          <w:rtl/>
        </w:rPr>
      </w:pPr>
      <w:r>
        <w:rPr>
          <w:rFonts w:hint="cs"/>
          <w:rtl/>
        </w:rPr>
        <w:t xml:space="preserve">פסיקת בית המשפט העליון אשר לחריגה ממתחם העונש בשל שיקולי שיקום מלמדת על חריגה </w:t>
      </w:r>
      <w:r>
        <w:rPr>
          <w:rFonts w:hint="cs"/>
          <w:u w:val="single"/>
          <w:rtl/>
        </w:rPr>
        <w:t>במשורה</w:t>
      </w:r>
      <w:r>
        <w:rPr>
          <w:rFonts w:hint="cs"/>
          <w:rtl/>
        </w:rPr>
        <w:t xml:space="preserve">, וזאת רק כאשר </w:t>
      </w:r>
      <w:r>
        <w:rPr>
          <w:rFonts w:hint="cs"/>
          <w:u w:val="single"/>
          <w:rtl/>
        </w:rPr>
        <w:t>ניכרים בפועל</w:t>
      </w:r>
      <w:r>
        <w:rPr>
          <w:rFonts w:hint="cs"/>
          <w:rtl/>
        </w:rPr>
        <w:t xml:space="preserve"> שיקום או סיכויי שיקום </w:t>
      </w:r>
      <w:r>
        <w:rPr>
          <w:rFonts w:hint="cs"/>
          <w:u w:val="single"/>
          <w:rtl/>
        </w:rPr>
        <w:t>מובהקים</w:t>
      </w:r>
      <w:r>
        <w:rPr>
          <w:rFonts w:hint="cs"/>
          <w:rtl/>
        </w:rPr>
        <w:t xml:space="preserve"> (ר' </w:t>
      </w:r>
      <w:hyperlink r:id="rId49" w:history="1">
        <w:r w:rsidR="00222E94" w:rsidRPr="00222E94">
          <w:rPr>
            <w:color w:val="0000FF"/>
            <w:u w:val="single"/>
            <w:rtl/>
          </w:rPr>
          <w:t>ע"פ 671/22</w:t>
        </w:r>
      </w:hyperlink>
      <w:r>
        <w:rPr>
          <w:rFonts w:hint="cs"/>
          <w:rtl/>
        </w:rPr>
        <w:t xml:space="preserve">, </w:t>
      </w:r>
      <w:r>
        <w:rPr>
          <w:rFonts w:hint="cs"/>
          <w:b/>
          <w:bCs/>
          <w:rtl/>
        </w:rPr>
        <w:t>אחמד אבו תנהא נ' מדינת ישראל,</w:t>
      </w:r>
      <w:r>
        <w:rPr>
          <w:rFonts w:hint="cs"/>
          <w:rtl/>
        </w:rPr>
        <w:t xml:space="preserve"> פסקה 19 (20.10.2022)) (ההדגשות גם בהחלטת בית המשפט העליון הנ"ל – יב"ד).</w:t>
      </w:r>
    </w:p>
    <w:p w14:paraId="530613EB" w14:textId="77777777" w:rsidR="00590DC9" w:rsidRDefault="00590DC9" w:rsidP="00590DC9">
      <w:pPr>
        <w:pStyle w:val="ab"/>
        <w:ind w:left="706"/>
        <w:rPr>
          <w:rtl/>
        </w:rPr>
      </w:pPr>
      <w:r>
        <w:rPr>
          <w:rFonts w:hint="cs"/>
          <w:rtl/>
        </w:rPr>
        <w:t>בענייננו, מדובר בנאשם נעדר עבר פלילי אשר שיתף פעולה עם שירות המבחן, עשה דרך טיפולית מוצלחת וארוכה למדי במסגרת טיפולית סגורה לאחר שחרורו ממעצרו בחודש ספטמבר 21'.</w:t>
      </w:r>
    </w:p>
    <w:p w14:paraId="2B370EEA" w14:textId="77777777" w:rsidR="00590DC9" w:rsidRDefault="00590DC9" w:rsidP="00590DC9">
      <w:pPr>
        <w:pStyle w:val="ab"/>
        <w:ind w:left="699"/>
        <w:rPr>
          <w:rtl/>
        </w:rPr>
      </w:pPr>
      <w:r>
        <w:rPr>
          <w:rFonts w:hint="cs"/>
          <w:rtl/>
        </w:rPr>
        <w:t xml:space="preserve">הנאשם המשיך בדרכו השיקומית, תוך ליווי צמוד של גורמי הטיפול בעמותת "אנוש", מאז חודש דצמבר 22' ועד היום. </w:t>
      </w:r>
    </w:p>
    <w:p w14:paraId="7A43FA1A" w14:textId="77777777" w:rsidR="00590DC9" w:rsidRDefault="00590DC9" w:rsidP="00590DC9">
      <w:pPr>
        <w:pStyle w:val="ab"/>
        <w:ind w:left="692"/>
        <w:rPr>
          <w:rtl/>
        </w:rPr>
      </w:pPr>
      <w:r>
        <w:rPr>
          <w:rFonts w:hint="cs"/>
          <w:rtl/>
        </w:rPr>
        <w:t>דומה כי המוטיבציה של הנאשם בכל הקשור לשיקום עצמי שיפור חייו ועמידה על רגליים איתנות אך מתגברת, תוך שהוא מנצל עד תום את העזרה שניתנת לו.</w:t>
      </w:r>
    </w:p>
    <w:p w14:paraId="1CDEA225" w14:textId="77777777" w:rsidR="00590DC9" w:rsidRDefault="00590DC9" w:rsidP="00590DC9">
      <w:pPr>
        <w:pStyle w:val="ab"/>
        <w:ind w:left="685"/>
        <w:rPr>
          <w:rtl/>
        </w:rPr>
      </w:pPr>
      <w:r>
        <w:rPr>
          <w:rFonts w:hint="cs"/>
          <w:rtl/>
        </w:rPr>
        <w:t xml:space="preserve">כאמור, סטייה ממתחם ענישה תיעשה במשורה, ובאופן מדוד תוך איזון שאר שיקולי הענישה והאינטרסים הצריכים לעניין, לרבות האינטרס הציבורי שבמיצוי הדין והרתעת הרבים. </w:t>
      </w:r>
    </w:p>
    <w:p w14:paraId="23FF3218" w14:textId="77777777" w:rsidR="00590DC9" w:rsidRDefault="00590DC9" w:rsidP="00590DC9">
      <w:pPr>
        <w:pStyle w:val="ab"/>
        <w:ind w:left="678"/>
        <w:rPr>
          <w:rtl/>
        </w:rPr>
      </w:pPr>
      <w:r>
        <w:rPr>
          <w:rFonts w:hint="cs"/>
          <w:rtl/>
        </w:rPr>
        <w:t>אשר על כן  סבורני כי חרף נתוני השיקום החיוביים כאמור, המלצת שירות המבחן הינה מרחיקת לכת, שוקלת אך ורק את אינטרס הנאשם, אינה עולה בקנה אחד עם חומרת העבירות הענישה הנהוגה לצידן, ועם האינטרס הציבורי שבמיצוי דין והרתעה.</w:t>
      </w:r>
    </w:p>
    <w:p w14:paraId="10319598" w14:textId="77777777" w:rsidR="00590DC9" w:rsidRDefault="00590DC9" w:rsidP="00590DC9">
      <w:pPr>
        <w:pStyle w:val="ab"/>
        <w:ind w:left="671"/>
        <w:rPr>
          <w:rtl/>
        </w:rPr>
      </w:pPr>
      <w:r>
        <w:rPr>
          <w:rFonts w:hint="cs"/>
          <w:rtl/>
        </w:rPr>
        <w:t>עם זאת, סבורני כי יש ליתן ביטוי לדרך הטיפולית אותה עבר (וממשיך לעבור) הנאשם  מול גורמי הטיפול השונים, מעבר למיקום הנאשם בתחתית מתחם הענישה, כך שתחול בעניינו סטייה עונשית מהמתחם העונשי שנקבע לעיל.</w:t>
      </w:r>
    </w:p>
    <w:p w14:paraId="594497A6" w14:textId="77777777" w:rsidR="00590DC9" w:rsidRDefault="00590DC9" w:rsidP="00590DC9">
      <w:pPr>
        <w:pStyle w:val="11"/>
        <w:jc w:val="both"/>
        <w:rPr>
          <w:rtl/>
        </w:rPr>
      </w:pPr>
      <w:r>
        <w:rPr>
          <w:rtl/>
        </w:rPr>
        <w:t>סוף דבר</w:t>
      </w:r>
    </w:p>
    <w:p w14:paraId="377A9452" w14:textId="77777777" w:rsidR="00590DC9" w:rsidRDefault="00590DC9" w:rsidP="00590DC9">
      <w:pPr>
        <w:pStyle w:val="a"/>
        <w:numPr>
          <w:ilvl w:val="0"/>
          <w:numId w:val="3"/>
        </w:numPr>
        <w:tabs>
          <w:tab w:val="clear" w:pos="1440"/>
        </w:tabs>
        <w:rPr>
          <w:rFonts w:ascii="Times New Roman" w:eastAsia="Times New Roman" w:hAnsi="Times New Roman" w:cs="Times New Roman"/>
          <w:rtl/>
        </w:rPr>
      </w:pPr>
      <w:r>
        <w:rPr>
          <w:rFonts w:hint="cs"/>
          <w:rtl/>
        </w:rPr>
        <w:t>נוכח האמור, אני דן את הנאשם לעונשים הבאים:</w:t>
      </w:r>
    </w:p>
    <w:p w14:paraId="7498DF88" w14:textId="77777777" w:rsidR="00590DC9" w:rsidRDefault="00590DC9" w:rsidP="00590DC9">
      <w:pPr>
        <w:pStyle w:val="a0"/>
        <w:numPr>
          <w:ilvl w:val="0"/>
          <w:numId w:val="4"/>
        </w:numPr>
        <w:ind w:left="1218"/>
        <w:jc w:val="both"/>
      </w:pPr>
      <w:r>
        <w:rPr>
          <w:rFonts w:hint="cs"/>
          <w:rtl/>
        </w:rPr>
        <w:t>6 חודשי מאסר בפועל, אשר ירוצו בדרך של עבודות שירות ב"באר שובע" ברחוב קק"ל 201 בבאר-שבע, במשך חמישה ימים בשבוע, 8.5 שעות ביום או לפי קביעה אחרת של הממונה על עבודות השירות.</w:t>
      </w:r>
    </w:p>
    <w:p w14:paraId="27C46B21" w14:textId="77777777" w:rsidR="00590DC9" w:rsidRDefault="00590DC9" w:rsidP="00590DC9">
      <w:pPr>
        <w:pStyle w:val="-"/>
        <w:rPr>
          <w:rtl/>
        </w:rPr>
      </w:pPr>
      <w:r>
        <w:rPr>
          <w:rFonts w:hint="cs"/>
          <w:rtl/>
        </w:rPr>
        <w:t xml:space="preserve">הנאשם יתייצב לריצוי עונשו ביום </w:t>
      </w:r>
      <w:r w:rsidRPr="00F603C5">
        <w:rPr>
          <w:rFonts w:hint="cs"/>
          <w:b/>
          <w:bCs/>
          <w:rtl/>
        </w:rPr>
        <w:t>25.6.24</w:t>
      </w:r>
      <w:r>
        <w:rPr>
          <w:rFonts w:hint="cs"/>
          <w:rtl/>
        </w:rPr>
        <w:t xml:space="preserve"> בשעה 08:00 במשרדי הממונה על עבודות השירות במפקדת מחוז דרום של שב"ס ליד כלא באר-שבע.</w:t>
      </w:r>
    </w:p>
    <w:p w14:paraId="354E9B3E" w14:textId="77777777" w:rsidR="00590DC9" w:rsidRDefault="00590DC9" w:rsidP="00590DC9">
      <w:pPr>
        <w:pStyle w:val="-"/>
      </w:pPr>
      <w:r>
        <w:rPr>
          <w:rFonts w:hint="cs"/>
          <w:rtl/>
        </w:rPr>
        <w:t>אני מזהיר את הנאשם שעליו לנהוג בהתאם לכללים ולתנאים שתקבע הממונה על עבודות השירות ושאם לא יעשה כן יכול ויופסקו עבודות השירות והוא יידרש לרצות את יתרת עונשו בכלא.</w:t>
      </w:r>
    </w:p>
    <w:p w14:paraId="23A67397" w14:textId="77777777" w:rsidR="00590DC9" w:rsidRDefault="00590DC9" w:rsidP="00590DC9">
      <w:pPr>
        <w:pStyle w:val="a0"/>
        <w:rPr>
          <w:rtl/>
        </w:rPr>
      </w:pPr>
      <w:r>
        <w:rPr>
          <w:rFonts w:hint="cs"/>
          <w:rtl/>
        </w:rPr>
        <w:t xml:space="preserve">6 חודשי מאסר על תנאי, לתקופה של 3 שנים מתום מהיום, שלא יעבור כל עבֵרת סמים מסוג פשע. </w:t>
      </w:r>
    </w:p>
    <w:p w14:paraId="43AD2812" w14:textId="77777777" w:rsidR="00590DC9" w:rsidRDefault="00590DC9" w:rsidP="00590DC9">
      <w:pPr>
        <w:pStyle w:val="a0"/>
        <w:rPr>
          <w:rtl/>
        </w:rPr>
      </w:pPr>
      <w:r>
        <w:rPr>
          <w:rFonts w:hint="cs"/>
          <w:rtl/>
        </w:rPr>
        <w:t>קנס 3000 שח – הקנס ישולם ב-  10 תשלומים שווים ורצופים החל מיום 1.8.24.</w:t>
      </w:r>
    </w:p>
    <w:p w14:paraId="64E70790" w14:textId="77777777" w:rsidR="00590DC9" w:rsidRDefault="00590DC9" w:rsidP="00590DC9">
      <w:pPr>
        <w:pStyle w:val="a0"/>
        <w:rPr>
          <w:rtl/>
        </w:rPr>
      </w:pPr>
      <w:r>
        <w:rPr>
          <w:rFonts w:hint="cs"/>
          <w:rtl/>
        </w:rPr>
        <w:t>צו מבחן למשך שנה מהיום.</w:t>
      </w:r>
    </w:p>
    <w:p w14:paraId="0E1A1507" w14:textId="77777777" w:rsidR="00590DC9" w:rsidRDefault="00590DC9" w:rsidP="00590DC9">
      <w:pPr>
        <w:spacing w:line="360" w:lineRule="auto"/>
        <w:ind w:left="386"/>
        <w:jc w:val="both"/>
        <w:rPr>
          <w:rtl/>
        </w:rPr>
      </w:pPr>
    </w:p>
    <w:p w14:paraId="19A56EBC" w14:textId="77777777" w:rsidR="00590DC9" w:rsidRDefault="00590DC9" w:rsidP="00590DC9">
      <w:pPr>
        <w:spacing w:line="360" w:lineRule="auto"/>
        <w:jc w:val="both"/>
        <w:rPr>
          <w:b/>
          <w:bCs/>
        </w:rPr>
      </w:pPr>
      <w:r>
        <w:rPr>
          <w:rFonts w:hint="cs"/>
          <w:b/>
          <w:bCs/>
          <w:rtl/>
        </w:rPr>
        <w:t>את הקנס / הפיצוי ניתן לשלם כעבור 3 ימים מהיום באחת מהדרכים הבאות:</w:t>
      </w:r>
    </w:p>
    <w:p w14:paraId="7A95D6D2" w14:textId="77777777" w:rsidR="00590DC9" w:rsidRDefault="00590DC9" w:rsidP="00590DC9">
      <w:pPr>
        <w:numPr>
          <w:ilvl w:val="0"/>
          <w:numId w:val="5"/>
        </w:numPr>
        <w:spacing w:line="360" w:lineRule="auto"/>
        <w:jc w:val="both"/>
        <w:rPr>
          <w:b/>
          <w:bCs/>
        </w:rPr>
      </w:pPr>
      <w:r>
        <w:rPr>
          <w:rFonts w:hint="cs"/>
          <w:b/>
          <w:bCs/>
          <w:rtl/>
        </w:rPr>
        <w:t xml:space="preserve">תשלום בכרטיס אשראי באמצעות האתר המקוון של רשות האכיפה והגבייה בכתובת: </w:t>
      </w:r>
      <w:r>
        <w:rPr>
          <w:b/>
          <w:bCs/>
        </w:rPr>
        <w:t>www.eca.gov.il</w:t>
      </w:r>
      <w:r>
        <w:rPr>
          <w:rFonts w:hint="cs"/>
          <w:b/>
          <w:bCs/>
          <w:rtl/>
        </w:rPr>
        <w:t>.</w:t>
      </w:r>
    </w:p>
    <w:p w14:paraId="615F1CCA" w14:textId="77777777" w:rsidR="00590DC9" w:rsidRDefault="00590DC9" w:rsidP="00590DC9">
      <w:pPr>
        <w:numPr>
          <w:ilvl w:val="0"/>
          <w:numId w:val="5"/>
        </w:numPr>
        <w:spacing w:line="360" w:lineRule="auto"/>
        <w:jc w:val="both"/>
        <w:rPr>
          <w:b/>
          <w:bCs/>
          <w:rtl/>
        </w:rPr>
      </w:pPr>
      <w:r>
        <w:rPr>
          <w:rFonts w:hint="cs"/>
          <w:b/>
          <w:bCs/>
          <w:rtl/>
        </w:rPr>
        <w:t>תשלום בשירות עצמי באמצעות מוקד שירות טלפוני של מרכז הגבייה, בטלפון שמספרו 35592* או, 073-205-5000.</w:t>
      </w:r>
    </w:p>
    <w:p w14:paraId="18E05DCF" w14:textId="77777777" w:rsidR="00590DC9" w:rsidRDefault="00590DC9" w:rsidP="00590DC9">
      <w:pPr>
        <w:numPr>
          <w:ilvl w:val="0"/>
          <w:numId w:val="5"/>
        </w:numPr>
        <w:spacing w:line="360" w:lineRule="auto"/>
        <w:jc w:val="both"/>
        <w:rPr>
          <w:b/>
          <w:bCs/>
        </w:rPr>
      </w:pPr>
      <w:r>
        <w:rPr>
          <w:rFonts w:hint="cs"/>
          <w:b/>
          <w:bCs/>
          <w:rtl/>
        </w:rPr>
        <w:t>תשלום במזומן בכל סניף של בנק הדואר, בהצגת תעודת זהות בלבד (אין צורך בהצגת שוברי תשלום)</w:t>
      </w:r>
    </w:p>
    <w:p w14:paraId="727B7B4E" w14:textId="77777777" w:rsidR="00590DC9" w:rsidRDefault="00590DC9" w:rsidP="00590DC9">
      <w:pPr>
        <w:spacing w:line="360" w:lineRule="auto"/>
        <w:jc w:val="both"/>
      </w:pPr>
    </w:p>
    <w:p w14:paraId="06364684" w14:textId="77777777" w:rsidR="00590DC9" w:rsidRDefault="00590DC9" w:rsidP="00590DC9">
      <w:pPr>
        <w:spacing w:line="360" w:lineRule="auto"/>
        <w:jc w:val="both"/>
      </w:pPr>
      <w:r>
        <w:rPr>
          <w:rFonts w:hint="cs"/>
          <w:rtl/>
        </w:rPr>
        <w:t>מוצג הסמים יושמד.</w:t>
      </w:r>
    </w:p>
    <w:p w14:paraId="6B3BEE12" w14:textId="77777777" w:rsidR="00590DC9" w:rsidRDefault="00590DC9" w:rsidP="00590DC9">
      <w:pPr>
        <w:spacing w:line="360" w:lineRule="auto"/>
        <w:jc w:val="both"/>
        <w:rPr>
          <w:rtl/>
        </w:rPr>
      </w:pPr>
      <w:r>
        <w:rPr>
          <w:rFonts w:hint="cs"/>
          <w:rtl/>
        </w:rPr>
        <w:t>המזכירות תסגור את התיק ו</w:t>
      </w:r>
      <w:r w:rsidRPr="00F603C5">
        <w:rPr>
          <w:rFonts w:hint="cs"/>
          <w:u w:val="single"/>
          <w:rtl/>
        </w:rPr>
        <w:t>תעביר העתק הפרוטוקול לשירות המבחן</w:t>
      </w:r>
      <w:r>
        <w:rPr>
          <w:rFonts w:hint="cs"/>
          <w:rtl/>
        </w:rPr>
        <w:t>.</w:t>
      </w:r>
    </w:p>
    <w:p w14:paraId="75292A9D" w14:textId="77777777" w:rsidR="00590DC9" w:rsidRPr="00222E94" w:rsidRDefault="00222E94" w:rsidP="00590DC9">
      <w:pPr>
        <w:spacing w:after="160" w:line="254" w:lineRule="auto"/>
        <w:jc w:val="both"/>
        <w:rPr>
          <w:rFonts w:ascii="Calibri" w:hAnsi="Calibri" w:cs="Arial"/>
          <w:color w:val="FFFFFF"/>
          <w:sz w:val="2"/>
          <w:szCs w:val="2"/>
          <w:rtl/>
        </w:rPr>
      </w:pPr>
      <w:r w:rsidRPr="00222E94">
        <w:rPr>
          <w:rFonts w:ascii="Calibri" w:hAnsi="Calibri" w:cs="Arial"/>
          <w:color w:val="FFFFFF"/>
          <w:sz w:val="2"/>
          <w:szCs w:val="2"/>
          <w:rtl/>
        </w:rPr>
        <w:t>5129371</w:t>
      </w:r>
    </w:p>
    <w:p w14:paraId="4754AF76" w14:textId="77777777" w:rsidR="00590DC9" w:rsidRDefault="00222E94" w:rsidP="00590DC9">
      <w:pPr>
        <w:spacing w:line="360" w:lineRule="auto"/>
        <w:jc w:val="both"/>
        <w:rPr>
          <w:rFonts w:ascii="David" w:hAnsi="David"/>
        </w:rPr>
      </w:pPr>
      <w:r w:rsidRPr="00222E94">
        <w:rPr>
          <w:b/>
          <w:bCs/>
          <w:color w:val="FFFFFF"/>
          <w:sz w:val="2"/>
          <w:szCs w:val="2"/>
          <w:rtl/>
        </w:rPr>
        <w:t>54678313</w:t>
      </w:r>
      <w:r w:rsidR="00590DC9">
        <w:rPr>
          <w:rFonts w:hint="cs"/>
          <w:b/>
          <w:bCs/>
          <w:rtl/>
        </w:rPr>
        <w:t>זכות ערעור בתוך 45 יום לבית המשפט המחוזי</w:t>
      </w:r>
      <w:r w:rsidR="00590DC9">
        <w:rPr>
          <w:rFonts w:hint="cs"/>
          <w:rtl/>
        </w:rPr>
        <w:t>.</w:t>
      </w:r>
    </w:p>
    <w:p w14:paraId="16DC2766" w14:textId="77777777" w:rsidR="00590DC9" w:rsidRPr="009A7D1F" w:rsidRDefault="00590DC9" w:rsidP="00590DC9">
      <w:pPr>
        <w:rPr>
          <w:rFonts w:ascii="Arial" w:hAnsi="Arial"/>
          <w:b/>
          <w:bCs/>
          <w:sz w:val="26"/>
          <w:szCs w:val="26"/>
          <w:rtl/>
        </w:rPr>
      </w:pPr>
    </w:p>
    <w:p w14:paraId="16E02C41" w14:textId="77777777" w:rsidR="00590DC9" w:rsidRPr="000F2247" w:rsidRDefault="00222E94" w:rsidP="00590DC9">
      <w:pPr>
        <w:spacing w:line="360" w:lineRule="auto"/>
        <w:jc w:val="both"/>
        <w:rPr>
          <w:rFonts w:ascii="Arial" w:hAnsi="Arial"/>
          <w:b/>
          <w:bCs/>
          <w:sz w:val="26"/>
          <w:szCs w:val="26"/>
          <w:rtl/>
        </w:rPr>
      </w:pPr>
      <w:bookmarkStart w:id="9" w:name="Nitan"/>
      <w:r>
        <w:rPr>
          <w:rFonts w:ascii="Arial" w:hAnsi="Arial"/>
          <w:b/>
          <w:bCs/>
          <w:sz w:val="26"/>
          <w:szCs w:val="26"/>
          <w:rtl/>
        </w:rPr>
        <w:t xml:space="preserve">ניתן היום,  כ"ז אייר תשפ"ד, 04 יוני 2024, בנוכחות הצדדים. </w:t>
      </w:r>
      <w:bookmarkEnd w:id="9"/>
      <w:r w:rsidR="00590DC9">
        <w:rPr>
          <w:rFonts w:ascii="Arial" w:hAnsi="Arial"/>
          <w:b/>
          <w:bCs/>
          <w:sz w:val="26"/>
          <w:szCs w:val="26"/>
          <w:rtl/>
        </w:rPr>
        <w:tab/>
      </w:r>
      <w:r w:rsidR="00590DC9">
        <w:rPr>
          <w:rFonts w:ascii="Arial" w:hAnsi="Arial"/>
          <w:b/>
          <w:bCs/>
          <w:sz w:val="26"/>
          <w:szCs w:val="26"/>
          <w:rtl/>
        </w:rPr>
        <w:tab/>
      </w:r>
      <w:r w:rsidR="00590DC9">
        <w:rPr>
          <w:rFonts w:ascii="Arial" w:hAnsi="Arial"/>
          <w:b/>
          <w:bCs/>
          <w:sz w:val="26"/>
          <w:szCs w:val="26"/>
          <w:rtl/>
        </w:rPr>
        <w:tab/>
      </w:r>
      <w:r w:rsidR="00590DC9">
        <w:rPr>
          <w:rFonts w:ascii="Arial" w:hAnsi="Arial"/>
          <w:b/>
          <w:bCs/>
          <w:sz w:val="26"/>
          <w:szCs w:val="26"/>
          <w:rtl/>
        </w:rPr>
        <w:tab/>
      </w:r>
      <w:r w:rsidR="00590DC9">
        <w:rPr>
          <w:rFonts w:ascii="Arial" w:hAnsi="Arial"/>
          <w:b/>
          <w:bCs/>
          <w:sz w:val="26"/>
          <w:szCs w:val="26"/>
          <w:rtl/>
        </w:rPr>
        <w:tab/>
      </w:r>
      <w:r w:rsidR="00590DC9">
        <w:rPr>
          <w:rFonts w:ascii="Arial" w:hAnsi="Arial"/>
          <w:b/>
          <w:bCs/>
          <w:sz w:val="26"/>
          <w:szCs w:val="26"/>
          <w:rtl/>
        </w:rPr>
        <w:tab/>
      </w:r>
      <w:r w:rsidR="00590DC9">
        <w:rPr>
          <w:rFonts w:ascii="Arial" w:hAnsi="Arial"/>
          <w:b/>
          <w:bCs/>
          <w:sz w:val="26"/>
          <w:szCs w:val="26"/>
          <w:rtl/>
        </w:rPr>
        <w:tab/>
      </w:r>
      <w:r w:rsidR="00590DC9">
        <w:rPr>
          <w:rFonts w:ascii="Arial" w:hAnsi="Arial" w:hint="cs"/>
          <w:b/>
          <w:bCs/>
          <w:sz w:val="26"/>
          <w:szCs w:val="26"/>
          <w:rtl/>
        </w:rPr>
        <w:t xml:space="preserve">         </w:t>
      </w:r>
    </w:p>
    <w:p w14:paraId="310E75EF" w14:textId="77777777" w:rsidR="00590DC9" w:rsidRPr="000F2247" w:rsidRDefault="00590DC9" w:rsidP="00222E94">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2CF0DC5" w14:textId="77777777" w:rsidR="00590DC9" w:rsidRPr="000F2247" w:rsidRDefault="00590DC9" w:rsidP="00590DC9">
      <w:pPr>
        <w:jc w:val="center"/>
        <w:rPr>
          <w:rFonts w:ascii="Arial" w:hAnsi="Arial"/>
          <w:b/>
          <w:bCs/>
          <w:sz w:val="26"/>
          <w:szCs w:val="26"/>
          <w:rtl/>
        </w:rPr>
      </w:pPr>
    </w:p>
    <w:p w14:paraId="2C4FFE08" w14:textId="77777777" w:rsidR="00691AC6" w:rsidRPr="00222E94" w:rsidRDefault="00691AC6" w:rsidP="00222E94">
      <w:pPr>
        <w:keepNext/>
        <w:rPr>
          <w:rFonts w:ascii="David" w:hAnsi="David"/>
          <w:color w:val="000000"/>
          <w:sz w:val="22"/>
          <w:szCs w:val="22"/>
          <w:rtl/>
        </w:rPr>
      </w:pPr>
    </w:p>
    <w:p w14:paraId="13D14CFB" w14:textId="77777777" w:rsidR="00222E94" w:rsidRPr="00222E94" w:rsidRDefault="00222E94" w:rsidP="00222E94">
      <w:pPr>
        <w:keepNext/>
        <w:rPr>
          <w:rFonts w:ascii="David" w:hAnsi="David"/>
          <w:color w:val="000000"/>
          <w:sz w:val="22"/>
          <w:szCs w:val="22"/>
          <w:rtl/>
        </w:rPr>
      </w:pPr>
      <w:r w:rsidRPr="00222E94">
        <w:rPr>
          <w:rFonts w:ascii="David" w:hAnsi="David"/>
          <w:color w:val="000000"/>
          <w:sz w:val="22"/>
          <w:szCs w:val="22"/>
          <w:rtl/>
        </w:rPr>
        <w:t>יריב בן דוד 54678313</w:t>
      </w:r>
    </w:p>
    <w:p w14:paraId="5F82E504" w14:textId="77777777" w:rsidR="00222E94" w:rsidRDefault="00222E94" w:rsidP="00222E94">
      <w:r w:rsidRPr="00222E94">
        <w:rPr>
          <w:color w:val="000000"/>
          <w:rtl/>
        </w:rPr>
        <w:t>נוסח מסמך זה כפוף לשינויי ניסוח ועריכה</w:t>
      </w:r>
    </w:p>
    <w:p w14:paraId="3B98AE42" w14:textId="77777777" w:rsidR="00222E94" w:rsidRDefault="00222E94" w:rsidP="00222E94">
      <w:pPr>
        <w:rPr>
          <w:rtl/>
        </w:rPr>
      </w:pPr>
    </w:p>
    <w:p w14:paraId="6B61F1B7" w14:textId="77777777" w:rsidR="00222E94" w:rsidRDefault="00222E94" w:rsidP="00222E94">
      <w:pPr>
        <w:jc w:val="center"/>
        <w:rPr>
          <w:color w:val="0000FF"/>
          <w:u w:val="single"/>
        </w:rPr>
      </w:pPr>
      <w:hyperlink r:id="rId50" w:history="1">
        <w:r>
          <w:rPr>
            <w:color w:val="0000FF"/>
            <w:u w:val="single"/>
            <w:rtl/>
          </w:rPr>
          <w:t>בעניין עריכה ושינויים במסמכי פסיקה, חקיקה ועוד באתר נבו – הקש כאן</w:t>
        </w:r>
      </w:hyperlink>
    </w:p>
    <w:p w14:paraId="2782EE38" w14:textId="77777777" w:rsidR="00222E94" w:rsidRPr="00222E94" w:rsidRDefault="00222E94" w:rsidP="00222E94">
      <w:pPr>
        <w:jc w:val="center"/>
        <w:rPr>
          <w:color w:val="0000FF"/>
          <w:u w:val="single"/>
        </w:rPr>
      </w:pPr>
    </w:p>
    <w:sectPr w:rsidR="00222E94" w:rsidRPr="00222E94" w:rsidSect="00222E94">
      <w:headerReference w:type="even" r:id="rId51"/>
      <w:headerReference w:type="default" r:id="rId52"/>
      <w:footerReference w:type="even" r:id="rId53"/>
      <w:footerReference w:type="default" r:id="rId54"/>
      <w:pgSz w:w="11907" w:h="16840" w:code="9"/>
      <w:pgMar w:top="1701" w:right="1701" w:bottom="2552"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CC4885" w14:textId="77777777" w:rsidR="008D1C97" w:rsidRDefault="008D1C97" w:rsidP="006D6442">
      <w:r>
        <w:separator/>
      </w:r>
    </w:p>
  </w:endnote>
  <w:endnote w:type="continuationSeparator" w:id="0">
    <w:p w14:paraId="4F867643" w14:textId="77777777" w:rsidR="008D1C97" w:rsidRDefault="008D1C97" w:rsidP="006D6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E7F3D" w14:textId="77777777" w:rsidR="00222E94" w:rsidRDefault="00222E94" w:rsidP="00222E94">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38404D4" w14:textId="77777777" w:rsidR="002E2711" w:rsidRPr="00222E94" w:rsidRDefault="00222E94" w:rsidP="00222E94">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3EEFD" w14:textId="77777777" w:rsidR="00222E94" w:rsidRDefault="00222E94" w:rsidP="00222E94">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742C9">
      <w:rPr>
        <w:rFonts w:ascii="FrankRuehl" w:hAnsi="FrankRuehl" w:cs="FrankRuehl"/>
        <w:noProof/>
        <w:rtl/>
      </w:rPr>
      <w:t>1</w:t>
    </w:r>
    <w:r>
      <w:rPr>
        <w:rFonts w:ascii="FrankRuehl" w:hAnsi="FrankRuehl" w:cs="FrankRuehl"/>
        <w:rtl/>
      </w:rPr>
      <w:fldChar w:fldCharType="end"/>
    </w:r>
  </w:p>
  <w:p w14:paraId="3C74145C" w14:textId="77777777" w:rsidR="002E2711" w:rsidRPr="00222E94" w:rsidRDefault="00222E94" w:rsidP="00222E94">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D1007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8240BF" w14:textId="77777777" w:rsidR="008D1C97" w:rsidRDefault="008D1C97" w:rsidP="006D6442">
      <w:r>
        <w:separator/>
      </w:r>
    </w:p>
  </w:footnote>
  <w:footnote w:type="continuationSeparator" w:id="0">
    <w:p w14:paraId="1A8F7885" w14:textId="77777777" w:rsidR="008D1C97" w:rsidRDefault="008D1C97" w:rsidP="006D64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C37A1" w14:textId="77777777" w:rsidR="00222E94" w:rsidRPr="00222E94" w:rsidRDefault="00222E94" w:rsidP="00222E94">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49910-06-21</w:t>
    </w:r>
    <w:r>
      <w:rPr>
        <w:rFonts w:ascii="David" w:hAnsi="David"/>
        <w:color w:val="000000"/>
        <w:sz w:val="22"/>
        <w:szCs w:val="22"/>
        <w:rtl/>
      </w:rPr>
      <w:tab/>
      <w:t xml:space="preserve"> מדינת ישראל נ' גל מלכה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622AE4" w14:textId="77777777" w:rsidR="00222E94" w:rsidRPr="00222E94" w:rsidRDefault="00222E94" w:rsidP="00222E94">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49910-06-21</w:t>
    </w:r>
    <w:r>
      <w:rPr>
        <w:rFonts w:ascii="David" w:hAnsi="David"/>
        <w:color w:val="000000"/>
        <w:sz w:val="22"/>
        <w:szCs w:val="22"/>
        <w:rtl/>
      </w:rPr>
      <w:tab/>
      <w:t xml:space="preserve"> מדינת ישראל נ' גל מלכה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94128F"/>
    <w:multiLevelType w:val="multilevel"/>
    <w:tmpl w:val="1C6E044E"/>
    <w:lvl w:ilvl="0">
      <w:start w:val="1"/>
      <w:numFmt w:val="decimal"/>
      <w:lvlText w:val="%1."/>
      <w:lvlJc w:val="left"/>
      <w:pPr>
        <w:tabs>
          <w:tab w:val="num" w:pos="720"/>
        </w:tabs>
        <w:ind w:left="720" w:hanging="360"/>
      </w:pPr>
    </w:lvl>
    <w:lvl w:ilvl="1">
      <w:start w:val="1"/>
      <w:numFmt w:val="decimal"/>
      <w:pStyle w:val="a"/>
      <w:lvlText w:val="%2."/>
      <w:lvlJc w:val="left"/>
      <w:pPr>
        <w:tabs>
          <w:tab w:val="num" w:pos="2911"/>
        </w:tabs>
        <w:ind w:left="2911" w:hanging="360"/>
      </w:pPr>
    </w:lvl>
    <w:lvl w:ilvl="2">
      <w:start w:val="1"/>
      <w:numFmt w:val="decimal"/>
      <w:isLgl/>
      <w:lvlText w:val="%1.%2.%3"/>
      <w:lvlJc w:val="left"/>
      <w:pPr>
        <w:tabs>
          <w:tab w:val="num" w:pos="1800"/>
        </w:tabs>
        <w:ind w:left="180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880"/>
        </w:tabs>
        <w:ind w:left="2880" w:hanging="1080"/>
      </w:pPr>
    </w:lvl>
    <w:lvl w:ilvl="5">
      <w:start w:val="1"/>
      <w:numFmt w:val="decimal"/>
      <w:isLgl/>
      <w:lvlText w:val="%1.%2.%3.%4.%5.%6"/>
      <w:lvlJc w:val="left"/>
      <w:pPr>
        <w:tabs>
          <w:tab w:val="num" w:pos="3240"/>
        </w:tabs>
        <w:ind w:left="3240" w:hanging="1080"/>
      </w:pPr>
    </w:lvl>
    <w:lvl w:ilvl="6">
      <w:start w:val="1"/>
      <w:numFmt w:val="decimal"/>
      <w:isLgl/>
      <w:lvlText w:val="%1.%2.%3.%4.%5.%6.%7"/>
      <w:lvlJc w:val="left"/>
      <w:pPr>
        <w:tabs>
          <w:tab w:val="num" w:pos="3600"/>
        </w:tabs>
        <w:ind w:left="3600" w:hanging="1080"/>
      </w:pPr>
    </w:lvl>
    <w:lvl w:ilvl="7">
      <w:start w:val="1"/>
      <w:numFmt w:val="decimal"/>
      <w:isLgl/>
      <w:lvlText w:val="%1.%2.%3.%4.%5.%6.%7.%8"/>
      <w:lvlJc w:val="left"/>
      <w:pPr>
        <w:tabs>
          <w:tab w:val="num" w:pos="4320"/>
        </w:tabs>
        <w:ind w:left="4320" w:hanging="1440"/>
      </w:pPr>
    </w:lvl>
    <w:lvl w:ilvl="8">
      <w:start w:val="1"/>
      <w:numFmt w:val="decimal"/>
      <w:isLgl/>
      <w:lvlText w:val="%1.%2.%3.%4.%5.%6.%7.%8.%9"/>
      <w:lvlJc w:val="left"/>
      <w:pPr>
        <w:tabs>
          <w:tab w:val="num" w:pos="4680"/>
        </w:tabs>
        <w:ind w:left="4680" w:hanging="1440"/>
      </w:pPr>
    </w:lvl>
  </w:abstractNum>
  <w:abstractNum w:abstractNumId="1" w15:restartNumberingAfterBreak="0">
    <w:nsid w:val="5BFD4701"/>
    <w:multiLevelType w:val="hybridMultilevel"/>
    <w:tmpl w:val="45320168"/>
    <w:lvl w:ilvl="0" w:tplc="DAEAD02A">
      <w:start w:val="1"/>
      <w:numFmt w:val="bullet"/>
      <w:lvlText w:val=""/>
      <w:lvlJc w:val="left"/>
      <w:pPr>
        <w:ind w:left="720" w:hanging="360"/>
      </w:pPr>
      <w:rPr>
        <w:rFonts w:ascii="Symbol" w:hAnsi="Symbol" w:hint="default"/>
      </w:rPr>
    </w:lvl>
    <w:lvl w:ilvl="1" w:tplc="680E825C">
      <w:start w:val="1"/>
      <w:numFmt w:val="bullet"/>
      <w:lvlText w:val="o"/>
      <w:lvlJc w:val="left"/>
      <w:pPr>
        <w:ind w:left="1440" w:hanging="360"/>
      </w:pPr>
      <w:rPr>
        <w:rFonts w:ascii="Courier New" w:hAnsi="Courier New" w:cs="Times New Roman" w:hint="default"/>
      </w:rPr>
    </w:lvl>
    <w:lvl w:ilvl="2" w:tplc="795888FA">
      <w:start w:val="1"/>
      <w:numFmt w:val="bullet"/>
      <w:lvlText w:val=""/>
      <w:lvlJc w:val="left"/>
      <w:pPr>
        <w:ind w:left="2160" w:hanging="360"/>
      </w:pPr>
      <w:rPr>
        <w:rFonts w:ascii="Wingdings" w:hAnsi="Wingdings" w:hint="default"/>
      </w:rPr>
    </w:lvl>
    <w:lvl w:ilvl="3" w:tplc="48A8CE4C">
      <w:start w:val="1"/>
      <w:numFmt w:val="bullet"/>
      <w:lvlText w:val=""/>
      <w:lvlJc w:val="left"/>
      <w:pPr>
        <w:ind w:left="2880" w:hanging="360"/>
      </w:pPr>
      <w:rPr>
        <w:rFonts w:ascii="Symbol" w:hAnsi="Symbol" w:hint="default"/>
      </w:rPr>
    </w:lvl>
    <w:lvl w:ilvl="4" w:tplc="C11860D6">
      <w:start w:val="1"/>
      <w:numFmt w:val="bullet"/>
      <w:lvlText w:val="o"/>
      <w:lvlJc w:val="left"/>
      <w:pPr>
        <w:ind w:left="3600" w:hanging="360"/>
      </w:pPr>
      <w:rPr>
        <w:rFonts w:ascii="Courier New" w:hAnsi="Courier New" w:cs="Times New Roman" w:hint="default"/>
      </w:rPr>
    </w:lvl>
    <w:lvl w:ilvl="5" w:tplc="51103728">
      <w:start w:val="1"/>
      <w:numFmt w:val="bullet"/>
      <w:lvlText w:val=""/>
      <w:lvlJc w:val="left"/>
      <w:pPr>
        <w:ind w:left="4320" w:hanging="360"/>
      </w:pPr>
      <w:rPr>
        <w:rFonts w:ascii="Wingdings" w:hAnsi="Wingdings" w:hint="default"/>
      </w:rPr>
    </w:lvl>
    <w:lvl w:ilvl="6" w:tplc="409C0BAE">
      <w:start w:val="1"/>
      <w:numFmt w:val="bullet"/>
      <w:lvlText w:val=""/>
      <w:lvlJc w:val="left"/>
      <w:pPr>
        <w:ind w:left="5040" w:hanging="360"/>
      </w:pPr>
      <w:rPr>
        <w:rFonts w:ascii="Symbol" w:hAnsi="Symbol" w:hint="default"/>
      </w:rPr>
    </w:lvl>
    <w:lvl w:ilvl="7" w:tplc="752EC51A">
      <w:start w:val="1"/>
      <w:numFmt w:val="bullet"/>
      <w:lvlText w:val="o"/>
      <w:lvlJc w:val="left"/>
      <w:pPr>
        <w:ind w:left="5760" w:hanging="360"/>
      </w:pPr>
      <w:rPr>
        <w:rFonts w:ascii="Courier New" w:hAnsi="Courier New" w:cs="Times New Roman" w:hint="default"/>
      </w:rPr>
    </w:lvl>
    <w:lvl w:ilvl="8" w:tplc="E95E6320">
      <w:start w:val="1"/>
      <w:numFmt w:val="bullet"/>
      <w:lvlText w:val=""/>
      <w:lvlJc w:val="left"/>
      <w:pPr>
        <w:ind w:left="6480" w:hanging="360"/>
      </w:pPr>
      <w:rPr>
        <w:rFonts w:ascii="Wingdings" w:hAnsi="Wingdings" w:hint="default"/>
      </w:rPr>
    </w:lvl>
  </w:abstractNum>
  <w:abstractNum w:abstractNumId="2" w15:restartNumberingAfterBreak="0">
    <w:nsid w:val="72685967"/>
    <w:multiLevelType w:val="hybridMultilevel"/>
    <w:tmpl w:val="FAE49D4C"/>
    <w:lvl w:ilvl="0" w:tplc="7944A7E0">
      <w:start w:val="1"/>
      <w:numFmt w:val="hebrew1"/>
      <w:pStyle w:val="a0"/>
      <w:lvlText w:val="%1."/>
      <w:lvlJc w:val="center"/>
      <w:pPr>
        <w:ind w:left="1080" w:hanging="360"/>
      </w:pPr>
    </w:lvl>
    <w:lvl w:ilvl="1" w:tplc="F0A203E8">
      <w:start w:val="1"/>
      <w:numFmt w:val="lowerLetter"/>
      <w:lvlText w:val="%2."/>
      <w:lvlJc w:val="left"/>
      <w:pPr>
        <w:ind w:left="1800" w:hanging="360"/>
      </w:pPr>
    </w:lvl>
    <w:lvl w:ilvl="2" w:tplc="4D8EC7C4">
      <w:start w:val="1"/>
      <w:numFmt w:val="lowerRoman"/>
      <w:lvlText w:val="%3."/>
      <w:lvlJc w:val="right"/>
      <w:pPr>
        <w:ind w:left="2520" w:hanging="180"/>
      </w:pPr>
    </w:lvl>
    <w:lvl w:ilvl="3" w:tplc="3A4AA5DE">
      <w:start w:val="1"/>
      <w:numFmt w:val="decimal"/>
      <w:lvlText w:val="%4."/>
      <w:lvlJc w:val="left"/>
      <w:pPr>
        <w:ind w:left="3240" w:hanging="360"/>
      </w:pPr>
    </w:lvl>
    <w:lvl w:ilvl="4" w:tplc="D58C1A50">
      <w:start w:val="1"/>
      <w:numFmt w:val="lowerLetter"/>
      <w:lvlText w:val="%5."/>
      <w:lvlJc w:val="left"/>
      <w:pPr>
        <w:ind w:left="3960" w:hanging="360"/>
      </w:pPr>
    </w:lvl>
    <w:lvl w:ilvl="5" w:tplc="B7B8C27A">
      <w:start w:val="1"/>
      <w:numFmt w:val="lowerRoman"/>
      <w:lvlText w:val="%6."/>
      <w:lvlJc w:val="right"/>
      <w:pPr>
        <w:ind w:left="4680" w:hanging="180"/>
      </w:pPr>
    </w:lvl>
    <w:lvl w:ilvl="6" w:tplc="5A6E8F3E">
      <w:start w:val="1"/>
      <w:numFmt w:val="decimal"/>
      <w:lvlText w:val="%7."/>
      <w:lvlJc w:val="left"/>
      <w:pPr>
        <w:ind w:left="5400" w:hanging="360"/>
      </w:pPr>
    </w:lvl>
    <w:lvl w:ilvl="7" w:tplc="E9029C84">
      <w:start w:val="1"/>
      <w:numFmt w:val="lowerLetter"/>
      <w:lvlText w:val="%8."/>
      <w:lvlJc w:val="left"/>
      <w:pPr>
        <w:ind w:left="6120" w:hanging="360"/>
      </w:pPr>
    </w:lvl>
    <w:lvl w:ilvl="8" w:tplc="02EA02DE">
      <w:start w:val="1"/>
      <w:numFmt w:val="lowerRoman"/>
      <w:lvlText w:val="%9."/>
      <w:lvlJc w:val="right"/>
      <w:pPr>
        <w:ind w:left="6840" w:hanging="180"/>
      </w:pPr>
    </w:lvl>
  </w:abstractNum>
  <w:num w:numId="1" w16cid:durableId="21377979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48583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827181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709373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17491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90DC9"/>
    <w:rsid w:val="001B5A3B"/>
    <w:rsid w:val="00222E94"/>
    <w:rsid w:val="002E2711"/>
    <w:rsid w:val="00590DC9"/>
    <w:rsid w:val="00691AC6"/>
    <w:rsid w:val="006D6442"/>
    <w:rsid w:val="008339AD"/>
    <w:rsid w:val="008D1C97"/>
    <w:rsid w:val="009742C9"/>
    <w:rsid w:val="00D37E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8CE164"/>
  <w15:chartTrackingRefBased/>
  <w15:docId w15:val="{EF67E086-421D-4851-AECF-9E1E9D4D5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590DC9"/>
    <w:pPr>
      <w:bidi/>
    </w:pPr>
    <w:rPr>
      <w:rFonts w:ascii="Times New Roman" w:eastAsia="Times New Roman" w:hAnsi="Times New Roman" w:cs="David"/>
      <w:sz w:val="24"/>
      <w:szCs w:val="24"/>
    </w:rPr>
  </w:style>
  <w:style w:type="paragraph" w:styleId="1">
    <w:name w:val="heading 1"/>
    <w:basedOn w:val="a1"/>
    <w:next w:val="a1"/>
    <w:link w:val="10"/>
    <w:qFormat/>
    <w:rsid w:val="00590DC9"/>
    <w:pPr>
      <w:keepNext/>
      <w:keepLines/>
      <w:spacing w:before="240"/>
      <w:outlineLvl w:val="0"/>
    </w:pPr>
    <w:rPr>
      <w:rFonts w:ascii="Calibri Light" w:hAnsi="Calibri Light" w:cs="Times New Roman"/>
      <w:color w:val="2E74B5"/>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590DC9"/>
    <w:pPr>
      <w:tabs>
        <w:tab w:val="center" w:pos="4153"/>
        <w:tab w:val="right" w:pos="8306"/>
      </w:tabs>
    </w:pPr>
  </w:style>
  <w:style w:type="character" w:customStyle="1" w:styleId="a6">
    <w:name w:val="כותרת עליונה תו"/>
    <w:link w:val="a5"/>
    <w:rsid w:val="00590DC9"/>
    <w:rPr>
      <w:rFonts w:ascii="Times New Roman" w:eastAsia="Times New Roman" w:hAnsi="Times New Roman" w:cs="David"/>
      <w:sz w:val="24"/>
      <w:szCs w:val="24"/>
    </w:rPr>
  </w:style>
  <w:style w:type="paragraph" w:styleId="a7">
    <w:name w:val="footer"/>
    <w:basedOn w:val="a1"/>
    <w:link w:val="a8"/>
    <w:rsid w:val="00590DC9"/>
    <w:pPr>
      <w:tabs>
        <w:tab w:val="center" w:pos="4153"/>
        <w:tab w:val="right" w:pos="8306"/>
      </w:tabs>
    </w:pPr>
  </w:style>
  <w:style w:type="character" w:customStyle="1" w:styleId="a8">
    <w:name w:val="כותרת תחתונה תו"/>
    <w:link w:val="a7"/>
    <w:rsid w:val="00590DC9"/>
    <w:rPr>
      <w:rFonts w:ascii="Times New Roman" w:eastAsia="Times New Roman" w:hAnsi="Times New Roman" w:cs="David"/>
      <w:sz w:val="24"/>
      <w:szCs w:val="24"/>
    </w:rPr>
  </w:style>
  <w:style w:type="table" w:styleId="a9">
    <w:name w:val="Table Grid"/>
    <w:basedOn w:val="a3"/>
    <w:rsid w:val="00590DC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590DC9"/>
  </w:style>
  <w:style w:type="paragraph" w:customStyle="1" w:styleId="ab">
    <w:name w:val="ללא מספור"/>
    <w:rsid w:val="00590DC9"/>
    <w:pPr>
      <w:bidi/>
      <w:spacing w:after="240" w:line="360" w:lineRule="auto"/>
      <w:ind w:left="651" w:hanging="7"/>
      <w:jc w:val="both"/>
    </w:pPr>
    <w:rPr>
      <w:rFonts w:ascii="David" w:hAnsi="David" w:cs="David"/>
      <w:sz w:val="24"/>
      <w:szCs w:val="24"/>
    </w:rPr>
  </w:style>
  <w:style w:type="paragraph" w:customStyle="1" w:styleId="a">
    <w:name w:val="ממוספר"/>
    <w:basedOn w:val="ac"/>
    <w:next w:val="ab"/>
    <w:rsid w:val="00590DC9"/>
    <w:pPr>
      <w:numPr>
        <w:ilvl w:val="1"/>
        <w:numId w:val="1"/>
      </w:numPr>
      <w:tabs>
        <w:tab w:val="clear" w:pos="2911"/>
        <w:tab w:val="num" w:pos="360"/>
        <w:tab w:val="num" w:pos="1440"/>
      </w:tabs>
      <w:spacing w:after="240" w:line="360" w:lineRule="auto"/>
      <w:ind w:left="651" w:hanging="425"/>
      <w:contextualSpacing w:val="0"/>
      <w:jc w:val="both"/>
    </w:pPr>
    <w:rPr>
      <w:rFonts w:ascii="David" w:eastAsia="David" w:hAnsi="David"/>
    </w:rPr>
  </w:style>
  <w:style w:type="paragraph" w:customStyle="1" w:styleId="11">
    <w:name w:val="כותר 1"/>
    <w:basedOn w:val="1"/>
    <w:rsid w:val="00590DC9"/>
    <w:pPr>
      <w:spacing w:after="240" w:line="360" w:lineRule="auto"/>
    </w:pPr>
    <w:rPr>
      <w:rFonts w:ascii="Arial" w:eastAsia="David" w:hAnsi="Arial" w:cs="David"/>
      <w:b/>
      <w:bCs/>
      <w:color w:val="auto"/>
      <w:sz w:val="24"/>
      <w:szCs w:val="24"/>
      <w:u w:val="single"/>
    </w:rPr>
  </w:style>
  <w:style w:type="paragraph" w:customStyle="1" w:styleId="ad">
    <w:name w:val="צטוט"/>
    <w:next w:val="ab"/>
    <w:rsid w:val="00590DC9"/>
    <w:pPr>
      <w:bidi/>
      <w:spacing w:after="240" w:line="276" w:lineRule="auto"/>
      <w:ind w:left="1503" w:right="709"/>
      <w:jc w:val="both"/>
    </w:pPr>
    <w:rPr>
      <w:rFonts w:ascii="David" w:hAnsi="David" w:cs="David"/>
      <w:i/>
      <w:iCs/>
      <w:sz w:val="24"/>
      <w:szCs w:val="24"/>
    </w:rPr>
  </w:style>
  <w:style w:type="paragraph" w:customStyle="1" w:styleId="-">
    <w:name w:val="ללא מספור - אות"/>
    <w:rsid w:val="00590DC9"/>
    <w:pPr>
      <w:bidi/>
      <w:spacing w:after="120" w:line="360" w:lineRule="auto"/>
      <w:ind w:left="1218"/>
      <w:jc w:val="both"/>
    </w:pPr>
    <w:rPr>
      <w:rFonts w:ascii="David" w:hAnsi="David" w:cs="David"/>
      <w:sz w:val="24"/>
      <w:szCs w:val="24"/>
    </w:rPr>
  </w:style>
  <w:style w:type="paragraph" w:customStyle="1" w:styleId="a0">
    <w:name w:val="מספור אות"/>
    <w:next w:val="-"/>
    <w:rsid w:val="00590DC9"/>
    <w:pPr>
      <w:numPr>
        <w:numId w:val="2"/>
      </w:numPr>
      <w:bidi/>
      <w:spacing w:before="240" w:after="120" w:line="360" w:lineRule="auto"/>
      <w:ind w:left="1218"/>
    </w:pPr>
    <w:rPr>
      <w:rFonts w:ascii="David" w:hAnsi="David" w:cs="David"/>
      <w:sz w:val="24"/>
      <w:szCs w:val="24"/>
    </w:rPr>
  </w:style>
  <w:style w:type="paragraph" w:styleId="ac">
    <w:name w:val="List Paragraph"/>
    <w:basedOn w:val="a1"/>
    <w:qFormat/>
    <w:rsid w:val="00590DC9"/>
    <w:pPr>
      <w:ind w:left="720"/>
      <w:contextualSpacing/>
    </w:pPr>
  </w:style>
  <w:style w:type="character" w:customStyle="1" w:styleId="10">
    <w:name w:val="כותרת 1 תו"/>
    <w:link w:val="1"/>
    <w:rsid w:val="00590DC9"/>
    <w:rPr>
      <w:rFonts w:ascii="Calibri Light" w:eastAsia="Times New Roman" w:hAnsi="Calibri Light" w:cs="Times New Roman"/>
      <w:color w:val="2E74B5"/>
      <w:sz w:val="32"/>
      <w:szCs w:val="32"/>
    </w:rPr>
  </w:style>
  <w:style w:type="character" w:styleId="ae">
    <w:name w:val="line number"/>
    <w:rsid w:val="00590DC9"/>
  </w:style>
  <w:style w:type="character" w:styleId="Hyperlink">
    <w:name w:val="Hyperlink"/>
    <w:rsid w:val="00222E9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c.b" TargetMode="External"/><Relationship Id="rId18" Type="http://schemas.openxmlformats.org/officeDocument/2006/relationships/hyperlink" Target="http://www.nevo.co.il/law/70301/40i.a.7"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5763169" TargetMode="External"/><Relationship Id="rId21" Type="http://schemas.openxmlformats.org/officeDocument/2006/relationships/hyperlink" Target="http://www.nevo.co.il/law/4216/7.c" TargetMode="External"/><Relationship Id="rId34" Type="http://schemas.openxmlformats.org/officeDocument/2006/relationships/hyperlink" Target="http://www.nevo.co.il/case/29573084"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40d"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i" TargetMode="External"/><Relationship Id="rId29" Type="http://schemas.openxmlformats.org/officeDocument/2006/relationships/hyperlink" Target="http://www.nevo.co.il/case/11269774" TargetMode="External"/><Relationship Id="rId11" Type="http://schemas.openxmlformats.org/officeDocument/2006/relationships/hyperlink" Target="http://www.nevo.co.il/law/70301/40b"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7596218" TargetMode="External"/><Relationship Id="rId37" Type="http://schemas.openxmlformats.org/officeDocument/2006/relationships/hyperlink" Target="http://www.nevo.co.il/law/70301/40i" TargetMode="External"/><Relationship Id="rId40" Type="http://schemas.openxmlformats.org/officeDocument/2006/relationships/hyperlink" Target="http://www.nevo.co.il/law/70301/40i.a.6" TargetMode="External"/><Relationship Id="rId45" Type="http://schemas.openxmlformats.org/officeDocument/2006/relationships/hyperlink" Target="http://www.nevo.co.il/law/70301/40c.b"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evo.co.il/law/70301" TargetMode="External"/><Relationship Id="rId19" Type="http://schemas.openxmlformats.org/officeDocument/2006/relationships/hyperlink" Target="http://www.nevo.co.il/law/70301/40ja" TargetMode="External"/><Relationship Id="rId31" Type="http://schemas.openxmlformats.org/officeDocument/2006/relationships/hyperlink" Target="http://www.nevo.co.il/case/28180177" TargetMode="External"/><Relationship Id="rId44" Type="http://schemas.openxmlformats.org/officeDocument/2006/relationships/hyperlink" Target="http://www.nevo.co.il/law/70301"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d" TargetMode="External"/><Relationship Id="rId22" Type="http://schemas.openxmlformats.org/officeDocument/2006/relationships/hyperlink" Target="http://www.nevo.co.il/law/4216" TargetMode="External"/><Relationship Id="rId27" Type="http://schemas.openxmlformats.org/officeDocument/2006/relationships/hyperlink" Target="http://www.nevo.co.il/case/5763166" TargetMode="External"/><Relationship Id="rId30" Type="http://schemas.openxmlformats.org/officeDocument/2006/relationships/hyperlink" Target="http://www.nevo.co.il/case/5988308" TargetMode="External"/><Relationship Id="rId35" Type="http://schemas.openxmlformats.org/officeDocument/2006/relationships/hyperlink" Target="http://www.nevo.co.il/case/21966972" TargetMode="External"/><Relationship Id="rId43" Type="http://schemas.openxmlformats.org/officeDocument/2006/relationships/hyperlink" Target="http://www.nevo.co.il/law/70301/40ja" TargetMode="External"/><Relationship Id="rId48" Type="http://schemas.openxmlformats.org/officeDocument/2006/relationships/hyperlink" Target="http://www.nevo.co.il/law/70301/40d.a" TargetMode="External"/><Relationship Id="rId56" Type="http://schemas.openxmlformats.org/officeDocument/2006/relationships/theme" Target="theme/theme1.xml"/><Relationship Id="rId8" Type="http://schemas.openxmlformats.org/officeDocument/2006/relationships/hyperlink" Target="http://www.nevo.co.il/law/4216/7.a"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70301/40c.a" TargetMode="External"/><Relationship Id="rId17" Type="http://schemas.openxmlformats.org/officeDocument/2006/relationships/hyperlink" Target="http://www.nevo.co.il/law/70301/40i.a.6" TargetMode="External"/><Relationship Id="rId25" Type="http://schemas.openxmlformats.org/officeDocument/2006/relationships/hyperlink" Target="http://www.nevo.co.il/law/70301/40b" TargetMode="External"/><Relationship Id="rId33" Type="http://schemas.openxmlformats.org/officeDocument/2006/relationships/hyperlink" Target="http://www.nevo.co.il/case/29597475"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 TargetMode="External"/><Relationship Id="rId20" Type="http://schemas.openxmlformats.org/officeDocument/2006/relationships/hyperlink" Target="http://www.nevo.co.il/law/4216/7.a" TargetMode="External"/><Relationship Id="rId41" Type="http://schemas.openxmlformats.org/officeDocument/2006/relationships/hyperlink" Target="http://www.nevo.co.il/law/70301/40i.a.7"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d.a" TargetMode="External"/><Relationship Id="rId23" Type="http://schemas.openxmlformats.org/officeDocument/2006/relationships/hyperlink" Target="http://www.nevo.co.il/law/70301/40c.a"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8830528" TargetMode="External"/><Relationship Id="rId49" Type="http://schemas.openxmlformats.org/officeDocument/2006/relationships/hyperlink" Target="http://www.nevo.co.il/case/2828078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3383</Words>
  <Characters>16917</Characters>
  <Application>Microsoft Office Word</Application>
  <DocSecurity>0</DocSecurity>
  <Lines>140</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20260</CharactersWithSpaces>
  <SharedDoc>false</SharedDoc>
  <HLinks>
    <vt:vector size="264" baseType="variant">
      <vt:variant>
        <vt:i4>393283</vt:i4>
      </vt:variant>
      <vt:variant>
        <vt:i4>129</vt:i4>
      </vt:variant>
      <vt:variant>
        <vt:i4>0</vt:i4>
      </vt:variant>
      <vt:variant>
        <vt:i4>5</vt:i4>
      </vt:variant>
      <vt:variant>
        <vt:lpwstr>http://www.nevo.co.il/advertisements/nevo-100.doc</vt:lpwstr>
      </vt:variant>
      <vt:variant>
        <vt:lpwstr/>
      </vt:variant>
      <vt:variant>
        <vt:i4>3670131</vt:i4>
      </vt:variant>
      <vt:variant>
        <vt:i4>126</vt:i4>
      </vt:variant>
      <vt:variant>
        <vt:i4>0</vt:i4>
      </vt:variant>
      <vt:variant>
        <vt:i4>5</vt:i4>
      </vt:variant>
      <vt:variant>
        <vt:lpwstr>http://www.nevo.co.il/case/28280788</vt:lpwstr>
      </vt:variant>
      <vt:variant>
        <vt:lpwstr/>
      </vt:variant>
      <vt:variant>
        <vt:i4>4915205</vt:i4>
      </vt:variant>
      <vt:variant>
        <vt:i4>123</vt:i4>
      </vt:variant>
      <vt:variant>
        <vt:i4>0</vt:i4>
      </vt:variant>
      <vt:variant>
        <vt:i4>5</vt:i4>
      </vt:variant>
      <vt:variant>
        <vt:lpwstr>http://www.nevo.co.il/law/70301/40d.a</vt:lpwstr>
      </vt:variant>
      <vt:variant>
        <vt:lpwstr/>
      </vt:variant>
      <vt:variant>
        <vt:i4>6619233</vt:i4>
      </vt:variant>
      <vt:variant>
        <vt:i4>120</vt:i4>
      </vt:variant>
      <vt:variant>
        <vt:i4>0</vt:i4>
      </vt:variant>
      <vt:variant>
        <vt:i4>5</vt:i4>
      </vt:variant>
      <vt:variant>
        <vt:lpwstr>http://www.nevo.co.il/law/70301/40d</vt:lpwstr>
      </vt:variant>
      <vt:variant>
        <vt:lpwstr/>
      </vt:variant>
      <vt:variant>
        <vt:i4>7995492</vt:i4>
      </vt:variant>
      <vt:variant>
        <vt:i4>117</vt:i4>
      </vt:variant>
      <vt:variant>
        <vt:i4>0</vt:i4>
      </vt:variant>
      <vt:variant>
        <vt:i4>5</vt:i4>
      </vt:variant>
      <vt:variant>
        <vt:lpwstr>http://www.nevo.co.il/law/70301</vt:lpwstr>
      </vt:variant>
      <vt:variant>
        <vt:lpwstr/>
      </vt:variant>
      <vt:variant>
        <vt:i4>4915202</vt:i4>
      </vt:variant>
      <vt:variant>
        <vt:i4>114</vt:i4>
      </vt:variant>
      <vt:variant>
        <vt:i4>0</vt:i4>
      </vt:variant>
      <vt:variant>
        <vt:i4>5</vt:i4>
      </vt:variant>
      <vt:variant>
        <vt:lpwstr>http://www.nevo.co.il/law/70301/40c.b</vt:lpwstr>
      </vt:variant>
      <vt:variant>
        <vt:lpwstr/>
      </vt:variant>
      <vt:variant>
        <vt:i4>7995492</vt:i4>
      </vt:variant>
      <vt:variant>
        <vt:i4>111</vt:i4>
      </vt:variant>
      <vt:variant>
        <vt:i4>0</vt:i4>
      </vt:variant>
      <vt:variant>
        <vt:i4>5</vt:i4>
      </vt:variant>
      <vt:variant>
        <vt:lpwstr>http://www.nevo.co.il/law/70301</vt:lpwstr>
      </vt:variant>
      <vt:variant>
        <vt:lpwstr/>
      </vt:variant>
      <vt:variant>
        <vt:i4>262155</vt:i4>
      </vt:variant>
      <vt:variant>
        <vt:i4>108</vt:i4>
      </vt:variant>
      <vt:variant>
        <vt:i4>0</vt:i4>
      </vt:variant>
      <vt:variant>
        <vt:i4>5</vt:i4>
      </vt:variant>
      <vt:variant>
        <vt:lpwstr>http://www.nevo.co.il/law/70301/40ja</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6619241</vt:i4>
      </vt:variant>
      <vt:variant>
        <vt:i4>102</vt:i4>
      </vt:variant>
      <vt:variant>
        <vt:i4>0</vt:i4>
      </vt:variant>
      <vt:variant>
        <vt:i4>5</vt:i4>
      </vt:variant>
      <vt:variant>
        <vt:lpwstr>http://www.nevo.co.il/law/70301/40i.a.7</vt:lpwstr>
      </vt:variant>
      <vt:variant>
        <vt:lpwstr/>
      </vt:variant>
      <vt:variant>
        <vt:i4>6619241</vt:i4>
      </vt:variant>
      <vt:variant>
        <vt:i4>99</vt:i4>
      </vt:variant>
      <vt:variant>
        <vt:i4>0</vt:i4>
      </vt:variant>
      <vt:variant>
        <vt:i4>5</vt:i4>
      </vt:variant>
      <vt:variant>
        <vt:lpwstr>http://www.nevo.co.il/law/70301/40i.a.6</vt:lpwstr>
      </vt:variant>
      <vt:variant>
        <vt:lpwstr/>
      </vt:variant>
      <vt:variant>
        <vt:i4>3866742</vt:i4>
      </vt:variant>
      <vt:variant>
        <vt:i4>96</vt:i4>
      </vt:variant>
      <vt:variant>
        <vt:i4>0</vt:i4>
      </vt:variant>
      <vt:variant>
        <vt:i4>5</vt:i4>
      </vt:variant>
      <vt:variant>
        <vt:lpwstr>http://www.nevo.co.il/case/5763169</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6619233</vt:i4>
      </vt:variant>
      <vt:variant>
        <vt:i4>90</vt:i4>
      </vt:variant>
      <vt:variant>
        <vt:i4>0</vt:i4>
      </vt:variant>
      <vt:variant>
        <vt:i4>5</vt:i4>
      </vt:variant>
      <vt:variant>
        <vt:lpwstr>http://www.nevo.co.il/law/70301/40i</vt:lpwstr>
      </vt:variant>
      <vt:variant>
        <vt:lpwstr/>
      </vt:variant>
      <vt:variant>
        <vt:i4>3670138</vt:i4>
      </vt:variant>
      <vt:variant>
        <vt:i4>87</vt:i4>
      </vt:variant>
      <vt:variant>
        <vt:i4>0</vt:i4>
      </vt:variant>
      <vt:variant>
        <vt:i4>5</vt:i4>
      </vt:variant>
      <vt:variant>
        <vt:lpwstr>http://www.nevo.co.il/case/28830528</vt:lpwstr>
      </vt:variant>
      <vt:variant>
        <vt:lpwstr/>
      </vt:variant>
      <vt:variant>
        <vt:i4>3801210</vt:i4>
      </vt:variant>
      <vt:variant>
        <vt:i4>84</vt:i4>
      </vt:variant>
      <vt:variant>
        <vt:i4>0</vt:i4>
      </vt:variant>
      <vt:variant>
        <vt:i4>5</vt:i4>
      </vt:variant>
      <vt:variant>
        <vt:lpwstr>http://www.nevo.co.il/case/21966972</vt:lpwstr>
      </vt:variant>
      <vt:variant>
        <vt:lpwstr/>
      </vt:variant>
      <vt:variant>
        <vt:i4>3932282</vt:i4>
      </vt:variant>
      <vt:variant>
        <vt:i4>81</vt:i4>
      </vt:variant>
      <vt:variant>
        <vt:i4>0</vt:i4>
      </vt:variant>
      <vt:variant>
        <vt:i4>5</vt:i4>
      </vt:variant>
      <vt:variant>
        <vt:lpwstr>http://www.nevo.co.il/case/29573084</vt:lpwstr>
      </vt:variant>
      <vt:variant>
        <vt:lpwstr/>
      </vt:variant>
      <vt:variant>
        <vt:i4>3604592</vt:i4>
      </vt:variant>
      <vt:variant>
        <vt:i4>78</vt:i4>
      </vt:variant>
      <vt:variant>
        <vt:i4>0</vt:i4>
      </vt:variant>
      <vt:variant>
        <vt:i4>5</vt:i4>
      </vt:variant>
      <vt:variant>
        <vt:lpwstr>http://www.nevo.co.il/case/29597475</vt:lpwstr>
      </vt:variant>
      <vt:variant>
        <vt:lpwstr/>
      </vt:variant>
      <vt:variant>
        <vt:i4>3145848</vt:i4>
      </vt:variant>
      <vt:variant>
        <vt:i4>75</vt:i4>
      </vt:variant>
      <vt:variant>
        <vt:i4>0</vt:i4>
      </vt:variant>
      <vt:variant>
        <vt:i4>5</vt:i4>
      </vt:variant>
      <vt:variant>
        <vt:lpwstr>http://www.nevo.co.il/case/27596218</vt:lpwstr>
      </vt:variant>
      <vt:variant>
        <vt:lpwstr/>
      </vt:variant>
      <vt:variant>
        <vt:i4>3407989</vt:i4>
      </vt:variant>
      <vt:variant>
        <vt:i4>72</vt:i4>
      </vt:variant>
      <vt:variant>
        <vt:i4>0</vt:i4>
      </vt:variant>
      <vt:variant>
        <vt:i4>5</vt:i4>
      </vt:variant>
      <vt:variant>
        <vt:lpwstr>http://www.nevo.co.il/case/28180177</vt:lpwstr>
      </vt:variant>
      <vt:variant>
        <vt:lpwstr/>
      </vt:variant>
      <vt:variant>
        <vt:i4>3539061</vt:i4>
      </vt:variant>
      <vt:variant>
        <vt:i4>69</vt:i4>
      </vt:variant>
      <vt:variant>
        <vt:i4>0</vt:i4>
      </vt:variant>
      <vt:variant>
        <vt:i4>5</vt:i4>
      </vt:variant>
      <vt:variant>
        <vt:lpwstr>http://www.nevo.co.il/case/5988308</vt:lpwstr>
      </vt:variant>
      <vt:variant>
        <vt:lpwstr/>
      </vt:variant>
      <vt:variant>
        <vt:i4>3997812</vt:i4>
      </vt:variant>
      <vt:variant>
        <vt:i4>66</vt:i4>
      </vt:variant>
      <vt:variant>
        <vt:i4>0</vt:i4>
      </vt:variant>
      <vt:variant>
        <vt:i4>5</vt:i4>
      </vt:variant>
      <vt:variant>
        <vt:lpwstr>http://www.nevo.co.il/case/11269774</vt:lpwstr>
      </vt:variant>
      <vt:variant>
        <vt:lpwstr/>
      </vt:variant>
      <vt:variant>
        <vt:i4>7995492</vt:i4>
      </vt:variant>
      <vt:variant>
        <vt:i4>63</vt:i4>
      </vt:variant>
      <vt:variant>
        <vt:i4>0</vt:i4>
      </vt:variant>
      <vt:variant>
        <vt:i4>5</vt:i4>
      </vt:variant>
      <vt:variant>
        <vt:lpwstr>http://www.nevo.co.il/law/70301</vt:lpwstr>
      </vt:variant>
      <vt:variant>
        <vt:lpwstr/>
      </vt:variant>
      <vt:variant>
        <vt:i4>3407990</vt:i4>
      </vt:variant>
      <vt:variant>
        <vt:i4>60</vt:i4>
      </vt:variant>
      <vt:variant>
        <vt:i4>0</vt:i4>
      </vt:variant>
      <vt:variant>
        <vt:i4>5</vt:i4>
      </vt:variant>
      <vt:variant>
        <vt:lpwstr>http://www.nevo.co.il/case/5763166</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http://www.nevo.co.il/law/70301/40b</vt:lpwstr>
      </vt:variant>
      <vt:variant>
        <vt:lpwstr/>
      </vt:variant>
      <vt:variant>
        <vt:i4>7995492</vt:i4>
      </vt:variant>
      <vt:variant>
        <vt:i4>51</vt:i4>
      </vt:variant>
      <vt:variant>
        <vt:i4>0</vt:i4>
      </vt:variant>
      <vt:variant>
        <vt:i4>5</vt:i4>
      </vt:variant>
      <vt:variant>
        <vt:lpwstr>http://www.nevo.co.il/law/70301</vt:lpwstr>
      </vt:variant>
      <vt:variant>
        <vt:lpwstr/>
      </vt:variant>
      <vt:variant>
        <vt:i4>4915202</vt:i4>
      </vt:variant>
      <vt:variant>
        <vt:i4>48</vt:i4>
      </vt:variant>
      <vt:variant>
        <vt:i4>0</vt:i4>
      </vt:variant>
      <vt:variant>
        <vt:i4>5</vt:i4>
      </vt:variant>
      <vt:variant>
        <vt:lpwstr>http://www.nevo.co.il/law/70301/40c.a</vt:lpwstr>
      </vt:variant>
      <vt:variant>
        <vt:lpwstr/>
      </vt:variant>
      <vt:variant>
        <vt:i4>8257637</vt:i4>
      </vt:variant>
      <vt:variant>
        <vt:i4>45</vt:i4>
      </vt:variant>
      <vt:variant>
        <vt:i4>0</vt:i4>
      </vt:variant>
      <vt:variant>
        <vt:i4>5</vt:i4>
      </vt:variant>
      <vt:variant>
        <vt:lpwstr>http://www.nevo.co.il/law/4216</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262155</vt:i4>
      </vt:variant>
      <vt:variant>
        <vt:i4>36</vt:i4>
      </vt:variant>
      <vt:variant>
        <vt:i4>0</vt:i4>
      </vt:variant>
      <vt:variant>
        <vt:i4>5</vt:i4>
      </vt:variant>
      <vt:variant>
        <vt:lpwstr>http://www.nevo.co.il/law/70301/40ja</vt:lpwstr>
      </vt:variant>
      <vt:variant>
        <vt:lpwstr/>
      </vt:variant>
      <vt:variant>
        <vt:i4>6619241</vt:i4>
      </vt:variant>
      <vt:variant>
        <vt:i4>33</vt:i4>
      </vt:variant>
      <vt:variant>
        <vt:i4>0</vt:i4>
      </vt:variant>
      <vt:variant>
        <vt:i4>5</vt:i4>
      </vt:variant>
      <vt:variant>
        <vt:lpwstr>http://www.nevo.co.il/law/70301/40i.a.7</vt:lpwstr>
      </vt:variant>
      <vt:variant>
        <vt:lpwstr/>
      </vt:variant>
      <vt:variant>
        <vt:i4>6619241</vt:i4>
      </vt:variant>
      <vt:variant>
        <vt:i4>30</vt:i4>
      </vt:variant>
      <vt:variant>
        <vt:i4>0</vt:i4>
      </vt:variant>
      <vt:variant>
        <vt:i4>5</vt:i4>
      </vt:variant>
      <vt:variant>
        <vt:lpwstr>http://www.nevo.co.il/law/70301/40i.a.6</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4915205</vt:i4>
      </vt:variant>
      <vt:variant>
        <vt:i4>24</vt:i4>
      </vt:variant>
      <vt:variant>
        <vt:i4>0</vt:i4>
      </vt:variant>
      <vt:variant>
        <vt:i4>5</vt:i4>
      </vt:variant>
      <vt:variant>
        <vt:lpwstr>http://www.nevo.co.il/law/70301/40d.a</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4915202</vt:i4>
      </vt:variant>
      <vt:variant>
        <vt:i4>18</vt:i4>
      </vt:variant>
      <vt:variant>
        <vt:i4>0</vt:i4>
      </vt:variant>
      <vt:variant>
        <vt:i4>5</vt:i4>
      </vt:variant>
      <vt:variant>
        <vt:lpwstr>http://www.nevo.co.il/law/70301/40c.b</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2025-04-23T01:05:00Z</dcterms:created>
  <dcterms:modified xsi:type="dcterms:W3CDTF">2025-04-23T01:05:00Z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49910</vt:lpwstr>
  </property>
  <property fmtid="{D5CDD505-2E9C-101B-9397-08002B2CF9AE}" pid="6" name="NEWPARTB">
    <vt:lpwstr>06</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גל מלכה</vt:lpwstr>
  </property>
  <property fmtid="{D5CDD505-2E9C-101B-9397-08002B2CF9AE}" pid="10" name="LAWYER">
    <vt:lpwstr>ליטל פרץ;עינב יתח</vt:lpwstr>
  </property>
  <property fmtid="{D5CDD505-2E9C-101B-9397-08002B2CF9AE}" pid="11" name="JUDGE">
    <vt:lpwstr>יריב בן דוד</vt:lpwstr>
  </property>
  <property fmtid="{D5CDD505-2E9C-101B-9397-08002B2CF9AE}" pid="12" name="CITY">
    <vt:lpwstr>ב"ש</vt:lpwstr>
  </property>
  <property fmtid="{D5CDD505-2E9C-101B-9397-08002B2CF9AE}" pid="13" name="DATE">
    <vt:lpwstr>20240604</vt:lpwstr>
  </property>
  <property fmtid="{D5CDD505-2E9C-101B-9397-08002B2CF9AE}" pid="14" name="TYPE_N_DATE">
    <vt:lpwstr>38020240604</vt:lpwstr>
  </property>
  <property fmtid="{D5CDD505-2E9C-101B-9397-08002B2CF9AE}" pid="15" name="CASESLISTTMP1">
    <vt:lpwstr>5763166;11269774;5988308;28180177;27596218;29597475;29573084;21966972;28830528;5763169;28280788</vt:lpwstr>
  </property>
  <property fmtid="{D5CDD505-2E9C-101B-9397-08002B2CF9AE}" pid="16" name="WORDNUMPAGES">
    <vt:lpwstr>11</vt:lpwstr>
  </property>
  <property fmtid="{D5CDD505-2E9C-101B-9397-08002B2CF9AE}" pid="17" name="TYPE_ABS_DATE">
    <vt:lpwstr>380020240604</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4216/007.a;007.c</vt:lpwstr>
  </property>
  <property fmtid="{D5CDD505-2E9C-101B-9397-08002B2CF9AE}" pid="37" name="LAWLISTTMP2">
    <vt:lpwstr>70301/040c.a;040b;040i;040i.a.6;040i.a.7;40ja;040c.b;040d;040d.a</vt:lpwstr>
  </property>
</Properties>
</file>