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D510B4" w:rsidRPr="008146F5" w14:paraId="779CF9D6" w14:textId="77777777" w:rsidTr="004221DC">
        <w:trPr>
          <w:gridAfter w:val="1"/>
          <w:wAfter w:w="99" w:type="dxa"/>
          <w:trHeight w:hRule="exact" w:val="418"/>
          <w:jc w:val="center"/>
        </w:trPr>
        <w:tc>
          <w:tcPr>
            <w:tcW w:w="8721" w:type="dxa"/>
            <w:gridSpan w:val="4"/>
          </w:tcPr>
          <w:p w14:paraId="1078713D" w14:textId="77777777" w:rsidR="00D510B4" w:rsidRPr="008146F5" w:rsidRDefault="00D510B4" w:rsidP="001D7539">
            <w:pPr>
              <w:pStyle w:val="a3"/>
              <w:jc w:val="center"/>
              <w:rPr>
                <w:rFonts w:ascii="Tahoma" w:hAnsi="Tahoma" w:cs="Tahoma"/>
                <w:color w:val="000080"/>
                <w:rtl/>
              </w:rPr>
            </w:pPr>
            <w:bookmarkStart w:id="0" w:name="LastJudge"/>
            <w:r w:rsidRPr="008146F5">
              <w:rPr>
                <w:rFonts w:ascii="Tahoma" w:hAnsi="Tahoma" w:cs="Tahoma"/>
                <w:b/>
                <w:bCs/>
                <w:color w:val="000080"/>
                <w:rtl/>
              </w:rPr>
              <w:t>בית משפט השלום באילת</w:t>
            </w:r>
          </w:p>
        </w:tc>
      </w:tr>
      <w:tr w:rsidR="00D510B4" w:rsidRPr="008146F5" w14:paraId="575D0C16" w14:textId="77777777" w:rsidTr="004221DC">
        <w:trPr>
          <w:gridAfter w:val="1"/>
          <w:wAfter w:w="99" w:type="dxa"/>
          <w:trHeight w:val="337"/>
          <w:jc w:val="center"/>
        </w:trPr>
        <w:tc>
          <w:tcPr>
            <w:tcW w:w="5058" w:type="dxa"/>
            <w:gridSpan w:val="3"/>
          </w:tcPr>
          <w:p w14:paraId="5C298E49" w14:textId="77777777" w:rsidR="00D510B4" w:rsidRPr="008146F5" w:rsidRDefault="00D510B4" w:rsidP="001D7539">
            <w:pPr>
              <w:rPr>
                <w:rFonts w:cs="FrankRuehl"/>
                <w:sz w:val="28"/>
                <w:szCs w:val="28"/>
                <w:rtl/>
              </w:rPr>
            </w:pPr>
            <w:r w:rsidRPr="008146F5">
              <w:rPr>
                <w:rFonts w:cs="FrankRuehl"/>
                <w:sz w:val="28"/>
                <w:szCs w:val="28"/>
                <w:rtl/>
              </w:rPr>
              <w:t>ת"פ</w:t>
            </w:r>
            <w:r w:rsidRPr="008146F5">
              <w:rPr>
                <w:rFonts w:cs="FrankRuehl" w:hint="cs"/>
                <w:sz w:val="28"/>
                <w:szCs w:val="28"/>
                <w:rtl/>
              </w:rPr>
              <w:t xml:space="preserve"> </w:t>
            </w:r>
            <w:r w:rsidRPr="008146F5">
              <w:rPr>
                <w:rFonts w:cs="FrankRuehl"/>
                <w:sz w:val="28"/>
                <w:szCs w:val="28"/>
                <w:rtl/>
              </w:rPr>
              <w:t>986-06-21</w:t>
            </w:r>
            <w:r w:rsidRPr="008146F5">
              <w:rPr>
                <w:rFonts w:cs="FrankRuehl" w:hint="cs"/>
                <w:sz w:val="28"/>
                <w:szCs w:val="28"/>
                <w:rtl/>
              </w:rPr>
              <w:t xml:space="preserve"> </w:t>
            </w:r>
            <w:r w:rsidRPr="008146F5">
              <w:rPr>
                <w:rFonts w:cs="FrankRuehl"/>
                <w:sz w:val="28"/>
                <w:szCs w:val="28"/>
                <w:rtl/>
              </w:rPr>
              <w:t>מדינת ישראל נ' אמשיקשוילי</w:t>
            </w:r>
          </w:p>
          <w:p w14:paraId="414476FD" w14:textId="77777777" w:rsidR="00D510B4" w:rsidRPr="008146F5" w:rsidRDefault="00D510B4" w:rsidP="001D7539">
            <w:pPr>
              <w:pStyle w:val="a3"/>
              <w:rPr>
                <w:rFonts w:cs="FrankRuehl"/>
                <w:sz w:val="28"/>
                <w:szCs w:val="28"/>
                <w:rtl/>
              </w:rPr>
            </w:pPr>
          </w:p>
        </w:tc>
        <w:tc>
          <w:tcPr>
            <w:tcW w:w="3663" w:type="dxa"/>
          </w:tcPr>
          <w:p w14:paraId="7A959409" w14:textId="77777777" w:rsidR="00D510B4" w:rsidRPr="008146F5" w:rsidRDefault="00D510B4" w:rsidP="001D7539">
            <w:pPr>
              <w:pStyle w:val="a3"/>
              <w:jc w:val="right"/>
              <w:rPr>
                <w:rFonts w:cs="FrankRuehl"/>
                <w:sz w:val="28"/>
                <w:szCs w:val="28"/>
                <w:rtl/>
              </w:rPr>
            </w:pPr>
          </w:p>
        </w:tc>
      </w:tr>
      <w:tr w:rsidR="00D510B4" w:rsidRPr="008146F5" w14:paraId="4B674F19" w14:textId="77777777" w:rsidTr="00422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7A59AB6" w14:textId="77777777" w:rsidR="00D510B4" w:rsidRPr="008146F5" w:rsidRDefault="00D510B4" w:rsidP="00D510B4">
            <w:pPr>
              <w:jc w:val="both"/>
              <w:rPr>
                <w:rFonts w:ascii="David" w:hAnsi="David"/>
              </w:rPr>
            </w:pPr>
            <w:r w:rsidRPr="008146F5">
              <w:rPr>
                <w:rFonts w:hint="cs"/>
                <w:rtl/>
              </w:rPr>
              <w:t xml:space="preserve"> </w:t>
            </w:r>
            <w:r w:rsidRPr="008146F5">
              <w:rPr>
                <w:rFonts w:ascii="David" w:hAnsi="David"/>
                <w:rtl/>
              </w:rPr>
              <w:t xml:space="preserve">לפני </w:t>
            </w:r>
          </w:p>
        </w:tc>
        <w:tc>
          <w:tcPr>
            <w:tcW w:w="7897" w:type="dxa"/>
            <w:gridSpan w:val="4"/>
            <w:tcBorders>
              <w:top w:val="nil"/>
              <w:left w:val="nil"/>
              <w:bottom w:val="nil"/>
              <w:right w:val="nil"/>
            </w:tcBorders>
            <w:shd w:val="clear" w:color="auto" w:fill="auto"/>
          </w:tcPr>
          <w:p w14:paraId="172CEF1E" w14:textId="77777777" w:rsidR="00D510B4" w:rsidRPr="008146F5" w:rsidRDefault="00D510B4" w:rsidP="001D7539">
            <w:pPr>
              <w:rPr>
                <w:rFonts w:ascii="David" w:hAnsi="David"/>
                <w:b/>
                <w:bCs/>
                <w:rtl/>
              </w:rPr>
            </w:pPr>
            <w:r w:rsidRPr="008146F5">
              <w:rPr>
                <w:rFonts w:ascii="David" w:hAnsi="David"/>
                <w:b/>
                <w:bCs/>
                <w:rtl/>
              </w:rPr>
              <w:t>כבוד השופט  גיל אדלמן</w:t>
            </w:r>
          </w:p>
          <w:p w14:paraId="31DE11D0" w14:textId="77777777" w:rsidR="00D510B4" w:rsidRPr="008146F5" w:rsidRDefault="00D510B4" w:rsidP="001D7539">
            <w:pPr>
              <w:rPr>
                <w:rFonts w:ascii="David" w:hAnsi="David"/>
                <w:rtl/>
              </w:rPr>
            </w:pPr>
          </w:p>
          <w:p w14:paraId="2F5E3015" w14:textId="77777777" w:rsidR="00D510B4" w:rsidRPr="008146F5" w:rsidRDefault="00D510B4" w:rsidP="00D510B4">
            <w:pPr>
              <w:jc w:val="both"/>
              <w:rPr>
                <w:rFonts w:ascii="David" w:hAnsi="David"/>
              </w:rPr>
            </w:pPr>
          </w:p>
        </w:tc>
      </w:tr>
      <w:tr w:rsidR="00D510B4" w:rsidRPr="008146F5" w14:paraId="3E5E8B78" w14:textId="77777777" w:rsidTr="00422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525822" w14:textId="77777777" w:rsidR="00D510B4" w:rsidRPr="008146F5" w:rsidRDefault="00D510B4" w:rsidP="00D510B4">
            <w:pPr>
              <w:jc w:val="both"/>
              <w:rPr>
                <w:rFonts w:ascii="David" w:hAnsi="David"/>
              </w:rPr>
            </w:pPr>
            <w:bookmarkStart w:id="1" w:name="FirstAppellant"/>
            <w:bookmarkStart w:id="2" w:name="FirstLawyer"/>
            <w:r w:rsidRPr="008146F5">
              <w:rPr>
                <w:rFonts w:ascii="David" w:hAnsi="David"/>
                <w:rtl/>
              </w:rPr>
              <w:t>בעניין:</w:t>
            </w:r>
          </w:p>
        </w:tc>
        <w:tc>
          <w:tcPr>
            <w:tcW w:w="3219" w:type="dxa"/>
            <w:tcBorders>
              <w:top w:val="nil"/>
              <w:left w:val="nil"/>
              <w:bottom w:val="nil"/>
              <w:right w:val="nil"/>
            </w:tcBorders>
            <w:shd w:val="clear" w:color="auto" w:fill="auto"/>
          </w:tcPr>
          <w:p w14:paraId="530BF953" w14:textId="77777777" w:rsidR="00D510B4" w:rsidRPr="008146F5" w:rsidRDefault="00D510B4" w:rsidP="00D510B4">
            <w:pPr>
              <w:suppressLineNumbers/>
              <w:rPr>
                <w:rFonts w:ascii="David" w:hAnsi="David"/>
              </w:rPr>
            </w:pPr>
            <w:r w:rsidRPr="008146F5">
              <w:rPr>
                <w:rFonts w:ascii="David" w:hAnsi="David"/>
                <w:b/>
                <w:bCs/>
                <w:rtl/>
              </w:rPr>
              <w:t>המאשימה</w:t>
            </w:r>
          </w:p>
          <w:p w14:paraId="0D68D15A" w14:textId="77777777" w:rsidR="00D510B4" w:rsidRPr="008146F5" w:rsidRDefault="00D510B4" w:rsidP="001D7539">
            <w:pPr>
              <w:rPr>
                <w:rFonts w:ascii="David" w:hAnsi="David"/>
              </w:rPr>
            </w:pPr>
          </w:p>
        </w:tc>
        <w:tc>
          <w:tcPr>
            <w:tcW w:w="4678" w:type="dxa"/>
            <w:gridSpan w:val="3"/>
            <w:tcBorders>
              <w:top w:val="nil"/>
              <w:left w:val="nil"/>
              <w:bottom w:val="nil"/>
              <w:right w:val="nil"/>
            </w:tcBorders>
            <w:shd w:val="clear" w:color="auto" w:fill="auto"/>
            <w:vAlign w:val="center"/>
          </w:tcPr>
          <w:p w14:paraId="09342844" w14:textId="77777777" w:rsidR="00D510B4" w:rsidRPr="008146F5" w:rsidRDefault="00D510B4" w:rsidP="00D510B4">
            <w:pPr>
              <w:suppressLineNumbers/>
              <w:rPr>
                <w:rFonts w:ascii="David" w:hAnsi="David"/>
                <w:b/>
                <w:bCs/>
                <w:rtl/>
              </w:rPr>
            </w:pPr>
            <w:r w:rsidRPr="008146F5">
              <w:rPr>
                <w:rFonts w:ascii="David" w:hAnsi="David"/>
                <w:b/>
                <w:bCs/>
                <w:rtl/>
              </w:rPr>
              <w:t xml:space="preserve">מדינת ישראל </w:t>
            </w:r>
          </w:p>
          <w:p w14:paraId="30F95F84" w14:textId="77777777" w:rsidR="00D510B4" w:rsidRPr="008146F5" w:rsidRDefault="00D510B4" w:rsidP="00D510B4">
            <w:pPr>
              <w:suppressLineNumbers/>
              <w:rPr>
                <w:rFonts w:ascii="David" w:hAnsi="David"/>
              </w:rPr>
            </w:pPr>
            <w:r w:rsidRPr="008146F5">
              <w:rPr>
                <w:rFonts w:ascii="David" w:hAnsi="David"/>
                <w:b/>
                <w:bCs/>
                <w:rtl/>
              </w:rPr>
              <w:t>ע"י ב"כ עוה"ד</w:t>
            </w:r>
            <w:r w:rsidRPr="008146F5">
              <w:rPr>
                <w:rFonts w:ascii="David" w:hAnsi="David"/>
                <w:rtl/>
              </w:rPr>
              <w:t xml:space="preserve"> </w:t>
            </w:r>
            <w:r w:rsidRPr="008146F5">
              <w:rPr>
                <w:rFonts w:ascii="David" w:hAnsi="David"/>
                <w:b/>
                <w:bCs/>
                <w:rtl/>
              </w:rPr>
              <w:t>שירלי הדר</w:t>
            </w:r>
          </w:p>
          <w:p w14:paraId="69D2283D" w14:textId="77777777" w:rsidR="00D510B4" w:rsidRPr="008146F5" w:rsidRDefault="00D510B4" w:rsidP="001D7539">
            <w:pPr>
              <w:rPr>
                <w:rFonts w:ascii="David" w:hAnsi="David"/>
              </w:rPr>
            </w:pPr>
          </w:p>
        </w:tc>
      </w:tr>
      <w:bookmarkEnd w:id="1"/>
      <w:bookmarkEnd w:id="2"/>
      <w:tr w:rsidR="00D510B4" w:rsidRPr="008146F5" w14:paraId="3E6F2E2E" w14:textId="77777777" w:rsidTr="00422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19563B" w14:textId="77777777" w:rsidR="00D510B4" w:rsidRPr="008146F5" w:rsidRDefault="00D510B4" w:rsidP="00D510B4">
            <w:pPr>
              <w:jc w:val="both"/>
              <w:rPr>
                <w:rFonts w:ascii="David" w:hAnsi="David"/>
                <w:rtl/>
              </w:rPr>
            </w:pPr>
          </w:p>
        </w:tc>
        <w:tc>
          <w:tcPr>
            <w:tcW w:w="7897" w:type="dxa"/>
            <w:gridSpan w:val="4"/>
            <w:tcBorders>
              <w:top w:val="nil"/>
              <w:left w:val="nil"/>
              <w:bottom w:val="nil"/>
              <w:right w:val="nil"/>
            </w:tcBorders>
            <w:shd w:val="clear" w:color="auto" w:fill="auto"/>
          </w:tcPr>
          <w:p w14:paraId="030DF4E5" w14:textId="77777777" w:rsidR="00D510B4" w:rsidRPr="008146F5" w:rsidRDefault="00D510B4" w:rsidP="00D510B4">
            <w:pPr>
              <w:jc w:val="center"/>
              <w:rPr>
                <w:rFonts w:ascii="David" w:hAnsi="David"/>
                <w:b/>
                <w:bCs/>
                <w:rtl/>
              </w:rPr>
            </w:pPr>
          </w:p>
          <w:p w14:paraId="4978B867" w14:textId="77777777" w:rsidR="00D510B4" w:rsidRPr="008146F5" w:rsidRDefault="00D510B4" w:rsidP="00D510B4">
            <w:pPr>
              <w:jc w:val="center"/>
              <w:rPr>
                <w:rFonts w:ascii="David" w:hAnsi="David"/>
                <w:b/>
                <w:bCs/>
                <w:rtl/>
              </w:rPr>
            </w:pPr>
            <w:r w:rsidRPr="008146F5">
              <w:rPr>
                <w:rFonts w:ascii="David" w:hAnsi="David"/>
                <w:b/>
                <w:bCs/>
                <w:rtl/>
              </w:rPr>
              <w:t>נגד</w:t>
            </w:r>
          </w:p>
          <w:p w14:paraId="37471EA3" w14:textId="77777777" w:rsidR="00D510B4" w:rsidRPr="008146F5" w:rsidRDefault="00D510B4" w:rsidP="00D510B4">
            <w:pPr>
              <w:jc w:val="both"/>
              <w:rPr>
                <w:rFonts w:ascii="David" w:hAnsi="David"/>
              </w:rPr>
            </w:pPr>
          </w:p>
        </w:tc>
      </w:tr>
      <w:tr w:rsidR="00D510B4" w:rsidRPr="008146F5" w14:paraId="5FC710EE" w14:textId="77777777" w:rsidTr="00422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4B61D1" w14:textId="77777777" w:rsidR="00D510B4" w:rsidRPr="008146F5" w:rsidRDefault="00D510B4" w:rsidP="001D7539">
            <w:pPr>
              <w:rPr>
                <w:rFonts w:ascii="David" w:hAnsi="David"/>
                <w:rtl/>
              </w:rPr>
            </w:pPr>
          </w:p>
        </w:tc>
        <w:tc>
          <w:tcPr>
            <w:tcW w:w="3219" w:type="dxa"/>
            <w:tcBorders>
              <w:top w:val="nil"/>
              <w:left w:val="nil"/>
              <w:bottom w:val="nil"/>
              <w:right w:val="nil"/>
            </w:tcBorders>
            <w:shd w:val="clear" w:color="auto" w:fill="auto"/>
          </w:tcPr>
          <w:p w14:paraId="48F4773A" w14:textId="77777777" w:rsidR="00D510B4" w:rsidRPr="008146F5" w:rsidRDefault="00D510B4" w:rsidP="001D7539">
            <w:pPr>
              <w:rPr>
                <w:rFonts w:ascii="David" w:hAnsi="David"/>
                <w:b/>
                <w:bCs/>
                <w:rtl/>
              </w:rPr>
            </w:pPr>
            <w:r w:rsidRPr="008146F5">
              <w:rPr>
                <w:rFonts w:ascii="David" w:hAnsi="David"/>
                <w:b/>
                <w:bCs/>
                <w:rtl/>
              </w:rPr>
              <w:t>הנאשמים</w:t>
            </w:r>
          </w:p>
        </w:tc>
        <w:tc>
          <w:tcPr>
            <w:tcW w:w="4678" w:type="dxa"/>
            <w:gridSpan w:val="3"/>
            <w:tcBorders>
              <w:top w:val="nil"/>
              <w:left w:val="nil"/>
              <w:bottom w:val="nil"/>
              <w:right w:val="nil"/>
            </w:tcBorders>
            <w:shd w:val="clear" w:color="auto" w:fill="auto"/>
            <w:vAlign w:val="center"/>
          </w:tcPr>
          <w:p w14:paraId="658EBFEA" w14:textId="77777777" w:rsidR="00D510B4" w:rsidRPr="008146F5" w:rsidRDefault="00D510B4" w:rsidP="00D510B4">
            <w:pPr>
              <w:suppressLineNumbers/>
              <w:rPr>
                <w:rFonts w:ascii="David" w:hAnsi="David"/>
                <w:b/>
                <w:bCs/>
                <w:rtl/>
              </w:rPr>
            </w:pPr>
            <w:r w:rsidRPr="008146F5">
              <w:rPr>
                <w:rFonts w:ascii="David" w:hAnsi="David"/>
                <w:b/>
                <w:bCs/>
                <w:rtl/>
              </w:rPr>
              <w:t xml:space="preserve">מיכאל אמשיקשוילי </w:t>
            </w:r>
          </w:p>
          <w:p w14:paraId="306557AA" w14:textId="77777777" w:rsidR="00D510B4" w:rsidRPr="008146F5" w:rsidRDefault="00D510B4" w:rsidP="00D510B4">
            <w:pPr>
              <w:suppressLineNumbers/>
              <w:rPr>
                <w:rFonts w:ascii="David" w:hAnsi="David"/>
              </w:rPr>
            </w:pPr>
            <w:r w:rsidRPr="008146F5">
              <w:rPr>
                <w:rFonts w:ascii="David" w:hAnsi="David"/>
                <w:b/>
                <w:bCs/>
                <w:rtl/>
              </w:rPr>
              <w:t>ע"י ב"כ עוה"ד</w:t>
            </w:r>
            <w:r w:rsidRPr="008146F5">
              <w:rPr>
                <w:rFonts w:ascii="David" w:hAnsi="David"/>
                <w:rtl/>
              </w:rPr>
              <w:t xml:space="preserve"> </w:t>
            </w:r>
            <w:r w:rsidRPr="008146F5">
              <w:rPr>
                <w:rFonts w:ascii="David" w:hAnsi="David"/>
                <w:b/>
                <w:bCs/>
                <w:rtl/>
              </w:rPr>
              <w:t>אלעד אלקיס</w:t>
            </w:r>
          </w:p>
          <w:p w14:paraId="3AE0DE90" w14:textId="77777777" w:rsidR="00D510B4" w:rsidRPr="008146F5" w:rsidRDefault="00D510B4" w:rsidP="001D7539">
            <w:pPr>
              <w:rPr>
                <w:rFonts w:ascii="David" w:hAnsi="David"/>
              </w:rPr>
            </w:pPr>
          </w:p>
        </w:tc>
      </w:tr>
    </w:tbl>
    <w:p w14:paraId="72E15366" w14:textId="77777777" w:rsidR="00D510B4" w:rsidRPr="008146F5" w:rsidRDefault="00D510B4" w:rsidP="00D510B4">
      <w:pPr>
        <w:rPr>
          <w:rFonts w:ascii="David" w:hAnsi="David"/>
        </w:rPr>
      </w:pPr>
    </w:p>
    <w:p w14:paraId="49496132" w14:textId="77777777" w:rsidR="004221DC" w:rsidRDefault="004221DC" w:rsidP="00D510B4">
      <w:pPr>
        <w:jc w:val="center"/>
        <w:rPr>
          <w:rFonts w:ascii="David" w:hAnsi="David"/>
          <w:b/>
          <w:bCs/>
          <w:rtl/>
        </w:rPr>
      </w:pPr>
    </w:p>
    <w:p w14:paraId="1F229FCC" w14:textId="77777777" w:rsidR="004221DC" w:rsidRPr="008146F5" w:rsidRDefault="004221DC" w:rsidP="008146F5">
      <w:pPr>
        <w:spacing w:before="120" w:after="120" w:line="240" w:lineRule="exact"/>
        <w:ind w:left="283" w:hanging="283"/>
        <w:jc w:val="both"/>
        <w:rPr>
          <w:rFonts w:ascii="FrankRuehl" w:hAnsi="FrankRuehl" w:cs="FrankRuehl"/>
          <w:rtl/>
        </w:rPr>
      </w:pPr>
    </w:p>
    <w:p w14:paraId="0E59066A" w14:textId="77777777" w:rsidR="007B6C91" w:rsidRPr="007B6C91" w:rsidRDefault="007B6C91" w:rsidP="007B6C91">
      <w:pPr>
        <w:spacing w:before="120" w:after="120" w:line="240" w:lineRule="exact"/>
        <w:ind w:left="283" w:hanging="283"/>
        <w:jc w:val="both"/>
        <w:rPr>
          <w:rFonts w:ascii="FrankRuehl" w:hAnsi="FrankRuehl" w:cs="FrankRuehl"/>
          <w:rtl/>
        </w:rPr>
      </w:pPr>
    </w:p>
    <w:p w14:paraId="0857D7EB" w14:textId="77777777" w:rsidR="00B609BD" w:rsidRPr="00B609BD" w:rsidRDefault="00B609BD" w:rsidP="00B609BD">
      <w:pPr>
        <w:spacing w:before="120" w:after="120" w:line="240" w:lineRule="exact"/>
        <w:ind w:left="283" w:hanging="283"/>
        <w:jc w:val="both"/>
        <w:rPr>
          <w:rFonts w:ascii="FrankRuehl" w:hAnsi="FrankRuehl" w:cs="FrankRuehl"/>
          <w:rtl/>
        </w:rPr>
      </w:pPr>
    </w:p>
    <w:p w14:paraId="2D0309D2" w14:textId="77777777" w:rsidR="00CC2D04" w:rsidRDefault="00CC2D04" w:rsidP="00CC2D04">
      <w:pPr>
        <w:jc w:val="center"/>
        <w:rPr>
          <w:rFonts w:ascii="David" w:hAnsi="David"/>
          <w:rtl/>
        </w:rPr>
      </w:pPr>
      <w:bookmarkStart w:id="3" w:name="LawTable"/>
      <w:bookmarkEnd w:id="3"/>
    </w:p>
    <w:p w14:paraId="689C80A6" w14:textId="77777777" w:rsidR="00CC2D04" w:rsidRPr="00CC2D04" w:rsidRDefault="00CC2D04" w:rsidP="00CC2D04">
      <w:pPr>
        <w:spacing w:before="120" w:after="120" w:line="240" w:lineRule="exact"/>
        <w:ind w:left="283" w:hanging="283"/>
        <w:jc w:val="both"/>
        <w:rPr>
          <w:rFonts w:ascii="FrankRuehl" w:hAnsi="FrankRuehl" w:cs="FrankRuehl"/>
          <w:rtl/>
        </w:rPr>
      </w:pPr>
    </w:p>
    <w:p w14:paraId="57004575" w14:textId="77777777" w:rsidR="00CC2D04" w:rsidRPr="00CC2D04" w:rsidRDefault="00CC2D04" w:rsidP="00CC2D04">
      <w:pPr>
        <w:spacing w:before="120" w:after="120" w:line="240" w:lineRule="exact"/>
        <w:ind w:left="283" w:hanging="283"/>
        <w:jc w:val="both"/>
        <w:rPr>
          <w:rFonts w:ascii="FrankRuehl" w:hAnsi="FrankRuehl" w:cs="FrankRuehl"/>
          <w:rtl/>
        </w:rPr>
      </w:pPr>
    </w:p>
    <w:p w14:paraId="40757B96" w14:textId="77777777" w:rsidR="00CC2D04" w:rsidRPr="00CC2D04" w:rsidRDefault="00CC2D04" w:rsidP="00CC2D04">
      <w:pPr>
        <w:spacing w:before="120" w:after="120" w:line="240" w:lineRule="exact"/>
        <w:ind w:left="283" w:hanging="283"/>
        <w:jc w:val="both"/>
        <w:rPr>
          <w:rFonts w:ascii="FrankRuehl" w:hAnsi="FrankRuehl" w:cs="FrankRuehl"/>
          <w:rtl/>
        </w:rPr>
      </w:pPr>
      <w:r w:rsidRPr="00CC2D04">
        <w:rPr>
          <w:rFonts w:ascii="FrankRuehl" w:hAnsi="FrankRuehl" w:cs="FrankRuehl"/>
          <w:rtl/>
        </w:rPr>
        <w:t xml:space="preserve">חקיקה שאוזכרה: </w:t>
      </w:r>
    </w:p>
    <w:p w14:paraId="7612FA69" w14:textId="77777777" w:rsidR="00CC2D04" w:rsidRPr="00CC2D04" w:rsidRDefault="00CC2D04" w:rsidP="00CC2D04">
      <w:pPr>
        <w:spacing w:before="120" w:after="120" w:line="240" w:lineRule="exact"/>
        <w:ind w:left="283" w:hanging="283"/>
        <w:jc w:val="both"/>
        <w:rPr>
          <w:rFonts w:ascii="FrankRuehl" w:hAnsi="FrankRuehl" w:cs="FrankRuehl"/>
          <w:rtl/>
        </w:rPr>
      </w:pPr>
      <w:hyperlink r:id="rId7" w:history="1">
        <w:r w:rsidRPr="00CC2D04">
          <w:rPr>
            <w:rFonts w:ascii="FrankRuehl" w:hAnsi="FrankRuehl" w:cs="FrankRuehl"/>
            <w:color w:val="0000FF"/>
            <w:rtl/>
          </w:rPr>
          <w:t>פקודת הסמים המסוכנים [נוסח חדש], תשל"ג-1973</w:t>
        </w:r>
      </w:hyperlink>
      <w:r w:rsidRPr="00CC2D04">
        <w:rPr>
          <w:rFonts w:ascii="FrankRuehl" w:hAnsi="FrankRuehl" w:cs="FrankRuehl"/>
          <w:rtl/>
        </w:rPr>
        <w:t xml:space="preserve">: סע'  </w:t>
      </w:r>
      <w:hyperlink r:id="rId8" w:history="1">
        <w:r w:rsidRPr="00CC2D04">
          <w:rPr>
            <w:rFonts w:ascii="FrankRuehl" w:hAnsi="FrankRuehl" w:cs="FrankRuehl"/>
            <w:color w:val="0000FF"/>
            <w:rtl/>
          </w:rPr>
          <w:t>7 (א)</w:t>
        </w:r>
      </w:hyperlink>
      <w:r w:rsidRPr="00CC2D04">
        <w:rPr>
          <w:rFonts w:ascii="FrankRuehl" w:hAnsi="FrankRuehl" w:cs="FrankRuehl"/>
          <w:rtl/>
        </w:rPr>
        <w:t xml:space="preserve">, </w:t>
      </w:r>
      <w:hyperlink r:id="rId9" w:history="1">
        <w:r w:rsidRPr="00CC2D04">
          <w:rPr>
            <w:rFonts w:ascii="FrankRuehl" w:hAnsi="FrankRuehl" w:cs="FrankRuehl"/>
            <w:color w:val="0000FF"/>
            <w:rtl/>
          </w:rPr>
          <w:t>ג</w:t>
        </w:r>
      </w:hyperlink>
      <w:r w:rsidRPr="00CC2D04">
        <w:rPr>
          <w:rFonts w:ascii="FrankRuehl" w:hAnsi="FrankRuehl" w:cs="FrankRuehl"/>
          <w:rtl/>
        </w:rPr>
        <w:t xml:space="preserve">, </w:t>
      </w:r>
      <w:hyperlink r:id="rId10" w:history="1">
        <w:r w:rsidRPr="00CC2D04">
          <w:rPr>
            <w:rFonts w:ascii="FrankRuehl" w:hAnsi="FrankRuehl" w:cs="FrankRuehl"/>
            <w:color w:val="0000FF"/>
            <w:rtl/>
          </w:rPr>
          <w:t>13</w:t>
        </w:r>
      </w:hyperlink>
      <w:r w:rsidRPr="00CC2D04">
        <w:rPr>
          <w:rFonts w:ascii="FrankRuehl" w:hAnsi="FrankRuehl" w:cs="FrankRuehl"/>
          <w:rtl/>
        </w:rPr>
        <w:t xml:space="preserve">, </w:t>
      </w:r>
      <w:hyperlink r:id="rId11" w:history="1">
        <w:r w:rsidRPr="00CC2D04">
          <w:rPr>
            <w:rFonts w:ascii="FrankRuehl" w:hAnsi="FrankRuehl" w:cs="FrankRuehl"/>
            <w:color w:val="0000FF"/>
            <w:rtl/>
          </w:rPr>
          <w:t>19א</w:t>
        </w:r>
      </w:hyperlink>
    </w:p>
    <w:p w14:paraId="511D94F1" w14:textId="77777777" w:rsidR="00CC2D04" w:rsidRPr="00CC2D04" w:rsidRDefault="00CC2D04" w:rsidP="00CC2D04">
      <w:pPr>
        <w:spacing w:before="120" w:after="120" w:line="240" w:lineRule="exact"/>
        <w:ind w:left="283" w:hanging="283"/>
        <w:jc w:val="both"/>
        <w:rPr>
          <w:rFonts w:ascii="FrankRuehl" w:hAnsi="FrankRuehl" w:cs="FrankRuehl"/>
          <w:rtl/>
        </w:rPr>
      </w:pPr>
      <w:hyperlink r:id="rId12" w:history="1">
        <w:r w:rsidRPr="00CC2D04">
          <w:rPr>
            <w:rFonts w:ascii="FrankRuehl" w:hAnsi="FrankRuehl" w:cs="FrankRuehl"/>
            <w:color w:val="0000FF"/>
            <w:rtl/>
          </w:rPr>
          <w:t>חוק העונשין, תשל"ז-1977</w:t>
        </w:r>
      </w:hyperlink>
      <w:r w:rsidRPr="00CC2D04">
        <w:rPr>
          <w:rFonts w:ascii="FrankRuehl" w:hAnsi="FrankRuehl" w:cs="FrankRuehl"/>
          <w:rtl/>
        </w:rPr>
        <w:t xml:space="preserve">: סע'  </w:t>
      </w:r>
      <w:hyperlink r:id="rId13" w:history="1">
        <w:r w:rsidRPr="00CC2D04">
          <w:rPr>
            <w:rFonts w:ascii="FrankRuehl" w:hAnsi="FrankRuehl" w:cs="FrankRuehl"/>
            <w:color w:val="0000FF"/>
            <w:rtl/>
          </w:rPr>
          <w:t>40ד</w:t>
        </w:r>
      </w:hyperlink>
      <w:r w:rsidRPr="00CC2D04">
        <w:rPr>
          <w:rFonts w:ascii="FrankRuehl" w:hAnsi="FrankRuehl" w:cs="FrankRuehl"/>
          <w:rtl/>
        </w:rPr>
        <w:t xml:space="preserve">, </w:t>
      </w:r>
      <w:hyperlink r:id="rId14" w:history="1">
        <w:r w:rsidRPr="00CC2D04">
          <w:rPr>
            <w:rFonts w:ascii="FrankRuehl" w:hAnsi="FrankRuehl" w:cs="FrankRuehl"/>
            <w:color w:val="0000FF"/>
            <w:rtl/>
          </w:rPr>
          <w:t>40ד(א).</w:t>
        </w:r>
      </w:hyperlink>
      <w:r w:rsidRPr="00CC2D04">
        <w:rPr>
          <w:rFonts w:ascii="FrankRuehl" w:hAnsi="FrankRuehl" w:cs="FrankRuehl"/>
          <w:rtl/>
        </w:rPr>
        <w:t xml:space="preserve">, </w:t>
      </w:r>
      <w:hyperlink r:id="rId15" w:history="1">
        <w:r w:rsidRPr="00CC2D04">
          <w:rPr>
            <w:rFonts w:ascii="FrankRuehl" w:hAnsi="FrankRuehl" w:cs="FrankRuehl"/>
            <w:color w:val="0000FF"/>
            <w:rtl/>
          </w:rPr>
          <w:t>192</w:t>
        </w:r>
      </w:hyperlink>
      <w:r w:rsidRPr="00CC2D04">
        <w:rPr>
          <w:rFonts w:ascii="FrankRuehl" w:hAnsi="FrankRuehl" w:cs="FrankRuehl"/>
          <w:rtl/>
        </w:rPr>
        <w:t xml:space="preserve">, </w:t>
      </w:r>
      <w:hyperlink r:id="rId16" w:history="1">
        <w:r w:rsidRPr="00CC2D04">
          <w:rPr>
            <w:rFonts w:ascii="FrankRuehl" w:hAnsi="FrankRuehl" w:cs="FrankRuehl"/>
            <w:color w:val="0000FF"/>
            <w:rtl/>
          </w:rPr>
          <w:t>287 (א)</w:t>
        </w:r>
      </w:hyperlink>
      <w:r w:rsidRPr="00CC2D04">
        <w:rPr>
          <w:rFonts w:ascii="FrankRuehl" w:hAnsi="FrankRuehl" w:cs="FrankRuehl"/>
          <w:rtl/>
        </w:rPr>
        <w:t xml:space="preserve">, </w:t>
      </w:r>
      <w:hyperlink r:id="rId17" w:history="1">
        <w:r w:rsidRPr="00CC2D04">
          <w:rPr>
            <w:rFonts w:ascii="FrankRuehl" w:hAnsi="FrankRuehl" w:cs="FrankRuehl"/>
            <w:color w:val="0000FF"/>
            <w:rtl/>
          </w:rPr>
          <w:t>379</w:t>
        </w:r>
      </w:hyperlink>
      <w:r w:rsidRPr="00CC2D04">
        <w:rPr>
          <w:rFonts w:ascii="FrankRuehl" w:hAnsi="FrankRuehl" w:cs="FrankRuehl"/>
          <w:rtl/>
        </w:rPr>
        <w:t xml:space="preserve">, </w:t>
      </w:r>
      <w:hyperlink r:id="rId18" w:history="1">
        <w:r w:rsidRPr="00CC2D04">
          <w:rPr>
            <w:rFonts w:ascii="FrankRuehl" w:hAnsi="FrankRuehl" w:cs="FrankRuehl"/>
            <w:color w:val="0000FF"/>
            <w:rtl/>
          </w:rPr>
          <w:t>40יא</w:t>
        </w:r>
      </w:hyperlink>
      <w:r w:rsidRPr="00CC2D04">
        <w:rPr>
          <w:rFonts w:ascii="FrankRuehl" w:hAnsi="FrankRuehl" w:cs="FrankRuehl"/>
          <w:rtl/>
        </w:rPr>
        <w:t xml:space="preserve">, </w:t>
      </w:r>
      <w:hyperlink r:id="rId19" w:history="1">
        <w:r w:rsidRPr="00CC2D04">
          <w:rPr>
            <w:rFonts w:ascii="FrankRuehl" w:hAnsi="FrankRuehl" w:cs="FrankRuehl"/>
            <w:color w:val="0000FF"/>
            <w:rtl/>
          </w:rPr>
          <w:t>452</w:t>
        </w:r>
      </w:hyperlink>
    </w:p>
    <w:p w14:paraId="76E7B2B2" w14:textId="77777777" w:rsidR="00CC2D04" w:rsidRPr="00CC2D04" w:rsidRDefault="00CC2D04" w:rsidP="00CC2D04">
      <w:pPr>
        <w:spacing w:before="120" w:after="120" w:line="240" w:lineRule="exact"/>
        <w:ind w:left="283" w:hanging="283"/>
        <w:jc w:val="both"/>
        <w:rPr>
          <w:rFonts w:ascii="FrankRuehl" w:hAnsi="FrankRuehl" w:cs="FrankRuehl"/>
          <w:rtl/>
        </w:rPr>
      </w:pPr>
      <w:hyperlink r:id="rId20" w:history="1">
        <w:r w:rsidRPr="00CC2D04">
          <w:rPr>
            <w:rFonts w:ascii="FrankRuehl" w:hAnsi="FrankRuehl" w:cs="FrankRuehl"/>
            <w:color w:val="0000FF"/>
            <w:rtl/>
          </w:rPr>
          <w:t>פקודת התעבורה [נוסח חדש]</w:t>
        </w:r>
      </w:hyperlink>
      <w:r w:rsidRPr="00CC2D04">
        <w:rPr>
          <w:rFonts w:ascii="FrankRuehl" w:hAnsi="FrankRuehl" w:cs="FrankRuehl"/>
          <w:rtl/>
        </w:rPr>
        <w:t xml:space="preserve">: סע'  </w:t>
      </w:r>
      <w:hyperlink r:id="rId21" w:history="1">
        <w:r w:rsidRPr="00CC2D04">
          <w:rPr>
            <w:rFonts w:ascii="FrankRuehl" w:hAnsi="FrankRuehl" w:cs="FrankRuehl"/>
            <w:color w:val="0000FF"/>
            <w:rtl/>
          </w:rPr>
          <w:t>2</w:t>
        </w:r>
      </w:hyperlink>
      <w:r w:rsidRPr="00CC2D04">
        <w:rPr>
          <w:rFonts w:ascii="FrankRuehl" w:hAnsi="FrankRuehl" w:cs="FrankRuehl"/>
          <w:rtl/>
        </w:rPr>
        <w:t xml:space="preserve">, </w:t>
      </w:r>
      <w:hyperlink r:id="rId22" w:history="1">
        <w:r w:rsidRPr="00CC2D04">
          <w:rPr>
            <w:rFonts w:ascii="FrankRuehl" w:hAnsi="FrankRuehl" w:cs="FrankRuehl"/>
            <w:color w:val="0000FF"/>
            <w:rtl/>
          </w:rPr>
          <w:t>10א</w:t>
        </w:r>
      </w:hyperlink>
      <w:r w:rsidRPr="00CC2D04">
        <w:rPr>
          <w:rFonts w:ascii="FrankRuehl" w:hAnsi="FrankRuehl" w:cs="FrankRuehl"/>
          <w:rtl/>
        </w:rPr>
        <w:t xml:space="preserve">, </w:t>
      </w:r>
      <w:hyperlink r:id="rId23" w:history="1">
        <w:r w:rsidRPr="00CC2D04">
          <w:rPr>
            <w:rFonts w:ascii="FrankRuehl" w:hAnsi="FrankRuehl" w:cs="FrankRuehl"/>
            <w:color w:val="0000FF"/>
            <w:rtl/>
          </w:rPr>
          <w:t>67</w:t>
        </w:r>
      </w:hyperlink>
    </w:p>
    <w:p w14:paraId="31BF4C01" w14:textId="77777777" w:rsidR="00CC2D04" w:rsidRPr="00CC2D04" w:rsidRDefault="00CC2D04" w:rsidP="00CC2D04">
      <w:pPr>
        <w:spacing w:before="120" w:after="120" w:line="240" w:lineRule="exact"/>
        <w:ind w:left="283" w:hanging="283"/>
        <w:jc w:val="both"/>
        <w:rPr>
          <w:rFonts w:ascii="FrankRuehl" w:hAnsi="FrankRuehl" w:cs="FrankRuehl"/>
          <w:rtl/>
        </w:rPr>
      </w:pPr>
      <w:hyperlink r:id="rId24" w:history="1">
        <w:r w:rsidRPr="00CC2D04">
          <w:rPr>
            <w:rFonts w:ascii="FrankRuehl" w:hAnsi="FrankRuehl" w:cs="FrankRuehl"/>
            <w:color w:val="0000FF"/>
            <w:rtl/>
          </w:rPr>
          <w:t>פקודת ביטוח רכב מנועי [נוסח חדש], תש"ל-1970</w:t>
        </w:r>
      </w:hyperlink>
      <w:r w:rsidRPr="00CC2D04">
        <w:rPr>
          <w:rFonts w:ascii="FrankRuehl" w:hAnsi="FrankRuehl" w:cs="FrankRuehl"/>
          <w:rtl/>
        </w:rPr>
        <w:t xml:space="preserve">: סע'  </w:t>
      </w:r>
      <w:hyperlink r:id="rId25" w:history="1">
        <w:r w:rsidRPr="00CC2D04">
          <w:rPr>
            <w:rFonts w:ascii="FrankRuehl" w:hAnsi="FrankRuehl" w:cs="FrankRuehl"/>
            <w:color w:val="0000FF"/>
            <w:rtl/>
          </w:rPr>
          <w:t>2א</w:t>
        </w:r>
      </w:hyperlink>
    </w:p>
    <w:p w14:paraId="12D3873A" w14:textId="77777777" w:rsidR="00CC2D04" w:rsidRPr="00CC2D04" w:rsidRDefault="00CC2D04" w:rsidP="00CC2D04">
      <w:pPr>
        <w:jc w:val="center"/>
        <w:rPr>
          <w:rFonts w:ascii="David" w:hAnsi="David"/>
          <w:rtl/>
        </w:rPr>
      </w:pPr>
      <w:bookmarkStart w:id="4" w:name="LawTable_End"/>
      <w:bookmarkEnd w:id="4"/>
    </w:p>
    <w:p w14:paraId="57F76CC6" w14:textId="77777777" w:rsidR="004221DC" w:rsidRPr="00B609BD" w:rsidRDefault="004221DC" w:rsidP="00B609BD">
      <w:pPr>
        <w:jc w:val="center"/>
        <w:rPr>
          <w:rFonts w:ascii="David" w:hAnsi="David"/>
          <w:rtl/>
        </w:rPr>
      </w:pPr>
    </w:p>
    <w:p w14:paraId="4A14C451" w14:textId="77777777" w:rsidR="004221DC" w:rsidRPr="008146F5" w:rsidRDefault="004221DC" w:rsidP="008146F5">
      <w:pPr>
        <w:spacing w:line="360" w:lineRule="auto"/>
        <w:jc w:val="center"/>
        <w:rPr>
          <w:rFonts w:ascii="David" w:hAnsi="David"/>
          <w:b/>
          <w:bCs/>
          <w:u w:val="single"/>
          <w:rtl/>
        </w:rPr>
      </w:pPr>
      <w:bookmarkStart w:id="5" w:name="PsakDin"/>
      <w:r w:rsidRPr="008146F5">
        <w:rPr>
          <w:rFonts w:ascii="David" w:hAnsi="David"/>
          <w:b/>
          <w:bCs/>
          <w:u w:val="single"/>
          <w:rtl/>
        </w:rPr>
        <w:t>גזר דין</w:t>
      </w:r>
    </w:p>
    <w:bookmarkEnd w:id="5"/>
    <w:p w14:paraId="19BC2FD8" w14:textId="77777777" w:rsidR="004221DC" w:rsidRPr="00D510B4" w:rsidRDefault="004221DC" w:rsidP="00D510B4">
      <w:pPr>
        <w:spacing w:line="360" w:lineRule="auto"/>
        <w:jc w:val="both"/>
        <w:rPr>
          <w:rFonts w:ascii="David" w:hAnsi="David"/>
          <w:b/>
          <w:bCs/>
          <w:u w:val="single"/>
        </w:rPr>
      </w:pPr>
    </w:p>
    <w:p w14:paraId="638431D5" w14:textId="77777777" w:rsidR="004221DC" w:rsidRPr="00D510B4" w:rsidRDefault="004221DC" w:rsidP="00D510B4">
      <w:pPr>
        <w:spacing w:line="360" w:lineRule="auto"/>
        <w:jc w:val="both"/>
        <w:rPr>
          <w:rFonts w:ascii="David" w:hAnsi="David"/>
          <w:b/>
          <w:bCs/>
          <w:u w:val="single"/>
          <w:rtl/>
        </w:rPr>
      </w:pPr>
      <w:r w:rsidRPr="00D510B4">
        <w:rPr>
          <w:rFonts w:ascii="David" w:hAnsi="David"/>
          <w:b/>
          <w:bCs/>
          <w:u w:val="single"/>
          <w:rtl/>
        </w:rPr>
        <w:t xml:space="preserve">השתלשלות העניינים העובדתית </w:t>
      </w:r>
    </w:p>
    <w:p w14:paraId="61789357" w14:textId="77777777" w:rsidR="004221DC" w:rsidRPr="00D510B4" w:rsidRDefault="004221DC" w:rsidP="00D510B4">
      <w:pPr>
        <w:spacing w:line="360" w:lineRule="auto"/>
        <w:jc w:val="both"/>
        <w:rPr>
          <w:rFonts w:ascii="David" w:hAnsi="David"/>
          <w:b/>
          <w:bCs/>
          <w:u w:val="single"/>
          <w:rtl/>
        </w:rPr>
      </w:pPr>
    </w:p>
    <w:p w14:paraId="69B95E13" w14:textId="77777777" w:rsidR="004221DC" w:rsidRPr="00D510B4" w:rsidRDefault="004221DC" w:rsidP="00D510B4">
      <w:pPr>
        <w:pStyle w:val="aa"/>
        <w:numPr>
          <w:ilvl w:val="0"/>
          <w:numId w:val="1"/>
        </w:numPr>
        <w:spacing w:after="160" w:line="360" w:lineRule="auto"/>
        <w:jc w:val="both"/>
        <w:rPr>
          <w:rFonts w:ascii="David" w:hAnsi="David" w:cs="David"/>
        </w:rPr>
      </w:pPr>
      <w:bookmarkStart w:id="6" w:name="ABSTRACT_START"/>
      <w:bookmarkEnd w:id="6"/>
      <w:r w:rsidRPr="00D510B4">
        <w:rPr>
          <w:rFonts w:ascii="David" w:hAnsi="David" w:cs="David"/>
          <w:rtl/>
        </w:rPr>
        <w:t xml:space="preserve">הנאשם מיכאל אמשיקשוילי (להלן: הנאשם), הורשע על פי הודאתו בעובדותיהם של חמישה כתבי אישום, במסגרתם יוחסו לו עבירות של החזקת סם מסוכן לצריכה עצמית לפי סעיף </w:t>
      </w:r>
      <w:hyperlink r:id="rId26" w:history="1">
        <w:r w:rsidRPr="004221DC">
          <w:rPr>
            <w:rStyle w:val="Hyperlink"/>
            <w:rFonts w:ascii="David" w:hAnsi="David" w:cs="David"/>
            <w:rtl/>
          </w:rPr>
          <w:t>7 (א)</w:t>
        </w:r>
      </w:hyperlink>
      <w:r w:rsidRPr="00D510B4">
        <w:rPr>
          <w:rFonts w:ascii="David" w:hAnsi="David" w:cs="David"/>
          <w:rtl/>
        </w:rPr>
        <w:t xml:space="preserve"> (</w:t>
      </w:r>
      <w:hyperlink r:id="rId27" w:history="1">
        <w:r w:rsidRPr="004221DC">
          <w:rPr>
            <w:rStyle w:val="Hyperlink"/>
            <w:rFonts w:ascii="David" w:hAnsi="David" w:cs="David"/>
            <w:rtl/>
          </w:rPr>
          <w:t>ג</w:t>
        </w:r>
      </w:hyperlink>
      <w:r w:rsidRPr="00D510B4">
        <w:rPr>
          <w:rFonts w:ascii="David" w:hAnsi="David" w:cs="David"/>
          <w:rtl/>
        </w:rPr>
        <w:t>) סיפא ל</w:t>
      </w:r>
      <w:hyperlink r:id="rId28" w:history="1">
        <w:r w:rsidRPr="008146F5">
          <w:rPr>
            <w:rFonts w:ascii="David" w:hAnsi="David" w:cs="David"/>
            <w:color w:val="0000FF"/>
            <w:u w:val="single"/>
            <w:rtl/>
          </w:rPr>
          <w:t>פקודת הסמים המסוכנים</w:t>
        </w:r>
      </w:hyperlink>
      <w:r w:rsidRPr="00D510B4">
        <w:rPr>
          <w:rFonts w:ascii="David" w:hAnsi="David" w:cs="David"/>
          <w:rtl/>
        </w:rPr>
        <w:t xml:space="preserve"> תשל"ג-1973 (להלן:</w:t>
      </w:r>
      <w:r w:rsidRPr="00D510B4">
        <w:rPr>
          <w:rFonts w:ascii="David" w:hAnsi="David" w:cs="David"/>
        </w:rPr>
        <w:t xml:space="preserve"> </w:t>
      </w:r>
      <w:r w:rsidRPr="00D510B4">
        <w:rPr>
          <w:rFonts w:ascii="David" w:hAnsi="David" w:cs="David"/>
          <w:rtl/>
        </w:rPr>
        <w:t xml:space="preserve">פקודת הסמים), איומים לפי </w:t>
      </w:r>
      <w:hyperlink r:id="rId29" w:history="1">
        <w:r w:rsidRPr="004221DC">
          <w:rPr>
            <w:rStyle w:val="Hyperlink"/>
            <w:rFonts w:ascii="David" w:hAnsi="David" w:cs="David"/>
            <w:rtl/>
          </w:rPr>
          <w:t>סעיף 192</w:t>
        </w:r>
      </w:hyperlink>
      <w:r w:rsidRPr="00D510B4">
        <w:rPr>
          <w:rFonts w:ascii="David" w:hAnsi="David" w:cs="David"/>
          <w:rtl/>
        </w:rPr>
        <w:t xml:space="preserve"> ל</w:t>
      </w:r>
      <w:hyperlink r:id="rId30" w:history="1">
        <w:r w:rsidRPr="008146F5">
          <w:rPr>
            <w:rFonts w:ascii="David" w:hAnsi="David" w:cs="David"/>
            <w:color w:val="0000FF"/>
            <w:u w:val="single"/>
            <w:rtl/>
          </w:rPr>
          <w:t>חוק העונשין</w:t>
        </w:r>
      </w:hyperlink>
      <w:r w:rsidRPr="00D510B4">
        <w:rPr>
          <w:rFonts w:ascii="David" w:hAnsi="David" w:cs="David"/>
          <w:rtl/>
        </w:rPr>
        <w:t xml:space="preserve">, תשל"ז-1977 (להלן: חוק העונשין), החזקת סם מסוכן שלא לצריכה עצמית לפי סעיף </w:t>
      </w:r>
      <w:hyperlink r:id="rId31" w:history="1">
        <w:r w:rsidRPr="004221DC">
          <w:rPr>
            <w:rStyle w:val="Hyperlink"/>
            <w:rFonts w:ascii="David" w:hAnsi="David" w:cs="David"/>
            <w:rtl/>
          </w:rPr>
          <w:t>7 (א) (ג)</w:t>
        </w:r>
      </w:hyperlink>
      <w:r w:rsidRPr="00D510B4">
        <w:rPr>
          <w:rFonts w:ascii="David" w:hAnsi="David" w:cs="David"/>
          <w:rtl/>
        </w:rPr>
        <w:t xml:space="preserve"> רישא לפקודת הסמים המסוכנים (2 עבירות), </w:t>
      </w:r>
      <w:bookmarkStart w:id="7" w:name="ABSTRACT_END"/>
      <w:bookmarkEnd w:id="7"/>
      <w:r w:rsidRPr="00D510B4">
        <w:rPr>
          <w:rFonts w:ascii="David" w:hAnsi="David" w:cs="David"/>
          <w:rtl/>
        </w:rPr>
        <w:t xml:space="preserve">סחר בסם מסוכן לפי </w:t>
      </w:r>
      <w:hyperlink r:id="rId32" w:history="1">
        <w:r w:rsidRPr="004221DC">
          <w:rPr>
            <w:rStyle w:val="Hyperlink"/>
            <w:rFonts w:ascii="David" w:hAnsi="David" w:cs="David"/>
            <w:rtl/>
          </w:rPr>
          <w:t>סעיף 13</w:t>
        </w:r>
      </w:hyperlink>
      <w:r w:rsidRPr="00D510B4">
        <w:rPr>
          <w:rFonts w:ascii="David" w:hAnsi="David" w:cs="David"/>
          <w:rtl/>
        </w:rPr>
        <w:t xml:space="preserve"> + </w:t>
      </w:r>
      <w:hyperlink r:id="rId33" w:history="1">
        <w:r w:rsidRPr="004221DC">
          <w:rPr>
            <w:rStyle w:val="Hyperlink"/>
            <w:rFonts w:ascii="David" w:hAnsi="David" w:cs="David"/>
            <w:rtl/>
          </w:rPr>
          <w:t>19א</w:t>
        </w:r>
      </w:hyperlink>
      <w:r w:rsidRPr="00D510B4">
        <w:rPr>
          <w:rFonts w:ascii="David" w:hAnsi="David" w:cs="David"/>
          <w:rtl/>
        </w:rPr>
        <w:t xml:space="preserve"> לפקודת הסמים המסוכנים (2 עבירות), היזק לרכוש במזיד לפי סעיף </w:t>
      </w:r>
      <w:hyperlink r:id="rId34" w:history="1">
        <w:r w:rsidRPr="004221DC">
          <w:rPr>
            <w:rStyle w:val="Hyperlink"/>
            <w:rFonts w:ascii="David" w:hAnsi="David" w:cs="David"/>
            <w:rtl/>
          </w:rPr>
          <w:t>452</w:t>
        </w:r>
      </w:hyperlink>
      <w:r w:rsidRPr="00D510B4">
        <w:rPr>
          <w:rFonts w:ascii="David" w:hAnsi="David" w:cs="David"/>
          <w:rtl/>
        </w:rPr>
        <w:t xml:space="preserve"> לחוק העונשין </w:t>
      </w:r>
      <w:r w:rsidRPr="00D510B4">
        <w:rPr>
          <w:rFonts w:ascii="David" w:hAnsi="David" w:cs="David"/>
          <w:rtl/>
        </w:rPr>
        <w:lastRenderedPageBreak/>
        <w:t xml:space="preserve">(3 עבירות), הפרת הוראה חוקית לפי סעיף </w:t>
      </w:r>
      <w:hyperlink r:id="rId35" w:history="1">
        <w:r w:rsidRPr="004221DC">
          <w:rPr>
            <w:rStyle w:val="Hyperlink"/>
            <w:rFonts w:ascii="David" w:hAnsi="David" w:cs="David"/>
            <w:rtl/>
          </w:rPr>
          <w:t>287 (א)</w:t>
        </w:r>
      </w:hyperlink>
      <w:r w:rsidRPr="00D510B4">
        <w:rPr>
          <w:rFonts w:ascii="David" w:hAnsi="David" w:cs="David"/>
          <w:rtl/>
        </w:rPr>
        <w:t xml:space="preserve"> לחוק העונשין (3 עבירות), תקיפה סתם לפי </w:t>
      </w:r>
      <w:hyperlink r:id="rId36" w:history="1">
        <w:r w:rsidRPr="004221DC">
          <w:rPr>
            <w:rStyle w:val="Hyperlink"/>
            <w:rFonts w:ascii="David" w:hAnsi="David" w:cs="David"/>
            <w:rtl/>
          </w:rPr>
          <w:t>סעיף 379</w:t>
        </w:r>
      </w:hyperlink>
      <w:r w:rsidRPr="00D510B4">
        <w:rPr>
          <w:rFonts w:ascii="David" w:hAnsi="David" w:cs="David"/>
          <w:rtl/>
        </w:rPr>
        <w:t xml:space="preserve"> לחוק העונשין, נהיגה ללא רישיון רכב לפי </w:t>
      </w:r>
      <w:hyperlink r:id="rId37" w:history="1">
        <w:r w:rsidRPr="004221DC">
          <w:rPr>
            <w:rStyle w:val="Hyperlink"/>
            <w:rFonts w:ascii="David" w:hAnsi="David" w:cs="David"/>
            <w:rtl/>
          </w:rPr>
          <w:t>סעיף 2</w:t>
        </w:r>
      </w:hyperlink>
      <w:r w:rsidRPr="00D510B4">
        <w:rPr>
          <w:rFonts w:ascii="David" w:hAnsi="David" w:cs="David"/>
          <w:rtl/>
        </w:rPr>
        <w:t xml:space="preserve"> ל</w:t>
      </w:r>
      <w:hyperlink r:id="rId38" w:history="1">
        <w:r w:rsidRPr="008146F5">
          <w:rPr>
            <w:rFonts w:ascii="David" w:hAnsi="David" w:cs="David"/>
            <w:color w:val="0000FF"/>
            <w:u w:val="single"/>
            <w:rtl/>
          </w:rPr>
          <w:t>פקודת התעבורה</w:t>
        </w:r>
      </w:hyperlink>
      <w:r w:rsidRPr="00D510B4">
        <w:rPr>
          <w:rFonts w:ascii="David" w:hAnsi="David" w:cs="David"/>
          <w:rtl/>
        </w:rPr>
        <w:t xml:space="preserve">, נהיגה ללא רישיון נהיגה לפי </w:t>
      </w:r>
      <w:hyperlink r:id="rId39" w:history="1">
        <w:r w:rsidRPr="004221DC">
          <w:rPr>
            <w:rStyle w:val="Hyperlink"/>
            <w:rFonts w:ascii="David" w:hAnsi="David" w:cs="David"/>
            <w:rtl/>
          </w:rPr>
          <w:t>סעיף 10א</w:t>
        </w:r>
      </w:hyperlink>
      <w:r w:rsidRPr="00D510B4">
        <w:rPr>
          <w:rFonts w:ascii="David" w:hAnsi="David" w:cs="David"/>
          <w:rtl/>
        </w:rPr>
        <w:t xml:space="preserve"> לפקודת התעבורה, נהיגה בזמן פסילה לפי </w:t>
      </w:r>
      <w:hyperlink r:id="rId40" w:history="1">
        <w:r w:rsidRPr="004221DC">
          <w:rPr>
            <w:rStyle w:val="Hyperlink"/>
            <w:rFonts w:ascii="David" w:hAnsi="David" w:cs="David"/>
            <w:rtl/>
          </w:rPr>
          <w:t>סעיף 67</w:t>
        </w:r>
      </w:hyperlink>
      <w:r w:rsidRPr="00D510B4">
        <w:rPr>
          <w:rFonts w:ascii="David" w:hAnsi="David" w:cs="David"/>
          <w:rtl/>
        </w:rPr>
        <w:t xml:space="preserve"> לפקודת התעבורה, נהיגה ללא ביטוח לפי </w:t>
      </w:r>
      <w:hyperlink r:id="rId41" w:history="1">
        <w:r w:rsidRPr="004221DC">
          <w:rPr>
            <w:rStyle w:val="Hyperlink"/>
            <w:rFonts w:ascii="David" w:hAnsi="David" w:cs="David"/>
            <w:rtl/>
          </w:rPr>
          <w:t>סעיף 2א</w:t>
        </w:r>
      </w:hyperlink>
      <w:r w:rsidRPr="00D510B4">
        <w:rPr>
          <w:rFonts w:ascii="David" w:hAnsi="David" w:cs="David"/>
          <w:rtl/>
        </w:rPr>
        <w:t xml:space="preserve"> ל</w:t>
      </w:r>
      <w:hyperlink r:id="rId42" w:history="1">
        <w:r w:rsidRPr="008146F5">
          <w:rPr>
            <w:rFonts w:ascii="David" w:hAnsi="David" w:cs="David"/>
            <w:color w:val="0000FF"/>
            <w:u w:val="single"/>
            <w:rtl/>
          </w:rPr>
          <w:t>פקודת ביטוח רכב מנועי</w:t>
        </w:r>
      </w:hyperlink>
      <w:r w:rsidRPr="00D510B4">
        <w:rPr>
          <w:rFonts w:ascii="David" w:hAnsi="David" w:cs="David"/>
          <w:rtl/>
        </w:rPr>
        <w:t xml:space="preserve">. </w:t>
      </w:r>
    </w:p>
    <w:p w14:paraId="075AE735" w14:textId="77777777" w:rsidR="004221DC" w:rsidRPr="00D510B4" w:rsidRDefault="004221DC" w:rsidP="00D510B4">
      <w:pPr>
        <w:pStyle w:val="aa"/>
        <w:spacing w:after="160" w:line="360" w:lineRule="auto"/>
        <w:ind w:left="360"/>
        <w:jc w:val="both"/>
        <w:rPr>
          <w:rFonts w:ascii="David" w:hAnsi="David" w:cs="David"/>
        </w:rPr>
      </w:pPr>
    </w:p>
    <w:p w14:paraId="456489BC"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הנאשם צרף חמישה כתבי אישום להליך פלילי אחד, בפרשה דנא, במסגרתו הורשע בעבירות שפורטו לעיל; עובדות כתבי האישום סיפרו על עבירות אותן ביצע הנאשם משנת 2016 ועד שנת 2021.  </w:t>
      </w:r>
    </w:p>
    <w:p w14:paraId="3D04D4F4" w14:textId="77777777" w:rsidR="004221DC" w:rsidRPr="00D510B4" w:rsidRDefault="004221DC" w:rsidP="00D510B4">
      <w:pPr>
        <w:pStyle w:val="aa"/>
        <w:spacing w:after="160" w:line="360" w:lineRule="auto"/>
        <w:ind w:left="360"/>
        <w:jc w:val="both"/>
        <w:rPr>
          <w:rFonts w:ascii="David" w:hAnsi="David" w:cs="David"/>
        </w:rPr>
      </w:pPr>
    </w:p>
    <w:p w14:paraId="7D6A5E71"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במסגרת </w:t>
      </w:r>
      <w:hyperlink r:id="rId43" w:history="1">
        <w:r w:rsidRPr="008146F5">
          <w:rPr>
            <w:rFonts w:ascii="David" w:hAnsi="David" w:cs="David"/>
            <w:color w:val="0000FF"/>
            <w:u w:val="single"/>
            <w:rtl/>
          </w:rPr>
          <w:t>ת"פ 55424-06-17</w:t>
        </w:r>
      </w:hyperlink>
      <w:r w:rsidRPr="00D510B4">
        <w:rPr>
          <w:rFonts w:ascii="David" w:hAnsi="David" w:cs="David"/>
          <w:rtl/>
        </w:rPr>
        <w:t xml:space="preserve"> הורשע הנאשם בכך שבשנת 2016 החזיק סם מסוכן מסוג חשיש לצריכתו העצמית; כן הורשע בעבירה של איומים, באותה שנה, בכך שאמר לשוטר בתחנת משטרה " אני אפגוש אותך בחוץ, אני אדאג לפגוע לך בעבודה ומחר אפגוש אותך בחוץ ואראה לך מה זה". </w:t>
      </w:r>
    </w:p>
    <w:p w14:paraId="74B61207" w14:textId="77777777" w:rsidR="004221DC" w:rsidRPr="00D510B4" w:rsidRDefault="004221DC" w:rsidP="00D510B4">
      <w:pPr>
        <w:pStyle w:val="aa"/>
        <w:spacing w:line="360" w:lineRule="auto"/>
        <w:jc w:val="both"/>
        <w:rPr>
          <w:rFonts w:ascii="David" w:hAnsi="David" w:cs="David"/>
        </w:rPr>
      </w:pPr>
    </w:p>
    <w:p w14:paraId="07DE95DA" w14:textId="77777777" w:rsidR="004221DC" w:rsidRPr="00D510B4" w:rsidRDefault="004221DC" w:rsidP="00D510B4">
      <w:pPr>
        <w:pStyle w:val="aa"/>
        <w:numPr>
          <w:ilvl w:val="0"/>
          <w:numId w:val="1"/>
        </w:numPr>
        <w:spacing w:line="360" w:lineRule="auto"/>
        <w:jc w:val="both"/>
        <w:rPr>
          <w:rFonts w:ascii="David" w:hAnsi="David" w:cs="David"/>
          <w:rtl/>
        </w:rPr>
      </w:pPr>
      <w:r w:rsidRPr="00D510B4">
        <w:rPr>
          <w:rFonts w:ascii="David" w:hAnsi="David" w:cs="David"/>
          <w:rtl/>
        </w:rPr>
        <w:t xml:space="preserve">במסגרת </w:t>
      </w:r>
      <w:hyperlink r:id="rId44" w:history="1">
        <w:r w:rsidRPr="008146F5">
          <w:rPr>
            <w:rFonts w:ascii="David" w:hAnsi="David" w:cs="David"/>
            <w:color w:val="0000FF"/>
            <w:u w:val="single"/>
            <w:rtl/>
          </w:rPr>
          <w:t>ת"פ 19211-06-17</w:t>
        </w:r>
      </w:hyperlink>
      <w:r w:rsidRPr="00D510B4">
        <w:rPr>
          <w:rFonts w:ascii="David" w:hAnsi="David" w:cs="David"/>
          <w:rtl/>
        </w:rPr>
        <w:t xml:space="preserve"> הורשע הנאשם בכך בשנת 2016 החזיק סם מסוכן מסוג </w:t>
      </w:r>
      <w:r w:rsidRPr="00D510B4">
        <w:rPr>
          <w:rFonts w:ascii="David" w:hAnsi="David" w:cs="David"/>
        </w:rPr>
        <w:t>AMB-FUB</w:t>
      </w:r>
      <w:r w:rsidRPr="00D510B4">
        <w:rPr>
          <w:rFonts w:ascii="David" w:hAnsi="David" w:cs="David"/>
          <w:rtl/>
        </w:rPr>
        <w:t xml:space="preserve"> מחולק ל- 11 יחידות, בנוסף סם מסוכן מסוג </w:t>
      </w:r>
      <w:r w:rsidRPr="00D510B4">
        <w:rPr>
          <w:rFonts w:ascii="David" w:hAnsi="David" w:cs="David"/>
        </w:rPr>
        <w:t>AMB-FUB</w:t>
      </w:r>
      <w:r w:rsidRPr="00D510B4">
        <w:rPr>
          <w:rFonts w:ascii="David" w:hAnsi="David" w:cs="David"/>
          <w:rtl/>
        </w:rPr>
        <w:t xml:space="preserve"> במשקל נטו של 2500 גרם, שלא לצריכתו העצמית. </w:t>
      </w:r>
    </w:p>
    <w:p w14:paraId="012770B1" w14:textId="77777777" w:rsidR="004221DC" w:rsidRPr="00D510B4" w:rsidRDefault="004221DC" w:rsidP="00D510B4">
      <w:pPr>
        <w:pStyle w:val="aa"/>
        <w:spacing w:after="160" w:line="360" w:lineRule="auto"/>
        <w:ind w:left="360"/>
        <w:jc w:val="both"/>
        <w:rPr>
          <w:rFonts w:ascii="David" w:hAnsi="David" w:cs="David"/>
          <w:rtl/>
        </w:rPr>
      </w:pPr>
    </w:p>
    <w:p w14:paraId="611AD505"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במסגרת ת"פ 60230-10-20, </w:t>
      </w:r>
      <w:hyperlink r:id="rId45" w:history="1">
        <w:r w:rsidRPr="008146F5">
          <w:rPr>
            <w:rFonts w:ascii="David" w:hAnsi="David" w:cs="David"/>
            <w:color w:val="0000FF"/>
            <w:u w:val="single"/>
            <w:rtl/>
          </w:rPr>
          <w:t>ת"פ 17349-05-21</w:t>
        </w:r>
      </w:hyperlink>
      <w:r w:rsidRPr="00D510B4">
        <w:rPr>
          <w:rFonts w:ascii="David" w:hAnsi="David" w:cs="David"/>
          <w:rtl/>
        </w:rPr>
        <w:t xml:space="preserve"> ו-</w:t>
      </w:r>
      <w:hyperlink r:id="rId46" w:history="1">
        <w:r w:rsidRPr="008146F5">
          <w:rPr>
            <w:rFonts w:ascii="David" w:hAnsi="David" w:cs="David"/>
            <w:color w:val="0000FF"/>
            <w:u w:val="single"/>
            <w:rtl/>
          </w:rPr>
          <w:t>ת"פ 986-06-21</w:t>
        </w:r>
      </w:hyperlink>
      <w:r w:rsidRPr="00D510B4">
        <w:rPr>
          <w:rFonts w:ascii="David" w:hAnsi="David" w:cs="David"/>
          <w:rtl/>
        </w:rPr>
        <w:t xml:space="preserve"> תוארו עבירות שביצע הנאשם בחודשים מרץ עד מאי בשנת 2021. בחודש מרץ 2021 שבר הנאשם רהיטים, פיזר את בגדי המתלוננת, בת זוגו, ושבר את הטלפון הנייד שלה (מסוג אייפון). בפרשה הנוספת (בהתאמה)</w:t>
      </w:r>
      <w:r w:rsidRPr="00D510B4">
        <w:rPr>
          <w:rFonts w:ascii="David" w:hAnsi="David" w:cs="David"/>
        </w:rPr>
        <w:t xml:space="preserve"> </w:t>
      </w:r>
      <w:r w:rsidRPr="00D510B4">
        <w:rPr>
          <w:rFonts w:ascii="David" w:hAnsi="David" w:cs="David"/>
          <w:rtl/>
        </w:rPr>
        <w:t xml:space="preserve">הורשע הנאשם, בין היתר,  בכך שבעת שהסיעה אותו ידידתו, וביקשה להפסיק את הנסיעה, התנהג באלימות ברכבה, שבר חלקים ממנו, ואמר לה שאם היא לא תמשיך בנסיעה הוא ימשיך במעשיו; היא נאלצה להסיע אותו מאילת עד העיר באר שבע (להלן: אישום שני). עוד הורשע הנאשם במסגרת פרשה זו בעבירות תעבורה שונות, כמפורט לעיל, בכך שנהג ללא רישיון תחת פסילה, ותוך הפרת הוראה חוקית (להלן: אישום ראשון). </w:t>
      </w:r>
    </w:p>
    <w:p w14:paraId="5D6B0CCA" w14:textId="77777777" w:rsidR="004221DC" w:rsidRPr="00D510B4" w:rsidRDefault="004221DC" w:rsidP="001D7539">
      <w:pPr>
        <w:pStyle w:val="aa"/>
        <w:rPr>
          <w:rFonts w:ascii="David" w:hAnsi="David" w:cs="David"/>
        </w:rPr>
      </w:pPr>
    </w:p>
    <w:p w14:paraId="6ED67CDE"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בפרשה האחרונה (להלן:</w:t>
      </w:r>
      <w:r w:rsidRPr="00D510B4">
        <w:rPr>
          <w:rFonts w:ascii="David" w:hAnsi="David" w:cs="David"/>
        </w:rPr>
        <w:t xml:space="preserve"> </w:t>
      </w:r>
      <w:r w:rsidRPr="00D510B4">
        <w:rPr>
          <w:rFonts w:ascii="David" w:hAnsi="David" w:cs="David"/>
          <w:rtl/>
        </w:rPr>
        <w:t>התיק העיקרי), הורשע הנאשם בעבירות שביצע נגד מי שהיתה אז בת זוגו, כולן בחודש מאי 2021 (להלן:</w:t>
      </w:r>
      <w:r w:rsidRPr="00D510B4">
        <w:rPr>
          <w:rFonts w:ascii="David" w:hAnsi="David" w:cs="David"/>
        </w:rPr>
        <w:t xml:space="preserve"> </w:t>
      </w:r>
      <w:r w:rsidRPr="00D510B4">
        <w:rPr>
          <w:rFonts w:ascii="David" w:hAnsi="David" w:cs="David"/>
          <w:rtl/>
        </w:rPr>
        <w:t xml:space="preserve">האישום הראשון). הנאשם הורשע בכך שעל רקע רצונה של המתלוננת לעזוב את דירתו הוא דחף אותה, בשתי הזדמנויות, ולקח את מכשיר הטלפון הנייד שלה. הנאשם נעל את המתלוננת בביתו, ואז הגיעו חבריה של המתלוננת, דרשו מהנאשם לשחררה, והוא עשה כן, לא לפני ששבר את מכשיר הטלפון הנייד של המתלוננת. במעשיו אלה הפר הנאשם הוראה חוקית בכך ששהה בביתו ללא ערבים (היה נתון במעצר בית בפיקוח מפקחים), ויצא מביתו מספר פעמים בניגוד לתנאי מעצר הבית. </w:t>
      </w:r>
    </w:p>
    <w:p w14:paraId="35814889" w14:textId="77777777" w:rsidR="004221DC" w:rsidRPr="00D510B4" w:rsidRDefault="004221DC" w:rsidP="00D510B4">
      <w:pPr>
        <w:pStyle w:val="aa"/>
        <w:spacing w:after="160" w:line="360" w:lineRule="auto"/>
        <w:ind w:left="360"/>
        <w:jc w:val="both"/>
        <w:rPr>
          <w:rFonts w:ascii="David" w:hAnsi="David" w:cs="David"/>
          <w:rtl/>
        </w:rPr>
      </w:pPr>
    </w:p>
    <w:p w14:paraId="3BC87B39"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lastRenderedPageBreak/>
        <w:t>עוד בפרשה זו הורשע הנאשם בעבירות סמים אותם החזיק שלא לצריכתו העצמית:</w:t>
      </w:r>
      <w:r w:rsidRPr="00D510B4">
        <w:rPr>
          <w:rFonts w:ascii="David" w:hAnsi="David" w:cs="David"/>
        </w:rPr>
        <w:t xml:space="preserve"> </w:t>
      </w:r>
      <w:r w:rsidRPr="00D510B4">
        <w:rPr>
          <w:rFonts w:ascii="David" w:hAnsi="David" w:cs="David"/>
          <w:rtl/>
        </w:rPr>
        <w:t>סם מסוכן מסוג קנבוס במשקל 619.21 גרם נטו, סם מסוכן מסוג קנבוס במשקל 605.59 גרם נטו (להלן:</w:t>
      </w:r>
      <w:r w:rsidRPr="00D510B4">
        <w:rPr>
          <w:rFonts w:ascii="David" w:hAnsi="David" w:cs="David"/>
        </w:rPr>
        <w:t xml:space="preserve"> </w:t>
      </w:r>
      <w:r w:rsidRPr="00D510B4">
        <w:rPr>
          <w:rFonts w:ascii="David" w:hAnsi="David" w:cs="David"/>
          <w:rtl/>
        </w:rPr>
        <w:t>האישום השני). בנוסף הורשע הנאשם בשתי עבירות של סחר בסמים, בכך שביום 19.5.2021 מכר לאחר סם מסוכן מסוג קנבוס במשקל של גרמים בודדים . למחרת, בשעה 15:20 לערך, באותו מקום, הביא האחר לנאשם סך מזומן של 400 ₪ תמורת הסמים (להלן:</w:t>
      </w:r>
      <w:r w:rsidRPr="00D510B4">
        <w:rPr>
          <w:rFonts w:ascii="David" w:hAnsi="David" w:cs="David"/>
        </w:rPr>
        <w:t xml:space="preserve"> </w:t>
      </w:r>
      <w:r w:rsidRPr="00D510B4">
        <w:rPr>
          <w:rFonts w:ascii="David" w:hAnsi="David" w:cs="David"/>
          <w:rtl/>
        </w:rPr>
        <w:t xml:space="preserve">האישום השלישי). יומיים לאחר מכן, התכתב הנאשם בעניין מכירת סמים עם אחרת, בין היתר כתב לה "אפנק כמו תמיד" (נוסח התכתובת המלא בכתב האישום), ואז מסר לה (או מי מטעמו) סם מסוכן מסוג קנבוס במשקל שאינו ידוע (להלן: האישום הרביעי).  </w:t>
      </w:r>
    </w:p>
    <w:p w14:paraId="152C102D" w14:textId="77777777" w:rsidR="004221DC" w:rsidRPr="00D510B4" w:rsidRDefault="004221DC" w:rsidP="00D510B4">
      <w:pPr>
        <w:pStyle w:val="aa"/>
        <w:spacing w:after="160" w:line="360" w:lineRule="auto"/>
        <w:ind w:left="360"/>
        <w:jc w:val="both"/>
        <w:rPr>
          <w:rFonts w:ascii="David" w:hAnsi="David" w:cs="David"/>
          <w:b/>
          <w:bCs/>
          <w:u w:val="single"/>
        </w:rPr>
      </w:pPr>
    </w:p>
    <w:p w14:paraId="5675595A" w14:textId="77777777" w:rsidR="004221DC" w:rsidRPr="00D510B4" w:rsidRDefault="004221DC" w:rsidP="00D510B4">
      <w:pPr>
        <w:pStyle w:val="aa"/>
        <w:numPr>
          <w:ilvl w:val="0"/>
          <w:numId w:val="1"/>
        </w:numPr>
        <w:spacing w:after="160" w:line="360" w:lineRule="auto"/>
        <w:jc w:val="both"/>
        <w:rPr>
          <w:rFonts w:ascii="David" w:hAnsi="David" w:cs="David"/>
          <w:b/>
          <w:bCs/>
          <w:u w:val="single"/>
        </w:rPr>
      </w:pPr>
      <w:r w:rsidRPr="00D510B4">
        <w:rPr>
          <w:rFonts w:ascii="David" w:hAnsi="David" w:cs="David"/>
          <w:rtl/>
        </w:rPr>
        <w:t xml:space="preserve">כבר בשלב התחלתי זה של גזר הדין ראיתי להבהיר כי הדיונים בפרשה דנא נפרשו על פני מספר שנים, החל משנת 2021, במהלכן צרף הנאשם תיקים ופרשות יחדיו, ובשנים האחרונות סיים הליך טיפולי ושיקומי מוצלח ויוצא דופן. לאחר לא פחות משמונה חודשי מאסר בגין התיק העיקרי, השתלב בקהילה טיפולית סגורה במשך מספר חודשים (כשנה), ולאחריה המשיך לשלב ההוסטל, במסגרתו שולב בטיפולים פרטניים שונים, אשר גם אותו סיים בהצלחה. הנאשם בחר להמשיך ולהתגורר בקרבת ההוסטל (העיר בית שמש), שולב בעבודה כמנהל חנות, ולמותר לציין כי לא נפתחו נגדו תיקים פליליים במשך כל אותן שנים. התהליך שעבר הנאשם לא היה "רק" טכני, כמפורט לעיל, אלא עמוק ויסודי, כפי שעלה בהרחבה מתסקירי שירות המבחן הרבים שהוגשו בעניינו. </w:t>
      </w:r>
    </w:p>
    <w:p w14:paraId="6EF1A4B7" w14:textId="77777777" w:rsidR="004221DC" w:rsidRPr="00D510B4" w:rsidRDefault="004221DC" w:rsidP="00D510B4">
      <w:pPr>
        <w:pStyle w:val="aa"/>
        <w:spacing w:after="160" w:line="360" w:lineRule="auto"/>
        <w:ind w:left="360"/>
        <w:jc w:val="both"/>
        <w:rPr>
          <w:rFonts w:ascii="David" w:hAnsi="David" w:cs="David"/>
          <w:b/>
          <w:bCs/>
          <w:u w:val="single"/>
        </w:rPr>
      </w:pPr>
    </w:p>
    <w:p w14:paraId="4748E436" w14:textId="77777777" w:rsidR="004221DC" w:rsidRPr="00D510B4" w:rsidRDefault="004221DC" w:rsidP="00D510B4">
      <w:pPr>
        <w:pStyle w:val="aa"/>
        <w:numPr>
          <w:ilvl w:val="0"/>
          <w:numId w:val="1"/>
        </w:numPr>
        <w:spacing w:after="160" w:line="360" w:lineRule="auto"/>
        <w:jc w:val="both"/>
        <w:rPr>
          <w:rFonts w:ascii="David" w:hAnsi="David" w:cs="David"/>
          <w:b/>
          <w:bCs/>
          <w:u w:val="single"/>
        </w:rPr>
      </w:pPr>
      <w:r w:rsidRPr="00D510B4">
        <w:rPr>
          <w:rFonts w:ascii="David" w:hAnsi="David" w:cs="David"/>
          <w:rtl/>
        </w:rPr>
        <w:t>להלן יתואר בהרחבה ההליך השיקומי אותו עבר הנאשם, והדרך הטיפולית המוצלחת ונושאת הפרי בה לקח חלק.</w:t>
      </w:r>
    </w:p>
    <w:p w14:paraId="5267BC77" w14:textId="77777777" w:rsidR="004221DC" w:rsidRPr="00D510B4" w:rsidRDefault="004221DC" w:rsidP="00D510B4">
      <w:pPr>
        <w:pStyle w:val="aa"/>
        <w:spacing w:after="160" w:line="360" w:lineRule="auto"/>
        <w:ind w:left="360"/>
        <w:jc w:val="both"/>
        <w:rPr>
          <w:rFonts w:ascii="David" w:hAnsi="David" w:cs="David"/>
          <w:b/>
          <w:bCs/>
          <w:u w:val="single"/>
        </w:rPr>
      </w:pPr>
    </w:p>
    <w:p w14:paraId="70B5FAB1" w14:textId="77777777" w:rsidR="004221DC" w:rsidRPr="00D510B4" w:rsidRDefault="004221DC" w:rsidP="00D510B4">
      <w:pPr>
        <w:pStyle w:val="aa"/>
        <w:numPr>
          <w:ilvl w:val="0"/>
          <w:numId w:val="1"/>
        </w:numPr>
        <w:spacing w:after="160" w:line="360" w:lineRule="auto"/>
        <w:jc w:val="both"/>
        <w:rPr>
          <w:rFonts w:ascii="David" w:hAnsi="David" w:cs="David"/>
          <w:b/>
          <w:bCs/>
          <w:u w:val="single"/>
        </w:rPr>
      </w:pPr>
      <w:r w:rsidRPr="00D510B4">
        <w:rPr>
          <w:rFonts w:ascii="David" w:hAnsi="David" w:cs="David"/>
          <w:rtl/>
        </w:rPr>
        <w:t>נשוב להשתלשלות העניינים העובדתית. ביום 25.2.2024 טענו הצדדים לעונש. מטעם ההגנה העידה לעונש אמו של הנאשם, כדלקמן.</w:t>
      </w:r>
    </w:p>
    <w:p w14:paraId="105F53DC" w14:textId="77777777" w:rsidR="004221DC" w:rsidRPr="00D510B4" w:rsidRDefault="004221DC" w:rsidP="001D7539">
      <w:pPr>
        <w:pStyle w:val="aa"/>
        <w:rPr>
          <w:rFonts w:ascii="David" w:hAnsi="David" w:cs="David"/>
          <w:b/>
          <w:bCs/>
          <w:u w:val="single"/>
        </w:rPr>
      </w:pPr>
    </w:p>
    <w:p w14:paraId="3420E6A1" w14:textId="77777777" w:rsidR="004221DC" w:rsidRPr="00D510B4" w:rsidRDefault="004221DC" w:rsidP="00D510B4">
      <w:pPr>
        <w:pStyle w:val="aa"/>
        <w:shd w:val="clear" w:color="auto" w:fill="FFFFFF"/>
        <w:rPr>
          <w:rFonts w:ascii="David" w:hAnsi="David" w:cs="David"/>
          <w:rtl/>
        </w:rPr>
      </w:pPr>
    </w:p>
    <w:p w14:paraId="6D3C81CE" w14:textId="77777777" w:rsidR="004221DC" w:rsidRPr="00D510B4" w:rsidRDefault="004221DC" w:rsidP="00D510B4">
      <w:pPr>
        <w:pStyle w:val="aa"/>
        <w:shd w:val="clear" w:color="auto" w:fill="FFFFFF"/>
        <w:spacing w:line="360" w:lineRule="auto"/>
        <w:ind w:left="360"/>
        <w:jc w:val="both"/>
        <w:rPr>
          <w:rFonts w:ascii="David" w:hAnsi="David" w:cs="David"/>
        </w:rPr>
      </w:pPr>
      <w:r w:rsidRPr="00D510B4">
        <w:rPr>
          <w:rFonts w:ascii="David" w:hAnsi="David" w:cs="David"/>
          <w:rtl/>
        </w:rPr>
        <w:t>"אני רוצה לספר על הילדות של מיכאל. הייתי אם חד הורית, עבדתי כל הזמן פרנסתי את המשפחה, פעמיים חליתי במחלת הסרטן, אחותי נפטרה ממחלת הסרטן, גם אמא שלי נפטרה. כל המצב הזה עברנו קשיים. אני מאד רוצה להודות על ההזדמנות שנתתם למיכאל ושלחתם אותו לקהילה שסיים אותה בהצטיינות. כל הזמן היינו בקשר איתו ותמכנו בו. הצלחנו להרים אותו על הרגליים. היום הוא עובד, מפרנס את עצמו, הוא שינה את עיר המגורים נמצא קרוב לקהילה, נמצא בקשר עם העובדות סוציאליות, הולך לקבוצות, עובד בעבודה מכובדת, הוא מנהל של קסטרו. עשה דרך קשה בשנתיים וחצי ועומד על הרגליים. יש שיפור משמעותי. לפני חמש שנים חליתי פעם שנייה במחלת הסרטן. עברתי ניתוח אני נכה. כשהוא היה במעצר עברתי ניתוח לב. כשחזרתי מהניתוח אמא שלי נפטרה. אני טיפלתי בה..."</w:t>
      </w:r>
    </w:p>
    <w:p w14:paraId="454CBB70" w14:textId="77777777" w:rsidR="004221DC" w:rsidRPr="00D510B4" w:rsidRDefault="004221DC" w:rsidP="001D7539">
      <w:pPr>
        <w:pStyle w:val="aa"/>
        <w:rPr>
          <w:rFonts w:ascii="David" w:hAnsi="David" w:cs="David"/>
          <w:rtl/>
        </w:rPr>
      </w:pPr>
    </w:p>
    <w:p w14:paraId="2BBF9E6A" w14:textId="77777777" w:rsidR="004221DC" w:rsidRPr="00D510B4" w:rsidRDefault="004221DC" w:rsidP="00D510B4">
      <w:pPr>
        <w:pStyle w:val="aa"/>
        <w:numPr>
          <w:ilvl w:val="0"/>
          <w:numId w:val="1"/>
        </w:numPr>
        <w:spacing w:after="160" w:line="360" w:lineRule="auto"/>
        <w:jc w:val="both"/>
        <w:rPr>
          <w:rFonts w:ascii="David" w:hAnsi="David" w:cs="David"/>
          <w:b/>
          <w:bCs/>
          <w:u w:val="single"/>
          <w:rtl/>
        </w:rPr>
      </w:pPr>
      <w:r w:rsidRPr="00D510B4">
        <w:rPr>
          <w:rFonts w:ascii="David" w:hAnsi="David" w:cs="David"/>
          <w:rtl/>
        </w:rPr>
        <w:t xml:space="preserve">התביעה ביקשה בטיעוניה לעונש לקבוע לא פחות מ- 10 (!) מתחמי ענישה נפרדים, ביחס ל(כמעט) כל עבירה אותה ביצע הנאשם. ביחס לתיק העיקרי עתרה המאשימה לקבוע 3 מתחמי ענישה נפרדים; ביחס לאישום הראשון – 6 עד 18 חודשי מאסר בפועל, וביקשה למקם את עונשו של הנאשם ברף האמצעי של המתחם, ולהשית עליו 10 חודשי מאסר בפועל. ביחס לאישום השני – 6 עד 12 חודשי מאסר בפועל, וביקשה למקם את עונשו של הנאשם "ברף בינוני גבוה". ביחס לאישומים השלישי והרביעי: 4 עד 12 חודשי מאסר בפועל, וביקשה למקם את עונשו של הנאשם ברף התחתון של המתחם.  </w:t>
      </w:r>
    </w:p>
    <w:p w14:paraId="712D2378" w14:textId="77777777" w:rsidR="004221DC" w:rsidRPr="00D510B4" w:rsidRDefault="004221DC" w:rsidP="001D7539">
      <w:pPr>
        <w:pStyle w:val="aa"/>
        <w:rPr>
          <w:rFonts w:ascii="David" w:hAnsi="David" w:cs="David"/>
          <w:b/>
          <w:bCs/>
          <w:u w:val="single"/>
        </w:rPr>
      </w:pPr>
    </w:p>
    <w:p w14:paraId="6BB6A010"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ביחס לעבירות שנעברו בשנת 2016 טענה התביעה כי במסגרת ת"פ 19211-06-17 נע מתחם הענישה בין 10 חודשים עד שנתיים של מאסר בפועל, ועתרה למקם את עונשו של הנאשם ברף הבינוני גבוה של המתחם. ביחס לת"פ 55424-06-17 טענה התביעה כי עבירות הסמים מגלמות מתחם של מאסר מותנה ועד 6 חודשי מאסר בפועל, וביקשה למקם את עונשו ברף הנמוך, וביחס לעבירת האיומים – מתחם זהה אולם יש למקם את עונשו ברף הבינוני ולהשית עליו 3 חודשי מאסר בפועל. </w:t>
      </w:r>
    </w:p>
    <w:p w14:paraId="58276E30" w14:textId="77777777" w:rsidR="004221DC" w:rsidRPr="00D510B4" w:rsidRDefault="004221DC" w:rsidP="00D510B4">
      <w:pPr>
        <w:pStyle w:val="aa"/>
        <w:spacing w:after="160" w:line="360" w:lineRule="auto"/>
        <w:ind w:left="360"/>
        <w:jc w:val="both"/>
        <w:rPr>
          <w:rFonts w:ascii="David" w:hAnsi="David" w:cs="David"/>
          <w:rtl/>
        </w:rPr>
      </w:pPr>
    </w:p>
    <w:p w14:paraId="7BBB0252"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המאשימה עתרה למתחמי ענישה נוספים, ביחס לת"פ 17349-05-21: אישום ראשון: מתחם ענישה הנע בין מאסר מותנה ועד 12 חודשי מאסר בפועל, וביקשה למקם את הנאשם ברף הבינוני נמוך של מתחם הענישה. אישום שני: – מתחם ענישה הנע בין מאסר קצר ועד 8 חודשי מאסר בפועל, וביקשה למקם את הנאשם ברף הגבוה של מתחם הענישה. ביחס ל</w:t>
      </w:r>
      <w:hyperlink r:id="rId47" w:history="1">
        <w:r w:rsidRPr="008146F5">
          <w:rPr>
            <w:rFonts w:ascii="David" w:hAnsi="David" w:cs="David"/>
            <w:color w:val="0000FF"/>
            <w:u w:val="single"/>
            <w:rtl/>
          </w:rPr>
          <w:t>ת"פ 60230-10-21</w:t>
        </w:r>
      </w:hyperlink>
      <w:r w:rsidRPr="00D510B4">
        <w:rPr>
          <w:rFonts w:ascii="David" w:hAnsi="David" w:cs="David"/>
          <w:rtl/>
        </w:rPr>
        <w:t xml:space="preserve"> טענה המאשימה כי מתחם ענישה נע בין מאסר מותנה ועד 9 חודשי מאסר בפועל, וביקשה למקם את הנאשם ברף הגבוה של מתחם הענישה.</w:t>
      </w:r>
    </w:p>
    <w:p w14:paraId="505510A7" w14:textId="77777777" w:rsidR="004221DC" w:rsidRPr="00D510B4" w:rsidRDefault="004221DC" w:rsidP="00D510B4">
      <w:pPr>
        <w:spacing w:after="160" w:line="360" w:lineRule="auto"/>
        <w:ind w:left="424"/>
        <w:jc w:val="both"/>
        <w:rPr>
          <w:rFonts w:ascii="David" w:hAnsi="David"/>
          <w:rtl/>
        </w:rPr>
      </w:pPr>
      <w:r w:rsidRPr="00D510B4">
        <w:rPr>
          <w:rFonts w:ascii="David" w:hAnsi="David"/>
          <w:rtl/>
        </w:rPr>
        <w:t>המאשימה עתרה להטיל על הנאשם, בנוסף לשליחתו למאסר, מאסרים מותנים ארוכים ומרתיעים, פיצוי, התחייבות, פסילה מלהחזיק או לקבל רישיון נהיגה וכן פסילה מותנית מלהחזיק או לקבל רישיון נהיגה.</w:t>
      </w:r>
    </w:p>
    <w:p w14:paraId="6A6CC316"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המאשימה עמדה על הערכים המוגנים שנפגעו כתוצאה מביצוע העבירות, בין היתר, שמירה על בטחונו של אדם, שמירה על קניינו ורכושו, שמירה על שלטון החוק ועמידה בהוראותיו, שמירה על בריאותו של הציבור וצרכני הסמים, והגנה על שלום הציבור בכללותו.  </w:t>
      </w:r>
    </w:p>
    <w:p w14:paraId="69851CD3" w14:textId="77777777" w:rsidR="004221DC" w:rsidRPr="00D510B4" w:rsidRDefault="004221DC" w:rsidP="00D510B4">
      <w:pPr>
        <w:pStyle w:val="aa"/>
        <w:spacing w:after="160" w:line="360" w:lineRule="auto"/>
        <w:ind w:left="360"/>
        <w:jc w:val="both"/>
        <w:rPr>
          <w:rFonts w:ascii="David" w:hAnsi="David" w:cs="David"/>
          <w:rtl/>
        </w:rPr>
      </w:pPr>
    </w:p>
    <w:p w14:paraId="32AFB1D4"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נראה  כי הליך השיקום אותו עבר הנאשם לא הרשים מאוד את המאשימה, והיא טענה כי אין המדובר ב "מילת קסם". לשיטתה, יש ליתן משקל אף לשיקולי גמול והרתעה, ולא רק לשיקול השיקומי, וזאת נוכח הנזק שנגרם כתוצאה ממעשיו של הנאשם כלפי נפגעים שונים. לדבריה, המילה שיקום אינה "מוחקת" את מעשיו של הנאשם. התביעה הוסיפה כי "אני חושבת שנכון הנאשם עשה דרך אבל זה לא אפס או מאה. זה לא או לקבל תסקיר שירות מבחן או לא לקבל, השאלה היא מה מידת הסטייה... צריך לקחת בחשבון את כמות כתבי האישום, מגוון העבירות. גם שיקולי שיקום, אבל לא רק". </w:t>
      </w:r>
    </w:p>
    <w:p w14:paraId="1945F06E" w14:textId="77777777" w:rsidR="004221DC" w:rsidRPr="00D510B4" w:rsidRDefault="004221DC" w:rsidP="00D510B4">
      <w:pPr>
        <w:spacing w:line="360" w:lineRule="auto"/>
        <w:ind w:left="424"/>
        <w:jc w:val="both"/>
        <w:rPr>
          <w:rFonts w:ascii="David" w:hAnsi="David"/>
        </w:rPr>
      </w:pPr>
      <w:r w:rsidRPr="00D510B4">
        <w:rPr>
          <w:rFonts w:ascii="David" w:hAnsi="David"/>
          <w:rtl/>
        </w:rPr>
        <w:t xml:space="preserve">התובעת הפנתה לפסיקה על מנת לתמוך בעתירתה העונשית, וכן הגישה את גיליון עברו התעבורתי של הנאשם (ת/1). </w:t>
      </w:r>
    </w:p>
    <w:p w14:paraId="2B255A58" w14:textId="77777777" w:rsidR="004221DC" w:rsidRPr="00D510B4" w:rsidRDefault="004221DC" w:rsidP="00D510B4">
      <w:pPr>
        <w:spacing w:line="360" w:lineRule="auto"/>
        <w:ind w:left="424"/>
        <w:jc w:val="both"/>
        <w:rPr>
          <w:rFonts w:ascii="David" w:hAnsi="David"/>
          <w:rtl/>
        </w:rPr>
      </w:pPr>
    </w:p>
    <w:p w14:paraId="5307A627" w14:textId="77777777" w:rsidR="004221DC" w:rsidRPr="00D510B4" w:rsidRDefault="004221DC" w:rsidP="00D510B4">
      <w:pPr>
        <w:pStyle w:val="aa"/>
        <w:numPr>
          <w:ilvl w:val="0"/>
          <w:numId w:val="1"/>
        </w:numPr>
        <w:spacing w:line="360" w:lineRule="auto"/>
        <w:jc w:val="both"/>
        <w:rPr>
          <w:rFonts w:ascii="David" w:hAnsi="David" w:cs="David"/>
          <w:rtl/>
        </w:rPr>
      </w:pPr>
      <w:r w:rsidRPr="00D510B4">
        <w:rPr>
          <w:rFonts w:ascii="David" w:hAnsi="David" w:cs="David"/>
          <w:rtl/>
        </w:rPr>
        <w:t xml:space="preserve">ההגנה ביקשה לאמץ את המלצת שירות המבחן, ולהשית על הנאשם ענישה החורגת לקולא ממתחם הענישה שייקבע. ההגנה עמדה על הליך השיקום אותו עבר הנאשם, ועמדה על נסיבותיו האישיות הקשות. הסניגור הוסיף כי הנאשם נעדר עבר פלילי, שהה במעצר קרוב ל- 8 חודשים  וכן כ- 10 ימים בתיק מעצר אחר שהתנהל נגדו. הנאשם סיים בהצלחה קהילה טיפולית ומעבר להוסטל. כיום, ממשיך להיות מלווה על ידיד צוות ההוסטל, עובד כמנהל בחנות, ובאופן מודע התרחק מביתו וקבע את חייו בעיר אחרת. </w:t>
      </w:r>
    </w:p>
    <w:p w14:paraId="677E0B3F" w14:textId="77777777" w:rsidR="004221DC" w:rsidRPr="00D510B4" w:rsidRDefault="004221DC" w:rsidP="00D510B4">
      <w:pPr>
        <w:pStyle w:val="aa"/>
        <w:spacing w:line="360" w:lineRule="auto"/>
        <w:ind w:left="360"/>
        <w:jc w:val="both"/>
        <w:rPr>
          <w:rFonts w:ascii="David" w:hAnsi="David" w:cs="David"/>
        </w:rPr>
      </w:pPr>
    </w:p>
    <w:p w14:paraId="69824AFF" w14:textId="77777777" w:rsidR="004221DC" w:rsidRPr="00D510B4" w:rsidRDefault="004221DC" w:rsidP="00D510B4">
      <w:pPr>
        <w:spacing w:after="160" w:line="360" w:lineRule="auto"/>
        <w:ind w:left="360"/>
        <w:jc w:val="both"/>
        <w:rPr>
          <w:rFonts w:ascii="David" w:hAnsi="David"/>
          <w:rtl/>
        </w:rPr>
      </w:pPr>
      <w:r w:rsidRPr="00D510B4">
        <w:rPr>
          <w:rFonts w:ascii="David" w:hAnsi="David"/>
          <w:rtl/>
        </w:rPr>
        <w:t xml:space="preserve">עוד ציין הסניגור כי כבר לפני כחצי שנה, המליץ שירות המבחן על ענישה שיקומית, והדיונים נדחו, אף לבקשת המאשימה, כדי לבחון את התמדתו של הנאשם, אשר כאמור התמיד בדרך הישר. בסופו של יום ביקש שהסניגור לאמץ את המלצת שירות המבחן ולהוסיף לרכיב הענישה גם פיצוי כספי למתלוננות.   </w:t>
      </w:r>
    </w:p>
    <w:p w14:paraId="4684140B" w14:textId="77777777" w:rsidR="004221DC" w:rsidRPr="00D510B4" w:rsidRDefault="004221DC" w:rsidP="00D510B4">
      <w:pPr>
        <w:spacing w:after="160" w:line="360" w:lineRule="auto"/>
        <w:ind w:left="360"/>
        <w:jc w:val="both"/>
        <w:rPr>
          <w:rFonts w:ascii="David" w:hAnsi="David"/>
          <w:rtl/>
        </w:rPr>
      </w:pPr>
      <w:r w:rsidRPr="00D510B4">
        <w:rPr>
          <w:rFonts w:ascii="David" w:hAnsi="David"/>
          <w:rtl/>
        </w:rPr>
        <w:t>אף ההגנה הציעה מתחמי ענישה מטעמה, ביחס לכל עבירה אותה ביצע הנאשם (מתחמים נפרדים), אשר מתחילים ממאסר מותנה, ועד מספר חודשי מאסר לריצוי בפועל.</w:t>
      </w:r>
    </w:p>
    <w:p w14:paraId="5401CA0E" w14:textId="77777777" w:rsidR="004221DC" w:rsidRPr="00D510B4" w:rsidRDefault="004221DC" w:rsidP="00D510B4">
      <w:pPr>
        <w:pStyle w:val="aa"/>
        <w:spacing w:line="360" w:lineRule="auto"/>
        <w:ind w:left="360"/>
        <w:jc w:val="both"/>
        <w:rPr>
          <w:rFonts w:ascii="David" w:hAnsi="David" w:cs="David"/>
        </w:rPr>
      </w:pPr>
      <w:r w:rsidRPr="00D510B4">
        <w:rPr>
          <w:rFonts w:ascii="David" w:hAnsi="David" w:cs="David"/>
          <w:rtl/>
        </w:rPr>
        <w:t xml:space="preserve">הסניגור הגיש פסיקה על מנת לתמוך בעתירתו העונשית, וכן הגיש מכתב מקהילת בית אור אביבה (נ/1), מכתב מעסיק (נ/2) והציג לבית המשפט סרטון המעיד על היות הנאשם בוגר הקהילה הטיפולית. </w:t>
      </w:r>
    </w:p>
    <w:p w14:paraId="63B14FAE" w14:textId="77777777" w:rsidR="004221DC" w:rsidRPr="00D510B4" w:rsidRDefault="004221DC" w:rsidP="00D510B4">
      <w:pPr>
        <w:pStyle w:val="David"/>
        <w:ind w:left="360"/>
        <w:rPr>
          <w:rFonts w:ascii="David" w:hAnsi="David"/>
          <w:rtl/>
        </w:rPr>
      </w:pPr>
    </w:p>
    <w:p w14:paraId="244AA2D3" w14:textId="77777777" w:rsidR="004221DC" w:rsidRPr="00D510B4" w:rsidRDefault="004221DC" w:rsidP="00D510B4">
      <w:pPr>
        <w:pStyle w:val="David"/>
        <w:numPr>
          <w:ilvl w:val="0"/>
          <w:numId w:val="1"/>
        </w:numPr>
        <w:rPr>
          <w:rFonts w:ascii="David" w:hAnsi="David"/>
        </w:rPr>
      </w:pPr>
      <w:r w:rsidRPr="00D510B4">
        <w:rPr>
          <w:rFonts w:ascii="David" w:hAnsi="David"/>
          <w:rtl/>
        </w:rPr>
        <w:t xml:space="preserve">הנאשם בדברו האחרון אמר: "תודה שמקדישים לי זמן. עברתי תהליך של שיקום זמן לפני כן, הייתי בסוג של שיברון בחיים, עברתי הרבה אירועים ולא מצדיק את מה שגרם לי לעשות, אבל זה מה שהגעתי אליו, אם זה אירועים במשפחה ואירועים אישיים שלי, וחזרתי למעגל הסמים באופן אינטנסיבי, וקיבלתי סכום של חצי מיליון שקלים על פיצויים על היד בעקבות תאונת דרכים, ותוך חודשיים בזבזתי את זה על סמים מסוגים שונים. המטרה שלי הייתה למות, לא ידעתי איך למצוא את עצמי ומה לעשות עם עצמי, הייתי בדיכאון, אם זה המצב של אימא שלי, אם זה המצב שלי שאמרו שלא אחזור להיות אדם בריא. בפרק זמן הזה עשיתי הרבה מאוד עבירות שבמשך הזמן בטיפול, סוג של נזכרתי בהם בשיחות עם העו"ס שהיו שם והיום אני מסתכל על העבירות ויודע שזה חמור מאוד, גרמתי נזק לאנשים, לסביבה, למשפחה, לעצמי ואני מצטער על זה מאוד. ההליך השיקומי היה מאוד קשה, עקב המרחק מאמי ומהמשפחה המצומצמת. המטרה אצלי הייתה בראש שגם שקיבלתי דחיות מקצינת המבחן לצאת להליך השיקומי המטרה שלי הייתה לחזור למוטב ולהפסיק להשתמש בסמים ולהפסיק לפגוע בעצמי ובסביבה. זה מה שישב לי בתוך הראש מתחילת הטיפול, להיות אדם מועיל לחברה ולעצמי. היום אני יכול להעיד על עצמי שאני הולך לקבוצות של </w:t>
      </w:r>
      <w:r w:rsidRPr="00D510B4">
        <w:rPr>
          <w:rFonts w:ascii="David" w:hAnsi="David"/>
        </w:rPr>
        <w:t>NA</w:t>
      </w:r>
      <w:r w:rsidRPr="00D510B4">
        <w:rPr>
          <w:rFonts w:ascii="David" w:hAnsi="David"/>
          <w:rtl/>
        </w:rPr>
        <w:t xml:space="preserve"> אם נותן שירות ואם מקבל שירות. אני עובד במקום עבודה שזה סוג של חלום שהיה לי, לעבוד במקום עבודה מסודר ולא משנה איזה, מקום שאקום בבוקר עם חיוך על הפנים, וגם אם יש דברים שלא, לדעת שזה עובר, לצאת לעבוד ולתת מעצמי ובנוסף להעסיק עוד עובדים. אני בקשר רציף עם הקהילה, בקשר רציף עם כל הגורמים שהפנו אותי, אם זה שירות המבחן, עו"ס, מדריכים וזה עושה לי טוב, אני רואה שיש חיים אחרים, לא לראות עולם דרך סורגים של בריח ולהיות אדם מועיל לחברה ולא מזיק. יש קשיים בחיים ואני עובר קשיים גם עכשיו ואני יודע לפתור אותם בעזרת מה שלימדו אותי בקהילה, לא להיות אימפולסיבי ולקחת עצות שיעזרו לי, ובאמת לאט לאט לחזור לקו חיים תקין, מה שכל יום קשה לי, אבל אני יודע </w:t>
      </w:r>
    </w:p>
    <w:p w14:paraId="5E553F9C" w14:textId="77777777" w:rsidR="004221DC" w:rsidRPr="00D510B4" w:rsidRDefault="004221DC" w:rsidP="00D510B4">
      <w:pPr>
        <w:pStyle w:val="David"/>
        <w:ind w:left="360"/>
        <w:rPr>
          <w:rFonts w:ascii="David" w:hAnsi="David"/>
          <w:rtl/>
        </w:rPr>
      </w:pPr>
      <w:r w:rsidRPr="00D510B4">
        <w:rPr>
          <w:rFonts w:ascii="David" w:hAnsi="David"/>
          <w:rtl/>
        </w:rPr>
        <w:t>שזאת הדרך, לא לפגוע בעצמי, במשפחה ובסובבים, אלא להיות אדם מועיל ולתת מעצמי. אסיים ואגיד, שאני מצטער על כל מה שעשיתי, ומה שבית המשפט יחליט, אני אגיד תודה רבה. תודה".</w:t>
      </w:r>
    </w:p>
    <w:p w14:paraId="07761E0A" w14:textId="77777777" w:rsidR="004221DC" w:rsidRPr="00D510B4" w:rsidRDefault="004221DC" w:rsidP="00D510B4">
      <w:pPr>
        <w:pStyle w:val="aa"/>
        <w:spacing w:line="360" w:lineRule="auto"/>
        <w:ind w:left="0"/>
        <w:jc w:val="both"/>
        <w:rPr>
          <w:rFonts w:ascii="David" w:hAnsi="David" w:cs="David"/>
          <w:b/>
          <w:bCs/>
          <w:u w:val="single"/>
        </w:rPr>
      </w:pPr>
    </w:p>
    <w:p w14:paraId="596B1B5B" w14:textId="77777777" w:rsidR="004221DC" w:rsidRPr="00D510B4" w:rsidRDefault="004221DC" w:rsidP="00D510B4">
      <w:pPr>
        <w:pStyle w:val="aa"/>
        <w:spacing w:line="360" w:lineRule="auto"/>
        <w:ind w:left="0"/>
        <w:jc w:val="both"/>
        <w:rPr>
          <w:rFonts w:ascii="David" w:hAnsi="David" w:cs="David"/>
          <w:b/>
          <w:bCs/>
          <w:u w:val="single"/>
          <w:rtl/>
        </w:rPr>
      </w:pPr>
    </w:p>
    <w:p w14:paraId="7D0554F6" w14:textId="77777777" w:rsidR="004221DC" w:rsidRPr="00D510B4" w:rsidRDefault="004221DC" w:rsidP="00D510B4">
      <w:pPr>
        <w:pStyle w:val="aa"/>
        <w:spacing w:line="360" w:lineRule="auto"/>
        <w:ind w:left="0"/>
        <w:jc w:val="both"/>
        <w:rPr>
          <w:rFonts w:ascii="David" w:hAnsi="David" w:cs="David"/>
          <w:b/>
          <w:bCs/>
          <w:u w:val="single"/>
          <w:rtl/>
        </w:rPr>
      </w:pPr>
    </w:p>
    <w:p w14:paraId="50995894" w14:textId="77777777" w:rsidR="004221DC" w:rsidRPr="00D510B4" w:rsidRDefault="004221DC" w:rsidP="00D510B4">
      <w:pPr>
        <w:pStyle w:val="aa"/>
        <w:spacing w:line="360" w:lineRule="auto"/>
        <w:ind w:left="0"/>
        <w:jc w:val="both"/>
        <w:rPr>
          <w:rFonts w:ascii="David" w:hAnsi="David" w:cs="David"/>
          <w:u w:val="single"/>
          <w:rtl/>
        </w:rPr>
      </w:pPr>
      <w:r w:rsidRPr="00D510B4">
        <w:rPr>
          <w:rFonts w:ascii="David" w:hAnsi="David" w:cs="David"/>
          <w:b/>
          <w:bCs/>
          <w:u w:val="single"/>
          <w:rtl/>
        </w:rPr>
        <w:t xml:space="preserve">דיון והכרעה </w:t>
      </w:r>
    </w:p>
    <w:p w14:paraId="25E7FF4F" w14:textId="77777777" w:rsidR="004221DC" w:rsidRPr="00D510B4" w:rsidRDefault="004221DC" w:rsidP="00D510B4">
      <w:pPr>
        <w:spacing w:line="360" w:lineRule="auto"/>
        <w:jc w:val="both"/>
        <w:rPr>
          <w:rFonts w:ascii="David" w:hAnsi="David"/>
          <w:u w:val="single"/>
        </w:rPr>
      </w:pPr>
    </w:p>
    <w:p w14:paraId="503A2F7F" w14:textId="77777777" w:rsidR="004221DC" w:rsidRPr="00D510B4" w:rsidRDefault="004221DC" w:rsidP="00D510B4">
      <w:pPr>
        <w:spacing w:line="360" w:lineRule="auto"/>
        <w:jc w:val="both"/>
        <w:rPr>
          <w:rFonts w:ascii="David" w:hAnsi="David"/>
          <w:u w:val="single"/>
          <w:rtl/>
        </w:rPr>
      </w:pPr>
      <w:r w:rsidRPr="00D510B4">
        <w:rPr>
          <w:rFonts w:ascii="David" w:hAnsi="David"/>
          <w:u w:val="single"/>
          <w:rtl/>
        </w:rPr>
        <w:t xml:space="preserve">מתחם העונש ההולם </w:t>
      </w:r>
    </w:p>
    <w:p w14:paraId="633D0502" w14:textId="77777777" w:rsidR="004221DC" w:rsidRPr="00D510B4" w:rsidRDefault="004221DC" w:rsidP="00D510B4">
      <w:pPr>
        <w:pStyle w:val="aa"/>
        <w:numPr>
          <w:ilvl w:val="0"/>
          <w:numId w:val="1"/>
        </w:numPr>
        <w:spacing w:before="100" w:beforeAutospacing="1" w:after="100" w:afterAutospacing="1" w:line="360" w:lineRule="auto"/>
        <w:jc w:val="both"/>
        <w:rPr>
          <w:rFonts w:ascii="David" w:hAnsi="David" w:cs="David"/>
          <w:rtl/>
        </w:rPr>
      </w:pPr>
      <w:r w:rsidRPr="00D510B4">
        <w:rPr>
          <w:rFonts w:ascii="David" w:hAnsi="David" w:cs="David"/>
          <w:rtl/>
        </w:rPr>
        <w:t>בהתאם להלכת ג'אבר (</w:t>
      </w:r>
      <w:hyperlink r:id="rId48" w:history="1">
        <w:r w:rsidRPr="008146F5">
          <w:rPr>
            <w:rFonts w:ascii="David" w:hAnsi="David" w:cs="David"/>
            <w:color w:val="0000FF"/>
            <w:u w:val="single"/>
            <w:rtl/>
          </w:rPr>
          <w:t>ע"פ 4910/13</w:t>
        </w:r>
      </w:hyperlink>
      <w:r w:rsidRPr="00D510B4">
        <w:rPr>
          <w:rFonts w:ascii="David" w:hAnsi="David" w:cs="David"/>
          <w:rtl/>
        </w:rPr>
        <w:t xml:space="preserve"> ‏</w:t>
      </w:r>
      <w:r w:rsidRPr="00D510B4">
        <w:rPr>
          <w:rFonts w:ascii="David" w:hAnsi="David" w:cs="David"/>
          <w:b/>
          <w:bCs/>
          <w:rtl/>
        </w:rPr>
        <w:t>ג'אבר נגד מדינת ישראל</w:t>
      </w:r>
      <w:r w:rsidRPr="00D510B4">
        <w:rPr>
          <w:rFonts w:ascii="David" w:hAnsi="David" w:cs="David"/>
          <w:rtl/>
        </w:rPr>
        <w:t xml:space="preserve"> (29.10.2014) יש לקבוע מתחם עונשי כולל לעבירות המקיימות קשר הדוק, וזאת כאשר תהיה ביניהן סמיכות זמנים או כאשר הן תהיינה חלק מאותה תוכנית עבריינית אף כאשר הן בוצעו לאורך תקופת זמן שאינה קצרה. </w:t>
      </w:r>
    </w:p>
    <w:p w14:paraId="36F610D1" w14:textId="77777777" w:rsidR="004221DC" w:rsidRPr="00D510B4" w:rsidRDefault="004221DC" w:rsidP="00D510B4">
      <w:pPr>
        <w:pStyle w:val="aa"/>
        <w:spacing w:before="100" w:beforeAutospacing="1" w:after="100" w:afterAutospacing="1" w:line="360" w:lineRule="auto"/>
        <w:ind w:left="360"/>
        <w:jc w:val="both"/>
        <w:rPr>
          <w:rFonts w:ascii="David" w:hAnsi="David" w:cs="David"/>
        </w:rPr>
      </w:pPr>
    </w:p>
    <w:p w14:paraId="18EFFBC4" w14:textId="77777777" w:rsidR="004221DC" w:rsidRPr="00D510B4" w:rsidRDefault="004221DC" w:rsidP="00D510B4">
      <w:pPr>
        <w:pStyle w:val="aa"/>
        <w:numPr>
          <w:ilvl w:val="0"/>
          <w:numId w:val="1"/>
        </w:numPr>
        <w:spacing w:before="100" w:beforeAutospacing="1" w:after="100" w:afterAutospacing="1" w:line="360" w:lineRule="auto"/>
        <w:jc w:val="both"/>
        <w:rPr>
          <w:rFonts w:ascii="David" w:hAnsi="David" w:cs="David"/>
        </w:rPr>
      </w:pPr>
      <w:r w:rsidRPr="00D510B4">
        <w:rPr>
          <w:rFonts w:ascii="David" w:hAnsi="David" w:cs="David"/>
          <w:rtl/>
        </w:rPr>
        <w:t xml:space="preserve">הצדדים טענו כי יש לקבוע מתחמי ענישה רבים ונפרדים; אכן, כל מעשיו של הנאשם, משנת 2016 ועד 2021 לא היו חלק מאותה פרשה, אולם בהחלט ניתן לקבוע כי מדובר  במספר מצומצם של  אירועים. </w:t>
      </w:r>
      <w:r w:rsidRPr="00D510B4">
        <w:rPr>
          <w:rFonts w:ascii="David" w:hAnsi="David" w:cs="David"/>
          <w:b/>
          <w:bCs/>
          <w:rtl/>
        </w:rPr>
        <w:t>אירוע אחד</w:t>
      </w:r>
      <w:r w:rsidRPr="00D510B4">
        <w:rPr>
          <w:rFonts w:ascii="David" w:hAnsi="David" w:cs="David"/>
          <w:rtl/>
        </w:rPr>
        <w:t xml:space="preserve">, הוא עבירות התעבורה שביצע הנאשם. </w:t>
      </w:r>
      <w:r w:rsidRPr="00D510B4">
        <w:rPr>
          <w:rFonts w:ascii="David" w:hAnsi="David" w:cs="David"/>
          <w:b/>
          <w:bCs/>
          <w:rtl/>
        </w:rPr>
        <w:t>אירוע שני</w:t>
      </w:r>
      <w:r w:rsidRPr="00D510B4">
        <w:rPr>
          <w:rFonts w:ascii="David" w:hAnsi="David" w:cs="David"/>
          <w:rtl/>
        </w:rPr>
        <w:t xml:space="preserve"> עניינו בעבירות אותן ביצע הנאשם נגד ידידתו בחודש מאי 2021, במהלך נסיעתם המשותפת. </w:t>
      </w:r>
    </w:p>
    <w:p w14:paraId="499A5FE0" w14:textId="77777777" w:rsidR="004221DC" w:rsidRPr="00D510B4" w:rsidRDefault="004221DC" w:rsidP="001D7539">
      <w:pPr>
        <w:pStyle w:val="aa"/>
        <w:rPr>
          <w:rFonts w:ascii="David" w:hAnsi="David" w:cs="David"/>
        </w:rPr>
      </w:pPr>
    </w:p>
    <w:p w14:paraId="425CEDC4" w14:textId="77777777" w:rsidR="004221DC" w:rsidRPr="00D510B4" w:rsidRDefault="004221DC" w:rsidP="00D510B4">
      <w:pPr>
        <w:pStyle w:val="aa"/>
        <w:spacing w:before="100" w:beforeAutospacing="1" w:after="100" w:afterAutospacing="1" w:line="360" w:lineRule="auto"/>
        <w:ind w:left="360"/>
        <w:jc w:val="both"/>
        <w:rPr>
          <w:rFonts w:ascii="David" w:hAnsi="David" w:cs="David"/>
          <w:rtl/>
        </w:rPr>
      </w:pPr>
      <w:r w:rsidRPr="00D510B4">
        <w:rPr>
          <w:rFonts w:ascii="David" w:hAnsi="David" w:cs="David"/>
          <w:b/>
          <w:bCs/>
          <w:rtl/>
        </w:rPr>
        <w:t>אירוע שלישי</w:t>
      </w:r>
      <w:r w:rsidRPr="00D510B4">
        <w:rPr>
          <w:rFonts w:ascii="David" w:hAnsi="David" w:cs="David"/>
          <w:rtl/>
        </w:rPr>
        <w:t xml:space="preserve"> הוא העבירות אותן ביצע הנאשם בחודש מאי 2021 נגד בת זוגו דאז, מושא התיק העיקרי, וכן שבירת הטלפן הנייד שלה בחודש מרץ 2021 (מושא ת"פ 60230-10-21). </w:t>
      </w:r>
    </w:p>
    <w:p w14:paraId="021A466F" w14:textId="77777777" w:rsidR="004221DC" w:rsidRPr="00D510B4" w:rsidRDefault="004221DC" w:rsidP="00D510B4">
      <w:pPr>
        <w:pStyle w:val="aa"/>
        <w:spacing w:before="100" w:beforeAutospacing="1" w:after="100" w:afterAutospacing="1" w:line="360" w:lineRule="auto"/>
        <w:ind w:left="360"/>
        <w:jc w:val="both"/>
        <w:rPr>
          <w:rFonts w:ascii="David" w:hAnsi="David" w:cs="David"/>
          <w:rtl/>
        </w:rPr>
      </w:pPr>
    </w:p>
    <w:p w14:paraId="450CB5B7" w14:textId="77777777" w:rsidR="004221DC" w:rsidRPr="00D510B4" w:rsidRDefault="004221DC" w:rsidP="00D510B4">
      <w:pPr>
        <w:pStyle w:val="aa"/>
        <w:spacing w:before="100" w:beforeAutospacing="1" w:after="100" w:afterAutospacing="1" w:line="360" w:lineRule="auto"/>
        <w:ind w:left="360"/>
        <w:jc w:val="both"/>
        <w:rPr>
          <w:rFonts w:ascii="David" w:hAnsi="David" w:cs="David"/>
          <w:rtl/>
        </w:rPr>
      </w:pPr>
      <w:r w:rsidRPr="00D510B4">
        <w:rPr>
          <w:rFonts w:ascii="David" w:hAnsi="David" w:cs="David"/>
          <w:b/>
          <w:bCs/>
          <w:rtl/>
        </w:rPr>
        <w:t>אירוע רביעי</w:t>
      </w:r>
      <w:r w:rsidRPr="00D510B4">
        <w:rPr>
          <w:rFonts w:ascii="David" w:hAnsi="David" w:cs="David"/>
          <w:rtl/>
        </w:rPr>
        <w:t xml:space="preserve"> עניינו בעבירות לפי פקודת הסמים המסוכנים שביצע הנאשם. </w:t>
      </w:r>
    </w:p>
    <w:p w14:paraId="13A3F977" w14:textId="77777777" w:rsidR="004221DC" w:rsidRPr="00D510B4" w:rsidRDefault="004221DC" w:rsidP="00D510B4">
      <w:pPr>
        <w:pStyle w:val="aa"/>
        <w:spacing w:before="100" w:beforeAutospacing="1" w:after="100" w:afterAutospacing="1" w:line="360" w:lineRule="auto"/>
        <w:ind w:left="360"/>
        <w:jc w:val="both"/>
        <w:rPr>
          <w:rFonts w:ascii="David" w:hAnsi="David" w:cs="David"/>
          <w:rtl/>
        </w:rPr>
      </w:pPr>
    </w:p>
    <w:p w14:paraId="14A5F564" w14:textId="77777777" w:rsidR="004221DC" w:rsidRPr="00D510B4" w:rsidRDefault="004221DC" w:rsidP="00D510B4">
      <w:pPr>
        <w:pStyle w:val="aa"/>
        <w:spacing w:before="100" w:beforeAutospacing="1" w:after="100" w:afterAutospacing="1" w:line="360" w:lineRule="auto"/>
        <w:ind w:left="360"/>
        <w:jc w:val="both"/>
        <w:rPr>
          <w:rFonts w:ascii="David" w:hAnsi="David" w:cs="David"/>
        </w:rPr>
      </w:pPr>
      <w:r w:rsidRPr="00D510B4">
        <w:rPr>
          <w:rFonts w:ascii="David" w:hAnsi="David" w:cs="David"/>
          <w:b/>
          <w:bCs/>
          <w:rtl/>
        </w:rPr>
        <w:t>אירוע חמישי</w:t>
      </w:r>
      <w:r w:rsidRPr="00D510B4">
        <w:rPr>
          <w:rFonts w:ascii="David" w:hAnsi="David" w:cs="David"/>
          <w:rtl/>
        </w:rPr>
        <w:t xml:space="preserve"> – עבירת האיומים מושא ת"פ 55424-06-17. </w:t>
      </w:r>
    </w:p>
    <w:p w14:paraId="3DC3C8C8" w14:textId="77777777" w:rsidR="004221DC" w:rsidRPr="00D510B4" w:rsidRDefault="004221DC" w:rsidP="00D510B4">
      <w:pPr>
        <w:pStyle w:val="aa"/>
        <w:spacing w:line="360" w:lineRule="auto"/>
        <w:ind w:left="360"/>
        <w:jc w:val="both"/>
        <w:rPr>
          <w:rFonts w:ascii="David" w:hAnsi="David" w:cs="David"/>
        </w:rPr>
      </w:pPr>
    </w:p>
    <w:p w14:paraId="1AFA7720" w14:textId="77777777" w:rsidR="004221DC" w:rsidRPr="00D510B4" w:rsidRDefault="004221DC" w:rsidP="00D510B4">
      <w:pPr>
        <w:pStyle w:val="aa"/>
        <w:numPr>
          <w:ilvl w:val="0"/>
          <w:numId w:val="1"/>
        </w:numPr>
        <w:spacing w:line="360" w:lineRule="auto"/>
        <w:jc w:val="both"/>
        <w:rPr>
          <w:rFonts w:ascii="David" w:hAnsi="David" w:cs="David"/>
          <w:rtl/>
        </w:rPr>
      </w:pPr>
      <w:r w:rsidRPr="00D510B4">
        <w:rPr>
          <w:rFonts w:ascii="David" w:hAnsi="David" w:cs="David"/>
          <w:rtl/>
        </w:rPr>
        <w:t xml:space="preserve">ביחס לאירוע הראשון, הערכים המוגנים בהם פגע הנאשם במעשיו הם השמירה על שלומם של משתמשי הדרך, ושמירה על שלטון החוק; מידת הפגיעה בערכים המוגנים במקרה דנא לא היתה ברף גבוה. </w:t>
      </w:r>
    </w:p>
    <w:p w14:paraId="15B8D1A2" w14:textId="77777777" w:rsidR="004221DC" w:rsidRPr="00D510B4" w:rsidRDefault="004221DC" w:rsidP="00D510B4">
      <w:pPr>
        <w:pStyle w:val="aa"/>
        <w:spacing w:line="360" w:lineRule="auto"/>
        <w:ind w:left="360"/>
        <w:jc w:val="both"/>
        <w:rPr>
          <w:rFonts w:ascii="David" w:hAnsi="David" w:cs="David"/>
        </w:rPr>
      </w:pPr>
    </w:p>
    <w:p w14:paraId="6E4EE082" w14:textId="77777777" w:rsidR="004221DC" w:rsidRPr="00D510B4" w:rsidRDefault="004221DC" w:rsidP="00D510B4">
      <w:pPr>
        <w:pStyle w:val="aa"/>
        <w:numPr>
          <w:ilvl w:val="0"/>
          <w:numId w:val="1"/>
        </w:numPr>
        <w:spacing w:line="360" w:lineRule="auto"/>
        <w:jc w:val="both"/>
        <w:rPr>
          <w:rFonts w:ascii="David" w:hAnsi="David" w:cs="David"/>
        </w:rPr>
      </w:pPr>
      <w:r w:rsidRPr="00D510B4">
        <w:rPr>
          <w:rFonts w:ascii="David" w:hAnsi="David" w:cs="David"/>
          <w:rtl/>
        </w:rPr>
        <w:t xml:space="preserve">ביחס לאירוע השני, פגע הנאשם בערך המוגן שעניינו שמירה על שלומה ובטחונה של המתלוננת, ובשמירה על שלטון החוק במובן של הפרת ההוראה החוקית מושא מקרה זה. מידת הפגיעה בערכים המוגנים ביחס לאירוע זה היתה ברף שאינו נמוך נוכח התנהגותו התוקפנית של הנאשם במהלך הנסיעה, ומה שהמתלוננת נאלצה לחוות כתוצאה מכך. </w:t>
      </w:r>
    </w:p>
    <w:p w14:paraId="6307BEF4" w14:textId="77777777" w:rsidR="004221DC" w:rsidRPr="00D510B4" w:rsidRDefault="004221DC" w:rsidP="001D7539">
      <w:pPr>
        <w:pStyle w:val="aa"/>
        <w:rPr>
          <w:rFonts w:ascii="David" w:hAnsi="David" w:cs="David"/>
        </w:rPr>
      </w:pPr>
    </w:p>
    <w:p w14:paraId="3B358DDA" w14:textId="77777777" w:rsidR="004221DC" w:rsidRPr="00D510B4" w:rsidRDefault="004221DC" w:rsidP="00D510B4">
      <w:pPr>
        <w:pStyle w:val="aa"/>
        <w:spacing w:line="360" w:lineRule="auto"/>
        <w:ind w:left="360"/>
        <w:jc w:val="both"/>
        <w:rPr>
          <w:rFonts w:ascii="David" w:hAnsi="David" w:cs="David"/>
          <w:rtl/>
        </w:rPr>
      </w:pPr>
      <w:r w:rsidRPr="00D510B4">
        <w:rPr>
          <w:rFonts w:ascii="David" w:hAnsi="David" w:cs="David"/>
          <w:rtl/>
        </w:rPr>
        <w:t xml:space="preserve">עוד הבאתי בחשבון, ביחס לאירוע זה, כי מעבר לנזק הנפשי שנגרם למתלוננת כתוצאה ממעשיו של הנאשם, אף נגרם נזק לרכב – עקר את המראה ממקומה, עקר את פאנל בקרת האקלים, שבר את ידיות האחיזה, ותלש את סך השמש בצד ימין. </w:t>
      </w:r>
    </w:p>
    <w:p w14:paraId="108FBDAA" w14:textId="77777777" w:rsidR="004221DC" w:rsidRPr="00D510B4" w:rsidRDefault="004221DC" w:rsidP="001D7539">
      <w:pPr>
        <w:pStyle w:val="aa"/>
        <w:rPr>
          <w:rFonts w:ascii="David" w:hAnsi="David" w:cs="David"/>
        </w:rPr>
      </w:pPr>
    </w:p>
    <w:p w14:paraId="756BD196" w14:textId="77777777" w:rsidR="004221DC" w:rsidRPr="00D510B4" w:rsidRDefault="004221DC" w:rsidP="00D510B4">
      <w:pPr>
        <w:pStyle w:val="aa"/>
        <w:numPr>
          <w:ilvl w:val="0"/>
          <w:numId w:val="1"/>
        </w:numPr>
        <w:spacing w:line="360" w:lineRule="auto"/>
        <w:jc w:val="both"/>
        <w:rPr>
          <w:rFonts w:ascii="David" w:hAnsi="David" w:cs="David"/>
          <w:rtl/>
        </w:rPr>
      </w:pPr>
      <w:r w:rsidRPr="00D510B4">
        <w:rPr>
          <w:rFonts w:ascii="David" w:hAnsi="David" w:cs="David"/>
          <w:rtl/>
        </w:rPr>
        <w:t xml:space="preserve">גם הערכים המוגנים מושא האירוע השלישי עניינם בשמירה על שלומה, בטחונה, שלוות נפשה ורכושה של המתלוננת; הם נפגעו בכך שהוא ניסה למנוע ממנה לצאת מביתו, נהג כלפי באלימות (שלא ברף הגבוה – דחיפות), ושבר, בשתי הזדמנויות, את הטלפון הנייד שלה. ראיתי לנגד עיני את הנזק שנגרם למתלוננת ממעשיו של הנאשם, הן מבחינה פיזית והן מבחינה נפשית; כן הבאתי בחשבון את הנזק שנגרם לה בכך שהנאשם שבר את הטלפון הנייד שלה, בשתי הזדמנויות שונות. </w:t>
      </w:r>
    </w:p>
    <w:p w14:paraId="4454557D" w14:textId="77777777" w:rsidR="004221DC" w:rsidRPr="00D510B4" w:rsidRDefault="004221DC" w:rsidP="00D510B4">
      <w:pPr>
        <w:pStyle w:val="aa"/>
        <w:spacing w:line="360" w:lineRule="auto"/>
        <w:ind w:left="360"/>
        <w:jc w:val="both"/>
        <w:rPr>
          <w:rFonts w:ascii="David" w:hAnsi="David" w:cs="David"/>
        </w:rPr>
      </w:pPr>
    </w:p>
    <w:p w14:paraId="726068C2" w14:textId="77777777" w:rsidR="004221DC" w:rsidRPr="00D510B4" w:rsidRDefault="004221DC" w:rsidP="00D510B4">
      <w:pPr>
        <w:pStyle w:val="aa"/>
        <w:spacing w:line="360" w:lineRule="auto"/>
        <w:ind w:left="360"/>
        <w:jc w:val="both"/>
        <w:rPr>
          <w:rFonts w:ascii="David" w:hAnsi="David" w:cs="David"/>
        </w:rPr>
      </w:pPr>
      <w:r w:rsidRPr="00D510B4">
        <w:rPr>
          <w:rFonts w:ascii="David" w:hAnsi="David" w:cs="David"/>
          <w:rtl/>
        </w:rPr>
        <w:t xml:space="preserve"> מידת הפגיעה בערכים המוגנים היא לא ברף נמוך, אולם גם לא מדובר, כאמור, ברף אלימות חמור. </w:t>
      </w:r>
    </w:p>
    <w:p w14:paraId="779FDE33" w14:textId="77777777" w:rsidR="004221DC" w:rsidRPr="00D510B4" w:rsidRDefault="004221DC" w:rsidP="00D510B4">
      <w:pPr>
        <w:pStyle w:val="aa"/>
        <w:spacing w:line="360" w:lineRule="auto"/>
        <w:ind w:left="360"/>
        <w:jc w:val="both"/>
        <w:rPr>
          <w:rFonts w:ascii="David" w:hAnsi="David" w:cs="David"/>
        </w:rPr>
      </w:pPr>
    </w:p>
    <w:p w14:paraId="4B1C30F4" w14:textId="77777777" w:rsidR="004221DC" w:rsidRPr="00D510B4" w:rsidRDefault="004221DC" w:rsidP="00D510B4">
      <w:pPr>
        <w:pStyle w:val="aa"/>
        <w:numPr>
          <w:ilvl w:val="0"/>
          <w:numId w:val="1"/>
        </w:numPr>
        <w:spacing w:line="360" w:lineRule="auto"/>
        <w:jc w:val="both"/>
        <w:rPr>
          <w:rFonts w:ascii="David" w:hAnsi="David" w:cs="David"/>
        </w:rPr>
      </w:pPr>
      <w:r w:rsidRPr="00D510B4">
        <w:rPr>
          <w:rFonts w:ascii="David" w:hAnsi="David" w:cs="David"/>
          <w:rtl/>
        </w:rPr>
        <w:t xml:space="preserve">עבירות הסמים שביצע הנאשם פגעו בשלומו ובטחונו של הציבור מפני נגע הסמים, על כל המשתמע מכך; מידת הפגיעה בערכים המוגנים, במיוחד בעבירה של החזקת הסמים המסוכנים שלא לצריכה עצמית בכמות גדולה (2.5 קילו) – מסוג "סם פיצוציות", היא קשה. אף עבירות הסחר בסמים, פגעו בערכים המוגנים, הגם שהיה מדובר בסם שאינו "קשה", ומכירה של גרמים בודדים (ואספקה של כמות בלתי ידועה). </w:t>
      </w:r>
    </w:p>
    <w:p w14:paraId="138EE62C" w14:textId="77777777" w:rsidR="004221DC" w:rsidRPr="00D510B4" w:rsidRDefault="004221DC" w:rsidP="00D510B4">
      <w:pPr>
        <w:pStyle w:val="aa"/>
        <w:spacing w:line="360" w:lineRule="auto"/>
        <w:ind w:left="360"/>
        <w:jc w:val="both"/>
        <w:rPr>
          <w:rFonts w:ascii="David" w:hAnsi="David" w:cs="David"/>
        </w:rPr>
      </w:pPr>
    </w:p>
    <w:p w14:paraId="6C20DE2E" w14:textId="77777777" w:rsidR="004221DC" w:rsidRPr="00D510B4" w:rsidRDefault="004221DC" w:rsidP="00D510B4">
      <w:pPr>
        <w:pStyle w:val="aa"/>
        <w:numPr>
          <w:ilvl w:val="0"/>
          <w:numId w:val="1"/>
        </w:numPr>
        <w:spacing w:line="360" w:lineRule="auto"/>
        <w:jc w:val="both"/>
        <w:rPr>
          <w:rFonts w:ascii="David" w:hAnsi="David" w:cs="David"/>
          <w:rtl/>
        </w:rPr>
      </w:pPr>
      <w:r w:rsidRPr="00D510B4">
        <w:rPr>
          <w:rFonts w:ascii="David" w:hAnsi="David" w:cs="David"/>
          <w:rtl/>
        </w:rPr>
        <w:t xml:space="preserve">במסגרת האירוע החמישי פגע הנאשם בערך המוגן שעניינו הפגיעה בזכותו של מי שממלא תפקידו כדין באכיפת החוק שלא להיות מאוים; מידת הפגיעה בערכים המוגנים במקרה דנא לא היתה ברף גבוה.  </w:t>
      </w:r>
    </w:p>
    <w:p w14:paraId="43F86D64" w14:textId="77777777" w:rsidR="004221DC" w:rsidRPr="00D510B4" w:rsidRDefault="004221DC" w:rsidP="00D510B4">
      <w:pPr>
        <w:pStyle w:val="aa"/>
        <w:spacing w:after="160" w:line="360" w:lineRule="auto"/>
        <w:ind w:left="360"/>
        <w:jc w:val="both"/>
        <w:rPr>
          <w:rFonts w:ascii="David" w:hAnsi="David" w:cs="David"/>
        </w:rPr>
      </w:pPr>
    </w:p>
    <w:p w14:paraId="2C8977B6"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ראו, ביחס למדיניות הענישה הנהוגה, דוגמאות מן הפסיקה, חלקן הוגשו על ידי הצדדים. </w:t>
      </w:r>
    </w:p>
    <w:p w14:paraId="30C2478D" w14:textId="77777777" w:rsidR="004221DC" w:rsidRPr="00D510B4" w:rsidRDefault="004221DC" w:rsidP="001D7539">
      <w:pPr>
        <w:pStyle w:val="aa"/>
        <w:rPr>
          <w:rFonts w:ascii="David" w:hAnsi="David" w:cs="David"/>
        </w:rPr>
      </w:pPr>
    </w:p>
    <w:p w14:paraId="283FBC2C"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 xml:space="preserve">אירוע ראשון: </w:t>
      </w:r>
      <w:hyperlink r:id="rId49" w:history="1">
        <w:r w:rsidRPr="008146F5">
          <w:rPr>
            <w:rFonts w:ascii="David" w:hAnsi="David" w:cs="David"/>
            <w:color w:val="0000FF"/>
            <w:u w:val="single"/>
            <w:rtl/>
          </w:rPr>
          <w:t>רע"פ 54/20</w:t>
        </w:r>
      </w:hyperlink>
      <w:r w:rsidRPr="00D510B4">
        <w:rPr>
          <w:rFonts w:ascii="David" w:hAnsi="David" w:cs="David"/>
          <w:rtl/>
        </w:rPr>
        <w:t xml:space="preserve"> </w:t>
      </w:r>
      <w:r w:rsidRPr="00D510B4">
        <w:rPr>
          <w:rFonts w:ascii="David" w:hAnsi="David" w:cs="David"/>
          <w:b/>
          <w:bCs/>
          <w:rtl/>
        </w:rPr>
        <w:t>נקש נ' מדינת ישראל</w:t>
      </w:r>
      <w:r w:rsidRPr="00D510B4">
        <w:rPr>
          <w:rFonts w:ascii="David" w:hAnsi="David" w:cs="David"/>
          <w:rtl/>
        </w:rPr>
        <w:t xml:space="preserve"> (6.1.2020); </w:t>
      </w:r>
      <w:hyperlink r:id="rId50" w:history="1">
        <w:r w:rsidRPr="008146F5">
          <w:rPr>
            <w:rFonts w:ascii="David" w:hAnsi="David" w:cs="David"/>
            <w:color w:val="0000FF"/>
            <w:u w:val="single"/>
            <w:rtl/>
          </w:rPr>
          <w:t>עפ"ת (חי') 52229-12-21</w:t>
        </w:r>
      </w:hyperlink>
      <w:r w:rsidRPr="00D510B4">
        <w:rPr>
          <w:rFonts w:ascii="David" w:hAnsi="David" w:cs="David"/>
          <w:rtl/>
        </w:rPr>
        <w:t xml:space="preserve"> </w:t>
      </w:r>
      <w:r w:rsidRPr="00D510B4">
        <w:rPr>
          <w:rFonts w:ascii="David" w:hAnsi="David" w:cs="David"/>
          <w:b/>
          <w:bCs/>
          <w:rtl/>
        </w:rPr>
        <w:t xml:space="preserve">חוסין נ' מדינת ישראל </w:t>
      </w:r>
      <w:r w:rsidRPr="00D510B4">
        <w:rPr>
          <w:rFonts w:ascii="David" w:hAnsi="David" w:cs="David"/>
          <w:rtl/>
        </w:rPr>
        <w:t xml:space="preserve">(17.1.2022). </w:t>
      </w:r>
    </w:p>
    <w:p w14:paraId="3022B68F" w14:textId="77777777" w:rsidR="004221DC" w:rsidRPr="00D510B4" w:rsidRDefault="004221DC" w:rsidP="001D7539">
      <w:pPr>
        <w:pStyle w:val="aa"/>
        <w:rPr>
          <w:rFonts w:ascii="David" w:hAnsi="David" w:cs="David"/>
        </w:rPr>
      </w:pPr>
    </w:p>
    <w:p w14:paraId="3EC245DF"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 xml:space="preserve">אירוע שני ושלישי: </w:t>
      </w:r>
      <w:hyperlink r:id="rId51" w:history="1">
        <w:r w:rsidRPr="008146F5">
          <w:rPr>
            <w:rFonts w:ascii="David" w:hAnsi="David" w:cs="David"/>
            <w:color w:val="0000FF"/>
            <w:u w:val="single"/>
            <w:rtl/>
          </w:rPr>
          <w:t>ת"פ (חי') 20796-02-23</w:t>
        </w:r>
      </w:hyperlink>
      <w:r w:rsidRPr="00D510B4">
        <w:rPr>
          <w:rFonts w:ascii="David" w:hAnsi="David" w:cs="David"/>
          <w:rtl/>
        </w:rPr>
        <w:t xml:space="preserve"> </w:t>
      </w:r>
      <w:r w:rsidRPr="00D510B4">
        <w:rPr>
          <w:rFonts w:ascii="David" w:hAnsi="David" w:cs="David"/>
          <w:b/>
          <w:bCs/>
          <w:rtl/>
        </w:rPr>
        <w:t>מדינת ישראל נ' פלוני</w:t>
      </w:r>
      <w:r w:rsidRPr="00D510B4">
        <w:rPr>
          <w:rFonts w:ascii="David" w:hAnsi="David" w:cs="David"/>
          <w:rtl/>
        </w:rPr>
        <w:t xml:space="preserve"> (4.6.2023); ת"פ (רמ') </w:t>
      </w:r>
      <w:r w:rsidRPr="00D510B4">
        <w:rPr>
          <w:rFonts w:ascii="David" w:hAnsi="David" w:cs="David"/>
          <w:b/>
          <w:bCs/>
          <w:rtl/>
        </w:rPr>
        <w:t>מדינת ישראל נ' פלוני</w:t>
      </w:r>
      <w:r w:rsidRPr="00D510B4">
        <w:rPr>
          <w:rFonts w:ascii="David" w:hAnsi="David" w:cs="David"/>
          <w:rtl/>
        </w:rPr>
        <w:t xml:space="preserve"> (10.5.2023); </w:t>
      </w:r>
      <w:hyperlink r:id="rId52" w:history="1">
        <w:r w:rsidRPr="008146F5">
          <w:rPr>
            <w:rFonts w:ascii="David" w:hAnsi="David" w:cs="David"/>
            <w:color w:val="0000FF"/>
            <w:u w:val="single"/>
            <w:rtl/>
          </w:rPr>
          <w:t>ת"פ (קר') 11777-02-20</w:t>
        </w:r>
      </w:hyperlink>
      <w:r w:rsidRPr="00D510B4">
        <w:rPr>
          <w:rFonts w:ascii="David" w:hAnsi="David" w:cs="David"/>
          <w:rtl/>
        </w:rPr>
        <w:t xml:space="preserve"> </w:t>
      </w:r>
      <w:r w:rsidRPr="00D510B4">
        <w:rPr>
          <w:rFonts w:ascii="David" w:hAnsi="David" w:cs="David"/>
          <w:b/>
          <w:bCs/>
          <w:rtl/>
        </w:rPr>
        <w:t>מדינת ישראל נ' בוחבוט</w:t>
      </w:r>
      <w:r w:rsidRPr="00D510B4">
        <w:rPr>
          <w:rFonts w:ascii="David" w:hAnsi="David" w:cs="David"/>
          <w:rtl/>
        </w:rPr>
        <w:t xml:space="preserve"> (24.6.2020); </w:t>
      </w:r>
      <w:hyperlink r:id="rId53" w:history="1">
        <w:r w:rsidRPr="008146F5">
          <w:rPr>
            <w:rFonts w:ascii="David" w:hAnsi="David" w:cs="David"/>
            <w:color w:val="0000FF"/>
            <w:u w:val="single"/>
            <w:rtl/>
          </w:rPr>
          <w:t>ת"פ (רמ') 56999-01-15</w:t>
        </w:r>
      </w:hyperlink>
      <w:r w:rsidRPr="00D510B4">
        <w:rPr>
          <w:rFonts w:ascii="David" w:hAnsi="David" w:cs="David"/>
          <w:b/>
          <w:bCs/>
          <w:rtl/>
        </w:rPr>
        <w:t xml:space="preserve"> מדינת ישראל נ' למרשנד</w:t>
      </w:r>
      <w:r w:rsidRPr="00D510B4">
        <w:rPr>
          <w:rFonts w:ascii="David" w:hAnsi="David" w:cs="David"/>
          <w:rtl/>
        </w:rPr>
        <w:t xml:space="preserve"> (26.06.2016). </w:t>
      </w:r>
    </w:p>
    <w:p w14:paraId="3DFF3F26" w14:textId="77777777" w:rsidR="004221DC" w:rsidRPr="00D510B4" w:rsidRDefault="004221DC" w:rsidP="001D7539">
      <w:pPr>
        <w:pStyle w:val="aa"/>
        <w:rPr>
          <w:rFonts w:ascii="David" w:hAnsi="David" w:cs="David"/>
        </w:rPr>
      </w:pPr>
    </w:p>
    <w:p w14:paraId="0426650F"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 xml:space="preserve">אירוע רביעי: </w:t>
      </w:r>
      <w:hyperlink r:id="rId54" w:history="1">
        <w:r w:rsidRPr="008146F5">
          <w:rPr>
            <w:rFonts w:ascii="David" w:hAnsi="David" w:cs="David"/>
            <w:color w:val="0000FF"/>
            <w:u w:val="single"/>
            <w:rtl/>
          </w:rPr>
          <w:t>ת"פ (ראשל"צ) 44279-06-21</w:t>
        </w:r>
      </w:hyperlink>
      <w:r w:rsidRPr="00D510B4">
        <w:rPr>
          <w:rFonts w:ascii="David" w:hAnsi="David" w:cs="David"/>
          <w:rtl/>
        </w:rPr>
        <w:t xml:space="preserve"> </w:t>
      </w:r>
      <w:r w:rsidRPr="00D510B4">
        <w:rPr>
          <w:rFonts w:ascii="David" w:hAnsi="David" w:cs="David"/>
          <w:b/>
          <w:bCs/>
          <w:rtl/>
        </w:rPr>
        <w:t>מדינת ישראל נ' נגוסה</w:t>
      </w:r>
      <w:r w:rsidRPr="00D510B4">
        <w:rPr>
          <w:rFonts w:ascii="David" w:hAnsi="David" w:cs="David"/>
          <w:rtl/>
        </w:rPr>
        <w:t xml:space="preserve"> (15.2.2022); </w:t>
      </w:r>
      <w:hyperlink r:id="rId55" w:history="1">
        <w:r w:rsidRPr="008146F5">
          <w:rPr>
            <w:rFonts w:ascii="David" w:hAnsi="David" w:cs="David"/>
            <w:color w:val="0000FF"/>
            <w:u w:val="single"/>
            <w:rtl/>
          </w:rPr>
          <w:t>ת"פ (ב"ש) 63029-12-20</w:t>
        </w:r>
      </w:hyperlink>
      <w:r w:rsidRPr="00D510B4">
        <w:rPr>
          <w:rFonts w:ascii="David" w:hAnsi="David" w:cs="David"/>
          <w:rtl/>
        </w:rPr>
        <w:t xml:space="preserve"> </w:t>
      </w:r>
      <w:r w:rsidRPr="00D510B4">
        <w:rPr>
          <w:rFonts w:ascii="David" w:hAnsi="David" w:cs="David"/>
          <w:b/>
          <w:bCs/>
          <w:rtl/>
        </w:rPr>
        <w:t>מדינת ישראל נ' שליף</w:t>
      </w:r>
      <w:r w:rsidRPr="00D510B4">
        <w:rPr>
          <w:rFonts w:ascii="David" w:hAnsi="David" w:cs="David"/>
          <w:rtl/>
        </w:rPr>
        <w:t xml:space="preserve"> (8.4.2021); </w:t>
      </w:r>
      <w:hyperlink r:id="rId56" w:history="1">
        <w:r w:rsidRPr="008146F5">
          <w:rPr>
            <w:rFonts w:ascii="David" w:hAnsi="David" w:cs="David"/>
            <w:color w:val="0000FF"/>
            <w:u w:val="single"/>
            <w:rtl/>
          </w:rPr>
          <w:t>ת"פ (אי') 57587-07-21</w:t>
        </w:r>
      </w:hyperlink>
      <w:r w:rsidRPr="00D510B4">
        <w:rPr>
          <w:rFonts w:ascii="David" w:hAnsi="David" w:cs="David"/>
          <w:rtl/>
        </w:rPr>
        <w:t xml:space="preserve"> </w:t>
      </w:r>
      <w:r w:rsidRPr="00D510B4">
        <w:rPr>
          <w:rFonts w:ascii="David" w:hAnsi="David" w:cs="David"/>
          <w:b/>
          <w:bCs/>
          <w:rtl/>
        </w:rPr>
        <w:t>מדינת ישראל נ' כהן</w:t>
      </w:r>
      <w:r w:rsidRPr="00D510B4">
        <w:rPr>
          <w:rFonts w:ascii="David" w:hAnsi="David" w:cs="David"/>
          <w:rtl/>
        </w:rPr>
        <w:t xml:space="preserve"> (22.9.2022); </w:t>
      </w:r>
      <w:hyperlink r:id="rId57" w:history="1">
        <w:r w:rsidRPr="008146F5">
          <w:rPr>
            <w:rFonts w:ascii="David" w:hAnsi="David" w:cs="David"/>
            <w:color w:val="0000FF"/>
            <w:u w:val="single"/>
            <w:rtl/>
          </w:rPr>
          <w:t>ת"פ (אי') 72806-02-19</w:t>
        </w:r>
      </w:hyperlink>
      <w:r w:rsidRPr="00D510B4">
        <w:rPr>
          <w:rFonts w:ascii="David" w:hAnsi="David" w:cs="David"/>
          <w:rtl/>
        </w:rPr>
        <w:t xml:space="preserve"> </w:t>
      </w:r>
      <w:r w:rsidRPr="00D510B4">
        <w:rPr>
          <w:rFonts w:ascii="David" w:hAnsi="David" w:cs="David"/>
          <w:b/>
          <w:bCs/>
          <w:rtl/>
        </w:rPr>
        <w:t>מדינת ישראל נ' טובול ואח'</w:t>
      </w:r>
      <w:r w:rsidRPr="00D510B4">
        <w:rPr>
          <w:rFonts w:ascii="David" w:hAnsi="David" w:cs="David"/>
          <w:rtl/>
        </w:rPr>
        <w:t xml:space="preserve"> (23.12.2021); </w:t>
      </w:r>
      <w:hyperlink r:id="rId58" w:history="1">
        <w:r w:rsidRPr="008146F5">
          <w:rPr>
            <w:rFonts w:ascii="David" w:hAnsi="David" w:cs="David"/>
            <w:color w:val="0000FF"/>
            <w:u w:val="single"/>
            <w:rtl/>
          </w:rPr>
          <w:t>רע"פ 3807/18</w:t>
        </w:r>
      </w:hyperlink>
      <w:r w:rsidRPr="00D510B4">
        <w:rPr>
          <w:rFonts w:ascii="David" w:hAnsi="David" w:cs="David"/>
          <w:rtl/>
        </w:rPr>
        <w:t xml:space="preserve"> </w:t>
      </w:r>
      <w:r w:rsidRPr="00D510B4">
        <w:rPr>
          <w:rFonts w:ascii="David" w:hAnsi="David" w:cs="David"/>
          <w:b/>
          <w:bCs/>
          <w:rtl/>
        </w:rPr>
        <w:t>טרטיאקוב נ' מדינת ישראל</w:t>
      </w:r>
      <w:r w:rsidRPr="00D510B4">
        <w:rPr>
          <w:rFonts w:ascii="David" w:hAnsi="David" w:cs="David"/>
          <w:rtl/>
        </w:rPr>
        <w:t xml:space="preserve"> (27.3.2018); </w:t>
      </w:r>
      <w:hyperlink r:id="rId59" w:history="1">
        <w:r w:rsidRPr="008146F5">
          <w:rPr>
            <w:rFonts w:ascii="David" w:hAnsi="David" w:cs="David"/>
            <w:color w:val="0000FF"/>
            <w:u w:val="single"/>
            <w:rtl/>
          </w:rPr>
          <w:t>ע"פ (י-ם) 7436-02-21</w:t>
        </w:r>
      </w:hyperlink>
      <w:r w:rsidRPr="00D510B4">
        <w:rPr>
          <w:rFonts w:ascii="David" w:hAnsi="David" w:cs="David"/>
          <w:rtl/>
        </w:rPr>
        <w:t xml:space="preserve"> </w:t>
      </w:r>
      <w:r w:rsidRPr="00D510B4">
        <w:rPr>
          <w:rFonts w:ascii="David" w:hAnsi="David" w:cs="David"/>
          <w:b/>
          <w:bCs/>
          <w:rtl/>
        </w:rPr>
        <w:t>אבו רגב נ' מדינת ישראל</w:t>
      </w:r>
      <w:r w:rsidRPr="00D510B4">
        <w:rPr>
          <w:rFonts w:ascii="David" w:hAnsi="David" w:cs="David"/>
          <w:rtl/>
        </w:rPr>
        <w:t xml:space="preserve"> (11.4.2021); </w:t>
      </w:r>
      <w:hyperlink w:history="1">
        <w:r w:rsidRPr="008146F5">
          <w:rPr>
            <w:rStyle w:val="Hyperlink"/>
            <w:rFonts w:ascii="David" w:hAnsi="David" w:cs="David" w:hint="cs"/>
            <w:color w:val="000000"/>
            <w:u w:val="none"/>
            <w:rtl/>
          </w:rPr>
          <w:t>רע"פ</w:t>
        </w:r>
      </w:hyperlink>
      <w:r w:rsidRPr="00D510B4">
        <w:rPr>
          <w:rFonts w:ascii="David" w:hAnsi="David" w:cs="David" w:hint="cs"/>
          <w:rtl/>
        </w:rPr>
        <w:t xml:space="preserve"> 1830/16</w:t>
      </w:r>
      <w:r w:rsidRPr="00D510B4">
        <w:rPr>
          <w:rFonts w:ascii="David" w:hAnsi="David" w:cs="David"/>
          <w:rtl/>
        </w:rPr>
        <w:t xml:space="preserve"> </w:t>
      </w:r>
      <w:r w:rsidRPr="00D510B4">
        <w:rPr>
          <w:rFonts w:ascii="David" w:hAnsi="David" w:cs="David"/>
          <w:b/>
          <w:bCs/>
          <w:rtl/>
        </w:rPr>
        <w:t>רקיבי נ' מדינת ישראל</w:t>
      </w:r>
      <w:r w:rsidRPr="00D510B4">
        <w:rPr>
          <w:rFonts w:ascii="David" w:hAnsi="David" w:cs="David"/>
          <w:rtl/>
        </w:rPr>
        <w:t xml:space="preserve"> (11.4.2016). </w:t>
      </w:r>
    </w:p>
    <w:p w14:paraId="4FFF922B" w14:textId="77777777" w:rsidR="004221DC" w:rsidRPr="00D510B4" w:rsidRDefault="004221DC" w:rsidP="001D7539">
      <w:pPr>
        <w:pStyle w:val="aa"/>
        <w:rPr>
          <w:rFonts w:ascii="David" w:hAnsi="David" w:cs="David"/>
        </w:rPr>
      </w:pPr>
    </w:p>
    <w:p w14:paraId="1A974B6C"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לאור כל האמור לעיל, נוכח נסיבות ביצוע העבירות, מידת הפגיעה בערכים המוגנים, ומדיניות הענישה הנהוגה אני קובע כדלקמן:</w:t>
      </w:r>
      <w:r w:rsidRPr="00D510B4">
        <w:rPr>
          <w:rFonts w:ascii="David" w:hAnsi="David" w:cs="David"/>
        </w:rPr>
        <w:t xml:space="preserve"> </w:t>
      </w:r>
      <w:r w:rsidRPr="00D510B4">
        <w:rPr>
          <w:rFonts w:ascii="David" w:hAnsi="David" w:cs="David"/>
          <w:rtl/>
        </w:rPr>
        <w:t xml:space="preserve">ביחס לאירוע הראשון נע מתחם העונש ההולם בין מאסר מותנה, ועד מספר חודשי מאסר בפועל ופסילת רישיון. מתחם הענישה מושא האירוע השני נע בין מאסר מותנה ועד מספר חודשי מאסר בפועל. ביחס לאירוע השלישי מתחם הענישה נע בין מספר חודשי מאסר שניתן לרצותם בדרך של עבודות שירות ועד מספר חודשי מאסר בפועל. המתחם העונשי ביחס לאירוע הרביעי נע בין 10 חודשי מאסר לריצוי בפועל ועד 20 חודשי מאסר בפועל. ביחס לאירוע החמישי נע מתחם הענישה בין מאסר מותנה ועד מספר חודשי מאסר שניתן לרצותם בדרך של עבודות שירות.  </w:t>
      </w:r>
    </w:p>
    <w:p w14:paraId="393532DF" w14:textId="77777777" w:rsidR="004221DC" w:rsidRPr="00D510B4" w:rsidRDefault="004221DC" w:rsidP="00D510B4">
      <w:pPr>
        <w:spacing w:after="160" w:line="360" w:lineRule="auto"/>
        <w:jc w:val="both"/>
        <w:rPr>
          <w:rFonts w:ascii="David" w:hAnsi="David"/>
          <w:u w:val="single"/>
        </w:rPr>
      </w:pPr>
    </w:p>
    <w:p w14:paraId="48ED572C" w14:textId="77777777" w:rsidR="004221DC" w:rsidRPr="00D510B4" w:rsidRDefault="004221DC" w:rsidP="00D510B4">
      <w:pPr>
        <w:spacing w:after="160" w:line="360" w:lineRule="auto"/>
        <w:jc w:val="both"/>
        <w:rPr>
          <w:rFonts w:ascii="David" w:hAnsi="David"/>
          <w:u w:val="single"/>
          <w:rtl/>
        </w:rPr>
      </w:pPr>
      <w:r w:rsidRPr="00D510B4">
        <w:rPr>
          <w:rFonts w:ascii="David" w:hAnsi="David"/>
          <w:u w:val="single"/>
          <w:rtl/>
        </w:rPr>
        <w:t xml:space="preserve">העונש המתאים לנאשם </w:t>
      </w:r>
    </w:p>
    <w:p w14:paraId="54361BBC" w14:textId="77777777" w:rsidR="004221DC" w:rsidRPr="00D510B4" w:rsidRDefault="004221DC" w:rsidP="001D7539">
      <w:pPr>
        <w:pStyle w:val="aa"/>
        <w:rPr>
          <w:rFonts w:ascii="David" w:hAnsi="David" w:cs="David"/>
        </w:rPr>
      </w:pPr>
    </w:p>
    <w:p w14:paraId="3AD2D297"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 xml:space="preserve">על פי </w:t>
      </w:r>
      <w:hyperlink r:id="rId60" w:history="1">
        <w:r w:rsidR="007B6C91" w:rsidRPr="007B6C91">
          <w:rPr>
            <w:rStyle w:val="Hyperlink"/>
            <w:rFonts w:ascii="David" w:hAnsi="David" w:cs="David"/>
            <w:rtl/>
          </w:rPr>
          <w:t>סעיף 40ד</w:t>
        </w:r>
      </w:hyperlink>
      <w:r w:rsidRPr="00D510B4">
        <w:rPr>
          <w:rFonts w:ascii="David" w:hAnsi="David" w:cs="David"/>
          <w:rtl/>
        </w:rPr>
        <w:t xml:space="preserve"> לחוק העונשין, בית המשפט רשאי לחרוג לקולא ממתחם העונש ההולם, משיקולי שיקום הנאשם. זאת, אם הנאשם השתקם, או יש סיכוי של ממש שהוא ישתקם.</w:t>
      </w:r>
    </w:p>
    <w:p w14:paraId="44E5B5C9" w14:textId="77777777" w:rsidR="004221DC" w:rsidRPr="00D510B4" w:rsidRDefault="004221DC" w:rsidP="00D510B4">
      <w:pPr>
        <w:pStyle w:val="aa"/>
        <w:spacing w:after="160" w:line="360" w:lineRule="auto"/>
        <w:ind w:left="360"/>
        <w:jc w:val="both"/>
        <w:rPr>
          <w:rFonts w:ascii="David" w:hAnsi="David" w:cs="David"/>
        </w:rPr>
      </w:pPr>
    </w:p>
    <w:p w14:paraId="3B7BAC13"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 xml:space="preserve">במסגרת </w:t>
      </w:r>
      <w:hyperlink r:id="rId61" w:history="1">
        <w:r w:rsidRPr="008146F5">
          <w:rPr>
            <w:rFonts w:ascii="David" w:hAnsi="David" w:cs="David"/>
            <w:color w:val="0000FF"/>
            <w:u w:val="single"/>
            <w:rtl/>
          </w:rPr>
          <w:t>ע"פ 6637/17</w:t>
        </w:r>
      </w:hyperlink>
      <w:r w:rsidRPr="00D510B4">
        <w:rPr>
          <w:rFonts w:ascii="David" w:hAnsi="David" w:cs="David"/>
          <w:rtl/>
        </w:rPr>
        <w:t xml:space="preserve"> </w:t>
      </w:r>
      <w:r w:rsidRPr="00D510B4">
        <w:rPr>
          <w:rFonts w:ascii="David" w:hAnsi="David" w:cs="David"/>
          <w:b/>
          <w:bCs/>
          <w:rtl/>
        </w:rPr>
        <w:t>קרנדל נ' מדינת ישראל</w:t>
      </w:r>
      <w:r w:rsidRPr="00D510B4">
        <w:rPr>
          <w:rFonts w:ascii="David" w:hAnsi="David" w:cs="David"/>
          <w:rtl/>
        </w:rPr>
        <w:t xml:space="preserve"> (18.4.2018)  קבע בית המשפט העליון כי את התשתית העובדתית להוכחת סיכויי השיקום ניתן לגבש באמצעים ראייתיים שונים, ובראשם תסקיר שירות המבחן; בית המשפט קבע, ביחס לשיקולים המנחים בהערכת שיקומו של הנאשם, בין היתר, כך:</w:t>
      </w:r>
    </w:p>
    <w:p w14:paraId="12851665" w14:textId="77777777" w:rsidR="004221DC" w:rsidRPr="00D510B4" w:rsidRDefault="004221DC" w:rsidP="00D510B4">
      <w:pPr>
        <w:pStyle w:val="aa"/>
        <w:spacing w:after="160" w:line="360" w:lineRule="auto"/>
        <w:ind w:left="360"/>
        <w:jc w:val="both"/>
        <w:rPr>
          <w:rFonts w:ascii="David" w:hAnsi="David" w:cs="David"/>
          <w:rtl/>
        </w:rPr>
      </w:pPr>
    </w:p>
    <w:p w14:paraId="16B8CABB"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"...בקווים כלליים ניתן להצביע על כך </w:t>
      </w:r>
      <w:r w:rsidRPr="00D510B4">
        <w:rPr>
          <w:rFonts w:ascii="David" w:hAnsi="David" w:cs="David"/>
          <w:b/>
          <w:bCs/>
          <w:rtl/>
        </w:rPr>
        <w:t xml:space="preserve">שהפעלת הסמכות </w:t>
      </w:r>
      <w:hyperlink r:id="rId62" w:history="1">
        <w:r w:rsidR="007B6C91" w:rsidRPr="007B6C91">
          <w:rPr>
            <w:rStyle w:val="Hyperlink"/>
            <w:rFonts w:ascii="David" w:hAnsi="David" w:cs="David"/>
            <w:b/>
            <w:bCs/>
            <w:rtl/>
          </w:rPr>
          <w:t>בסעיף 40ד</w:t>
        </w:r>
      </w:hyperlink>
      <w:r w:rsidRPr="00D510B4">
        <w:rPr>
          <w:rFonts w:ascii="David" w:hAnsi="David" w:cs="David"/>
          <w:b/>
          <w:bCs/>
          <w:rtl/>
        </w:rPr>
        <w:t xml:space="preserve"> אינה מוגבלת לעבירות קלות בלבד</w:t>
      </w:r>
      <w:r w:rsidRPr="00D510B4">
        <w:rPr>
          <w:rFonts w:ascii="David" w:hAnsi="David" w:cs="David"/>
          <w:rtl/>
        </w:rPr>
        <w:t xml:space="preserve"> (ראו למשל: </w:t>
      </w:r>
      <w:hyperlink r:id="rId63" w:history="1">
        <w:r w:rsidRPr="008146F5">
          <w:rPr>
            <w:rFonts w:ascii="David" w:hAnsi="David" w:cs="David"/>
            <w:color w:val="0000FF"/>
            <w:u w:val="single"/>
            <w:rtl/>
          </w:rPr>
          <w:t>ע"פ 779/15</w:t>
        </w:r>
      </w:hyperlink>
      <w:r w:rsidRPr="00D510B4">
        <w:rPr>
          <w:rFonts w:ascii="David" w:hAnsi="David" w:cs="David"/>
          <w:rtl/>
        </w:rPr>
        <w:t xml:space="preserve"> פלוני נ' מדינת ישראל [פורסם בנבו] (12.4.2015) (להלן: ע"פ 779/15); </w:t>
      </w:r>
      <w:hyperlink r:id="rId64" w:history="1">
        <w:r w:rsidRPr="008146F5">
          <w:rPr>
            <w:rFonts w:ascii="David" w:hAnsi="David" w:cs="David"/>
            <w:color w:val="0000FF"/>
            <w:u w:val="single"/>
            <w:rtl/>
          </w:rPr>
          <w:t>ע"פ 3381/16</w:t>
        </w:r>
      </w:hyperlink>
      <w:r w:rsidRPr="00D510B4">
        <w:rPr>
          <w:rFonts w:ascii="David" w:hAnsi="David" w:cs="David"/>
          <w:rtl/>
        </w:rPr>
        <w:t xml:space="preserve"> אלקרינאוי נ' מדינת ישראל [פורסם בנבו] (10.7.2016) (להלן: עניין אלקרינאוי); </w:t>
      </w:r>
      <w:hyperlink r:id="rId65" w:history="1">
        <w:r w:rsidRPr="008146F5">
          <w:rPr>
            <w:rFonts w:ascii="David" w:hAnsi="David" w:cs="David"/>
            <w:color w:val="0000FF"/>
            <w:u w:val="single"/>
            <w:rtl/>
          </w:rPr>
          <w:t>ע"פ 5611/16</w:t>
        </w:r>
      </w:hyperlink>
      <w:r w:rsidRPr="00D510B4">
        <w:rPr>
          <w:rFonts w:ascii="David" w:hAnsi="David" w:cs="David"/>
          <w:rtl/>
        </w:rPr>
        <w:t xml:space="preserve"> סלב נ' מדינת ישראל [פורסם בנבו] (14.9.2017) (להלן: עניין סלב); </w:t>
      </w:r>
      <w:hyperlink r:id="rId66" w:history="1">
        <w:r w:rsidRPr="008146F5">
          <w:rPr>
            <w:rFonts w:ascii="David" w:hAnsi="David" w:cs="David"/>
            <w:color w:val="0000FF"/>
            <w:u w:val="single"/>
            <w:rtl/>
          </w:rPr>
          <w:t>ע"פ 1288/17</w:t>
        </w:r>
      </w:hyperlink>
      <w:r w:rsidRPr="00D510B4">
        <w:rPr>
          <w:rFonts w:ascii="David" w:hAnsi="David" w:cs="David"/>
          <w:rtl/>
        </w:rPr>
        <w:t xml:space="preserve"> מדינת ישראל נ' שנהר [פורסם בנבו] (3.10.2017) (להלן: עניין שנהר)). במקרים קודמים שבהם נדרש בית המשפט להעריך את סיכויי השיקום במסגרת </w:t>
      </w:r>
      <w:hyperlink r:id="rId67" w:history="1">
        <w:r w:rsidR="007B6C91" w:rsidRPr="007B6C91">
          <w:rPr>
            <w:rStyle w:val="Hyperlink"/>
            <w:rFonts w:ascii="David" w:hAnsi="David" w:cs="David"/>
            <w:rtl/>
          </w:rPr>
          <w:t>סעיף 40ד</w:t>
        </w:r>
      </w:hyperlink>
      <w:r w:rsidRPr="00D510B4">
        <w:rPr>
          <w:rFonts w:ascii="David" w:hAnsi="David" w:cs="David"/>
          <w:rtl/>
        </w:rPr>
        <w:t xml:space="preserve"> לחוק העונשין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68" w:history="1">
        <w:r w:rsidRPr="008146F5">
          <w:rPr>
            <w:rFonts w:ascii="David" w:hAnsi="David" w:cs="David"/>
            <w:color w:val="0000FF"/>
            <w:u w:val="single"/>
            <w:rtl/>
          </w:rPr>
          <w:t>ע"פ 7459/12</w:t>
        </w:r>
      </w:hyperlink>
      <w:r w:rsidRPr="00D510B4">
        <w:rPr>
          <w:rFonts w:ascii="David" w:hAnsi="David" w:cs="David"/>
          <w:rtl/>
        </w:rPr>
        <w:t xml:space="preserve"> שיבר נ' מדינת ישראל, [פורסם בנבו] פסקה 6 (20.6.2013); ע"פ 779/15, בפסקה 11; עניין אלקרינאוי, בפסקה 12; עניין סלב, בפסקאות 17-16; עניין שנהר, בפסקה 24).</w:t>
      </w:r>
    </w:p>
    <w:p w14:paraId="4A461796" w14:textId="77777777" w:rsidR="004221DC" w:rsidRPr="00D510B4" w:rsidRDefault="004221DC" w:rsidP="00D510B4">
      <w:pPr>
        <w:pStyle w:val="aa"/>
        <w:spacing w:after="160" w:line="360" w:lineRule="auto"/>
        <w:ind w:left="360"/>
        <w:jc w:val="both"/>
        <w:rPr>
          <w:rFonts w:ascii="David" w:hAnsi="David" w:cs="David"/>
          <w:rtl/>
        </w:rPr>
      </w:pPr>
    </w:p>
    <w:p w14:paraId="7E03C369"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w:t>
      </w:r>
      <w:hyperlink r:id="rId69" w:history="1">
        <w:r w:rsidR="007B6C91" w:rsidRPr="007B6C91">
          <w:rPr>
            <w:rStyle w:val="Hyperlink"/>
            <w:rFonts w:ascii="David" w:hAnsi="David" w:cs="David"/>
            <w:rtl/>
          </w:rPr>
          <w:t>סעיף 40יא</w:t>
        </w:r>
      </w:hyperlink>
      <w:r w:rsidRPr="00D510B4">
        <w:rPr>
          <w:rFonts w:ascii="David" w:hAnsi="David" w:cs="David"/>
          <w:rtl/>
        </w:rPr>
        <w:t xml:space="preserve"> לחוק העונשין). עם זאת, ומבלי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hyperlink r:id="rId70" w:history="1">
        <w:r w:rsidR="007B6C91" w:rsidRPr="007B6C91">
          <w:rPr>
            <w:rStyle w:val="Hyperlink"/>
            <w:rFonts w:ascii="David" w:hAnsi="David" w:cs="David"/>
            <w:rtl/>
          </w:rPr>
          <w:t>סעיף 40ד(א).</w:t>
        </w:r>
      </w:hyperlink>
      <w:r w:rsidRPr="00D510B4">
        <w:rPr>
          <w:rFonts w:ascii="David" w:hAnsi="David" w:cs="David"/>
          <w:rtl/>
        </w:rPr>
        <w:t xml:space="preserve"> דברים אלה זוכים למשנה חיזוק מקום בו מדובר באדם צעיר נעדר עבר פלילי (עניין סלב, בפסקה 16)".</w:t>
      </w:r>
    </w:p>
    <w:p w14:paraId="716C7EE4" w14:textId="77777777" w:rsidR="004221DC" w:rsidRPr="00D510B4" w:rsidRDefault="004221DC" w:rsidP="00D510B4">
      <w:pPr>
        <w:pStyle w:val="aa"/>
        <w:spacing w:after="160" w:line="360" w:lineRule="auto"/>
        <w:ind w:left="360"/>
        <w:jc w:val="both"/>
        <w:rPr>
          <w:rFonts w:ascii="David" w:hAnsi="David" w:cs="David"/>
          <w:rtl/>
        </w:rPr>
      </w:pPr>
    </w:p>
    <w:p w14:paraId="6A4CD275"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 xml:space="preserve"> במקרה דנא שוכנעתי כי הנאשם השתקם, ולמצער יש סיכוי של ממש שהוא ישתקם, ועל כן יש להורות על ענישה שיקומית בעניינו, החורגת לקולא ממתחמי הענישה שקבעתי לעיל. ודוק:</w:t>
      </w:r>
      <w:r w:rsidRPr="00D510B4">
        <w:rPr>
          <w:rFonts w:ascii="David" w:hAnsi="David" w:cs="David"/>
        </w:rPr>
        <w:t xml:space="preserve"> </w:t>
      </w:r>
      <w:r w:rsidRPr="00D510B4">
        <w:rPr>
          <w:rFonts w:ascii="David" w:hAnsi="David" w:cs="David"/>
          <w:rtl/>
        </w:rPr>
        <w:t xml:space="preserve"> צודקת התביעה, ובאופן רגיל נאשם אשר מתנהג ועובר עבירות כפי שהורשע הנאשם כאן – מדובר במעשים אשר מחייבים מענה עונשי הולם והתרעתי. עם זאת, נוכח הדרך הטיפולית שיקומית בה הלך הנאשם, ובהצלחה, הרי שהסטייה לקולא ממתחמי הענישה אף עולה בקנה אחד עם האינטרס הציבורי. </w:t>
      </w:r>
    </w:p>
    <w:p w14:paraId="2032C66C" w14:textId="77777777" w:rsidR="004221DC" w:rsidRPr="00D510B4" w:rsidRDefault="004221DC" w:rsidP="00D510B4">
      <w:pPr>
        <w:pStyle w:val="aa"/>
        <w:spacing w:after="160" w:line="360" w:lineRule="auto"/>
        <w:ind w:left="360"/>
        <w:jc w:val="both"/>
        <w:rPr>
          <w:rFonts w:ascii="David" w:hAnsi="David" w:cs="David"/>
        </w:rPr>
      </w:pPr>
    </w:p>
    <w:p w14:paraId="56F2D0A2"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להלן אסקור בקצרה את קורות הנאשם בשנים שחלפו מאז ביצוע העבירות, בשנת 2016 (!) ו-2021, ועד היום, בשנת 2024. שירות המבחן תאר את גדילתו של הנאשם, בתנאים קשים, ללא דמות אב, אשר מגיל צעיר ניהל אורח חיים שולי, והשתמש שימוש אינטנסיבי וממושך בסמים מסוכנים. על רקע צריכת הסמים המסוכנים המוגברת, התנהג הנאשם באלימות והתקשה לשלוט בתגובותיו. </w:t>
      </w:r>
    </w:p>
    <w:p w14:paraId="3C3AC7EB" w14:textId="77777777" w:rsidR="004221DC" w:rsidRPr="00D510B4" w:rsidRDefault="004221DC" w:rsidP="001D7539">
      <w:pPr>
        <w:pStyle w:val="aa"/>
        <w:rPr>
          <w:rFonts w:ascii="David" w:hAnsi="David" w:cs="David"/>
        </w:rPr>
      </w:pPr>
    </w:p>
    <w:p w14:paraId="36145FE2"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נוכח התמכרותו העמוקה של הנאשם לסמים מסוכנים, והמלצת שירות המבחן, אפשרתי לנאשם להשתלב בקהילה טיפולית סגורה – הרטוב, בית אור אביבה. תסקיר שירות המבחן לימד כי הנאשם, עוד בתחילת ההליך הטיפולי, הבין שפעל, בעת ביצוע העבירות, תחת השפעת סמים מסוכנים, והביע בושה וחרטה נוכח ביצוען. שירות המבחן התרשם, אז (ספטמבר 2022) כי הנאשם לוקח אחריות על העבירות בהן הורשע תוך שיתוף אותנטי באשר לבחירותיו והמניעים העומדים בבסיסם, זיהוי גורמי סיכון אישיותיים, דפוסיו ההתמכרותיים והבנת הצורך בטיפול ובשינוי מעמיק ולאורך זמן... ניכר כי בעת שהותו בקהילה מצליח לזהות דפוסים רגשיים התנהלותיים באופיו אשר עשויים להשפיע על התנהלות אלימה ותוקפנית במצבי קונפליקט, וכי כיום בראשיתו של תהליך בחינה באשר להיבטים באישיותו...". </w:t>
      </w:r>
    </w:p>
    <w:p w14:paraId="46AF2EF4" w14:textId="77777777" w:rsidR="004221DC" w:rsidRPr="00D510B4" w:rsidRDefault="004221DC" w:rsidP="00D510B4">
      <w:pPr>
        <w:pStyle w:val="aa"/>
        <w:spacing w:after="160" w:line="360" w:lineRule="auto"/>
        <w:ind w:left="360"/>
        <w:jc w:val="both"/>
        <w:rPr>
          <w:rFonts w:ascii="David" w:hAnsi="David" w:cs="David"/>
          <w:rtl/>
        </w:rPr>
      </w:pPr>
    </w:p>
    <w:p w14:paraId="49A915EA"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תסקירים נוספים שתקבלו תארו את הדרך החיובית שעבר הנאשם, ובחודש דצמבר 2022 סיים הנאשם בהצלחה שהות מלאה בקהילה הטיפולית. </w:t>
      </w:r>
    </w:p>
    <w:p w14:paraId="76BA9296" w14:textId="77777777" w:rsidR="004221DC" w:rsidRPr="00D510B4" w:rsidRDefault="004221DC" w:rsidP="00D510B4">
      <w:pPr>
        <w:pStyle w:val="aa"/>
        <w:spacing w:after="160" w:line="360" w:lineRule="auto"/>
        <w:ind w:left="360"/>
        <w:jc w:val="both"/>
        <w:rPr>
          <w:rFonts w:ascii="David" w:hAnsi="David" w:cs="David"/>
          <w:rtl/>
        </w:rPr>
      </w:pPr>
    </w:p>
    <w:p w14:paraId="6E9689DD"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עבור נאשם אשר מגיל צעיר היה מכור לסמים מסוכנים, ועל אף ניסיון קודם שלא צלח במסגרת קהילת רטורנו – מדובר בהישג יוצא דופן.</w:t>
      </w:r>
    </w:p>
    <w:p w14:paraId="2033C96A" w14:textId="77777777" w:rsidR="004221DC" w:rsidRPr="00D510B4" w:rsidRDefault="004221DC" w:rsidP="001D7539">
      <w:pPr>
        <w:pStyle w:val="aa"/>
        <w:rPr>
          <w:rFonts w:ascii="David" w:hAnsi="David" w:cs="David"/>
        </w:rPr>
      </w:pPr>
    </w:p>
    <w:p w14:paraId="7DC2B129"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 xml:space="preserve">הנאשם לא הפסיק את ההליך הטיפולי, ומיד לאחר סיום הקהילה הוא שולב בהוסטל הקשור אליה; שירות המבחן עדכן בתסקירו כי במסגרת שהותו בהוסטל הנאשם שולב בטיפול פרטני וקבוצתי שבועי קבוע, ונראה כי מעורב בתהליכים הטיפוליים ונתרם מהם. שירות המבחן עקב מקרוב אחר התקדמותו של הנאשם בטיפולים הפרטניים, התגברותו על קשיים מסוגים שונים, והוסיף כי הנאשם היה שותף ונכח באופן מלא בטיפול הפרטני והקבוצתי במהלך הקבוצות העלה סוגיות אישיות וחברתיות אשר העסיקו אותו, תוך שגילה חיבור לתכנים שחבריו העלו. גם בטיפול הפרטני במהלכו התאפשרה לגורמי הטיפול בהוסטל היכרות ממושכת ורציפה, הנאשם הצליח להביא את עצמו וניכר כי היה מושקע בתהליך המשותף". </w:t>
      </w:r>
    </w:p>
    <w:p w14:paraId="311360F1" w14:textId="77777777" w:rsidR="004221DC" w:rsidRPr="00D510B4" w:rsidRDefault="004221DC" w:rsidP="00D510B4">
      <w:pPr>
        <w:pStyle w:val="aa"/>
        <w:spacing w:after="160" w:line="360" w:lineRule="auto"/>
        <w:ind w:left="360"/>
        <w:jc w:val="both"/>
        <w:rPr>
          <w:rFonts w:ascii="David" w:hAnsi="David" w:cs="David"/>
        </w:rPr>
      </w:pPr>
    </w:p>
    <w:p w14:paraId="4F7AB885"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עוד הוסיף שירות המבחן כי הנאשם ערך טיפול אינטנסיבי ומשמעותי בהוסטל במהלכו נפגש עם מציאות החיים עמה נדרש להתמודד... מיכאל הביע מוטיבציה להמשיך ולדבוק בדרך אותה למד בטיפול ולהיעזר בכלים אותם רכש תוך הבנה כי אינו רוצה לחזור לחיים שוליים ושליליים כפי שחי". </w:t>
      </w:r>
    </w:p>
    <w:p w14:paraId="32059E49" w14:textId="77777777" w:rsidR="004221DC" w:rsidRPr="00D510B4" w:rsidRDefault="004221DC" w:rsidP="00D510B4">
      <w:pPr>
        <w:pStyle w:val="aa"/>
        <w:spacing w:after="160" w:line="360" w:lineRule="auto"/>
        <w:ind w:left="360"/>
        <w:jc w:val="both"/>
        <w:rPr>
          <w:rFonts w:ascii="David" w:hAnsi="David" w:cs="David"/>
        </w:rPr>
      </w:pPr>
    </w:p>
    <w:p w14:paraId="1C961370"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שירות המבחן הוסיף כי עם סיום הטיפול בהוסטל, בהצלחה, לאחר שהנאשם רכש כלים אפקטיביים לתפקוד עתידי, הוא פנה ביוזמתו להמשך טיפול ביחידה להתמכרויות בבית שמש.  שירות המבחן יצר קשר עם היחידה, שם נמסר לו כי הנאשם מוסר בדיקות שתן באופן קבוע, שנמצאו נקיות משרידי סם. </w:t>
      </w:r>
    </w:p>
    <w:p w14:paraId="44747D03" w14:textId="77777777" w:rsidR="004221DC" w:rsidRPr="00D510B4" w:rsidRDefault="004221DC" w:rsidP="00D510B4">
      <w:pPr>
        <w:pStyle w:val="aa"/>
        <w:spacing w:after="160" w:line="360" w:lineRule="auto"/>
        <w:ind w:left="360"/>
        <w:jc w:val="both"/>
        <w:rPr>
          <w:rFonts w:ascii="David" w:hAnsi="David" w:cs="David"/>
        </w:rPr>
      </w:pPr>
    </w:p>
    <w:p w14:paraId="43ECC750"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שירות המבחן הוסיף כי הנאשם פנה אל בת זוגו לשעבר (מושא האירוע השלישי) והתנצל בפניה על התנהגותו והעבירות שביצע כלפיה; הוא דיבר על תחושת האשמה שהרגיש בעקבות זאת וכן תחושת ההקלה שחווה כיום לאחר שהביע בפניה סליחה וחרטה והיא קיבלה זאת. שירות המבחן אף שוחח עם המתלוננת עצמה, אשר מסרה כי ההודעה ששלח לה הנאשם שמחה אותה, מסרה כי כיום אין לה קשר עמו ושללה חווית פחד או איום מפניו. </w:t>
      </w:r>
    </w:p>
    <w:p w14:paraId="6DA71F20" w14:textId="77777777" w:rsidR="004221DC" w:rsidRPr="00D510B4" w:rsidRDefault="004221DC" w:rsidP="001D7539">
      <w:pPr>
        <w:pStyle w:val="aa"/>
        <w:rPr>
          <w:rFonts w:ascii="David" w:hAnsi="David" w:cs="David"/>
        </w:rPr>
      </w:pPr>
    </w:p>
    <w:p w14:paraId="3F621160"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 xml:space="preserve">שירות המבחן עמד על הקשיים עמם מתמודד הנאשם, כמו למשל, הצבת גבולות פנימיים וקבלת גבולות חיצוניים, עם זאת, שירות המבחן התרשם מכוחותיו החיוביים של הנאשם אשר באו לידי ביטוי בכברת הדרך שעבר בטיפול בהתמכרותו והצלחתו לסיים טיפול אינטנסיבי שנמשך כשנה וחצי. "ניכר שמלבד הצלחתו להימנע משימוש בסם, עבר תהליך משמעותי בהתנהלותו בכל הקשור למאפייניו ודפוסיו. נראה כי על אף הקשיים שליוו אותו לאורך הדרך מיכאל הצליח להתמודד עם מורכבות הטיפול והסוגיות השונות, בין היתר של הרצון לעצמאות והקושי לקבל סמכות. ניכר כי למד להיעזר בסובבים אותו, למד להציף את מחשבותיו ורגשותיו ולשתף אנשים שסביבו כחלק מההבנה שזקוק לעזרתם של אחרים והבנה שההתמודדות לבד היא לעיתים בלתי אפשרית".  </w:t>
      </w:r>
    </w:p>
    <w:p w14:paraId="3041685E" w14:textId="77777777" w:rsidR="004221DC" w:rsidRPr="00D510B4" w:rsidRDefault="004221DC" w:rsidP="001D7539">
      <w:pPr>
        <w:pStyle w:val="aa"/>
        <w:rPr>
          <w:rFonts w:ascii="David" w:hAnsi="David" w:cs="David"/>
        </w:rPr>
      </w:pPr>
    </w:p>
    <w:p w14:paraId="584DA57B"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שירות המבחן התרשם כי הנאשם נמצא בשיאו של הליך שיקומי, שמשולב בתעסוקה לצד ניקיון מסם. שירות המבחן הוסיף "אנו מתרשמים מאמפתיה שמגלה כיום כלפי בת זוגו לשעבר וניכר כי ההליך הטיפולי סייע למיכאל ביכולתו להיות אמפתי ורגיש אליה". </w:t>
      </w:r>
    </w:p>
    <w:p w14:paraId="35D23687" w14:textId="77777777" w:rsidR="004221DC" w:rsidRPr="00D510B4" w:rsidRDefault="004221DC" w:rsidP="00D510B4">
      <w:pPr>
        <w:pStyle w:val="aa"/>
        <w:spacing w:after="160" w:line="360" w:lineRule="auto"/>
        <w:ind w:left="360"/>
        <w:jc w:val="both"/>
        <w:rPr>
          <w:rFonts w:ascii="David" w:hAnsi="David" w:cs="David"/>
        </w:rPr>
      </w:pPr>
    </w:p>
    <w:p w14:paraId="5C82A086"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הגם שבחודש ספטמבר 2023 גיבש שירות המבחן המלצה טיפולית ביחס לנאשם וסיום ההליך בצו מבחן וצו שירות לתועלת הציבור, הדיון נדחה על מנת לעקוב מקרוב אחר המשך ההליך הטיפולי. כעבור מספר חודשים, בחודש פברואר 2024, חזר שירות המבחן על המלצתו, ותאר כי הנאשם ממשיך למסור בדיקות שתן נקיות; שירות המבחן הוסיף כי לאור התהליך הממושך האינטנסיבי והמשמעותי שמיכאל עבר והצלחתו לצד האתגרים המרובים, העובדה כי עד כה ממשיך למסור בדיקות שתן נקיות משרידי סם, העובדה שמשולב בטיפול פרטני בתחום ההתמכרויות, היכולת שלו לקיים התבוננות פנימית וכן הקשר הרציף והאותנטי שלו עם שירות המבחן, חזר שירת המבחן עם ההמלצה השיקומית בעניינו של הנאשם. </w:t>
      </w:r>
    </w:p>
    <w:p w14:paraId="1A551976" w14:textId="77777777" w:rsidR="004221DC" w:rsidRPr="00D510B4" w:rsidRDefault="004221DC" w:rsidP="00D510B4">
      <w:pPr>
        <w:pStyle w:val="aa"/>
        <w:spacing w:after="160" w:line="360" w:lineRule="auto"/>
        <w:ind w:left="360"/>
        <w:jc w:val="both"/>
        <w:rPr>
          <w:rFonts w:ascii="David" w:hAnsi="David" w:cs="David"/>
        </w:rPr>
      </w:pPr>
    </w:p>
    <w:p w14:paraId="4DBE831B"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הנה כי כן, הנאשם עבר דרך שיקומית וטיפולית יוצאת דופן; מגיל צעיר היה מכור לסמים מסוכנים, שולב בקהילה, התמודד עם קשיים ניכרים, בין היתר שהיו קשורים לקושי בקבלת גבולות וקשיים נוספים. הנאשם הצליח להיגמל מהתמכרות לסמים מסוכנים – עניין שהוא כשלעצמו מלמד על שיקום משמעותי. תסקירי שירות המבחן אף לימדו כי הנאשם עבר שינוי פנימי עמוק, והוא כיום יודע לגלות אמפתיה כלפי המתלוננת שנפגעה ממנו, וכן למד לקבל עזרה מהסובבים אותו, והתחיל לנהוג בבגרות. </w:t>
      </w:r>
    </w:p>
    <w:p w14:paraId="20B88857" w14:textId="77777777" w:rsidR="004221DC" w:rsidRPr="00D510B4" w:rsidRDefault="004221DC" w:rsidP="001D7539">
      <w:pPr>
        <w:pStyle w:val="aa"/>
        <w:rPr>
          <w:rFonts w:ascii="David" w:hAnsi="David" w:cs="David"/>
        </w:rPr>
      </w:pPr>
    </w:p>
    <w:p w14:paraId="625329CD"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ראיה נוספת, ומשמעותית, להצלחת הליך השיקום של הנאשם, הוא מכתב שהוגש מאת ההגנה, החתום על ידי מתי סמיונוב, מנכ"ל, מומחה להתמכרויות, מעמותת סטפט מרכז החלמה והעצמה בשיטת 12 צעדים בבית שמש; כך כתב סמיונוב המנכ"ל:</w:t>
      </w:r>
    </w:p>
    <w:p w14:paraId="2B778028" w14:textId="77777777" w:rsidR="004221DC" w:rsidRPr="00D510B4" w:rsidRDefault="004221DC" w:rsidP="001D7539">
      <w:pPr>
        <w:pStyle w:val="aa"/>
        <w:rPr>
          <w:rFonts w:ascii="David" w:hAnsi="David" w:cs="David"/>
        </w:rPr>
      </w:pPr>
    </w:p>
    <w:p w14:paraId="227C3A7A" w14:textId="77777777" w:rsidR="004221DC" w:rsidRPr="00D510B4" w:rsidRDefault="004221DC" w:rsidP="00D510B4">
      <w:pPr>
        <w:pStyle w:val="aa"/>
        <w:spacing w:after="160" w:line="360" w:lineRule="auto"/>
        <w:ind w:left="360"/>
        <w:jc w:val="both"/>
        <w:rPr>
          <w:rFonts w:ascii="David" w:hAnsi="David" w:cs="David"/>
          <w:rtl/>
        </w:rPr>
      </w:pPr>
      <w:r w:rsidRPr="00D510B4">
        <w:rPr>
          <w:rFonts w:ascii="David" w:hAnsi="David" w:cs="David"/>
          <w:rtl/>
        </w:rPr>
        <w:t xml:space="preserve">"מר אמשיקשווילי התקבל לעבודה במסגרתנו בתאריך 1.5.24 ומועסק בתפקיד מדריך חברתי. במסגרת האחריות שלו מיכאל מגלה נכונות, רצינות, ואכפתיות הן כלפי מקום העבודה והן כלפי המטופלים השוהים במסגרת. במסגרת תפקידו, מיכאל מנהל סדר יום שלם עם כ 10 מטופלים הכולל : מתן טיפול תרופתי, הנחיית קבוצות, ושיחות אישיות עם המטופלים. והמטופלים רואים בו כמקור השראה ודוגמא חיובית. בנוסף מיכאל דואג לתחזוקת המסגרת השוטפת כגון: קניית מצרכי מזון, אחזקת המבנה, בישול שלוש ארוחות ביום, גינון וטיפוח. משיחות אישיות עם מיכאל גיליתי אדם חברותי, כריזמתי, ובעל מוטיבציה לתרום מעצמו מעצם היותו מכור נקי בעצמו ואמונה בדרך זו שבעצמו עבר. אין לי ספק שאם מיכאל ימשיך בעשייה זו, הוא יהיה גורם חיובי לעצמו ולחברה ככלל. אסכם ואומר שהינני מרוצה מעבודתו במסגרתנו ואשמח שיצעד איתנו יד ביד". </w:t>
      </w:r>
    </w:p>
    <w:p w14:paraId="12DC19CA" w14:textId="77777777" w:rsidR="004221DC" w:rsidRPr="00D510B4" w:rsidRDefault="004221DC" w:rsidP="001D7539">
      <w:pPr>
        <w:pStyle w:val="aa"/>
        <w:rPr>
          <w:rFonts w:ascii="David" w:hAnsi="David" w:cs="David"/>
          <w:rtl/>
        </w:rPr>
      </w:pPr>
    </w:p>
    <w:p w14:paraId="20D60817"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על הליך השיקום המוצלח אוסיף גם את הודאתו של הנאשם במיוחס לו, לקיחת האחריות, והחרטה העמוקה שהביע. עוד הבאתי בחשבון את העובדה שהנאשם שהה במעצר במסגרת התיק העיקרי לא פחות מ-8 חודשים, ונתון זה אף הוא מגלם שיקול לקולא</w:t>
      </w:r>
      <w:r w:rsidRPr="00D510B4">
        <w:rPr>
          <w:rFonts w:ascii="David" w:hAnsi="David" w:cs="David" w:hint="cs"/>
          <w:rtl/>
        </w:rPr>
        <w:t xml:space="preserve">. לא ניתן אף להתעלם מחלוף הזמן הניכר מאז </w:t>
      </w:r>
      <w:r w:rsidRPr="00D510B4">
        <w:rPr>
          <w:rFonts w:ascii="David" w:hAnsi="David" w:cs="David"/>
          <w:rtl/>
        </w:rPr>
        <w:t xml:space="preserve"> </w:t>
      </w:r>
      <w:r w:rsidRPr="00D510B4">
        <w:rPr>
          <w:rFonts w:ascii="David" w:hAnsi="David" w:cs="David" w:hint="cs"/>
          <w:rtl/>
        </w:rPr>
        <w:t xml:space="preserve">ביצוע העבירות ובעיקר כשמדובר בעבירות משנת 2016. </w:t>
      </w:r>
    </w:p>
    <w:p w14:paraId="4E012C8D" w14:textId="77777777" w:rsidR="004221DC" w:rsidRPr="00D510B4" w:rsidRDefault="004221DC" w:rsidP="00D510B4">
      <w:pPr>
        <w:pStyle w:val="aa"/>
        <w:spacing w:after="160" w:line="360" w:lineRule="auto"/>
        <w:ind w:left="360"/>
        <w:jc w:val="both"/>
        <w:rPr>
          <w:rFonts w:ascii="David" w:hAnsi="David" w:cs="David"/>
        </w:rPr>
      </w:pPr>
      <w:r w:rsidRPr="00D510B4">
        <w:rPr>
          <w:rFonts w:ascii="David" w:hAnsi="David" w:cs="David"/>
          <w:rtl/>
        </w:rPr>
        <w:t xml:space="preserve"> </w:t>
      </w:r>
    </w:p>
    <w:p w14:paraId="1E170108" w14:textId="77777777" w:rsidR="004221DC" w:rsidRPr="00D510B4" w:rsidRDefault="004221DC" w:rsidP="00D510B4">
      <w:pPr>
        <w:pStyle w:val="aa"/>
        <w:numPr>
          <w:ilvl w:val="0"/>
          <w:numId w:val="1"/>
        </w:numPr>
        <w:spacing w:after="160" w:line="360" w:lineRule="auto"/>
        <w:jc w:val="both"/>
        <w:rPr>
          <w:rFonts w:ascii="David" w:hAnsi="David" w:cs="David"/>
        </w:rPr>
      </w:pPr>
      <w:r w:rsidRPr="00D510B4">
        <w:rPr>
          <w:rFonts w:ascii="David" w:hAnsi="David" w:cs="David"/>
          <w:rtl/>
        </w:rPr>
        <w:t xml:space="preserve">לאור האמור לעיל, שוכנעתי כי האינטרס הציבורי ייצא נשכר מהמשך תפקודו התקין של הנאשם, כמדריך במרכז להחלמה מהתמכרויות וכן בהמשך ניהול אורח חיים נורמטיבי, תקין ותורם לחברה. </w:t>
      </w:r>
    </w:p>
    <w:p w14:paraId="738F4148" w14:textId="77777777" w:rsidR="004221DC" w:rsidRPr="00D510B4" w:rsidRDefault="004221DC" w:rsidP="001D7539">
      <w:pPr>
        <w:pStyle w:val="aa"/>
        <w:rPr>
          <w:rFonts w:ascii="David" w:hAnsi="David" w:cs="David"/>
        </w:rPr>
      </w:pPr>
    </w:p>
    <w:p w14:paraId="59C85BE5" w14:textId="77777777" w:rsidR="004221DC" w:rsidRPr="00D510B4" w:rsidRDefault="004221DC" w:rsidP="00D510B4">
      <w:pPr>
        <w:pStyle w:val="aa"/>
        <w:numPr>
          <w:ilvl w:val="0"/>
          <w:numId w:val="1"/>
        </w:numPr>
        <w:spacing w:after="160" w:line="360" w:lineRule="auto"/>
        <w:jc w:val="both"/>
        <w:rPr>
          <w:rFonts w:ascii="David" w:hAnsi="David" w:cs="David"/>
          <w:rtl/>
        </w:rPr>
      </w:pPr>
      <w:r w:rsidRPr="00D510B4">
        <w:rPr>
          <w:rFonts w:ascii="David" w:hAnsi="David" w:cs="David"/>
          <w:rtl/>
        </w:rPr>
        <w:t>אשר על כן, אני משית על הנאשם את העונשים הבאים:</w:t>
      </w:r>
      <w:r w:rsidRPr="00D510B4">
        <w:rPr>
          <w:rFonts w:ascii="David" w:hAnsi="David" w:cs="David"/>
        </w:rPr>
        <w:t xml:space="preserve"> </w:t>
      </w:r>
    </w:p>
    <w:p w14:paraId="767A3A07" w14:textId="77777777" w:rsidR="004221DC" w:rsidRPr="00D510B4" w:rsidRDefault="004221DC" w:rsidP="001D7539">
      <w:pPr>
        <w:pStyle w:val="aa"/>
        <w:rPr>
          <w:rFonts w:ascii="David" w:hAnsi="David" w:cs="David"/>
        </w:rPr>
      </w:pPr>
    </w:p>
    <w:p w14:paraId="4A111694" w14:textId="77777777" w:rsidR="004221DC" w:rsidRPr="00D510B4" w:rsidRDefault="004221DC" w:rsidP="00D510B4">
      <w:pPr>
        <w:pStyle w:val="aa"/>
        <w:numPr>
          <w:ilvl w:val="1"/>
          <w:numId w:val="1"/>
        </w:numPr>
        <w:spacing w:after="160" w:line="360" w:lineRule="auto"/>
        <w:jc w:val="both"/>
        <w:rPr>
          <w:rFonts w:ascii="David" w:hAnsi="David" w:cs="David"/>
          <w:rtl/>
        </w:rPr>
      </w:pPr>
      <w:r w:rsidRPr="00D510B4">
        <w:rPr>
          <w:rFonts w:ascii="David" w:hAnsi="David" w:cs="David"/>
          <w:b/>
          <w:bCs/>
          <w:rtl/>
        </w:rPr>
        <w:t>שירות לתועלת הציבור</w:t>
      </w:r>
      <w:r w:rsidRPr="00D510B4">
        <w:rPr>
          <w:rFonts w:ascii="David" w:hAnsi="David" w:cs="David"/>
          <w:rtl/>
        </w:rPr>
        <w:t xml:space="preserve"> - הנאשם יבצע של"צ בהיקף של 300 שעות וזאת בהתאם לתכנית אשר תוגש לאישור בית המשפט בתוך 30 יום. הובהר לנאשם כי הפרת צו השל"צ עלולה לגרום להפקעתו ולדיון מחדש בשאלת העונש. </w:t>
      </w:r>
    </w:p>
    <w:p w14:paraId="0C9C054F" w14:textId="77777777" w:rsidR="004221DC" w:rsidRPr="00D510B4" w:rsidRDefault="004221DC" w:rsidP="00D510B4">
      <w:pPr>
        <w:pStyle w:val="aa"/>
        <w:spacing w:after="160" w:line="360" w:lineRule="auto"/>
        <w:ind w:left="927"/>
        <w:jc w:val="both"/>
        <w:rPr>
          <w:rFonts w:ascii="David" w:hAnsi="David" w:cs="David"/>
        </w:rPr>
      </w:pPr>
    </w:p>
    <w:p w14:paraId="58845D7F" w14:textId="77777777" w:rsidR="004221DC" w:rsidRPr="00D510B4" w:rsidRDefault="004221DC" w:rsidP="00D510B4">
      <w:pPr>
        <w:pStyle w:val="aa"/>
        <w:numPr>
          <w:ilvl w:val="1"/>
          <w:numId w:val="1"/>
        </w:numPr>
        <w:spacing w:after="160" w:line="360" w:lineRule="auto"/>
        <w:jc w:val="both"/>
        <w:rPr>
          <w:rFonts w:ascii="David" w:hAnsi="David" w:cs="David"/>
        </w:rPr>
      </w:pPr>
      <w:r w:rsidRPr="00D510B4">
        <w:rPr>
          <w:rFonts w:ascii="David" w:hAnsi="David" w:cs="David"/>
          <w:b/>
          <w:bCs/>
          <w:rtl/>
        </w:rPr>
        <w:t>צו מבחן</w:t>
      </w:r>
      <w:r w:rsidRPr="00D510B4">
        <w:rPr>
          <w:rFonts w:ascii="David" w:hAnsi="David" w:cs="David"/>
          <w:rtl/>
        </w:rPr>
        <w:t xml:space="preserve"> </w:t>
      </w:r>
      <w:r w:rsidRPr="00D510B4">
        <w:rPr>
          <w:rFonts w:ascii="David" w:hAnsi="David" w:cs="David"/>
          <w:color w:val="000000"/>
          <w:rtl/>
        </w:rPr>
        <w:t>ניתן</w:t>
      </w:r>
      <w:r>
        <w:rPr>
          <w:rFonts w:ascii="David" w:hAnsi="David" w:cs="David"/>
          <w:color w:val="000000"/>
        </w:rPr>
        <w:t xml:space="preserve"> </w:t>
      </w:r>
      <w:r w:rsidRPr="00D510B4">
        <w:rPr>
          <w:rFonts w:ascii="David" w:hAnsi="David" w:cs="David"/>
          <w:color w:val="000000"/>
          <w:rtl/>
        </w:rPr>
        <w:t>בזה</w:t>
      </w:r>
      <w:r>
        <w:rPr>
          <w:rFonts w:ascii="David" w:hAnsi="David" w:cs="David"/>
          <w:color w:val="000000"/>
        </w:rPr>
        <w:t xml:space="preserve"> </w:t>
      </w:r>
      <w:r w:rsidRPr="00D510B4">
        <w:rPr>
          <w:rFonts w:ascii="David" w:hAnsi="David" w:cs="David"/>
          <w:color w:val="000000"/>
          <w:rtl/>
        </w:rPr>
        <w:t>צו</w:t>
      </w:r>
      <w:r>
        <w:rPr>
          <w:rFonts w:ascii="David" w:hAnsi="David" w:cs="David"/>
          <w:color w:val="000000"/>
        </w:rPr>
        <w:t xml:space="preserve"> </w:t>
      </w:r>
      <w:r w:rsidRPr="00D510B4">
        <w:rPr>
          <w:rFonts w:ascii="David" w:hAnsi="David" w:cs="David"/>
          <w:color w:val="000000"/>
          <w:rtl/>
        </w:rPr>
        <w:t>מבחן</w:t>
      </w:r>
      <w:r>
        <w:rPr>
          <w:rFonts w:ascii="David" w:hAnsi="David" w:cs="David"/>
          <w:color w:val="000000"/>
        </w:rPr>
        <w:t xml:space="preserve"> </w:t>
      </w:r>
      <w:r w:rsidRPr="00D510B4">
        <w:rPr>
          <w:rFonts w:ascii="David" w:hAnsi="David" w:cs="David"/>
          <w:color w:val="000000"/>
          <w:rtl/>
        </w:rPr>
        <w:t>לתקופה</w:t>
      </w:r>
      <w:r>
        <w:rPr>
          <w:rFonts w:ascii="David" w:hAnsi="David" w:cs="David"/>
          <w:color w:val="000000"/>
        </w:rPr>
        <w:t xml:space="preserve"> </w:t>
      </w:r>
      <w:r w:rsidRPr="00D510B4">
        <w:rPr>
          <w:rFonts w:ascii="David" w:hAnsi="David" w:cs="David"/>
          <w:color w:val="000000"/>
          <w:rtl/>
        </w:rPr>
        <w:t>של</w:t>
      </w:r>
      <w:r>
        <w:rPr>
          <w:rFonts w:ascii="David" w:hAnsi="David" w:cs="David"/>
          <w:color w:val="000000"/>
        </w:rPr>
        <w:t xml:space="preserve"> </w:t>
      </w:r>
      <w:r w:rsidRPr="00D510B4">
        <w:rPr>
          <w:rFonts w:ascii="David" w:hAnsi="David" w:cs="David"/>
          <w:color w:val="000000"/>
        </w:rPr>
        <w:t>12</w:t>
      </w:r>
      <w:r>
        <w:rPr>
          <w:rFonts w:ascii="David" w:hAnsi="David" w:cs="David"/>
          <w:color w:val="000000"/>
        </w:rPr>
        <w:t xml:space="preserve"> </w:t>
      </w:r>
      <w:r w:rsidRPr="00D510B4">
        <w:rPr>
          <w:rFonts w:ascii="David" w:hAnsi="David" w:cs="David"/>
          <w:color w:val="000000"/>
          <w:rtl/>
        </w:rPr>
        <w:t>חודשים</w:t>
      </w:r>
      <w:r>
        <w:rPr>
          <w:rFonts w:ascii="David" w:hAnsi="David" w:cs="David"/>
          <w:color w:val="000000"/>
        </w:rPr>
        <w:t xml:space="preserve"> </w:t>
      </w:r>
      <w:r w:rsidRPr="00D510B4">
        <w:rPr>
          <w:rFonts w:ascii="David" w:hAnsi="David" w:cs="David"/>
          <w:color w:val="000000"/>
          <w:rtl/>
        </w:rPr>
        <w:t>כלפי</w:t>
      </w:r>
      <w:r>
        <w:rPr>
          <w:rFonts w:ascii="David" w:hAnsi="David" w:cs="David"/>
          <w:color w:val="000000"/>
        </w:rPr>
        <w:t xml:space="preserve"> </w:t>
      </w:r>
      <w:r w:rsidRPr="00D510B4">
        <w:rPr>
          <w:rFonts w:ascii="David" w:hAnsi="David" w:cs="David"/>
          <w:color w:val="000000"/>
          <w:rtl/>
        </w:rPr>
        <w:t>הנאשם. במהלך התקופה ימשיך  הנאשם בפגישות פרטניות ביחידה להתמכרויות בבית שמש, אחת לשבוע, לצד מסירת בדיקות שתן לצורך תחזוקת ההימנעות משימוש בסם. מובהר</w:t>
      </w:r>
      <w:r>
        <w:rPr>
          <w:rFonts w:ascii="David" w:hAnsi="David" w:cs="David"/>
          <w:color w:val="000000"/>
        </w:rPr>
        <w:t xml:space="preserve"> </w:t>
      </w:r>
      <w:r w:rsidRPr="00D510B4">
        <w:rPr>
          <w:rFonts w:ascii="David" w:hAnsi="David" w:cs="David"/>
          <w:color w:val="000000"/>
          <w:rtl/>
        </w:rPr>
        <w:t>בזאת</w:t>
      </w:r>
      <w:r>
        <w:rPr>
          <w:rFonts w:ascii="David" w:hAnsi="David" w:cs="David"/>
          <w:color w:val="000000"/>
        </w:rPr>
        <w:t xml:space="preserve"> </w:t>
      </w:r>
      <w:r w:rsidRPr="00D510B4">
        <w:rPr>
          <w:rFonts w:ascii="David" w:hAnsi="David" w:cs="David"/>
          <w:color w:val="000000"/>
          <w:rtl/>
        </w:rPr>
        <w:t>לנאשם</w:t>
      </w:r>
      <w:r>
        <w:rPr>
          <w:rFonts w:ascii="David" w:hAnsi="David" w:cs="David"/>
          <w:color w:val="000000"/>
        </w:rPr>
        <w:t xml:space="preserve"> </w:t>
      </w:r>
      <w:r w:rsidRPr="00D510B4">
        <w:rPr>
          <w:rFonts w:ascii="David" w:hAnsi="David" w:cs="David"/>
          <w:color w:val="000000"/>
          <w:rtl/>
        </w:rPr>
        <w:t>כי</w:t>
      </w:r>
      <w:r>
        <w:rPr>
          <w:rFonts w:ascii="David" w:hAnsi="David" w:cs="David"/>
          <w:color w:val="000000"/>
        </w:rPr>
        <w:t xml:space="preserve"> </w:t>
      </w:r>
      <w:r w:rsidRPr="00D510B4">
        <w:rPr>
          <w:rFonts w:ascii="David" w:hAnsi="David" w:cs="David"/>
          <w:color w:val="000000"/>
          <w:rtl/>
        </w:rPr>
        <w:t>באם לא</w:t>
      </w:r>
      <w:r>
        <w:rPr>
          <w:rFonts w:ascii="David" w:hAnsi="David" w:cs="David"/>
          <w:color w:val="000000"/>
        </w:rPr>
        <w:t xml:space="preserve"> </w:t>
      </w:r>
      <w:r w:rsidRPr="00D510B4">
        <w:rPr>
          <w:rFonts w:ascii="David" w:hAnsi="David" w:cs="David"/>
          <w:color w:val="000000"/>
          <w:rtl/>
        </w:rPr>
        <w:t>יקיים</w:t>
      </w:r>
      <w:r>
        <w:rPr>
          <w:rFonts w:ascii="David" w:hAnsi="David" w:cs="David"/>
          <w:color w:val="000000"/>
        </w:rPr>
        <w:t xml:space="preserve"> </w:t>
      </w:r>
      <w:r w:rsidRPr="00D510B4">
        <w:rPr>
          <w:rFonts w:ascii="David" w:hAnsi="David" w:cs="David"/>
          <w:color w:val="000000"/>
          <w:rtl/>
        </w:rPr>
        <w:t>צו</w:t>
      </w:r>
      <w:r>
        <w:rPr>
          <w:rFonts w:ascii="David" w:hAnsi="David" w:cs="David"/>
          <w:color w:val="000000"/>
        </w:rPr>
        <w:t xml:space="preserve"> </w:t>
      </w:r>
      <w:r w:rsidRPr="00D510B4">
        <w:rPr>
          <w:rFonts w:ascii="David" w:hAnsi="David" w:cs="David"/>
          <w:color w:val="000000"/>
          <w:rtl/>
        </w:rPr>
        <w:t>זה, ניתן</w:t>
      </w:r>
      <w:r>
        <w:rPr>
          <w:rFonts w:ascii="David" w:hAnsi="David" w:cs="David"/>
          <w:color w:val="000000"/>
        </w:rPr>
        <w:t xml:space="preserve"> </w:t>
      </w:r>
      <w:r w:rsidRPr="00D510B4">
        <w:rPr>
          <w:rFonts w:ascii="David" w:hAnsi="David" w:cs="David"/>
          <w:color w:val="000000"/>
          <w:rtl/>
        </w:rPr>
        <w:t>יהיה</w:t>
      </w:r>
      <w:r>
        <w:rPr>
          <w:rFonts w:ascii="David" w:hAnsi="David" w:cs="David"/>
          <w:color w:val="000000"/>
        </w:rPr>
        <w:t xml:space="preserve"> </w:t>
      </w:r>
      <w:r w:rsidRPr="00D510B4">
        <w:rPr>
          <w:rFonts w:ascii="David" w:hAnsi="David" w:cs="David"/>
          <w:color w:val="000000"/>
          <w:rtl/>
        </w:rPr>
        <w:t>לחזור</w:t>
      </w:r>
      <w:r>
        <w:rPr>
          <w:rFonts w:ascii="David" w:hAnsi="David" w:cs="David"/>
          <w:color w:val="000000"/>
        </w:rPr>
        <w:t xml:space="preserve"> </w:t>
      </w:r>
      <w:r w:rsidRPr="00D510B4">
        <w:rPr>
          <w:rFonts w:ascii="David" w:hAnsi="David" w:cs="David"/>
          <w:color w:val="000000"/>
          <w:rtl/>
        </w:rPr>
        <w:t>ולדון</w:t>
      </w:r>
      <w:r>
        <w:rPr>
          <w:rFonts w:ascii="David" w:hAnsi="David" w:cs="David"/>
          <w:color w:val="000000"/>
        </w:rPr>
        <w:t xml:space="preserve"> </w:t>
      </w:r>
      <w:r w:rsidRPr="00D510B4">
        <w:rPr>
          <w:rFonts w:ascii="David" w:hAnsi="David" w:cs="David"/>
          <w:color w:val="000000"/>
          <w:rtl/>
        </w:rPr>
        <w:t>מחדש</w:t>
      </w:r>
      <w:r>
        <w:rPr>
          <w:rFonts w:ascii="David" w:hAnsi="David" w:cs="David"/>
          <w:color w:val="000000"/>
        </w:rPr>
        <w:t xml:space="preserve"> </w:t>
      </w:r>
      <w:r w:rsidRPr="00D510B4">
        <w:rPr>
          <w:rFonts w:ascii="David" w:hAnsi="David" w:cs="David"/>
          <w:color w:val="000000"/>
          <w:rtl/>
        </w:rPr>
        <w:t>בשאלת</w:t>
      </w:r>
      <w:r>
        <w:rPr>
          <w:rFonts w:ascii="David" w:hAnsi="David" w:cs="David"/>
          <w:color w:val="000000"/>
        </w:rPr>
        <w:t xml:space="preserve"> </w:t>
      </w:r>
      <w:r w:rsidRPr="00D510B4">
        <w:rPr>
          <w:rFonts w:ascii="David" w:hAnsi="David" w:cs="David"/>
          <w:color w:val="000000"/>
          <w:rtl/>
        </w:rPr>
        <w:t>העונש</w:t>
      </w:r>
      <w:r w:rsidRPr="00D510B4">
        <w:rPr>
          <w:rFonts w:ascii="David" w:hAnsi="David" w:cs="David"/>
          <w:color w:val="000000"/>
        </w:rPr>
        <w:t>.</w:t>
      </w:r>
    </w:p>
    <w:p w14:paraId="6903BB02" w14:textId="77777777" w:rsidR="004221DC" w:rsidRPr="00D510B4" w:rsidRDefault="004221DC" w:rsidP="00D510B4">
      <w:pPr>
        <w:pStyle w:val="aa"/>
        <w:spacing w:after="160" w:line="360" w:lineRule="atLeast"/>
        <w:ind w:left="360"/>
        <w:jc w:val="both"/>
        <w:rPr>
          <w:rFonts w:ascii="David" w:hAnsi="David" w:cs="David"/>
          <w:color w:val="000000"/>
          <w:rtl/>
        </w:rPr>
      </w:pPr>
    </w:p>
    <w:p w14:paraId="4F2A2ED1" w14:textId="77777777" w:rsidR="004221DC" w:rsidRPr="00D510B4" w:rsidRDefault="004221DC" w:rsidP="00D510B4">
      <w:pPr>
        <w:pStyle w:val="aa"/>
        <w:numPr>
          <w:ilvl w:val="1"/>
          <w:numId w:val="1"/>
        </w:numPr>
        <w:spacing w:line="360" w:lineRule="auto"/>
        <w:jc w:val="both"/>
        <w:rPr>
          <w:rFonts w:ascii="David" w:eastAsia="David" w:hAnsi="David" w:cs="David"/>
          <w:rtl/>
          <w:lang w:eastAsia="he-IL"/>
        </w:rPr>
      </w:pPr>
      <w:r w:rsidRPr="00D510B4">
        <w:rPr>
          <w:rFonts w:ascii="David" w:hAnsi="David" w:cs="David"/>
          <w:b/>
          <w:bCs/>
          <w:rtl/>
          <w:lang w:eastAsia="he-IL"/>
        </w:rPr>
        <w:t>מאסר על תנאי</w:t>
      </w:r>
      <w:r w:rsidRPr="00D510B4">
        <w:rPr>
          <w:rFonts w:ascii="David" w:hAnsi="David" w:cs="David"/>
          <w:rtl/>
          <w:lang w:eastAsia="he-IL"/>
        </w:rPr>
        <w:t xml:space="preserve"> - מאסר על תנאי לתקופה של 6 חודשים. הנאשם יישא בעונש זה אם בתקופה של שלוש שנים מהיום יעבור על עבירות סמים מסוג פשע.</w:t>
      </w:r>
    </w:p>
    <w:p w14:paraId="2052E1C4" w14:textId="77777777" w:rsidR="004221DC" w:rsidRPr="00D510B4" w:rsidRDefault="004221DC" w:rsidP="00D510B4">
      <w:pPr>
        <w:spacing w:line="360" w:lineRule="auto"/>
        <w:ind w:left="510"/>
        <w:jc w:val="both"/>
        <w:rPr>
          <w:rFonts w:ascii="David" w:hAnsi="David"/>
          <w:rtl/>
          <w:lang w:eastAsia="he-IL"/>
        </w:rPr>
      </w:pPr>
    </w:p>
    <w:p w14:paraId="26ABEDE0" w14:textId="77777777" w:rsidR="004221DC" w:rsidRPr="00D510B4" w:rsidRDefault="004221DC" w:rsidP="00D510B4">
      <w:pPr>
        <w:pStyle w:val="aa"/>
        <w:numPr>
          <w:ilvl w:val="1"/>
          <w:numId w:val="1"/>
        </w:numPr>
        <w:spacing w:line="360" w:lineRule="auto"/>
        <w:jc w:val="both"/>
        <w:rPr>
          <w:rFonts w:ascii="David" w:hAnsi="David" w:cs="David"/>
          <w:lang w:eastAsia="he-IL"/>
        </w:rPr>
      </w:pPr>
      <w:r w:rsidRPr="00D510B4">
        <w:rPr>
          <w:rFonts w:ascii="David" w:hAnsi="David" w:cs="David"/>
          <w:b/>
          <w:bCs/>
          <w:rtl/>
          <w:lang w:eastAsia="he-IL"/>
        </w:rPr>
        <w:t>מאסר על תנאי</w:t>
      </w:r>
      <w:r w:rsidRPr="00D510B4">
        <w:rPr>
          <w:rFonts w:ascii="David" w:hAnsi="David" w:cs="David"/>
          <w:rtl/>
          <w:lang w:eastAsia="he-IL"/>
        </w:rPr>
        <w:t xml:space="preserve"> - מאסר על תנאי לתקופה של 6 חודשים. הנאשם יישא בעונש זה אם בתקופה של שלוש שנים מהיום יעבור על עבירות אלימות כנגד גוף.  </w:t>
      </w:r>
    </w:p>
    <w:p w14:paraId="2CD183C4" w14:textId="77777777" w:rsidR="004221DC" w:rsidRPr="00D510B4" w:rsidRDefault="004221DC" w:rsidP="00D510B4">
      <w:pPr>
        <w:spacing w:line="360" w:lineRule="auto"/>
        <w:jc w:val="both"/>
        <w:rPr>
          <w:rFonts w:ascii="David" w:hAnsi="David"/>
          <w:rtl/>
          <w:lang w:eastAsia="he-IL"/>
        </w:rPr>
      </w:pPr>
      <w:r w:rsidRPr="00D510B4">
        <w:rPr>
          <w:rFonts w:ascii="David" w:hAnsi="David"/>
          <w:rtl/>
          <w:lang w:eastAsia="he-IL"/>
        </w:rPr>
        <w:t xml:space="preserve"> </w:t>
      </w:r>
    </w:p>
    <w:p w14:paraId="7CB8C46D" w14:textId="77777777" w:rsidR="004221DC" w:rsidRPr="00D510B4" w:rsidRDefault="004221DC" w:rsidP="00D510B4">
      <w:pPr>
        <w:pStyle w:val="aa"/>
        <w:numPr>
          <w:ilvl w:val="1"/>
          <w:numId w:val="1"/>
        </w:numPr>
        <w:spacing w:line="360" w:lineRule="auto"/>
        <w:jc w:val="both"/>
        <w:rPr>
          <w:rFonts w:ascii="David" w:hAnsi="David" w:cs="David"/>
          <w:rtl/>
          <w:lang w:eastAsia="he-IL"/>
        </w:rPr>
      </w:pPr>
      <w:r w:rsidRPr="00D510B4">
        <w:rPr>
          <w:rFonts w:ascii="David" w:hAnsi="David" w:cs="David"/>
          <w:b/>
          <w:bCs/>
          <w:rtl/>
          <w:lang w:eastAsia="he-IL"/>
        </w:rPr>
        <w:t>מאסר על תנאי</w:t>
      </w:r>
      <w:r w:rsidRPr="00D510B4">
        <w:rPr>
          <w:rFonts w:ascii="David" w:hAnsi="David" w:cs="David"/>
          <w:rtl/>
          <w:lang w:eastAsia="he-IL"/>
        </w:rPr>
        <w:t xml:space="preserve"> - מאסר על תנאי לתקופה של 4 חודשים. הנאשם יישא בעונש זה אם בתקופה של שלוש שנים מהיום יעבור על עבירות אלימות כנגד רכוש, עבירת איומים, עבירות סמים מסוג עוון  ועל עבירת הפרת הוראה חוקית.</w:t>
      </w:r>
    </w:p>
    <w:p w14:paraId="57547BB6" w14:textId="77777777" w:rsidR="004221DC" w:rsidRPr="00D510B4" w:rsidRDefault="004221DC" w:rsidP="00D510B4">
      <w:pPr>
        <w:pStyle w:val="aa"/>
        <w:spacing w:line="360" w:lineRule="auto"/>
        <w:ind w:left="927"/>
        <w:jc w:val="both"/>
        <w:rPr>
          <w:rFonts w:ascii="David" w:hAnsi="David" w:cs="David"/>
          <w:lang w:eastAsia="he-IL"/>
        </w:rPr>
      </w:pPr>
    </w:p>
    <w:p w14:paraId="5F1AE788" w14:textId="77777777" w:rsidR="004221DC" w:rsidRPr="00D510B4" w:rsidRDefault="004221DC" w:rsidP="00D510B4">
      <w:pPr>
        <w:pStyle w:val="aa"/>
        <w:numPr>
          <w:ilvl w:val="1"/>
          <w:numId w:val="1"/>
        </w:numPr>
        <w:spacing w:line="360" w:lineRule="auto"/>
        <w:jc w:val="both"/>
        <w:rPr>
          <w:rFonts w:ascii="David" w:hAnsi="David" w:cs="David"/>
          <w:lang w:eastAsia="he-IL"/>
        </w:rPr>
      </w:pPr>
      <w:r w:rsidRPr="00D510B4">
        <w:rPr>
          <w:rFonts w:ascii="David" w:hAnsi="David" w:cs="David"/>
          <w:b/>
          <w:bCs/>
          <w:rtl/>
          <w:lang w:eastAsia="he-IL"/>
        </w:rPr>
        <w:t>מאסר על תנאי</w:t>
      </w:r>
      <w:r w:rsidRPr="00D510B4">
        <w:rPr>
          <w:rFonts w:ascii="David" w:hAnsi="David" w:cs="David"/>
          <w:rtl/>
          <w:lang w:eastAsia="he-IL"/>
        </w:rPr>
        <w:t xml:space="preserve"> - מאסר על תנאי לתקופה של 3 חודשים. הנאשם יישא בעונש זה אם בתקופה של שלוש שנים מהיום יעבור עבירה של נהיגה בזמן פסילה.</w:t>
      </w:r>
    </w:p>
    <w:p w14:paraId="26313442" w14:textId="77777777" w:rsidR="004221DC" w:rsidRPr="00D510B4" w:rsidRDefault="004221DC" w:rsidP="00D510B4">
      <w:pPr>
        <w:spacing w:line="360" w:lineRule="auto"/>
        <w:ind w:left="510"/>
        <w:jc w:val="both"/>
        <w:rPr>
          <w:rFonts w:ascii="David" w:hAnsi="David"/>
          <w:rtl/>
          <w:lang w:eastAsia="he-IL"/>
        </w:rPr>
      </w:pPr>
    </w:p>
    <w:p w14:paraId="48AE9860" w14:textId="77777777" w:rsidR="004221DC" w:rsidRPr="00D510B4" w:rsidRDefault="004221DC" w:rsidP="00D510B4">
      <w:pPr>
        <w:pStyle w:val="aa"/>
        <w:numPr>
          <w:ilvl w:val="1"/>
          <w:numId w:val="1"/>
        </w:numPr>
        <w:spacing w:line="360" w:lineRule="auto"/>
        <w:jc w:val="both"/>
        <w:rPr>
          <w:rFonts w:ascii="David" w:hAnsi="David" w:cs="David"/>
          <w:rtl/>
          <w:lang w:eastAsia="he-IL"/>
        </w:rPr>
      </w:pPr>
      <w:r w:rsidRPr="00D510B4">
        <w:rPr>
          <w:rFonts w:ascii="David" w:hAnsi="David" w:cs="David"/>
          <w:b/>
          <w:bCs/>
          <w:rtl/>
          <w:lang w:eastAsia="he-IL"/>
        </w:rPr>
        <w:t xml:space="preserve">פיצוי </w:t>
      </w:r>
      <w:r w:rsidRPr="00D510B4">
        <w:rPr>
          <w:rFonts w:ascii="David" w:hAnsi="David" w:cs="David"/>
          <w:rtl/>
          <w:lang w:eastAsia="he-IL"/>
        </w:rPr>
        <w:t xml:space="preserve">- </w:t>
      </w:r>
      <w:r w:rsidRPr="00D510B4">
        <w:rPr>
          <w:rFonts w:ascii="David" w:hAnsi="David" w:cs="David"/>
          <w:rtl/>
        </w:rPr>
        <w:t>הנאשם ישלם למתלוננת, נ</w:t>
      </w:r>
      <w:r w:rsidRPr="00D510B4">
        <w:rPr>
          <w:rFonts w:ascii="David" w:hAnsi="David" w:cs="David" w:hint="cs"/>
          <w:rtl/>
        </w:rPr>
        <w:t>.</w:t>
      </w:r>
      <w:r w:rsidRPr="00D510B4">
        <w:rPr>
          <w:rFonts w:ascii="David" w:hAnsi="David" w:cs="David"/>
          <w:rtl/>
        </w:rPr>
        <w:t xml:space="preserve"> ז</w:t>
      </w:r>
      <w:r w:rsidRPr="00D510B4">
        <w:rPr>
          <w:rFonts w:ascii="David" w:hAnsi="David" w:cs="David" w:hint="cs"/>
          <w:rtl/>
        </w:rPr>
        <w:t>.</w:t>
      </w:r>
      <w:r w:rsidRPr="00D510B4">
        <w:rPr>
          <w:rFonts w:ascii="David" w:hAnsi="David" w:cs="David"/>
          <w:rtl/>
        </w:rPr>
        <w:t xml:space="preserve">, פיצוי בסך של 1,000 ש"ח. הפיצוי ישולם החל מיום </w:t>
      </w:r>
      <w:r w:rsidRPr="00D510B4">
        <w:rPr>
          <w:rFonts w:ascii="David" w:hAnsi="David" w:cs="David" w:hint="cs"/>
          <w:rtl/>
        </w:rPr>
        <w:t>1.9.2024</w:t>
      </w:r>
      <w:r w:rsidRPr="00D510B4">
        <w:rPr>
          <w:rFonts w:ascii="David" w:hAnsi="David" w:cs="David"/>
          <w:rtl/>
        </w:rPr>
        <w:t xml:space="preserve"> ב </w:t>
      </w:r>
      <w:r w:rsidRPr="00D510B4">
        <w:rPr>
          <w:rFonts w:ascii="David" w:hAnsi="David" w:cs="David" w:hint="cs"/>
          <w:rtl/>
        </w:rPr>
        <w:t xml:space="preserve">6 </w:t>
      </w:r>
      <w:r w:rsidRPr="00D510B4">
        <w:rPr>
          <w:rFonts w:ascii="David" w:hAnsi="David" w:cs="David"/>
          <w:rtl/>
        </w:rPr>
        <w:t xml:space="preserve"> תשלומים שווים ורצופים בכל </w:t>
      </w:r>
      <w:r w:rsidRPr="00D510B4">
        <w:rPr>
          <w:rFonts w:ascii="David" w:hAnsi="David" w:cs="David" w:hint="cs"/>
          <w:rtl/>
        </w:rPr>
        <w:t>1</w:t>
      </w:r>
      <w:r w:rsidRPr="00D510B4">
        <w:rPr>
          <w:rFonts w:ascii="David" w:hAnsi="David" w:cs="David"/>
          <w:rtl/>
        </w:rPr>
        <w:t xml:space="preserve"> לחודש. התשלום יבוצע לקופת בית המשפט, וממנה יועבר למתלוננת על פי כתובתה</w:t>
      </w:r>
      <w:r w:rsidRPr="00D510B4">
        <w:rPr>
          <w:rFonts w:ascii="David" w:hAnsi="David" w:cs="David"/>
          <w:rtl/>
          <w:lang w:eastAsia="he-IL"/>
        </w:rPr>
        <w:t xml:space="preserve"> שבכתב האישום. המאשימה תגיש לבית המשפט טופס פרטי ניזוק תוך 7 ימים. </w:t>
      </w:r>
    </w:p>
    <w:p w14:paraId="6D1870E4" w14:textId="77777777" w:rsidR="004221DC" w:rsidRPr="00D510B4" w:rsidRDefault="004221DC" w:rsidP="001D7539">
      <w:pPr>
        <w:pStyle w:val="aa"/>
        <w:rPr>
          <w:rFonts w:ascii="David" w:hAnsi="David" w:cs="David"/>
          <w:lang w:eastAsia="he-IL"/>
        </w:rPr>
      </w:pPr>
    </w:p>
    <w:p w14:paraId="5DAFC8BF" w14:textId="77777777" w:rsidR="004221DC" w:rsidRPr="00D510B4" w:rsidRDefault="004221DC" w:rsidP="00D510B4">
      <w:pPr>
        <w:pStyle w:val="aa"/>
        <w:numPr>
          <w:ilvl w:val="1"/>
          <w:numId w:val="1"/>
        </w:numPr>
        <w:spacing w:line="360" w:lineRule="auto"/>
        <w:jc w:val="both"/>
        <w:rPr>
          <w:rFonts w:ascii="David" w:hAnsi="David" w:cs="David"/>
          <w:rtl/>
          <w:lang w:eastAsia="he-IL"/>
        </w:rPr>
      </w:pPr>
      <w:r w:rsidRPr="00D510B4">
        <w:rPr>
          <w:rFonts w:ascii="David" w:hAnsi="David" w:cs="David"/>
          <w:b/>
          <w:bCs/>
          <w:rtl/>
          <w:lang w:eastAsia="he-IL"/>
        </w:rPr>
        <w:t xml:space="preserve">פיצוי </w:t>
      </w:r>
      <w:r w:rsidRPr="00D510B4">
        <w:rPr>
          <w:rFonts w:ascii="David" w:hAnsi="David" w:cs="David"/>
          <w:rtl/>
          <w:lang w:eastAsia="he-IL"/>
        </w:rPr>
        <w:t xml:space="preserve">- </w:t>
      </w:r>
      <w:r w:rsidRPr="00D510B4">
        <w:rPr>
          <w:rFonts w:ascii="David" w:hAnsi="David" w:cs="David"/>
          <w:rtl/>
        </w:rPr>
        <w:t>הנאשם ישלם למתלוננת, א</w:t>
      </w:r>
      <w:r w:rsidRPr="00D510B4">
        <w:rPr>
          <w:rFonts w:ascii="David" w:hAnsi="David" w:cs="David" w:hint="cs"/>
          <w:rtl/>
        </w:rPr>
        <w:t>.</w:t>
      </w:r>
      <w:r w:rsidRPr="00D510B4">
        <w:rPr>
          <w:rFonts w:ascii="David" w:hAnsi="David" w:cs="David"/>
          <w:rtl/>
        </w:rPr>
        <w:t xml:space="preserve"> ב</w:t>
      </w:r>
      <w:r w:rsidRPr="00D510B4">
        <w:rPr>
          <w:rFonts w:ascii="David" w:hAnsi="David" w:cs="David" w:hint="cs"/>
          <w:rtl/>
        </w:rPr>
        <w:t>.</w:t>
      </w:r>
      <w:r w:rsidRPr="00D510B4">
        <w:rPr>
          <w:rFonts w:ascii="David" w:hAnsi="David" w:cs="David"/>
          <w:rtl/>
        </w:rPr>
        <w:t xml:space="preserve">, פיצוי בסך של 2,000 ש"ח. הפיצוי ישולם החל מיום </w:t>
      </w:r>
      <w:r w:rsidRPr="00D510B4">
        <w:rPr>
          <w:rFonts w:ascii="David" w:hAnsi="David" w:cs="David" w:hint="cs"/>
          <w:rtl/>
        </w:rPr>
        <w:t xml:space="preserve">1.9.2024 </w:t>
      </w:r>
      <w:r w:rsidRPr="00D510B4">
        <w:rPr>
          <w:rFonts w:ascii="David" w:hAnsi="David" w:cs="David"/>
          <w:rtl/>
        </w:rPr>
        <w:t xml:space="preserve"> ב </w:t>
      </w:r>
      <w:r w:rsidRPr="00D510B4">
        <w:rPr>
          <w:rFonts w:ascii="David" w:hAnsi="David" w:cs="David" w:hint="cs"/>
          <w:rtl/>
        </w:rPr>
        <w:t>6</w:t>
      </w:r>
      <w:r w:rsidRPr="00D510B4">
        <w:rPr>
          <w:rFonts w:ascii="David" w:hAnsi="David" w:cs="David"/>
          <w:rtl/>
        </w:rPr>
        <w:t xml:space="preserve"> תשלומים שווים ורצופים בכל </w:t>
      </w:r>
      <w:r w:rsidRPr="00D510B4">
        <w:rPr>
          <w:rFonts w:ascii="David" w:hAnsi="David" w:cs="David" w:hint="cs"/>
          <w:rtl/>
        </w:rPr>
        <w:t xml:space="preserve">1 </w:t>
      </w:r>
      <w:r w:rsidRPr="00D510B4">
        <w:rPr>
          <w:rFonts w:ascii="David" w:hAnsi="David" w:cs="David"/>
          <w:rtl/>
        </w:rPr>
        <w:t>לחודש. התשלום יבוצע לקופת בית המשפט, וממנה יועבר למתלוננת על פי כתובתה</w:t>
      </w:r>
      <w:r w:rsidRPr="00D510B4">
        <w:rPr>
          <w:rFonts w:ascii="David" w:hAnsi="David" w:cs="David"/>
          <w:rtl/>
          <w:lang w:eastAsia="he-IL"/>
        </w:rPr>
        <w:t xml:space="preserve"> שבכתב האישום. המאשימה תגיש לבית המשפט טופס פרטי ניזוק תוך 7 ימים. </w:t>
      </w:r>
    </w:p>
    <w:p w14:paraId="3BB53336" w14:textId="77777777" w:rsidR="004221DC" w:rsidRPr="00D510B4" w:rsidRDefault="004221DC" w:rsidP="00D510B4">
      <w:pPr>
        <w:pStyle w:val="aa"/>
        <w:spacing w:line="360" w:lineRule="auto"/>
        <w:ind w:left="927"/>
        <w:jc w:val="both"/>
        <w:rPr>
          <w:rFonts w:ascii="David" w:hAnsi="David" w:cs="David"/>
          <w:rtl/>
          <w:lang w:eastAsia="he-IL"/>
        </w:rPr>
      </w:pPr>
    </w:p>
    <w:p w14:paraId="317A60B5" w14:textId="77777777" w:rsidR="004221DC" w:rsidRPr="00D510B4" w:rsidRDefault="004221DC" w:rsidP="00D510B4">
      <w:pPr>
        <w:pStyle w:val="aa"/>
        <w:numPr>
          <w:ilvl w:val="1"/>
          <w:numId w:val="1"/>
        </w:numPr>
        <w:spacing w:after="160" w:line="360" w:lineRule="auto"/>
        <w:jc w:val="both"/>
        <w:rPr>
          <w:rFonts w:ascii="David" w:hAnsi="David" w:cs="David"/>
          <w:rtl/>
          <w:lang w:eastAsia="he-IL"/>
        </w:rPr>
      </w:pPr>
      <w:r w:rsidRPr="00D510B4">
        <w:rPr>
          <w:rFonts w:ascii="David" w:hAnsi="David" w:cs="David"/>
          <w:b/>
          <w:bCs/>
          <w:rtl/>
          <w:lang w:eastAsia="he-IL"/>
        </w:rPr>
        <w:t>פסילה בפועל</w:t>
      </w:r>
      <w:r w:rsidRPr="00D510B4">
        <w:rPr>
          <w:rFonts w:ascii="David" w:hAnsi="David" w:cs="David"/>
          <w:rtl/>
          <w:lang w:eastAsia="he-IL"/>
        </w:rPr>
        <w:t xml:space="preserve"> - מורה על פסילתו של הנאשם מלקבל או להחזיק רישיון נהיגה למשך  6 חודשים</w:t>
      </w:r>
      <w:r w:rsidRPr="00D510B4">
        <w:rPr>
          <w:rFonts w:ascii="David" w:hAnsi="David" w:cs="David" w:hint="cs"/>
          <w:rtl/>
          <w:lang w:eastAsia="he-IL"/>
        </w:rPr>
        <w:t xml:space="preserve">. הנאשם הצהיר כי אין בידו רישיון להפקדה ומשכך, תחל הפסילה מהיום. המזכירות תנפיק אישור הפקדה בהתאם. </w:t>
      </w:r>
      <w:r w:rsidRPr="00D510B4">
        <w:rPr>
          <w:rFonts w:ascii="David" w:hAnsi="David" w:cs="David"/>
          <w:rtl/>
          <w:lang w:eastAsia="he-IL"/>
        </w:rPr>
        <w:t xml:space="preserve"> </w:t>
      </w:r>
    </w:p>
    <w:p w14:paraId="3EDCBB2C" w14:textId="77777777" w:rsidR="004221DC" w:rsidRPr="00D510B4" w:rsidRDefault="004221DC" w:rsidP="00D510B4">
      <w:pPr>
        <w:spacing w:line="360" w:lineRule="auto"/>
        <w:ind w:left="510"/>
        <w:jc w:val="both"/>
        <w:rPr>
          <w:rFonts w:ascii="David" w:eastAsia="David" w:hAnsi="David"/>
          <w:lang w:eastAsia="he-IL"/>
        </w:rPr>
      </w:pPr>
    </w:p>
    <w:p w14:paraId="35056266" w14:textId="77777777" w:rsidR="004221DC" w:rsidRPr="00D510B4" w:rsidRDefault="004221DC" w:rsidP="00D510B4">
      <w:pPr>
        <w:spacing w:line="360" w:lineRule="auto"/>
        <w:ind w:left="720" w:hanging="210"/>
        <w:rPr>
          <w:rFonts w:ascii="David" w:hAnsi="David"/>
          <w:rtl/>
          <w:lang w:eastAsia="he-IL"/>
        </w:rPr>
      </w:pPr>
      <w:r w:rsidRPr="00D510B4">
        <w:rPr>
          <w:rFonts w:ascii="David" w:hAnsi="David"/>
          <w:rtl/>
          <w:lang w:eastAsia="he-IL"/>
        </w:rPr>
        <w:t>פיקדונות מתיקים קשורים, ככל וקיימים, יושבו למפקידם בהעדר מניעה חוקית לכך.</w:t>
      </w:r>
    </w:p>
    <w:p w14:paraId="2A9CAD9C" w14:textId="77777777" w:rsidR="004221DC" w:rsidRPr="00D510B4" w:rsidRDefault="004221DC" w:rsidP="00D510B4">
      <w:pPr>
        <w:spacing w:line="360" w:lineRule="auto"/>
        <w:ind w:left="510"/>
        <w:jc w:val="both"/>
        <w:rPr>
          <w:rFonts w:ascii="David" w:hAnsi="David"/>
          <w:rtl/>
          <w:lang w:eastAsia="he-IL"/>
        </w:rPr>
      </w:pPr>
    </w:p>
    <w:p w14:paraId="57BD093F" w14:textId="77777777" w:rsidR="004221DC" w:rsidRPr="00D510B4" w:rsidRDefault="004221DC" w:rsidP="00D510B4">
      <w:pPr>
        <w:pStyle w:val="aa"/>
        <w:spacing w:after="160" w:line="360" w:lineRule="auto"/>
        <w:ind w:left="360"/>
        <w:jc w:val="both"/>
        <w:rPr>
          <w:rFonts w:ascii="David" w:hAnsi="David" w:cs="David"/>
          <w:b/>
          <w:bCs/>
          <w:rtl/>
        </w:rPr>
      </w:pPr>
      <w:r w:rsidRPr="00D510B4">
        <w:rPr>
          <w:rFonts w:ascii="David" w:hAnsi="David" w:cs="David"/>
          <w:b/>
          <w:bCs/>
          <w:rtl/>
          <w:lang w:eastAsia="he-IL"/>
        </w:rPr>
        <w:t>זכות ערעור לבית המשפט המחוזי בבאר שבע תוך 45 יום מהיום.</w:t>
      </w:r>
    </w:p>
    <w:p w14:paraId="0A188BFC" w14:textId="77777777" w:rsidR="004221DC" w:rsidRPr="00D510B4" w:rsidRDefault="004221DC" w:rsidP="00D510B4">
      <w:pPr>
        <w:jc w:val="center"/>
        <w:rPr>
          <w:rFonts w:ascii="David" w:hAnsi="David"/>
          <w:u w:val="single"/>
          <w:rtl/>
        </w:rPr>
      </w:pPr>
    </w:p>
    <w:bookmarkEnd w:id="0"/>
    <w:p w14:paraId="6ABEEAB5" w14:textId="77777777" w:rsidR="00D510B4" w:rsidRPr="00B96B00" w:rsidRDefault="00D510B4" w:rsidP="00D510B4">
      <w:pPr>
        <w:rPr>
          <w:rFonts w:ascii="David" w:hAnsi="David"/>
          <w:b/>
          <w:bCs/>
          <w:rtl/>
        </w:rPr>
      </w:pPr>
    </w:p>
    <w:p w14:paraId="393F0961" w14:textId="77777777" w:rsidR="00D510B4" w:rsidRPr="008146F5" w:rsidRDefault="008146F5" w:rsidP="00D510B4">
      <w:pPr>
        <w:rPr>
          <w:rFonts w:ascii="David" w:hAnsi="David"/>
          <w:b/>
          <w:bCs/>
          <w:color w:val="FFFFFF"/>
          <w:sz w:val="2"/>
          <w:szCs w:val="2"/>
          <w:rtl/>
        </w:rPr>
      </w:pPr>
      <w:r w:rsidRPr="008146F5">
        <w:rPr>
          <w:rFonts w:ascii="David" w:hAnsi="David"/>
          <w:b/>
          <w:bCs/>
          <w:color w:val="FFFFFF"/>
          <w:sz w:val="2"/>
          <w:szCs w:val="2"/>
          <w:rtl/>
        </w:rPr>
        <w:t>5129371</w:t>
      </w:r>
    </w:p>
    <w:p w14:paraId="4257B018" w14:textId="77777777" w:rsidR="00D510B4" w:rsidRPr="008146F5" w:rsidRDefault="008146F5" w:rsidP="00D510B4">
      <w:pPr>
        <w:rPr>
          <w:rFonts w:ascii="David" w:hAnsi="David"/>
          <w:b/>
          <w:bCs/>
          <w:color w:val="FFFFFF"/>
          <w:sz w:val="2"/>
          <w:szCs w:val="2"/>
          <w:rtl/>
        </w:rPr>
      </w:pPr>
      <w:r w:rsidRPr="008146F5">
        <w:rPr>
          <w:rFonts w:ascii="David" w:hAnsi="David"/>
          <w:b/>
          <w:bCs/>
          <w:color w:val="FFFFFF"/>
          <w:sz w:val="2"/>
          <w:szCs w:val="2"/>
          <w:rtl/>
        </w:rPr>
        <w:t>54678313</w:t>
      </w:r>
    </w:p>
    <w:p w14:paraId="390B6B1A" w14:textId="77777777" w:rsidR="00D510B4" w:rsidRPr="00B96B00" w:rsidRDefault="00D510B4" w:rsidP="00D510B4">
      <w:pPr>
        <w:rPr>
          <w:rFonts w:ascii="David" w:hAnsi="David"/>
          <w:b/>
          <w:bCs/>
          <w:rtl/>
        </w:rPr>
      </w:pPr>
    </w:p>
    <w:p w14:paraId="06188AE2" w14:textId="77777777" w:rsidR="00D510B4" w:rsidRPr="00B96B00" w:rsidRDefault="008146F5" w:rsidP="00D510B4">
      <w:pPr>
        <w:spacing w:line="360" w:lineRule="auto"/>
        <w:jc w:val="both"/>
        <w:rPr>
          <w:rFonts w:ascii="David" w:hAnsi="David"/>
          <w:b/>
          <w:bCs/>
          <w:rtl/>
        </w:rPr>
      </w:pPr>
      <w:bookmarkStart w:id="8" w:name="Nitan"/>
      <w:r>
        <w:rPr>
          <w:rFonts w:ascii="David" w:hAnsi="David"/>
          <w:b/>
          <w:bCs/>
          <w:rtl/>
        </w:rPr>
        <w:t xml:space="preserve">ניתן היום,  ה' תמוז תשפ"ד, 11 יולי 2024, בנוכחות הצדדים. </w:t>
      </w:r>
      <w:bookmarkEnd w:id="8"/>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r>
      <w:r w:rsidR="00D510B4" w:rsidRPr="00B96B00">
        <w:rPr>
          <w:rFonts w:ascii="David" w:hAnsi="David"/>
          <w:b/>
          <w:bCs/>
          <w:rtl/>
        </w:rPr>
        <w:tab/>
        <w:t xml:space="preserve">         </w:t>
      </w:r>
    </w:p>
    <w:p w14:paraId="7694A9AF" w14:textId="77777777" w:rsidR="00D510B4" w:rsidRPr="00B96B00" w:rsidRDefault="00D510B4" w:rsidP="008146F5">
      <w:pPr>
        <w:jc w:val="center"/>
      </w:pPr>
      <w:r w:rsidRPr="00B96B00">
        <w:rPr>
          <w:rFonts w:ascii="David" w:hAnsi="David"/>
          <w:b/>
          <w:bCs/>
          <w:rtl/>
        </w:rPr>
        <w:t xml:space="preserve">   </w:t>
      </w:r>
      <w:r w:rsidRPr="00B96B00">
        <w:rPr>
          <w:rFonts w:ascii="David" w:hAnsi="David"/>
          <w:b/>
          <w:bCs/>
          <w:rtl/>
        </w:rPr>
        <w:tab/>
      </w:r>
      <w:r w:rsidRPr="00B96B00">
        <w:rPr>
          <w:rFonts w:ascii="David" w:hAnsi="David"/>
          <w:b/>
          <w:bCs/>
          <w:rtl/>
        </w:rPr>
        <w:tab/>
      </w:r>
      <w:r w:rsidRPr="00B96B00">
        <w:rPr>
          <w:rFonts w:ascii="David" w:hAnsi="David"/>
          <w:b/>
          <w:bCs/>
          <w:rtl/>
        </w:rPr>
        <w:tab/>
      </w:r>
      <w:r w:rsidRPr="00B96B00">
        <w:rPr>
          <w:rFonts w:ascii="David" w:hAnsi="David"/>
          <w:b/>
          <w:bCs/>
          <w:rtl/>
        </w:rPr>
        <w:tab/>
      </w:r>
      <w:r w:rsidRPr="00B96B00">
        <w:rPr>
          <w:rFonts w:ascii="David" w:hAnsi="David"/>
          <w:b/>
          <w:bCs/>
          <w:rtl/>
        </w:rPr>
        <w:tab/>
      </w:r>
    </w:p>
    <w:p w14:paraId="403E9782" w14:textId="77777777" w:rsidR="00D510B4" w:rsidRPr="004221DC" w:rsidRDefault="004221DC" w:rsidP="00D510B4">
      <w:pPr>
        <w:jc w:val="center"/>
        <w:rPr>
          <w:rFonts w:ascii="David" w:hAnsi="David"/>
          <w:b/>
          <w:bCs/>
          <w:color w:val="FFFFFF"/>
          <w:sz w:val="2"/>
          <w:szCs w:val="2"/>
          <w:rtl/>
        </w:rPr>
      </w:pPr>
      <w:r w:rsidRPr="004221DC">
        <w:rPr>
          <w:rFonts w:ascii="David" w:hAnsi="David"/>
          <w:b/>
          <w:bCs/>
          <w:color w:val="FFFFFF"/>
          <w:sz w:val="2"/>
          <w:szCs w:val="2"/>
          <w:rtl/>
        </w:rPr>
        <w:t>5129371</w:t>
      </w:r>
    </w:p>
    <w:p w14:paraId="3C4736A9" w14:textId="77777777" w:rsidR="008146F5" w:rsidRPr="004221DC" w:rsidRDefault="004221DC" w:rsidP="004221DC">
      <w:pPr>
        <w:keepNext/>
        <w:rPr>
          <w:rFonts w:ascii="David" w:hAnsi="David" w:hint="cs"/>
          <w:color w:val="FFFFFF"/>
          <w:sz w:val="2"/>
          <w:szCs w:val="2"/>
          <w:rtl/>
        </w:rPr>
      </w:pPr>
      <w:r w:rsidRPr="004221DC">
        <w:rPr>
          <w:rFonts w:ascii="David" w:hAnsi="David"/>
          <w:color w:val="FFFFFF"/>
          <w:sz w:val="2"/>
          <w:szCs w:val="2"/>
          <w:rtl/>
        </w:rPr>
        <w:t>54678313</w:t>
      </w:r>
    </w:p>
    <w:p w14:paraId="1308C278" w14:textId="77777777" w:rsidR="008146F5" w:rsidRDefault="008146F5" w:rsidP="008146F5">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52193D99" w14:textId="77777777" w:rsidR="004221DC" w:rsidRPr="004221DC" w:rsidRDefault="004221DC" w:rsidP="004221DC">
      <w:pPr>
        <w:keepNext/>
        <w:rPr>
          <w:rFonts w:ascii="David" w:hAnsi="David"/>
          <w:color w:val="000000"/>
          <w:sz w:val="22"/>
          <w:szCs w:val="22"/>
          <w:rtl/>
        </w:rPr>
      </w:pPr>
    </w:p>
    <w:p w14:paraId="2D5D05C7" w14:textId="77777777" w:rsidR="004221DC" w:rsidRPr="004221DC" w:rsidRDefault="004221DC" w:rsidP="004221DC">
      <w:pPr>
        <w:keepNext/>
        <w:rPr>
          <w:rFonts w:ascii="David" w:hAnsi="David"/>
          <w:color w:val="000000"/>
          <w:sz w:val="22"/>
          <w:szCs w:val="22"/>
          <w:rtl/>
        </w:rPr>
      </w:pPr>
      <w:r w:rsidRPr="004221DC">
        <w:rPr>
          <w:rFonts w:ascii="David" w:hAnsi="David"/>
          <w:color w:val="000000"/>
          <w:sz w:val="22"/>
          <w:szCs w:val="22"/>
          <w:rtl/>
        </w:rPr>
        <w:t>גיל אדלמן 54678313-/</w:t>
      </w:r>
    </w:p>
    <w:p w14:paraId="64B36C0C" w14:textId="77777777" w:rsidR="008146F5" w:rsidRPr="008146F5" w:rsidRDefault="004221DC" w:rsidP="004221DC">
      <w:pPr>
        <w:rPr>
          <w:color w:val="0000FF"/>
          <w:u w:val="single"/>
        </w:rPr>
      </w:pPr>
      <w:r w:rsidRPr="004221DC">
        <w:rPr>
          <w:color w:val="000000"/>
          <w:u w:val="single"/>
          <w:rtl/>
        </w:rPr>
        <w:t>נוסח מסמך זה כפוף לשינויי ניסוח ועריכה</w:t>
      </w:r>
    </w:p>
    <w:sectPr w:rsidR="008146F5" w:rsidRPr="008146F5" w:rsidSect="004221DC">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4BD59" w14:textId="77777777" w:rsidR="00AD67C4" w:rsidRDefault="00AD67C4" w:rsidP="00E13852">
      <w:r>
        <w:separator/>
      </w:r>
    </w:p>
  </w:endnote>
  <w:endnote w:type="continuationSeparator" w:id="0">
    <w:p w14:paraId="20967CE8" w14:textId="77777777" w:rsidR="00AD67C4" w:rsidRDefault="00AD67C4" w:rsidP="00E13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1ED50" w14:textId="77777777" w:rsidR="004221DC" w:rsidRDefault="004221DC" w:rsidP="004221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49F18D" w14:textId="77777777" w:rsidR="001D7539" w:rsidRPr="004221DC" w:rsidRDefault="004221DC" w:rsidP="004221DC">
    <w:pPr>
      <w:pStyle w:val="a5"/>
      <w:pBdr>
        <w:top w:val="single" w:sz="4" w:space="1" w:color="auto"/>
        <w:between w:val="single" w:sz="4" w:space="0" w:color="auto"/>
      </w:pBdr>
      <w:spacing w:after="60"/>
      <w:jc w:val="center"/>
      <w:rPr>
        <w:rFonts w:ascii="FrankRuehl" w:hAnsi="FrankRuehl" w:cs="FrankRuehl"/>
        <w:color w:val="000000"/>
      </w:rPr>
    </w:pPr>
    <w:r w:rsidRPr="004221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58DD7" w14:textId="77777777" w:rsidR="004221DC" w:rsidRDefault="004221DC" w:rsidP="004221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6C4F">
      <w:rPr>
        <w:rFonts w:ascii="FrankRuehl" w:hAnsi="FrankRuehl" w:cs="FrankRuehl"/>
        <w:noProof/>
        <w:rtl/>
      </w:rPr>
      <w:t>1</w:t>
    </w:r>
    <w:r>
      <w:rPr>
        <w:rFonts w:ascii="FrankRuehl" w:hAnsi="FrankRuehl" w:cs="FrankRuehl"/>
        <w:rtl/>
      </w:rPr>
      <w:fldChar w:fldCharType="end"/>
    </w:r>
  </w:p>
  <w:p w14:paraId="78FF4792" w14:textId="77777777" w:rsidR="001D7539" w:rsidRPr="004221DC" w:rsidRDefault="004221DC" w:rsidP="004221DC">
    <w:pPr>
      <w:pStyle w:val="a5"/>
      <w:pBdr>
        <w:top w:val="single" w:sz="4" w:space="1" w:color="auto"/>
        <w:between w:val="single" w:sz="4" w:space="0" w:color="auto"/>
      </w:pBdr>
      <w:spacing w:after="60"/>
      <w:jc w:val="center"/>
      <w:rPr>
        <w:rFonts w:ascii="FrankRuehl" w:hAnsi="FrankRuehl" w:cs="FrankRuehl"/>
        <w:color w:val="000000"/>
      </w:rPr>
    </w:pPr>
    <w:r w:rsidRPr="004221DC">
      <w:rPr>
        <w:rFonts w:ascii="FrankRuehl" w:hAnsi="FrankRuehl" w:cs="FrankRuehl"/>
        <w:color w:val="000000"/>
      </w:rPr>
      <w:pict w14:anchorId="2EC58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B9780" w14:textId="77777777" w:rsidR="00AD67C4" w:rsidRDefault="00AD67C4" w:rsidP="00E13852">
      <w:r>
        <w:separator/>
      </w:r>
    </w:p>
  </w:footnote>
  <w:footnote w:type="continuationSeparator" w:id="0">
    <w:p w14:paraId="0C365554" w14:textId="77777777" w:rsidR="00AD67C4" w:rsidRDefault="00AD67C4" w:rsidP="00E13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D9E62" w14:textId="77777777" w:rsidR="008146F5" w:rsidRPr="004221DC" w:rsidRDefault="004221DC" w:rsidP="004221D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986-06-21</w:t>
    </w:r>
    <w:r>
      <w:rPr>
        <w:rFonts w:ascii="David" w:hAnsi="David"/>
        <w:color w:val="000000"/>
        <w:sz w:val="22"/>
        <w:szCs w:val="22"/>
        <w:rtl/>
      </w:rPr>
      <w:tab/>
      <w:t xml:space="preserve"> מדינת ישראל נ' מיכאל אמשיקשוילי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8953" w14:textId="77777777" w:rsidR="008146F5" w:rsidRPr="004221DC" w:rsidRDefault="004221DC" w:rsidP="004221D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986-06-21</w:t>
    </w:r>
    <w:r>
      <w:rPr>
        <w:rFonts w:ascii="David" w:hAnsi="David"/>
        <w:color w:val="000000"/>
        <w:sz w:val="22"/>
        <w:szCs w:val="22"/>
        <w:rtl/>
      </w:rPr>
      <w:tab/>
      <w:t xml:space="preserve"> מדינת ישראל נ' מיכאל אמשיקשוילי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5FFA"/>
    <w:multiLevelType w:val="hybridMultilevel"/>
    <w:tmpl w:val="D4AC606C"/>
    <w:lvl w:ilvl="0" w:tplc="469C3544">
      <w:start w:val="1"/>
      <w:numFmt w:val="decimal"/>
      <w:lvlText w:val="%1."/>
      <w:lvlJc w:val="left"/>
      <w:pPr>
        <w:ind w:left="360" w:hanging="360"/>
      </w:pPr>
      <w:rPr>
        <w:rFonts w:ascii="David" w:hAnsi="David" w:cs="David" w:hint="default"/>
        <w:b w:val="0"/>
        <w:bCs w:val="0"/>
        <w:color w:val="auto"/>
        <w:sz w:val="24"/>
        <w:szCs w:val="24"/>
      </w:rPr>
    </w:lvl>
    <w:lvl w:ilvl="1" w:tplc="E3C8233C">
      <w:start w:val="1"/>
      <w:numFmt w:val="hebrew1"/>
      <w:lvlText w:val="%2."/>
      <w:lvlJc w:val="center"/>
      <w:pPr>
        <w:ind w:left="927" w:hanging="360"/>
      </w:pPr>
      <w:rPr>
        <w:b w:val="0"/>
        <w:bCs w:val="0"/>
      </w:rPr>
    </w:lvl>
    <w:lvl w:ilvl="2" w:tplc="3D4C098E">
      <w:start w:val="1"/>
      <w:numFmt w:val="lowerRoman"/>
      <w:lvlText w:val="%3."/>
      <w:lvlJc w:val="right"/>
      <w:pPr>
        <w:ind w:left="1800" w:hanging="180"/>
      </w:pPr>
    </w:lvl>
    <w:lvl w:ilvl="3" w:tplc="E4F07F3C">
      <w:start w:val="1"/>
      <w:numFmt w:val="decimal"/>
      <w:lvlText w:val="%4."/>
      <w:lvlJc w:val="left"/>
      <w:pPr>
        <w:ind w:left="2520" w:hanging="360"/>
      </w:pPr>
    </w:lvl>
    <w:lvl w:ilvl="4" w:tplc="B80669D6">
      <w:start w:val="1"/>
      <w:numFmt w:val="lowerLetter"/>
      <w:lvlText w:val="%5."/>
      <w:lvlJc w:val="left"/>
      <w:pPr>
        <w:ind w:left="3240" w:hanging="360"/>
      </w:pPr>
    </w:lvl>
    <w:lvl w:ilvl="5" w:tplc="D7D251EC">
      <w:start w:val="1"/>
      <w:numFmt w:val="lowerRoman"/>
      <w:lvlText w:val="%6."/>
      <w:lvlJc w:val="right"/>
      <w:pPr>
        <w:ind w:left="3960" w:hanging="180"/>
      </w:pPr>
    </w:lvl>
    <w:lvl w:ilvl="6" w:tplc="5FC6CD34">
      <w:start w:val="1"/>
      <w:numFmt w:val="decimal"/>
      <w:lvlText w:val="%7."/>
      <w:lvlJc w:val="left"/>
      <w:pPr>
        <w:ind w:left="4680" w:hanging="360"/>
      </w:pPr>
    </w:lvl>
    <w:lvl w:ilvl="7" w:tplc="EB16690A">
      <w:start w:val="1"/>
      <w:numFmt w:val="lowerLetter"/>
      <w:lvlText w:val="%8."/>
      <w:lvlJc w:val="left"/>
      <w:pPr>
        <w:ind w:left="5400" w:hanging="360"/>
      </w:pPr>
    </w:lvl>
    <w:lvl w:ilvl="8" w:tplc="3E304A10">
      <w:start w:val="1"/>
      <w:numFmt w:val="lowerRoman"/>
      <w:lvlText w:val="%9."/>
      <w:lvlJc w:val="right"/>
      <w:pPr>
        <w:ind w:left="6120" w:hanging="180"/>
      </w:pPr>
    </w:lvl>
  </w:abstractNum>
  <w:num w:numId="1" w16cid:durableId="840118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10B4"/>
    <w:rsid w:val="0005491B"/>
    <w:rsid w:val="001B5A3B"/>
    <w:rsid w:val="001D7539"/>
    <w:rsid w:val="004221DC"/>
    <w:rsid w:val="00456C4F"/>
    <w:rsid w:val="00491C78"/>
    <w:rsid w:val="007B289C"/>
    <w:rsid w:val="007B6C91"/>
    <w:rsid w:val="008146F5"/>
    <w:rsid w:val="00893DA7"/>
    <w:rsid w:val="00AD67C4"/>
    <w:rsid w:val="00B438C5"/>
    <w:rsid w:val="00B609BD"/>
    <w:rsid w:val="00CC2D04"/>
    <w:rsid w:val="00CE233A"/>
    <w:rsid w:val="00D510B4"/>
    <w:rsid w:val="00E138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D30658"/>
  <w15:chartTrackingRefBased/>
  <w15:docId w15:val="{22465EF2-C383-49A9-80C1-1D1A2C75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10B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10B4"/>
    <w:pPr>
      <w:tabs>
        <w:tab w:val="center" w:pos="4153"/>
        <w:tab w:val="right" w:pos="8306"/>
      </w:tabs>
    </w:pPr>
  </w:style>
  <w:style w:type="character" w:customStyle="1" w:styleId="a4">
    <w:name w:val="כותרת עליונה תו"/>
    <w:link w:val="a3"/>
    <w:rsid w:val="00D510B4"/>
    <w:rPr>
      <w:rFonts w:ascii="Times New Roman" w:eastAsia="Times New Roman" w:hAnsi="Times New Roman" w:cs="David"/>
      <w:sz w:val="24"/>
      <w:szCs w:val="24"/>
    </w:rPr>
  </w:style>
  <w:style w:type="paragraph" w:styleId="a5">
    <w:name w:val="footer"/>
    <w:basedOn w:val="a"/>
    <w:link w:val="a6"/>
    <w:rsid w:val="00D510B4"/>
    <w:pPr>
      <w:tabs>
        <w:tab w:val="center" w:pos="4153"/>
        <w:tab w:val="right" w:pos="8306"/>
      </w:tabs>
    </w:pPr>
  </w:style>
  <w:style w:type="character" w:customStyle="1" w:styleId="a6">
    <w:name w:val="כותרת תחתונה תו"/>
    <w:link w:val="a5"/>
    <w:rsid w:val="00D510B4"/>
    <w:rPr>
      <w:rFonts w:ascii="Times New Roman" w:eastAsia="Times New Roman" w:hAnsi="Times New Roman" w:cs="David"/>
      <w:sz w:val="24"/>
      <w:szCs w:val="24"/>
    </w:rPr>
  </w:style>
  <w:style w:type="table" w:styleId="a7">
    <w:name w:val="Table Grid"/>
    <w:basedOn w:val="a1"/>
    <w:rsid w:val="00D510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10B4"/>
  </w:style>
  <w:style w:type="character" w:styleId="Hyperlink">
    <w:name w:val="Hyperlink"/>
    <w:rsid w:val="00D510B4"/>
    <w:rPr>
      <w:color w:val="0000FF"/>
      <w:u w:val="single"/>
    </w:rPr>
  </w:style>
  <w:style w:type="character" w:customStyle="1" w:styleId="a9">
    <w:name w:val="פיסקת רשימה תו"/>
    <w:link w:val="aa"/>
    <w:locked/>
    <w:rsid w:val="00D510B4"/>
    <w:rPr>
      <w:sz w:val="24"/>
      <w:szCs w:val="24"/>
    </w:rPr>
  </w:style>
  <w:style w:type="paragraph" w:styleId="aa">
    <w:name w:val="List Paragraph"/>
    <w:basedOn w:val="a"/>
    <w:link w:val="a9"/>
    <w:qFormat/>
    <w:rsid w:val="00D510B4"/>
    <w:pPr>
      <w:ind w:left="720"/>
      <w:contextualSpacing/>
    </w:pPr>
    <w:rPr>
      <w:rFonts w:ascii="Calibri" w:eastAsia="Calibri" w:hAnsi="Calibri" w:cs="Arial"/>
    </w:rPr>
  </w:style>
  <w:style w:type="paragraph" w:customStyle="1" w:styleId="David">
    <w:name w:val="סגנון (עברית ושפות אחרות) David מיושר לשני הצדדים מרווח בין שורות..."/>
    <w:basedOn w:val="a"/>
    <w:rsid w:val="00D510B4"/>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 TargetMode="External"/><Relationship Id="rId21" Type="http://schemas.openxmlformats.org/officeDocument/2006/relationships/hyperlink" Target="http://www.nevo.co.il/law/5227/2" TargetMode="External"/><Relationship Id="rId42" Type="http://schemas.openxmlformats.org/officeDocument/2006/relationships/hyperlink" Target="http://www.nevo.co.il/law/74501" TargetMode="External"/><Relationship Id="rId47" Type="http://schemas.openxmlformats.org/officeDocument/2006/relationships/hyperlink" Target="http://www.nevo.co.il/case/28014167" TargetMode="External"/><Relationship Id="rId63" Type="http://schemas.openxmlformats.org/officeDocument/2006/relationships/hyperlink" Target="http://www.nevo.co.il/case/20009419" TargetMode="External"/><Relationship Id="rId68" Type="http://schemas.openxmlformats.org/officeDocument/2006/relationships/hyperlink" Target="http://www.nevo.co.il/case/5601394" TargetMode="External"/><Relationship Id="rId16" Type="http://schemas.openxmlformats.org/officeDocument/2006/relationships/hyperlink" Target="http://www.nevo.co.il/law/70301/287.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4501"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5227/2" TargetMode="External"/><Relationship Id="rId40" Type="http://schemas.openxmlformats.org/officeDocument/2006/relationships/hyperlink" Target="http://www.nevo.co.il/law/5227/67" TargetMode="External"/><Relationship Id="rId45" Type="http://schemas.openxmlformats.org/officeDocument/2006/relationships/hyperlink" Target="http://www.nevo.co.il/case/27607403" TargetMode="External"/><Relationship Id="rId53" Type="http://schemas.openxmlformats.org/officeDocument/2006/relationships/hyperlink" Target="http://www.nevo.co.il/case/18851032" TargetMode="External"/><Relationship Id="rId58" Type="http://schemas.openxmlformats.org/officeDocument/2006/relationships/hyperlink" Target="http://www.nevo.co.il/case/24263098" TargetMode="External"/><Relationship Id="rId66" Type="http://schemas.openxmlformats.org/officeDocument/2006/relationships/hyperlink" Target="http://www.nevo.co.il/case/23129184"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2938500" TargetMode="External"/><Relationship Id="rId19" Type="http://schemas.openxmlformats.org/officeDocument/2006/relationships/hyperlink" Target="http://www.nevo.co.il/law/70301/452"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287.a" TargetMode="External"/><Relationship Id="rId43" Type="http://schemas.openxmlformats.org/officeDocument/2006/relationships/hyperlink" Target="http://www.nevo.co.il/case/22764257" TargetMode="External"/><Relationship Id="rId48" Type="http://schemas.openxmlformats.org/officeDocument/2006/relationships/hyperlink" Target="http://www.nevo.co.il/case/13093721" TargetMode="External"/><Relationship Id="rId56" Type="http://schemas.openxmlformats.org/officeDocument/2006/relationships/hyperlink" Target="http://www.nevo.co.il/case/27815501" TargetMode="External"/><Relationship Id="rId64" Type="http://schemas.openxmlformats.org/officeDocument/2006/relationships/hyperlink" Target="http://www.nevo.co.il/case/21473565" TargetMode="External"/><Relationship Id="rId69" Type="http://schemas.openxmlformats.org/officeDocument/2006/relationships/hyperlink" Target="http://www.nevo.co.il/law/70301/40ja" TargetMode="External"/><Relationship Id="rId77"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9385321"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379" TargetMode="External"/><Relationship Id="rId25" Type="http://schemas.openxmlformats.org/officeDocument/2006/relationships/hyperlink" Target="http://www.nevo.co.il/law/74501/2a"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5227" TargetMode="External"/><Relationship Id="rId46" Type="http://schemas.openxmlformats.org/officeDocument/2006/relationships/hyperlink" Target="http://www.nevo.co.il/case/27666712" TargetMode="External"/><Relationship Id="rId59" Type="http://schemas.openxmlformats.org/officeDocument/2006/relationships/hyperlink" Target="http://www.nevo.co.il/case/27374893" TargetMode="External"/><Relationship Id="rId67" Type="http://schemas.openxmlformats.org/officeDocument/2006/relationships/hyperlink" Target="http://www.nevo.co.il/law/70301/40d" TargetMode="External"/><Relationship Id="rId20" Type="http://schemas.openxmlformats.org/officeDocument/2006/relationships/hyperlink" Target="http://www.nevo.co.il/law/5227" TargetMode="External"/><Relationship Id="rId41" Type="http://schemas.openxmlformats.org/officeDocument/2006/relationships/hyperlink" Target="http://www.nevo.co.il/law/74501/2a" TargetMode="External"/><Relationship Id="rId54" Type="http://schemas.openxmlformats.org/officeDocument/2006/relationships/hyperlink" Target="http://www.nevo.co.il/case/27720202" TargetMode="External"/><Relationship Id="rId62" Type="http://schemas.openxmlformats.org/officeDocument/2006/relationships/hyperlink" Target="http://www.nevo.co.il/law/70301/40d" TargetMode="External"/><Relationship Id="rId70" Type="http://schemas.openxmlformats.org/officeDocument/2006/relationships/hyperlink" Target="http://www.nevo.co.il/law/70301/40d.a"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5227/67"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379" TargetMode="External"/><Relationship Id="rId49" Type="http://schemas.openxmlformats.org/officeDocument/2006/relationships/hyperlink" Target="http://www.nevo.co.il/case/26329701" TargetMode="External"/><Relationship Id="rId57" Type="http://schemas.openxmlformats.org/officeDocument/2006/relationships/hyperlink" Target="http://www.nevo.co.il/case/25496997"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7.a.;7.c" TargetMode="External"/><Relationship Id="rId44" Type="http://schemas.openxmlformats.org/officeDocument/2006/relationships/hyperlink" Target="http://www.nevo.co.il/case/22719187" TargetMode="External"/><Relationship Id="rId52" Type="http://schemas.openxmlformats.org/officeDocument/2006/relationships/hyperlink" Target="http://www.nevo.co.il/case/26427342" TargetMode="External"/><Relationship Id="rId60" Type="http://schemas.openxmlformats.org/officeDocument/2006/relationships/hyperlink" Target="http://www.nevo.co.il/law/70301/40d" TargetMode="External"/><Relationship Id="rId65" Type="http://schemas.openxmlformats.org/officeDocument/2006/relationships/hyperlink" Target="http://www.nevo.co.il/case/21476337"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5227/10a" TargetMode="External"/><Relationship Id="rId34" Type="http://schemas.openxmlformats.org/officeDocument/2006/relationships/hyperlink" Target="http://www.nevo.co.il/law/70301/452" TargetMode="External"/><Relationship Id="rId50" Type="http://schemas.openxmlformats.org/officeDocument/2006/relationships/hyperlink" Target="http://www.nevo.co.il/case/28196244" TargetMode="External"/><Relationship Id="rId55" Type="http://schemas.openxmlformats.org/officeDocument/2006/relationships/hyperlink" Target="http://www.nevo.co.il/case/27274743"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4763</Words>
  <Characters>23820</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28526</CharactersWithSpaces>
  <SharedDoc>false</SharedDoc>
  <HLinks>
    <vt:vector size="390" baseType="variant">
      <vt:variant>
        <vt:i4>393283</vt:i4>
      </vt:variant>
      <vt:variant>
        <vt:i4>195</vt:i4>
      </vt:variant>
      <vt:variant>
        <vt:i4>0</vt:i4>
      </vt:variant>
      <vt:variant>
        <vt:i4>5</vt:i4>
      </vt:variant>
      <vt:variant>
        <vt:lpwstr>http://www.nevo.co.il/advertisements/nevo-100.doc</vt:lpwstr>
      </vt:variant>
      <vt:variant>
        <vt:lpwstr/>
      </vt:variant>
      <vt:variant>
        <vt:i4>4915205</vt:i4>
      </vt:variant>
      <vt:variant>
        <vt:i4>192</vt:i4>
      </vt:variant>
      <vt:variant>
        <vt:i4>0</vt:i4>
      </vt:variant>
      <vt:variant>
        <vt:i4>5</vt:i4>
      </vt:variant>
      <vt:variant>
        <vt:lpwstr>http://www.nevo.co.il/law/70301/40d.a</vt:lpwstr>
      </vt:variant>
      <vt:variant>
        <vt:lpwstr/>
      </vt:variant>
      <vt:variant>
        <vt:i4>262155</vt:i4>
      </vt:variant>
      <vt:variant>
        <vt:i4>189</vt:i4>
      </vt:variant>
      <vt:variant>
        <vt:i4>0</vt:i4>
      </vt:variant>
      <vt:variant>
        <vt:i4>5</vt:i4>
      </vt:variant>
      <vt:variant>
        <vt:lpwstr>http://www.nevo.co.il/law/70301/40ja</vt:lpwstr>
      </vt:variant>
      <vt:variant>
        <vt:lpwstr/>
      </vt:variant>
      <vt:variant>
        <vt:i4>3276922</vt:i4>
      </vt:variant>
      <vt:variant>
        <vt:i4>186</vt:i4>
      </vt:variant>
      <vt:variant>
        <vt:i4>0</vt:i4>
      </vt:variant>
      <vt:variant>
        <vt:i4>5</vt:i4>
      </vt:variant>
      <vt:variant>
        <vt:lpwstr>http://www.nevo.co.il/case/5601394</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3276916</vt:i4>
      </vt:variant>
      <vt:variant>
        <vt:i4>180</vt:i4>
      </vt:variant>
      <vt:variant>
        <vt:i4>0</vt:i4>
      </vt:variant>
      <vt:variant>
        <vt:i4>5</vt:i4>
      </vt:variant>
      <vt:variant>
        <vt:lpwstr>http://www.nevo.co.il/case/23129184</vt:lpwstr>
      </vt:variant>
      <vt:variant>
        <vt:lpwstr/>
      </vt:variant>
      <vt:variant>
        <vt:i4>3342449</vt:i4>
      </vt:variant>
      <vt:variant>
        <vt:i4>177</vt:i4>
      </vt:variant>
      <vt:variant>
        <vt:i4>0</vt:i4>
      </vt:variant>
      <vt:variant>
        <vt:i4>5</vt:i4>
      </vt:variant>
      <vt:variant>
        <vt:lpwstr>http://www.nevo.co.il/case/21476337</vt:lpwstr>
      </vt:variant>
      <vt:variant>
        <vt:lpwstr/>
      </vt:variant>
      <vt:variant>
        <vt:i4>3342455</vt:i4>
      </vt:variant>
      <vt:variant>
        <vt:i4>174</vt:i4>
      </vt:variant>
      <vt:variant>
        <vt:i4>0</vt:i4>
      </vt:variant>
      <vt:variant>
        <vt:i4>5</vt:i4>
      </vt:variant>
      <vt:variant>
        <vt:lpwstr>http://www.nevo.co.il/case/21473565</vt:lpwstr>
      </vt:variant>
      <vt:variant>
        <vt:lpwstr/>
      </vt:variant>
      <vt:variant>
        <vt:i4>3801200</vt:i4>
      </vt:variant>
      <vt:variant>
        <vt:i4>171</vt:i4>
      </vt:variant>
      <vt:variant>
        <vt:i4>0</vt:i4>
      </vt:variant>
      <vt:variant>
        <vt:i4>5</vt:i4>
      </vt:variant>
      <vt:variant>
        <vt:lpwstr>http://www.nevo.co.il/case/20009419</vt:lpwstr>
      </vt:variant>
      <vt:variant>
        <vt:lpwstr/>
      </vt:variant>
      <vt:variant>
        <vt:i4>6619233</vt:i4>
      </vt:variant>
      <vt:variant>
        <vt:i4>168</vt:i4>
      </vt:variant>
      <vt:variant>
        <vt:i4>0</vt:i4>
      </vt:variant>
      <vt:variant>
        <vt:i4>5</vt:i4>
      </vt:variant>
      <vt:variant>
        <vt:lpwstr>http://www.nevo.co.il/law/70301/40d</vt:lpwstr>
      </vt:variant>
      <vt:variant>
        <vt:lpwstr/>
      </vt:variant>
      <vt:variant>
        <vt:i4>3342448</vt:i4>
      </vt:variant>
      <vt:variant>
        <vt:i4>165</vt:i4>
      </vt:variant>
      <vt:variant>
        <vt:i4>0</vt:i4>
      </vt:variant>
      <vt:variant>
        <vt:i4>5</vt:i4>
      </vt:variant>
      <vt:variant>
        <vt:lpwstr>http://www.nevo.co.il/case/22938500</vt:lpwstr>
      </vt:variant>
      <vt:variant>
        <vt:lpwstr/>
      </vt:variant>
      <vt:variant>
        <vt:i4>6619233</vt:i4>
      </vt:variant>
      <vt:variant>
        <vt:i4>162</vt:i4>
      </vt:variant>
      <vt:variant>
        <vt:i4>0</vt:i4>
      </vt:variant>
      <vt:variant>
        <vt:i4>5</vt:i4>
      </vt:variant>
      <vt:variant>
        <vt:lpwstr>http://www.nevo.co.il/law/70301/40d</vt:lpwstr>
      </vt:variant>
      <vt:variant>
        <vt:lpwstr/>
      </vt:variant>
      <vt:variant>
        <vt:i4>3932284</vt:i4>
      </vt:variant>
      <vt:variant>
        <vt:i4>156</vt:i4>
      </vt:variant>
      <vt:variant>
        <vt:i4>0</vt:i4>
      </vt:variant>
      <vt:variant>
        <vt:i4>5</vt:i4>
      </vt:variant>
      <vt:variant>
        <vt:lpwstr>http://www.nevo.co.il/case/27374893</vt:lpwstr>
      </vt:variant>
      <vt:variant>
        <vt:lpwstr/>
      </vt:variant>
      <vt:variant>
        <vt:i4>3801206</vt:i4>
      </vt:variant>
      <vt:variant>
        <vt:i4>153</vt:i4>
      </vt:variant>
      <vt:variant>
        <vt:i4>0</vt:i4>
      </vt:variant>
      <vt:variant>
        <vt:i4>5</vt:i4>
      </vt:variant>
      <vt:variant>
        <vt:lpwstr>http://www.nevo.co.il/case/24263098</vt:lpwstr>
      </vt:variant>
      <vt:variant>
        <vt:lpwstr/>
      </vt:variant>
      <vt:variant>
        <vt:i4>3735665</vt:i4>
      </vt:variant>
      <vt:variant>
        <vt:i4>150</vt:i4>
      </vt:variant>
      <vt:variant>
        <vt:i4>0</vt:i4>
      </vt:variant>
      <vt:variant>
        <vt:i4>5</vt:i4>
      </vt:variant>
      <vt:variant>
        <vt:lpwstr>http://www.nevo.co.il/case/25496997</vt:lpwstr>
      </vt:variant>
      <vt:variant>
        <vt:lpwstr/>
      </vt:variant>
      <vt:variant>
        <vt:i4>4128887</vt:i4>
      </vt:variant>
      <vt:variant>
        <vt:i4>147</vt:i4>
      </vt:variant>
      <vt:variant>
        <vt:i4>0</vt:i4>
      </vt:variant>
      <vt:variant>
        <vt:i4>5</vt:i4>
      </vt:variant>
      <vt:variant>
        <vt:lpwstr>http://www.nevo.co.il/case/27815501</vt:lpwstr>
      </vt:variant>
      <vt:variant>
        <vt:lpwstr/>
      </vt:variant>
      <vt:variant>
        <vt:i4>3145843</vt:i4>
      </vt:variant>
      <vt:variant>
        <vt:i4>144</vt:i4>
      </vt:variant>
      <vt:variant>
        <vt:i4>0</vt:i4>
      </vt:variant>
      <vt:variant>
        <vt:i4>5</vt:i4>
      </vt:variant>
      <vt:variant>
        <vt:lpwstr>http://www.nevo.co.il/case/27274743</vt:lpwstr>
      </vt:variant>
      <vt:variant>
        <vt:lpwstr/>
      </vt:variant>
      <vt:variant>
        <vt:i4>3473523</vt:i4>
      </vt:variant>
      <vt:variant>
        <vt:i4>141</vt:i4>
      </vt:variant>
      <vt:variant>
        <vt:i4>0</vt:i4>
      </vt:variant>
      <vt:variant>
        <vt:i4>5</vt:i4>
      </vt:variant>
      <vt:variant>
        <vt:lpwstr>http://www.nevo.co.il/case/27720202</vt:lpwstr>
      </vt:variant>
      <vt:variant>
        <vt:lpwstr/>
      </vt:variant>
      <vt:variant>
        <vt:i4>3866745</vt:i4>
      </vt:variant>
      <vt:variant>
        <vt:i4>138</vt:i4>
      </vt:variant>
      <vt:variant>
        <vt:i4>0</vt:i4>
      </vt:variant>
      <vt:variant>
        <vt:i4>5</vt:i4>
      </vt:variant>
      <vt:variant>
        <vt:lpwstr>http://www.nevo.co.il/case/18851032</vt:lpwstr>
      </vt:variant>
      <vt:variant>
        <vt:lpwstr/>
      </vt:variant>
      <vt:variant>
        <vt:i4>3473523</vt:i4>
      </vt:variant>
      <vt:variant>
        <vt:i4>135</vt:i4>
      </vt:variant>
      <vt:variant>
        <vt:i4>0</vt:i4>
      </vt:variant>
      <vt:variant>
        <vt:i4>5</vt:i4>
      </vt:variant>
      <vt:variant>
        <vt:lpwstr>http://www.nevo.co.il/case/26427342</vt:lpwstr>
      </vt:variant>
      <vt:variant>
        <vt:lpwstr/>
      </vt:variant>
      <vt:variant>
        <vt:i4>3539062</vt:i4>
      </vt:variant>
      <vt:variant>
        <vt:i4>132</vt:i4>
      </vt:variant>
      <vt:variant>
        <vt:i4>0</vt:i4>
      </vt:variant>
      <vt:variant>
        <vt:i4>5</vt:i4>
      </vt:variant>
      <vt:variant>
        <vt:lpwstr>http://www.nevo.co.il/case/29385321</vt:lpwstr>
      </vt:variant>
      <vt:variant>
        <vt:lpwstr/>
      </vt:variant>
      <vt:variant>
        <vt:i4>3211383</vt:i4>
      </vt:variant>
      <vt:variant>
        <vt:i4>129</vt:i4>
      </vt:variant>
      <vt:variant>
        <vt:i4>0</vt:i4>
      </vt:variant>
      <vt:variant>
        <vt:i4>5</vt:i4>
      </vt:variant>
      <vt:variant>
        <vt:lpwstr>http://www.nevo.co.il/case/28196244</vt:lpwstr>
      </vt:variant>
      <vt:variant>
        <vt:lpwstr/>
      </vt:variant>
      <vt:variant>
        <vt:i4>3670135</vt:i4>
      </vt:variant>
      <vt:variant>
        <vt:i4>126</vt:i4>
      </vt:variant>
      <vt:variant>
        <vt:i4>0</vt:i4>
      </vt:variant>
      <vt:variant>
        <vt:i4>5</vt:i4>
      </vt:variant>
      <vt:variant>
        <vt:lpwstr>http://www.nevo.co.il/case/26329701</vt:lpwstr>
      </vt:variant>
      <vt:variant>
        <vt:lpwstr/>
      </vt:variant>
      <vt:variant>
        <vt:i4>3145849</vt:i4>
      </vt:variant>
      <vt:variant>
        <vt:i4>123</vt:i4>
      </vt:variant>
      <vt:variant>
        <vt:i4>0</vt:i4>
      </vt:variant>
      <vt:variant>
        <vt:i4>5</vt:i4>
      </vt:variant>
      <vt:variant>
        <vt:lpwstr>http://www.nevo.co.il/case/13093721</vt:lpwstr>
      </vt:variant>
      <vt:variant>
        <vt:lpwstr/>
      </vt:variant>
      <vt:variant>
        <vt:i4>3145852</vt:i4>
      </vt:variant>
      <vt:variant>
        <vt:i4>120</vt:i4>
      </vt:variant>
      <vt:variant>
        <vt:i4>0</vt:i4>
      </vt:variant>
      <vt:variant>
        <vt:i4>5</vt:i4>
      </vt:variant>
      <vt:variant>
        <vt:lpwstr>http://www.nevo.co.il/case/28014167</vt:lpwstr>
      </vt:variant>
      <vt:variant>
        <vt:lpwstr/>
      </vt:variant>
      <vt:variant>
        <vt:i4>3342450</vt:i4>
      </vt:variant>
      <vt:variant>
        <vt:i4>117</vt:i4>
      </vt:variant>
      <vt:variant>
        <vt:i4>0</vt:i4>
      </vt:variant>
      <vt:variant>
        <vt:i4>5</vt:i4>
      </vt:variant>
      <vt:variant>
        <vt:lpwstr>http://www.nevo.co.il/case/27666712</vt:lpwstr>
      </vt:variant>
      <vt:variant>
        <vt:lpwstr/>
      </vt:variant>
      <vt:variant>
        <vt:i4>3342455</vt:i4>
      </vt:variant>
      <vt:variant>
        <vt:i4>114</vt:i4>
      </vt:variant>
      <vt:variant>
        <vt:i4>0</vt:i4>
      </vt:variant>
      <vt:variant>
        <vt:i4>5</vt:i4>
      </vt:variant>
      <vt:variant>
        <vt:lpwstr>http://www.nevo.co.il/case/27607403</vt:lpwstr>
      </vt:variant>
      <vt:variant>
        <vt:lpwstr/>
      </vt:variant>
      <vt:variant>
        <vt:i4>3407990</vt:i4>
      </vt:variant>
      <vt:variant>
        <vt:i4>111</vt:i4>
      </vt:variant>
      <vt:variant>
        <vt:i4>0</vt:i4>
      </vt:variant>
      <vt:variant>
        <vt:i4>5</vt:i4>
      </vt:variant>
      <vt:variant>
        <vt:lpwstr>http://www.nevo.co.il/case/22719187</vt:lpwstr>
      </vt:variant>
      <vt:variant>
        <vt:lpwstr/>
      </vt:variant>
      <vt:variant>
        <vt:i4>3407986</vt:i4>
      </vt:variant>
      <vt:variant>
        <vt:i4>108</vt:i4>
      </vt:variant>
      <vt:variant>
        <vt:i4>0</vt:i4>
      </vt:variant>
      <vt:variant>
        <vt:i4>5</vt:i4>
      </vt:variant>
      <vt:variant>
        <vt:lpwstr>http://www.nevo.co.il/case/22764257</vt:lpwstr>
      </vt:variant>
      <vt:variant>
        <vt:lpwstr/>
      </vt:variant>
      <vt:variant>
        <vt:i4>8257634</vt:i4>
      </vt:variant>
      <vt:variant>
        <vt:i4>105</vt:i4>
      </vt:variant>
      <vt:variant>
        <vt:i4>0</vt:i4>
      </vt:variant>
      <vt:variant>
        <vt:i4>5</vt:i4>
      </vt:variant>
      <vt:variant>
        <vt:lpwstr>http://www.nevo.co.il/law/74501</vt:lpwstr>
      </vt:variant>
      <vt:variant>
        <vt:lpwstr/>
      </vt:variant>
      <vt:variant>
        <vt:i4>3145825</vt:i4>
      </vt:variant>
      <vt:variant>
        <vt:i4>102</vt:i4>
      </vt:variant>
      <vt:variant>
        <vt:i4>0</vt:i4>
      </vt:variant>
      <vt:variant>
        <vt:i4>5</vt:i4>
      </vt:variant>
      <vt:variant>
        <vt:lpwstr>http://www.nevo.co.il/law/74501/2a</vt:lpwstr>
      </vt:variant>
      <vt:variant>
        <vt:lpwstr/>
      </vt:variant>
      <vt:variant>
        <vt:i4>4784200</vt:i4>
      </vt:variant>
      <vt:variant>
        <vt:i4>99</vt:i4>
      </vt:variant>
      <vt:variant>
        <vt:i4>0</vt:i4>
      </vt:variant>
      <vt:variant>
        <vt:i4>5</vt:i4>
      </vt:variant>
      <vt:variant>
        <vt:lpwstr>http://www.nevo.co.il/law/5227/67</vt:lpwstr>
      </vt:variant>
      <vt:variant>
        <vt:lpwstr/>
      </vt:variant>
      <vt:variant>
        <vt:i4>3080312</vt:i4>
      </vt:variant>
      <vt:variant>
        <vt:i4>96</vt:i4>
      </vt:variant>
      <vt:variant>
        <vt:i4>0</vt:i4>
      </vt:variant>
      <vt:variant>
        <vt:i4>5</vt:i4>
      </vt:variant>
      <vt:variant>
        <vt:lpwstr>http://www.nevo.co.il/law/5227/10a</vt:lpwstr>
      </vt:variant>
      <vt:variant>
        <vt:lpwstr/>
      </vt:variant>
      <vt:variant>
        <vt:i4>8323175</vt:i4>
      </vt:variant>
      <vt:variant>
        <vt:i4>93</vt:i4>
      </vt:variant>
      <vt:variant>
        <vt:i4>0</vt:i4>
      </vt:variant>
      <vt:variant>
        <vt:i4>5</vt:i4>
      </vt:variant>
      <vt:variant>
        <vt:lpwstr>http://www.nevo.co.il/law/5227</vt:lpwstr>
      </vt:variant>
      <vt:variant>
        <vt:lpwstr/>
      </vt:variant>
      <vt:variant>
        <vt:i4>5046344</vt:i4>
      </vt:variant>
      <vt:variant>
        <vt:i4>90</vt:i4>
      </vt:variant>
      <vt:variant>
        <vt:i4>0</vt:i4>
      </vt:variant>
      <vt:variant>
        <vt:i4>5</vt:i4>
      </vt:variant>
      <vt:variant>
        <vt:lpwstr>http://www.nevo.co.il/law/5227/2</vt:lpwstr>
      </vt:variant>
      <vt:variant>
        <vt:lpwstr/>
      </vt:variant>
      <vt:variant>
        <vt:i4>6422630</vt:i4>
      </vt:variant>
      <vt:variant>
        <vt:i4>87</vt:i4>
      </vt:variant>
      <vt:variant>
        <vt:i4>0</vt:i4>
      </vt:variant>
      <vt:variant>
        <vt:i4>5</vt:i4>
      </vt:variant>
      <vt:variant>
        <vt:lpwstr>http://www.nevo.co.il/law/70301/379</vt:lpwstr>
      </vt:variant>
      <vt:variant>
        <vt:lpwstr/>
      </vt:variant>
      <vt:variant>
        <vt:i4>4390992</vt:i4>
      </vt:variant>
      <vt:variant>
        <vt:i4>84</vt:i4>
      </vt:variant>
      <vt:variant>
        <vt:i4>0</vt:i4>
      </vt:variant>
      <vt:variant>
        <vt:i4>5</vt:i4>
      </vt:variant>
      <vt:variant>
        <vt:lpwstr>http://www.nevo.co.il/law/70301/287.a</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3145825</vt:i4>
      </vt:variant>
      <vt:variant>
        <vt:i4>54</vt:i4>
      </vt:variant>
      <vt:variant>
        <vt:i4>0</vt:i4>
      </vt:variant>
      <vt:variant>
        <vt:i4>5</vt:i4>
      </vt:variant>
      <vt:variant>
        <vt:lpwstr>http://www.nevo.co.il/law/74501/2a</vt:lpwstr>
      </vt:variant>
      <vt:variant>
        <vt:lpwstr/>
      </vt:variant>
      <vt:variant>
        <vt:i4>8257634</vt:i4>
      </vt:variant>
      <vt:variant>
        <vt:i4>51</vt:i4>
      </vt:variant>
      <vt:variant>
        <vt:i4>0</vt:i4>
      </vt:variant>
      <vt:variant>
        <vt:i4>5</vt:i4>
      </vt:variant>
      <vt:variant>
        <vt:lpwstr>http://www.nevo.co.il/law/74501</vt:lpwstr>
      </vt:variant>
      <vt:variant>
        <vt:lpwstr/>
      </vt:variant>
      <vt:variant>
        <vt:i4>4784200</vt:i4>
      </vt:variant>
      <vt:variant>
        <vt:i4>48</vt:i4>
      </vt:variant>
      <vt:variant>
        <vt:i4>0</vt:i4>
      </vt:variant>
      <vt:variant>
        <vt:i4>5</vt:i4>
      </vt:variant>
      <vt:variant>
        <vt:lpwstr>http://www.nevo.co.il/law/5227/67</vt:lpwstr>
      </vt:variant>
      <vt:variant>
        <vt:lpwstr/>
      </vt:variant>
      <vt:variant>
        <vt:i4>3080312</vt:i4>
      </vt:variant>
      <vt:variant>
        <vt:i4>45</vt:i4>
      </vt:variant>
      <vt:variant>
        <vt:i4>0</vt:i4>
      </vt:variant>
      <vt:variant>
        <vt:i4>5</vt:i4>
      </vt:variant>
      <vt:variant>
        <vt:lpwstr>http://www.nevo.co.il/law/5227/10a</vt:lpwstr>
      </vt:variant>
      <vt:variant>
        <vt:lpwstr/>
      </vt:variant>
      <vt:variant>
        <vt:i4>5046344</vt:i4>
      </vt:variant>
      <vt:variant>
        <vt:i4>42</vt:i4>
      </vt:variant>
      <vt:variant>
        <vt:i4>0</vt:i4>
      </vt:variant>
      <vt:variant>
        <vt:i4>5</vt:i4>
      </vt:variant>
      <vt:variant>
        <vt:lpwstr>http://www.nevo.co.il/law/5227/2</vt:lpwstr>
      </vt:variant>
      <vt:variant>
        <vt:lpwstr/>
      </vt:variant>
      <vt:variant>
        <vt:i4>8323175</vt:i4>
      </vt:variant>
      <vt:variant>
        <vt:i4>39</vt:i4>
      </vt:variant>
      <vt:variant>
        <vt:i4>0</vt:i4>
      </vt:variant>
      <vt:variant>
        <vt:i4>5</vt:i4>
      </vt:variant>
      <vt:variant>
        <vt:lpwstr>http://www.nevo.co.il/law/5227</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986</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מיכאל אמשיקשוילי</vt:lpwstr>
  </property>
  <property fmtid="{D5CDD505-2E9C-101B-9397-08002B2CF9AE}" pid="10" name="LAWYER">
    <vt:lpwstr>שירלי הדר;אלעד אלקיס</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20240711</vt:lpwstr>
  </property>
  <property fmtid="{D5CDD505-2E9C-101B-9397-08002B2CF9AE}" pid="14" name="TYPE_N_DATE">
    <vt:lpwstr>38020240711</vt:lpwstr>
  </property>
  <property fmtid="{D5CDD505-2E9C-101B-9397-08002B2CF9AE}" pid="15" name="WORDNUMPAGES">
    <vt:lpwstr>13</vt:lpwstr>
  </property>
  <property fmtid="{D5CDD505-2E9C-101B-9397-08002B2CF9AE}" pid="16" name="TYPE_ABS_DATE">
    <vt:lpwstr>380020240711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22764257;22719187;27607403;27666712;28014167;13093721;26329701;28196244;29385321;26427342;18851032;27720202;27274743;27815501;25496997;24263098;27374893;22938500;20009419;21473565;21476337;23129184;5601394</vt:lpwstr>
  </property>
  <property fmtid="{D5CDD505-2E9C-101B-9397-08002B2CF9AE}" pid="36" name="LAWLISTTMP1">
    <vt:lpwstr>4216/007.a:2;007.c:2;013;019a</vt:lpwstr>
  </property>
  <property fmtid="{D5CDD505-2E9C-101B-9397-08002B2CF9AE}" pid="37" name="LAWLISTTMP2">
    <vt:lpwstr>70301/192;452;287.a;379;040d:3;40ja;040d.a</vt:lpwstr>
  </property>
  <property fmtid="{D5CDD505-2E9C-101B-9397-08002B2CF9AE}" pid="38" name="LAWLISTTMP3">
    <vt:lpwstr>5227/002;010a;067</vt:lpwstr>
  </property>
  <property fmtid="{D5CDD505-2E9C-101B-9397-08002B2CF9AE}" pid="39" name="LAWLISTTMP4">
    <vt:lpwstr>74501/002a</vt:lpwstr>
  </property>
</Properties>
</file>