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261393" w:rsidRPr="00DE47EB" w14:paraId="5F898E7F" w14:textId="77777777" w:rsidTr="006A41FE">
        <w:trPr>
          <w:trHeight w:hRule="exact" w:val="418"/>
          <w:jc w:val="center"/>
        </w:trPr>
        <w:tc>
          <w:tcPr>
            <w:tcW w:w="8721" w:type="dxa"/>
            <w:gridSpan w:val="2"/>
          </w:tcPr>
          <w:p w14:paraId="4608ED6F" w14:textId="77777777" w:rsidR="00261393" w:rsidRPr="00DE47EB" w:rsidRDefault="00261393" w:rsidP="00702834">
            <w:pPr>
              <w:pStyle w:val="a3"/>
              <w:jc w:val="center"/>
              <w:rPr>
                <w:rFonts w:ascii="Tahoma" w:hAnsi="Tahoma" w:cs="Tahoma"/>
                <w:color w:val="000080"/>
                <w:rtl/>
              </w:rPr>
            </w:pPr>
            <w:bookmarkStart w:id="0" w:name="LastJudge"/>
            <w:r w:rsidRPr="00DE47EB">
              <w:rPr>
                <w:rFonts w:ascii="Tahoma" w:hAnsi="Tahoma" w:cs="Tahoma"/>
                <w:b/>
                <w:bCs/>
                <w:color w:val="000080"/>
                <w:rtl/>
              </w:rPr>
              <w:t>בית משפט השלום בבאר שבע</w:t>
            </w:r>
          </w:p>
        </w:tc>
      </w:tr>
      <w:tr w:rsidR="00261393" w:rsidRPr="00DE47EB" w14:paraId="2F41210D" w14:textId="77777777" w:rsidTr="006A41FE">
        <w:trPr>
          <w:trHeight w:val="337"/>
          <w:jc w:val="center"/>
        </w:trPr>
        <w:tc>
          <w:tcPr>
            <w:tcW w:w="5056" w:type="dxa"/>
          </w:tcPr>
          <w:p w14:paraId="3B2C7714" w14:textId="77777777" w:rsidR="00261393" w:rsidRPr="00DE47EB" w:rsidRDefault="00261393" w:rsidP="00702834">
            <w:pPr>
              <w:rPr>
                <w:rFonts w:cs="FrankRuehl"/>
                <w:sz w:val="28"/>
                <w:szCs w:val="28"/>
                <w:rtl/>
              </w:rPr>
            </w:pPr>
            <w:r w:rsidRPr="00DE47EB">
              <w:rPr>
                <w:rFonts w:cs="FrankRuehl"/>
                <w:sz w:val="28"/>
                <w:szCs w:val="28"/>
                <w:rtl/>
              </w:rPr>
              <w:t>ת"פ</w:t>
            </w:r>
            <w:r w:rsidRPr="00DE47EB">
              <w:rPr>
                <w:rFonts w:cs="FrankRuehl" w:hint="cs"/>
                <w:sz w:val="28"/>
                <w:szCs w:val="28"/>
                <w:rtl/>
              </w:rPr>
              <w:t xml:space="preserve"> </w:t>
            </w:r>
            <w:r w:rsidRPr="00DE47EB">
              <w:rPr>
                <w:rFonts w:cs="FrankRuehl"/>
                <w:sz w:val="28"/>
                <w:szCs w:val="28"/>
                <w:rtl/>
              </w:rPr>
              <w:t>16332-07-21</w:t>
            </w:r>
            <w:r w:rsidRPr="00DE47EB">
              <w:rPr>
                <w:rFonts w:cs="FrankRuehl" w:hint="cs"/>
                <w:sz w:val="28"/>
                <w:szCs w:val="28"/>
                <w:rtl/>
              </w:rPr>
              <w:t xml:space="preserve"> </w:t>
            </w:r>
            <w:r w:rsidRPr="00DE47EB">
              <w:rPr>
                <w:rFonts w:cs="FrankRuehl"/>
                <w:sz w:val="28"/>
                <w:szCs w:val="28"/>
                <w:rtl/>
              </w:rPr>
              <w:t>מדינת ישראל נ' אלעלאוין</w:t>
            </w:r>
          </w:p>
          <w:p w14:paraId="33E1050C" w14:textId="77777777" w:rsidR="00261393" w:rsidRPr="00DE47EB" w:rsidRDefault="00261393" w:rsidP="00702834">
            <w:pPr>
              <w:pStyle w:val="a3"/>
              <w:rPr>
                <w:rFonts w:cs="FrankRuehl"/>
                <w:sz w:val="28"/>
                <w:szCs w:val="28"/>
                <w:rtl/>
              </w:rPr>
            </w:pPr>
          </w:p>
        </w:tc>
        <w:tc>
          <w:tcPr>
            <w:tcW w:w="3665" w:type="dxa"/>
          </w:tcPr>
          <w:p w14:paraId="5A8B5B79" w14:textId="77777777" w:rsidR="00261393" w:rsidRPr="00DE47EB" w:rsidRDefault="00261393" w:rsidP="00702834">
            <w:pPr>
              <w:pStyle w:val="a3"/>
              <w:jc w:val="right"/>
              <w:rPr>
                <w:rFonts w:cs="FrankRuehl"/>
                <w:sz w:val="28"/>
                <w:szCs w:val="28"/>
                <w:rtl/>
              </w:rPr>
            </w:pPr>
          </w:p>
        </w:tc>
      </w:tr>
    </w:tbl>
    <w:p w14:paraId="709DBF5E" w14:textId="77777777" w:rsidR="00261393" w:rsidRPr="00DE47EB" w:rsidRDefault="00261393" w:rsidP="00261393">
      <w:pPr>
        <w:pStyle w:val="a3"/>
        <w:rPr>
          <w:rtl/>
        </w:rPr>
      </w:pPr>
      <w:r w:rsidRPr="00DE47EB">
        <w:rPr>
          <w:rFonts w:hint="cs"/>
          <w:rtl/>
        </w:rPr>
        <w:t xml:space="preserve"> </w:t>
      </w:r>
    </w:p>
    <w:p w14:paraId="6EC37C92" w14:textId="77777777" w:rsidR="00261393" w:rsidRPr="00DE47EB" w:rsidRDefault="00261393" w:rsidP="00261393">
      <w:pPr>
        <w:rPr>
          <w:rtl/>
        </w:rPr>
      </w:pPr>
    </w:p>
    <w:p w14:paraId="5C8EDDF4" w14:textId="77777777" w:rsidR="00261393" w:rsidRPr="00DE47EB" w:rsidRDefault="00261393" w:rsidP="0026139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2367"/>
        <w:gridCol w:w="5812"/>
      </w:tblGrid>
      <w:tr w:rsidR="00261393" w:rsidRPr="00DE47EB" w14:paraId="33BB79A4" w14:textId="77777777" w:rsidTr="00261393">
        <w:trPr>
          <w:trHeight w:val="295"/>
          <w:jc w:val="center"/>
        </w:trPr>
        <w:tc>
          <w:tcPr>
            <w:tcW w:w="641" w:type="dxa"/>
            <w:tcBorders>
              <w:top w:val="nil"/>
              <w:left w:val="nil"/>
              <w:bottom w:val="nil"/>
              <w:right w:val="nil"/>
            </w:tcBorders>
            <w:shd w:val="clear" w:color="auto" w:fill="auto"/>
          </w:tcPr>
          <w:p w14:paraId="6FE5CFA6" w14:textId="77777777" w:rsidR="00261393" w:rsidRPr="00DE47EB" w:rsidRDefault="00261393" w:rsidP="00261393">
            <w:pPr>
              <w:jc w:val="both"/>
              <w:rPr>
                <w:rFonts w:ascii="David" w:hAnsi="David"/>
                <w:b/>
                <w:bCs/>
                <w:sz w:val="26"/>
                <w:szCs w:val="26"/>
              </w:rPr>
            </w:pPr>
            <w:r w:rsidRPr="00DE47EB">
              <w:rPr>
                <w:rFonts w:ascii="David" w:hAnsi="David"/>
                <w:b/>
                <w:bCs/>
                <w:sz w:val="26"/>
                <w:szCs w:val="26"/>
                <w:rtl/>
              </w:rPr>
              <w:t xml:space="preserve">בפני </w:t>
            </w:r>
          </w:p>
        </w:tc>
        <w:tc>
          <w:tcPr>
            <w:tcW w:w="8179" w:type="dxa"/>
            <w:gridSpan w:val="2"/>
            <w:tcBorders>
              <w:top w:val="nil"/>
              <w:left w:val="nil"/>
              <w:bottom w:val="nil"/>
              <w:right w:val="nil"/>
            </w:tcBorders>
            <w:shd w:val="clear" w:color="auto" w:fill="auto"/>
          </w:tcPr>
          <w:p w14:paraId="5E5C16BA" w14:textId="77777777" w:rsidR="00261393" w:rsidRPr="00DE47EB" w:rsidRDefault="00261393" w:rsidP="00702834">
            <w:pPr>
              <w:rPr>
                <w:rFonts w:ascii="David" w:hAnsi="David"/>
                <w:b/>
                <w:bCs/>
                <w:sz w:val="26"/>
                <w:szCs w:val="26"/>
                <w:rtl/>
              </w:rPr>
            </w:pPr>
            <w:r w:rsidRPr="00DE47EB">
              <w:rPr>
                <w:rFonts w:ascii="David" w:hAnsi="David"/>
                <w:b/>
                <w:bCs/>
                <w:sz w:val="26"/>
                <w:szCs w:val="26"/>
                <w:rtl/>
              </w:rPr>
              <w:t>כבוד השופטת בכירה שוש שטרית</w:t>
            </w:r>
          </w:p>
          <w:p w14:paraId="0DE0CE7E" w14:textId="77777777" w:rsidR="00261393" w:rsidRPr="00DE47EB" w:rsidRDefault="00261393" w:rsidP="00702834">
            <w:pPr>
              <w:rPr>
                <w:rFonts w:ascii="David" w:hAnsi="David"/>
                <w:sz w:val="26"/>
                <w:szCs w:val="26"/>
                <w:rtl/>
              </w:rPr>
            </w:pPr>
          </w:p>
          <w:p w14:paraId="045E60FD" w14:textId="77777777" w:rsidR="00261393" w:rsidRPr="00DE47EB" w:rsidRDefault="00261393" w:rsidP="00261393">
            <w:pPr>
              <w:jc w:val="both"/>
              <w:rPr>
                <w:rFonts w:ascii="David" w:hAnsi="David"/>
                <w:sz w:val="26"/>
                <w:szCs w:val="26"/>
              </w:rPr>
            </w:pPr>
          </w:p>
        </w:tc>
      </w:tr>
      <w:tr w:rsidR="00261393" w:rsidRPr="00DE47EB" w14:paraId="57733D5F" w14:textId="77777777" w:rsidTr="00261393">
        <w:trPr>
          <w:trHeight w:val="355"/>
          <w:jc w:val="center"/>
        </w:trPr>
        <w:tc>
          <w:tcPr>
            <w:tcW w:w="641" w:type="dxa"/>
            <w:tcBorders>
              <w:top w:val="nil"/>
              <w:left w:val="nil"/>
              <w:bottom w:val="nil"/>
              <w:right w:val="nil"/>
            </w:tcBorders>
            <w:shd w:val="clear" w:color="auto" w:fill="auto"/>
          </w:tcPr>
          <w:p w14:paraId="3A36571B" w14:textId="77777777" w:rsidR="00261393" w:rsidRPr="00DE47EB" w:rsidRDefault="00261393" w:rsidP="00261393">
            <w:pPr>
              <w:jc w:val="both"/>
              <w:rPr>
                <w:rFonts w:ascii="David" w:hAnsi="David"/>
                <w:sz w:val="26"/>
                <w:szCs w:val="26"/>
              </w:rPr>
            </w:pPr>
            <w:bookmarkStart w:id="1" w:name="FirstAppellant"/>
            <w:bookmarkStart w:id="2" w:name="FirstLawyer"/>
          </w:p>
        </w:tc>
        <w:tc>
          <w:tcPr>
            <w:tcW w:w="2367" w:type="dxa"/>
            <w:tcBorders>
              <w:top w:val="nil"/>
              <w:left w:val="nil"/>
              <w:bottom w:val="nil"/>
              <w:right w:val="nil"/>
            </w:tcBorders>
            <w:shd w:val="clear" w:color="auto" w:fill="auto"/>
          </w:tcPr>
          <w:p w14:paraId="51B86812" w14:textId="77777777" w:rsidR="00261393" w:rsidRPr="00DE47EB" w:rsidRDefault="00261393" w:rsidP="00261393">
            <w:pPr>
              <w:suppressLineNumbers/>
            </w:pPr>
            <w:r w:rsidRPr="00DE47EB">
              <w:rPr>
                <w:rFonts w:ascii="Arial" w:hAnsi="Arial" w:hint="cs"/>
                <w:b/>
                <w:bCs/>
                <w:sz w:val="26"/>
                <w:szCs w:val="26"/>
                <w:rtl/>
              </w:rPr>
              <w:t>ה</w:t>
            </w:r>
            <w:r w:rsidRPr="00DE47EB">
              <w:rPr>
                <w:rFonts w:ascii="Arial" w:hAnsi="Arial"/>
                <w:b/>
                <w:bCs/>
                <w:sz w:val="26"/>
                <w:szCs w:val="26"/>
                <w:rtl/>
              </w:rPr>
              <w:t>מאשימה</w:t>
            </w:r>
          </w:p>
          <w:p w14:paraId="2A7D5C66" w14:textId="77777777" w:rsidR="00261393" w:rsidRPr="00DE47EB" w:rsidRDefault="00261393" w:rsidP="00702834">
            <w:pPr>
              <w:rPr>
                <w:rFonts w:ascii="David" w:hAnsi="David"/>
                <w:sz w:val="26"/>
                <w:szCs w:val="26"/>
              </w:rPr>
            </w:pPr>
          </w:p>
        </w:tc>
        <w:tc>
          <w:tcPr>
            <w:tcW w:w="5812" w:type="dxa"/>
            <w:tcBorders>
              <w:top w:val="nil"/>
              <w:left w:val="nil"/>
              <w:bottom w:val="nil"/>
              <w:right w:val="nil"/>
            </w:tcBorders>
            <w:shd w:val="clear" w:color="auto" w:fill="auto"/>
            <w:vAlign w:val="center"/>
          </w:tcPr>
          <w:p w14:paraId="264E7113" w14:textId="77777777" w:rsidR="00261393" w:rsidRPr="00DE47EB" w:rsidRDefault="00261393" w:rsidP="00261393">
            <w:pPr>
              <w:suppressLineNumbers/>
              <w:rPr>
                <w:rFonts w:ascii="Arial" w:hAnsi="Arial"/>
                <w:b/>
                <w:bCs/>
                <w:sz w:val="26"/>
                <w:szCs w:val="26"/>
                <w:rtl/>
              </w:rPr>
            </w:pPr>
            <w:r w:rsidRPr="00DE47EB">
              <w:rPr>
                <w:rFonts w:ascii="Arial" w:hAnsi="Arial"/>
                <w:b/>
                <w:bCs/>
                <w:sz w:val="26"/>
                <w:szCs w:val="26"/>
                <w:rtl/>
              </w:rPr>
              <w:t>מדינת ישראל</w:t>
            </w:r>
            <w:r w:rsidRPr="00DE47EB">
              <w:rPr>
                <w:rFonts w:ascii="Arial" w:hAnsi="Arial" w:hint="cs"/>
                <w:b/>
                <w:bCs/>
                <w:sz w:val="26"/>
                <w:szCs w:val="26"/>
                <w:rtl/>
              </w:rPr>
              <w:t xml:space="preserve"> </w:t>
            </w:r>
            <w:r w:rsidRPr="00DE47EB">
              <w:rPr>
                <w:rFonts w:ascii="Arial" w:hAnsi="Arial"/>
                <w:b/>
                <w:bCs/>
                <w:sz w:val="26"/>
                <w:szCs w:val="26"/>
                <w:rtl/>
              </w:rPr>
              <w:t>–</w:t>
            </w:r>
            <w:r w:rsidRPr="00DE47EB">
              <w:rPr>
                <w:rFonts w:ascii="Arial" w:hAnsi="Arial" w:hint="cs"/>
                <w:b/>
                <w:bCs/>
                <w:sz w:val="26"/>
                <w:szCs w:val="26"/>
                <w:rtl/>
              </w:rPr>
              <w:t xml:space="preserve"> תביעות נגב</w:t>
            </w:r>
          </w:p>
          <w:p w14:paraId="2A54AC56" w14:textId="77777777" w:rsidR="00261393" w:rsidRPr="00DE47EB" w:rsidRDefault="00261393" w:rsidP="00261393">
            <w:pPr>
              <w:suppressLineNumbers/>
              <w:rPr>
                <w:rtl/>
              </w:rPr>
            </w:pPr>
            <w:r w:rsidRPr="00DE47EB">
              <w:rPr>
                <w:rFonts w:ascii="Arial" w:hAnsi="Arial"/>
                <w:b/>
                <w:bCs/>
                <w:sz w:val="26"/>
                <w:szCs w:val="26"/>
                <w:rtl/>
              </w:rPr>
              <w:t>ע"י ב"כ עו"ד</w:t>
            </w:r>
            <w:r w:rsidRPr="00DE47EB">
              <w:rPr>
                <w:rFonts w:ascii="Arial" w:hAnsi="Arial" w:hint="cs"/>
                <w:b/>
                <w:bCs/>
                <w:sz w:val="26"/>
                <w:szCs w:val="26"/>
                <w:rtl/>
              </w:rPr>
              <w:t xml:space="preserve"> רמה קלימי </w:t>
            </w:r>
          </w:p>
          <w:p w14:paraId="0D642F32" w14:textId="77777777" w:rsidR="00261393" w:rsidRPr="00DE47EB" w:rsidRDefault="00261393" w:rsidP="00261393">
            <w:pPr>
              <w:suppressLineNumbers/>
            </w:pPr>
          </w:p>
        </w:tc>
      </w:tr>
      <w:bookmarkEnd w:id="1"/>
      <w:bookmarkEnd w:id="2"/>
      <w:tr w:rsidR="00261393" w:rsidRPr="00DE47EB" w14:paraId="563396E8" w14:textId="77777777" w:rsidTr="00261393">
        <w:trPr>
          <w:trHeight w:val="355"/>
          <w:jc w:val="center"/>
        </w:trPr>
        <w:tc>
          <w:tcPr>
            <w:tcW w:w="641" w:type="dxa"/>
            <w:tcBorders>
              <w:top w:val="nil"/>
              <w:left w:val="nil"/>
              <w:bottom w:val="nil"/>
              <w:right w:val="nil"/>
            </w:tcBorders>
            <w:shd w:val="clear" w:color="auto" w:fill="auto"/>
          </w:tcPr>
          <w:p w14:paraId="7B0645CB" w14:textId="77777777" w:rsidR="00261393" w:rsidRPr="00DE47EB" w:rsidRDefault="00261393" w:rsidP="00261393">
            <w:pPr>
              <w:jc w:val="both"/>
              <w:rPr>
                <w:rFonts w:ascii="David" w:hAnsi="David"/>
                <w:sz w:val="26"/>
                <w:szCs w:val="26"/>
                <w:rtl/>
              </w:rPr>
            </w:pPr>
          </w:p>
        </w:tc>
        <w:tc>
          <w:tcPr>
            <w:tcW w:w="8179" w:type="dxa"/>
            <w:gridSpan w:val="2"/>
            <w:tcBorders>
              <w:top w:val="nil"/>
              <w:left w:val="nil"/>
              <w:bottom w:val="nil"/>
              <w:right w:val="nil"/>
            </w:tcBorders>
            <w:shd w:val="clear" w:color="auto" w:fill="auto"/>
          </w:tcPr>
          <w:p w14:paraId="3AB0663F" w14:textId="77777777" w:rsidR="00261393" w:rsidRPr="00DE47EB" w:rsidRDefault="00261393" w:rsidP="00261393">
            <w:pPr>
              <w:jc w:val="center"/>
              <w:rPr>
                <w:rFonts w:ascii="David" w:hAnsi="David"/>
                <w:b/>
                <w:bCs/>
                <w:sz w:val="26"/>
                <w:szCs w:val="26"/>
                <w:rtl/>
              </w:rPr>
            </w:pPr>
          </w:p>
          <w:p w14:paraId="1C4F4F23" w14:textId="77777777" w:rsidR="00261393" w:rsidRPr="00DE47EB" w:rsidRDefault="00261393" w:rsidP="00261393">
            <w:pPr>
              <w:jc w:val="center"/>
              <w:rPr>
                <w:rFonts w:ascii="David" w:hAnsi="David"/>
                <w:b/>
                <w:bCs/>
                <w:sz w:val="26"/>
                <w:szCs w:val="26"/>
                <w:rtl/>
              </w:rPr>
            </w:pPr>
            <w:r w:rsidRPr="00DE47EB">
              <w:rPr>
                <w:rFonts w:ascii="David" w:hAnsi="David"/>
                <w:b/>
                <w:bCs/>
                <w:sz w:val="26"/>
                <w:szCs w:val="26"/>
                <w:rtl/>
              </w:rPr>
              <w:t>נגד</w:t>
            </w:r>
          </w:p>
          <w:p w14:paraId="299BB9CC" w14:textId="77777777" w:rsidR="00261393" w:rsidRPr="00DE47EB" w:rsidRDefault="00261393" w:rsidP="00261393">
            <w:pPr>
              <w:jc w:val="both"/>
              <w:rPr>
                <w:rFonts w:ascii="David" w:hAnsi="David"/>
                <w:sz w:val="26"/>
                <w:szCs w:val="26"/>
              </w:rPr>
            </w:pPr>
          </w:p>
        </w:tc>
      </w:tr>
      <w:tr w:rsidR="00261393" w:rsidRPr="00DE47EB" w14:paraId="47FD6482" w14:textId="77777777" w:rsidTr="00261393">
        <w:trPr>
          <w:trHeight w:val="355"/>
          <w:jc w:val="center"/>
        </w:trPr>
        <w:tc>
          <w:tcPr>
            <w:tcW w:w="641" w:type="dxa"/>
            <w:tcBorders>
              <w:top w:val="nil"/>
              <w:left w:val="nil"/>
              <w:bottom w:val="nil"/>
              <w:right w:val="nil"/>
            </w:tcBorders>
            <w:shd w:val="clear" w:color="auto" w:fill="auto"/>
          </w:tcPr>
          <w:p w14:paraId="14312D48" w14:textId="77777777" w:rsidR="00261393" w:rsidRPr="00DE47EB" w:rsidRDefault="00261393" w:rsidP="00702834">
            <w:pPr>
              <w:rPr>
                <w:rFonts w:ascii="David" w:hAnsi="David"/>
                <w:sz w:val="26"/>
                <w:szCs w:val="26"/>
                <w:rtl/>
              </w:rPr>
            </w:pPr>
          </w:p>
        </w:tc>
        <w:tc>
          <w:tcPr>
            <w:tcW w:w="2367" w:type="dxa"/>
            <w:tcBorders>
              <w:top w:val="nil"/>
              <w:left w:val="nil"/>
              <w:bottom w:val="nil"/>
              <w:right w:val="nil"/>
            </w:tcBorders>
            <w:shd w:val="clear" w:color="auto" w:fill="auto"/>
          </w:tcPr>
          <w:p w14:paraId="3DA2E552" w14:textId="77777777" w:rsidR="00261393" w:rsidRPr="00DE47EB" w:rsidRDefault="00261393" w:rsidP="00702834">
            <w:pPr>
              <w:rPr>
                <w:rFonts w:ascii="Arial" w:hAnsi="Arial"/>
                <w:b/>
                <w:bCs/>
                <w:sz w:val="26"/>
                <w:szCs w:val="26"/>
                <w:rtl/>
              </w:rPr>
            </w:pPr>
            <w:r w:rsidRPr="00DE47EB">
              <w:rPr>
                <w:rFonts w:ascii="Arial" w:hAnsi="Arial"/>
                <w:b/>
                <w:bCs/>
                <w:sz w:val="26"/>
                <w:szCs w:val="26"/>
                <w:rtl/>
              </w:rPr>
              <w:t>הנאשם</w:t>
            </w:r>
          </w:p>
        </w:tc>
        <w:tc>
          <w:tcPr>
            <w:tcW w:w="5812" w:type="dxa"/>
            <w:tcBorders>
              <w:top w:val="nil"/>
              <w:left w:val="nil"/>
              <w:bottom w:val="nil"/>
              <w:right w:val="nil"/>
            </w:tcBorders>
            <w:shd w:val="clear" w:color="auto" w:fill="auto"/>
            <w:vAlign w:val="center"/>
          </w:tcPr>
          <w:p w14:paraId="2D443D2D" w14:textId="77777777" w:rsidR="00261393" w:rsidRPr="00DE47EB" w:rsidRDefault="00261393" w:rsidP="00261393">
            <w:pPr>
              <w:suppressLineNumbers/>
              <w:rPr>
                <w:rFonts w:ascii="Arial" w:hAnsi="Arial"/>
                <w:b/>
                <w:bCs/>
                <w:sz w:val="26"/>
                <w:szCs w:val="26"/>
                <w:rtl/>
              </w:rPr>
            </w:pPr>
            <w:r w:rsidRPr="00DE47EB">
              <w:rPr>
                <w:rFonts w:ascii="Arial" w:hAnsi="Arial"/>
                <w:b/>
                <w:bCs/>
                <w:sz w:val="26"/>
                <w:szCs w:val="26"/>
                <w:rtl/>
              </w:rPr>
              <w:t>עומר אלעלאוין</w:t>
            </w:r>
            <w:r w:rsidRPr="00DE47EB">
              <w:rPr>
                <w:rFonts w:ascii="Arial" w:hAnsi="Arial" w:hint="cs"/>
                <w:b/>
                <w:bCs/>
                <w:sz w:val="26"/>
                <w:szCs w:val="26"/>
                <w:rtl/>
              </w:rPr>
              <w:t xml:space="preserve"> - בעצמו</w:t>
            </w:r>
          </w:p>
          <w:p w14:paraId="2DEBBEA4" w14:textId="77777777" w:rsidR="00261393" w:rsidRPr="00DE47EB" w:rsidRDefault="00261393" w:rsidP="00261393">
            <w:pPr>
              <w:suppressLineNumbers/>
            </w:pPr>
            <w:r w:rsidRPr="00DE47EB">
              <w:rPr>
                <w:rFonts w:ascii="Arial" w:hAnsi="Arial"/>
                <w:b/>
                <w:bCs/>
                <w:sz w:val="26"/>
                <w:szCs w:val="26"/>
                <w:rtl/>
              </w:rPr>
              <w:t>ע"י ב"כ ע</w:t>
            </w:r>
            <w:r w:rsidRPr="00DE47EB">
              <w:rPr>
                <w:rFonts w:ascii="Arial" w:hAnsi="Arial" w:hint="cs"/>
                <w:b/>
                <w:bCs/>
                <w:sz w:val="26"/>
                <w:szCs w:val="26"/>
                <w:rtl/>
              </w:rPr>
              <w:t>ו"ד האיל אבו גררה</w:t>
            </w:r>
          </w:p>
        </w:tc>
      </w:tr>
      <w:tr w:rsidR="00261393" w:rsidRPr="00DE47EB" w14:paraId="63882BB2" w14:textId="77777777" w:rsidTr="00261393">
        <w:trPr>
          <w:trHeight w:val="355"/>
          <w:jc w:val="center"/>
        </w:trPr>
        <w:tc>
          <w:tcPr>
            <w:tcW w:w="641" w:type="dxa"/>
            <w:tcBorders>
              <w:top w:val="nil"/>
              <w:left w:val="nil"/>
              <w:bottom w:val="nil"/>
              <w:right w:val="nil"/>
            </w:tcBorders>
            <w:shd w:val="clear" w:color="auto" w:fill="auto"/>
          </w:tcPr>
          <w:p w14:paraId="5F059B47" w14:textId="77777777" w:rsidR="00261393" w:rsidRPr="00DE47EB" w:rsidRDefault="00261393" w:rsidP="00261393">
            <w:pPr>
              <w:jc w:val="both"/>
              <w:rPr>
                <w:rFonts w:ascii="David" w:hAnsi="David"/>
                <w:sz w:val="26"/>
                <w:szCs w:val="26"/>
                <w:rtl/>
              </w:rPr>
            </w:pPr>
          </w:p>
        </w:tc>
        <w:tc>
          <w:tcPr>
            <w:tcW w:w="2367" w:type="dxa"/>
            <w:tcBorders>
              <w:top w:val="nil"/>
              <w:left w:val="nil"/>
              <w:bottom w:val="nil"/>
              <w:right w:val="nil"/>
            </w:tcBorders>
            <w:shd w:val="clear" w:color="auto" w:fill="auto"/>
          </w:tcPr>
          <w:p w14:paraId="7522DAA4" w14:textId="77777777" w:rsidR="00261393" w:rsidRPr="00DE47EB" w:rsidRDefault="00261393" w:rsidP="00261393">
            <w:pPr>
              <w:jc w:val="both"/>
              <w:rPr>
                <w:rFonts w:ascii="David" w:hAnsi="David"/>
                <w:sz w:val="26"/>
                <w:szCs w:val="26"/>
                <w:rtl/>
              </w:rPr>
            </w:pPr>
          </w:p>
        </w:tc>
        <w:tc>
          <w:tcPr>
            <w:tcW w:w="5812" w:type="dxa"/>
            <w:tcBorders>
              <w:top w:val="nil"/>
              <w:left w:val="nil"/>
              <w:bottom w:val="nil"/>
              <w:right w:val="nil"/>
            </w:tcBorders>
            <w:shd w:val="clear" w:color="auto" w:fill="auto"/>
          </w:tcPr>
          <w:p w14:paraId="552ABC57" w14:textId="77777777" w:rsidR="00261393" w:rsidRPr="00DE47EB" w:rsidRDefault="00261393" w:rsidP="00261393">
            <w:pPr>
              <w:jc w:val="right"/>
              <w:rPr>
                <w:rFonts w:ascii="David" w:hAnsi="David"/>
                <w:sz w:val="26"/>
                <w:szCs w:val="26"/>
              </w:rPr>
            </w:pPr>
          </w:p>
        </w:tc>
      </w:tr>
    </w:tbl>
    <w:p w14:paraId="7A01408D" w14:textId="77777777" w:rsidR="006A41FE" w:rsidRPr="006A41FE" w:rsidRDefault="006A41FE" w:rsidP="006A41FE">
      <w:pPr>
        <w:spacing w:before="120" w:after="120" w:line="240" w:lineRule="exact"/>
        <w:ind w:left="283" w:hanging="283"/>
        <w:jc w:val="both"/>
        <w:rPr>
          <w:rFonts w:ascii="FrankRuehl" w:hAnsi="FrankRuehl" w:cs="FrankRuehl"/>
          <w:rtl/>
        </w:rPr>
      </w:pPr>
    </w:p>
    <w:p w14:paraId="1D1648DA" w14:textId="77777777" w:rsidR="00811490" w:rsidRPr="00811490" w:rsidRDefault="00811490" w:rsidP="00811490">
      <w:pPr>
        <w:spacing w:before="120" w:after="120" w:line="240" w:lineRule="exact"/>
        <w:ind w:left="283" w:hanging="283"/>
        <w:jc w:val="both"/>
        <w:rPr>
          <w:rFonts w:ascii="FrankRuehl" w:hAnsi="FrankRuehl" w:cs="FrankRuehl"/>
          <w:rtl/>
        </w:rPr>
      </w:pPr>
    </w:p>
    <w:p w14:paraId="7AF58EC3" w14:textId="77777777" w:rsidR="00324732" w:rsidRDefault="00324732" w:rsidP="00324732">
      <w:pPr>
        <w:rPr>
          <w:sz w:val="26"/>
          <w:szCs w:val="26"/>
          <w:rtl/>
        </w:rPr>
      </w:pPr>
      <w:bookmarkStart w:id="3" w:name="LawTable"/>
      <w:bookmarkEnd w:id="3"/>
    </w:p>
    <w:p w14:paraId="3972B831" w14:textId="77777777" w:rsidR="00324732" w:rsidRPr="00324732" w:rsidRDefault="00324732" w:rsidP="00324732">
      <w:pPr>
        <w:spacing w:before="120" w:after="120" w:line="240" w:lineRule="exact"/>
        <w:ind w:left="283" w:hanging="283"/>
        <w:jc w:val="both"/>
        <w:rPr>
          <w:rFonts w:ascii="FrankRuehl" w:hAnsi="FrankRuehl" w:cs="FrankRuehl"/>
          <w:rtl/>
        </w:rPr>
      </w:pPr>
    </w:p>
    <w:p w14:paraId="0110F244" w14:textId="77777777" w:rsidR="00324732" w:rsidRPr="00324732" w:rsidRDefault="00324732" w:rsidP="00324732">
      <w:pPr>
        <w:spacing w:before="120" w:after="120" w:line="240" w:lineRule="exact"/>
        <w:ind w:left="283" w:hanging="283"/>
        <w:jc w:val="both"/>
        <w:rPr>
          <w:rFonts w:ascii="FrankRuehl" w:hAnsi="FrankRuehl" w:cs="FrankRuehl"/>
          <w:rtl/>
        </w:rPr>
      </w:pPr>
    </w:p>
    <w:p w14:paraId="022AD29B" w14:textId="77777777" w:rsidR="00324732" w:rsidRPr="00324732" w:rsidRDefault="00324732" w:rsidP="00324732">
      <w:pPr>
        <w:spacing w:before="120" w:after="120" w:line="240" w:lineRule="exact"/>
        <w:ind w:left="283" w:hanging="283"/>
        <w:jc w:val="both"/>
        <w:rPr>
          <w:rFonts w:ascii="FrankRuehl" w:hAnsi="FrankRuehl" w:cs="FrankRuehl"/>
          <w:rtl/>
        </w:rPr>
      </w:pPr>
      <w:r w:rsidRPr="00324732">
        <w:rPr>
          <w:rFonts w:ascii="FrankRuehl" w:hAnsi="FrankRuehl" w:cs="FrankRuehl"/>
          <w:rtl/>
        </w:rPr>
        <w:t xml:space="preserve">חקיקה שאוזכרה: </w:t>
      </w:r>
    </w:p>
    <w:p w14:paraId="3FDE24C1" w14:textId="77777777" w:rsidR="00324732" w:rsidRPr="00324732" w:rsidRDefault="00324732" w:rsidP="00324732">
      <w:pPr>
        <w:spacing w:before="120" w:after="120" w:line="240" w:lineRule="exact"/>
        <w:ind w:left="283" w:hanging="283"/>
        <w:jc w:val="both"/>
        <w:rPr>
          <w:rFonts w:ascii="FrankRuehl" w:hAnsi="FrankRuehl" w:cs="FrankRuehl"/>
          <w:rtl/>
        </w:rPr>
      </w:pPr>
      <w:hyperlink r:id="rId7" w:history="1">
        <w:r w:rsidRPr="00324732">
          <w:rPr>
            <w:rFonts w:ascii="FrankRuehl" w:hAnsi="FrankRuehl" w:cs="FrankRuehl"/>
            <w:color w:val="0000FF"/>
            <w:rtl/>
          </w:rPr>
          <w:t>פקודת הסמים המסוכנים [נוסח חדש], תשל"ג-1973</w:t>
        </w:r>
      </w:hyperlink>
      <w:r w:rsidRPr="00324732">
        <w:rPr>
          <w:rFonts w:ascii="FrankRuehl" w:hAnsi="FrankRuehl" w:cs="FrankRuehl"/>
          <w:rtl/>
        </w:rPr>
        <w:t xml:space="preserve">: סע'  </w:t>
      </w:r>
      <w:hyperlink r:id="rId8" w:history="1">
        <w:r w:rsidRPr="00324732">
          <w:rPr>
            <w:rFonts w:ascii="FrankRuehl" w:hAnsi="FrankRuehl" w:cs="FrankRuehl"/>
            <w:color w:val="0000FF"/>
            <w:rtl/>
          </w:rPr>
          <w:t>7.א.</w:t>
        </w:r>
      </w:hyperlink>
      <w:r w:rsidRPr="00324732">
        <w:rPr>
          <w:rFonts w:ascii="FrankRuehl" w:hAnsi="FrankRuehl" w:cs="FrankRuehl"/>
          <w:rtl/>
        </w:rPr>
        <w:t xml:space="preserve">, </w:t>
      </w:r>
      <w:hyperlink r:id="rId9" w:history="1">
        <w:r w:rsidRPr="00324732">
          <w:rPr>
            <w:rFonts w:ascii="FrankRuehl" w:hAnsi="FrankRuehl" w:cs="FrankRuehl"/>
            <w:color w:val="0000FF"/>
            <w:rtl/>
          </w:rPr>
          <w:t>7.ג</w:t>
        </w:r>
      </w:hyperlink>
      <w:r w:rsidRPr="00324732">
        <w:rPr>
          <w:rFonts w:ascii="FrankRuehl" w:hAnsi="FrankRuehl" w:cs="FrankRuehl"/>
          <w:rtl/>
        </w:rPr>
        <w:t xml:space="preserve">, </w:t>
      </w:r>
      <w:hyperlink r:id="rId10" w:history="1">
        <w:r w:rsidRPr="00324732">
          <w:rPr>
            <w:rFonts w:ascii="FrankRuehl" w:hAnsi="FrankRuehl" w:cs="FrankRuehl"/>
            <w:color w:val="0000FF"/>
            <w:rtl/>
          </w:rPr>
          <w:t>13</w:t>
        </w:r>
      </w:hyperlink>
    </w:p>
    <w:p w14:paraId="4834D80A" w14:textId="77777777" w:rsidR="00324732" w:rsidRPr="00324732" w:rsidRDefault="00324732" w:rsidP="00324732">
      <w:pPr>
        <w:spacing w:before="120" w:after="120" w:line="240" w:lineRule="exact"/>
        <w:ind w:left="283" w:hanging="283"/>
        <w:jc w:val="both"/>
        <w:rPr>
          <w:rFonts w:ascii="FrankRuehl" w:hAnsi="FrankRuehl" w:cs="FrankRuehl"/>
          <w:rtl/>
        </w:rPr>
      </w:pPr>
      <w:hyperlink r:id="rId11" w:history="1">
        <w:r w:rsidRPr="00324732">
          <w:rPr>
            <w:rFonts w:ascii="FrankRuehl" w:hAnsi="FrankRuehl" w:cs="FrankRuehl"/>
            <w:color w:val="0000FF"/>
            <w:rtl/>
          </w:rPr>
          <w:t>חוק העונשין, תשל"ז-1977</w:t>
        </w:r>
      </w:hyperlink>
    </w:p>
    <w:p w14:paraId="2E50D3A5" w14:textId="77777777" w:rsidR="00324732" w:rsidRPr="00324732" w:rsidRDefault="00324732" w:rsidP="00324732">
      <w:pPr>
        <w:rPr>
          <w:sz w:val="26"/>
          <w:szCs w:val="26"/>
          <w:rtl/>
        </w:rPr>
      </w:pPr>
      <w:bookmarkStart w:id="4" w:name="LawTable_End"/>
      <w:bookmarkEnd w:id="4"/>
    </w:p>
    <w:p w14:paraId="6DD43CE0" w14:textId="77777777" w:rsidR="00261393" w:rsidRPr="00811490" w:rsidRDefault="00261393" w:rsidP="0081149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61393" w14:paraId="787526ED" w14:textId="77777777" w:rsidTr="00261393">
        <w:trPr>
          <w:trHeight w:val="355"/>
          <w:jc w:val="center"/>
        </w:trPr>
        <w:tc>
          <w:tcPr>
            <w:tcW w:w="8820" w:type="dxa"/>
            <w:tcBorders>
              <w:top w:val="nil"/>
              <w:left w:val="nil"/>
              <w:bottom w:val="nil"/>
              <w:right w:val="nil"/>
            </w:tcBorders>
            <w:shd w:val="clear" w:color="auto" w:fill="auto"/>
          </w:tcPr>
          <w:p w14:paraId="023058B6" w14:textId="77777777" w:rsidR="00DE47EB" w:rsidRPr="00DE47EB" w:rsidRDefault="00DE47EB" w:rsidP="00DE47EB">
            <w:pPr>
              <w:jc w:val="center"/>
              <w:rPr>
                <w:rFonts w:ascii="David" w:hAnsi="David"/>
                <w:b/>
                <w:bCs/>
                <w:sz w:val="32"/>
                <w:szCs w:val="32"/>
                <w:u w:val="single"/>
                <w:rtl/>
              </w:rPr>
            </w:pPr>
            <w:bookmarkStart w:id="5" w:name="PsakDin" w:colFirst="0" w:colLast="0"/>
            <w:bookmarkEnd w:id="0"/>
            <w:r w:rsidRPr="00DE47EB">
              <w:rPr>
                <w:rFonts w:ascii="David" w:hAnsi="David"/>
                <w:b/>
                <w:bCs/>
                <w:sz w:val="32"/>
                <w:szCs w:val="32"/>
                <w:u w:val="single"/>
                <w:rtl/>
              </w:rPr>
              <w:t>גזר דין</w:t>
            </w:r>
          </w:p>
          <w:p w14:paraId="13C7F0FF" w14:textId="77777777" w:rsidR="00261393" w:rsidRPr="00DE47EB" w:rsidRDefault="00261393" w:rsidP="00DE47EB">
            <w:pPr>
              <w:jc w:val="center"/>
              <w:rPr>
                <w:rFonts w:ascii="David" w:hAnsi="David"/>
                <w:bCs/>
                <w:sz w:val="32"/>
                <w:szCs w:val="32"/>
                <w:u w:val="single"/>
                <w:rtl/>
              </w:rPr>
            </w:pPr>
          </w:p>
        </w:tc>
      </w:tr>
      <w:bookmarkEnd w:id="5"/>
    </w:tbl>
    <w:p w14:paraId="41633D18" w14:textId="77777777" w:rsidR="00261393" w:rsidRPr="000F2247" w:rsidRDefault="00261393" w:rsidP="00261393">
      <w:pPr>
        <w:rPr>
          <w:rFonts w:ascii="Arial" w:hAnsi="Arial"/>
          <w:b/>
          <w:bCs/>
          <w:sz w:val="26"/>
          <w:szCs w:val="26"/>
          <w:rtl/>
        </w:rPr>
      </w:pPr>
    </w:p>
    <w:p w14:paraId="172BAA3F" w14:textId="77777777" w:rsidR="00261393" w:rsidRDefault="00261393" w:rsidP="00261393">
      <w:pPr>
        <w:spacing w:line="360" w:lineRule="auto"/>
        <w:jc w:val="both"/>
        <w:rPr>
          <w:rFonts w:ascii="David" w:hAnsi="David"/>
        </w:rPr>
      </w:pPr>
      <w:bookmarkStart w:id="6" w:name="ABSTRACT_START"/>
      <w:bookmarkEnd w:id="6"/>
      <w:r>
        <w:rPr>
          <w:rtl/>
        </w:rPr>
        <w:t xml:space="preserve">על יסוד הודאתו בעובדות כתב האישום המתוקן, הורשע  הנאשם בהחזקת סם מסוכן שלא לצריכה עצמית ובעבירה של סחר בסם מסוכן, עבירות לפי </w:t>
      </w:r>
      <w:hyperlink r:id="rId12" w:history="1">
        <w:r w:rsidR="006A41FE" w:rsidRPr="006A41FE">
          <w:rPr>
            <w:rStyle w:val="Hyperlink"/>
            <w:rtl/>
          </w:rPr>
          <w:t>סעיף 7(א)+(ג)</w:t>
        </w:r>
      </w:hyperlink>
      <w:r>
        <w:rPr>
          <w:rtl/>
        </w:rPr>
        <w:t xml:space="preserve"> רישא </w:t>
      </w:r>
      <w:hyperlink r:id="rId13" w:history="1">
        <w:r w:rsidR="006A41FE" w:rsidRPr="006A41FE">
          <w:rPr>
            <w:rStyle w:val="Hyperlink"/>
            <w:rtl/>
          </w:rPr>
          <w:t>וסעיף 13</w:t>
        </w:r>
      </w:hyperlink>
      <w:r>
        <w:rPr>
          <w:rtl/>
        </w:rPr>
        <w:t xml:space="preserve"> (בהתאמה) ב</w:t>
      </w:r>
      <w:hyperlink r:id="rId14" w:history="1">
        <w:r w:rsidR="00DE47EB" w:rsidRPr="00DE47EB">
          <w:rPr>
            <w:color w:val="0000FF"/>
            <w:u w:val="single"/>
            <w:rtl/>
          </w:rPr>
          <w:t>פקודת הסמים המסוכנים</w:t>
        </w:r>
      </w:hyperlink>
      <w:r>
        <w:rPr>
          <w:rtl/>
        </w:rPr>
        <w:t xml:space="preserve"> [נוסח חדש]  תשל"ג – 1973.</w:t>
      </w:r>
    </w:p>
    <w:p w14:paraId="012EF547" w14:textId="77777777" w:rsidR="00261393" w:rsidRDefault="00261393" w:rsidP="00261393">
      <w:pPr>
        <w:spacing w:line="360" w:lineRule="auto"/>
        <w:jc w:val="both"/>
        <w:rPr>
          <w:rFonts w:ascii="Arial" w:hAnsi="Arial"/>
          <w:b/>
          <w:bCs/>
          <w:u w:val="single"/>
          <w:rtl/>
        </w:rPr>
      </w:pPr>
    </w:p>
    <w:p w14:paraId="018455BA" w14:textId="77777777" w:rsidR="00261393" w:rsidRDefault="00261393" w:rsidP="00261393">
      <w:pPr>
        <w:spacing w:line="360" w:lineRule="auto"/>
        <w:jc w:val="both"/>
        <w:rPr>
          <w:rFonts w:ascii="Arial" w:hAnsi="Arial"/>
          <w:b/>
          <w:bCs/>
          <w:u w:val="single"/>
          <w:rtl/>
        </w:rPr>
      </w:pPr>
      <w:bookmarkStart w:id="7" w:name="ABSTRACT_END"/>
      <w:bookmarkEnd w:id="7"/>
      <w:r>
        <w:rPr>
          <w:rFonts w:ascii="Arial" w:hAnsi="Arial"/>
          <w:b/>
          <w:bCs/>
          <w:u w:val="single"/>
          <w:rtl/>
        </w:rPr>
        <w:t>כתב אישום מתוקן</w:t>
      </w:r>
    </w:p>
    <w:p w14:paraId="4CD96523" w14:textId="77777777" w:rsidR="00261393" w:rsidRDefault="00261393" w:rsidP="00261393">
      <w:pPr>
        <w:spacing w:line="360" w:lineRule="auto"/>
        <w:jc w:val="both"/>
        <w:rPr>
          <w:rFonts w:ascii="Arial" w:hAnsi="Arial"/>
          <w:rtl/>
        </w:rPr>
      </w:pPr>
      <w:r>
        <w:rPr>
          <w:rFonts w:ascii="Arial" w:hAnsi="Arial"/>
          <w:rtl/>
        </w:rPr>
        <w:t>1.</w:t>
      </w:r>
      <w:r>
        <w:rPr>
          <w:rFonts w:ascii="Arial" w:hAnsi="Arial"/>
          <w:rtl/>
        </w:rPr>
        <w:tab/>
        <w:t>על פי עובדות כתב האישום המתוקן, בשעת בוקר של יום 24.06.2021, מכר הנאשם סם מסוג</w:t>
      </w:r>
      <w:r>
        <w:rPr>
          <w:rFonts w:ascii="Arial" w:hAnsi="Arial"/>
          <w:sz w:val="22"/>
          <w:szCs w:val="22"/>
        </w:rPr>
        <w:t xml:space="preserve">MDMB-4EN-PINACA </w:t>
      </w:r>
      <w:r>
        <w:rPr>
          <w:rFonts w:ascii="Arial" w:hAnsi="Arial"/>
          <w:rtl/>
        </w:rPr>
        <w:t xml:space="preserve"> במשקל 4 גרם נטו למר רועי סלומון תמורת 50 ₪. במעמד זה, נמצא הנאשם כשהוא מחזיק בכיס מעילו 2 יחידות של הסם מהסוג הנ"ל במשקל כולל של 8.83 גרם נטו, ובגרביים שלבש, החזיק בסם מסוכן </w:t>
      </w:r>
      <w:r>
        <w:rPr>
          <w:sz w:val="22"/>
          <w:szCs w:val="22"/>
        </w:rPr>
        <w:t>ADB</w:t>
      </w:r>
      <w:r>
        <w:rPr>
          <w:sz w:val="22"/>
          <w:szCs w:val="22"/>
          <w:rtl/>
        </w:rPr>
        <w:t xml:space="preserve"> </w:t>
      </w:r>
      <w:r>
        <w:rPr>
          <w:rFonts w:ascii="Arial" w:hAnsi="Arial"/>
          <w:rtl/>
        </w:rPr>
        <w:t xml:space="preserve">במשקל של 16.78 גרם נטו. בנוסף, בשיח שנמצא סמוך </w:t>
      </w:r>
      <w:r>
        <w:rPr>
          <w:rFonts w:ascii="Arial" w:hAnsi="Arial"/>
          <w:rtl/>
        </w:rPr>
        <w:lastRenderedPageBreak/>
        <w:t xml:space="preserve">למקום, החזיק הנאשם ב – 2 יחידות סם מסוכן </w:t>
      </w:r>
      <w:r>
        <w:rPr>
          <w:sz w:val="22"/>
          <w:szCs w:val="22"/>
        </w:rPr>
        <w:t>MDMB</w:t>
      </w:r>
      <w:r>
        <w:rPr>
          <w:rFonts w:ascii="Arial" w:hAnsi="Arial"/>
          <w:rtl/>
        </w:rPr>
        <w:t xml:space="preserve"> במשקל כולל של 8.91 גרם נטו, והכל שלא לצריכתו העצמית. </w:t>
      </w:r>
    </w:p>
    <w:p w14:paraId="4B09C744" w14:textId="77777777" w:rsidR="00261393" w:rsidRDefault="00261393" w:rsidP="00261393">
      <w:pPr>
        <w:spacing w:line="360" w:lineRule="auto"/>
        <w:jc w:val="both"/>
        <w:rPr>
          <w:noProof/>
          <w:rtl/>
        </w:rPr>
      </w:pPr>
    </w:p>
    <w:p w14:paraId="512E5B3C" w14:textId="77777777" w:rsidR="00261393" w:rsidRDefault="00261393" w:rsidP="00261393">
      <w:pPr>
        <w:spacing w:line="360" w:lineRule="auto"/>
        <w:jc w:val="both"/>
        <w:rPr>
          <w:rFonts w:ascii="Arial" w:hAnsi="Arial"/>
          <w:b/>
          <w:bCs/>
          <w:u w:val="single"/>
          <w:rtl/>
        </w:rPr>
      </w:pPr>
      <w:r>
        <w:rPr>
          <w:rFonts w:ascii="Arial" w:hAnsi="Arial"/>
          <w:b/>
          <w:bCs/>
          <w:u w:val="single"/>
          <w:rtl/>
        </w:rPr>
        <w:t>תסקיר שירות מבחן</w:t>
      </w:r>
    </w:p>
    <w:p w14:paraId="7A6EFD56" w14:textId="77777777" w:rsidR="00261393" w:rsidRDefault="00261393" w:rsidP="00261393">
      <w:pPr>
        <w:spacing w:line="360" w:lineRule="auto"/>
        <w:jc w:val="both"/>
        <w:rPr>
          <w:rFonts w:ascii="Arial" w:hAnsi="Arial"/>
          <w:rtl/>
        </w:rPr>
      </w:pPr>
      <w:r>
        <w:rPr>
          <w:rFonts w:ascii="Arial" w:hAnsi="Arial"/>
          <w:rtl/>
        </w:rPr>
        <w:t>2.</w:t>
      </w:r>
      <w:r>
        <w:rPr>
          <w:rFonts w:ascii="Arial" w:hAnsi="Arial"/>
          <w:rtl/>
        </w:rPr>
        <w:tab/>
        <w:t xml:space="preserve">מתסקיר שירות מבחן שהוגש ביום 27.02.2022 עולה כי הנאשם, סיים 9 שנות לימוד, כבן 24, נשוי, ללא ילדים, מתגורר בבית הוריו בתל שבע יחד עם אשתו, עובד בתחנת דלק, ולדבריו  סובל מצליאק מגיל צעיר. </w:t>
      </w:r>
    </w:p>
    <w:p w14:paraId="0EF9C5B4" w14:textId="77777777" w:rsidR="00261393" w:rsidRDefault="00261393" w:rsidP="00261393">
      <w:pPr>
        <w:spacing w:line="360" w:lineRule="auto"/>
        <w:jc w:val="both"/>
        <w:rPr>
          <w:rFonts w:ascii="Arial" w:hAnsi="Arial"/>
          <w:rtl/>
        </w:rPr>
      </w:pPr>
      <w:r>
        <w:rPr>
          <w:rFonts w:ascii="Arial" w:hAnsi="Arial"/>
          <w:rtl/>
        </w:rPr>
        <w:t xml:space="preserve">בהתייחסותו לעבירות בהן הורשע מסר הנאשם כי באותה תקופה עבד בניקיון בבית חולים סורוקה בשכר מינימום, ואדם שהכיר הציע לו לעבוד עמו בתחום של סחר בסמים. לדבריו התפתה לעשות כן בשל הרווח הכלכלי ומבלי ששקל את השלכות מעשיו לטווח הארוך. </w:t>
      </w:r>
    </w:p>
    <w:p w14:paraId="1F224ECD" w14:textId="77777777" w:rsidR="00261393" w:rsidRDefault="00261393" w:rsidP="00261393">
      <w:pPr>
        <w:spacing w:line="360" w:lineRule="auto"/>
        <w:jc w:val="both"/>
        <w:rPr>
          <w:rFonts w:ascii="Arial" w:hAnsi="Arial"/>
          <w:rtl/>
        </w:rPr>
      </w:pPr>
      <w:r>
        <w:rPr>
          <w:rFonts w:ascii="Arial" w:hAnsi="Arial"/>
          <w:rtl/>
        </w:rPr>
        <w:t xml:space="preserve">הנאשם שלל שימוש ואף התנסות בסמים ובאלכוהול ותוצאות בדיקות השתן שמסר נמצאו נקיות. בהמשך, שולב בקבוצת עצורי בית, התמיד בהגעתו וכשלא הגיע, הודיע מראש על היעדרותו. בנוסף, בשל ריבוי עבירות בתחום התעבורה, הוצע לנאשם לקחת חלק בקבוצות תעבורה ומשסבר שקבוצת תעבורה תוכל לסייע לו עם עמדותיו המקלות ומצבי הסיכון שנקלע אליהם בתחום התעבורה, הסכים להשתתף בקבוצה זו. </w:t>
      </w:r>
    </w:p>
    <w:p w14:paraId="0235E219" w14:textId="77777777" w:rsidR="00261393" w:rsidRDefault="00261393" w:rsidP="00261393">
      <w:pPr>
        <w:spacing w:line="360" w:lineRule="auto"/>
        <w:jc w:val="both"/>
        <w:rPr>
          <w:rFonts w:ascii="Arial" w:hAnsi="Arial"/>
          <w:rtl/>
        </w:rPr>
      </w:pPr>
      <w:r>
        <w:rPr>
          <w:rFonts w:ascii="Arial" w:hAnsi="Arial"/>
          <w:rtl/>
        </w:rPr>
        <w:t xml:space="preserve">בין גורמי הסיכון להישנות העבירות והתנהגות פלילית, ציין השירות בהתרשמותו מהנאשם כאדם עם אישיות נגררת, עברו הפלילי, חוסר יציבות במסגרת החינוכית, קשייו והחשש שלו מדמויות סמכות. מכאן ובהינתן ההתרשמות, לפיה בעת משבר פועל הנאשם בצורה אימפולסיבית ללא השקעת מחשבה לצד העובדה כי  ענישה בעבר בדמות עבודת שירות לא הרתיעה אותו מביצוע העבירה כיום, סבר השירות כי לא ניתן לשלול סיכון לביצוע עבירות דומות בעתיד. </w:t>
      </w:r>
    </w:p>
    <w:p w14:paraId="682F8177" w14:textId="77777777" w:rsidR="00261393" w:rsidRDefault="00261393" w:rsidP="00261393">
      <w:pPr>
        <w:spacing w:line="360" w:lineRule="auto"/>
        <w:jc w:val="both"/>
        <w:rPr>
          <w:rFonts w:ascii="Arial" w:hAnsi="Arial"/>
          <w:u w:val="single"/>
          <w:rtl/>
        </w:rPr>
      </w:pPr>
    </w:p>
    <w:p w14:paraId="0186AEC5" w14:textId="77777777" w:rsidR="00261393" w:rsidRDefault="00261393" w:rsidP="00261393">
      <w:pPr>
        <w:spacing w:line="360" w:lineRule="auto"/>
        <w:jc w:val="both"/>
        <w:rPr>
          <w:rFonts w:ascii="Arial" w:hAnsi="Arial"/>
          <w:rtl/>
        </w:rPr>
      </w:pPr>
      <w:r>
        <w:rPr>
          <w:rFonts w:ascii="Arial" w:hAnsi="Arial"/>
          <w:rtl/>
        </w:rPr>
        <w:t xml:space="preserve">לצד האמור, בהערכת הסיכוי לשיקום הביא השירות בחשבון את יכולותיו של הנאשם לקחת אחריות על מעשיו לשתף באופן כנה בדבר הנסיבות שהובילו אותו לביצועה. השירות ציין כי הנאשם מגלה יציבות בתעסוקה ובעל שאיפה להקים עסק משלו. כמו כן, התרשם  כי משפחת הנאשם מהווה עבורו תמיכה ועוגן משמעותי, העריך כי משפחתו מהווה עבורו גורם שיקומי משמעותי . עוד בסיכוי לשיקום התרשם השירות כי חווית המעצר של הנאשם והתנאים המגבילים בהם היה נתון תקופה ממושכת מהווים גורם מפחית סיכון והדבר מקבל משנה תוקף בהינתן מוטיבציה גבוהה לשינוי בחייו וברצונו לשתף פעולה ולקחת חלק בקבוצות הטיפוליות אצל השירות. </w:t>
      </w:r>
    </w:p>
    <w:p w14:paraId="26EB5B56" w14:textId="77777777" w:rsidR="00261393" w:rsidRDefault="00261393" w:rsidP="00261393">
      <w:pPr>
        <w:spacing w:line="360" w:lineRule="auto"/>
        <w:jc w:val="both"/>
        <w:rPr>
          <w:rFonts w:ascii="Arial" w:hAnsi="Arial"/>
          <w:rtl/>
        </w:rPr>
      </w:pPr>
      <w:r>
        <w:rPr>
          <w:rFonts w:ascii="Arial" w:hAnsi="Arial"/>
          <w:rtl/>
        </w:rPr>
        <w:t xml:space="preserve">בסופם של דברים ולאור התרשמות השירות לנזקקות טיפולית אצל הנאשם, הן בתחום התעבורה (בשל ריבוי עבירות בתחום זה) והן בתחום הפלילי בו מצוי בסיכון, ולאור הערכתו כי טיפול ממושך בתחום התעבורה יסייע לנאשם לעשות התבוננות מעמיקה על דפוסיו המכשילים בתחום זה וירחיב את מודעותו למצבי סיכון עתידיים, בא בהמלצה להעמידו בצו מבחן למשך שנה, במסגרתו ישולב הנאשם בקבוצות הטיפול הרלוונטיות. עוד המליץ על התחייבות כספית להימנע מעבירה וענישה הרתעתית בדמות מאסר על תנאי. </w:t>
      </w:r>
    </w:p>
    <w:p w14:paraId="2E1BCCAF" w14:textId="77777777" w:rsidR="00261393" w:rsidRDefault="00261393" w:rsidP="00261393">
      <w:pPr>
        <w:spacing w:line="360" w:lineRule="auto"/>
        <w:jc w:val="both"/>
        <w:rPr>
          <w:rFonts w:ascii="Arial" w:hAnsi="Arial"/>
          <w:b/>
          <w:bCs/>
          <w:u w:val="single"/>
          <w:rtl/>
        </w:rPr>
      </w:pPr>
    </w:p>
    <w:p w14:paraId="7B881DC4" w14:textId="77777777" w:rsidR="00261393" w:rsidRDefault="00261393" w:rsidP="00261393">
      <w:pPr>
        <w:spacing w:line="360" w:lineRule="auto"/>
        <w:jc w:val="both"/>
        <w:rPr>
          <w:rFonts w:ascii="Arial" w:hAnsi="Arial"/>
          <w:b/>
          <w:bCs/>
          <w:sz w:val="26"/>
          <w:szCs w:val="26"/>
          <w:u w:val="single"/>
          <w:rtl/>
        </w:rPr>
      </w:pPr>
      <w:r>
        <w:rPr>
          <w:rFonts w:ascii="Arial" w:hAnsi="Arial"/>
          <w:b/>
          <w:bCs/>
          <w:sz w:val="26"/>
          <w:szCs w:val="26"/>
          <w:u w:val="single"/>
          <w:rtl/>
        </w:rPr>
        <w:lastRenderedPageBreak/>
        <w:t xml:space="preserve">ראיות וטיעוני הצדדים לעונש </w:t>
      </w:r>
    </w:p>
    <w:p w14:paraId="2FEAD5A3" w14:textId="77777777" w:rsidR="00261393" w:rsidRDefault="00261393" w:rsidP="00261393">
      <w:pPr>
        <w:spacing w:line="360" w:lineRule="auto"/>
        <w:jc w:val="both"/>
        <w:rPr>
          <w:noProof/>
          <w:rtl/>
        </w:rPr>
      </w:pPr>
      <w:r>
        <w:rPr>
          <w:rFonts w:ascii="Arial" w:hAnsi="Arial"/>
          <w:rtl/>
        </w:rPr>
        <w:t>3.</w:t>
      </w:r>
      <w:r>
        <w:rPr>
          <w:rFonts w:ascii="Arial" w:hAnsi="Arial"/>
          <w:rtl/>
        </w:rPr>
        <w:tab/>
        <w:t>התביעה</w:t>
      </w:r>
      <w:r>
        <w:rPr>
          <w:rFonts w:ascii="Arial" w:hAnsi="Arial"/>
          <w:b/>
          <w:bCs/>
          <w:rtl/>
        </w:rPr>
        <w:t xml:space="preserve"> </w:t>
      </w:r>
      <w:r>
        <w:rPr>
          <w:rtl/>
        </w:rPr>
        <w:t xml:space="preserve">הגישה כראיות לעונש את רישום פלילי, רישום תעבורתי וטיעונים לעונש בכתב. </w:t>
      </w:r>
      <w:r>
        <w:rPr>
          <w:b/>
          <w:bCs/>
          <w:rtl/>
        </w:rPr>
        <w:t>ב"כ התביעה, עו"ד חננאל שאקלר,</w:t>
      </w:r>
      <w:r>
        <w:rPr>
          <w:rtl/>
        </w:rPr>
        <w:t xml:space="preserve"> עתר בטיעוניו בכתב לקבוע את מתחם העונש ההולם, את מעשי הנאשם כך</w:t>
      </w:r>
      <w:r>
        <w:rPr>
          <w:rFonts w:hint="cs"/>
          <w:rtl/>
        </w:rPr>
        <w:t xml:space="preserve"> </w:t>
      </w:r>
      <w:r>
        <w:rPr>
          <w:rtl/>
        </w:rPr>
        <w:t xml:space="preserve">שינוע בין 12 – 22 חודשי מאסר ואת עונשו של הנאשם בחלק הנמוך של המתחם אך לא בתחתית המתחם. </w:t>
      </w:r>
    </w:p>
    <w:p w14:paraId="5F129FF6" w14:textId="77777777" w:rsidR="00261393" w:rsidRDefault="00261393" w:rsidP="00261393">
      <w:pPr>
        <w:spacing w:line="360" w:lineRule="auto"/>
        <w:jc w:val="both"/>
        <w:rPr>
          <w:rtl/>
        </w:rPr>
      </w:pPr>
      <w:r>
        <w:rPr>
          <w:rtl/>
        </w:rPr>
        <w:t>נטען  לפגיעה גבוהה בערכים המוגנים שנועדו להגן על בריאותו ושלומו של הציבור, זאת בהינתן עסקת סחר באור יום, בטבורה של העיר באר שבע, כ</w:t>
      </w:r>
      <w:r>
        <w:rPr>
          <w:rFonts w:hint="cs"/>
          <w:rtl/>
        </w:rPr>
        <w:t>ש</w:t>
      </w:r>
      <w:r>
        <w:rPr>
          <w:rtl/>
        </w:rPr>
        <w:t xml:space="preserve">בנסיבות אלה נמצאו ברשותו של הנאשם סמים מאותו סוג בו סחר במשקלים שונים ובסמוך למקום נמצאה כמות נוספת אותה הסתיר הנאשם. נטען כי עצם החזקת סמים על גופו של הנאשם וסמוך למקו9ם בו נתפס, מלמדת כי על כוונתו של  הנאשם היה לסחור בסמים אלה. </w:t>
      </w:r>
    </w:p>
    <w:p w14:paraId="688F80B9" w14:textId="77777777" w:rsidR="00261393" w:rsidRDefault="00261393" w:rsidP="00261393">
      <w:pPr>
        <w:spacing w:line="360" w:lineRule="auto"/>
        <w:jc w:val="both"/>
        <w:rPr>
          <w:rtl/>
        </w:rPr>
      </w:pPr>
      <w:r>
        <w:rPr>
          <w:rtl/>
        </w:rPr>
        <w:t xml:space="preserve">ב"כ התביעה הפנה בטיעוניו הכתובים למקרים בפסיקה שנטען כי יש בהם לתמוך במתחם העונש ההולם לו עתרה התביעה. </w:t>
      </w:r>
    </w:p>
    <w:p w14:paraId="644A29AC" w14:textId="77777777" w:rsidR="00261393" w:rsidRDefault="00261393" w:rsidP="00261393">
      <w:pPr>
        <w:spacing w:line="360" w:lineRule="auto"/>
        <w:jc w:val="both"/>
        <w:rPr>
          <w:rtl/>
        </w:rPr>
      </w:pPr>
      <w:r>
        <w:rPr>
          <w:rtl/>
        </w:rPr>
        <w:t>בטיעוני על פה, התייחסה לתסקיר שירות המבחן וציינה בהתרשמות השירות בחלקים המוחלשים שבאופיו של הנאשם (בעל אישיות נגררת, פועל באופן אימפולסיבי בעת משבר), לרבות כי בעבר ריצה עבודות שירות שלא הרתיע אותו מלבצע את העבירות כיום. התביעה סבורה כי אין מקום לקבל המלצת שירות המבחן נוכח</w:t>
      </w:r>
      <w:r>
        <w:rPr>
          <w:rFonts w:hint="cs"/>
          <w:rtl/>
        </w:rPr>
        <w:t xml:space="preserve"> </w:t>
      </w:r>
      <w:r>
        <w:rPr>
          <w:rtl/>
        </w:rPr>
        <w:t xml:space="preserve">מהות העבירות וחומרתן וכי אין בעניינו טעמים והצדק לסטייה ממתחם העונש ההולם.  </w:t>
      </w:r>
    </w:p>
    <w:p w14:paraId="0C2D9DFA" w14:textId="77777777" w:rsidR="00261393" w:rsidRDefault="00261393" w:rsidP="00261393">
      <w:pPr>
        <w:spacing w:line="360" w:lineRule="auto"/>
        <w:jc w:val="both"/>
        <w:rPr>
          <w:rtl/>
        </w:rPr>
      </w:pPr>
    </w:p>
    <w:p w14:paraId="4D124847" w14:textId="77777777" w:rsidR="00261393" w:rsidRDefault="00261393" w:rsidP="00261393">
      <w:pPr>
        <w:spacing w:line="360" w:lineRule="auto"/>
        <w:jc w:val="both"/>
        <w:rPr>
          <w:rtl/>
        </w:rPr>
      </w:pPr>
      <w:r>
        <w:rPr>
          <w:rtl/>
        </w:rPr>
        <w:t>4.</w:t>
      </w:r>
      <w:r>
        <w:rPr>
          <w:rtl/>
        </w:rPr>
        <w:tab/>
      </w:r>
      <w:r>
        <w:rPr>
          <w:b/>
          <w:bCs/>
          <w:rtl/>
        </w:rPr>
        <w:t>ב"כ הנאשם, עו"ד האיל אבו גררה,</w:t>
      </w:r>
      <w:r>
        <w:rPr>
          <w:rtl/>
        </w:rPr>
        <w:t xml:space="preserve"> בטיעוניו בכתב ועל פה טען כי מתחם העונש ההולם למעשי הנאשם צריך וינוע בין מאסר על תנאי ועד 7 חודשי מאסר בפועל, שיכול וירוצו בעבודות שירות. </w:t>
      </w:r>
    </w:p>
    <w:p w14:paraId="516B9812" w14:textId="77777777" w:rsidR="00261393" w:rsidRDefault="00261393" w:rsidP="00261393">
      <w:pPr>
        <w:spacing w:line="360" w:lineRule="auto"/>
        <w:jc w:val="both"/>
        <w:rPr>
          <w:rtl/>
        </w:rPr>
      </w:pPr>
      <w:r>
        <w:rPr>
          <w:rtl/>
        </w:rPr>
        <w:t>ב"כ הנאשם ציין בחומרת העבירות אם כי טען שנסיבות ביצוען אינו ברף גבוה. נטען כי מכירת הסם הייתה למכר קרוב של הנאשם וכי הסיבה שברקע ביצועה הייתה מצב כלכלי קשה אליו נקלע הנאשם, אשר כשל עת נגרר אחר אדם אחר שהציע לו לסחור בסמים. ב"כ הנאשם הפנה למקרים בפסיקה כך בין היתר ל</w:t>
      </w:r>
      <w:hyperlink r:id="rId15" w:history="1">
        <w:r w:rsidR="00DE47EB" w:rsidRPr="00DE47EB">
          <w:rPr>
            <w:color w:val="0000FF"/>
            <w:u w:val="single"/>
            <w:rtl/>
          </w:rPr>
          <w:t>ת"פ 17215-10-21</w:t>
        </w:r>
      </w:hyperlink>
      <w:r>
        <w:rPr>
          <w:rtl/>
        </w:rPr>
        <w:t xml:space="preserve"> </w:t>
      </w:r>
      <w:r>
        <w:rPr>
          <w:b/>
          <w:bCs/>
          <w:rtl/>
        </w:rPr>
        <w:t xml:space="preserve">מדינת ישראל נ' יצחקי </w:t>
      </w:r>
      <w:r>
        <w:rPr>
          <w:rtl/>
        </w:rPr>
        <w:t>שניתן על ידי מותב זה, שם נקבע מתחם עונש בין מספר חודשים קצר ועד 12 חודשי מאסר בפועל בנסיבות בהן הנאשם הורשע במכירה לסוכן משטרתי, סם קנאבוס במשקל של 2.11 גרם וסם מסוג חשיש במשקל של 0.65 גרם בתמורה לסך של 300 ₪, ואשר עונשו נגזר ל -3 חודשי מאסר בפועל. עוד הפנה ל</w:t>
      </w:r>
      <w:hyperlink r:id="rId16" w:history="1">
        <w:r w:rsidR="00DE47EB" w:rsidRPr="00DE47EB">
          <w:rPr>
            <w:color w:val="0000FF"/>
            <w:u w:val="single"/>
            <w:rtl/>
          </w:rPr>
          <w:t>עפ"ג 55718-06-21</w:t>
        </w:r>
      </w:hyperlink>
      <w:r>
        <w:rPr>
          <w:rtl/>
        </w:rPr>
        <w:t xml:space="preserve"> </w:t>
      </w:r>
      <w:r>
        <w:rPr>
          <w:b/>
          <w:bCs/>
          <w:rtl/>
        </w:rPr>
        <w:t xml:space="preserve">יצחק בירו נ' מדינת ישראל, </w:t>
      </w:r>
      <w:r>
        <w:rPr>
          <w:rtl/>
        </w:rPr>
        <w:t>שם נגזר דינו של נאשם ל-8 חודשי עבודות שירות לצד ענישה נלווית, בנסיבות בהן הורשע בעבירת סחר מסוג קנאבוס במשקל 35 גרם תמורה ל-1,000 ₪ ובאישום נוסף העסיק אדם אחר לצורך ביצוע עסקאות סחר עבור קבוצה  של סוחרי סמים שהיה חלק ממנה.</w:t>
      </w:r>
    </w:p>
    <w:p w14:paraId="27B5C0EF" w14:textId="77777777" w:rsidR="00261393" w:rsidRDefault="00261393" w:rsidP="00261393">
      <w:pPr>
        <w:spacing w:line="360" w:lineRule="auto"/>
        <w:jc w:val="both"/>
        <w:rPr>
          <w:rtl/>
        </w:rPr>
      </w:pPr>
      <w:r>
        <w:rPr>
          <w:rtl/>
        </w:rPr>
        <w:t xml:space="preserve">אשר לעונשו של הנאשם, ציין בגילו הצעיר של הנאשם, 24 שנים, כי הוא נשוי, בן למשפחה נורמטיבית שומרת חוק, שמזה מספר חודשים עובד בתחנת דלק, תוך שהוא נתון בתנאים מגבילים בדמות מעצר בית לילי מהשעה 22:00 ועד השעה 06:00. ציין כי עובר למעצרו בתיק דנן עבד הנאשם בניקיון. </w:t>
      </w:r>
    </w:p>
    <w:p w14:paraId="02B754DD" w14:textId="77777777" w:rsidR="00261393" w:rsidRDefault="00261393" w:rsidP="00261393">
      <w:pPr>
        <w:spacing w:line="360" w:lineRule="auto"/>
        <w:jc w:val="both"/>
        <w:rPr>
          <w:rtl/>
        </w:rPr>
      </w:pPr>
      <w:r>
        <w:rPr>
          <w:rtl/>
        </w:rPr>
        <w:t xml:space="preserve">אשר לעברו הפלילי טען כי הגם שהנאשם הורשע  בעבירת רכוש שעניינה גניבת רכב, המדובר בהרשעה משנת 2018 שבעת ביצועה היה גילו של הנאשם 18 ו-4 חודשים ולא בכדי לא נגזר עליו מאסר בפועל. </w:t>
      </w:r>
    </w:p>
    <w:p w14:paraId="4E3F5310" w14:textId="77777777" w:rsidR="00261393" w:rsidRDefault="00261393" w:rsidP="00261393">
      <w:pPr>
        <w:spacing w:line="360" w:lineRule="auto"/>
        <w:jc w:val="both"/>
        <w:rPr>
          <w:rtl/>
        </w:rPr>
      </w:pPr>
      <w:r>
        <w:rPr>
          <w:rtl/>
        </w:rPr>
        <w:t>ב"כ הנאשם הפנה לתסקיר שירות מבחן אשר נטען כי מהותו חיובי ביותר ומלמד על סיכוי גבוה לשיקום, תוך שהדגיש שהנאשם הבין את הפסול במעשיו ושינה את דרכיו. לדידו של הסנגור, ניתן להסתפק בהמלצת שירות המבחן בשים לב לעובדה הנאשם היה נתון במעצר מאחורי סורג ובריח משך שלושה חודשים. בכל מקרה הפנה לחוות דעת של הממונה על עבודות השירות לפיה נמצא הנאשם כשיר ומתאים לביצוע המאסר בדרך של עבודות שירות.</w:t>
      </w:r>
    </w:p>
    <w:p w14:paraId="6E62702B" w14:textId="77777777" w:rsidR="00261393" w:rsidRDefault="00261393" w:rsidP="00261393">
      <w:pPr>
        <w:spacing w:line="360" w:lineRule="auto"/>
        <w:jc w:val="both"/>
        <w:rPr>
          <w:rtl/>
        </w:rPr>
      </w:pPr>
      <w:r>
        <w:rPr>
          <w:rtl/>
        </w:rPr>
        <w:t>בסוף הדברים הדגיש הסנגור בעובדה כי הנאשם לקח אחריות על מעשיו, הודה בהזד</w:t>
      </w:r>
      <w:r>
        <w:rPr>
          <w:rFonts w:hint="cs"/>
          <w:rtl/>
        </w:rPr>
        <w:t>מ</w:t>
      </w:r>
      <w:r>
        <w:rPr>
          <w:rtl/>
        </w:rPr>
        <w:t xml:space="preserve">נות הראשונה וחסך זמן שיפוטי יקר, וכי נולד לו ילד בתקופה האחרונה.  </w:t>
      </w:r>
    </w:p>
    <w:p w14:paraId="51760CEB" w14:textId="77777777" w:rsidR="00261393" w:rsidRDefault="00261393" w:rsidP="00261393">
      <w:pPr>
        <w:spacing w:line="360" w:lineRule="auto"/>
        <w:jc w:val="both"/>
        <w:rPr>
          <w:rtl/>
        </w:rPr>
      </w:pPr>
    </w:p>
    <w:p w14:paraId="38DA7168" w14:textId="77777777" w:rsidR="00261393" w:rsidRDefault="00261393" w:rsidP="00261393">
      <w:pPr>
        <w:spacing w:line="360" w:lineRule="auto"/>
        <w:jc w:val="both"/>
        <w:rPr>
          <w:rtl/>
        </w:rPr>
      </w:pPr>
      <w:r>
        <w:rPr>
          <w:rtl/>
        </w:rPr>
        <w:t>הנאשם בדבריו מסר כי נולד לו ילד, כי מצבו הכלכלי קשה וכי נוכח שהוא פסול מלנהוג הוא לא יכול לעבוד.</w:t>
      </w:r>
    </w:p>
    <w:p w14:paraId="2F3D7B0C" w14:textId="77777777" w:rsidR="00261393" w:rsidRDefault="00261393" w:rsidP="00261393">
      <w:pPr>
        <w:spacing w:line="360" w:lineRule="auto"/>
        <w:jc w:val="both"/>
        <w:rPr>
          <w:rFonts w:ascii="Arial" w:hAnsi="Arial"/>
          <w:rtl/>
        </w:rPr>
      </w:pPr>
    </w:p>
    <w:p w14:paraId="64A65426" w14:textId="77777777" w:rsidR="00261393" w:rsidRDefault="00261393" w:rsidP="00261393">
      <w:pPr>
        <w:spacing w:line="360" w:lineRule="auto"/>
        <w:jc w:val="both"/>
        <w:rPr>
          <w:rFonts w:ascii="Arial" w:hAnsi="Arial"/>
          <w:rtl/>
        </w:rPr>
      </w:pPr>
    </w:p>
    <w:p w14:paraId="5BF71902" w14:textId="77777777" w:rsidR="00261393" w:rsidRDefault="00261393" w:rsidP="00261393">
      <w:pPr>
        <w:spacing w:line="360" w:lineRule="auto"/>
        <w:jc w:val="both"/>
        <w:rPr>
          <w:rFonts w:ascii="Arial" w:hAnsi="Arial"/>
          <w:b/>
          <w:bCs/>
          <w:u w:val="single"/>
          <w:rtl/>
        </w:rPr>
      </w:pPr>
      <w:r>
        <w:rPr>
          <w:b/>
          <w:bCs/>
          <w:sz w:val="28"/>
          <w:szCs w:val="28"/>
          <w:u w:val="single"/>
          <w:rtl/>
        </w:rPr>
        <w:t>דיון</w:t>
      </w:r>
      <w:r>
        <w:rPr>
          <w:rFonts w:ascii="Arial" w:hAnsi="Arial"/>
          <w:b/>
          <w:bCs/>
          <w:u w:val="single"/>
          <w:rtl/>
        </w:rPr>
        <w:t xml:space="preserve"> </w:t>
      </w:r>
    </w:p>
    <w:p w14:paraId="31874E73" w14:textId="77777777" w:rsidR="00261393" w:rsidRDefault="00261393" w:rsidP="00261393">
      <w:pPr>
        <w:spacing w:line="360" w:lineRule="auto"/>
        <w:jc w:val="both"/>
        <w:rPr>
          <w:rFonts w:ascii="Arial" w:hAnsi="Arial"/>
          <w:b/>
          <w:bCs/>
          <w:u w:val="single"/>
          <w:rtl/>
        </w:rPr>
      </w:pPr>
    </w:p>
    <w:p w14:paraId="2ED95AC2" w14:textId="77777777" w:rsidR="00261393" w:rsidRDefault="00261393" w:rsidP="00261393">
      <w:pPr>
        <w:spacing w:line="360" w:lineRule="auto"/>
        <w:jc w:val="both"/>
        <w:rPr>
          <w:rFonts w:ascii="Arial" w:hAnsi="Arial"/>
          <w:b/>
          <w:bCs/>
          <w:u w:val="single"/>
          <w:rtl/>
        </w:rPr>
      </w:pPr>
      <w:r>
        <w:rPr>
          <w:rFonts w:ascii="Arial" w:hAnsi="Arial"/>
          <w:b/>
          <w:bCs/>
          <w:u w:val="single"/>
          <w:rtl/>
        </w:rPr>
        <w:t>מתחם  העונש ההולם</w:t>
      </w:r>
    </w:p>
    <w:p w14:paraId="637B9B2B" w14:textId="77777777" w:rsidR="00261393" w:rsidRDefault="00261393" w:rsidP="00261393">
      <w:pPr>
        <w:spacing w:line="360" w:lineRule="auto"/>
        <w:jc w:val="both"/>
        <w:rPr>
          <w:rFonts w:ascii="David" w:hAnsi="David"/>
          <w:noProof/>
        </w:rPr>
      </w:pPr>
      <w:r>
        <w:rPr>
          <w:rtl/>
        </w:rPr>
        <w:t>עבירות סמים פוגעות בערכים שנועדו להגן על שלומו ובריאותו של הציבור מפני פגיעתם הקשה של הסמים אשר השפעתם כידוע משלחת בריאותית, חברתית וכלכלית בחברה כולה. הפגיעה בערכים המוגנים מתעצמת בעבירות מסוג הסחר בסמים שכן הסוחרים הם החוליות המהותיות בשרשרת הפצת הסם. על החשיבות והצורך במיגורן כמו גם על מקומם ומשקלם של שיקולי ההרתעה והגמול במכלול השיקולים לעונש ראו ב</w:t>
      </w:r>
      <w:hyperlink r:id="rId17" w:history="1">
        <w:r w:rsidR="00DE47EB" w:rsidRPr="00DE47EB">
          <w:rPr>
            <w:color w:val="0000FF"/>
            <w:u w:val="single"/>
            <w:rtl/>
          </w:rPr>
          <w:t>ע"פ 9482/09</w:t>
        </w:r>
      </w:hyperlink>
      <w:r>
        <w:rPr>
          <w:rtl/>
        </w:rPr>
        <w:t xml:space="preserve"> </w:t>
      </w:r>
      <w:r>
        <w:rPr>
          <w:b/>
          <w:bCs/>
          <w:rtl/>
        </w:rPr>
        <w:t>ביטון נגד מדינת ישראל</w:t>
      </w:r>
      <w:r>
        <w:rPr>
          <w:rtl/>
        </w:rPr>
        <w:t xml:space="preserve"> (2011). </w:t>
      </w:r>
    </w:p>
    <w:p w14:paraId="17FCA088" w14:textId="77777777" w:rsidR="00261393" w:rsidRDefault="00261393" w:rsidP="00261393">
      <w:pPr>
        <w:spacing w:line="360" w:lineRule="auto"/>
        <w:jc w:val="both"/>
        <w:rPr>
          <w:rtl/>
        </w:rPr>
      </w:pPr>
    </w:p>
    <w:p w14:paraId="51A74810" w14:textId="77777777" w:rsidR="00261393" w:rsidRDefault="00261393" w:rsidP="00261393">
      <w:pPr>
        <w:spacing w:line="360" w:lineRule="auto"/>
        <w:jc w:val="both"/>
        <w:rPr>
          <w:b/>
          <w:bCs/>
          <w:rtl/>
        </w:rPr>
      </w:pPr>
      <w:r>
        <w:rPr>
          <w:b/>
          <w:bCs/>
          <w:rtl/>
        </w:rPr>
        <w:t>נסיבות ביצוע העבירות</w:t>
      </w:r>
    </w:p>
    <w:p w14:paraId="198472AB" w14:textId="77777777" w:rsidR="00261393" w:rsidRDefault="00261393" w:rsidP="00261393">
      <w:pPr>
        <w:spacing w:line="360" w:lineRule="auto"/>
        <w:jc w:val="both"/>
        <w:rPr>
          <w:rFonts w:ascii="Arial" w:hAnsi="Arial"/>
          <w:rtl/>
        </w:rPr>
      </w:pPr>
      <w:r>
        <w:rPr>
          <w:rtl/>
        </w:rPr>
        <w:t>5.</w:t>
      </w:r>
      <w:r>
        <w:rPr>
          <w:rtl/>
        </w:rPr>
        <w:tab/>
        <w:t xml:space="preserve">בחינת הנסיבות המפורטות בכתב האישום מעלה כי מידת הפגיעה בערכים המוגנים אינה גבוה, אם כי אינה נמוכה. </w:t>
      </w:r>
      <w:r>
        <w:rPr>
          <w:rFonts w:ascii="Arial" w:hAnsi="Arial"/>
          <w:rtl/>
        </w:rPr>
        <w:t>ענייננו במכירה בודדת של סם  מסוג</w:t>
      </w:r>
      <w:r w:rsidRPr="00261393">
        <w:rPr>
          <w:rFonts w:ascii="Calibri" w:hAnsi="Calibri"/>
          <w:rtl/>
        </w:rPr>
        <w:t xml:space="preserve"> </w:t>
      </w:r>
      <w:r>
        <w:rPr>
          <w:rFonts w:ascii="Arial" w:hAnsi="Arial"/>
          <w:sz w:val="22"/>
          <w:szCs w:val="22"/>
        </w:rPr>
        <w:t xml:space="preserve">MDMB-4EN-PINACA </w:t>
      </w:r>
      <w:r>
        <w:rPr>
          <w:rFonts w:ascii="Arial" w:hAnsi="Arial"/>
          <w:rtl/>
        </w:rPr>
        <w:t xml:space="preserve"> במשקל 4 גרם נטו, ובעבירה של החזקה של אותו סוג סם ונגזרות הסם במשקל כולל של כ 35 גרם שחלקו נמצא בכיס מכנסיו של הנאשם, חלקו בגרביים וחלק נוסף הוסתר ליד שיח במקום בו נמצא הנאשם. כמות הסם שהחזיק הנאשם ואופן החזקתו על גופו וסמוך לשיח במקום מהווה מלמדת לכל הפחות על יכולתו בתנאים הנ"ל להוסיף ולבצע  עסקאות נוספות. </w:t>
      </w:r>
    </w:p>
    <w:p w14:paraId="092FD055" w14:textId="77777777" w:rsidR="00261393" w:rsidRDefault="00261393" w:rsidP="00261393">
      <w:pPr>
        <w:spacing w:line="360" w:lineRule="auto"/>
        <w:jc w:val="both"/>
        <w:rPr>
          <w:rFonts w:ascii="Arial" w:hAnsi="Arial"/>
          <w:rtl/>
        </w:rPr>
      </w:pPr>
      <w:r>
        <w:rPr>
          <w:rFonts w:ascii="Arial" w:hAnsi="Arial"/>
          <w:rtl/>
        </w:rPr>
        <w:t xml:space="preserve">אשר לטענת הנאשם כי מצבו הכלכלי הקשה הוא ברקע ביצוע העבירות , יש לומר ולהדגיש כי אין במצב כללי יהא אשר יהא כדי להפחית מהחומרה בביצוע עבירות סמים ו/או  להקל במצבו.  </w:t>
      </w:r>
    </w:p>
    <w:p w14:paraId="0A5807ED" w14:textId="77777777" w:rsidR="00261393" w:rsidRDefault="00261393" w:rsidP="00261393">
      <w:pPr>
        <w:spacing w:line="360" w:lineRule="auto"/>
        <w:jc w:val="both"/>
        <w:rPr>
          <w:rFonts w:ascii="Arial" w:hAnsi="Arial"/>
          <w:noProof/>
          <w:rtl/>
        </w:rPr>
      </w:pPr>
      <w:r>
        <w:rPr>
          <w:rFonts w:ascii="Arial" w:hAnsi="Arial"/>
          <w:rtl/>
        </w:rPr>
        <w:t>באשר לסוג הסם נאמר כי זה אינו נמנה על הסמים הקשים יותר שב</w:t>
      </w:r>
      <w:hyperlink r:id="rId18" w:history="1">
        <w:r w:rsidR="00DE47EB" w:rsidRPr="00DE47EB">
          <w:rPr>
            <w:rFonts w:ascii="Arial" w:hAnsi="Arial"/>
            <w:color w:val="0000FF"/>
            <w:u w:val="single"/>
            <w:rtl/>
          </w:rPr>
          <w:t>פקודת הסמים המסוכנים</w:t>
        </w:r>
      </w:hyperlink>
      <w:r>
        <w:rPr>
          <w:rFonts w:ascii="Arial" w:hAnsi="Arial"/>
          <w:rtl/>
        </w:rPr>
        <w:t xml:space="preserve">, כדוגמת קוקאין והרואין, אם כי אינו מהקלים שבהם. ובאשר לנזקי העבירה, נמצא כי אל מול הנזק הפוטנציאלי הכרוך בביצוע כל עבירת סמים, במקרה דנן לא נגרם  נזק בפועל בהינתן כי הנאשם נתפס בכף.  </w:t>
      </w:r>
    </w:p>
    <w:p w14:paraId="6E34C7AB" w14:textId="77777777" w:rsidR="00261393" w:rsidRDefault="00261393" w:rsidP="00261393">
      <w:pPr>
        <w:spacing w:line="360" w:lineRule="auto"/>
        <w:jc w:val="both"/>
        <w:rPr>
          <w:rFonts w:ascii="Arial" w:hAnsi="Arial"/>
          <w:highlight w:val="cyan"/>
          <w:rtl/>
        </w:rPr>
      </w:pPr>
    </w:p>
    <w:p w14:paraId="79DCCA47" w14:textId="77777777" w:rsidR="00261393" w:rsidRDefault="00261393" w:rsidP="00261393">
      <w:pPr>
        <w:spacing w:line="360" w:lineRule="auto"/>
        <w:jc w:val="both"/>
        <w:rPr>
          <w:rFonts w:ascii="Arial" w:hAnsi="Arial"/>
          <w:b/>
          <w:bCs/>
          <w:rtl/>
        </w:rPr>
      </w:pPr>
      <w:r>
        <w:rPr>
          <w:rFonts w:ascii="Arial" w:hAnsi="Arial"/>
          <w:b/>
          <w:bCs/>
          <w:rtl/>
        </w:rPr>
        <w:t xml:space="preserve">ענישה נוהגת </w:t>
      </w:r>
    </w:p>
    <w:p w14:paraId="2648FA02" w14:textId="77777777" w:rsidR="00261393" w:rsidRDefault="00261393" w:rsidP="00261393">
      <w:pPr>
        <w:spacing w:line="360" w:lineRule="auto"/>
        <w:jc w:val="both"/>
        <w:rPr>
          <w:rtl/>
        </w:rPr>
      </w:pPr>
      <w:r>
        <w:rPr>
          <w:b/>
          <w:bCs/>
          <w:rtl/>
        </w:rPr>
        <w:t>6.</w:t>
      </w:r>
      <w:r>
        <w:rPr>
          <w:b/>
          <w:bCs/>
          <w:rtl/>
        </w:rPr>
        <w:tab/>
        <w:t>מנעד הענישה בעבירה של סחר בסמים</w:t>
      </w:r>
      <w:r>
        <w:rPr>
          <w:rtl/>
        </w:rPr>
        <w:t xml:space="preserve"> הוא רחב ולרוב תלוי סוג הסם, מספר העסקאות וכמות הסם שנמכרה, בדומה, בעבירה של החזקת  סמים שלא לצריכה עצמי</w:t>
      </w:r>
      <w:r>
        <w:rPr>
          <w:rFonts w:ascii="Arial" w:hAnsi="Arial"/>
          <w:rtl/>
        </w:rPr>
        <w:t xml:space="preserve">ת, קביעת המתחם תביא בחשבון את סוג וכמות הסם, אופן החזקתו וחלקותו להלן נביא מקרים מפסיקת בתי המשפט </w:t>
      </w:r>
      <w:r>
        <w:rPr>
          <w:rtl/>
        </w:rPr>
        <w:t>בעבירות סחר בסמים מסוג קנאביס או חשיש בנסיבות קרובות פחות או יותר לנסיבות של המקרה הנדון כאן</w:t>
      </w:r>
    </w:p>
    <w:p w14:paraId="58ABEE13" w14:textId="77777777" w:rsidR="00261393" w:rsidRDefault="00261393" w:rsidP="00261393">
      <w:pPr>
        <w:spacing w:line="360" w:lineRule="auto"/>
        <w:jc w:val="both"/>
        <w:rPr>
          <w:rtl/>
        </w:rPr>
      </w:pPr>
    </w:p>
    <w:p w14:paraId="56D93674" w14:textId="77777777" w:rsidR="00261393" w:rsidRDefault="00261393" w:rsidP="00261393">
      <w:pPr>
        <w:spacing w:line="360" w:lineRule="auto"/>
        <w:jc w:val="both"/>
        <w:rPr>
          <w:rtl/>
        </w:rPr>
      </w:pPr>
      <w:r>
        <w:rPr>
          <w:rtl/>
        </w:rPr>
        <w:t>ב</w:t>
      </w:r>
      <w:hyperlink r:id="rId19" w:history="1">
        <w:r w:rsidR="00DE47EB" w:rsidRPr="00DE47EB">
          <w:rPr>
            <w:color w:val="0000FF"/>
            <w:u w:val="single"/>
            <w:rtl/>
          </w:rPr>
          <w:t>עפ"ג 58296-05-19</w:t>
        </w:r>
      </w:hyperlink>
      <w:r>
        <w:rPr>
          <w:rtl/>
        </w:rPr>
        <w:t xml:space="preserve"> (מחוזי ב"ש) </w:t>
      </w:r>
      <w:r>
        <w:rPr>
          <w:b/>
          <w:bCs/>
          <w:rtl/>
        </w:rPr>
        <w:t xml:space="preserve">אלהואשלה נ' מדינת ישראל </w:t>
      </w:r>
      <w:r>
        <w:rPr>
          <w:rtl/>
        </w:rPr>
        <w:t>(10.7.19) התקבל ערעורו של מי שהורשע בעבירה של סחר בסם מסוג קנבוס במשקל של 7.3 תמורת 300 ₪  לסוכן משטרתי, כך שעונשו  - 9 חודשי מאסר לריצוי בעבודות שירות - הופחת  ל-</w:t>
      </w:r>
      <w:r>
        <w:rPr>
          <w:b/>
          <w:bCs/>
          <w:rtl/>
        </w:rPr>
        <w:t>7 חודשי מאסר בפועל לריצוי בדרך של עבודות שירות</w:t>
      </w:r>
      <w:r>
        <w:rPr>
          <w:rtl/>
        </w:rPr>
        <w:t xml:space="preserve">.  בקבלו את הערעור ציין בית המשפט בהעדר עבר פלילי קודם והתרשמות שירות המבחן לפיה אינו בעל דפוסים עבריינים מושרשים ואשר הביע מוטיבציה לנהל אורח חיים נורמטיבי .  </w:t>
      </w:r>
    </w:p>
    <w:p w14:paraId="660ADB07" w14:textId="77777777" w:rsidR="00261393" w:rsidRDefault="00261393" w:rsidP="00261393">
      <w:pPr>
        <w:spacing w:line="360" w:lineRule="auto"/>
        <w:jc w:val="both"/>
        <w:rPr>
          <w:rtl/>
        </w:rPr>
      </w:pPr>
      <w:r>
        <w:rPr>
          <w:rtl/>
        </w:rPr>
        <w:t>ב</w:t>
      </w:r>
      <w:hyperlink r:id="rId20" w:history="1">
        <w:r w:rsidR="00DE47EB" w:rsidRPr="00DE47EB">
          <w:rPr>
            <w:color w:val="0000FF"/>
            <w:u w:val="single"/>
            <w:rtl/>
          </w:rPr>
          <w:t>ת"פ 1507-05-21</w:t>
        </w:r>
      </w:hyperlink>
      <w:r>
        <w:rPr>
          <w:rtl/>
        </w:rPr>
        <w:t xml:space="preserve"> (שלום ב"ש) </w:t>
      </w:r>
      <w:r>
        <w:rPr>
          <w:b/>
          <w:bCs/>
          <w:rtl/>
        </w:rPr>
        <w:t>מדינת ישראל נ' ברוך פנספורקר ואח'</w:t>
      </w:r>
      <w:r>
        <w:rPr>
          <w:rtl/>
        </w:rPr>
        <w:t xml:space="preserve"> (24.10.21) הורשע נאשם 1 במכירת סם מסוג חשיש במשקל 4.27 גרם תמורת 200 ₪ לסוכנת משטרתית סמויה. מתחם העונש שנקבע (על ידי מותב זה ) בין </w:t>
      </w:r>
      <w:r>
        <w:rPr>
          <w:b/>
          <w:bCs/>
          <w:rtl/>
        </w:rPr>
        <w:t>מספר חודשים קצר ועד 12 חודשי מאסר בפועל</w:t>
      </w:r>
      <w:r>
        <w:rPr>
          <w:rtl/>
        </w:rPr>
        <w:t xml:space="preserve">. בית המשפט הביא בחשבון את העדר עבר פלילי, נסיבות אישיות, הודאה וחסכון בזמן שיפוטי וגזר על הנאשם </w:t>
      </w:r>
      <w:r>
        <w:rPr>
          <w:b/>
          <w:bCs/>
          <w:rtl/>
        </w:rPr>
        <w:t>4.5</w:t>
      </w:r>
      <w:r>
        <w:rPr>
          <w:rtl/>
        </w:rPr>
        <w:t xml:space="preserve"> </w:t>
      </w:r>
      <w:r>
        <w:rPr>
          <w:b/>
          <w:bCs/>
          <w:rtl/>
        </w:rPr>
        <w:t>חודשי עבודות שירות</w:t>
      </w:r>
      <w:r>
        <w:rPr>
          <w:rtl/>
        </w:rPr>
        <w:t xml:space="preserve"> וענישה נלווית. יוער כי הנאשם היה משוחרר באותו זמן. </w:t>
      </w:r>
    </w:p>
    <w:p w14:paraId="4981820B" w14:textId="77777777" w:rsidR="00261393" w:rsidRDefault="00261393" w:rsidP="00261393">
      <w:pPr>
        <w:spacing w:line="360" w:lineRule="auto"/>
        <w:jc w:val="both"/>
        <w:rPr>
          <w:rtl/>
        </w:rPr>
      </w:pPr>
    </w:p>
    <w:p w14:paraId="0866CC6C" w14:textId="77777777" w:rsidR="00261393" w:rsidRDefault="00261393" w:rsidP="00261393">
      <w:pPr>
        <w:spacing w:line="360" w:lineRule="auto"/>
        <w:jc w:val="both"/>
        <w:rPr>
          <w:rFonts w:ascii="Arial" w:hAnsi="Arial"/>
          <w:rtl/>
        </w:rPr>
      </w:pPr>
      <w:r>
        <w:rPr>
          <w:rtl/>
        </w:rPr>
        <w:t>ב</w:t>
      </w:r>
      <w:hyperlink r:id="rId21" w:history="1">
        <w:r w:rsidR="00DE47EB" w:rsidRPr="00DE47EB">
          <w:rPr>
            <w:color w:val="0000FF"/>
            <w:u w:val="single"/>
            <w:rtl/>
          </w:rPr>
          <w:t>ת"פ 3045-02-20</w:t>
        </w:r>
      </w:hyperlink>
      <w:r>
        <w:rPr>
          <w:rtl/>
        </w:rPr>
        <w:t xml:space="preserve"> (שלום ב"ש)</w:t>
      </w:r>
      <w:r>
        <w:rPr>
          <w:b/>
          <w:bCs/>
          <w:rtl/>
        </w:rPr>
        <w:t xml:space="preserve"> מדינת ישראל נ' בוטבול (</w:t>
      </w:r>
      <w:r>
        <w:rPr>
          <w:rtl/>
        </w:rPr>
        <w:t xml:space="preserve">20.1.21) הורשע נאשם כבן 18 וחצי, במכירת סם מסוג קנבוס במשקל של כ 2 גרם </w:t>
      </w:r>
      <w:r>
        <w:rPr>
          <w:rFonts w:ascii="Arial" w:hAnsi="Arial"/>
          <w:rtl/>
        </w:rPr>
        <w:t xml:space="preserve">לקטין, תמורת 200 ₪.  בנוסף החזיק בכיס מעילו סם קנבוס </w:t>
      </w:r>
      <w:r>
        <w:rPr>
          <w:rtl/>
        </w:rPr>
        <w:t xml:space="preserve">במשקל של 0.8306 גרם נטו, שלא לצריכתו העצמית. </w:t>
      </w:r>
      <w:r>
        <w:rPr>
          <w:rFonts w:ascii="Arial" w:hAnsi="Arial"/>
          <w:b/>
          <w:bCs/>
          <w:rtl/>
        </w:rPr>
        <w:t>מתחם העונש ההולם נקבע</w:t>
      </w:r>
      <w:r>
        <w:rPr>
          <w:rFonts w:ascii="Arial" w:hAnsi="Arial"/>
          <w:rtl/>
        </w:rPr>
        <w:t xml:space="preserve">  (על ידי מותב זה ולאחר שהובא בחשבון חלקו של הקטין בביצוע העסקה) </w:t>
      </w:r>
      <w:r>
        <w:rPr>
          <w:rFonts w:ascii="Arial" w:hAnsi="Arial"/>
          <w:b/>
          <w:bCs/>
          <w:rtl/>
        </w:rPr>
        <w:t>בין מאסר קצר שיכול וירוצה בעבודות שירות ועד 10 חודשי מאסר בפו</w:t>
      </w:r>
      <w:r>
        <w:rPr>
          <w:rFonts w:ascii="Arial" w:hAnsi="Arial"/>
          <w:rtl/>
        </w:rPr>
        <w:t xml:space="preserve">על. מטעמי שיקום בית המשפט סטה ממתחם העונש ובהמשך ביטל הרשעת הנאשם. </w:t>
      </w:r>
    </w:p>
    <w:p w14:paraId="6ABCF857" w14:textId="77777777" w:rsidR="00261393" w:rsidRDefault="00261393" w:rsidP="00261393">
      <w:pPr>
        <w:spacing w:line="360" w:lineRule="auto"/>
        <w:jc w:val="both"/>
        <w:rPr>
          <w:rFonts w:ascii="Arial" w:hAnsi="Arial"/>
          <w:rtl/>
        </w:rPr>
      </w:pPr>
    </w:p>
    <w:p w14:paraId="6E9008C7" w14:textId="77777777" w:rsidR="00261393" w:rsidRDefault="00261393" w:rsidP="00261393">
      <w:pPr>
        <w:spacing w:line="360" w:lineRule="auto"/>
        <w:jc w:val="both"/>
        <w:rPr>
          <w:rtl/>
        </w:rPr>
      </w:pPr>
      <w:r>
        <w:rPr>
          <w:rtl/>
        </w:rPr>
        <w:t>ב</w:t>
      </w:r>
      <w:hyperlink r:id="rId22" w:history="1">
        <w:r w:rsidR="00DE47EB" w:rsidRPr="00DE47EB">
          <w:rPr>
            <w:color w:val="0000FF"/>
            <w:u w:val="single"/>
            <w:rtl/>
          </w:rPr>
          <w:t>ת"פ 15023-05-20</w:t>
        </w:r>
      </w:hyperlink>
      <w:r>
        <w:rPr>
          <w:rtl/>
        </w:rPr>
        <w:t xml:space="preserve"> (שלום ב"ש) </w:t>
      </w:r>
      <w:r>
        <w:rPr>
          <w:b/>
          <w:bCs/>
          <w:rtl/>
        </w:rPr>
        <w:t>מדינת ישראל נ' אזריאן</w:t>
      </w:r>
      <w:r>
        <w:rPr>
          <w:rtl/>
        </w:rPr>
        <w:t xml:space="preserve">  (16.9.20) הנאשם הורשע </w:t>
      </w:r>
      <w:r>
        <w:rPr>
          <w:b/>
          <w:bCs/>
          <w:rtl/>
        </w:rPr>
        <w:t>בשתי עבירות</w:t>
      </w:r>
      <w:r>
        <w:rPr>
          <w:rtl/>
        </w:rPr>
        <w:t xml:space="preserve"> של סחר בסמים במועדים שונים </w:t>
      </w:r>
      <w:r>
        <w:rPr>
          <w:b/>
          <w:bCs/>
          <w:rtl/>
        </w:rPr>
        <w:t>ובהחזקה שלא לצריכה עצמית</w:t>
      </w:r>
      <w:r>
        <w:rPr>
          <w:rtl/>
        </w:rPr>
        <w:t xml:space="preserve">. פעם אחת מכר סם מסוג חשיש במשקל שאינו ידוע תמורת 50 ₪, ובמועד אחר נוסף, מכר סם מסוג קנבוס במשקל 2 גרם תמורת 100 ₪, כשבנוסף החזיק ב 25 גרם קנביס שלא לצריכתו העצמית. בית המשפט קבע </w:t>
      </w:r>
      <w:r>
        <w:rPr>
          <w:b/>
          <w:bCs/>
          <w:rtl/>
        </w:rPr>
        <w:t>מתחם עונש הולם</w:t>
      </w:r>
      <w:r>
        <w:rPr>
          <w:rtl/>
        </w:rPr>
        <w:t xml:space="preserve"> </w:t>
      </w:r>
      <w:r>
        <w:rPr>
          <w:b/>
          <w:bCs/>
          <w:rtl/>
        </w:rPr>
        <w:t>בין 7-20 חודשי מאסר בפועל</w:t>
      </w:r>
      <w:r>
        <w:rPr>
          <w:rtl/>
        </w:rPr>
        <w:t xml:space="preserve"> וגזר על הנאשם, צעיר </w:t>
      </w:r>
      <w:r>
        <w:rPr>
          <w:b/>
          <w:bCs/>
          <w:rtl/>
        </w:rPr>
        <w:t>בעל עבר פלילי</w:t>
      </w:r>
      <w:r>
        <w:rPr>
          <w:rtl/>
        </w:rPr>
        <w:t xml:space="preserve"> שלא בתחום הסמים, </w:t>
      </w:r>
      <w:r>
        <w:rPr>
          <w:b/>
          <w:bCs/>
          <w:rtl/>
        </w:rPr>
        <w:t>8 חודשי מאסר בפועל</w:t>
      </w:r>
      <w:r>
        <w:rPr>
          <w:rtl/>
        </w:rPr>
        <w:t>.</w:t>
      </w:r>
    </w:p>
    <w:p w14:paraId="26ADBF11" w14:textId="77777777" w:rsidR="00261393" w:rsidRDefault="00261393" w:rsidP="00261393">
      <w:pPr>
        <w:spacing w:line="360" w:lineRule="auto"/>
        <w:jc w:val="both"/>
        <w:rPr>
          <w:rFonts w:ascii="David" w:hAnsi="David"/>
          <w:rtl/>
        </w:rPr>
      </w:pPr>
    </w:p>
    <w:p w14:paraId="7287C3EB" w14:textId="77777777" w:rsidR="00261393" w:rsidRDefault="00261393" w:rsidP="00261393">
      <w:pPr>
        <w:spacing w:line="360" w:lineRule="auto"/>
        <w:jc w:val="both"/>
        <w:rPr>
          <w:noProof/>
        </w:rPr>
      </w:pPr>
      <w:r>
        <w:rPr>
          <w:rFonts w:ascii="Arial" w:hAnsi="Arial"/>
          <w:rtl/>
        </w:rPr>
        <w:t>ב</w:t>
      </w:r>
      <w:hyperlink r:id="rId23" w:history="1">
        <w:r w:rsidR="00DE47EB" w:rsidRPr="00DE47EB">
          <w:rPr>
            <w:rFonts w:ascii="Arial" w:hAnsi="Arial"/>
            <w:color w:val="0000FF"/>
            <w:u w:val="single"/>
            <w:rtl/>
          </w:rPr>
          <w:t>ת"פ (שלום פ"ת) 16690-05-19</w:t>
        </w:r>
      </w:hyperlink>
      <w:r>
        <w:rPr>
          <w:rFonts w:ascii="Arial" w:hAnsi="Arial"/>
          <w:rtl/>
        </w:rPr>
        <w:t xml:space="preserve"> </w:t>
      </w:r>
      <w:r>
        <w:rPr>
          <w:rFonts w:ascii="Arial" w:hAnsi="Arial"/>
          <w:b/>
          <w:bCs/>
          <w:rtl/>
        </w:rPr>
        <w:t>מדינת ישראל נ' אוראל גרמה</w:t>
      </w:r>
      <w:r>
        <w:rPr>
          <w:rFonts w:ascii="Arial" w:hAnsi="Arial"/>
          <w:rtl/>
        </w:rPr>
        <w:t xml:space="preserve"> (08.11.20) הורשע נאשם בעבירות החזקת סמים וכלים שלא לצריכה עצמית ובעבירת סחר בסמים </w:t>
      </w:r>
      <w:r>
        <w:rPr>
          <w:rFonts w:ascii="Arial" w:hAnsi="Arial"/>
          <w:b/>
          <w:bCs/>
          <w:rtl/>
        </w:rPr>
        <w:t>בכך שמכר ב-11 הזדמנויות שונות לקונים שונים סמים מסוג קנאביס וחשיש במשקלים שונים ונמוכים</w:t>
      </w:r>
      <w:r>
        <w:rPr>
          <w:rFonts w:ascii="Arial" w:hAnsi="Arial"/>
          <w:rtl/>
        </w:rPr>
        <w:t xml:space="preserve">. בית המשפט קבע </w:t>
      </w:r>
      <w:r>
        <w:rPr>
          <w:rFonts w:ascii="Arial" w:hAnsi="Arial"/>
          <w:b/>
          <w:bCs/>
          <w:rtl/>
        </w:rPr>
        <w:t xml:space="preserve">מתחם עונש בין 9 חודשי עבודות שירות - 24 חודשי מאסר בפועל, </w:t>
      </w:r>
      <w:r>
        <w:rPr>
          <w:rFonts w:ascii="Arial" w:hAnsi="Arial"/>
          <w:rtl/>
        </w:rPr>
        <w:t xml:space="preserve">ומטעמי שיקום גזר על הנאשם, צעיר נעדר עבר פלילי </w:t>
      </w:r>
      <w:r>
        <w:rPr>
          <w:rFonts w:ascii="Arial" w:hAnsi="Arial"/>
          <w:b/>
          <w:bCs/>
          <w:rtl/>
        </w:rPr>
        <w:t>9  חודשי עבודות שירות</w:t>
      </w:r>
      <w:r>
        <w:rPr>
          <w:rFonts w:ascii="Arial" w:hAnsi="Arial"/>
          <w:rtl/>
        </w:rPr>
        <w:t xml:space="preserve"> וענישה נלווית.</w:t>
      </w:r>
    </w:p>
    <w:p w14:paraId="5D73F8EB" w14:textId="77777777" w:rsidR="00261393" w:rsidRDefault="00261393" w:rsidP="00261393">
      <w:pPr>
        <w:spacing w:line="360" w:lineRule="auto"/>
        <w:jc w:val="both"/>
        <w:rPr>
          <w:rtl/>
        </w:rPr>
      </w:pPr>
    </w:p>
    <w:p w14:paraId="45213499" w14:textId="77777777" w:rsidR="00261393" w:rsidRDefault="00261393" w:rsidP="00261393">
      <w:pPr>
        <w:spacing w:line="360" w:lineRule="auto"/>
        <w:jc w:val="both"/>
        <w:rPr>
          <w:rtl/>
        </w:rPr>
      </w:pPr>
      <w:r>
        <w:rPr>
          <w:rtl/>
        </w:rPr>
        <w:t>ב</w:t>
      </w:r>
      <w:hyperlink r:id="rId24" w:history="1">
        <w:r w:rsidR="00DE47EB" w:rsidRPr="00DE47EB">
          <w:rPr>
            <w:color w:val="0000FF"/>
            <w:u w:val="single"/>
            <w:rtl/>
          </w:rPr>
          <w:t>ת"פ 4309-08-18</w:t>
        </w:r>
      </w:hyperlink>
      <w:r>
        <w:rPr>
          <w:rtl/>
        </w:rPr>
        <w:t xml:space="preserve"> (שלום ב"ש) </w:t>
      </w:r>
      <w:r>
        <w:rPr>
          <w:b/>
          <w:bCs/>
          <w:rtl/>
        </w:rPr>
        <w:t>מדינת ישראל נ' מקראי</w:t>
      </w:r>
      <w:r>
        <w:rPr>
          <w:rtl/>
        </w:rPr>
        <w:t xml:space="preserve"> הורשע הנאשם </w:t>
      </w:r>
      <w:r>
        <w:rPr>
          <w:b/>
          <w:bCs/>
          <w:rtl/>
        </w:rPr>
        <w:t>בשתי עבירות</w:t>
      </w:r>
      <w:r>
        <w:rPr>
          <w:rtl/>
        </w:rPr>
        <w:t xml:space="preserve"> של סחר בסם בכך שמכר לסוכן משטרתי סם מסוג קנבוס במשקל של כ-0.9 גרם תמורת 100 ₪ ובמועד אחר, מכר לסוכן סם מאותו סוג במשקל של כ-0.4 גרם תמורת 100 </w:t>
      </w:r>
      <w:r>
        <w:rPr>
          <w:b/>
          <w:bCs/>
          <w:rtl/>
        </w:rPr>
        <w:t>₪. מתחם העונש נקבע בין 6-20 חודשי מאסר בפועל</w:t>
      </w:r>
      <w:r>
        <w:rPr>
          <w:rtl/>
        </w:rPr>
        <w:t xml:space="preserve">. </w:t>
      </w:r>
    </w:p>
    <w:p w14:paraId="25EBBAA2" w14:textId="77777777" w:rsidR="00261393" w:rsidRDefault="00261393" w:rsidP="00261393">
      <w:pPr>
        <w:spacing w:line="360" w:lineRule="auto"/>
        <w:jc w:val="both"/>
        <w:rPr>
          <w:rtl/>
        </w:rPr>
      </w:pPr>
    </w:p>
    <w:p w14:paraId="5F63A5A7" w14:textId="77777777" w:rsidR="00261393" w:rsidRDefault="00261393" w:rsidP="00261393">
      <w:pPr>
        <w:spacing w:line="360" w:lineRule="auto"/>
        <w:jc w:val="both"/>
        <w:rPr>
          <w:rFonts w:ascii="Arial" w:hAnsi="Arial"/>
          <w:rtl/>
        </w:rPr>
      </w:pPr>
      <w:r>
        <w:rPr>
          <w:rFonts w:ascii="Arial" w:hAnsi="Arial"/>
          <w:rtl/>
        </w:rPr>
        <w:t>ב</w:t>
      </w:r>
      <w:hyperlink r:id="rId25" w:history="1">
        <w:r w:rsidR="00DE47EB" w:rsidRPr="00DE47EB">
          <w:rPr>
            <w:rFonts w:ascii="Arial" w:hAnsi="Arial"/>
            <w:color w:val="0000FF"/>
            <w:u w:val="single"/>
            <w:rtl/>
          </w:rPr>
          <w:t>ת"פ 54841-02-16</w:t>
        </w:r>
      </w:hyperlink>
      <w:r>
        <w:rPr>
          <w:rFonts w:ascii="Arial" w:hAnsi="Arial"/>
          <w:rtl/>
        </w:rPr>
        <w:t xml:space="preserve"> (שלום י-ם) </w:t>
      </w:r>
      <w:r>
        <w:rPr>
          <w:rFonts w:ascii="Arial" w:hAnsi="Arial"/>
          <w:b/>
          <w:bCs/>
          <w:rtl/>
        </w:rPr>
        <w:t>מדינת ישראל נ' סלאימה</w:t>
      </w:r>
      <w:r>
        <w:rPr>
          <w:rFonts w:ascii="Arial" w:hAnsi="Arial"/>
          <w:rtl/>
        </w:rPr>
        <w:t xml:space="preserve"> (20.1.19) הורשע נאשם </w:t>
      </w:r>
      <w:r>
        <w:rPr>
          <w:rFonts w:ascii="Arial" w:hAnsi="Arial"/>
          <w:b/>
          <w:bCs/>
          <w:rtl/>
        </w:rPr>
        <w:t>בשתי עבירות</w:t>
      </w:r>
      <w:r>
        <w:rPr>
          <w:rFonts w:ascii="Arial" w:hAnsi="Arial"/>
          <w:rtl/>
        </w:rPr>
        <w:t xml:space="preserve"> של סחר בסם מסוכן, בכך שמכר לסוכן משטרתי בשתי הזדמנויות שונות סם מסוג חשיש במשקל 1.79 גרם תמורת 100 ₪ ובמשקל 1.65 גרם תמורת 100 ₪. בית המשפט קבע </w:t>
      </w:r>
      <w:r>
        <w:rPr>
          <w:rFonts w:ascii="Arial" w:hAnsi="Arial"/>
          <w:b/>
          <w:bCs/>
          <w:rtl/>
        </w:rPr>
        <w:t xml:space="preserve">מתחם עונש הולם בין מספר חודשים קצר אשר יכול וירוצו בדרך של עבודות שירות ועד 12 חודשי מאסר </w:t>
      </w:r>
      <w:r>
        <w:rPr>
          <w:rFonts w:ascii="Arial" w:hAnsi="Arial"/>
          <w:rtl/>
        </w:rPr>
        <w:t xml:space="preserve">וגזר על הנאשם בעל עבר פלילי </w:t>
      </w:r>
      <w:r>
        <w:rPr>
          <w:rFonts w:ascii="Arial" w:hAnsi="Arial"/>
          <w:b/>
          <w:bCs/>
          <w:rtl/>
        </w:rPr>
        <w:t>4 חודשי עבודות שירות</w:t>
      </w:r>
      <w:r>
        <w:rPr>
          <w:rFonts w:ascii="Arial" w:hAnsi="Arial"/>
          <w:rtl/>
        </w:rPr>
        <w:t>.</w:t>
      </w:r>
    </w:p>
    <w:p w14:paraId="0CD6D87B" w14:textId="77777777" w:rsidR="00261393" w:rsidRDefault="00261393" w:rsidP="00261393">
      <w:pPr>
        <w:spacing w:line="360" w:lineRule="auto"/>
        <w:jc w:val="both"/>
        <w:rPr>
          <w:rFonts w:ascii="Arial" w:hAnsi="Arial"/>
          <w:highlight w:val="cyan"/>
          <w:rtl/>
        </w:rPr>
      </w:pPr>
    </w:p>
    <w:p w14:paraId="293B8DDF" w14:textId="77777777" w:rsidR="00261393" w:rsidRDefault="00261393" w:rsidP="00261393">
      <w:pPr>
        <w:tabs>
          <w:tab w:val="left" w:pos="386"/>
        </w:tabs>
        <w:spacing w:before="60" w:line="360" w:lineRule="auto"/>
        <w:jc w:val="both"/>
        <w:rPr>
          <w:rFonts w:ascii="David" w:hAnsi="David"/>
          <w:b/>
          <w:bCs/>
          <w:rtl/>
        </w:rPr>
      </w:pPr>
      <w:r>
        <w:rPr>
          <w:rFonts w:ascii="Calibri" w:hAnsi="Calibri"/>
          <w:b/>
          <w:bCs/>
          <w:rtl/>
        </w:rPr>
        <w:t xml:space="preserve">סיכום הדברים האמורים - ולאחר שחזרתי לעיין במקרים אליהם הפנו ב"כ הצדדים, נתתי דעתי לענישה הנוהגת ומידת פגיעת הנאשם בערכים המוגנים, </w:t>
      </w:r>
      <w:r>
        <w:rPr>
          <w:b/>
          <w:bCs/>
          <w:rtl/>
        </w:rPr>
        <w:t>סבורתני כי מתחם העונש ההולם לכלל מעשיו,  נכון כי</w:t>
      </w:r>
      <w:r>
        <w:rPr>
          <w:rFonts w:ascii="Calibri" w:hAnsi="Calibri"/>
          <w:b/>
          <w:bCs/>
          <w:rtl/>
        </w:rPr>
        <w:t xml:space="preserve"> </w:t>
      </w:r>
      <w:r>
        <w:rPr>
          <w:b/>
          <w:bCs/>
          <w:rtl/>
        </w:rPr>
        <w:t xml:space="preserve">ינוע בין מספר חודשים ועד 18 חודשי מאסר בפועל. </w:t>
      </w:r>
    </w:p>
    <w:p w14:paraId="6CBE7DC6" w14:textId="77777777" w:rsidR="00261393" w:rsidRDefault="00261393" w:rsidP="00261393">
      <w:pPr>
        <w:spacing w:line="360" w:lineRule="auto"/>
        <w:jc w:val="both"/>
        <w:rPr>
          <w:rFonts w:ascii="Arial" w:hAnsi="Arial"/>
          <w:noProof/>
          <w:rtl/>
        </w:rPr>
      </w:pPr>
    </w:p>
    <w:p w14:paraId="62EC05FF" w14:textId="77777777" w:rsidR="00261393" w:rsidRDefault="00261393" w:rsidP="00261393">
      <w:pPr>
        <w:spacing w:line="360" w:lineRule="auto"/>
        <w:jc w:val="both"/>
        <w:rPr>
          <w:rFonts w:ascii="Arial" w:hAnsi="Arial"/>
          <w:b/>
          <w:bCs/>
          <w:u w:val="single"/>
          <w:rtl/>
        </w:rPr>
      </w:pPr>
      <w:r>
        <w:rPr>
          <w:rFonts w:ascii="Arial" w:hAnsi="Arial"/>
          <w:b/>
          <w:bCs/>
          <w:u w:val="single"/>
          <w:rtl/>
        </w:rPr>
        <w:t>עונשו של הנאשם</w:t>
      </w:r>
    </w:p>
    <w:p w14:paraId="13AEE53A" w14:textId="77777777" w:rsidR="00261393" w:rsidRDefault="00261393" w:rsidP="00261393">
      <w:pPr>
        <w:spacing w:line="360" w:lineRule="auto"/>
        <w:jc w:val="both"/>
        <w:rPr>
          <w:rFonts w:ascii="Arial" w:hAnsi="Arial"/>
          <w:rtl/>
        </w:rPr>
      </w:pPr>
      <w:r>
        <w:rPr>
          <w:rFonts w:ascii="Arial" w:hAnsi="Arial"/>
          <w:rtl/>
        </w:rPr>
        <w:t>7.</w:t>
      </w:r>
      <w:r>
        <w:rPr>
          <w:rFonts w:ascii="Arial" w:hAnsi="Arial"/>
          <w:rtl/>
        </w:rPr>
        <w:tab/>
        <w:t>הנאשם הנותן את הדין הוא בן 24, נשוי ואב לילד שנולד בחודשים האחרונים.</w:t>
      </w:r>
      <w:r>
        <w:rPr>
          <w:rFonts w:ascii="Arial" w:hAnsi="Arial"/>
          <w:highlight w:val="cyan"/>
          <w:rtl/>
        </w:rPr>
        <w:t xml:space="preserve"> </w:t>
      </w:r>
    </w:p>
    <w:p w14:paraId="379C9087" w14:textId="77777777" w:rsidR="00261393" w:rsidRDefault="00261393" w:rsidP="00261393">
      <w:pPr>
        <w:spacing w:line="360" w:lineRule="auto"/>
        <w:jc w:val="both"/>
        <w:rPr>
          <w:rFonts w:ascii="Arial" w:hAnsi="Arial"/>
          <w:rtl/>
        </w:rPr>
      </w:pPr>
    </w:p>
    <w:p w14:paraId="0C615633" w14:textId="77777777" w:rsidR="00261393" w:rsidRDefault="00261393" w:rsidP="00261393">
      <w:pPr>
        <w:spacing w:line="360" w:lineRule="auto"/>
        <w:jc w:val="both"/>
        <w:rPr>
          <w:rFonts w:ascii="Arial" w:hAnsi="Arial"/>
          <w:rtl/>
        </w:rPr>
      </w:pPr>
      <w:r>
        <w:rPr>
          <w:rFonts w:ascii="Arial" w:hAnsi="Arial"/>
          <w:rtl/>
        </w:rPr>
        <w:t>בגדרי השיקולים לחומרא יינתן משקל לעברו הפלילי של הנאשם שלחובתו הרשעה אחת משנת 2018 בשתי עבירות רכוש (ניסיון לגניבת רכב וניסיון לפריצה לרכב) שבוצו בשנת 2016, בגינה נגזר עליו עונש של מאסר על תנאי בן 4 חודשים וקנס בסך 5,000 ש"ח.  לצד האמור, אביא בחשבון כי עברו הפלילי אינו מכביד, וכי הרשעתו הקודמת היא משנת 2016, לא בעבירות מתחום הסמים ואשר ביצוען היה  4 חודשים לאחר שעבר הנאשם את גיל הבגירות.</w:t>
      </w:r>
    </w:p>
    <w:p w14:paraId="0D349D20" w14:textId="77777777" w:rsidR="00261393" w:rsidRDefault="00261393" w:rsidP="00261393">
      <w:pPr>
        <w:spacing w:line="360" w:lineRule="auto"/>
        <w:jc w:val="both"/>
        <w:rPr>
          <w:rFonts w:ascii="Arial" w:hAnsi="Arial"/>
          <w:rtl/>
        </w:rPr>
      </w:pPr>
    </w:p>
    <w:p w14:paraId="367C89C0" w14:textId="77777777" w:rsidR="00261393" w:rsidRDefault="00261393" w:rsidP="00261393">
      <w:pPr>
        <w:spacing w:line="360" w:lineRule="auto"/>
        <w:jc w:val="both"/>
        <w:rPr>
          <w:rFonts w:ascii="Arial" w:hAnsi="Arial"/>
          <w:rtl/>
        </w:rPr>
      </w:pPr>
      <w:r>
        <w:rPr>
          <w:rFonts w:ascii="Arial" w:hAnsi="Arial"/>
          <w:rtl/>
        </w:rPr>
        <w:t xml:space="preserve">הדברים האמורים לצד נתוניו האישיים של הנאשם מהם עולה כי במהלך השנים השתלב במקומות עבודה וניהל אורח חיים נורמטיבי עד למעצרו בתיק זה, יש ללמד כי אין ענייננו בסוחר סמים קלאסי או עבריין סמים מועד, אלא שיכול במי שכשל, הבין את חומרת מעשיו והוא עושה על מנת לתקן דרכיו, כעולה מהתסקיר והתרשמות שירות המבחן מקיומו של סיכוי לכל הפחות סביר לשיקום הנאשם, אשר גילה נכונות וגייס עצמו להליך טיפולי שהותאם לצרכיו אצל שירות המבחן וכמפורט בהרחבה לעיל. </w:t>
      </w:r>
    </w:p>
    <w:p w14:paraId="62BD5C45" w14:textId="77777777" w:rsidR="00261393" w:rsidRDefault="00261393" w:rsidP="00261393">
      <w:pPr>
        <w:spacing w:line="360" w:lineRule="auto"/>
        <w:jc w:val="both"/>
        <w:rPr>
          <w:rFonts w:ascii="Arial" w:hAnsi="Arial"/>
          <w:highlight w:val="cyan"/>
          <w:rtl/>
        </w:rPr>
      </w:pPr>
    </w:p>
    <w:p w14:paraId="1589B4E3" w14:textId="77777777" w:rsidR="00261393" w:rsidRDefault="00261393" w:rsidP="00261393">
      <w:pPr>
        <w:spacing w:line="360" w:lineRule="auto"/>
        <w:jc w:val="both"/>
        <w:rPr>
          <w:rFonts w:ascii="Arial" w:hAnsi="Arial"/>
          <w:rtl/>
        </w:rPr>
      </w:pPr>
      <w:r>
        <w:rPr>
          <w:rFonts w:ascii="Arial" w:hAnsi="Arial"/>
          <w:rtl/>
        </w:rPr>
        <w:t xml:space="preserve">עוד אביא בחשבון לטובת הנאשם כי במסגרת תיק דנן הנאשם היה נתון במעצר משך 3 חודשים לראשונה בחייו ובהמשך בתנאים מגבילים בהם הוא נתון עד היום. </w:t>
      </w:r>
    </w:p>
    <w:p w14:paraId="5EED1891" w14:textId="77777777" w:rsidR="00261393" w:rsidRDefault="00261393" w:rsidP="00261393">
      <w:pPr>
        <w:spacing w:line="360" w:lineRule="auto"/>
        <w:jc w:val="both"/>
        <w:rPr>
          <w:rFonts w:ascii="Arial" w:hAnsi="Arial"/>
          <w:rtl/>
        </w:rPr>
      </w:pPr>
      <w:r>
        <w:rPr>
          <w:rFonts w:ascii="Arial" w:hAnsi="Arial"/>
          <w:rtl/>
        </w:rPr>
        <w:t xml:space="preserve">משקל משמעותי יינתן לאחריות שנטל הנאשם על מעשיו, לרבות הודאתו שקיצרה משמעותית את ניהול ההליכים בתיק וחסכה במשאבים ציבוריים. </w:t>
      </w:r>
    </w:p>
    <w:p w14:paraId="48D4640B" w14:textId="77777777" w:rsidR="00261393" w:rsidRDefault="00261393" w:rsidP="00261393">
      <w:pPr>
        <w:spacing w:after="160" w:line="360" w:lineRule="auto"/>
        <w:jc w:val="both"/>
        <w:rPr>
          <w:rtl/>
        </w:rPr>
      </w:pPr>
    </w:p>
    <w:p w14:paraId="170ECD05" w14:textId="77777777" w:rsidR="00261393" w:rsidRDefault="00261393" w:rsidP="00261393">
      <w:pPr>
        <w:spacing w:after="160" w:line="360" w:lineRule="auto"/>
        <w:jc w:val="both"/>
        <w:rPr>
          <w:rtl/>
        </w:rPr>
      </w:pPr>
      <w:r>
        <w:rPr>
          <w:rtl/>
        </w:rPr>
        <w:t xml:space="preserve">באשר לפסילת רישיון הנהיגה, בהתחשב בכך שביצוע העבירה לא היה כרוך בנהיגה ברכב וכי רישיון הנהיגה נחוץ הן לעבודת הנאשם במובן זה שייסע לו בעבודה ושיקום חייו, איני מוצאת לנכון להורות על פסילתו מלנהוג בפועל, מקום בו ניתן להסתפק בפסילה על תנאי כגורם הרתעתי משמעותי עבורו. </w:t>
      </w:r>
    </w:p>
    <w:p w14:paraId="2DDBF62F" w14:textId="77777777" w:rsidR="00261393" w:rsidRDefault="00261393" w:rsidP="00261393">
      <w:pPr>
        <w:spacing w:after="160" w:line="360" w:lineRule="auto"/>
        <w:jc w:val="both"/>
        <w:rPr>
          <w:rtl/>
        </w:rPr>
      </w:pPr>
      <w:r>
        <w:rPr>
          <w:rtl/>
        </w:rPr>
        <w:t xml:space="preserve">אשר לקנס, בהינתן שמדובר בעבירה שנועדה להשיג רווח כלכלי קל ומהיר, יש להשית ענישה כלכלית אם כי זו תביא בחשבון את מצבו הכלכלי של הנאשם. </w:t>
      </w:r>
    </w:p>
    <w:p w14:paraId="6A8039D8" w14:textId="77777777" w:rsidR="00261393" w:rsidRDefault="00261393" w:rsidP="00261393">
      <w:pPr>
        <w:spacing w:after="160" w:line="360" w:lineRule="auto"/>
        <w:jc w:val="both"/>
        <w:rPr>
          <w:rtl/>
        </w:rPr>
      </w:pPr>
    </w:p>
    <w:p w14:paraId="54380C54" w14:textId="77777777" w:rsidR="00261393" w:rsidRDefault="00261393" w:rsidP="00261393">
      <w:pPr>
        <w:tabs>
          <w:tab w:val="left" w:pos="567"/>
        </w:tabs>
        <w:spacing w:line="360" w:lineRule="auto"/>
        <w:jc w:val="both"/>
        <w:rPr>
          <w:rFonts w:ascii="Arial" w:hAnsi="Arial"/>
          <w:b/>
          <w:bCs/>
          <w:sz w:val="26"/>
          <w:szCs w:val="26"/>
          <w:u w:val="single"/>
          <w:rtl/>
        </w:rPr>
      </w:pPr>
      <w:r>
        <w:rPr>
          <w:b/>
          <w:bCs/>
          <w:sz w:val="26"/>
          <w:szCs w:val="26"/>
          <w:u w:val="single"/>
          <w:rtl/>
        </w:rPr>
        <w:t>סוף דב</w:t>
      </w:r>
      <w:r>
        <w:rPr>
          <w:rFonts w:ascii="Arial" w:hAnsi="Arial"/>
          <w:b/>
          <w:bCs/>
          <w:sz w:val="26"/>
          <w:szCs w:val="26"/>
          <w:u w:val="single"/>
          <w:rtl/>
        </w:rPr>
        <w:t>ר</w:t>
      </w:r>
    </w:p>
    <w:p w14:paraId="053DCBD6" w14:textId="77777777" w:rsidR="00261393" w:rsidRDefault="00261393" w:rsidP="00261393">
      <w:pPr>
        <w:tabs>
          <w:tab w:val="left" w:pos="567"/>
        </w:tabs>
        <w:spacing w:line="360" w:lineRule="auto"/>
        <w:jc w:val="both"/>
        <w:rPr>
          <w:rFonts w:ascii="Arial" w:hAnsi="Arial"/>
          <w:rtl/>
        </w:rPr>
      </w:pPr>
      <w:r>
        <w:rPr>
          <w:rFonts w:ascii="Arial" w:hAnsi="Arial"/>
          <w:rtl/>
        </w:rPr>
        <w:t xml:space="preserve">לאחר שקלול מכלול השיקולים הנדרשים לבחינת עונשו של הנאשם לרבות תקופת מעצרו במסגרת תיק המעצר הקשור בתיק דנן, אני גוזרת עליו את העונשים הבאים: </w:t>
      </w:r>
    </w:p>
    <w:p w14:paraId="2EC171A3" w14:textId="77777777" w:rsidR="00261393" w:rsidRDefault="00261393" w:rsidP="00261393">
      <w:pPr>
        <w:tabs>
          <w:tab w:val="left" w:pos="567"/>
        </w:tabs>
        <w:spacing w:line="360" w:lineRule="auto"/>
        <w:jc w:val="both"/>
        <w:rPr>
          <w:rFonts w:ascii="Arial" w:hAnsi="Arial"/>
          <w:rtl/>
        </w:rPr>
      </w:pPr>
    </w:p>
    <w:p w14:paraId="4E314A16" w14:textId="77777777" w:rsidR="00261393" w:rsidRDefault="00261393" w:rsidP="00261393">
      <w:pPr>
        <w:pStyle w:val="a9"/>
        <w:numPr>
          <w:ilvl w:val="0"/>
          <w:numId w:val="1"/>
        </w:numPr>
        <w:spacing w:line="360" w:lineRule="auto"/>
        <w:ind w:left="509"/>
        <w:jc w:val="both"/>
        <w:rPr>
          <w:rtl/>
        </w:rPr>
      </w:pPr>
      <w:r>
        <w:rPr>
          <w:rFonts w:hint="cs"/>
          <w:rtl/>
        </w:rPr>
        <w:t>4 וחצי</w:t>
      </w:r>
      <w:r>
        <w:rPr>
          <w:rtl/>
        </w:rPr>
        <w:t xml:space="preserve"> חודשי מאסר שירוצו בעבודות שירות. מקום העסקה – איצטדיון טרנר בכתובת האצל 2 באר שבע, ובהתאם לחוו"ד הממונה על עבודות השירות מיום 10.04.2022. נוכח שגזר הדין ניתן לאחר המועד המומלץ לתחילת ריצוי עבודות השירות (07.06.2022), הנאשם הונחה להתייצב </w:t>
      </w:r>
      <w:r w:rsidRPr="00721003">
        <w:rPr>
          <w:rtl/>
        </w:rPr>
        <w:t xml:space="preserve">ביום </w:t>
      </w:r>
      <w:r>
        <w:rPr>
          <w:rFonts w:hint="cs"/>
          <w:rtl/>
        </w:rPr>
        <w:t>13.11.2022</w:t>
      </w:r>
      <w:r w:rsidRPr="00721003">
        <w:rPr>
          <w:rtl/>
        </w:rPr>
        <w:t xml:space="preserve"> במשרדי הממונה</w:t>
      </w:r>
      <w:r>
        <w:rPr>
          <w:rtl/>
        </w:rPr>
        <w:t xml:space="preserve"> על עבודות השירות עד השעה 08:30 (יחידת עבודות שירות), מפקדת מחוז דרום. (אוטובוסים להגעה ליד כלא אשל, אוטובוס קו אגד מס' 46 מתחנה מרכזית באר שבע) לצורך קליטה והשמה למועד חדש אותו יקבע הממונה על עבודות השירות. </w:t>
      </w:r>
    </w:p>
    <w:p w14:paraId="53F41FF5" w14:textId="77777777" w:rsidR="00261393" w:rsidRDefault="00261393" w:rsidP="00261393">
      <w:pPr>
        <w:pStyle w:val="a9"/>
        <w:spacing w:line="360" w:lineRule="auto"/>
        <w:ind w:left="509"/>
        <w:jc w:val="both"/>
      </w:pPr>
      <w:r>
        <w:rPr>
          <w:rtl/>
        </w:rPr>
        <w:t>הובהר לנאשם כי עבודות השירות יבוצעו 5 ימים בשבוע על פי טווח השעות המתאפשר ב</w:t>
      </w:r>
      <w:hyperlink r:id="rId26" w:history="1">
        <w:r w:rsidR="00DE47EB" w:rsidRPr="00DE47EB">
          <w:rPr>
            <w:color w:val="0000FF"/>
            <w:u w:val="single"/>
            <w:rtl/>
          </w:rPr>
          <w:t>חוק העונשין</w:t>
        </w:r>
      </w:hyperlink>
      <w:r>
        <w:rPr>
          <w:rtl/>
        </w:rPr>
        <w:t xml:space="preserve">. </w:t>
      </w:r>
    </w:p>
    <w:p w14:paraId="577ADE68" w14:textId="77777777" w:rsidR="00261393" w:rsidRDefault="00261393" w:rsidP="00261393">
      <w:pPr>
        <w:pStyle w:val="a9"/>
        <w:spacing w:line="360" w:lineRule="auto"/>
        <w:ind w:left="509"/>
        <w:jc w:val="both"/>
      </w:pPr>
      <w:r>
        <w:rPr>
          <w:rtl/>
        </w:rPr>
        <w:t xml:space="preserve">הנאשם הוזהר כי מדובר בתנאי העסקה קפדניים המצריכים התייצבות רציפה ועל פי הנחיות החוק והממונה וכל חריג מכללים אלו יהיה בה להביא להפסקת ריצוי עונשו בדרך זו וריצוי יתרת העונש במאסר בפועל. </w:t>
      </w:r>
    </w:p>
    <w:p w14:paraId="1FB324E8" w14:textId="77777777" w:rsidR="00261393" w:rsidRDefault="00261393" w:rsidP="00261393">
      <w:pPr>
        <w:pStyle w:val="a9"/>
        <w:numPr>
          <w:ilvl w:val="0"/>
          <w:numId w:val="1"/>
        </w:numPr>
        <w:spacing w:line="360" w:lineRule="auto"/>
        <w:ind w:left="509"/>
        <w:jc w:val="both"/>
        <w:rPr>
          <w:rtl/>
        </w:rPr>
      </w:pPr>
      <w:r>
        <w:rPr>
          <w:rtl/>
        </w:rPr>
        <w:t>8 חודשי מאסר על תנאי, לתקופה של שלוש שנים מהיום, והתנאי הוא שהנאשם לא יעבור עבירות סמים מסוג פשע.</w:t>
      </w:r>
    </w:p>
    <w:p w14:paraId="369BAC0D" w14:textId="77777777" w:rsidR="00261393" w:rsidRDefault="00261393" w:rsidP="00261393">
      <w:pPr>
        <w:pStyle w:val="a9"/>
        <w:numPr>
          <w:ilvl w:val="0"/>
          <w:numId w:val="1"/>
        </w:numPr>
        <w:spacing w:line="360" w:lineRule="auto"/>
        <w:ind w:left="509"/>
        <w:jc w:val="both"/>
      </w:pPr>
      <w:r>
        <w:rPr>
          <w:rtl/>
        </w:rPr>
        <w:t>2 חודשי מאסר על תנאי, לתקופה של שלוש שנים מהיום, והתנאי הוא שהנאשם לא יעבור עבירות סמים מסוג עוון.</w:t>
      </w:r>
    </w:p>
    <w:p w14:paraId="0D244B6A" w14:textId="77777777" w:rsidR="00261393" w:rsidRDefault="00261393" w:rsidP="00261393">
      <w:pPr>
        <w:pStyle w:val="a9"/>
        <w:numPr>
          <w:ilvl w:val="0"/>
          <w:numId w:val="1"/>
        </w:numPr>
        <w:spacing w:line="360" w:lineRule="auto"/>
        <w:ind w:left="509"/>
        <w:jc w:val="both"/>
      </w:pPr>
      <w:r>
        <w:rPr>
          <w:rtl/>
        </w:rPr>
        <w:t xml:space="preserve">4 חודשי פסילה מלנהוג, להחזיק או לקבל רישיון נהיגה, על תנאי שהנאשם לא יעבור עבירות סמים מסוג פשע, משך 3 שנים מהיום. </w:t>
      </w:r>
    </w:p>
    <w:p w14:paraId="446DC912" w14:textId="77777777" w:rsidR="00261393" w:rsidRDefault="00261393" w:rsidP="00261393">
      <w:pPr>
        <w:pStyle w:val="a9"/>
        <w:numPr>
          <w:ilvl w:val="0"/>
          <w:numId w:val="1"/>
        </w:numPr>
        <w:spacing w:line="360" w:lineRule="auto"/>
        <w:ind w:left="509"/>
        <w:jc w:val="both"/>
      </w:pPr>
      <w:r>
        <w:rPr>
          <w:rtl/>
        </w:rPr>
        <w:t>קנס בסך 2,000 ₪ או  15 ימי מאסר תמורתו. הקנס ישולם ב -4  תשלומים שווים ורצופים החל מיום 10.12.2022 ב- ובכל 10 בחודש שלאחריו. פיגור באחד התשלומים יעמיד את יתרת הקנס לפירעון מיידי.</w:t>
      </w:r>
    </w:p>
    <w:p w14:paraId="42C78DC8" w14:textId="77777777" w:rsidR="00261393" w:rsidRDefault="00261393" w:rsidP="00261393">
      <w:pPr>
        <w:spacing w:line="360" w:lineRule="auto"/>
        <w:ind w:left="149"/>
        <w:jc w:val="both"/>
        <w:rPr>
          <w:rtl/>
        </w:rPr>
      </w:pPr>
    </w:p>
    <w:p w14:paraId="7C970E1D" w14:textId="77777777" w:rsidR="00261393" w:rsidRDefault="00261393" w:rsidP="00261393">
      <w:pPr>
        <w:spacing w:line="360" w:lineRule="auto"/>
        <w:ind w:left="149"/>
        <w:jc w:val="both"/>
        <w:rPr>
          <w:rtl/>
        </w:rPr>
      </w:pPr>
      <w:r>
        <w:rPr>
          <w:rtl/>
        </w:rPr>
        <w:t xml:space="preserve">המזכירות מתבקשת להעביר עותק גזר הדין והפרוטוקול לממונה על עבודות השירות אשר יקבע מועד חדש לתחילת ריצוי מאסר הנאשם בעבודות שירות ואשר יעדכן את בית המשפט בדבר, תוך 30 ימים מהיום.  </w:t>
      </w:r>
    </w:p>
    <w:p w14:paraId="4A057448" w14:textId="77777777" w:rsidR="00261393" w:rsidRDefault="00261393" w:rsidP="00261393">
      <w:pPr>
        <w:spacing w:line="360" w:lineRule="auto"/>
        <w:ind w:left="149"/>
        <w:jc w:val="both"/>
        <w:rPr>
          <w:rtl/>
        </w:rPr>
      </w:pPr>
    </w:p>
    <w:p w14:paraId="4E4AD0D6" w14:textId="77777777" w:rsidR="00261393" w:rsidRPr="00261393" w:rsidRDefault="00261393" w:rsidP="00261393">
      <w:pPr>
        <w:spacing w:after="160" w:line="259" w:lineRule="auto"/>
        <w:rPr>
          <w:rFonts w:ascii="Calibri" w:hAnsi="Calibri"/>
          <w:b/>
          <w:bCs/>
          <w:rtl/>
        </w:rPr>
      </w:pPr>
      <w:r w:rsidRPr="00261393">
        <w:rPr>
          <w:rFonts w:ascii="Calibri" w:hAnsi="Calibri" w:hint="eastAsia"/>
          <w:b/>
          <w:bCs/>
          <w:rtl/>
        </w:rPr>
        <w:t>את</w:t>
      </w:r>
      <w:r w:rsidRPr="00261393">
        <w:rPr>
          <w:rFonts w:ascii="Calibri" w:hAnsi="Calibri"/>
          <w:b/>
          <w:bCs/>
          <w:rtl/>
        </w:rPr>
        <w:t xml:space="preserve"> </w:t>
      </w:r>
      <w:r w:rsidRPr="00261393">
        <w:rPr>
          <w:rFonts w:ascii="Calibri" w:hAnsi="Calibri" w:hint="eastAsia"/>
          <w:b/>
          <w:bCs/>
          <w:rtl/>
        </w:rPr>
        <w:t>הקנס</w:t>
      </w:r>
      <w:r w:rsidRPr="00261393">
        <w:rPr>
          <w:rFonts w:ascii="Calibri" w:hAnsi="Calibri"/>
          <w:b/>
          <w:bCs/>
          <w:rtl/>
        </w:rPr>
        <w:t xml:space="preserve"> </w:t>
      </w:r>
      <w:r w:rsidRPr="00261393">
        <w:rPr>
          <w:rFonts w:ascii="Calibri" w:hAnsi="Calibri" w:hint="eastAsia"/>
          <w:b/>
          <w:bCs/>
          <w:rtl/>
        </w:rPr>
        <w:t>ניתן</w:t>
      </w:r>
      <w:r w:rsidRPr="00261393">
        <w:rPr>
          <w:rFonts w:ascii="Calibri" w:hAnsi="Calibri"/>
          <w:b/>
          <w:bCs/>
          <w:rtl/>
        </w:rPr>
        <w:t xml:space="preserve"> </w:t>
      </w:r>
      <w:r w:rsidRPr="00261393">
        <w:rPr>
          <w:rFonts w:ascii="Calibri" w:hAnsi="Calibri" w:hint="eastAsia"/>
          <w:b/>
          <w:bCs/>
          <w:rtl/>
        </w:rPr>
        <w:t>לשלם</w:t>
      </w:r>
      <w:r w:rsidRPr="00261393">
        <w:rPr>
          <w:rFonts w:ascii="Calibri" w:hAnsi="Calibri"/>
          <w:b/>
          <w:bCs/>
          <w:rtl/>
        </w:rPr>
        <w:t xml:space="preserve"> </w:t>
      </w:r>
      <w:r w:rsidRPr="00261393">
        <w:rPr>
          <w:rFonts w:ascii="Calibri" w:hAnsi="Calibri" w:hint="eastAsia"/>
          <w:b/>
          <w:bCs/>
          <w:rtl/>
        </w:rPr>
        <w:t>כעבור</w:t>
      </w:r>
      <w:r w:rsidRPr="00261393">
        <w:rPr>
          <w:rFonts w:ascii="Calibri" w:hAnsi="Calibri"/>
          <w:b/>
          <w:bCs/>
          <w:rtl/>
        </w:rPr>
        <w:t xml:space="preserve"> 3 </w:t>
      </w:r>
      <w:r w:rsidRPr="00261393">
        <w:rPr>
          <w:rFonts w:ascii="Calibri" w:hAnsi="Calibri" w:hint="eastAsia"/>
          <w:b/>
          <w:bCs/>
          <w:rtl/>
        </w:rPr>
        <w:t>ימים</w:t>
      </w:r>
      <w:r w:rsidRPr="00261393">
        <w:rPr>
          <w:rFonts w:ascii="Calibri" w:hAnsi="Calibri"/>
          <w:b/>
          <w:bCs/>
          <w:rtl/>
        </w:rPr>
        <w:t xml:space="preserve"> </w:t>
      </w:r>
      <w:r w:rsidRPr="00261393">
        <w:rPr>
          <w:rFonts w:ascii="Calibri" w:hAnsi="Calibri" w:hint="eastAsia"/>
          <w:b/>
          <w:bCs/>
          <w:rtl/>
        </w:rPr>
        <w:t>מהיום</w:t>
      </w:r>
      <w:r w:rsidRPr="00261393">
        <w:rPr>
          <w:rFonts w:ascii="Calibri" w:hAnsi="Calibri"/>
          <w:b/>
          <w:bCs/>
          <w:rtl/>
        </w:rPr>
        <w:t xml:space="preserve"> </w:t>
      </w:r>
      <w:r w:rsidRPr="00261393">
        <w:rPr>
          <w:rFonts w:ascii="Calibri" w:hAnsi="Calibri" w:hint="eastAsia"/>
          <w:b/>
          <w:bCs/>
          <w:rtl/>
        </w:rPr>
        <w:t>באחת</w:t>
      </w:r>
      <w:r w:rsidRPr="00261393">
        <w:rPr>
          <w:rFonts w:ascii="Calibri" w:hAnsi="Calibri"/>
          <w:b/>
          <w:bCs/>
          <w:rtl/>
        </w:rPr>
        <w:t xml:space="preserve"> </w:t>
      </w:r>
      <w:r w:rsidRPr="00261393">
        <w:rPr>
          <w:rFonts w:ascii="Calibri" w:hAnsi="Calibri" w:hint="eastAsia"/>
          <w:b/>
          <w:bCs/>
          <w:rtl/>
        </w:rPr>
        <w:t>מהדרכים</w:t>
      </w:r>
      <w:r w:rsidRPr="00261393">
        <w:rPr>
          <w:rFonts w:ascii="Calibri" w:hAnsi="Calibri"/>
          <w:b/>
          <w:bCs/>
          <w:rtl/>
        </w:rPr>
        <w:t xml:space="preserve"> </w:t>
      </w:r>
      <w:r w:rsidRPr="00261393">
        <w:rPr>
          <w:rFonts w:ascii="Calibri" w:hAnsi="Calibri" w:hint="eastAsia"/>
          <w:b/>
          <w:bCs/>
          <w:rtl/>
        </w:rPr>
        <w:t>הבאות</w:t>
      </w:r>
      <w:r w:rsidRPr="00261393">
        <w:rPr>
          <w:rFonts w:ascii="Calibri" w:hAnsi="Calibri"/>
          <w:b/>
          <w:bCs/>
          <w:rtl/>
        </w:rPr>
        <w:t>:</w:t>
      </w:r>
    </w:p>
    <w:p w14:paraId="273A840D" w14:textId="77777777" w:rsidR="00261393" w:rsidRPr="00261393" w:rsidRDefault="00261393" w:rsidP="00261393">
      <w:pPr>
        <w:numPr>
          <w:ilvl w:val="0"/>
          <w:numId w:val="2"/>
        </w:numPr>
        <w:spacing w:after="160" w:line="259" w:lineRule="auto"/>
        <w:contextualSpacing/>
        <w:rPr>
          <w:rFonts w:ascii="Calibri" w:hAnsi="Calibri"/>
          <w:b/>
          <w:bCs/>
        </w:rPr>
      </w:pPr>
      <w:r w:rsidRPr="00261393">
        <w:rPr>
          <w:rFonts w:ascii="Calibri" w:hAnsi="Calibri" w:hint="eastAsia"/>
          <w:b/>
          <w:bCs/>
          <w:rtl/>
        </w:rPr>
        <w:t>בכרטיס</w:t>
      </w:r>
      <w:r w:rsidRPr="00261393">
        <w:rPr>
          <w:rFonts w:ascii="Calibri" w:hAnsi="Calibri"/>
          <w:b/>
          <w:bCs/>
          <w:rtl/>
        </w:rPr>
        <w:t xml:space="preserve"> </w:t>
      </w:r>
      <w:r w:rsidRPr="00261393">
        <w:rPr>
          <w:rFonts w:ascii="Calibri" w:hAnsi="Calibri" w:hint="eastAsia"/>
          <w:b/>
          <w:bCs/>
          <w:rtl/>
        </w:rPr>
        <w:t>אשראי</w:t>
      </w:r>
      <w:r w:rsidRPr="00261393">
        <w:rPr>
          <w:rFonts w:ascii="Calibri" w:hAnsi="Calibri"/>
          <w:b/>
          <w:bCs/>
          <w:rtl/>
        </w:rPr>
        <w:t xml:space="preserve"> – </w:t>
      </w:r>
      <w:r w:rsidRPr="00261393">
        <w:rPr>
          <w:rFonts w:ascii="Calibri" w:hAnsi="Calibri" w:hint="eastAsia"/>
          <w:b/>
          <w:bCs/>
          <w:rtl/>
        </w:rPr>
        <w:t>באתר</w:t>
      </w:r>
      <w:r w:rsidRPr="00261393">
        <w:rPr>
          <w:rFonts w:ascii="Calibri" w:hAnsi="Calibri"/>
          <w:b/>
          <w:bCs/>
          <w:rtl/>
        </w:rPr>
        <w:t xml:space="preserve"> </w:t>
      </w:r>
      <w:r w:rsidRPr="00261393">
        <w:rPr>
          <w:rFonts w:ascii="Calibri" w:hAnsi="Calibri" w:hint="eastAsia"/>
          <w:b/>
          <w:bCs/>
          <w:rtl/>
        </w:rPr>
        <w:t>המקוון</w:t>
      </w:r>
      <w:r w:rsidRPr="00261393">
        <w:rPr>
          <w:rFonts w:ascii="Calibri" w:hAnsi="Calibri"/>
          <w:b/>
          <w:bCs/>
          <w:rtl/>
        </w:rPr>
        <w:t xml:space="preserve"> </w:t>
      </w:r>
      <w:r w:rsidRPr="00261393">
        <w:rPr>
          <w:rFonts w:ascii="Calibri" w:hAnsi="Calibri" w:hint="eastAsia"/>
          <w:b/>
          <w:bCs/>
          <w:rtl/>
        </w:rPr>
        <w:t>של</w:t>
      </w:r>
      <w:r w:rsidRPr="00261393">
        <w:rPr>
          <w:rFonts w:ascii="Calibri" w:hAnsi="Calibri"/>
          <w:b/>
          <w:bCs/>
          <w:rtl/>
        </w:rPr>
        <w:t xml:space="preserve"> </w:t>
      </w:r>
      <w:r w:rsidRPr="00261393">
        <w:rPr>
          <w:rFonts w:ascii="Calibri" w:hAnsi="Calibri" w:hint="eastAsia"/>
          <w:b/>
          <w:bCs/>
          <w:rtl/>
        </w:rPr>
        <w:t>רשות</w:t>
      </w:r>
      <w:r w:rsidRPr="00261393">
        <w:rPr>
          <w:rFonts w:ascii="Calibri" w:hAnsi="Calibri"/>
          <w:b/>
          <w:bCs/>
          <w:rtl/>
        </w:rPr>
        <w:t xml:space="preserve"> </w:t>
      </w:r>
      <w:r w:rsidRPr="00261393">
        <w:rPr>
          <w:rFonts w:ascii="Calibri" w:hAnsi="Calibri" w:hint="eastAsia"/>
          <w:b/>
          <w:bCs/>
          <w:rtl/>
        </w:rPr>
        <w:t>האכיפה</w:t>
      </w:r>
      <w:r w:rsidRPr="00261393">
        <w:rPr>
          <w:rFonts w:ascii="Calibri" w:hAnsi="Calibri"/>
          <w:b/>
          <w:bCs/>
          <w:rtl/>
        </w:rPr>
        <w:t xml:space="preserve"> </w:t>
      </w:r>
      <w:r w:rsidRPr="00261393">
        <w:rPr>
          <w:rFonts w:ascii="Calibri" w:hAnsi="Calibri" w:hint="eastAsia"/>
          <w:b/>
          <w:bCs/>
          <w:rtl/>
        </w:rPr>
        <w:t>והגבייה</w:t>
      </w:r>
      <w:r w:rsidRPr="00261393">
        <w:rPr>
          <w:rFonts w:ascii="Calibri" w:hAnsi="Calibri"/>
          <w:b/>
          <w:bCs/>
          <w:rtl/>
        </w:rPr>
        <w:t xml:space="preserve"> </w:t>
      </w:r>
      <w:hyperlink r:id="rId27" w:history="1">
        <w:r w:rsidRPr="00261393">
          <w:rPr>
            <w:rFonts w:ascii="Calibri" w:hAnsi="Calibri"/>
            <w:b/>
            <w:bCs/>
            <w:color w:val="0563C1"/>
            <w:u w:val="single"/>
          </w:rPr>
          <w:t>WWW.eca.gov.il</w:t>
        </w:r>
      </w:hyperlink>
    </w:p>
    <w:p w14:paraId="0AE8A631" w14:textId="77777777" w:rsidR="00261393" w:rsidRPr="00261393" w:rsidRDefault="00261393" w:rsidP="00261393">
      <w:pPr>
        <w:numPr>
          <w:ilvl w:val="0"/>
          <w:numId w:val="2"/>
        </w:numPr>
        <w:spacing w:after="160" w:line="259" w:lineRule="auto"/>
        <w:contextualSpacing/>
        <w:rPr>
          <w:rFonts w:ascii="Calibri" w:hAnsi="Calibri"/>
          <w:b/>
          <w:bCs/>
        </w:rPr>
      </w:pPr>
      <w:r w:rsidRPr="00261393">
        <w:rPr>
          <w:rFonts w:ascii="Calibri" w:hAnsi="Calibri" w:hint="eastAsia"/>
          <w:b/>
          <w:bCs/>
          <w:rtl/>
        </w:rPr>
        <w:t>מוקד</w:t>
      </w:r>
      <w:r w:rsidRPr="00261393">
        <w:rPr>
          <w:rFonts w:ascii="Calibri" w:hAnsi="Calibri"/>
          <w:b/>
          <w:bCs/>
          <w:rtl/>
        </w:rPr>
        <w:t xml:space="preserve"> </w:t>
      </w:r>
      <w:r w:rsidRPr="00261393">
        <w:rPr>
          <w:rFonts w:ascii="Calibri" w:hAnsi="Calibri" w:hint="eastAsia"/>
          <w:b/>
          <w:bCs/>
          <w:rtl/>
        </w:rPr>
        <w:t>שירות</w:t>
      </w:r>
      <w:r w:rsidRPr="00261393">
        <w:rPr>
          <w:rFonts w:ascii="Calibri" w:hAnsi="Calibri"/>
          <w:b/>
          <w:bCs/>
          <w:rtl/>
        </w:rPr>
        <w:t xml:space="preserve"> </w:t>
      </w:r>
      <w:r w:rsidRPr="00261393">
        <w:rPr>
          <w:rFonts w:ascii="Calibri" w:hAnsi="Calibri" w:hint="eastAsia"/>
          <w:b/>
          <w:bCs/>
          <w:rtl/>
        </w:rPr>
        <w:t>טלפוני</w:t>
      </w:r>
      <w:r w:rsidRPr="00261393">
        <w:rPr>
          <w:rFonts w:ascii="Calibri" w:hAnsi="Calibri"/>
          <w:b/>
          <w:bCs/>
          <w:rtl/>
        </w:rPr>
        <w:t xml:space="preserve"> </w:t>
      </w:r>
      <w:r w:rsidRPr="00261393">
        <w:rPr>
          <w:rFonts w:ascii="Calibri" w:hAnsi="Calibri" w:hint="eastAsia"/>
          <w:b/>
          <w:bCs/>
          <w:rtl/>
        </w:rPr>
        <w:t>בשרות</w:t>
      </w:r>
      <w:r w:rsidRPr="00261393">
        <w:rPr>
          <w:rFonts w:ascii="Calibri" w:hAnsi="Calibri"/>
          <w:b/>
          <w:bCs/>
          <w:rtl/>
        </w:rPr>
        <w:t xml:space="preserve"> </w:t>
      </w:r>
      <w:r w:rsidRPr="00261393">
        <w:rPr>
          <w:rFonts w:ascii="Calibri" w:hAnsi="Calibri" w:hint="eastAsia"/>
          <w:b/>
          <w:bCs/>
          <w:rtl/>
        </w:rPr>
        <w:t>עצמי</w:t>
      </w:r>
      <w:r w:rsidRPr="00261393">
        <w:rPr>
          <w:rFonts w:ascii="Calibri" w:hAnsi="Calibri"/>
          <w:b/>
          <w:bCs/>
          <w:rtl/>
        </w:rPr>
        <w:t xml:space="preserve"> (</w:t>
      </w:r>
      <w:r w:rsidRPr="00261393">
        <w:rPr>
          <w:rFonts w:ascii="Calibri" w:hAnsi="Calibri" w:hint="eastAsia"/>
          <w:b/>
          <w:bCs/>
          <w:rtl/>
        </w:rPr>
        <w:t>מרכב</w:t>
      </w:r>
      <w:r w:rsidRPr="00261393">
        <w:rPr>
          <w:rFonts w:ascii="Calibri" w:hAnsi="Calibri"/>
          <w:b/>
          <w:bCs/>
          <w:rtl/>
        </w:rPr>
        <w:t xml:space="preserve"> </w:t>
      </w:r>
      <w:r w:rsidRPr="00261393">
        <w:rPr>
          <w:rFonts w:ascii="Calibri" w:hAnsi="Calibri" w:hint="eastAsia"/>
          <w:b/>
          <w:bCs/>
          <w:rtl/>
        </w:rPr>
        <w:t>גבייה</w:t>
      </w:r>
      <w:r w:rsidRPr="00261393">
        <w:rPr>
          <w:rFonts w:ascii="Calibri" w:hAnsi="Calibri"/>
          <w:b/>
          <w:bCs/>
          <w:rtl/>
        </w:rPr>
        <w:t xml:space="preserve">) – </w:t>
      </w:r>
      <w:r w:rsidRPr="00261393">
        <w:rPr>
          <w:rFonts w:ascii="Calibri" w:hAnsi="Calibri" w:hint="eastAsia"/>
          <w:b/>
          <w:bCs/>
          <w:rtl/>
        </w:rPr>
        <w:t>בטלפון</w:t>
      </w:r>
      <w:r w:rsidRPr="00261393">
        <w:rPr>
          <w:rFonts w:ascii="Calibri" w:hAnsi="Calibri"/>
          <w:b/>
          <w:bCs/>
          <w:rtl/>
        </w:rPr>
        <w:t xml:space="preserve"> 35592* </w:t>
      </w:r>
      <w:r w:rsidRPr="00261393">
        <w:rPr>
          <w:rFonts w:ascii="Calibri" w:hAnsi="Calibri" w:hint="eastAsia"/>
          <w:b/>
          <w:bCs/>
          <w:rtl/>
        </w:rPr>
        <w:t>או</w:t>
      </w:r>
      <w:r w:rsidRPr="00261393">
        <w:rPr>
          <w:rFonts w:ascii="Calibri" w:hAnsi="Calibri"/>
          <w:b/>
          <w:bCs/>
          <w:rtl/>
        </w:rPr>
        <w:t xml:space="preserve"> </w:t>
      </w:r>
      <w:r w:rsidRPr="00261393">
        <w:rPr>
          <w:rFonts w:ascii="Calibri" w:hAnsi="Calibri" w:hint="eastAsia"/>
          <w:b/>
          <w:bCs/>
          <w:rtl/>
        </w:rPr>
        <w:t>בטלפון</w:t>
      </w:r>
      <w:r w:rsidRPr="00261393">
        <w:rPr>
          <w:rFonts w:ascii="Calibri" w:hAnsi="Calibri"/>
          <w:b/>
          <w:bCs/>
          <w:rtl/>
        </w:rPr>
        <w:t xml:space="preserve"> 073-2055000. </w:t>
      </w:r>
    </w:p>
    <w:p w14:paraId="1A3C5382" w14:textId="77777777" w:rsidR="00261393" w:rsidRPr="00261393" w:rsidRDefault="00261393" w:rsidP="00261393">
      <w:pPr>
        <w:numPr>
          <w:ilvl w:val="0"/>
          <w:numId w:val="2"/>
        </w:numPr>
        <w:spacing w:after="160" w:line="259" w:lineRule="auto"/>
        <w:contextualSpacing/>
        <w:rPr>
          <w:rFonts w:ascii="Calibri" w:hAnsi="Calibri"/>
          <w:b/>
          <w:bCs/>
        </w:rPr>
      </w:pPr>
      <w:r w:rsidRPr="00261393">
        <w:rPr>
          <w:rFonts w:ascii="Calibri" w:hAnsi="Calibri" w:hint="eastAsia"/>
          <w:b/>
          <w:bCs/>
          <w:rtl/>
        </w:rPr>
        <w:t>במזומן</w:t>
      </w:r>
      <w:r w:rsidRPr="00261393">
        <w:rPr>
          <w:rFonts w:ascii="Calibri" w:hAnsi="Calibri"/>
          <w:b/>
          <w:bCs/>
          <w:rtl/>
        </w:rPr>
        <w:t xml:space="preserve"> </w:t>
      </w:r>
      <w:r w:rsidRPr="00261393">
        <w:rPr>
          <w:rFonts w:ascii="Calibri" w:hAnsi="Calibri" w:hint="eastAsia"/>
          <w:b/>
          <w:bCs/>
          <w:rtl/>
        </w:rPr>
        <w:t>בכל</w:t>
      </w:r>
      <w:r w:rsidRPr="00261393">
        <w:rPr>
          <w:rFonts w:ascii="Calibri" w:hAnsi="Calibri"/>
          <w:b/>
          <w:bCs/>
          <w:rtl/>
        </w:rPr>
        <w:t xml:space="preserve"> </w:t>
      </w:r>
      <w:r w:rsidRPr="00261393">
        <w:rPr>
          <w:rFonts w:ascii="Calibri" w:hAnsi="Calibri" w:hint="eastAsia"/>
          <w:b/>
          <w:bCs/>
          <w:rtl/>
        </w:rPr>
        <w:t>סניף</w:t>
      </w:r>
      <w:r w:rsidRPr="00261393">
        <w:rPr>
          <w:rFonts w:ascii="Calibri" w:hAnsi="Calibri"/>
          <w:b/>
          <w:bCs/>
          <w:rtl/>
        </w:rPr>
        <w:t xml:space="preserve"> </w:t>
      </w:r>
      <w:r w:rsidRPr="00261393">
        <w:rPr>
          <w:rFonts w:ascii="Calibri" w:hAnsi="Calibri" w:hint="eastAsia"/>
          <w:b/>
          <w:bCs/>
          <w:rtl/>
        </w:rPr>
        <w:t>של</w:t>
      </w:r>
      <w:r w:rsidRPr="00261393">
        <w:rPr>
          <w:rFonts w:ascii="Calibri" w:hAnsi="Calibri"/>
          <w:b/>
          <w:bCs/>
          <w:rtl/>
        </w:rPr>
        <w:t xml:space="preserve"> </w:t>
      </w:r>
      <w:r w:rsidRPr="00261393">
        <w:rPr>
          <w:rFonts w:ascii="Calibri" w:hAnsi="Calibri" w:hint="eastAsia"/>
          <w:b/>
          <w:bCs/>
          <w:rtl/>
        </w:rPr>
        <w:t>בנק</w:t>
      </w:r>
      <w:r w:rsidRPr="00261393">
        <w:rPr>
          <w:rFonts w:ascii="Calibri" w:hAnsi="Calibri"/>
          <w:b/>
          <w:bCs/>
          <w:rtl/>
        </w:rPr>
        <w:t xml:space="preserve"> </w:t>
      </w:r>
      <w:r w:rsidRPr="00261393">
        <w:rPr>
          <w:rFonts w:ascii="Calibri" w:hAnsi="Calibri" w:hint="eastAsia"/>
          <w:b/>
          <w:bCs/>
          <w:rtl/>
        </w:rPr>
        <w:t>הדואר</w:t>
      </w:r>
      <w:r w:rsidRPr="00261393">
        <w:rPr>
          <w:rFonts w:ascii="Calibri" w:hAnsi="Calibri"/>
          <w:b/>
          <w:bCs/>
          <w:rtl/>
        </w:rPr>
        <w:t xml:space="preserve"> – </w:t>
      </w:r>
      <w:r w:rsidRPr="00261393">
        <w:rPr>
          <w:rFonts w:ascii="Calibri" w:hAnsi="Calibri" w:hint="eastAsia"/>
          <w:b/>
          <w:bCs/>
          <w:rtl/>
        </w:rPr>
        <w:t>בהצגת</w:t>
      </w:r>
      <w:r w:rsidRPr="00261393">
        <w:rPr>
          <w:rFonts w:ascii="Calibri" w:hAnsi="Calibri"/>
          <w:b/>
          <w:bCs/>
          <w:rtl/>
        </w:rPr>
        <w:t xml:space="preserve"> </w:t>
      </w:r>
      <w:r w:rsidRPr="00261393">
        <w:rPr>
          <w:rFonts w:ascii="Calibri" w:hAnsi="Calibri" w:hint="eastAsia"/>
          <w:b/>
          <w:bCs/>
          <w:rtl/>
        </w:rPr>
        <w:t>תעודת</w:t>
      </w:r>
      <w:r w:rsidRPr="00261393">
        <w:rPr>
          <w:rFonts w:ascii="Calibri" w:hAnsi="Calibri"/>
          <w:b/>
          <w:bCs/>
          <w:rtl/>
        </w:rPr>
        <w:t xml:space="preserve"> </w:t>
      </w:r>
      <w:r w:rsidRPr="00261393">
        <w:rPr>
          <w:rFonts w:ascii="Calibri" w:hAnsi="Calibri" w:hint="eastAsia"/>
          <w:b/>
          <w:bCs/>
          <w:rtl/>
        </w:rPr>
        <w:t>זהות</w:t>
      </w:r>
      <w:r w:rsidRPr="00261393">
        <w:rPr>
          <w:rFonts w:ascii="Calibri" w:hAnsi="Calibri"/>
          <w:b/>
          <w:bCs/>
          <w:rtl/>
        </w:rPr>
        <w:t xml:space="preserve"> </w:t>
      </w:r>
      <w:r w:rsidRPr="00261393">
        <w:rPr>
          <w:rFonts w:ascii="Calibri" w:hAnsi="Calibri" w:hint="eastAsia"/>
          <w:b/>
          <w:bCs/>
          <w:rtl/>
        </w:rPr>
        <w:t>בלבד</w:t>
      </w:r>
      <w:r w:rsidRPr="00261393">
        <w:rPr>
          <w:rFonts w:ascii="Calibri" w:hAnsi="Calibri"/>
          <w:b/>
          <w:bCs/>
          <w:rtl/>
        </w:rPr>
        <w:t xml:space="preserve"> (</w:t>
      </w:r>
      <w:r w:rsidRPr="00261393">
        <w:rPr>
          <w:rFonts w:ascii="Calibri" w:hAnsi="Calibri" w:hint="eastAsia"/>
          <w:b/>
          <w:bCs/>
          <w:rtl/>
        </w:rPr>
        <w:t>אין</w:t>
      </w:r>
      <w:r w:rsidRPr="00261393">
        <w:rPr>
          <w:rFonts w:ascii="Calibri" w:hAnsi="Calibri"/>
          <w:b/>
          <w:bCs/>
          <w:rtl/>
        </w:rPr>
        <w:t xml:space="preserve"> </w:t>
      </w:r>
      <w:r w:rsidRPr="00261393">
        <w:rPr>
          <w:rFonts w:ascii="Calibri" w:hAnsi="Calibri" w:hint="eastAsia"/>
          <w:b/>
          <w:bCs/>
          <w:rtl/>
        </w:rPr>
        <w:t>צורך</w:t>
      </w:r>
      <w:r w:rsidRPr="00261393">
        <w:rPr>
          <w:rFonts w:ascii="Calibri" w:hAnsi="Calibri"/>
          <w:b/>
          <w:bCs/>
          <w:rtl/>
        </w:rPr>
        <w:t xml:space="preserve"> </w:t>
      </w:r>
      <w:r w:rsidRPr="00261393">
        <w:rPr>
          <w:rFonts w:ascii="Calibri" w:hAnsi="Calibri" w:hint="eastAsia"/>
          <w:b/>
          <w:bCs/>
          <w:rtl/>
        </w:rPr>
        <w:t>בהצגת</w:t>
      </w:r>
      <w:r w:rsidRPr="00261393">
        <w:rPr>
          <w:rFonts w:ascii="Calibri" w:hAnsi="Calibri"/>
          <w:b/>
          <w:bCs/>
          <w:rtl/>
        </w:rPr>
        <w:t xml:space="preserve"> </w:t>
      </w:r>
      <w:r w:rsidRPr="00261393">
        <w:rPr>
          <w:rFonts w:ascii="Calibri" w:hAnsi="Calibri" w:hint="eastAsia"/>
          <w:b/>
          <w:bCs/>
          <w:rtl/>
        </w:rPr>
        <w:t>שוברי</w:t>
      </w:r>
      <w:r w:rsidRPr="00261393">
        <w:rPr>
          <w:rFonts w:ascii="Calibri" w:hAnsi="Calibri"/>
          <w:b/>
          <w:bCs/>
          <w:rtl/>
        </w:rPr>
        <w:t xml:space="preserve"> </w:t>
      </w:r>
      <w:r w:rsidRPr="00261393">
        <w:rPr>
          <w:rFonts w:ascii="Calibri" w:hAnsi="Calibri" w:hint="eastAsia"/>
          <w:b/>
          <w:bCs/>
          <w:rtl/>
        </w:rPr>
        <w:t>תשלום</w:t>
      </w:r>
      <w:r w:rsidRPr="00261393">
        <w:rPr>
          <w:rFonts w:ascii="Calibri" w:hAnsi="Calibri"/>
          <w:b/>
          <w:bCs/>
          <w:rtl/>
        </w:rPr>
        <w:t xml:space="preserve">). </w:t>
      </w:r>
    </w:p>
    <w:p w14:paraId="175C746D" w14:textId="77777777" w:rsidR="00261393" w:rsidRDefault="00261393" w:rsidP="00261393">
      <w:pPr>
        <w:spacing w:line="360" w:lineRule="auto"/>
        <w:jc w:val="both"/>
        <w:rPr>
          <w:rtl/>
        </w:rPr>
      </w:pPr>
    </w:p>
    <w:p w14:paraId="50EB370A" w14:textId="77777777" w:rsidR="00261393" w:rsidRDefault="00261393" w:rsidP="00261393">
      <w:pPr>
        <w:spacing w:line="360" w:lineRule="auto"/>
        <w:jc w:val="both"/>
        <w:rPr>
          <w:rtl/>
        </w:rPr>
      </w:pPr>
    </w:p>
    <w:p w14:paraId="6AAB525F" w14:textId="77777777" w:rsidR="00261393" w:rsidRDefault="00DE47EB" w:rsidP="00261393">
      <w:pPr>
        <w:spacing w:line="360" w:lineRule="auto"/>
        <w:jc w:val="both"/>
        <w:rPr>
          <w:rtl/>
        </w:rPr>
      </w:pPr>
      <w:r w:rsidRPr="00DE47EB">
        <w:rPr>
          <w:color w:val="FFFFFF"/>
          <w:sz w:val="2"/>
          <w:szCs w:val="2"/>
          <w:rtl/>
        </w:rPr>
        <w:t>5129371</w:t>
      </w:r>
      <w:r w:rsidR="00261393">
        <w:rPr>
          <w:rtl/>
        </w:rPr>
        <w:t xml:space="preserve">ניתן צו כללי להשמדת מוצגי הסמים. </w:t>
      </w:r>
    </w:p>
    <w:p w14:paraId="4983FB40" w14:textId="77777777" w:rsidR="00261393" w:rsidRDefault="00DE47EB" w:rsidP="00261393">
      <w:pPr>
        <w:spacing w:line="360" w:lineRule="auto"/>
        <w:jc w:val="both"/>
      </w:pPr>
      <w:r w:rsidRPr="00DE47EB">
        <w:rPr>
          <w:b/>
          <w:bCs/>
          <w:color w:val="FFFFFF"/>
          <w:sz w:val="2"/>
          <w:szCs w:val="2"/>
          <w:rtl/>
        </w:rPr>
        <w:t>54678313</w:t>
      </w:r>
      <w:r w:rsidR="00261393">
        <w:rPr>
          <w:b/>
          <w:bCs/>
          <w:rtl/>
        </w:rPr>
        <w:t>הודעה זכות הערעור.</w:t>
      </w:r>
    </w:p>
    <w:p w14:paraId="674A9FF0" w14:textId="77777777" w:rsidR="00261393" w:rsidRPr="000F2247" w:rsidRDefault="00261393" w:rsidP="00261393">
      <w:pPr>
        <w:rPr>
          <w:rFonts w:ascii="Arial" w:hAnsi="Arial"/>
          <w:b/>
          <w:bCs/>
          <w:sz w:val="26"/>
          <w:szCs w:val="26"/>
          <w:rtl/>
        </w:rPr>
      </w:pPr>
    </w:p>
    <w:p w14:paraId="34E6A449" w14:textId="77777777" w:rsidR="00261393" w:rsidRPr="000F2247" w:rsidRDefault="00DE47EB" w:rsidP="00261393">
      <w:pPr>
        <w:rPr>
          <w:rFonts w:ascii="Arial" w:hAnsi="Arial"/>
          <w:b/>
          <w:bCs/>
          <w:sz w:val="26"/>
          <w:szCs w:val="26"/>
          <w:rtl/>
        </w:rPr>
      </w:pPr>
      <w:bookmarkStart w:id="8" w:name="Nitan"/>
      <w:r>
        <w:rPr>
          <w:rFonts w:ascii="Arial" w:hAnsi="Arial"/>
          <w:b/>
          <w:bCs/>
          <w:sz w:val="26"/>
          <w:szCs w:val="26"/>
          <w:rtl/>
        </w:rPr>
        <w:t xml:space="preserve">ניתן היום,  ט"ז חשוון תשפ"ג, 10 נובמבר 2022, בהעדר הצדדים. </w:t>
      </w:r>
      <w:bookmarkEnd w:id="8"/>
    </w:p>
    <w:p w14:paraId="0F396628" w14:textId="77777777" w:rsidR="00261393" w:rsidRPr="000F2247" w:rsidRDefault="00261393" w:rsidP="00DE47E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810B3A5" w14:textId="77777777" w:rsidR="00261393" w:rsidRPr="000F2247" w:rsidRDefault="00261393" w:rsidP="00261393">
      <w:pPr>
        <w:jc w:val="center"/>
        <w:rPr>
          <w:rFonts w:ascii="Arial" w:hAnsi="Arial"/>
          <w:b/>
          <w:bCs/>
          <w:sz w:val="26"/>
          <w:szCs w:val="26"/>
          <w:rtl/>
        </w:rPr>
      </w:pPr>
    </w:p>
    <w:p w14:paraId="23C893BD" w14:textId="77777777" w:rsidR="00290357" w:rsidRPr="00DE47EB" w:rsidRDefault="00290357" w:rsidP="00DE47EB">
      <w:pPr>
        <w:keepNext/>
        <w:rPr>
          <w:rFonts w:ascii="David" w:hAnsi="David"/>
          <w:color w:val="000000"/>
          <w:sz w:val="22"/>
          <w:szCs w:val="22"/>
          <w:rtl/>
        </w:rPr>
      </w:pPr>
    </w:p>
    <w:p w14:paraId="60D8887C" w14:textId="77777777" w:rsidR="00DE47EB" w:rsidRPr="00DE47EB" w:rsidRDefault="00DE47EB" w:rsidP="00DE47EB">
      <w:pPr>
        <w:keepNext/>
        <w:rPr>
          <w:rFonts w:ascii="David" w:hAnsi="David"/>
          <w:color w:val="000000"/>
          <w:sz w:val="22"/>
          <w:szCs w:val="22"/>
          <w:rtl/>
        </w:rPr>
      </w:pPr>
      <w:r w:rsidRPr="00DE47EB">
        <w:rPr>
          <w:rFonts w:ascii="David" w:hAnsi="David"/>
          <w:color w:val="000000"/>
          <w:sz w:val="22"/>
          <w:szCs w:val="22"/>
          <w:rtl/>
        </w:rPr>
        <w:t>שוש שטרית 54678313</w:t>
      </w:r>
    </w:p>
    <w:p w14:paraId="6DF8DA2E" w14:textId="77777777" w:rsidR="00DE47EB" w:rsidRDefault="00DE47EB" w:rsidP="00DE47EB">
      <w:r w:rsidRPr="00DE47EB">
        <w:rPr>
          <w:color w:val="000000"/>
          <w:rtl/>
        </w:rPr>
        <w:t>נוסח מסמך זה כפוף לשינויי ניסוח ועריכה</w:t>
      </w:r>
    </w:p>
    <w:p w14:paraId="7ED70E71" w14:textId="77777777" w:rsidR="00DE47EB" w:rsidRDefault="00DE47EB" w:rsidP="00DE47EB">
      <w:pPr>
        <w:rPr>
          <w:rtl/>
        </w:rPr>
      </w:pPr>
    </w:p>
    <w:p w14:paraId="1B520F72" w14:textId="77777777" w:rsidR="00DE47EB" w:rsidRDefault="00DE47EB" w:rsidP="00DE47EB">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36274EC6" w14:textId="77777777" w:rsidR="00DE47EB" w:rsidRPr="00DE47EB" w:rsidRDefault="00DE47EB" w:rsidP="00DE47EB">
      <w:pPr>
        <w:jc w:val="center"/>
        <w:rPr>
          <w:color w:val="0000FF"/>
          <w:u w:val="single"/>
        </w:rPr>
      </w:pPr>
    </w:p>
    <w:sectPr w:rsidR="00DE47EB" w:rsidRPr="00DE47EB" w:rsidSect="00DE47EB">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4C0CE" w14:textId="77777777" w:rsidR="008F6494" w:rsidRDefault="008F6494" w:rsidP="00BC49E9">
      <w:r>
        <w:separator/>
      </w:r>
    </w:p>
  </w:endnote>
  <w:endnote w:type="continuationSeparator" w:id="0">
    <w:p w14:paraId="63C09C01" w14:textId="77777777" w:rsidR="008F6494" w:rsidRDefault="008F6494" w:rsidP="00BC4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CE0DB" w14:textId="77777777" w:rsidR="00DE47EB" w:rsidRDefault="00DE47EB" w:rsidP="00DE47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BB1D15" w14:textId="77777777" w:rsidR="00702834" w:rsidRPr="00DE47EB" w:rsidRDefault="00DE47EB" w:rsidP="00DE47E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E6C29" w14:textId="77777777" w:rsidR="00DE47EB" w:rsidRDefault="00DE47EB" w:rsidP="00DE47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C118B">
      <w:rPr>
        <w:rFonts w:ascii="FrankRuehl" w:hAnsi="FrankRuehl" w:cs="FrankRuehl"/>
        <w:noProof/>
        <w:rtl/>
      </w:rPr>
      <w:t>1</w:t>
    </w:r>
    <w:r>
      <w:rPr>
        <w:rFonts w:ascii="FrankRuehl" w:hAnsi="FrankRuehl" w:cs="FrankRuehl"/>
        <w:rtl/>
      </w:rPr>
      <w:fldChar w:fldCharType="end"/>
    </w:r>
  </w:p>
  <w:p w14:paraId="07281473" w14:textId="77777777" w:rsidR="00702834" w:rsidRPr="00DE47EB" w:rsidRDefault="00DE47EB" w:rsidP="00DE47E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D326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62357" w14:textId="77777777" w:rsidR="008F6494" w:rsidRDefault="008F6494" w:rsidP="00BC49E9">
      <w:r>
        <w:separator/>
      </w:r>
    </w:p>
  </w:footnote>
  <w:footnote w:type="continuationSeparator" w:id="0">
    <w:p w14:paraId="7448F0D3" w14:textId="77777777" w:rsidR="008F6494" w:rsidRDefault="008F6494" w:rsidP="00BC4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5D86B" w14:textId="77777777" w:rsidR="00DE47EB" w:rsidRPr="00DE47EB" w:rsidRDefault="00DE47EB" w:rsidP="00DE47E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16332-07-21</w:t>
    </w:r>
    <w:r>
      <w:rPr>
        <w:rFonts w:ascii="David" w:hAnsi="David"/>
        <w:color w:val="000000"/>
        <w:sz w:val="22"/>
        <w:szCs w:val="22"/>
        <w:rtl/>
      </w:rPr>
      <w:tab/>
      <w:t xml:space="preserve"> מדינת ישראל תביעות נגב נ' עומר אלעלאוין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75CED" w14:textId="77777777" w:rsidR="00DE47EB" w:rsidRPr="00DE47EB" w:rsidRDefault="00DE47EB" w:rsidP="00DE47E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16332-07-21</w:t>
    </w:r>
    <w:r>
      <w:rPr>
        <w:rFonts w:ascii="David" w:hAnsi="David"/>
        <w:color w:val="000000"/>
        <w:sz w:val="22"/>
        <w:szCs w:val="22"/>
        <w:rtl/>
      </w:rPr>
      <w:tab/>
      <w:t xml:space="preserve"> מדינת ישראל תביעות נגב נ' עומר אלעלאוין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0C102E"/>
    <w:multiLevelType w:val="hybridMultilevel"/>
    <w:tmpl w:val="D63C7D1C"/>
    <w:lvl w:ilvl="0" w:tplc="0370248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733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808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1393"/>
    <w:rsid w:val="001B5A3B"/>
    <w:rsid w:val="00261393"/>
    <w:rsid w:val="00290357"/>
    <w:rsid w:val="00324732"/>
    <w:rsid w:val="00661775"/>
    <w:rsid w:val="006A41FE"/>
    <w:rsid w:val="00702834"/>
    <w:rsid w:val="00811490"/>
    <w:rsid w:val="008F6494"/>
    <w:rsid w:val="00A00EF8"/>
    <w:rsid w:val="00B16FCB"/>
    <w:rsid w:val="00BC49E9"/>
    <w:rsid w:val="00CF3E59"/>
    <w:rsid w:val="00D41934"/>
    <w:rsid w:val="00D8135D"/>
    <w:rsid w:val="00DE47EB"/>
    <w:rsid w:val="00EC11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A6EEFC"/>
  <w15:chartTrackingRefBased/>
  <w15:docId w15:val="{8B8F3DFA-D2B4-4C00-B838-E78E6F09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139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61393"/>
    <w:pPr>
      <w:tabs>
        <w:tab w:val="center" w:pos="4153"/>
        <w:tab w:val="right" w:pos="8306"/>
      </w:tabs>
    </w:pPr>
  </w:style>
  <w:style w:type="character" w:customStyle="1" w:styleId="a4">
    <w:name w:val="כותרת עליונה תו"/>
    <w:link w:val="a3"/>
    <w:rsid w:val="00261393"/>
    <w:rPr>
      <w:rFonts w:ascii="Times New Roman" w:eastAsia="Times New Roman" w:hAnsi="Times New Roman" w:cs="David"/>
      <w:sz w:val="24"/>
      <w:szCs w:val="24"/>
    </w:rPr>
  </w:style>
  <w:style w:type="paragraph" w:styleId="a5">
    <w:name w:val="footer"/>
    <w:basedOn w:val="a"/>
    <w:link w:val="a6"/>
    <w:rsid w:val="00261393"/>
    <w:pPr>
      <w:tabs>
        <w:tab w:val="center" w:pos="4153"/>
        <w:tab w:val="right" w:pos="8306"/>
      </w:tabs>
    </w:pPr>
  </w:style>
  <w:style w:type="character" w:customStyle="1" w:styleId="a6">
    <w:name w:val="כותרת תחתונה תו"/>
    <w:link w:val="a5"/>
    <w:rsid w:val="00261393"/>
    <w:rPr>
      <w:rFonts w:ascii="Times New Roman" w:eastAsia="Times New Roman" w:hAnsi="Times New Roman" w:cs="David"/>
      <w:sz w:val="24"/>
      <w:szCs w:val="24"/>
    </w:rPr>
  </w:style>
  <w:style w:type="table" w:styleId="a7">
    <w:name w:val="Table Grid"/>
    <w:basedOn w:val="a1"/>
    <w:rsid w:val="002613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61393"/>
  </w:style>
  <w:style w:type="paragraph" w:styleId="a9">
    <w:name w:val="List Paragraph"/>
    <w:basedOn w:val="a"/>
    <w:link w:val="aa"/>
    <w:qFormat/>
    <w:rsid w:val="00261393"/>
    <w:pPr>
      <w:ind w:left="720"/>
      <w:contextualSpacing/>
    </w:pPr>
    <w:rPr>
      <w:noProof/>
    </w:rPr>
  </w:style>
  <w:style w:type="character" w:customStyle="1" w:styleId="aa">
    <w:name w:val="פיסקת רשימה תו"/>
    <w:link w:val="a9"/>
    <w:locked/>
    <w:rsid w:val="00261393"/>
    <w:rPr>
      <w:rFonts w:ascii="Times New Roman" w:eastAsia="Times New Roman" w:hAnsi="Times New Roman" w:cs="David"/>
      <w:noProof/>
      <w:sz w:val="24"/>
      <w:szCs w:val="24"/>
    </w:rPr>
  </w:style>
  <w:style w:type="character" w:styleId="Hyperlink">
    <w:name w:val="Hyperlink"/>
    <w:rsid w:val="00DE47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26416772"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5726579" TargetMode="External"/><Relationship Id="rId25" Type="http://schemas.openxmlformats.org/officeDocument/2006/relationships/hyperlink" Target="http://www.nevo.co.il/case/2099318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7733573" TargetMode="External"/><Relationship Id="rId20" Type="http://schemas.openxmlformats.org/officeDocument/2006/relationships/hyperlink" Target="http://www.nevo.co.il/case/2758772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4889194"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7949424" TargetMode="External"/><Relationship Id="rId23" Type="http://schemas.openxmlformats.org/officeDocument/2006/relationships/hyperlink" Target="http://www.nevo.co.il/case/25674287"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5725793"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6650854" TargetMode="External"/><Relationship Id="rId27" Type="http://schemas.openxmlformats.org/officeDocument/2006/relationships/hyperlink" Target="http://WWW.eca.gov.il"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2637</Words>
  <Characters>13188</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15794</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7864368</vt:i4>
      </vt:variant>
      <vt:variant>
        <vt:i4>60</vt:i4>
      </vt:variant>
      <vt:variant>
        <vt:i4>0</vt:i4>
      </vt:variant>
      <vt:variant>
        <vt:i4>5</vt:i4>
      </vt:variant>
      <vt:variant>
        <vt:lpwstr>http://www.eca.gov.il/</vt:lpwstr>
      </vt:variant>
      <vt:variant>
        <vt:lpwstr/>
      </vt:variant>
      <vt:variant>
        <vt:i4>7995492</vt:i4>
      </vt:variant>
      <vt:variant>
        <vt:i4>57</vt:i4>
      </vt:variant>
      <vt:variant>
        <vt:i4>0</vt:i4>
      </vt:variant>
      <vt:variant>
        <vt:i4>5</vt:i4>
      </vt:variant>
      <vt:variant>
        <vt:lpwstr>http://www.nevo.co.il/law/70301</vt:lpwstr>
      </vt:variant>
      <vt:variant>
        <vt:lpwstr/>
      </vt:variant>
      <vt:variant>
        <vt:i4>3145852</vt:i4>
      </vt:variant>
      <vt:variant>
        <vt:i4>54</vt:i4>
      </vt:variant>
      <vt:variant>
        <vt:i4>0</vt:i4>
      </vt:variant>
      <vt:variant>
        <vt:i4>5</vt:i4>
      </vt:variant>
      <vt:variant>
        <vt:lpwstr>http://www.nevo.co.il/case/20993184</vt:lpwstr>
      </vt:variant>
      <vt:variant>
        <vt:lpwstr/>
      </vt:variant>
      <vt:variant>
        <vt:i4>3801209</vt:i4>
      </vt:variant>
      <vt:variant>
        <vt:i4>51</vt:i4>
      </vt:variant>
      <vt:variant>
        <vt:i4>0</vt:i4>
      </vt:variant>
      <vt:variant>
        <vt:i4>5</vt:i4>
      </vt:variant>
      <vt:variant>
        <vt:lpwstr>http://www.nevo.co.il/case/24889194</vt:lpwstr>
      </vt:variant>
      <vt:variant>
        <vt:lpwstr/>
      </vt:variant>
      <vt:variant>
        <vt:i4>3670132</vt:i4>
      </vt:variant>
      <vt:variant>
        <vt:i4>48</vt:i4>
      </vt:variant>
      <vt:variant>
        <vt:i4>0</vt:i4>
      </vt:variant>
      <vt:variant>
        <vt:i4>5</vt:i4>
      </vt:variant>
      <vt:variant>
        <vt:lpwstr>http://www.nevo.co.il/case/25674287</vt:lpwstr>
      </vt:variant>
      <vt:variant>
        <vt:lpwstr/>
      </vt:variant>
      <vt:variant>
        <vt:i4>3211391</vt:i4>
      </vt:variant>
      <vt:variant>
        <vt:i4>45</vt:i4>
      </vt:variant>
      <vt:variant>
        <vt:i4>0</vt:i4>
      </vt:variant>
      <vt:variant>
        <vt:i4>5</vt:i4>
      </vt:variant>
      <vt:variant>
        <vt:lpwstr>http://www.nevo.co.il/case/26650854</vt:lpwstr>
      </vt:variant>
      <vt:variant>
        <vt:lpwstr/>
      </vt:variant>
      <vt:variant>
        <vt:i4>3604596</vt:i4>
      </vt:variant>
      <vt:variant>
        <vt:i4>42</vt:i4>
      </vt:variant>
      <vt:variant>
        <vt:i4>0</vt:i4>
      </vt:variant>
      <vt:variant>
        <vt:i4>5</vt:i4>
      </vt:variant>
      <vt:variant>
        <vt:lpwstr>http://www.nevo.co.il/case/26416772</vt:lpwstr>
      </vt:variant>
      <vt:variant>
        <vt:lpwstr/>
      </vt:variant>
      <vt:variant>
        <vt:i4>3276924</vt:i4>
      </vt:variant>
      <vt:variant>
        <vt:i4>39</vt:i4>
      </vt:variant>
      <vt:variant>
        <vt:i4>0</vt:i4>
      </vt:variant>
      <vt:variant>
        <vt:i4>5</vt:i4>
      </vt:variant>
      <vt:variant>
        <vt:lpwstr>http://www.nevo.co.il/case/27587721</vt:lpwstr>
      </vt:variant>
      <vt:variant>
        <vt:lpwstr/>
      </vt:variant>
      <vt:variant>
        <vt:i4>3735668</vt:i4>
      </vt:variant>
      <vt:variant>
        <vt:i4>36</vt:i4>
      </vt:variant>
      <vt:variant>
        <vt:i4>0</vt:i4>
      </vt:variant>
      <vt:variant>
        <vt:i4>5</vt:i4>
      </vt:variant>
      <vt:variant>
        <vt:lpwstr>http://www.nevo.co.il/case/25725793</vt:lpwstr>
      </vt:variant>
      <vt:variant>
        <vt:lpwstr/>
      </vt:variant>
      <vt:variant>
        <vt:i4>8257637</vt:i4>
      </vt:variant>
      <vt:variant>
        <vt:i4>33</vt:i4>
      </vt:variant>
      <vt:variant>
        <vt:i4>0</vt:i4>
      </vt:variant>
      <vt:variant>
        <vt:i4>5</vt:i4>
      </vt:variant>
      <vt:variant>
        <vt:lpwstr>http://www.nevo.co.il/law/4216</vt:lpwstr>
      </vt:variant>
      <vt:variant>
        <vt:lpwstr/>
      </vt:variant>
      <vt:variant>
        <vt:i4>3866738</vt:i4>
      </vt:variant>
      <vt:variant>
        <vt:i4>30</vt:i4>
      </vt:variant>
      <vt:variant>
        <vt:i4>0</vt:i4>
      </vt:variant>
      <vt:variant>
        <vt:i4>5</vt:i4>
      </vt:variant>
      <vt:variant>
        <vt:lpwstr>http://www.nevo.co.il/case/5726579</vt:lpwstr>
      </vt:variant>
      <vt:variant>
        <vt:lpwstr/>
      </vt:variant>
      <vt:variant>
        <vt:i4>3211381</vt:i4>
      </vt:variant>
      <vt:variant>
        <vt:i4>27</vt:i4>
      </vt:variant>
      <vt:variant>
        <vt:i4>0</vt:i4>
      </vt:variant>
      <vt:variant>
        <vt:i4>5</vt:i4>
      </vt:variant>
      <vt:variant>
        <vt:lpwstr>http://www.nevo.co.il/case/27733573</vt:lpwstr>
      </vt:variant>
      <vt:variant>
        <vt:lpwstr/>
      </vt:variant>
      <vt:variant>
        <vt:i4>3145843</vt:i4>
      </vt:variant>
      <vt:variant>
        <vt:i4>24</vt:i4>
      </vt:variant>
      <vt:variant>
        <vt:i4>0</vt:i4>
      </vt:variant>
      <vt:variant>
        <vt:i4>5</vt:i4>
      </vt:variant>
      <vt:variant>
        <vt:lpwstr>http://www.nevo.co.il/case/27949424</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2025-04-23T01:06:00Z</dcterms:created>
  <dcterms:modified xsi:type="dcterms:W3CDTF">2025-04-23T01:06:00Z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16332</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 תביעות נגב</vt:lpwstr>
  </property>
  <property fmtid="{D5CDD505-2E9C-101B-9397-08002B2CF9AE}" pid="9" name="APPELLEE">
    <vt:lpwstr>עומר אלעלאוין</vt:lpwstr>
  </property>
  <property fmtid="{D5CDD505-2E9C-101B-9397-08002B2CF9AE}" pid="10" name="LAWYER">
    <vt:lpwstr>רמה קלימי;האיל אבו גררה</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20221110</vt:lpwstr>
  </property>
  <property fmtid="{D5CDD505-2E9C-101B-9397-08002B2CF9AE}" pid="14" name="TYPE_N_DATE">
    <vt:lpwstr>38020221110</vt:lpwstr>
  </property>
  <property fmtid="{D5CDD505-2E9C-101B-9397-08002B2CF9AE}" pid="15" name="WORDNUMPAGES">
    <vt:lpwstr>8</vt:lpwstr>
  </property>
  <property fmtid="{D5CDD505-2E9C-101B-9397-08002B2CF9AE}" pid="16" name="TYPE_ABS_DATE">
    <vt:lpwstr>380020221110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27949424;27733573;5726579;25725793;27587721;26416772;26650854;25674287;24889194;20993184</vt:lpwstr>
  </property>
  <property fmtid="{D5CDD505-2E9C-101B-9397-08002B2CF9AE}" pid="36" name="LAWLISTTMP1">
    <vt:lpwstr>4216/007.a;007.c;013</vt:lpwstr>
  </property>
  <property fmtid="{D5CDD505-2E9C-101B-9397-08002B2CF9AE}" pid="37" name="LAWLISTTMP2">
    <vt:lpwstr>70301</vt:lpwstr>
  </property>
</Properties>
</file>