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195"/>
        <w:gridCol w:w="3752"/>
        <w:gridCol w:w="474"/>
        <w:gridCol w:w="3102"/>
        <w:gridCol w:w="297"/>
      </w:tblGrid>
      <w:tr w:rsidR="00763370" w:rsidRPr="00D232E9" w14:paraId="205E4A9B" w14:textId="77777777" w:rsidTr="007E1FDE">
        <w:trPr>
          <w:gridAfter w:val="1"/>
          <w:wAfter w:w="297" w:type="dxa"/>
          <w:trHeight w:hRule="exact" w:val="418"/>
          <w:jc w:val="center"/>
        </w:trPr>
        <w:tc>
          <w:tcPr>
            <w:tcW w:w="8523" w:type="dxa"/>
            <w:gridSpan w:val="4"/>
          </w:tcPr>
          <w:p w14:paraId="694F402F" w14:textId="77777777" w:rsidR="00763370" w:rsidRPr="00D232E9" w:rsidRDefault="00763370" w:rsidP="00D06446">
            <w:pPr>
              <w:pStyle w:val="a3"/>
              <w:jc w:val="center"/>
              <w:rPr>
                <w:rFonts w:ascii="Tahoma" w:hAnsi="Tahoma"/>
                <w:color w:val="000080"/>
                <w:sz w:val="32"/>
                <w:szCs w:val="32"/>
                <w:rtl/>
              </w:rPr>
            </w:pPr>
            <w:r w:rsidRPr="00D232E9">
              <w:rPr>
                <w:rFonts w:ascii="Tahoma" w:hAnsi="Tahoma"/>
                <w:b/>
                <w:bCs/>
                <w:color w:val="000080"/>
                <w:sz w:val="32"/>
                <w:szCs w:val="32"/>
                <w:rtl/>
              </w:rPr>
              <w:t>בית משפט השלום בתל אביב - יפו</w:t>
            </w:r>
          </w:p>
        </w:tc>
      </w:tr>
      <w:tr w:rsidR="00763370" w:rsidRPr="00D232E9" w14:paraId="64AA5A29" w14:textId="77777777" w:rsidTr="007E1FDE">
        <w:trPr>
          <w:gridAfter w:val="1"/>
          <w:wAfter w:w="297" w:type="dxa"/>
          <w:trHeight w:val="337"/>
          <w:jc w:val="center"/>
        </w:trPr>
        <w:tc>
          <w:tcPr>
            <w:tcW w:w="4947" w:type="dxa"/>
            <w:gridSpan w:val="2"/>
          </w:tcPr>
          <w:p w14:paraId="5C60D5A1" w14:textId="77777777" w:rsidR="00763370" w:rsidRPr="00D232E9" w:rsidRDefault="00763370" w:rsidP="00D06446">
            <w:pPr>
              <w:rPr>
                <w:sz w:val="26"/>
                <w:szCs w:val="26"/>
                <w:rtl/>
              </w:rPr>
            </w:pPr>
            <w:r w:rsidRPr="00D232E9">
              <w:rPr>
                <w:sz w:val="26"/>
                <w:szCs w:val="26"/>
                <w:rtl/>
              </w:rPr>
              <w:t>ת"פ</w:t>
            </w:r>
            <w:r w:rsidRPr="00D232E9">
              <w:rPr>
                <w:rFonts w:hint="cs"/>
                <w:sz w:val="26"/>
                <w:szCs w:val="26"/>
                <w:rtl/>
              </w:rPr>
              <w:t xml:space="preserve"> </w:t>
            </w:r>
            <w:r w:rsidRPr="00D232E9">
              <w:rPr>
                <w:sz w:val="26"/>
                <w:szCs w:val="26"/>
                <w:rtl/>
              </w:rPr>
              <w:t>1873-07-21</w:t>
            </w:r>
            <w:r w:rsidRPr="00D232E9">
              <w:rPr>
                <w:rFonts w:hint="cs"/>
                <w:sz w:val="26"/>
                <w:szCs w:val="26"/>
                <w:rtl/>
              </w:rPr>
              <w:t xml:space="preserve"> </w:t>
            </w:r>
            <w:r w:rsidRPr="00D232E9">
              <w:rPr>
                <w:sz w:val="26"/>
                <w:szCs w:val="26"/>
                <w:rtl/>
              </w:rPr>
              <w:t>מדינת ישראל נ' טרייסון</w:t>
            </w:r>
          </w:p>
        </w:tc>
        <w:tc>
          <w:tcPr>
            <w:tcW w:w="3576" w:type="dxa"/>
            <w:gridSpan w:val="2"/>
          </w:tcPr>
          <w:p w14:paraId="09F0599C" w14:textId="77777777" w:rsidR="00763370" w:rsidRPr="00D232E9" w:rsidRDefault="00763370" w:rsidP="00D06446">
            <w:pPr>
              <w:pStyle w:val="a3"/>
              <w:jc w:val="right"/>
              <w:rPr>
                <w:rFonts w:cs="FrankRuehl"/>
                <w:sz w:val="28"/>
                <w:szCs w:val="28"/>
                <w:rtl/>
              </w:rPr>
            </w:pPr>
          </w:p>
        </w:tc>
      </w:tr>
      <w:tr w:rsidR="00763370" w:rsidRPr="00D232E9" w14:paraId="39996F94" w14:textId="77777777" w:rsidTr="007E1F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7651C257" w14:textId="77777777" w:rsidR="00763370" w:rsidRPr="00D232E9" w:rsidRDefault="00763370" w:rsidP="00763370">
            <w:pPr>
              <w:jc w:val="both"/>
              <w:rPr>
                <w:rFonts w:ascii="Arial" w:hAnsi="Arial"/>
                <w:b/>
                <w:bCs/>
                <w:sz w:val="26"/>
                <w:szCs w:val="26"/>
              </w:rPr>
            </w:pPr>
            <w:r w:rsidRPr="00D232E9">
              <w:rPr>
                <w:rFonts w:hint="cs"/>
                <w:rtl/>
              </w:rPr>
              <w:t xml:space="preserve"> </w:t>
            </w:r>
            <w:r w:rsidRPr="00D232E9">
              <w:rPr>
                <w:rFonts w:ascii="Arial" w:hAnsi="Arial" w:hint="cs"/>
                <w:b/>
                <w:bCs/>
                <w:sz w:val="26"/>
                <w:szCs w:val="26"/>
                <w:rtl/>
              </w:rPr>
              <w:t>ל</w:t>
            </w:r>
            <w:r w:rsidRPr="00D232E9">
              <w:rPr>
                <w:rFonts w:ascii="Arial" w:hAnsi="Arial"/>
                <w:b/>
                <w:bCs/>
                <w:sz w:val="26"/>
                <w:szCs w:val="26"/>
                <w:rtl/>
              </w:rPr>
              <w:t xml:space="preserve">פני </w:t>
            </w:r>
            <w:r w:rsidRPr="00D232E9">
              <w:rPr>
                <w:b/>
                <w:bCs/>
                <w:sz w:val="26"/>
                <w:szCs w:val="26"/>
                <w:rtl/>
              </w:rPr>
              <w:t>כב' השופטת נעה תבור, סגנית הנשיא</w:t>
            </w:r>
          </w:p>
        </w:tc>
      </w:tr>
      <w:tr w:rsidR="00763370" w:rsidRPr="00D232E9" w14:paraId="3DC22624" w14:textId="77777777" w:rsidTr="007E1F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4E5A50DD" w14:textId="77777777" w:rsidR="00763370" w:rsidRPr="00D232E9" w:rsidRDefault="00763370" w:rsidP="00763370">
            <w:pPr>
              <w:jc w:val="both"/>
              <w:rPr>
                <w:rFonts w:ascii="Arial" w:hAnsi="Arial"/>
                <w:b/>
                <w:bCs/>
                <w:sz w:val="26"/>
                <w:szCs w:val="26"/>
              </w:rPr>
            </w:pPr>
            <w:bookmarkStart w:id="0" w:name="FirstAppellant"/>
            <w:bookmarkStart w:id="1" w:name="FirstLawyer"/>
            <w:bookmarkStart w:id="2" w:name="LastJudge"/>
            <w:bookmarkEnd w:id="2"/>
            <w:r w:rsidRPr="00D232E9">
              <w:rPr>
                <w:rFonts w:ascii="Arial" w:hAnsi="Arial" w:hint="cs"/>
                <w:sz w:val="26"/>
                <w:szCs w:val="26"/>
                <w:rtl/>
              </w:rPr>
              <w:t>ה</w:t>
            </w:r>
            <w:r w:rsidRPr="00D232E9">
              <w:rPr>
                <w:rFonts w:ascii="Arial" w:hAnsi="Arial"/>
                <w:sz w:val="26"/>
                <w:szCs w:val="26"/>
                <w:rtl/>
              </w:rPr>
              <w:t>מאשימה</w:t>
            </w:r>
          </w:p>
        </w:tc>
        <w:tc>
          <w:tcPr>
            <w:tcW w:w="4226" w:type="dxa"/>
            <w:gridSpan w:val="2"/>
            <w:tcBorders>
              <w:top w:val="nil"/>
              <w:left w:val="nil"/>
              <w:bottom w:val="nil"/>
              <w:right w:val="nil"/>
            </w:tcBorders>
            <w:shd w:val="clear" w:color="auto" w:fill="auto"/>
          </w:tcPr>
          <w:p w14:paraId="79DD0ECA" w14:textId="77777777" w:rsidR="00763370" w:rsidRPr="00D232E9" w:rsidRDefault="00763370" w:rsidP="00D06446">
            <w:pPr>
              <w:rPr>
                <w:sz w:val="26"/>
                <w:szCs w:val="26"/>
                <w:rtl/>
              </w:rPr>
            </w:pPr>
            <w:r w:rsidRPr="00D232E9">
              <w:rPr>
                <w:rFonts w:ascii="Arial" w:hAnsi="Arial"/>
                <w:sz w:val="26"/>
                <w:szCs w:val="26"/>
                <w:rtl/>
              </w:rPr>
              <w:t>מדינת ישראל</w:t>
            </w:r>
          </w:p>
          <w:p w14:paraId="308D59CA" w14:textId="77777777" w:rsidR="00763370" w:rsidRPr="00D232E9" w:rsidRDefault="00763370" w:rsidP="00D06446">
            <w:pPr>
              <w:rPr>
                <w:sz w:val="26"/>
                <w:szCs w:val="26"/>
              </w:rPr>
            </w:pPr>
            <w:r w:rsidRPr="00D232E9">
              <w:rPr>
                <w:rFonts w:hint="cs"/>
                <w:sz w:val="26"/>
                <w:szCs w:val="26"/>
                <w:rtl/>
              </w:rPr>
              <w:t>ע"י ב"כ עו"ד שירן ג'ובאני</w:t>
            </w:r>
          </w:p>
        </w:tc>
        <w:tc>
          <w:tcPr>
            <w:tcW w:w="3399" w:type="dxa"/>
            <w:gridSpan w:val="2"/>
            <w:tcBorders>
              <w:top w:val="nil"/>
              <w:left w:val="nil"/>
              <w:bottom w:val="nil"/>
              <w:right w:val="nil"/>
            </w:tcBorders>
            <w:shd w:val="clear" w:color="auto" w:fill="auto"/>
          </w:tcPr>
          <w:p w14:paraId="39BA5E58" w14:textId="77777777" w:rsidR="00763370" w:rsidRPr="00D232E9" w:rsidRDefault="00763370" w:rsidP="00763370">
            <w:pPr>
              <w:jc w:val="both"/>
              <w:rPr>
                <w:rFonts w:ascii="Arial" w:hAnsi="Arial"/>
                <w:sz w:val="26"/>
                <w:szCs w:val="26"/>
              </w:rPr>
            </w:pPr>
          </w:p>
        </w:tc>
      </w:tr>
      <w:bookmarkEnd w:id="0"/>
      <w:bookmarkEnd w:id="1"/>
      <w:tr w:rsidR="00763370" w:rsidRPr="00D232E9" w14:paraId="376884B6" w14:textId="77777777" w:rsidTr="007E1F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195" w:type="dxa"/>
            <w:tcBorders>
              <w:top w:val="nil"/>
              <w:left w:val="nil"/>
              <w:bottom w:val="nil"/>
              <w:right w:val="nil"/>
            </w:tcBorders>
            <w:shd w:val="clear" w:color="auto" w:fill="auto"/>
          </w:tcPr>
          <w:p w14:paraId="5C3E1A8D" w14:textId="77777777" w:rsidR="00763370" w:rsidRPr="00D232E9" w:rsidRDefault="00763370" w:rsidP="00763370">
            <w:pPr>
              <w:jc w:val="both"/>
              <w:rPr>
                <w:rFonts w:ascii="Arial" w:hAnsi="Arial"/>
                <w:sz w:val="26"/>
                <w:szCs w:val="26"/>
                <w:rtl/>
              </w:rPr>
            </w:pPr>
          </w:p>
        </w:tc>
        <w:tc>
          <w:tcPr>
            <w:tcW w:w="7625" w:type="dxa"/>
            <w:gridSpan w:val="4"/>
            <w:tcBorders>
              <w:top w:val="nil"/>
              <w:left w:val="nil"/>
              <w:bottom w:val="nil"/>
              <w:right w:val="nil"/>
            </w:tcBorders>
            <w:shd w:val="clear" w:color="auto" w:fill="auto"/>
          </w:tcPr>
          <w:p w14:paraId="558D8D81" w14:textId="77777777" w:rsidR="00763370" w:rsidRPr="00D232E9" w:rsidRDefault="00763370" w:rsidP="00763370">
            <w:pPr>
              <w:jc w:val="center"/>
              <w:rPr>
                <w:rFonts w:ascii="Arial" w:hAnsi="Arial"/>
                <w:b/>
                <w:bCs/>
                <w:sz w:val="26"/>
                <w:szCs w:val="26"/>
                <w:rtl/>
              </w:rPr>
            </w:pPr>
          </w:p>
          <w:p w14:paraId="327A787D" w14:textId="77777777" w:rsidR="00763370" w:rsidRPr="00D232E9" w:rsidRDefault="00763370" w:rsidP="00763370">
            <w:pPr>
              <w:jc w:val="center"/>
              <w:rPr>
                <w:rFonts w:ascii="Arial" w:hAnsi="Arial"/>
                <w:b/>
                <w:bCs/>
                <w:sz w:val="26"/>
                <w:szCs w:val="26"/>
                <w:rtl/>
              </w:rPr>
            </w:pPr>
            <w:r w:rsidRPr="00D232E9">
              <w:rPr>
                <w:rFonts w:ascii="Arial" w:hAnsi="Arial"/>
                <w:b/>
                <w:bCs/>
                <w:sz w:val="26"/>
                <w:szCs w:val="26"/>
                <w:rtl/>
              </w:rPr>
              <w:t>נגד</w:t>
            </w:r>
          </w:p>
          <w:p w14:paraId="1F6D1919" w14:textId="77777777" w:rsidR="00763370" w:rsidRPr="00D232E9" w:rsidRDefault="00763370" w:rsidP="00763370">
            <w:pPr>
              <w:jc w:val="both"/>
              <w:rPr>
                <w:rFonts w:ascii="Arial" w:hAnsi="Arial"/>
                <w:sz w:val="26"/>
                <w:szCs w:val="26"/>
              </w:rPr>
            </w:pPr>
          </w:p>
        </w:tc>
      </w:tr>
      <w:tr w:rsidR="00763370" w:rsidRPr="00D232E9" w14:paraId="1FB289F3" w14:textId="77777777" w:rsidTr="007E1F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3FB80F89" w14:textId="77777777" w:rsidR="00763370" w:rsidRPr="00D232E9" w:rsidRDefault="00763370" w:rsidP="00D06446">
            <w:pPr>
              <w:rPr>
                <w:rFonts w:ascii="Arial" w:hAnsi="Arial"/>
                <w:sz w:val="26"/>
                <w:szCs w:val="26"/>
                <w:rtl/>
              </w:rPr>
            </w:pPr>
            <w:r w:rsidRPr="00D232E9">
              <w:rPr>
                <w:rFonts w:ascii="Arial" w:hAnsi="Arial" w:hint="cs"/>
                <w:sz w:val="26"/>
                <w:szCs w:val="26"/>
                <w:rtl/>
              </w:rPr>
              <w:t>ה</w:t>
            </w:r>
            <w:r w:rsidRPr="00D232E9">
              <w:rPr>
                <w:rFonts w:ascii="Arial" w:hAnsi="Arial"/>
                <w:sz w:val="26"/>
                <w:szCs w:val="26"/>
                <w:rtl/>
              </w:rPr>
              <w:t>נאש</w:t>
            </w:r>
            <w:r w:rsidRPr="00D232E9">
              <w:rPr>
                <w:rFonts w:ascii="Arial" w:hAnsi="Arial" w:hint="cs"/>
                <w:sz w:val="26"/>
                <w:szCs w:val="26"/>
                <w:rtl/>
              </w:rPr>
              <w:t>ם</w:t>
            </w:r>
          </w:p>
        </w:tc>
        <w:tc>
          <w:tcPr>
            <w:tcW w:w="4226" w:type="dxa"/>
            <w:gridSpan w:val="2"/>
            <w:tcBorders>
              <w:top w:val="nil"/>
              <w:left w:val="nil"/>
              <w:bottom w:val="nil"/>
              <w:right w:val="nil"/>
            </w:tcBorders>
            <w:shd w:val="clear" w:color="auto" w:fill="auto"/>
          </w:tcPr>
          <w:p w14:paraId="1338D74F" w14:textId="77777777" w:rsidR="00763370" w:rsidRPr="00D232E9" w:rsidRDefault="00763370" w:rsidP="00D06446">
            <w:pPr>
              <w:rPr>
                <w:sz w:val="26"/>
                <w:szCs w:val="26"/>
                <w:rtl/>
              </w:rPr>
            </w:pPr>
            <w:r w:rsidRPr="00D232E9">
              <w:rPr>
                <w:rFonts w:ascii="Arial" w:hAnsi="Arial"/>
                <w:sz w:val="26"/>
                <w:szCs w:val="26"/>
                <w:rtl/>
              </w:rPr>
              <w:t>דורון טרייסון</w:t>
            </w:r>
          </w:p>
          <w:p w14:paraId="06A8B1B1" w14:textId="77777777" w:rsidR="00763370" w:rsidRPr="00D232E9" w:rsidRDefault="00763370" w:rsidP="00D06446">
            <w:pPr>
              <w:rPr>
                <w:sz w:val="26"/>
                <w:szCs w:val="26"/>
                <w:rtl/>
              </w:rPr>
            </w:pPr>
            <w:r w:rsidRPr="00D232E9">
              <w:rPr>
                <w:rFonts w:hint="cs"/>
                <w:sz w:val="26"/>
                <w:szCs w:val="26"/>
                <w:rtl/>
              </w:rPr>
              <w:t>ע"י ב"כ עו"ד ירון דוד</w:t>
            </w:r>
          </w:p>
        </w:tc>
        <w:tc>
          <w:tcPr>
            <w:tcW w:w="3399" w:type="dxa"/>
            <w:gridSpan w:val="2"/>
            <w:tcBorders>
              <w:top w:val="nil"/>
              <w:left w:val="nil"/>
              <w:bottom w:val="nil"/>
              <w:right w:val="nil"/>
            </w:tcBorders>
            <w:shd w:val="clear" w:color="auto" w:fill="auto"/>
          </w:tcPr>
          <w:p w14:paraId="10B58B6D" w14:textId="77777777" w:rsidR="00763370" w:rsidRPr="00D232E9" w:rsidRDefault="00763370" w:rsidP="00763370">
            <w:pPr>
              <w:jc w:val="right"/>
              <w:rPr>
                <w:rFonts w:ascii="Arial" w:hAnsi="Arial"/>
                <w:sz w:val="26"/>
                <w:szCs w:val="26"/>
              </w:rPr>
            </w:pPr>
          </w:p>
        </w:tc>
      </w:tr>
    </w:tbl>
    <w:p w14:paraId="1F62EF58" w14:textId="77777777" w:rsidR="007E1FDE" w:rsidRDefault="007E1FDE" w:rsidP="00D232E9">
      <w:pPr>
        <w:rPr>
          <w:rtl/>
        </w:rPr>
      </w:pPr>
    </w:p>
    <w:p w14:paraId="3184C20F" w14:textId="77777777" w:rsidR="007E1FDE" w:rsidRPr="007E1FDE" w:rsidRDefault="007E1FDE" w:rsidP="007E1FDE">
      <w:pPr>
        <w:spacing w:after="120" w:line="240" w:lineRule="exact"/>
        <w:ind w:left="283" w:hanging="283"/>
        <w:jc w:val="both"/>
        <w:rPr>
          <w:rFonts w:ascii="FrankRuehl" w:hAnsi="FrankRuehl" w:cs="FrankRuehl"/>
          <w:rtl/>
        </w:rPr>
      </w:pPr>
    </w:p>
    <w:p w14:paraId="4D15910A" w14:textId="77777777" w:rsidR="008A024A" w:rsidRPr="008A024A" w:rsidRDefault="008A024A" w:rsidP="008A024A">
      <w:pPr>
        <w:spacing w:before="120" w:after="120" w:line="240" w:lineRule="exact"/>
        <w:ind w:left="283" w:hanging="283"/>
        <w:jc w:val="both"/>
        <w:rPr>
          <w:rFonts w:ascii="FrankRuehl" w:hAnsi="FrankRuehl" w:cs="FrankRuehl"/>
          <w:rtl/>
        </w:rPr>
      </w:pPr>
    </w:p>
    <w:p w14:paraId="4F6A136F" w14:textId="77777777" w:rsidR="0026586A" w:rsidRDefault="0026586A" w:rsidP="0026586A">
      <w:pPr>
        <w:rPr>
          <w:rtl/>
        </w:rPr>
      </w:pPr>
      <w:bookmarkStart w:id="3" w:name="LawTable"/>
      <w:bookmarkEnd w:id="3"/>
    </w:p>
    <w:p w14:paraId="33786B42" w14:textId="77777777" w:rsidR="0026586A" w:rsidRPr="0026586A" w:rsidRDefault="0026586A" w:rsidP="0026586A">
      <w:pPr>
        <w:spacing w:before="120" w:after="120" w:line="240" w:lineRule="exact"/>
        <w:ind w:left="283" w:hanging="283"/>
        <w:jc w:val="both"/>
        <w:rPr>
          <w:rFonts w:ascii="FrankRuehl" w:hAnsi="FrankRuehl" w:cs="FrankRuehl"/>
          <w:rtl/>
        </w:rPr>
      </w:pPr>
    </w:p>
    <w:p w14:paraId="2DB785F7" w14:textId="77777777" w:rsidR="0026586A" w:rsidRPr="0026586A" w:rsidRDefault="0026586A" w:rsidP="0026586A">
      <w:pPr>
        <w:spacing w:before="120" w:after="120" w:line="240" w:lineRule="exact"/>
        <w:ind w:left="283" w:hanging="283"/>
        <w:jc w:val="both"/>
        <w:rPr>
          <w:rFonts w:ascii="FrankRuehl" w:hAnsi="FrankRuehl" w:cs="FrankRuehl"/>
          <w:rtl/>
        </w:rPr>
      </w:pPr>
    </w:p>
    <w:p w14:paraId="749B170A" w14:textId="77777777" w:rsidR="0026586A" w:rsidRPr="0026586A" w:rsidRDefault="0026586A" w:rsidP="0026586A">
      <w:pPr>
        <w:spacing w:before="120" w:after="120" w:line="240" w:lineRule="exact"/>
        <w:ind w:left="283" w:hanging="283"/>
        <w:jc w:val="both"/>
        <w:rPr>
          <w:rFonts w:ascii="FrankRuehl" w:hAnsi="FrankRuehl" w:cs="FrankRuehl"/>
          <w:rtl/>
        </w:rPr>
      </w:pPr>
      <w:r w:rsidRPr="0026586A">
        <w:rPr>
          <w:rFonts w:ascii="FrankRuehl" w:hAnsi="FrankRuehl" w:cs="FrankRuehl"/>
          <w:rtl/>
        </w:rPr>
        <w:t xml:space="preserve">חקיקה שאוזכרה: </w:t>
      </w:r>
    </w:p>
    <w:p w14:paraId="7CCFD151" w14:textId="77777777" w:rsidR="0026586A" w:rsidRPr="0026586A" w:rsidRDefault="0026586A" w:rsidP="0026586A">
      <w:pPr>
        <w:spacing w:before="120" w:after="120" w:line="240" w:lineRule="exact"/>
        <w:ind w:left="283" w:hanging="283"/>
        <w:jc w:val="both"/>
        <w:rPr>
          <w:rFonts w:ascii="FrankRuehl" w:hAnsi="FrankRuehl" w:cs="FrankRuehl"/>
          <w:rtl/>
        </w:rPr>
      </w:pPr>
      <w:hyperlink r:id="rId7" w:history="1">
        <w:r w:rsidRPr="0026586A">
          <w:rPr>
            <w:rFonts w:ascii="FrankRuehl" w:hAnsi="FrankRuehl" w:cs="FrankRuehl"/>
            <w:color w:val="0000FF"/>
            <w:rtl/>
          </w:rPr>
          <w:t>פקודת הסמים המסוכנים [נוסח חדש], תשל"ג-1973</w:t>
        </w:r>
      </w:hyperlink>
      <w:r w:rsidRPr="0026586A">
        <w:rPr>
          <w:rFonts w:ascii="FrankRuehl" w:hAnsi="FrankRuehl" w:cs="FrankRuehl"/>
          <w:rtl/>
        </w:rPr>
        <w:t xml:space="preserve">: סע'  </w:t>
      </w:r>
      <w:hyperlink r:id="rId8" w:history="1">
        <w:r w:rsidRPr="0026586A">
          <w:rPr>
            <w:rFonts w:ascii="FrankRuehl" w:hAnsi="FrankRuehl" w:cs="FrankRuehl"/>
            <w:color w:val="0000FF"/>
            <w:rtl/>
          </w:rPr>
          <w:t>6</w:t>
        </w:r>
      </w:hyperlink>
    </w:p>
    <w:p w14:paraId="4B9E05D7" w14:textId="77777777" w:rsidR="0026586A" w:rsidRPr="0026586A" w:rsidRDefault="0026586A" w:rsidP="0026586A">
      <w:pPr>
        <w:rPr>
          <w:rtl/>
        </w:rPr>
      </w:pPr>
      <w:bookmarkStart w:id="4" w:name="LawTable_End"/>
      <w:bookmarkEnd w:id="4"/>
    </w:p>
    <w:p w14:paraId="0852D4DD" w14:textId="77777777" w:rsidR="00763370" w:rsidRPr="008A024A" w:rsidRDefault="00763370" w:rsidP="008A024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63370" w14:paraId="3A83D448" w14:textId="77777777" w:rsidTr="00763370">
        <w:trPr>
          <w:trHeight w:val="355"/>
          <w:jc w:val="center"/>
        </w:trPr>
        <w:tc>
          <w:tcPr>
            <w:tcW w:w="8820" w:type="dxa"/>
            <w:tcBorders>
              <w:top w:val="nil"/>
              <w:left w:val="nil"/>
              <w:bottom w:val="nil"/>
              <w:right w:val="nil"/>
            </w:tcBorders>
            <w:shd w:val="clear" w:color="auto" w:fill="auto"/>
          </w:tcPr>
          <w:p w14:paraId="6CBCC7E6" w14:textId="77777777" w:rsidR="00D232E9" w:rsidRPr="00D232E9" w:rsidRDefault="00D232E9" w:rsidP="00D232E9">
            <w:pPr>
              <w:jc w:val="center"/>
              <w:rPr>
                <w:rFonts w:ascii="Arial" w:hAnsi="Arial"/>
                <w:b/>
                <w:bCs/>
                <w:sz w:val="28"/>
                <w:szCs w:val="28"/>
                <w:u w:val="single"/>
                <w:rtl/>
              </w:rPr>
            </w:pPr>
            <w:bookmarkStart w:id="5" w:name="PsakDin" w:colFirst="0" w:colLast="0"/>
            <w:r w:rsidRPr="00D232E9">
              <w:rPr>
                <w:rFonts w:ascii="Arial" w:hAnsi="Arial"/>
                <w:b/>
                <w:bCs/>
                <w:sz w:val="28"/>
                <w:szCs w:val="28"/>
                <w:u w:val="single"/>
                <w:rtl/>
              </w:rPr>
              <w:t>גזר דין</w:t>
            </w:r>
          </w:p>
          <w:p w14:paraId="214DA370" w14:textId="77777777" w:rsidR="00763370" w:rsidRPr="00D232E9" w:rsidRDefault="00763370" w:rsidP="00D232E9">
            <w:pPr>
              <w:jc w:val="center"/>
              <w:rPr>
                <w:rFonts w:ascii="Arial" w:hAnsi="Arial"/>
                <w:bCs/>
                <w:sz w:val="28"/>
                <w:szCs w:val="28"/>
                <w:u w:val="single"/>
                <w:rtl/>
              </w:rPr>
            </w:pPr>
          </w:p>
        </w:tc>
      </w:tr>
      <w:bookmarkEnd w:id="5"/>
    </w:tbl>
    <w:p w14:paraId="6E73AAC4" w14:textId="77777777" w:rsidR="00763370" w:rsidRPr="00B05847" w:rsidRDefault="00763370" w:rsidP="00763370">
      <w:pPr>
        <w:rPr>
          <w:rFonts w:ascii="Arial" w:hAnsi="Arial"/>
          <w:rtl/>
        </w:rPr>
      </w:pPr>
    </w:p>
    <w:p w14:paraId="666B0E86" w14:textId="77777777" w:rsidR="00763370" w:rsidRDefault="00763370" w:rsidP="00763370">
      <w:pPr>
        <w:spacing w:line="360" w:lineRule="auto"/>
        <w:jc w:val="center"/>
        <w:rPr>
          <w:rFonts w:ascii="Calibri" w:eastAsia="Calibri" w:hAnsi="Calibri"/>
          <w:b/>
          <w:bCs/>
          <w:u w:val="single"/>
          <w:rtl/>
        </w:rPr>
      </w:pPr>
      <w:r>
        <w:rPr>
          <w:rFonts w:ascii="Calibri" w:eastAsia="Calibri" w:hAnsi="Calibri" w:hint="cs"/>
          <w:b/>
          <w:bCs/>
          <w:u w:val="single"/>
          <w:rtl/>
        </w:rPr>
        <w:t xml:space="preserve"> </w:t>
      </w:r>
    </w:p>
    <w:p w14:paraId="3419051F" w14:textId="77777777" w:rsidR="00763370" w:rsidRDefault="00763370" w:rsidP="00763370">
      <w:pPr>
        <w:spacing w:line="360" w:lineRule="auto"/>
        <w:jc w:val="both"/>
        <w:rPr>
          <w:rFonts w:ascii="Calibri" w:eastAsia="Calibri" w:hAnsi="Calibri"/>
          <w:b/>
          <w:bCs/>
          <w:u w:val="single"/>
        </w:rPr>
      </w:pPr>
      <w:r>
        <w:rPr>
          <w:rFonts w:ascii="Calibri" w:eastAsia="Calibri" w:hAnsi="Calibri"/>
          <w:b/>
          <w:bCs/>
          <w:u w:val="single"/>
          <w:rtl/>
        </w:rPr>
        <w:t>כללי</w:t>
      </w:r>
    </w:p>
    <w:p w14:paraId="3EE632F4" w14:textId="77777777" w:rsidR="00763370" w:rsidRDefault="00763370" w:rsidP="00763370">
      <w:pPr>
        <w:pStyle w:val="aa"/>
        <w:numPr>
          <w:ilvl w:val="0"/>
          <w:numId w:val="1"/>
        </w:numPr>
        <w:spacing w:after="0" w:line="360" w:lineRule="auto"/>
        <w:jc w:val="both"/>
        <w:rPr>
          <w:rFonts w:cs="David"/>
          <w:sz w:val="24"/>
          <w:szCs w:val="24"/>
        </w:rPr>
      </w:pPr>
      <w:bookmarkStart w:id="6" w:name="ABSTRACT_START"/>
      <w:bookmarkEnd w:id="6"/>
      <w:r>
        <w:rPr>
          <w:rFonts w:cs="David"/>
          <w:sz w:val="24"/>
          <w:szCs w:val="24"/>
          <w:rtl/>
        </w:rPr>
        <w:t xml:space="preserve">הנאשם, יליד 1965, הורשע על בסיס הודאתו בעובדות כתב אישום מתוקן ובמסגרת הסכמה דיונית, בעבירה של </w:t>
      </w:r>
      <w:r>
        <w:rPr>
          <w:rFonts w:cs="David"/>
          <w:b/>
          <w:bCs/>
          <w:sz w:val="24"/>
          <w:szCs w:val="24"/>
          <w:rtl/>
        </w:rPr>
        <w:t>גידול סמים מסוכנים</w:t>
      </w:r>
      <w:r>
        <w:rPr>
          <w:rFonts w:cs="David"/>
          <w:sz w:val="24"/>
          <w:szCs w:val="24"/>
          <w:rtl/>
        </w:rPr>
        <w:t xml:space="preserve"> לפי </w:t>
      </w:r>
      <w:hyperlink r:id="rId9" w:history="1">
        <w:r w:rsidR="007E1FDE" w:rsidRPr="007E1FDE">
          <w:rPr>
            <w:rStyle w:val="Hyperlink"/>
            <w:rFonts w:cs="David" w:hint="cs"/>
            <w:sz w:val="24"/>
            <w:szCs w:val="24"/>
            <w:rtl/>
          </w:rPr>
          <w:t>סעיף</w:t>
        </w:r>
        <w:r w:rsidR="007E1FDE" w:rsidRPr="007E1FDE">
          <w:rPr>
            <w:rStyle w:val="Hyperlink"/>
            <w:rFonts w:cs="David"/>
            <w:sz w:val="24"/>
            <w:szCs w:val="24"/>
            <w:rtl/>
          </w:rPr>
          <w:t xml:space="preserve"> 6</w:t>
        </w:r>
      </w:hyperlink>
      <w:r>
        <w:rPr>
          <w:rFonts w:cs="David"/>
          <w:sz w:val="24"/>
          <w:szCs w:val="24"/>
          <w:rtl/>
        </w:rPr>
        <w:t xml:space="preserve"> ל</w:t>
      </w:r>
      <w:hyperlink r:id="rId10" w:history="1">
        <w:r w:rsidR="00D232E9" w:rsidRPr="00D232E9">
          <w:rPr>
            <w:rFonts w:cs="David" w:hint="cs"/>
            <w:color w:val="0000FF"/>
            <w:sz w:val="24"/>
            <w:szCs w:val="24"/>
            <w:u w:val="single"/>
            <w:rtl/>
          </w:rPr>
          <w:t>פקודת</w:t>
        </w:r>
        <w:r w:rsidR="00D232E9" w:rsidRPr="00D232E9">
          <w:rPr>
            <w:rFonts w:cs="David"/>
            <w:color w:val="0000FF"/>
            <w:sz w:val="24"/>
            <w:szCs w:val="24"/>
            <w:u w:val="single"/>
            <w:rtl/>
          </w:rPr>
          <w:t xml:space="preserve"> </w:t>
        </w:r>
        <w:r w:rsidR="00D232E9" w:rsidRPr="00D232E9">
          <w:rPr>
            <w:rFonts w:cs="David" w:hint="cs"/>
            <w:color w:val="0000FF"/>
            <w:sz w:val="24"/>
            <w:szCs w:val="24"/>
            <w:u w:val="single"/>
            <w:rtl/>
          </w:rPr>
          <w:t>הסמים</w:t>
        </w:r>
        <w:r w:rsidR="00D232E9" w:rsidRPr="00D232E9">
          <w:rPr>
            <w:rFonts w:cs="David"/>
            <w:color w:val="0000FF"/>
            <w:sz w:val="24"/>
            <w:szCs w:val="24"/>
            <w:u w:val="single"/>
            <w:rtl/>
          </w:rPr>
          <w:t xml:space="preserve"> </w:t>
        </w:r>
        <w:r w:rsidR="00D232E9" w:rsidRPr="00D232E9">
          <w:rPr>
            <w:rFonts w:cs="David" w:hint="cs"/>
            <w:color w:val="0000FF"/>
            <w:sz w:val="24"/>
            <w:szCs w:val="24"/>
            <w:u w:val="single"/>
            <w:rtl/>
          </w:rPr>
          <w:t>המסוכנים</w:t>
        </w:r>
      </w:hyperlink>
      <w:r>
        <w:rPr>
          <w:rFonts w:cs="David"/>
          <w:sz w:val="24"/>
          <w:szCs w:val="24"/>
          <w:rtl/>
        </w:rPr>
        <w:t xml:space="preserve"> (נוסח חדש), תשל"ג- 1973.</w:t>
      </w:r>
    </w:p>
    <w:p w14:paraId="203D996D" w14:textId="77777777" w:rsidR="00763370" w:rsidRDefault="00763370" w:rsidP="00763370">
      <w:pPr>
        <w:pStyle w:val="aa"/>
        <w:spacing w:after="0" w:line="360" w:lineRule="auto"/>
        <w:ind w:left="360"/>
        <w:jc w:val="both"/>
        <w:rPr>
          <w:rFonts w:cs="David"/>
          <w:sz w:val="24"/>
          <w:szCs w:val="24"/>
        </w:rPr>
      </w:pPr>
    </w:p>
    <w:p w14:paraId="7633BBD1" w14:textId="77777777" w:rsidR="00763370" w:rsidRDefault="00763370" w:rsidP="00763370">
      <w:pPr>
        <w:pStyle w:val="aa"/>
        <w:numPr>
          <w:ilvl w:val="0"/>
          <w:numId w:val="1"/>
        </w:numPr>
        <w:spacing w:after="0" w:line="360" w:lineRule="auto"/>
        <w:jc w:val="both"/>
        <w:rPr>
          <w:rFonts w:cs="David"/>
          <w:sz w:val="24"/>
          <w:szCs w:val="24"/>
        </w:rPr>
      </w:pPr>
      <w:r>
        <w:rPr>
          <w:rFonts w:cs="David"/>
          <w:sz w:val="24"/>
          <w:szCs w:val="24"/>
          <w:rtl/>
        </w:rPr>
        <w:t xml:space="preserve">בהתאם לעובדות כתב האישום המתוקן, בתאריך 27.6.2021, גידל הנאשם בחדר בדירה בבת ים, ב- 20 אדניות קטנות ובהם עציצים המכילים סם מסוכן מסוג קנבוס במשקל כולל של 4.48 ק"ג נטו. </w:t>
      </w:r>
    </w:p>
    <w:p w14:paraId="39B93D3C" w14:textId="77777777" w:rsidR="00763370" w:rsidRDefault="00763370" w:rsidP="00763370">
      <w:pPr>
        <w:spacing w:line="360" w:lineRule="auto"/>
        <w:jc w:val="both"/>
        <w:rPr>
          <w:rFonts w:ascii="Calibri" w:eastAsia="Calibri" w:hAnsi="Calibri"/>
        </w:rPr>
      </w:pPr>
    </w:p>
    <w:p w14:paraId="126EE777" w14:textId="77777777" w:rsidR="00763370" w:rsidRDefault="00763370" w:rsidP="00763370">
      <w:pPr>
        <w:numPr>
          <w:ilvl w:val="0"/>
          <w:numId w:val="1"/>
        </w:numPr>
        <w:spacing w:line="360" w:lineRule="auto"/>
        <w:contextualSpacing/>
        <w:jc w:val="both"/>
        <w:rPr>
          <w:rFonts w:ascii="Calibri" w:eastAsia="Calibri" w:hAnsi="Calibri"/>
          <w:rtl/>
        </w:rPr>
      </w:pPr>
      <w:bookmarkStart w:id="7" w:name="ABSTRACT_END"/>
      <w:bookmarkEnd w:id="7"/>
      <w:r>
        <w:rPr>
          <w:rFonts w:ascii="Calibri" w:eastAsia="Calibri" w:hAnsi="Calibri"/>
          <w:rtl/>
        </w:rPr>
        <w:t xml:space="preserve">לא הייתה בין הצדדים הסכמה לעניין העונש. ב"כ המאשימה הודיעה כי עמדתה להרשעה ולמאסר בפועל, ואילו ב"כ הנאשם ביקש לבחון במסגרת התסקיר את שאלת ביטול ההרשעה. </w:t>
      </w:r>
    </w:p>
    <w:p w14:paraId="43B26A57" w14:textId="77777777" w:rsidR="00763370" w:rsidRDefault="00763370" w:rsidP="00763370">
      <w:pPr>
        <w:spacing w:line="360" w:lineRule="auto"/>
        <w:jc w:val="both"/>
        <w:rPr>
          <w:rFonts w:ascii="Calibri" w:eastAsia="Calibri" w:hAnsi="Calibri"/>
          <w:rtl/>
        </w:rPr>
      </w:pPr>
    </w:p>
    <w:p w14:paraId="2EA66898" w14:textId="77777777" w:rsidR="00763370" w:rsidRDefault="00763370" w:rsidP="00763370">
      <w:pPr>
        <w:spacing w:line="360" w:lineRule="auto"/>
        <w:jc w:val="both"/>
        <w:rPr>
          <w:rFonts w:ascii="Calibri" w:eastAsia="Calibri" w:hAnsi="Calibri"/>
          <w:b/>
          <w:bCs/>
          <w:u w:val="single"/>
          <w:rtl/>
        </w:rPr>
      </w:pPr>
      <w:r>
        <w:rPr>
          <w:rFonts w:ascii="Calibri" w:eastAsia="Calibri" w:hAnsi="Calibri"/>
          <w:b/>
          <w:bCs/>
          <w:u w:val="single"/>
          <w:rtl/>
        </w:rPr>
        <w:t>תסקיר שירות המבחן וחוות דעת ממונה</w:t>
      </w:r>
    </w:p>
    <w:p w14:paraId="410752A8" w14:textId="77777777" w:rsidR="00763370" w:rsidRDefault="00763370" w:rsidP="00763370">
      <w:pPr>
        <w:pStyle w:val="aa"/>
        <w:numPr>
          <w:ilvl w:val="0"/>
          <w:numId w:val="1"/>
        </w:numPr>
        <w:spacing w:after="0" w:line="360" w:lineRule="auto"/>
        <w:jc w:val="both"/>
        <w:rPr>
          <w:rFonts w:cs="David"/>
          <w:sz w:val="24"/>
          <w:szCs w:val="24"/>
          <w:rtl/>
        </w:rPr>
      </w:pPr>
      <w:r>
        <w:rPr>
          <w:rFonts w:cs="David"/>
          <w:sz w:val="24"/>
          <w:szCs w:val="24"/>
          <w:u w:val="single"/>
          <w:rtl/>
        </w:rPr>
        <w:t xml:space="preserve">מתסקיר שירות המבחן מיום 19.6.22 </w:t>
      </w:r>
      <w:r>
        <w:rPr>
          <w:rFonts w:cs="David"/>
          <w:sz w:val="24"/>
          <w:szCs w:val="24"/>
          <w:rtl/>
        </w:rPr>
        <w:t xml:space="preserve"> עולה כי הנאשם, כבן 56, נשוי בשנית ואב לארבע בנות בגילאים 21-30. הנאשם היה משמורן יחיד על בנותיו וגידל אותן לבדו. במשך 16 שנים עבד כמפקח שטח בעיריית ת"א אך כיום נמצא בחל"ת ומתקיים מדמי ביטוח לאומי בשל מצב רפואי מורכב. זוהי הרשעתו היחידה. הנאשם שיתף כי לאחר תאונת דרכים שעבר לפני כשלוש </w:t>
      </w:r>
      <w:r>
        <w:rPr>
          <w:rFonts w:cs="David"/>
          <w:sz w:val="24"/>
          <w:szCs w:val="24"/>
          <w:rtl/>
        </w:rPr>
        <w:lastRenderedPageBreak/>
        <w:t xml:space="preserve">שנים קיבל תרופות לשיכוך כאבים אך לא היה בהן די ואז התנסה בקנאביס ומצא בכך הקלה משמעותית. בעקבות זאת הפך השימוש להיות תדיר. כיום הסדיר רשיון לשימוש בקנביס. שירות המבחן התרשם כי הנאשם מתפקד באופן חיובי במישורי החיים השונים, משקיע את מרבית מאמציו במישור התעסוקתי, כשניכר כי מגלה מעורבות ותמיכה בקשר עם ילדיו. בבחינת גורמי הסיכוי, התרשם שירות המבחן כי הנאשם מקבל אחריות מלאה למעשיו, מכיר בחומרתם ונעדר דפוסים עברייניים מושרשים. להערכת השירות בעקבות ההליך הנוכחי פחת משמעותית הסיכון להישנות התנהגות שולית. הנאשם שלל צורך בטיפול והוא נעדר דפוסים עברייניים ועל כן לא הומלץ על צו מבחן. באשר לענישה קונקרטית, הומלץ על ביצוע צו של"צ בהיקף של 140 שעות (בשל מצבו הבריאותי המורכב), לצד התחייבות להימנע מעבירה דומה. </w:t>
      </w:r>
    </w:p>
    <w:p w14:paraId="50FABCCA" w14:textId="77777777" w:rsidR="00763370" w:rsidRDefault="00763370" w:rsidP="00763370">
      <w:pPr>
        <w:pStyle w:val="aa"/>
        <w:spacing w:after="0" w:line="360" w:lineRule="auto"/>
        <w:ind w:left="360"/>
        <w:jc w:val="both"/>
        <w:rPr>
          <w:rFonts w:cs="David"/>
          <w:sz w:val="24"/>
          <w:szCs w:val="24"/>
        </w:rPr>
      </w:pPr>
      <w:r>
        <w:rPr>
          <w:rFonts w:cs="David"/>
          <w:sz w:val="24"/>
          <w:szCs w:val="24"/>
          <w:rtl/>
        </w:rPr>
        <w:t xml:space="preserve">באשר לביטול הרשעת הנאשם - שירות המבחן התייחס לעברו הנקי ולמסמכים מהרופאה התעסוקתית של עיריית ת"א לפיהם עדיין מחפשים עבור הנאשם תפקיד בהתאם למגבלותיו הפיזיות. במסמך שהציג בפני שירות המבחן - חוקת העבודה של הרשויות המקומיות עלה כי אדם עם הרשעה פלילית יפוטר בשל אשמה פלילית. לפיכך הומלץ לשקול בחיוב לבטל הרשעתו. </w:t>
      </w:r>
    </w:p>
    <w:p w14:paraId="3E296F58" w14:textId="77777777" w:rsidR="00763370" w:rsidRDefault="00763370" w:rsidP="00763370">
      <w:pPr>
        <w:pStyle w:val="aa"/>
        <w:numPr>
          <w:ilvl w:val="0"/>
          <w:numId w:val="1"/>
        </w:numPr>
        <w:spacing w:after="0" w:line="360" w:lineRule="auto"/>
        <w:jc w:val="both"/>
        <w:rPr>
          <w:rFonts w:cs="David"/>
          <w:sz w:val="24"/>
          <w:szCs w:val="24"/>
          <w:rtl/>
        </w:rPr>
      </w:pPr>
      <w:r>
        <w:rPr>
          <w:rFonts w:cs="David"/>
          <w:sz w:val="24"/>
          <w:szCs w:val="24"/>
          <w:u w:val="single"/>
          <w:rtl/>
        </w:rPr>
        <w:t xml:space="preserve">מחוות דעת מיום 24.7.22 </w:t>
      </w:r>
      <w:r>
        <w:rPr>
          <w:rFonts w:cs="David"/>
          <w:sz w:val="24"/>
          <w:szCs w:val="24"/>
          <w:rtl/>
        </w:rPr>
        <w:t xml:space="preserve">עולה כי לנאשם לא נמצא מקום להשמה בעבודות שירות בשל מצבו הבריאותי. </w:t>
      </w:r>
    </w:p>
    <w:p w14:paraId="56A15444" w14:textId="77777777" w:rsidR="00763370" w:rsidRDefault="00763370" w:rsidP="00763370">
      <w:pPr>
        <w:pStyle w:val="aa"/>
        <w:spacing w:after="0" w:line="360" w:lineRule="auto"/>
        <w:ind w:left="360"/>
        <w:jc w:val="both"/>
        <w:rPr>
          <w:rFonts w:cs="David"/>
          <w:sz w:val="24"/>
          <w:szCs w:val="24"/>
        </w:rPr>
      </w:pPr>
    </w:p>
    <w:p w14:paraId="062A919E" w14:textId="77777777" w:rsidR="00763370" w:rsidRDefault="00763370" w:rsidP="00763370">
      <w:pPr>
        <w:spacing w:after="200" w:line="360" w:lineRule="auto"/>
        <w:jc w:val="both"/>
        <w:rPr>
          <w:rFonts w:ascii="Calibri" w:eastAsia="Calibri" w:hAnsi="Calibri"/>
          <w:b/>
          <w:bCs/>
          <w:u w:val="single"/>
          <w:rtl/>
        </w:rPr>
      </w:pPr>
      <w:r>
        <w:rPr>
          <w:rFonts w:ascii="Calibri" w:eastAsia="Calibri" w:hAnsi="Calibri"/>
          <w:b/>
          <w:bCs/>
          <w:u w:val="single"/>
          <w:rtl/>
        </w:rPr>
        <w:t>טיעוני הצדדים</w:t>
      </w:r>
    </w:p>
    <w:p w14:paraId="2A2116DE" w14:textId="77777777" w:rsidR="00763370" w:rsidRPr="00763370" w:rsidRDefault="00763370" w:rsidP="00763370">
      <w:pPr>
        <w:pStyle w:val="aa"/>
        <w:numPr>
          <w:ilvl w:val="0"/>
          <w:numId w:val="1"/>
        </w:numPr>
        <w:spacing w:after="200" w:line="360" w:lineRule="auto"/>
        <w:jc w:val="both"/>
        <w:rPr>
          <w:rFonts w:ascii="David" w:hAnsi="David" w:cs="David"/>
          <w:sz w:val="24"/>
          <w:szCs w:val="24"/>
          <w:rtl/>
        </w:rPr>
      </w:pPr>
      <w:r>
        <w:rPr>
          <w:rFonts w:cs="David"/>
          <w:b/>
          <w:bCs/>
          <w:sz w:val="24"/>
          <w:szCs w:val="24"/>
          <w:u w:val="single"/>
          <w:rtl/>
        </w:rPr>
        <w:t>ב"כ המאשימה</w:t>
      </w:r>
      <w:r>
        <w:rPr>
          <w:rFonts w:cs="David"/>
          <w:sz w:val="24"/>
          <w:szCs w:val="24"/>
          <w:rtl/>
        </w:rPr>
        <w:t xml:space="preserve"> התייחסה לנסיבות ביצוע העבירה ולערכים המוגנים שנפגעו. כן ציינה את התכנון והשקעת הכסף שקדמו לביצוע העבירה והתייחסה להקמת מעבדות לגידול סם כאל מכת מדינה. התובעת הפנתה לפסיקה וביקשה לקבוע מתחם ענישה שבין 7 חודשי מאסר בפועל לבין 18 חודשי מאסר. לעמדת המאשימה אין הצדקה לביטול ההרשעה שכן הנאשם אינו עומד בתנאי הלכת </w:t>
      </w:r>
      <w:r>
        <w:rPr>
          <w:rFonts w:cs="David"/>
          <w:b/>
          <w:bCs/>
          <w:sz w:val="24"/>
          <w:szCs w:val="24"/>
          <w:rtl/>
        </w:rPr>
        <w:t>כתב</w:t>
      </w:r>
      <w:r>
        <w:rPr>
          <w:rFonts w:cs="David"/>
          <w:sz w:val="24"/>
          <w:szCs w:val="24"/>
          <w:rtl/>
        </w:rPr>
        <w:t xml:space="preserve">. ביטול הרשעה יפגע בגמול ובהרתעה. עוד הוסיפה המאשימה כי אין ראיה לנזק קונקרטי שכן הנאשם נמצא בחל"ת כשנתיים ולא נמצא לו מקום עבודה מתאים בעירייה. המאשימה התייחסה לנסיבותיו האישיות והבריאותיות של הנאשם, להודאתו ולתסקיר החיובי ואולם מכיוון שלא נמצא כשיר לריצוי מאסר בדרך של עבודות שירות ביקשה </w:t>
      </w:r>
      <w:r>
        <w:rPr>
          <w:rFonts w:ascii="David" w:hAnsi="David" w:cs="David"/>
          <w:sz w:val="24"/>
          <w:szCs w:val="24"/>
          <w:rtl/>
        </w:rPr>
        <w:t xml:space="preserve">לגזור עליו מספר חודשי מאסר בפועל, מאסר על תנאי, קנס ופסילה על תנאי. </w:t>
      </w:r>
    </w:p>
    <w:p w14:paraId="52770C87" w14:textId="77777777" w:rsidR="00763370" w:rsidRPr="00763370" w:rsidRDefault="00763370" w:rsidP="00763370">
      <w:pPr>
        <w:pStyle w:val="aa"/>
        <w:numPr>
          <w:ilvl w:val="0"/>
          <w:numId w:val="1"/>
        </w:numPr>
        <w:spacing w:after="200" w:line="360" w:lineRule="auto"/>
        <w:jc w:val="both"/>
      </w:pPr>
      <w:r>
        <w:rPr>
          <w:rFonts w:cs="David"/>
          <w:b/>
          <w:bCs/>
          <w:sz w:val="24"/>
          <w:szCs w:val="24"/>
          <w:u w:val="single"/>
          <w:rtl/>
        </w:rPr>
        <w:t>ב"כ הנאשם</w:t>
      </w:r>
      <w:r>
        <w:rPr>
          <w:rFonts w:cs="David"/>
          <w:sz w:val="24"/>
          <w:szCs w:val="24"/>
          <w:rtl/>
        </w:rPr>
        <w:t xml:space="preserve"> התייחס בהרחבה למכלול נסיבותיו האישיות ולסיבות הבריאותיות שהובילו את הנאשם להסתבכות הפלילית. הסנגור סיפר על תאונת הדרכים שעבר הנאשם במסגרת עבודתו בעיריית ת"א שבעטיה נחבל בגבו ומאז סבל מכאבים עזים והוכר כבעל אחוזי נכות גבוהים. כדי להתמודד עם הכאב ולאחר שתרופות מרשם שקיבל כדין גרמו להתמכרות אליהן, החל לגדל קנביס לשימושו העצמי. הסנגור הדגיש כי הגידול נעשה בצנעת הפרט ואין כל חשד שכוון כדי לשמש עבור אחרים והפרת החוק נעשתה בדלת אמות הנאשם מבלי לפגוע באיש. כן הוסיף שכיום הנאשם הסדיר רישיון לשימוש בקנביס רפואי ובנסיבות הללו מידת הפגיעה בערכים המוגנים נמוכה. הסנגור התייחס למדיניות הענישה וטען שניתן למצוא מקרים בהם הסתפקו בענישה צופה פני עתיד ואפילו בסיום ההליך ללא הרשעה. לתמיכה בטיעוניו הפנה לפסיקה.  </w:t>
      </w:r>
    </w:p>
    <w:p w14:paraId="3C2874A1" w14:textId="77777777" w:rsidR="00763370" w:rsidRDefault="00763370" w:rsidP="00763370">
      <w:pPr>
        <w:pStyle w:val="aa"/>
        <w:spacing w:after="200" w:line="360" w:lineRule="auto"/>
        <w:ind w:left="360"/>
        <w:jc w:val="both"/>
        <w:rPr>
          <w:rFonts w:ascii="David" w:hAnsi="David" w:cs="David"/>
          <w:sz w:val="24"/>
          <w:szCs w:val="24"/>
        </w:rPr>
      </w:pPr>
      <w:r>
        <w:rPr>
          <w:rFonts w:ascii="David" w:hAnsi="David" w:cs="David"/>
          <w:sz w:val="24"/>
          <w:szCs w:val="24"/>
          <w:rtl/>
        </w:rPr>
        <w:lastRenderedPageBreak/>
        <w:t>הסנגור הוסיף כי אם הנאשם יורשע קיים חשש שיפוטר מעבודתו בעירייה ובמצבו יתקשה למצוא עבודה. לפיכך ביקש הסנגור לאמץ את המלצות שירות המבחן.</w:t>
      </w:r>
    </w:p>
    <w:p w14:paraId="770F194E" w14:textId="77777777" w:rsidR="00763370" w:rsidRDefault="00763370" w:rsidP="00763370">
      <w:pPr>
        <w:pStyle w:val="aa"/>
        <w:numPr>
          <w:ilvl w:val="0"/>
          <w:numId w:val="1"/>
        </w:numPr>
        <w:spacing w:after="200" w:line="360" w:lineRule="auto"/>
        <w:jc w:val="both"/>
        <w:rPr>
          <w:rFonts w:ascii="David" w:hAnsi="David" w:cs="David"/>
          <w:sz w:val="24"/>
          <w:szCs w:val="24"/>
        </w:rPr>
      </w:pPr>
      <w:r>
        <w:rPr>
          <w:rFonts w:ascii="David" w:hAnsi="David" w:cs="David"/>
          <w:b/>
          <w:bCs/>
          <w:sz w:val="24"/>
          <w:szCs w:val="24"/>
          <w:u w:val="single"/>
          <w:rtl/>
        </w:rPr>
        <w:t>הנאשם</w:t>
      </w:r>
      <w:r>
        <w:rPr>
          <w:rFonts w:ascii="David" w:hAnsi="David" w:cs="David"/>
          <w:sz w:val="24"/>
          <w:szCs w:val="24"/>
          <w:rtl/>
        </w:rPr>
        <w:t xml:space="preserve"> בדבריו הכה על חטא, סיפר שעשה טעות נוראית. הנאשם סיפר שלא יכול היה לשאת את הכאב, התמכר למשככי כאבים אותם הפסיק באחת וסבר שיגדל בחדרון קטן סמים מבלי לפגוע באיש.    </w:t>
      </w:r>
    </w:p>
    <w:p w14:paraId="194AB6DB" w14:textId="77777777" w:rsidR="00763370" w:rsidRDefault="00763370" w:rsidP="00763370">
      <w:pPr>
        <w:pStyle w:val="aa"/>
        <w:numPr>
          <w:ilvl w:val="0"/>
          <w:numId w:val="1"/>
        </w:numPr>
        <w:spacing w:after="200" w:line="360" w:lineRule="auto"/>
        <w:jc w:val="both"/>
        <w:rPr>
          <w:rFonts w:ascii="David" w:hAnsi="David" w:cs="David"/>
          <w:sz w:val="24"/>
          <w:szCs w:val="24"/>
        </w:rPr>
      </w:pPr>
      <w:r>
        <w:rPr>
          <w:rFonts w:ascii="David" w:hAnsi="David" w:cs="David"/>
          <w:sz w:val="24"/>
          <w:szCs w:val="24"/>
          <w:rtl/>
        </w:rPr>
        <w:t xml:space="preserve">בסיום שמיעת הטיעונים לעונש אפשרתי לסנגור להגיש מסמך שניתן ללמוד ממנו על הנזק הקונקרטי שייגרם לנאשם בעקבות הרשעתו בדין. ביום 11.09.22 הגיש הסנגור הודעת עדכון לפיה פנה לגורמים רלוונטיים בעיריית ת"א וקיבל מענה בעל פה מהממונה על אגף המשמעת בעירייה. כן התייחס לפסיקה של בית דין משמעתי לפיה מטרת הענישה המשמעתית היא הרתעת הרבים באופן שיבטיח שמירת אמון הציבור ברשות. הסנגור הוסיף כי הנאשם נרדף בעבר בשל העובדה שחשף מעשים בלתי תקינים והוחזר לעבודה רק בסיום הליך אזרחי. לפיכך טען שקיים חשש שגורמים בעירייה ינצלו את הרשעתו בדין כדי להביא לפיטוריו. </w:t>
      </w:r>
    </w:p>
    <w:p w14:paraId="6255AA3A" w14:textId="77777777" w:rsidR="00763370" w:rsidRPr="00763370" w:rsidRDefault="00763370" w:rsidP="00763370">
      <w:pPr>
        <w:pStyle w:val="aa"/>
        <w:spacing w:line="360" w:lineRule="auto"/>
        <w:ind w:left="360"/>
        <w:jc w:val="both"/>
      </w:pPr>
    </w:p>
    <w:p w14:paraId="0B705588" w14:textId="77777777" w:rsidR="00763370" w:rsidRDefault="00763370" w:rsidP="00763370">
      <w:pPr>
        <w:spacing w:after="200" w:line="360" w:lineRule="auto"/>
        <w:jc w:val="both"/>
        <w:rPr>
          <w:rFonts w:ascii="Calibri" w:eastAsia="Calibri" w:hAnsi="Calibri"/>
          <w:b/>
          <w:bCs/>
          <w:u w:val="single"/>
          <w:rtl/>
        </w:rPr>
      </w:pPr>
      <w:r>
        <w:rPr>
          <w:rFonts w:ascii="Calibri" w:eastAsia="Calibri" w:hAnsi="Calibri"/>
          <w:b/>
          <w:bCs/>
          <w:u w:val="single"/>
          <w:rtl/>
        </w:rPr>
        <w:t>דיון והכרעה</w:t>
      </w:r>
    </w:p>
    <w:p w14:paraId="6F8DE971" w14:textId="77777777" w:rsidR="00763370" w:rsidRDefault="00763370" w:rsidP="00763370">
      <w:pPr>
        <w:pStyle w:val="aa"/>
        <w:numPr>
          <w:ilvl w:val="0"/>
          <w:numId w:val="1"/>
        </w:numPr>
        <w:spacing w:after="200" w:line="360" w:lineRule="auto"/>
        <w:jc w:val="both"/>
        <w:rPr>
          <w:rFonts w:cs="David"/>
          <w:sz w:val="24"/>
          <w:szCs w:val="24"/>
          <w:rtl/>
        </w:rPr>
      </w:pPr>
      <w:r>
        <w:rPr>
          <w:rFonts w:cs="David"/>
          <w:sz w:val="24"/>
          <w:szCs w:val="24"/>
          <w:rtl/>
        </w:rPr>
        <w:t>הכלל הוא כי מבצע העבירה יורשע במיוחס לו, ורק במקרים חריגים, בהם אין יחס סביר בין חומרת העבירה ונסיבותיה לבין הנזק הצפוי לנאשם מן ההרשעה, יעשה בית המשפט שימוש בסמכותו להימנע מהרשעה. המבחן המקובל, כפי שנקבע ב</w:t>
      </w:r>
      <w:hyperlink r:id="rId11" w:history="1">
        <w:r w:rsidR="00D232E9" w:rsidRPr="00D232E9">
          <w:rPr>
            <w:rFonts w:cs="David" w:hint="cs"/>
            <w:color w:val="0000FF"/>
            <w:sz w:val="24"/>
            <w:szCs w:val="24"/>
            <w:u w:val="single"/>
            <w:rtl/>
          </w:rPr>
          <w:t>ע</w:t>
        </w:r>
        <w:r w:rsidR="00D232E9" w:rsidRPr="00D232E9">
          <w:rPr>
            <w:rFonts w:cs="David"/>
            <w:color w:val="0000FF"/>
            <w:sz w:val="24"/>
            <w:szCs w:val="24"/>
            <w:u w:val="single"/>
            <w:rtl/>
          </w:rPr>
          <w:t>"</w:t>
        </w:r>
        <w:r w:rsidR="00D232E9" w:rsidRPr="00D232E9">
          <w:rPr>
            <w:rFonts w:cs="David" w:hint="cs"/>
            <w:color w:val="0000FF"/>
            <w:sz w:val="24"/>
            <w:szCs w:val="24"/>
            <w:u w:val="single"/>
            <w:rtl/>
          </w:rPr>
          <w:t>פ</w:t>
        </w:r>
        <w:r w:rsidR="00D232E9" w:rsidRPr="00D232E9">
          <w:rPr>
            <w:rFonts w:cs="David"/>
            <w:color w:val="0000FF"/>
            <w:sz w:val="24"/>
            <w:szCs w:val="24"/>
            <w:u w:val="single"/>
            <w:rtl/>
          </w:rPr>
          <w:t xml:space="preserve"> 2083/96</w:t>
        </w:r>
      </w:hyperlink>
      <w:r>
        <w:rPr>
          <w:rFonts w:cs="David"/>
          <w:sz w:val="24"/>
          <w:szCs w:val="24"/>
          <w:rtl/>
        </w:rPr>
        <w:t xml:space="preserve"> </w:t>
      </w:r>
      <w:r>
        <w:rPr>
          <w:rFonts w:cs="David"/>
          <w:b/>
          <w:bCs/>
          <w:sz w:val="24"/>
          <w:szCs w:val="24"/>
          <w:rtl/>
        </w:rPr>
        <w:t>תמר כתב נגד מדינת ישראל</w:t>
      </w:r>
      <w:r>
        <w:rPr>
          <w:rFonts w:cs="David"/>
          <w:sz w:val="24"/>
          <w:szCs w:val="24"/>
          <w:rtl/>
        </w:rPr>
        <w:t xml:space="preserve"> פד"י נב(3) 337, הוא כי הימנעות מהרשעה אפשרית בהצטבר שני פרמטרים: האחד – סוג העבירה מאפשר לוותר בנסיבות המקרה על הרשעה מבלי לפגוע בשיקולי ענישה אחרים; השני – על ההרשעה לפגוע פגיעה חמורה בעתידו של הנאשם או בשיקומו.</w:t>
      </w:r>
    </w:p>
    <w:p w14:paraId="3241863E" w14:textId="77777777" w:rsidR="00763370" w:rsidRDefault="00763370" w:rsidP="00763370">
      <w:pPr>
        <w:pStyle w:val="aa"/>
        <w:spacing w:after="200" w:line="360" w:lineRule="auto"/>
        <w:ind w:left="360"/>
        <w:jc w:val="both"/>
        <w:rPr>
          <w:rFonts w:cs="David"/>
          <w:sz w:val="24"/>
          <w:szCs w:val="24"/>
        </w:rPr>
      </w:pPr>
    </w:p>
    <w:p w14:paraId="16C7CB79" w14:textId="77777777" w:rsidR="00763370" w:rsidRDefault="00763370" w:rsidP="00763370">
      <w:pPr>
        <w:pStyle w:val="aa"/>
        <w:numPr>
          <w:ilvl w:val="0"/>
          <w:numId w:val="1"/>
        </w:numPr>
        <w:spacing w:after="200" w:line="360" w:lineRule="auto"/>
        <w:jc w:val="both"/>
        <w:rPr>
          <w:rFonts w:cs="David"/>
          <w:sz w:val="24"/>
          <w:szCs w:val="24"/>
          <w:rtl/>
        </w:rPr>
      </w:pPr>
      <w:r>
        <w:rPr>
          <w:rFonts w:cs="David"/>
          <w:sz w:val="24"/>
          <w:szCs w:val="24"/>
          <w:rtl/>
        </w:rPr>
        <w:t>בראש הערכים שנפגעים בעבירה של גידול סמים ניצבת החובה להגן על שלום הציבור ועל בריאותו מפני פגיעתם הרעה של הסמים. לגידול סמים עלולה להיות השפעה ישירה על צרכני הסמים והשפעה עקיפה בדמות הגדלת מעגל המשתמשים והמכורים. במקרה הרגיל, עבירות הגידול היא עבירת הפתיחה המאפשרת כניסת סמים לרחובות ולציבור הרחב. המקרה שלפני אינו המקרה הרגיל שכן מכלול הנסיבות המפורטות בכתב האישום המתוקן אינו מתאר מעבדה מסחרית על אף כמות הסם ונסיבותיו האישיות של הנאשם מסבירות שימוש בקנביס כדרך טיפול עצמית. הנאשם התנהל שנים ארוכות באופן נורמטיבי לחלוטין, הוא אינו בעל דפוסים עברייניים ופנה לשימוש בקנביס לאחר שהיה מעורב בתאונה, התמכר למשככי כאבים והחליט לחדול מכך. על רקע אלו והעובדה שכיום הסדיר הנאשם את השימוש בקנביס באמצעות רשיון כדין, הייתי נכונה לבחון במידה רבה יותר של נכונות אפשרות סיום ההליך באי הרשעה.</w:t>
      </w:r>
    </w:p>
    <w:p w14:paraId="09D5975C" w14:textId="77777777" w:rsidR="00763370" w:rsidRDefault="00763370" w:rsidP="00763370">
      <w:pPr>
        <w:pStyle w:val="aa"/>
        <w:rPr>
          <w:rFonts w:cs="David"/>
          <w:sz w:val="24"/>
          <w:szCs w:val="24"/>
        </w:rPr>
      </w:pPr>
    </w:p>
    <w:p w14:paraId="621C52F3" w14:textId="77777777" w:rsidR="00763370" w:rsidRDefault="00763370" w:rsidP="00763370">
      <w:pPr>
        <w:pStyle w:val="aa"/>
        <w:numPr>
          <w:ilvl w:val="0"/>
          <w:numId w:val="1"/>
        </w:numPr>
        <w:spacing w:after="200" w:line="360" w:lineRule="auto"/>
        <w:jc w:val="both"/>
        <w:rPr>
          <w:rFonts w:cs="David"/>
          <w:sz w:val="24"/>
          <w:szCs w:val="24"/>
          <w:rtl/>
        </w:rPr>
      </w:pPr>
      <w:r>
        <w:rPr>
          <w:rFonts w:cs="David"/>
          <w:sz w:val="24"/>
          <w:szCs w:val="24"/>
          <w:rtl/>
        </w:rPr>
        <w:t>העבירה עצמה, על אף חומרתה אינה שוללת על הסף סיום הליך ללא הרשעה. כך למשל ב</w:t>
      </w:r>
      <w:hyperlink r:id="rId12" w:history="1">
        <w:r w:rsidR="00D232E9" w:rsidRPr="00D232E9">
          <w:rPr>
            <w:rFonts w:cs="David" w:hint="cs"/>
            <w:color w:val="0000FF"/>
            <w:sz w:val="24"/>
            <w:szCs w:val="24"/>
            <w:u w:val="single"/>
            <w:rtl/>
          </w:rPr>
          <w:t>רע</w:t>
        </w:r>
        <w:r w:rsidR="00D232E9" w:rsidRPr="00D232E9">
          <w:rPr>
            <w:rFonts w:cs="David"/>
            <w:color w:val="0000FF"/>
            <w:sz w:val="24"/>
            <w:szCs w:val="24"/>
            <w:u w:val="single"/>
            <w:rtl/>
          </w:rPr>
          <w:t>"</w:t>
        </w:r>
        <w:r w:rsidR="00D232E9" w:rsidRPr="00D232E9">
          <w:rPr>
            <w:rFonts w:cs="David" w:hint="cs"/>
            <w:color w:val="0000FF"/>
            <w:sz w:val="24"/>
            <w:szCs w:val="24"/>
            <w:u w:val="single"/>
            <w:rtl/>
          </w:rPr>
          <w:t>פ</w:t>
        </w:r>
        <w:r w:rsidR="00D232E9" w:rsidRPr="00D232E9">
          <w:rPr>
            <w:rFonts w:cs="David"/>
            <w:color w:val="0000FF"/>
            <w:sz w:val="24"/>
            <w:szCs w:val="24"/>
            <w:u w:val="single"/>
            <w:rtl/>
          </w:rPr>
          <w:t xml:space="preserve"> 8458/18</w:t>
        </w:r>
      </w:hyperlink>
      <w:r>
        <w:rPr>
          <w:rFonts w:cs="David"/>
          <w:sz w:val="24"/>
          <w:szCs w:val="24"/>
          <w:rtl/>
        </w:rPr>
        <w:t xml:space="preserve"> </w:t>
      </w:r>
      <w:r>
        <w:rPr>
          <w:rFonts w:cs="David"/>
          <w:b/>
          <w:bCs/>
          <w:sz w:val="24"/>
          <w:szCs w:val="24"/>
          <w:rtl/>
        </w:rPr>
        <w:t>שטרר נ' מדינת ישראל</w:t>
      </w:r>
      <w:r>
        <w:rPr>
          <w:rFonts w:cs="David"/>
          <w:sz w:val="24"/>
          <w:szCs w:val="24"/>
          <w:rtl/>
        </w:rPr>
        <w:t xml:space="preserve"> (4.4.19) בית המשפט היה נכון לבחון אפשרות תאורטית של הימנעות מהרשעה אלא שבסופו של דבר לא עשה כן מן הטעם שלא הוכח נזק קונקרטי. מקרה זה אינו דוגמה המיטיבה עם הנאשם שכן באותו ענין דובר על גידול שני שתילי סם בלבד במשקל 248 גר'. למרות הכמות, בהעדר נזק קונקרטי הורשע הנאשם.  </w:t>
      </w:r>
    </w:p>
    <w:p w14:paraId="73A72CC2" w14:textId="77777777" w:rsidR="00763370" w:rsidRDefault="00763370" w:rsidP="00763370">
      <w:pPr>
        <w:pStyle w:val="aa"/>
        <w:rPr>
          <w:rFonts w:cs="David"/>
          <w:sz w:val="24"/>
          <w:szCs w:val="24"/>
        </w:rPr>
      </w:pPr>
    </w:p>
    <w:p w14:paraId="6F6D11AC" w14:textId="77777777" w:rsidR="00763370" w:rsidRDefault="00763370" w:rsidP="00763370">
      <w:pPr>
        <w:pStyle w:val="aa"/>
        <w:numPr>
          <w:ilvl w:val="0"/>
          <w:numId w:val="1"/>
        </w:numPr>
        <w:spacing w:after="200" w:line="360" w:lineRule="auto"/>
        <w:jc w:val="both"/>
        <w:rPr>
          <w:rFonts w:cs="David"/>
          <w:rtl/>
        </w:rPr>
      </w:pPr>
      <w:r>
        <w:rPr>
          <w:rFonts w:cs="David"/>
          <w:sz w:val="24"/>
          <w:szCs w:val="24"/>
          <w:rtl/>
        </w:rPr>
        <w:t>דברים מפורשים יותר נקבעו ב</w:t>
      </w:r>
      <w:hyperlink r:id="rId13" w:history="1">
        <w:r w:rsidR="00D232E9" w:rsidRPr="00D232E9">
          <w:rPr>
            <w:rFonts w:cs="David" w:hint="cs"/>
            <w:color w:val="0000FF"/>
            <w:sz w:val="24"/>
            <w:szCs w:val="24"/>
            <w:u w:val="single"/>
            <w:rtl/>
          </w:rPr>
          <w:t>רע</w:t>
        </w:r>
        <w:r w:rsidR="00D232E9" w:rsidRPr="00D232E9">
          <w:rPr>
            <w:rFonts w:cs="David"/>
            <w:color w:val="0000FF"/>
            <w:sz w:val="24"/>
            <w:szCs w:val="24"/>
            <w:u w:val="single"/>
            <w:rtl/>
          </w:rPr>
          <w:t>"</w:t>
        </w:r>
        <w:r w:rsidR="00D232E9" w:rsidRPr="00D232E9">
          <w:rPr>
            <w:rFonts w:cs="David" w:hint="cs"/>
            <w:color w:val="0000FF"/>
            <w:sz w:val="24"/>
            <w:szCs w:val="24"/>
            <w:u w:val="single"/>
            <w:rtl/>
          </w:rPr>
          <w:t>פ</w:t>
        </w:r>
        <w:r w:rsidR="00D232E9" w:rsidRPr="00D232E9">
          <w:rPr>
            <w:rFonts w:cs="David"/>
            <w:color w:val="0000FF"/>
            <w:sz w:val="24"/>
            <w:szCs w:val="24"/>
            <w:u w:val="single"/>
            <w:rtl/>
          </w:rPr>
          <w:t xml:space="preserve"> 5261/18</w:t>
        </w:r>
      </w:hyperlink>
      <w:r>
        <w:rPr>
          <w:rFonts w:cs="David"/>
          <w:sz w:val="24"/>
          <w:szCs w:val="24"/>
          <w:rtl/>
        </w:rPr>
        <w:t xml:space="preserve"> </w:t>
      </w:r>
      <w:r>
        <w:rPr>
          <w:rFonts w:cs="David"/>
          <w:b/>
          <w:bCs/>
          <w:sz w:val="24"/>
          <w:szCs w:val="24"/>
          <w:rtl/>
        </w:rPr>
        <w:t>דוידוף נ' מדינת ישראל</w:t>
      </w:r>
      <w:r>
        <w:rPr>
          <w:rFonts w:cs="David"/>
          <w:sz w:val="24"/>
          <w:szCs w:val="24"/>
          <w:rtl/>
        </w:rPr>
        <w:t xml:space="preserve"> (12.7.18). באות ענין נדחתה בקשה לביטול הרשעה בעבירה של גידול 1,900 גר' והחזקת 127 גר' לצריכה עצמית. על המבקש נגזר מע"ת ו- 150 שעות של"צ. מדובר היה באדם שסבל מפוסט טראומה בעקבות תאונת דרכים במהלכה נהרג חברו. נטען כי הרשעה תפגע בתכנית לעסוק בהוראה במסגרת משרד החינוך. ביהמ"ש לא הקל בדרישת הנזק הקונקרטי. ביהמ"ש המחוזי דחה ערעור ובקשת רשות ערעור נדחתה בביהמ"ש העליון</w:t>
      </w:r>
      <w:r>
        <w:rPr>
          <w:rFonts w:cs="David"/>
          <w:rtl/>
        </w:rPr>
        <w:t xml:space="preserve"> </w:t>
      </w:r>
      <w:r>
        <w:rPr>
          <w:rFonts w:cs="David"/>
          <w:sz w:val="24"/>
          <w:szCs w:val="24"/>
          <w:rtl/>
        </w:rPr>
        <w:t>תוך הפניה לדברים הבאים:</w:t>
      </w:r>
    </w:p>
    <w:p w14:paraId="464BF5C9" w14:textId="77777777" w:rsidR="00763370" w:rsidRDefault="00763370" w:rsidP="00763370">
      <w:pPr>
        <w:pStyle w:val="ruller5"/>
        <w:shd w:val="clear" w:color="auto" w:fill="FFFFFF"/>
        <w:bidi/>
        <w:spacing w:before="0" w:beforeAutospacing="0" w:after="0" w:afterAutospacing="0"/>
        <w:ind w:left="1642" w:right="1282"/>
        <w:jc w:val="both"/>
        <w:rPr>
          <w:rFonts w:ascii="Arial" w:hAnsi="Arial" w:cs="Arial"/>
          <w:color w:val="000000"/>
          <w:spacing w:val="10"/>
          <w:sz w:val="22"/>
          <w:szCs w:val="22"/>
          <w:rtl/>
        </w:rPr>
      </w:pPr>
      <w:r>
        <w:rPr>
          <w:rFonts w:ascii="Calibri" w:eastAsia="Calibri" w:hAnsi="Calibri" w:cs="David"/>
          <w:rtl/>
        </w:rPr>
        <w:t xml:space="preserve"> </w:t>
      </w:r>
      <w:r>
        <w:rPr>
          <w:rFonts w:ascii="FrankRuehl" w:hAnsi="FrankRuehl" w:cs="FrankRuehl"/>
          <w:color w:val="000000"/>
          <w:spacing w:val="10"/>
          <w:sz w:val="28"/>
          <w:szCs w:val="28"/>
          <w:rtl/>
        </w:rPr>
        <w:t>"להלן אתייחס לטענה, לפיה ראוי לפסוח על הדרישה להצגת נזק קונקרטי העלול להיגרם לנאשם אם יורשע בדין. בשורה ארוכה של פסקי דין נקבע, כי על העותר לאי - הרשעה מוטלת החובה להצביע על כך שהרשעתו תביא לפגיעה קשה וקונקרטית בסיכויי שיקומו, ולתמוך את טענותיו בתשתית ראייתית מתאימה (</w:t>
      </w:r>
      <w:hyperlink r:id="rId14" w:history="1">
        <w:r w:rsidR="00D232E9" w:rsidRPr="00D232E9">
          <w:rPr>
            <w:rFonts w:ascii="FrankRuehl" w:hAnsi="FrankRuehl" w:cs="FrankRuehl"/>
            <w:color w:val="0000FF"/>
            <w:spacing w:val="10"/>
            <w:sz w:val="28"/>
            <w:szCs w:val="28"/>
            <w:u w:val="single"/>
            <w:rtl/>
          </w:rPr>
          <w:t>רע"פ 8627/12</w:t>
        </w:r>
      </w:hyperlink>
      <w:r w:rsidR="00D232E9">
        <w:rPr>
          <w:rFonts w:ascii="FrankRuehl" w:hAnsi="FrankRuehl" w:cs="FrankRuehl"/>
          <w:color w:val="000000"/>
          <w:spacing w:val="10"/>
          <w:sz w:val="28"/>
          <w:szCs w:val="28"/>
          <w:rtl/>
        </w:rPr>
        <w:t xml:space="preserve"> </w:t>
      </w:r>
      <w:r>
        <w:rPr>
          <w:rFonts w:ascii="Miriam" w:hAnsi="Miriam" w:cs="Miriam"/>
          <w:color w:val="000000"/>
          <w:rtl/>
        </w:rPr>
        <w:t>הנסב נ' מדינת ישראל</w:t>
      </w:r>
      <w:r w:rsidR="00D232E9">
        <w:rPr>
          <w:rFonts w:ascii="FrankRuehl" w:hAnsi="FrankRuehl" w:cs="FrankRuehl"/>
          <w:color w:val="000000"/>
          <w:spacing w:val="10"/>
          <w:sz w:val="28"/>
          <w:szCs w:val="28"/>
          <w:rtl/>
        </w:rPr>
        <w:t xml:space="preserve"> </w:t>
      </w:r>
      <w:r>
        <w:rPr>
          <w:rFonts w:ascii="FrankRuehl" w:hAnsi="FrankRuehl" w:cs="FrankRuehl"/>
          <w:color w:val="000000"/>
          <w:spacing w:val="10"/>
          <w:sz w:val="28"/>
          <w:szCs w:val="28"/>
          <w:rtl/>
        </w:rPr>
        <w:t>(31.12.2012);</w:t>
      </w:r>
      <w:r w:rsidR="00D232E9">
        <w:rPr>
          <w:rFonts w:ascii="FrankRuehl" w:hAnsi="FrankRuehl" w:cs="FrankRuehl"/>
          <w:color w:val="000000"/>
          <w:spacing w:val="10"/>
          <w:sz w:val="28"/>
          <w:szCs w:val="28"/>
          <w:rtl/>
        </w:rPr>
        <w:t xml:space="preserve"> </w:t>
      </w:r>
      <w:hyperlink r:id="rId15" w:history="1">
        <w:r w:rsidR="00D232E9" w:rsidRPr="00D232E9">
          <w:rPr>
            <w:rFonts w:ascii="FrankRuehl" w:hAnsi="FrankRuehl" w:cs="FrankRuehl"/>
            <w:color w:val="0000FF"/>
            <w:spacing w:val="10"/>
            <w:sz w:val="28"/>
            <w:szCs w:val="28"/>
            <w:u w:val="single"/>
            <w:rtl/>
          </w:rPr>
          <w:t>רע"פ 2180/14</w:t>
        </w:r>
      </w:hyperlink>
      <w:r w:rsidR="00D232E9">
        <w:rPr>
          <w:rFonts w:ascii="FrankRuehl" w:hAnsi="FrankRuehl" w:cs="FrankRuehl"/>
          <w:color w:val="000000"/>
          <w:spacing w:val="10"/>
          <w:sz w:val="28"/>
          <w:szCs w:val="28"/>
          <w:rtl/>
        </w:rPr>
        <w:t xml:space="preserve"> </w:t>
      </w:r>
      <w:r>
        <w:rPr>
          <w:rFonts w:ascii="Miriam" w:hAnsi="Miriam" w:cs="Miriam"/>
          <w:color w:val="000000"/>
          <w:rtl/>
        </w:rPr>
        <w:t>שמואלי נ' מדינת ישראל</w:t>
      </w:r>
      <w:r w:rsidR="00D232E9">
        <w:rPr>
          <w:rFonts w:ascii="FrankRuehl" w:hAnsi="FrankRuehl" w:cs="FrankRuehl"/>
          <w:color w:val="000000"/>
          <w:spacing w:val="10"/>
          <w:sz w:val="28"/>
          <w:szCs w:val="28"/>
          <w:rtl/>
        </w:rPr>
        <w:t xml:space="preserve"> </w:t>
      </w:r>
      <w:r>
        <w:rPr>
          <w:rFonts w:ascii="FrankRuehl" w:hAnsi="FrankRuehl" w:cs="FrankRuehl"/>
          <w:color w:val="000000"/>
          <w:spacing w:val="10"/>
          <w:sz w:val="28"/>
          <w:szCs w:val="28"/>
          <w:rtl/>
        </w:rPr>
        <w:t>(26.4.2014) (להלן: עניין</w:t>
      </w:r>
      <w:r w:rsidR="00D232E9">
        <w:rPr>
          <w:rFonts w:ascii="FrankRuehl" w:hAnsi="FrankRuehl" w:cs="FrankRuehl"/>
          <w:color w:val="000000"/>
          <w:spacing w:val="10"/>
          <w:sz w:val="28"/>
          <w:szCs w:val="28"/>
          <w:rtl/>
        </w:rPr>
        <w:t xml:space="preserve"> </w:t>
      </w:r>
      <w:r>
        <w:rPr>
          <w:rFonts w:ascii="Miriam" w:hAnsi="Miriam" w:cs="Miriam"/>
          <w:color w:val="000000"/>
          <w:rtl/>
        </w:rPr>
        <w:t>שמואלי</w:t>
      </w:r>
      <w:r>
        <w:rPr>
          <w:rFonts w:ascii="FrankRuehl" w:hAnsi="FrankRuehl" w:cs="FrankRuehl"/>
          <w:color w:val="000000"/>
          <w:spacing w:val="10"/>
          <w:sz w:val="28"/>
          <w:szCs w:val="28"/>
          <w:rtl/>
        </w:rPr>
        <w:t>);</w:t>
      </w:r>
      <w:r w:rsidR="00D232E9">
        <w:rPr>
          <w:rFonts w:ascii="FrankRuehl" w:hAnsi="FrankRuehl" w:cs="FrankRuehl"/>
          <w:color w:val="000000"/>
          <w:spacing w:val="10"/>
          <w:sz w:val="28"/>
          <w:szCs w:val="28"/>
          <w:rtl/>
        </w:rPr>
        <w:t xml:space="preserve"> </w:t>
      </w:r>
      <w:hyperlink r:id="rId16" w:history="1">
        <w:r w:rsidR="00D232E9" w:rsidRPr="00D232E9">
          <w:rPr>
            <w:rFonts w:ascii="FrankRuehl" w:hAnsi="FrankRuehl" w:cs="FrankRuehl"/>
            <w:color w:val="0000FF"/>
            <w:spacing w:val="10"/>
            <w:sz w:val="28"/>
            <w:szCs w:val="28"/>
            <w:u w:val="single"/>
            <w:rtl/>
          </w:rPr>
          <w:t>רע"פ 1439/13</w:t>
        </w:r>
      </w:hyperlink>
      <w:r w:rsidR="00D232E9">
        <w:rPr>
          <w:rFonts w:ascii="FrankRuehl" w:hAnsi="FrankRuehl" w:cs="FrankRuehl"/>
          <w:color w:val="000000"/>
          <w:spacing w:val="10"/>
          <w:sz w:val="28"/>
          <w:szCs w:val="28"/>
          <w:rtl/>
        </w:rPr>
        <w:t xml:space="preserve"> </w:t>
      </w:r>
      <w:r>
        <w:rPr>
          <w:rFonts w:ascii="Miriam" w:hAnsi="Miriam" w:cs="Miriam"/>
          <w:color w:val="000000"/>
          <w:rtl/>
        </w:rPr>
        <w:t>קשת נ' מדינת ישראל</w:t>
      </w:r>
      <w:r w:rsidR="00D232E9">
        <w:rPr>
          <w:rFonts w:ascii="FrankRuehl" w:hAnsi="FrankRuehl" w:cs="FrankRuehl"/>
          <w:color w:val="000000"/>
          <w:spacing w:val="10"/>
          <w:sz w:val="28"/>
          <w:szCs w:val="28"/>
          <w:rtl/>
        </w:rPr>
        <w:t xml:space="preserve"> </w:t>
      </w:r>
      <w:r>
        <w:rPr>
          <w:rFonts w:ascii="FrankRuehl" w:hAnsi="FrankRuehl" w:cs="FrankRuehl"/>
          <w:color w:val="000000"/>
          <w:spacing w:val="10"/>
          <w:sz w:val="28"/>
          <w:szCs w:val="28"/>
          <w:rtl/>
        </w:rPr>
        <w:t>(4.3.2013)). החובה להצביע על נזק קונקרטי, עולה בקנה אחד עם אופיו המצומצם של החריג שעניינו הימנעות מהרשעה, אשר נועד לחול אך במקרים בהם קיימים טעמים כבדי משקל הנוגעים לשיקומו של הנאשם. כפי שציינתי לאחרונה בעניין</w:t>
      </w:r>
      <w:r w:rsidR="00D232E9">
        <w:rPr>
          <w:rFonts w:ascii="FrankRuehl" w:hAnsi="FrankRuehl" w:cs="FrankRuehl"/>
          <w:color w:val="000000"/>
          <w:spacing w:val="10"/>
          <w:sz w:val="28"/>
          <w:szCs w:val="28"/>
          <w:rtl/>
        </w:rPr>
        <w:t xml:space="preserve"> </w:t>
      </w:r>
      <w:r>
        <w:rPr>
          <w:rFonts w:ascii="Miriam" w:hAnsi="Miriam" w:cs="Miriam"/>
          <w:color w:val="000000"/>
          <w:rtl/>
        </w:rPr>
        <w:t>שמואלי</w:t>
      </w:r>
      <w:r>
        <w:rPr>
          <w:rFonts w:ascii="FrankRuehl" w:hAnsi="FrankRuehl" w:cs="FrankRuehl"/>
          <w:color w:val="000000"/>
          <w:spacing w:val="10"/>
          <w:sz w:val="28"/>
          <w:szCs w:val="28"/>
          <w:rtl/>
        </w:rPr>
        <w:t>, שם דובר בנאשם קטין, כי</w:t>
      </w:r>
      <w:r w:rsidR="00D232E9">
        <w:rPr>
          <w:rFonts w:ascii="FrankRuehl" w:hAnsi="FrankRuehl" w:cs="FrankRuehl"/>
          <w:color w:val="000000"/>
          <w:spacing w:val="10"/>
          <w:sz w:val="28"/>
          <w:szCs w:val="28"/>
          <w:rtl/>
        </w:rPr>
        <w:t xml:space="preserve"> </w:t>
      </w:r>
      <w:r>
        <w:rPr>
          <w:rFonts w:ascii="Miriam" w:hAnsi="Miriam" w:cs="Miriam"/>
          <w:color w:val="000000"/>
          <w:rtl/>
        </w:rPr>
        <w:t>'אין מקום להניח כי כל הרשעה של קטין צפויה לפגוע, מניה וביה, באופן מהותי באפשרותו להשתקם'</w:t>
      </w:r>
      <w:r>
        <w:rPr>
          <w:rFonts w:ascii="FrankRuehl" w:hAnsi="FrankRuehl" w:cs="FrankRuehl"/>
          <w:color w:val="000000"/>
          <w:spacing w:val="10"/>
          <w:sz w:val="28"/>
          <w:szCs w:val="28"/>
          <w:rtl/>
        </w:rPr>
        <w:t>, ובוודאי שאין מקום להנחה מעין זו, אך משום שמדובר בנאשם נטול עבר פלילי. אימוץ עמדתו של המבקש תוביל לסטייה מהאיזון הבסיסי העומד ביסודו של חריג ההימנעות מהרשעה, ולהחלתו של</w:t>
      </w:r>
      <w:r w:rsidR="00D232E9">
        <w:rPr>
          <w:rFonts w:ascii="FrankRuehl" w:hAnsi="FrankRuehl" w:cs="FrankRuehl"/>
          <w:color w:val="000000"/>
          <w:spacing w:val="10"/>
          <w:sz w:val="28"/>
          <w:szCs w:val="28"/>
          <w:rtl/>
        </w:rPr>
        <w:t xml:space="preserve"> </w:t>
      </w:r>
      <w:r>
        <w:rPr>
          <w:rFonts w:ascii="FrankRuehl" w:hAnsi="FrankRuehl" w:cs="FrankRuehl"/>
          <w:color w:val="000000"/>
          <w:spacing w:val="10"/>
          <w:sz w:val="28"/>
          <w:szCs w:val="28"/>
          <w:rtl/>
        </w:rPr>
        <w:t>החריג גם במקרים בהם אין כל סיבה ממשית לכך". (</w:t>
      </w:r>
      <w:hyperlink r:id="rId17" w:history="1">
        <w:r w:rsidR="00D232E9" w:rsidRPr="00D232E9">
          <w:rPr>
            <w:rFonts w:ascii="FrankRuehl" w:hAnsi="FrankRuehl" w:cs="FrankRuehl"/>
            <w:color w:val="0000FF"/>
            <w:spacing w:val="10"/>
            <w:sz w:val="28"/>
            <w:szCs w:val="28"/>
            <w:u w:val="single"/>
            <w:rtl/>
          </w:rPr>
          <w:t>רע"פ 3589/14</w:t>
        </w:r>
      </w:hyperlink>
      <w:r w:rsidR="00D232E9">
        <w:rPr>
          <w:rFonts w:ascii="FrankRuehl" w:hAnsi="FrankRuehl" w:cs="FrankRuehl"/>
          <w:color w:val="000000"/>
          <w:spacing w:val="10"/>
          <w:sz w:val="28"/>
          <w:szCs w:val="28"/>
          <w:rtl/>
        </w:rPr>
        <w:t xml:space="preserve"> </w:t>
      </w:r>
      <w:r>
        <w:rPr>
          <w:rFonts w:ascii="Miriam" w:hAnsi="Miriam" w:cs="Miriam"/>
          <w:color w:val="000000"/>
          <w:rtl/>
        </w:rPr>
        <w:t>לוזון נ' מדינת ישראל</w:t>
      </w:r>
      <w:r w:rsidR="00D232E9">
        <w:rPr>
          <w:rFonts w:ascii="FrankRuehl" w:hAnsi="FrankRuehl" w:cs="FrankRuehl"/>
          <w:color w:val="000000"/>
          <w:spacing w:val="10"/>
          <w:sz w:val="28"/>
          <w:szCs w:val="28"/>
          <w:rtl/>
        </w:rPr>
        <w:t xml:space="preserve"> </w:t>
      </w:r>
      <w:r>
        <w:rPr>
          <w:rFonts w:ascii="FrankRuehl" w:hAnsi="FrankRuehl" w:cs="FrankRuehl"/>
          <w:color w:val="000000"/>
          <w:spacing w:val="10"/>
          <w:sz w:val="28"/>
          <w:szCs w:val="28"/>
          <w:rtl/>
        </w:rPr>
        <w:t>(10.6.2014)).</w:t>
      </w:r>
    </w:p>
    <w:p w14:paraId="6B20F510" w14:textId="77777777" w:rsidR="00763370" w:rsidRDefault="00D232E9" w:rsidP="00763370">
      <w:pPr>
        <w:pStyle w:val="ruller5"/>
        <w:shd w:val="clear" w:color="auto" w:fill="FFFFFF"/>
        <w:bidi/>
        <w:spacing w:before="0" w:beforeAutospacing="0" w:after="0" w:afterAutospacing="0"/>
        <w:ind w:left="1642" w:right="1282"/>
        <w:jc w:val="both"/>
        <w:rPr>
          <w:rFonts w:ascii="Arial" w:hAnsi="Arial" w:cs="Arial"/>
          <w:color w:val="000000"/>
          <w:spacing w:val="10"/>
          <w:sz w:val="22"/>
          <w:szCs w:val="22"/>
        </w:rPr>
      </w:pPr>
      <w:r>
        <w:rPr>
          <w:rFonts w:ascii="FrankRuehl" w:hAnsi="FrankRuehl" w:cs="FrankRuehl"/>
          <w:color w:val="000000"/>
          <w:spacing w:val="10"/>
          <w:sz w:val="28"/>
          <w:szCs w:val="28"/>
          <w:rtl/>
        </w:rPr>
        <w:t xml:space="preserve"> </w:t>
      </w:r>
    </w:p>
    <w:p w14:paraId="6A6646DE" w14:textId="77777777" w:rsidR="00763370" w:rsidRDefault="00763370" w:rsidP="00763370">
      <w:pPr>
        <w:pStyle w:val="aa"/>
        <w:spacing w:after="200" w:line="360" w:lineRule="auto"/>
        <w:ind w:left="360"/>
        <w:jc w:val="both"/>
        <w:rPr>
          <w:rFonts w:cs="David"/>
          <w:sz w:val="24"/>
          <w:szCs w:val="24"/>
          <w:rtl/>
        </w:rPr>
      </w:pPr>
      <w:r>
        <w:rPr>
          <w:rFonts w:cs="David"/>
          <w:sz w:val="24"/>
          <w:szCs w:val="24"/>
          <w:rtl/>
        </w:rPr>
        <w:t>מאחר ולא הוכח נזק קונקרטי נדחתה הבקשה לרשות ערעור.</w:t>
      </w:r>
    </w:p>
    <w:p w14:paraId="70B9ADC1" w14:textId="77777777" w:rsidR="00763370" w:rsidRDefault="00763370" w:rsidP="00763370">
      <w:pPr>
        <w:pStyle w:val="aa"/>
        <w:rPr>
          <w:rFonts w:cs="David"/>
          <w:sz w:val="24"/>
          <w:szCs w:val="24"/>
          <w:highlight w:val="yellow"/>
        </w:rPr>
      </w:pPr>
    </w:p>
    <w:p w14:paraId="1E4BAFAA" w14:textId="77777777" w:rsidR="00763370" w:rsidRDefault="00763370" w:rsidP="00763370">
      <w:pPr>
        <w:pStyle w:val="aa"/>
        <w:numPr>
          <w:ilvl w:val="0"/>
          <w:numId w:val="1"/>
        </w:numPr>
        <w:spacing w:after="200" w:line="360" w:lineRule="auto"/>
        <w:jc w:val="both"/>
        <w:rPr>
          <w:rFonts w:cs="David"/>
          <w:sz w:val="24"/>
          <w:szCs w:val="24"/>
          <w:rtl/>
        </w:rPr>
      </w:pPr>
      <w:r>
        <w:rPr>
          <w:rFonts w:cs="David"/>
          <w:sz w:val="24"/>
          <w:szCs w:val="24"/>
          <w:rtl/>
        </w:rPr>
        <w:t>שאלת ביטול ההרשעה נדונה ב</w:t>
      </w:r>
      <w:hyperlink r:id="rId18" w:history="1">
        <w:r w:rsidR="00D232E9" w:rsidRPr="00D232E9">
          <w:rPr>
            <w:rFonts w:cs="David" w:hint="cs"/>
            <w:color w:val="0000FF"/>
            <w:sz w:val="24"/>
            <w:szCs w:val="24"/>
            <w:u w:val="single"/>
            <w:rtl/>
          </w:rPr>
          <w:t>עפ</w:t>
        </w:r>
        <w:r w:rsidR="00D232E9" w:rsidRPr="00D232E9">
          <w:rPr>
            <w:rFonts w:cs="David"/>
            <w:color w:val="0000FF"/>
            <w:sz w:val="24"/>
            <w:szCs w:val="24"/>
            <w:u w:val="single"/>
            <w:rtl/>
          </w:rPr>
          <w:t>"</w:t>
        </w:r>
        <w:r w:rsidR="00D232E9" w:rsidRPr="00D232E9">
          <w:rPr>
            <w:rFonts w:cs="David" w:hint="cs"/>
            <w:color w:val="0000FF"/>
            <w:sz w:val="24"/>
            <w:szCs w:val="24"/>
            <w:u w:val="single"/>
            <w:rtl/>
          </w:rPr>
          <w:t>ג</w:t>
        </w:r>
        <w:r w:rsidR="00D232E9" w:rsidRPr="00D232E9">
          <w:rPr>
            <w:rFonts w:cs="David"/>
            <w:color w:val="0000FF"/>
            <w:sz w:val="24"/>
            <w:szCs w:val="24"/>
            <w:u w:val="single"/>
            <w:rtl/>
          </w:rPr>
          <w:t xml:space="preserve"> (</w:t>
        </w:r>
        <w:r w:rsidR="00D232E9" w:rsidRPr="00D232E9">
          <w:rPr>
            <w:rFonts w:cs="David" w:hint="cs"/>
            <w:color w:val="0000FF"/>
            <w:sz w:val="24"/>
            <w:szCs w:val="24"/>
            <w:u w:val="single"/>
            <w:rtl/>
          </w:rPr>
          <w:t>חיפה</w:t>
        </w:r>
        <w:r w:rsidR="00D232E9" w:rsidRPr="00D232E9">
          <w:rPr>
            <w:rFonts w:cs="David"/>
            <w:color w:val="0000FF"/>
            <w:sz w:val="24"/>
            <w:szCs w:val="24"/>
            <w:u w:val="single"/>
            <w:rtl/>
          </w:rPr>
          <w:t>) 28110-10-15</w:t>
        </w:r>
      </w:hyperlink>
      <w:r>
        <w:rPr>
          <w:rFonts w:cs="David"/>
          <w:sz w:val="24"/>
          <w:szCs w:val="24"/>
          <w:rtl/>
        </w:rPr>
        <w:t xml:space="preserve"> </w:t>
      </w:r>
      <w:r>
        <w:rPr>
          <w:rFonts w:cs="David"/>
          <w:b/>
          <w:bCs/>
          <w:sz w:val="24"/>
          <w:szCs w:val="24"/>
          <w:rtl/>
        </w:rPr>
        <w:t>מדינת ישראל נ' דוד</w:t>
      </w:r>
      <w:r>
        <w:rPr>
          <w:rFonts w:cs="David"/>
          <w:sz w:val="24"/>
          <w:szCs w:val="24"/>
          <w:rtl/>
        </w:rPr>
        <w:t xml:space="preserve"> (17.12.15).  מדובר בערעור המדינה על פסק דינו של בית משפט השלום בחיפה במסגרתו בוטלה הרשעת המשיב. המשיב ונאשם נוסף, הורשעו בגידול קנבוס במשקל 3,600 גר' בדירה שבחזקת המשיב, 21 שתילים בשלושה חדרונים מאולתרים ותוך שימוש בציוד מעבדה. בית משפט השלום התייחס לכך שהסם גודל לשימוש עצמי של המעורב הנוסף וכי חלקו של הנאשם היה בשוליים, לא כמי שנהנה ולא כמי שהיה שותף דומיננטי בגידול. כמו כן הוכח כי הרשעת הנאשם תביא בוודאות לפיטורי הנאשם מעבודתו בנמל חיפה. בית המשפט המחוזי הותיר לאחר התלבטות את ביטול ההרשעה אך ציין מסלול שיקום מרשים וקיום נזק קונקרטי וודאי.</w:t>
      </w:r>
    </w:p>
    <w:p w14:paraId="589ECB9F" w14:textId="77777777" w:rsidR="00763370" w:rsidRDefault="00763370" w:rsidP="00763370">
      <w:pPr>
        <w:pStyle w:val="aa"/>
        <w:rPr>
          <w:rFonts w:cs="David"/>
          <w:sz w:val="24"/>
          <w:szCs w:val="24"/>
        </w:rPr>
      </w:pPr>
    </w:p>
    <w:p w14:paraId="5EF67BCF" w14:textId="77777777" w:rsidR="00763370" w:rsidRDefault="00763370" w:rsidP="00763370">
      <w:pPr>
        <w:pStyle w:val="aa"/>
        <w:numPr>
          <w:ilvl w:val="0"/>
          <w:numId w:val="1"/>
        </w:numPr>
        <w:spacing w:after="200" w:line="360" w:lineRule="auto"/>
        <w:jc w:val="both"/>
        <w:rPr>
          <w:rFonts w:cs="David"/>
          <w:sz w:val="24"/>
          <w:szCs w:val="24"/>
          <w:rtl/>
        </w:rPr>
      </w:pPr>
      <w:r>
        <w:rPr>
          <w:rFonts w:cs="David"/>
          <w:sz w:val="24"/>
          <w:szCs w:val="24"/>
          <w:rtl/>
        </w:rPr>
        <w:t>במקרה שלפני כמות הסם גדולה ומקשה על סיום ההליך תוך ביטול הרשעה. בנוסף, שאלת הנזק הקונקרטי נותרה עמומה. סעיף 73 בחוקת העבודה לעובדים ברשויות המקומיות בישראל, עוסק בפיטורים בגלל אשמה פלילית. לשון הסעיף היא "אם יפוטר עובד בגלל אשמה פלילית שאמיתותה הוכחה להנהלת הרשות ובאין ערעור מצד ועד העובדים, אין הפיטורים צריכים הודעה מוקדמת". הסעיף מתחיל במילה "אם" כלומר אין הכרח כי הנאשם יפוטר. שנית, לב הסעיף הוא אשמה פלילית ולאו דווקא הרשעה. ביצוע המעשה הוא בעל המשמעות ולא אופן סיום ההליך. סעיף 74 (הדן במעילה כך שספק אם חל על המקרה דנן) עוסק אף הוא ב"מעשה פלילי" ולא בהרשעה. לגופם של דברים וחשוב בהרבה משאלות ניסוח, הנקודה המשמעותית היא שבפועל הנאשם אינו עובד בעירייה מזה שנתיים וזאת בשל כך שלא נמצא מקום השמה אפשרי בשל מצבו הרפואי. אין אופק של השמה בעיתוי הנוכחי ולמרבה הצער גם לא הוצגה תחזית לשיפור בריאותי בתקופה הקרובה. לפיכך הנזק הוא תאורטי יותר מאשר ממשי. בהודעת הסנגור מיום 11.9.22 אין כדי להוות אינדיקציה לנזק קונקרטי. יתר על כן הטיעון כי יש המתנכלים לנאשם בשל חשיפת מעשים לא תקינים, לא הועלה על ידי הנאשם עצמו בשירות המבחן או בדיון ואף הוא נותר ללא תימוכין העולים כדי 'נזק קונקרטי'.</w:t>
      </w:r>
    </w:p>
    <w:p w14:paraId="30F8A75E" w14:textId="77777777" w:rsidR="00763370" w:rsidRDefault="00763370" w:rsidP="00763370">
      <w:pPr>
        <w:pStyle w:val="aa"/>
        <w:rPr>
          <w:rFonts w:cs="David"/>
          <w:sz w:val="24"/>
          <w:szCs w:val="24"/>
        </w:rPr>
      </w:pPr>
    </w:p>
    <w:p w14:paraId="4E397B98" w14:textId="77777777" w:rsidR="00763370" w:rsidRDefault="00763370" w:rsidP="00763370">
      <w:pPr>
        <w:pStyle w:val="aa"/>
        <w:numPr>
          <w:ilvl w:val="0"/>
          <w:numId w:val="1"/>
        </w:numPr>
        <w:spacing w:after="200" w:line="360" w:lineRule="auto"/>
        <w:jc w:val="both"/>
        <w:rPr>
          <w:rFonts w:cs="David"/>
          <w:sz w:val="24"/>
          <w:szCs w:val="24"/>
          <w:rtl/>
        </w:rPr>
      </w:pPr>
      <w:r>
        <w:rPr>
          <w:rFonts w:cs="David"/>
          <w:sz w:val="24"/>
          <w:szCs w:val="24"/>
          <w:rtl/>
        </w:rPr>
        <w:t>עיינתי בפסיקה ענפה הדנה באפשרות ביטול הרשעה בעבירות גידול סם, וכמובן בפסיקה שהגיש הסנגור אך אין בה לשנות את התמונה. ב</w:t>
      </w:r>
      <w:hyperlink r:id="rId19" w:history="1">
        <w:r w:rsidR="00D232E9" w:rsidRPr="00D232E9">
          <w:rPr>
            <w:rFonts w:cs="David" w:hint="cs"/>
            <w:color w:val="0000FF"/>
            <w:sz w:val="24"/>
            <w:szCs w:val="24"/>
            <w:u w:val="single"/>
            <w:rtl/>
          </w:rPr>
          <w:t>ת</w:t>
        </w:r>
        <w:r w:rsidR="00D232E9" w:rsidRPr="00D232E9">
          <w:rPr>
            <w:rFonts w:cs="David"/>
            <w:color w:val="0000FF"/>
            <w:sz w:val="24"/>
            <w:szCs w:val="24"/>
            <w:u w:val="single"/>
            <w:rtl/>
          </w:rPr>
          <w:t>"</w:t>
        </w:r>
        <w:r w:rsidR="00D232E9" w:rsidRPr="00D232E9">
          <w:rPr>
            <w:rFonts w:cs="David" w:hint="cs"/>
            <w:color w:val="0000FF"/>
            <w:sz w:val="24"/>
            <w:szCs w:val="24"/>
            <w:u w:val="single"/>
            <w:rtl/>
          </w:rPr>
          <w:t>פ</w:t>
        </w:r>
        <w:r w:rsidR="00D232E9" w:rsidRPr="00D232E9">
          <w:rPr>
            <w:rFonts w:cs="David"/>
            <w:color w:val="0000FF"/>
            <w:sz w:val="24"/>
            <w:szCs w:val="24"/>
            <w:u w:val="single"/>
            <w:rtl/>
          </w:rPr>
          <w:t xml:space="preserve"> (</w:t>
        </w:r>
        <w:r w:rsidR="00D232E9" w:rsidRPr="00D232E9">
          <w:rPr>
            <w:rFonts w:cs="David" w:hint="cs"/>
            <w:color w:val="0000FF"/>
            <w:sz w:val="24"/>
            <w:szCs w:val="24"/>
            <w:u w:val="single"/>
            <w:rtl/>
          </w:rPr>
          <w:t>ק</w:t>
        </w:r>
        <w:r w:rsidR="00D232E9" w:rsidRPr="00D232E9">
          <w:rPr>
            <w:rFonts w:cs="David"/>
            <w:color w:val="0000FF"/>
            <w:sz w:val="24"/>
            <w:szCs w:val="24"/>
            <w:u w:val="single"/>
            <w:rtl/>
          </w:rPr>
          <w:t xml:space="preserve">. </w:t>
        </w:r>
        <w:r w:rsidR="00D232E9" w:rsidRPr="00D232E9">
          <w:rPr>
            <w:rFonts w:cs="David" w:hint="cs"/>
            <w:color w:val="0000FF"/>
            <w:sz w:val="24"/>
            <w:szCs w:val="24"/>
            <w:u w:val="single"/>
            <w:rtl/>
          </w:rPr>
          <w:t>גת</w:t>
        </w:r>
        <w:r w:rsidR="00D232E9" w:rsidRPr="00D232E9">
          <w:rPr>
            <w:rFonts w:cs="David"/>
            <w:color w:val="0000FF"/>
            <w:sz w:val="24"/>
            <w:szCs w:val="24"/>
            <w:u w:val="single"/>
            <w:rtl/>
          </w:rPr>
          <w:t>) 27010-01-18</w:t>
        </w:r>
      </w:hyperlink>
      <w:r>
        <w:rPr>
          <w:rFonts w:cs="David"/>
          <w:sz w:val="24"/>
          <w:szCs w:val="24"/>
          <w:rtl/>
        </w:rPr>
        <w:t xml:space="preserve"> </w:t>
      </w:r>
      <w:r>
        <w:rPr>
          <w:rFonts w:cs="David"/>
          <w:b/>
          <w:bCs/>
          <w:sz w:val="24"/>
          <w:szCs w:val="24"/>
          <w:rtl/>
        </w:rPr>
        <w:t>מדינת ישראל נ' שור</w:t>
      </w:r>
      <w:r>
        <w:rPr>
          <w:rFonts w:cs="David"/>
          <w:sz w:val="24"/>
          <w:szCs w:val="24"/>
          <w:rtl/>
        </w:rPr>
        <w:t xml:space="preserve"> (18.7.19) דובר על גידול שתיל בודד והוכח נזק קונקרטי. ביתר המקרים הנסיבות קלות יותר כגון גדול שתיל בודד או גידול בטבע או שקיים נזק מוחשי ברור.</w:t>
      </w:r>
    </w:p>
    <w:p w14:paraId="0E4743C6" w14:textId="77777777" w:rsidR="00763370" w:rsidRDefault="00763370" w:rsidP="00763370">
      <w:pPr>
        <w:pStyle w:val="aa"/>
        <w:rPr>
          <w:rFonts w:cs="David"/>
          <w:sz w:val="24"/>
          <w:szCs w:val="24"/>
        </w:rPr>
      </w:pPr>
    </w:p>
    <w:p w14:paraId="5EFFB654" w14:textId="77777777" w:rsidR="00763370" w:rsidRDefault="00763370" w:rsidP="00763370">
      <w:pPr>
        <w:pStyle w:val="aa"/>
        <w:numPr>
          <w:ilvl w:val="0"/>
          <w:numId w:val="1"/>
        </w:numPr>
        <w:spacing w:after="200" w:line="360" w:lineRule="auto"/>
        <w:jc w:val="both"/>
        <w:rPr>
          <w:rFonts w:cs="David"/>
          <w:sz w:val="24"/>
          <w:szCs w:val="24"/>
          <w:rtl/>
        </w:rPr>
      </w:pPr>
      <w:r>
        <w:rPr>
          <w:rFonts w:cs="David"/>
          <w:sz w:val="24"/>
          <w:szCs w:val="24"/>
          <w:rtl/>
        </w:rPr>
        <w:t>הנאשם כבן 56 ואין בעברו כל הסתבכות ולא מדובר באדם בעל קווי אישיות עברייניים. להיפך. אף על פי כן עקרון השוויון בין נאשמים הוא בעל משמעת ולא אוכל לחרוג מן הכלל אלא כאשר הטעמים לכך מוכרים על פי הפסיקה. לא מצאתי כי הנתונים שהוצגו מאפשרים סיום ההליך תוך ביטול הרשעה.</w:t>
      </w:r>
    </w:p>
    <w:p w14:paraId="1302A596" w14:textId="77777777" w:rsidR="00763370" w:rsidRDefault="00763370" w:rsidP="00763370">
      <w:pPr>
        <w:pStyle w:val="aa"/>
        <w:rPr>
          <w:rFonts w:cs="David"/>
          <w:sz w:val="24"/>
          <w:szCs w:val="24"/>
        </w:rPr>
      </w:pPr>
    </w:p>
    <w:p w14:paraId="679722A3" w14:textId="77777777" w:rsidR="00763370" w:rsidRDefault="00763370" w:rsidP="00763370">
      <w:pPr>
        <w:pStyle w:val="aa"/>
        <w:numPr>
          <w:ilvl w:val="0"/>
          <w:numId w:val="1"/>
        </w:numPr>
        <w:spacing w:after="200" w:line="360" w:lineRule="auto"/>
        <w:jc w:val="both"/>
        <w:rPr>
          <w:rFonts w:cs="David"/>
          <w:sz w:val="24"/>
          <w:szCs w:val="24"/>
          <w:rtl/>
        </w:rPr>
      </w:pPr>
      <w:r>
        <w:rPr>
          <w:rFonts w:cs="David"/>
          <w:sz w:val="24"/>
          <w:szCs w:val="24"/>
          <w:rtl/>
        </w:rPr>
        <w:t xml:space="preserve">לצד דחיית הבקשה לביטול הרשעה, אומר כי חזקה על העירייה, מעסיקתו של הנאשם, כי תביא בחשבון את מלוא הנתונים בתיק זה ולא תסתפק בעצם ההרשעה ובסוג העבירה. אני נותנת אמון כי בהפעלת שיקול הדעת יילקחו בחשבון כל הנסיבות שפורטו לעיל בהרחבה, לרבות התרחשות התאונה בעטיה החלה ההתדרדרות הפיזית, במסגרת עבודת הנאשם בעירייה. </w:t>
      </w:r>
    </w:p>
    <w:p w14:paraId="2C18BB6E" w14:textId="77777777" w:rsidR="00763370" w:rsidRPr="00763370" w:rsidRDefault="00763370" w:rsidP="00763370">
      <w:pPr>
        <w:pStyle w:val="aa"/>
        <w:numPr>
          <w:ilvl w:val="0"/>
          <w:numId w:val="1"/>
        </w:numPr>
        <w:spacing w:after="0" w:line="360" w:lineRule="auto"/>
        <w:jc w:val="both"/>
        <w:rPr>
          <w:rFonts w:ascii="David" w:hAnsi="David" w:cs="David"/>
          <w:sz w:val="24"/>
          <w:szCs w:val="24"/>
        </w:rPr>
      </w:pPr>
      <w:r>
        <w:rPr>
          <w:rFonts w:ascii="David" w:hAnsi="David" w:cs="David"/>
          <w:b/>
          <w:bCs/>
          <w:sz w:val="24"/>
          <w:szCs w:val="24"/>
          <w:rtl/>
        </w:rPr>
        <w:t>מדיניות הענישה</w:t>
      </w:r>
      <w:r>
        <w:rPr>
          <w:rFonts w:ascii="David" w:hAnsi="David" w:cs="David"/>
          <w:sz w:val="24"/>
          <w:szCs w:val="24"/>
          <w:rtl/>
        </w:rPr>
        <w:t xml:space="preserve"> הנוהגת כוללת מנעד רחב של עונשים אשר נותנים ביטוי לכמות הסם, נסיבות הגידול, לטיב הפגיעה ולנסיבות הספציפיות שלכל מקרה ומקרה. ראו למשל: </w:t>
      </w:r>
    </w:p>
    <w:p w14:paraId="4BDB3A3C" w14:textId="77777777" w:rsidR="00763370" w:rsidRDefault="00763370" w:rsidP="00763370">
      <w:pPr>
        <w:pStyle w:val="aa"/>
        <w:spacing w:after="200" w:line="360" w:lineRule="auto"/>
        <w:ind w:left="360"/>
        <w:jc w:val="both"/>
        <w:rPr>
          <w:rFonts w:cs="David"/>
          <w:sz w:val="24"/>
          <w:szCs w:val="24"/>
        </w:rPr>
      </w:pPr>
    </w:p>
    <w:p w14:paraId="3455F061" w14:textId="77777777" w:rsidR="00763370" w:rsidRDefault="00763370" w:rsidP="00763370">
      <w:pPr>
        <w:pStyle w:val="aa"/>
        <w:numPr>
          <w:ilvl w:val="0"/>
          <w:numId w:val="2"/>
        </w:numPr>
        <w:spacing w:after="200" w:line="360" w:lineRule="auto"/>
        <w:jc w:val="both"/>
        <w:rPr>
          <w:rFonts w:cs="David"/>
          <w:sz w:val="24"/>
          <w:szCs w:val="24"/>
          <w:u w:val="single"/>
          <w:rtl/>
        </w:rPr>
      </w:pPr>
      <w:r>
        <w:rPr>
          <w:rFonts w:cs="David"/>
          <w:sz w:val="24"/>
          <w:szCs w:val="24"/>
          <w:rtl/>
        </w:rPr>
        <w:t xml:space="preserve">ראו מקרה דומה במשקל הגידול, אך שונה במובן זה שנקבע כי נפלו פגמים בעריכת החיפוש והופעל כוח שלא לצורך. באותו ענין הייתה אינדיקציה לכך שהסמים היו לצריכתו העצמית של הנאשם: </w:t>
      </w:r>
      <w:hyperlink r:id="rId20" w:history="1">
        <w:r w:rsidR="00D232E9" w:rsidRPr="00D232E9">
          <w:rPr>
            <w:rFonts w:cs="David" w:hint="cs"/>
            <w:color w:val="0000FF"/>
            <w:sz w:val="24"/>
            <w:szCs w:val="24"/>
            <w:u w:val="single"/>
            <w:rtl/>
          </w:rPr>
          <w:t>ת</w:t>
        </w:r>
        <w:r w:rsidR="00D232E9" w:rsidRPr="00D232E9">
          <w:rPr>
            <w:rFonts w:cs="David"/>
            <w:color w:val="0000FF"/>
            <w:sz w:val="24"/>
            <w:szCs w:val="24"/>
            <w:u w:val="single"/>
            <w:rtl/>
          </w:rPr>
          <w:t>"</w:t>
        </w:r>
        <w:r w:rsidR="00D232E9" w:rsidRPr="00D232E9">
          <w:rPr>
            <w:rFonts w:cs="David" w:hint="cs"/>
            <w:color w:val="0000FF"/>
            <w:sz w:val="24"/>
            <w:szCs w:val="24"/>
            <w:u w:val="single"/>
            <w:rtl/>
          </w:rPr>
          <w:t>פ</w:t>
        </w:r>
        <w:r w:rsidR="00D232E9" w:rsidRPr="00D232E9">
          <w:rPr>
            <w:rFonts w:cs="David"/>
            <w:color w:val="0000FF"/>
            <w:sz w:val="24"/>
            <w:szCs w:val="24"/>
            <w:u w:val="single"/>
            <w:rtl/>
          </w:rPr>
          <w:t xml:space="preserve"> (</w:t>
        </w:r>
        <w:r w:rsidR="00D232E9" w:rsidRPr="00D232E9">
          <w:rPr>
            <w:rFonts w:cs="David" w:hint="cs"/>
            <w:color w:val="0000FF"/>
            <w:sz w:val="24"/>
            <w:szCs w:val="24"/>
            <w:u w:val="single"/>
            <w:rtl/>
          </w:rPr>
          <w:t>ת</w:t>
        </w:r>
        <w:r w:rsidR="00D232E9" w:rsidRPr="00D232E9">
          <w:rPr>
            <w:rFonts w:cs="David"/>
            <w:color w:val="0000FF"/>
            <w:sz w:val="24"/>
            <w:szCs w:val="24"/>
            <w:u w:val="single"/>
            <w:rtl/>
          </w:rPr>
          <w:t>"</w:t>
        </w:r>
        <w:r w:rsidR="00D232E9" w:rsidRPr="00D232E9">
          <w:rPr>
            <w:rFonts w:cs="David" w:hint="cs"/>
            <w:color w:val="0000FF"/>
            <w:sz w:val="24"/>
            <w:szCs w:val="24"/>
            <w:u w:val="single"/>
            <w:rtl/>
          </w:rPr>
          <w:t>א</w:t>
        </w:r>
        <w:r w:rsidR="00D232E9" w:rsidRPr="00D232E9">
          <w:rPr>
            <w:rFonts w:cs="David"/>
            <w:color w:val="0000FF"/>
            <w:sz w:val="24"/>
            <w:szCs w:val="24"/>
            <w:u w:val="single"/>
            <w:rtl/>
          </w:rPr>
          <w:t>) 516-03-20</w:t>
        </w:r>
      </w:hyperlink>
      <w:r>
        <w:rPr>
          <w:rFonts w:cs="David"/>
          <w:sz w:val="24"/>
          <w:szCs w:val="24"/>
          <w:rtl/>
        </w:rPr>
        <w:t xml:space="preserve"> </w:t>
      </w:r>
      <w:r>
        <w:rPr>
          <w:rFonts w:cs="David"/>
          <w:b/>
          <w:bCs/>
          <w:sz w:val="24"/>
          <w:szCs w:val="24"/>
          <w:rtl/>
        </w:rPr>
        <w:t>מדינת ישראל נ' אנגלנדר</w:t>
      </w:r>
      <w:r>
        <w:rPr>
          <w:rFonts w:cs="David"/>
          <w:sz w:val="24"/>
          <w:szCs w:val="24"/>
          <w:rtl/>
        </w:rPr>
        <w:t xml:space="preserve"> (26.10.21) - הנאשם הורשע, לאחר שמיעת ראיות, </w:t>
      </w:r>
      <w:r>
        <w:rPr>
          <w:rFonts w:cs="David"/>
          <w:sz w:val="24"/>
          <w:szCs w:val="24"/>
          <w:u w:val="single"/>
          <w:rtl/>
        </w:rPr>
        <w:t>בעבירת גידול סם מסוכן</w:t>
      </w:r>
      <w:r>
        <w:rPr>
          <w:rFonts w:cs="David"/>
          <w:sz w:val="24"/>
          <w:szCs w:val="24"/>
          <w:rtl/>
        </w:rPr>
        <w:t xml:space="preserve"> במשקל כולל של כ-</w:t>
      </w:r>
      <w:r>
        <w:rPr>
          <w:rFonts w:cs="David"/>
          <w:b/>
          <w:bCs/>
          <w:sz w:val="24"/>
          <w:szCs w:val="24"/>
          <w:rtl/>
        </w:rPr>
        <w:t>4.27</w:t>
      </w:r>
      <w:r>
        <w:rPr>
          <w:rFonts w:cs="David"/>
          <w:sz w:val="24"/>
          <w:szCs w:val="24"/>
          <w:rtl/>
        </w:rPr>
        <w:t xml:space="preserve"> </w:t>
      </w:r>
      <w:r>
        <w:rPr>
          <w:rFonts w:cs="David"/>
          <w:b/>
          <w:bCs/>
          <w:sz w:val="24"/>
          <w:szCs w:val="24"/>
          <w:rtl/>
        </w:rPr>
        <w:t>ק"ג נטו.</w:t>
      </w:r>
      <w:r>
        <w:rPr>
          <w:rFonts w:cs="David"/>
          <w:sz w:val="24"/>
          <w:szCs w:val="24"/>
          <w:rtl/>
        </w:rPr>
        <w:t xml:space="preserve"> </w:t>
      </w:r>
      <w:r w:rsidR="00D232E9">
        <w:rPr>
          <w:rFonts w:ascii="David" w:hAnsi="David" w:cs="David"/>
          <w:color w:val="000000"/>
          <w:sz w:val="24"/>
          <w:szCs w:val="24"/>
          <w:shd w:val="clear" w:color="auto" w:fill="FFFFFF"/>
        </w:rPr>
        <w:t xml:space="preserve"> </w:t>
      </w:r>
      <w:r>
        <w:rPr>
          <w:rFonts w:ascii="David" w:hAnsi="David" w:cs="David"/>
          <w:color w:val="000000"/>
          <w:sz w:val="24"/>
          <w:szCs w:val="24"/>
          <w:shd w:val="clear" w:color="auto" w:fill="FFFFFF"/>
          <w:rtl/>
        </w:rPr>
        <w:t>לשם גידול הסם המסוכן השתמש הנאשם בכלים, חומרים וציוד כדלקמן:</w:t>
      </w:r>
      <w:r w:rsidR="00D232E9">
        <w:rPr>
          <w:rFonts w:ascii="David" w:hAnsi="David" w:cs="David"/>
          <w:color w:val="000000"/>
          <w:sz w:val="24"/>
          <w:szCs w:val="24"/>
          <w:shd w:val="clear" w:color="auto" w:fill="FFFFFF"/>
          <w:rtl/>
        </w:rPr>
        <w:t xml:space="preserve"> </w:t>
      </w:r>
      <w:r>
        <w:rPr>
          <w:rFonts w:ascii="David" w:hAnsi="David" w:cs="David"/>
          <w:color w:val="000000"/>
          <w:sz w:val="24"/>
          <w:szCs w:val="24"/>
          <w:shd w:val="clear" w:color="auto" w:fill="FFFFFF"/>
          <w:rtl/>
        </w:rPr>
        <w:t xml:space="preserve"> 8 שנאי חשמל, 2 מפוחי אוויר, 6 מנורות חימום, רשת לייבוש הסמים, שקית דישון, 2 בקבוקי דישון, משקל דיגיטלי</w:t>
      </w:r>
      <w:r>
        <w:rPr>
          <w:rFonts w:ascii="David" w:hAnsi="David" w:cs="David"/>
          <w:color w:val="000000"/>
          <w:sz w:val="24"/>
          <w:szCs w:val="24"/>
          <w:shd w:val="clear" w:color="auto" w:fill="FFFFFF"/>
        </w:rPr>
        <w:t>.</w:t>
      </w:r>
      <w:r>
        <w:rPr>
          <w:rFonts w:ascii="David" w:hAnsi="David" w:cs="David"/>
          <w:color w:val="000000"/>
          <w:sz w:val="24"/>
          <w:szCs w:val="24"/>
          <w:shd w:val="clear" w:color="auto" w:fill="FFFFFF"/>
          <w:rtl/>
        </w:rPr>
        <w:t xml:space="preserve"> </w:t>
      </w:r>
      <w:r>
        <w:rPr>
          <w:rFonts w:cs="David"/>
          <w:sz w:val="24"/>
          <w:szCs w:val="24"/>
          <w:rtl/>
        </w:rPr>
        <w:t xml:space="preserve">בית המשפט קבע כי </w:t>
      </w:r>
      <w:r>
        <w:rPr>
          <w:rFonts w:cs="David"/>
          <w:b/>
          <w:bCs/>
          <w:sz w:val="24"/>
          <w:szCs w:val="24"/>
          <w:rtl/>
        </w:rPr>
        <w:t>מתחם העונש ההולם נע החל מתקופה קצרה של מאסר למשך מספר שבועות אשר יכול וירוצו בעבודות שירות, ועד למאסר של כשנה, לצד ענישה נלווית.</w:t>
      </w:r>
      <w:r>
        <w:rPr>
          <w:rFonts w:cs="David"/>
          <w:sz w:val="24"/>
          <w:szCs w:val="24"/>
          <w:rtl/>
        </w:rPr>
        <w:t xml:space="preserve"> בית המשפט גזר על הנאשם, המורשע לראשונה, מאסר למשך שמונה ימים, מאסר על תנאי, פסילת רישיון נהיגה למשך שישה חודשים על תנאי.</w:t>
      </w:r>
      <w:r>
        <w:rPr>
          <w:rFonts w:cs="David"/>
          <w:sz w:val="24"/>
          <w:szCs w:val="24"/>
          <w:u w:val="single"/>
          <w:rtl/>
        </w:rPr>
        <w:t xml:space="preserve"> </w:t>
      </w:r>
    </w:p>
    <w:p w14:paraId="5FF3983F" w14:textId="77777777" w:rsidR="00763370" w:rsidRDefault="00763370" w:rsidP="00763370">
      <w:pPr>
        <w:pStyle w:val="aa"/>
        <w:spacing w:after="200" w:line="360" w:lineRule="auto"/>
        <w:jc w:val="both"/>
        <w:rPr>
          <w:rFonts w:cs="David"/>
          <w:sz w:val="24"/>
          <w:szCs w:val="24"/>
          <w:u w:val="single"/>
        </w:rPr>
      </w:pPr>
    </w:p>
    <w:p w14:paraId="1F248F04" w14:textId="77777777" w:rsidR="00763370" w:rsidRDefault="00D232E9" w:rsidP="00763370">
      <w:pPr>
        <w:pStyle w:val="aa"/>
        <w:numPr>
          <w:ilvl w:val="0"/>
          <w:numId w:val="2"/>
        </w:numPr>
        <w:spacing w:after="200" w:line="360" w:lineRule="auto"/>
        <w:jc w:val="both"/>
        <w:rPr>
          <w:rFonts w:cs="David"/>
          <w:sz w:val="24"/>
          <w:szCs w:val="24"/>
        </w:rPr>
      </w:pPr>
      <w:hyperlink r:id="rId21" w:history="1">
        <w:r w:rsidRPr="00D232E9">
          <w:rPr>
            <w:rFonts w:cs="David" w:hint="cs"/>
            <w:color w:val="0000FF"/>
            <w:sz w:val="24"/>
            <w:szCs w:val="24"/>
            <w:u w:val="single"/>
            <w:rtl/>
          </w:rPr>
          <w:t>ת</w:t>
        </w:r>
        <w:r w:rsidRPr="00D232E9">
          <w:rPr>
            <w:rFonts w:cs="David"/>
            <w:color w:val="0000FF"/>
            <w:sz w:val="24"/>
            <w:szCs w:val="24"/>
            <w:u w:val="single"/>
            <w:rtl/>
          </w:rPr>
          <w:t>"</w:t>
        </w:r>
        <w:r w:rsidRPr="00D232E9">
          <w:rPr>
            <w:rFonts w:cs="David" w:hint="cs"/>
            <w:color w:val="0000FF"/>
            <w:sz w:val="24"/>
            <w:szCs w:val="24"/>
            <w:u w:val="single"/>
            <w:rtl/>
          </w:rPr>
          <w:t>פ</w:t>
        </w:r>
        <w:r w:rsidRPr="00D232E9">
          <w:rPr>
            <w:rFonts w:cs="David"/>
            <w:color w:val="0000FF"/>
            <w:sz w:val="24"/>
            <w:szCs w:val="24"/>
            <w:u w:val="single"/>
            <w:rtl/>
          </w:rPr>
          <w:t xml:space="preserve"> (</w:t>
        </w:r>
        <w:r w:rsidRPr="00D232E9">
          <w:rPr>
            <w:rFonts w:cs="David" w:hint="cs"/>
            <w:color w:val="0000FF"/>
            <w:sz w:val="24"/>
            <w:szCs w:val="24"/>
            <w:u w:val="single"/>
            <w:rtl/>
          </w:rPr>
          <w:t>ת</w:t>
        </w:r>
        <w:r w:rsidRPr="00D232E9">
          <w:rPr>
            <w:rFonts w:cs="David"/>
            <w:color w:val="0000FF"/>
            <w:sz w:val="24"/>
            <w:szCs w:val="24"/>
            <w:u w:val="single"/>
            <w:rtl/>
          </w:rPr>
          <w:t>"</w:t>
        </w:r>
        <w:r w:rsidRPr="00D232E9">
          <w:rPr>
            <w:rFonts w:cs="David" w:hint="cs"/>
            <w:color w:val="0000FF"/>
            <w:sz w:val="24"/>
            <w:szCs w:val="24"/>
            <w:u w:val="single"/>
            <w:rtl/>
          </w:rPr>
          <w:t>א</w:t>
        </w:r>
        <w:r w:rsidRPr="00D232E9">
          <w:rPr>
            <w:rFonts w:cs="David"/>
            <w:color w:val="0000FF"/>
            <w:sz w:val="24"/>
            <w:szCs w:val="24"/>
            <w:u w:val="single"/>
            <w:rtl/>
          </w:rPr>
          <w:t>( 39058-09-18</w:t>
        </w:r>
      </w:hyperlink>
      <w:r w:rsidR="00763370">
        <w:rPr>
          <w:rFonts w:cs="David"/>
          <w:sz w:val="24"/>
          <w:szCs w:val="24"/>
          <w:rtl/>
        </w:rPr>
        <w:t xml:space="preserve"> </w:t>
      </w:r>
      <w:r w:rsidR="00763370">
        <w:rPr>
          <w:rFonts w:cs="David"/>
          <w:b/>
          <w:bCs/>
          <w:sz w:val="24"/>
          <w:szCs w:val="24"/>
          <w:rtl/>
        </w:rPr>
        <w:t>מדינת ישראל נ' ליבוביץ</w:t>
      </w:r>
      <w:r w:rsidR="00763370">
        <w:rPr>
          <w:rFonts w:cs="David"/>
          <w:sz w:val="24"/>
          <w:szCs w:val="24"/>
          <w:rtl/>
        </w:rPr>
        <w:t xml:space="preserve"> (12.11.2020)- הנאשם הורשע </w:t>
      </w:r>
      <w:r w:rsidR="00763370">
        <w:rPr>
          <w:rFonts w:cs="David"/>
          <w:sz w:val="24"/>
          <w:szCs w:val="24"/>
          <w:u w:val="single"/>
          <w:rtl/>
        </w:rPr>
        <w:t>בגידול סם מסוכן</w:t>
      </w:r>
      <w:r w:rsidR="00763370">
        <w:rPr>
          <w:rFonts w:cs="David"/>
          <w:sz w:val="24"/>
          <w:szCs w:val="24"/>
          <w:rtl/>
        </w:rPr>
        <w:t xml:space="preserve"> במשקל כולל של </w:t>
      </w:r>
      <w:r w:rsidR="00763370">
        <w:rPr>
          <w:rFonts w:cs="David"/>
          <w:b/>
          <w:bCs/>
          <w:sz w:val="24"/>
          <w:szCs w:val="24"/>
          <w:rtl/>
        </w:rPr>
        <w:t>4.6 ק"ג</w:t>
      </w:r>
      <w:r w:rsidR="00763370">
        <w:rPr>
          <w:rFonts w:cs="David"/>
          <w:sz w:val="24"/>
          <w:szCs w:val="24"/>
          <w:rtl/>
        </w:rPr>
        <w:t xml:space="preserve">. לצורך גידול הסמים שכר הנאשם דירה והחזיק בה ציוד לגידול כגון מנורות, שנאי, מפוח ומתקן לייבוש. </w:t>
      </w:r>
      <w:r w:rsidR="00763370">
        <w:rPr>
          <w:rFonts w:cs="David"/>
          <w:b/>
          <w:bCs/>
          <w:sz w:val="24"/>
          <w:szCs w:val="24"/>
          <w:rtl/>
        </w:rPr>
        <w:t>בית המשפט קבע כי מתחם העונש ההולם נע בין 6 חודשי מאסר שיכול וירוצו בעבודות שירות לבין 18 חודשי מאסר בפועל, לצד ענישה נלווית הכוללת מאסר על תנאי, קנס ופסילה על תנאי.</w:t>
      </w:r>
      <w:r w:rsidR="00763370">
        <w:rPr>
          <w:rFonts w:cs="David"/>
          <w:sz w:val="24"/>
          <w:szCs w:val="24"/>
          <w:rtl/>
        </w:rPr>
        <w:t xml:space="preserve"> הנאשם הודה והוא נעדר עבר פלילי. נגזרו עליו שישה חודשים לריצוי בעבודות שירות, מאסר על תנאי, פסילת רישיון נהיגה על תנאי וקנס בסך 1,000 ₪. </w:t>
      </w:r>
    </w:p>
    <w:p w14:paraId="588F5608" w14:textId="77777777" w:rsidR="00763370" w:rsidRDefault="00763370" w:rsidP="00763370">
      <w:pPr>
        <w:pStyle w:val="aa"/>
        <w:rPr>
          <w:rFonts w:cs="David"/>
          <w:sz w:val="24"/>
          <w:szCs w:val="24"/>
        </w:rPr>
      </w:pPr>
    </w:p>
    <w:p w14:paraId="0DE458FC" w14:textId="77777777" w:rsidR="00763370" w:rsidRDefault="00D232E9" w:rsidP="00763370">
      <w:pPr>
        <w:pStyle w:val="aa"/>
        <w:numPr>
          <w:ilvl w:val="0"/>
          <w:numId w:val="2"/>
        </w:numPr>
        <w:spacing w:line="360" w:lineRule="auto"/>
        <w:ind w:left="714" w:hanging="357"/>
        <w:jc w:val="both"/>
        <w:rPr>
          <w:rFonts w:cs="David"/>
          <w:sz w:val="24"/>
          <w:szCs w:val="24"/>
          <w:rtl/>
        </w:rPr>
      </w:pPr>
      <w:hyperlink r:id="rId22" w:history="1">
        <w:r w:rsidRPr="00D232E9">
          <w:rPr>
            <w:rFonts w:cs="David" w:hint="cs"/>
            <w:color w:val="0000FF"/>
            <w:sz w:val="24"/>
            <w:szCs w:val="24"/>
            <w:u w:val="single"/>
            <w:rtl/>
          </w:rPr>
          <w:t>ת</w:t>
        </w:r>
        <w:r w:rsidRPr="00D232E9">
          <w:rPr>
            <w:rFonts w:cs="David"/>
            <w:color w:val="0000FF"/>
            <w:sz w:val="24"/>
            <w:szCs w:val="24"/>
            <w:u w:val="single"/>
            <w:rtl/>
          </w:rPr>
          <w:t>"</w:t>
        </w:r>
        <w:r w:rsidRPr="00D232E9">
          <w:rPr>
            <w:rFonts w:cs="David" w:hint="cs"/>
            <w:color w:val="0000FF"/>
            <w:sz w:val="24"/>
            <w:szCs w:val="24"/>
            <w:u w:val="single"/>
            <w:rtl/>
          </w:rPr>
          <w:t>פ</w:t>
        </w:r>
        <w:r w:rsidRPr="00D232E9">
          <w:rPr>
            <w:rFonts w:cs="David"/>
            <w:color w:val="0000FF"/>
            <w:sz w:val="24"/>
            <w:szCs w:val="24"/>
            <w:u w:val="single"/>
            <w:rtl/>
          </w:rPr>
          <w:t xml:space="preserve"> (</w:t>
        </w:r>
        <w:r w:rsidRPr="00D232E9">
          <w:rPr>
            <w:rFonts w:cs="David" w:hint="cs"/>
            <w:color w:val="0000FF"/>
            <w:sz w:val="24"/>
            <w:szCs w:val="24"/>
            <w:u w:val="single"/>
            <w:rtl/>
          </w:rPr>
          <w:t>רח</w:t>
        </w:r>
        <w:r w:rsidRPr="00D232E9">
          <w:rPr>
            <w:rFonts w:cs="David"/>
            <w:color w:val="0000FF"/>
            <w:sz w:val="24"/>
            <w:szCs w:val="24"/>
            <w:u w:val="single"/>
            <w:rtl/>
          </w:rPr>
          <w:t>') 1788-06-17</w:t>
        </w:r>
      </w:hyperlink>
      <w:r w:rsidR="00763370">
        <w:rPr>
          <w:rFonts w:cs="David"/>
          <w:sz w:val="24"/>
          <w:szCs w:val="24"/>
          <w:rtl/>
        </w:rPr>
        <w:t xml:space="preserve"> </w:t>
      </w:r>
      <w:r w:rsidR="00763370">
        <w:rPr>
          <w:rFonts w:cs="David"/>
          <w:b/>
          <w:bCs/>
          <w:sz w:val="24"/>
          <w:szCs w:val="24"/>
          <w:rtl/>
        </w:rPr>
        <w:t>מדינת ישראל נ' גבאי</w:t>
      </w:r>
      <w:r w:rsidR="00763370">
        <w:rPr>
          <w:rFonts w:cs="David"/>
          <w:sz w:val="24"/>
          <w:szCs w:val="24"/>
          <w:rtl/>
        </w:rPr>
        <w:t xml:space="preserve"> (21.5.18) – הנאשם הורשע על בסיס הודאתו בגידול סמים מסוכנים. במהלך החיפוש נתפס בחדר צדדי סם מסוג קנבוס בתפזורת על גבי מתקן ייבוש במשקל 4.8 ק"ג נטו. כן נתפסו מאווררים, מנורות, ספקי כוח, חומרי דישון ואדניות. בית המשפט קבע כי </w:t>
      </w:r>
      <w:r w:rsidR="00763370">
        <w:rPr>
          <w:rFonts w:cs="David"/>
          <w:b/>
          <w:bCs/>
          <w:sz w:val="24"/>
          <w:szCs w:val="24"/>
          <w:rtl/>
        </w:rPr>
        <w:t>מתחם העונש ההולם נע בין 6 חודשי מאסר שיכול ויבוצעו בעבודות שירות ועד ל- 18 חודשי מאסר בפועל.</w:t>
      </w:r>
      <w:r w:rsidR="00763370">
        <w:rPr>
          <w:rFonts w:cs="David"/>
          <w:sz w:val="24"/>
          <w:szCs w:val="24"/>
          <w:rtl/>
        </w:rPr>
        <w:t xml:space="preserve"> בית המשפט גזר על הנאשם, נעדר עבר פלילי; הודה; נרתם להליך שיקומי; 6 חודשי מאסר בעבודות שירות, מאסרים על תנאי וצו מבחן לתקופה של 12 חודשים. </w:t>
      </w:r>
    </w:p>
    <w:p w14:paraId="0C367A7D" w14:textId="77777777" w:rsidR="00763370" w:rsidRDefault="00763370" w:rsidP="00763370">
      <w:pPr>
        <w:pStyle w:val="aa"/>
        <w:spacing w:line="360" w:lineRule="auto"/>
        <w:ind w:left="714"/>
        <w:jc w:val="both"/>
        <w:rPr>
          <w:rFonts w:cs="David"/>
          <w:sz w:val="24"/>
          <w:szCs w:val="24"/>
          <w:rtl/>
        </w:rPr>
      </w:pPr>
    </w:p>
    <w:p w14:paraId="2105D711" w14:textId="77777777" w:rsidR="00763370" w:rsidRPr="00763370" w:rsidRDefault="00763370" w:rsidP="00763370">
      <w:pPr>
        <w:pStyle w:val="aa"/>
        <w:numPr>
          <w:ilvl w:val="0"/>
          <w:numId w:val="1"/>
        </w:numPr>
        <w:spacing w:after="0" w:line="360" w:lineRule="auto"/>
        <w:jc w:val="both"/>
        <w:rPr>
          <w:rFonts w:ascii="David" w:hAnsi="David" w:cs="David"/>
          <w:sz w:val="24"/>
          <w:szCs w:val="24"/>
        </w:rPr>
      </w:pPr>
      <w:r>
        <w:rPr>
          <w:rFonts w:ascii="David" w:hAnsi="David" w:cs="David"/>
          <w:sz w:val="24"/>
          <w:szCs w:val="24"/>
          <w:rtl/>
        </w:rPr>
        <w:t xml:space="preserve">לאחר ששקלתי נסיבות גידול הסם כפי שפורט לעיל, הסיבות שהביאו לעבירה, הסוג והכמות, התכנון ומנגד העדר אינדיקציה לכוונת שיווק והפצה ולאחר ששקלתי מדיניות הענישה הנוהגת </w:t>
      </w:r>
      <w:r>
        <w:rPr>
          <w:rFonts w:ascii="David" w:hAnsi="David" w:cs="David"/>
          <w:b/>
          <w:bCs/>
          <w:sz w:val="24"/>
          <w:szCs w:val="24"/>
          <w:rtl/>
        </w:rPr>
        <w:t xml:space="preserve">אני קובעת כי מתחם העונש ההולם מתחיל ממספר חודשי מאסר בעבודות שירות ועד 15 חודשי מאסר בפועל </w:t>
      </w:r>
      <w:r>
        <w:rPr>
          <w:rFonts w:ascii="David" w:hAnsi="David" w:cs="David"/>
          <w:sz w:val="24"/>
          <w:szCs w:val="24"/>
          <w:rtl/>
        </w:rPr>
        <w:t>לצד ענישה נלווית</w:t>
      </w:r>
      <w:r>
        <w:rPr>
          <w:rFonts w:ascii="David" w:hAnsi="David" w:cs="David"/>
          <w:b/>
          <w:bCs/>
          <w:sz w:val="24"/>
          <w:szCs w:val="24"/>
          <w:rtl/>
        </w:rPr>
        <w:t>.</w:t>
      </w:r>
    </w:p>
    <w:p w14:paraId="78186FDA" w14:textId="77777777" w:rsidR="00763370" w:rsidRDefault="00763370" w:rsidP="00763370">
      <w:pPr>
        <w:pStyle w:val="aa"/>
        <w:numPr>
          <w:ilvl w:val="0"/>
          <w:numId w:val="1"/>
        </w:numPr>
        <w:spacing w:after="0" w:line="360" w:lineRule="auto"/>
        <w:jc w:val="both"/>
        <w:rPr>
          <w:rFonts w:ascii="David" w:hAnsi="David" w:cs="David"/>
          <w:sz w:val="24"/>
          <w:szCs w:val="24"/>
        </w:rPr>
      </w:pPr>
      <w:r>
        <w:rPr>
          <w:rFonts w:ascii="David" w:hAnsi="David" w:cs="David"/>
          <w:b/>
          <w:bCs/>
          <w:sz w:val="24"/>
          <w:szCs w:val="24"/>
          <w:rtl/>
        </w:rPr>
        <w:t>העונש המתאים לנאשם</w:t>
      </w:r>
      <w:r>
        <w:rPr>
          <w:rFonts w:ascii="David" w:hAnsi="David" w:cs="David"/>
          <w:sz w:val="24"/>
          <w:szCs w:val="24"/>
          <w:rtl/>
        </w:rPr>
        <w:t xml:space="preserve"> – הנאשם כבן 56 ומעולם לא הסתבך בפלילים. הנאשם הודה וקיבל אחריות מלאה למעשיו, הוא חש חרטה ובושה נוכח הסתבכותו. הנאשם אינו בקו הבריאות ונקבעו לו אחוזי נכות לא מבוטלים. שירות המבחן התרשם כי מדובר באדם שהסיכון להישנות התנהגות שולית מצדו פחת משמעותית. בשל מצבו הבריאותי אין הוא מתאים לריצוי מאסר בדרך של עבודות שירות. אומר מפורשות שגם אלמלא נתון זה, הייתי מורה על חריגה מן המתחם בשל סיכוי ממשי לשיקום. חוסר היכולת לבצע עבודות שירות משמעותו שעונש מאסר ירוצה מאחורי סורג ובריח. במצבו של הנאשם, ולאור האמור בתסקיר שירות המבחן, פגיעת עונש מאסר בפועל בנאשם תהיה בלתי מידתית. ביצוע צו עבודות לתועלת הציבור הוא בעל משמעות חינוכית והוא מרכיב מוחשי בין רכיבי הענישה. אציין כי החריגה מן המתחם כך שבמקום מאסר קצר בעבודות שירות יבצע הנאשם עבודות של"צ, אינה חריגה קיצונית. </w:t>
      </w:r>
    </w:p>
    <w:p w14:paraId="5C8805BD" w14:textId="77777777" w:rsidR="00763370" w:rsidRDefault="00763370" w:rsidP="00763370">
      <w:pPr>
        <w:spacing w:line="360" w:lineRule="auto"/>
        <w:jc w:val="both"/>
        <w:rPr>
          <w:rFonts w:ascii="David" w:hAnsi="David"/>
          <w:b/>
          <w:bCs/>
          <w:u w:val="double"/>
          <w:rtl/>
        </w:rPr>
      </w:pPr>
    </w:p>
    <w:p w14:paraId="69511420" w14:textId="77777777" w:rsidR="00763370" w:rsidRPr="00763370" w:rsidRDefault="00763370" w:rsidP="00763370">
      <w:pPr>
        <w:spacing w:line="360" w:lineRule="auto"/>
        <w:jc w:val="both"/>
        <w:rPr>
          <w:rFonts w:ascii="David" w:eastAsia="Calibri" w:hAnsi="David"/>
          <w:b/>
          <w:bCs/>
          <w:u w:val="double"/>
          <w:rtl/>
        </w:rPr>
      </w:pPr>
      <w:r>
        <w:rPr>
          <w:rFonts w:ascii="David" w:hAnsi="David"/>
          <w:b/>
          <w:bCs/>
          <w:u w:val="double"/>
          <w:rtl/>
        </w:rPr>
        <w:t>אשר על כן אני גוזרת על הנאשם את העונשים הבאים:</w:t>
      </w:r>
    </w:p>
    <w:p w14:paraId="667E021D" w14:textId="77777777" w:rsidR="00763370" w:rsidRDefault="00763370" w:rsidP="00763370">
      <w:pPr>
        <w:pStyle w:val="aa"/>
        <w:numPr>
          <w:ilvl w:val="0"/>
          <w:numId w:val="3"/>
        </w:numPr>
        <w:spacing w:after="0" w:line="360" w:lineRule="auto"/>
        <w:jc w:val="both"/>
        <w:rPr>
          <w:rFonts w:ascii="David" w:eastAsia="David" w:hAnsi="David" w:cs="David"/>
          <w:sz w:val="24"/>
          <w:szCs w:val="24"/>
          <w:rtl/>
        </w:rPr>
      </w:pPr>
      <w:r>
        <w:rPr>
          <w:rFonts w:ascii="David" w:hAnsi="David" w:cs="David"/>
          <w:b/>
          <w:bCs/>
          <w:sz w:val="24"/>
          <w:szCs w:val="24"/>
          <w:rtl/>
        </w:rPr>
        <w:t>6 חודשי מאסר על תנאי</w:t>
      </w:r>
      <w:r>
        <w:rPr>
          <w:rFonts w:ascii="David" w:hAnsi="David" w:cs="David"/>
          <w:sz w:val="24"/>
          <w:szCs w:val="24"/>
          <w:rtl/>
        </w:rPr>
        <w:t xml:space="preserve"> לתקופה של 3 שנים והתנאי הוא שהנאשם לא יעבור עבירה לפי </w:t>
      </w:r>
      <w:hyperlink r:id="rId23" w:history="1">
        <w:r w:rsidR="00D232E9" w:rsidRPr="00D232E9">
          <w:rPr>
            <w:rFonts w:ascii="David" w:hAnsi="David" w:cs="David"/>
            <w:color w:val="0000FF"/>
            <w:sz w:val="24"/>
            <w:szCs w:val="24"/>
            <w:u w:val="single"/>
            <w:rtl/>
          </w:rPr>
          <w:t>פקודת הסמים המסוכנים</w:t>
        </w:r>
      </w:hyperlink>
      <w:r>
        <w:rPr>
          <w:rFonts w:ascii="David" w:hAnsi="David" w:cs="David"/>
          <w:sz w:val="24"/>
          <w:szCs w:val="24"/>
          <w:rtl/>
        </w:rPr>
        <w:t xml:space="preserve"> מסוג פשע.</w:t>
      </w:r>
    </w:p>
    <w:p w14:paraId="0B24015C" w14:textId="77777777" w:rsidR="00763370" w:rsidRDefault="00763370" w:rsidP="00763370">
      <w:pPr>
        <w:pStyle w:val="aa"/>
        <w:numPr>
          <w:ilvl w:val="0"/>
          <w:numId w:val="3"/>
        </w:numPr>
        <w:spacing w:after="0" w:line="360" w:lineRule="auto"/>
        <w:jc w:val="both"/>
        <w:rPr>
          <w:rFonts w:ascii="David" w:eastAsia="David" w:hAnsi="David" w:cs="David"/>
          <w:sz w:val="24"/>
          <w:szCs w:val="24"/>
        </w:rPr>
      </w:pPr>
      <w:r>
        <w:rPr>
          <w:rFonts w:ascii="David" w:hAnsi="David" w:cs="David"/>
          <w:b/>
          <w:bCs/>
          <w:sz w:val="24"/>
          <w:szCs w:val="24"/>
          <w:rtl/>
        </w:rPr>
        <w:t xml:space="preserve">2 חודשי מאסר על תנאי </w:t>
      </w:r>
      <w:r>
        <w:rPr>
          <w:rFonts w:ascii="David" w:hAnsi="David" w:cs="David"/>
          <w:sz w:val="24"/>
          <w:szCs w:val="24"/>
          <w:rtl/>
        </w:rPr>
        <w:t xml:space="preserve">לתקופה של 3 שנים והתנאי הוא שהנאשם לא יעבור עבירה לפי </w:t>
      </w:r>
      <w:hyperlink r:id="rId24" w:history="1">
        <w:r w:rsidR="00D232E9" w:rsidRPr="00D232E9">
          <w:rPr>
            <w:rFonts w:ascii="David" w:hAnsi="David" w:cs="David"/>
            <w:color w:val="0000FF"/>
            <w:sz w:val="24"/>
            <w:szCs w:val="24"/>
            <w:u w:val="single"/>
            <w:rtl/>
          </w:rPr>
          <w:t>פקודת הסמים המסוכנים</w:t>
        </w:r>
      </w:hyperlink>
      <w:r>
        <w:rPr>
          <w:rFonts w:ascii="David" w:hAnsi="David" w:cs="David"/>
          <w:sz w:val="24"/>
          <w:szCs w:val="24"/>
          <w:rtl/>
        </w:rPr>
        <w:t xml:space="preserve"> מסוג עוון.</w:t>
      </w:r>
    </w:p>
    <w:p w14:paraId="7F54CC55" w14:textId="77777777" w:rsidR="00763370" w:rsidRDefault="00763370" w:rsidP="00763370">
      <w:pPr>
        <w:pStyle w:val="aa"/>
        <w:numPr>
          <w:ilvl w:val="0"/>
          <w:numId w:val="3"/>
        </w:numPr>
        <w:spacing w:after="0" w:line="360" w:lineRule="auto"/>
        <w:jc w:val="both"/>
        <w:rPr>
          <w:rFonts w:ascii="David" w:eastAsia="David" w:hAnsi="David" w:cs="David"/>
          <w:sz w:val="24"/>
          <w:szCs w:val="24"/>
        </w:rPr>
      </w:pPr>
      <w:r>
        <w:rPr>
          <w:rFonts w:ascii="David" w:hAnsi="David" w:cs="David"/>
          <w:b/>
          <w:bCs/>
          <w:sz w:val="24"/>
          <w:szCs w:val="24"/>
          <w:rtl/>
        </w:rPr>
        <w:t>צו של"צ בהיקף 140 שעות</w:t>
      </w:r>
      <w:r>
        <w:rPr>
          <w:rFonts w:ascii="David" w:hAnsi="David" w:cs="David"/>
          <w:sz w:val="24"/>
          <w:szCs w:val="24"/>
          <w:rtl/>
        </w:rPr>
        <w:t xml:space="preserve"> על פי תכנית שגיבש שירות המבחן. הובהר לנאשם כי אם יפר את הצו או יבצע עבירה נוספת ניתן יהיה להפקיע את הצו ולגזור עליו עונש שונה או נוסף.  </w:t>
      </w:r>
    </w:p>
    <w:p w14:paraId="732FD5A2" w14:textId="77777777" w:rsidR="00763370" w:rsidRDefault="00763370" w:rsidP="00763370">
      <w:pPr>
        <w:pStyle w:val="aa"/>
        <w:numPr>
          <w:ilvl w:val="0"/>
          <w:numId w:val="3"/>
        </w:numPr>
        <w:spacing w:after="0" w:line="360" w:lineRule="auto"/>
        <w:jc w:val="both"/>
        <w:rPr>
          <w:rFonts w:ascii="David" w:eastAsia="David" w:hAnsi="David" w:cs="David"/>
          <w:sz w:val="24"/>
          <w:szCs w:val="24"/>
        </w:rPr>
      </w:pPr>
      <w:r>
        <w:rPr>
          <w:rFonts w:ascii="David" w:hAnsi="David" w:cs="David"/>
          <w:b/>
          <w:bCs/>
          <w:sz w:val="24"/>
          <w:szCs w:val="24"/>
          <w:rtl/>
        </w:rPr>
        <w:t>קנס בסך 1,000 ₪</w:t>
      </w:r>
      <w:r>
        <w:rPr>
          <w:rFonts w:ascii="David" w:hAnsi="David" w:cs="David"/>
          <w:sz w:val="24"/>
          <w:szCs w:val="24"/>
          <w:rtl/>
        </w:rPr>
        <w:t xml:space="preserve">. הקנס ישולם בתוך 60 יום.  </w:t>
      </w:r>
    </w:p>
    <w:p w14:paraId="0D239254" w14:textId="77777777" w:rsidR="00763370" w:rsidRDefault="00763370" w:rsidP="00763370">
      <w:pPr>
        <w:pStyle w:val="aa"/>
        <w:numPr>
          <w:ilvl w:val="0"/>
          <w:numId w:val="3"/>
        </w:numPr>
        <w:spacing w:after="0" w:line="360" w:lineRule="auto"/>
        <w:jc w:val="both"/>
        <w:rPr>
          <w:rFonts w:ascii="David" w:eastAsia="David" w:hAnsi="David" w:cs="David"/>
          <w:sz w:val="24"/>
          <w:szCs w:val="24"/>
        </w:rPr>
      </w:pPr>
      <w:r>
        <w:rPr>
          <w:rFonts w:ascii="David" w:eastAsia="David" w:hAnsi="David" w:cs="David"/>
          <w:b/>
          <w:bCs/>
          <w:sz w:val="24"/>
          <w:szCs w:val="24"/>
          <w:rtl/>
        </w:rPr>
        <w:t>פסילת רשיון נהיגה למשך 60 יום וזאת על תנאי</w:t>
      </w:r>
      <w:r>
        <w:rPr>
          <w:rFonts w:ascii="David" w:eastAsia="David" w:hAnsi="David" w:cs="David"/>
          <w:sz w:val="24"/>
          <w:szCs w:val="24"/>
          <w:rtl/>
        </w:rPr>
        <w:t xml:space="preserve"> שבמשך שנתיים לא יעבור עבירה לפי פקודת הסמים המסוכנות.</w:t>
      </w:r>
    </w:p>
    <w:p w14:paraId="28B15857" w14:textId="77777777" w:rsidR="00763370" w:rsidRDefault="00763370" w:rsidP="00763370">
      <w:pPr>
        <w:spacing w:line="360" w:lineRule="auto"/>
        <w:jc w:val="both"/>
        <w:rPr>
          <w:rFonts w:ascii="David" w:eastAsia="David" w:hAnsi="David"/>
          <w:u w:val="single"/>
        </w:rPr>
      </w:pPr>
    </w:p>
    <w:p w14:paraId="3696C172" w14:textId="77777777" w:rsidR="00763370" w:rsidRPr="00763370" w:rsidRDefault="00763370" w:rsidP="00763370">
      <w:pPr>
        <w:spacing w:line="360" w:lineRule="auto"/>
        <w:jc w:val="both"/>
        <w:rPr>
          <w:rFonts w:ascii="David" w:eastAsia="Calibri" w:hAnsi="David"/>
          <w:rtl/>
        </w:rPr>
      </w:pPr>
      <w:r>
        <w:rPr>
          <w:rFonts w:ascii="David" w:hAnsi="David"/>
          <w:rtl/>
        </w:rPr>
        <w:t xml:space="preserve">ניתן צו כללי למוצגים לפי שיקול דעת קצין המשטרה. המוצגים יחולטו/יושמדו/יושבו לבעליהם עפ"י החלטת קצין משטרה. </w:t>
      </w:r>
    </w:p>
    <w:p w14:paraId="508802F6" w14:textId="77777777" w:rsidR="00763370" w:rsidRDefault="00763370" w:rsidP="00763370">
      <w:pPr>
        <w:spacing w:line="360" w:lineRule="auto"/>
        <w:jc w:val="both"/>
        <w:rPr>
          <w:rFonts w:ascii="David" w:hAnsi="David"/>
        </w:rPr>
      </w:pPr>
      <w:r>
        <w:rPr>
          <w:rFonts w:ascii="David" w:hAnsi="David"/>
          <w:rtl/>
        </w:rPr>
        <w:t xml:space="preserve">ככל שהופקד פיקדון בתיק או בתיק המעצרים הקשור לתיק זה ובהעדר מניעה על פי דין, יוחזר הפיקדון למפקיד או לידי מי מטעמו עפ"י יפוי כוח. </w:t>
      </w:r>
    </w:p>
    <w:p w14:paraId="0CE67B53" w14:textId="77777777" w:rsidR="00763370" w:rsidRDefault="00763370" w:rsidP="00763370">
      <w:pPr>
        <w:rPr>
          <w:rFonts w:ascii="David" w:hAnsi="David"/>
          <w:rtl/>
        </w:rPr>
      </w:pPr>
      <w:r>
        <w:rPr>
          <w:rFonts w:ascii="David" w:hAnsi="David"/>
          <w:rtl/>
        </w:rPr>
        <w:t>החוב מועבר למרכז לגביית קנסות, אגרות והוצאות ברשות האכיפה והגבייה, בהתאם למועדים והתשלומים שקבע בית המשפט.</w:t>
      </w:r>
    </w:p>
    <w:p w14:paraId="0115DE79" w14:textId="77777777" w:rsidR="00763370" w:rsidRDefault="00763370" w:rsidP="00763370">
      <w:pPr>
        <w:rPr>
          <w:rFonts w:ascii="David" w:hAnsi="David"/>
        </w:rPr>
      </w:pPr>
      <w:r>
        <w:rPr>
          <w:rFonts w:ascii="David" w:hAnsi="David"/>
          <w:rtl/>
        </w:rPr>
        <w:t>ניתן יהיה לשלם את הקנס/ פיצוי/ ההוצאות כעבור שלושה ימים מיום מתן ההחלטה/</w:t>
      </w:r>
      <w:r w:rsidR="00D232E9">
        <w:rPr>
          <w:rFonts w:ascii="David" w:hAnsi="David"/>
          <w:rtl/>
        </w:rPr>
        <w:t xml:space="preserve"> </w:t>
      </w:r>
      <w:r>
        <w:rPr>
          <w:rFonts w:ascii="David" w:hAnsi="David"/>
          <w:rtl/>
        </w:rPr>
        <w:t xml:space="preserve"> גזר הדין לחשבון המרכז לגביית קנסות, אגרות והוצאות ברשות האכיפה והגבייה באחת מהדרכים הבאות:</w:t>
      </w:r>
    </w:p>
    <w:p w14:paraId="3F0467BA" w14:textId="77777777" w:rsidR="00763370" w:rsidRDefault="00763370" w:rsidP="00763370">
      <w:pPr>
        <w:pStyle w:val="aa"/>
        <w:numPr>
          <w:ilvl w:val="0"/>
          <w:numId w:val="4"/>
        </w:numPr>
        <w:spacing w:after="0" w:line="240" w:lineRule="auto"/>
        <w:rPr>
          <w:rFonts w:ascii="David" w:hAnsi="David" w:cs="David"/>
          <w:b/>
          <w:bCs/>
          <w:sz w:val="24"/>
          <w:szCs w:val="24"/>
        </w:rPr>
      </w:pPr>
      <w:r>
        <w:rPr>
          <w:rFonts w:ascii="David" w:hAnsi="David" w:cs="David"/>
          <w:b/>
          <w:bCs/>
          <w:sz w:val="24"/>
          <w:szCs w:val="24"/>
          <w:rtl/>
        </w:rPr>
        <w:t>בכרטיס אשראי</w:t>
      </w:r>
      <w:r>
        <w:rPr>
          <w:rFonts w:ascii="David" w:hAnsi="David" w:cs="David"/>
          <w:sz w:val="24"/>
          <w:szCs w:val="24"/>
          <w:rtl/>
        </w:rPr>
        <w:t xml:space="preserve"> – באתר המקוון של רשות האכיפה והגבייה, </w:t>
      </w:r>
      <w:hyperlink r:id="rId25" w:history="1">
        <w:r>
          <w:rPr>
            <w:rStyle w:val="Hyperlink"/>
            <w:rFonts w:ascii="David" w:hAnsi="David" w:cs="David"/>
            <w:sz w:val="24"/>
            <w:szCs w:val="24"/>
          </w:rPr>
          <w:t>www.eca.gov.il</w:t>
        </w:r>
      </w:hyperlink>
      <w:r>
        <w:rPr>
          <w:rFonts w:ascii="David" w:hAnsi="David" w:cs="David"/>
          <w:sz w:val="24"/>
          <w:szCs w:val="24"/>
        </w:rPr>
        <w:t xml:space="preserve"> </w:t>
      </w:r>
      <w:r w:rsidR="00D232E9">
        <w:rPr>
          <w:rFonts w:ascii="David" w:hAnsi="David" w:cs="David"/>
          <w:sz w:val="24"/>
          <w:szCs w:val="24"/>
          <w:rtl/>
        </w:rPr>
        <w:t xml:space="preserve"> </w:t>
      </w:r>
    </w:p>
    <w:p w14:paraId="270C2503" w14:textId="77777777" w:rsidR="00763370" w:rsidRDefault="00763370" w:rsidP="00763370">
      <w:pPr>
        <w:pStyle w:val="aa"/>
        <w:numPr>
          <w:ilvl w:val="0"/>
          <w:numId w:val="4"/>
        </w:numPr>
        <w:spacing w:after="0" w:line="240" w:lineRule="auto"/>
        <w:rPr>
          <w:rFonts w:ascii="David" w:hAnsi="David" w:cs="David"/>
          <w:b/>
          <w:bCs/>
          <w:sz w:val="24"/>
          <w:szCs w:val="24"/>
        </w:rPr>
      </w:pPr>
      <w:r>
        <w:rPr>
          <w:rFonts w:ascii="David" w:hAnsi="David" w:cs="David"/>
          <w:b/>
          <w:bCs/>
          <w:sz w:val="24"/>
          <w:szCs w:val="24"/>
          <w:rtl/>
        </w:rPr>
        <w:t>מוקד שירות טלפוני בשרות עצמי (מרכז גבייה)</w:t>
      </w:r>
      <w:r w:rsidR="00D232E9">
        <w:rPr>
          <w:rFonts w:ascii="David" w:hAnsi="David" w:cs="David"/>
          <w:b/>
          <w:bCs/>
          <w:sz w:val="24"/>
          <w:szCs w:val="24"/>
          <w:rtl/>
        </w:rPr>
        <w:t xml:space="preserve"> </w:t>
      </w:r>
      <w:r>
        <w:rPr>
          <w:rFonts w:ascii="David" w:hAnsi="David" w:cs="David"/>
          <w:b/>
          <w:bCs/>
          <w:sz w:val="24"/>
          <w:szCs w:val="24"/>
          <w:rtl/>
        </w:rPr>
        <w:t xml:space="preserve"> – בטלפון 35592* או בטלפון 073-2055000</w:t>
      </w:r>
    </w:p>
    <w:p w14:paraId="17F4AC40" w14:textId="77777777" w:rsidR="00763370" w:rsidRDefault="00763370" w:rsidP="00763370">
      <w:pPr>
        <w:pStyle w:val="aa"/>
        <w:numPr>
          <w:ilvl w:val="0"/>
          <w:numId w:val="4"/>
        </w:numPr>
        <w:spacing w:after="0" w:line="240" w:lineRule="auto"/>
        <w:rPr>
          <w:rFonts w:ascii="David" w:hAnsi="David" w:cs="David"/>
          <w:b/>
          <w:bCs/>
          <w:sz w:val="24"/>
          <w:szCs w:val="24"/>
        </w:rPr>
      </w:pPr>
      <w:r>
        <w:rPr>
          <w:rFonts w:ascii="David" w:hAnsi="David" w:cs="David"/>
          <w:b/>
          <w:bCs/>
          <w:sz w:val="24"/>
          <w:szCs w:val="24"/>
          <w:rtl/>
        </w:rPr>
        <w:t>במזומן בכל סניף של בנק הדואר</w:t>
      </w:r>
      <w:r>
        <w:rPr>
          <w:rFonts w:ascii="David" w:hAnsi="David" w:cs="David"/>
          <w:sz w:val="24"/>
          <w:szCs w:val="24"/>
          <w:rtl/>
        </w:rPr>
        <w:t xml:space="preserve"> – בהצגת תעודת זהות בלבד (אין צורך בשוברי תשלום).</w:t>
      </w:r>
    </w:p>
    <w:p w14:paraId="2080C3A8" w14:textId="77777777" w:rsidR="00763370" w:rsidRDefault="00763370" w:rsidP="00763370">
      <w:pPr>
        <w:spacing w:line="480" w:lineRule="auto"/>
        <w:jc w:val="both"/>
        <w:rPr>
          <w:rFonts w:ascii="David" w:hAnsi="David"/>
          <w:rtl/>
        </w:rPr>
      </w:pPr>
    </w:p>
    <w:p w14:paraId="06DEC48C" w14:textId="77777777" w:rsidR="00763370" w:rsidRDefault="00763370" w:rsidP="00763370">
      <w:pPr>
        <w:spacing w:line="480" w:lineRule="auto"/>
        <w:rPr>
          <w:rFonts w:ascii="David" w:hAnsi="David"/>
        </w:rPr>
      </w:pPr>
      <w:r>
        <w:rPr>
          <w:rFonts w:ascii="David" w:hAnsi="David"/>
          <w:b/>
          <w:bCs/>
          <w:u w:val="double"/>
          <w:rtl/>
        </w:rPr>
        <w:t>המזכירות</w:t>
      </w:r>
      <w:r>
        <w:rPr>
          <w:rFonts w:ascii="David" w:hAnsi="David"/>
          <w:rtl/>
        </w:rPr>
        <w:t xml:space="preserve"> תעביר העתק לשירות המבחן ולממונה על עבודות שירות. </w:t>
      </w:r>
    </w:p>
    <w:p w14:paraId="2B26F166" w14:textId="77777777" w:rsidR="00763370" w:rsidRDefault="00763370" w:rsidP="00763370">
      <w:pPr>
        <w:spacing w:line="480" w:lineRule="auto"/>
        <w:jc w:val="both"/>
        <w:rPr>
          <w:rFonts w:ascii="David" w:hAnsi="David"/>
          <w:b/>
          <w:bCs/>
          <w:rtl/>
        </w:rPr>
      </w:pPr>
      <w:r>
        <w:rPr>
          <w:rFonts w:ascii="David" w:hAnsi="David"/>
          <w:b/>
          <w:bCs/>
          <w:rtl/>
        </w:rPr>
        <w:t xml:space="preserve">זכות ערעור לביהמ"ש המחוזי בתוך 45 ימים מהיום. </w:t>
      </w:r>
    </w:p>
    <w:p w14:paraId="100794EC" w14:textId="77777777" w:rsidR="00763370" w:rsidRPr="00545240" w:rsidRDefault="00D232E9" w:rsidP="00763370">
      <w:pPr>
        <w:ind w:left="4320"/>
        <w:rPr>
          <w:rtl/>
        </w:rPr>
      </w:pPr>
      <w:bookmarkStart w:id="8" w:name="Nitan"/>
      <w:r>
        <w:rPr>
          <w:b/>
          <w:bCs/>
          <w:rtl/>
        </w:rPr>
        <w:t xml:space="preserve">ניתן והודע היום י"ז אלול תשפ"ב, 13/09/22, במעמד הנוכחים. </w:t>
      </w:r>
      <w:bookmarkEnd w:id="8"/>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763370" w14:paraId="3A2CCA14" w14:textId="77777777" w:rsidTr="00763370">
        <w:trPr>
          <w:trHeight w:val="316"/>
        </w:trPr>
        <w:tc>
          <w:tcPr>
            <w:tcW w:w="3936" w:type="dxa"/>
            <w:tcBorders>
              <w:top w:val="nil"/>
              <w:left w:val="nil"/>
              <w:bottom w:val="single" w:sz="4" w:space="0" w:color="auto"/>
              <w:right w:val="nil"/>
            </w:tcBorders>
            <w:shd w:val="clear" w:color="auto" w:fill="auto"/>
            <w:vAlign w:val="bottom"/>
          </w:tcPr>
          <w:p w14:paraId="0DE8E46D" w14:textId="77777777" w:rsidR="00763370" w:rsidRDefault="00763370" w:rsidP="00763370">
            <w:pPr>
              <w:jc w:val="center"/>
              <w:rPr>
                <w:rtl/>
              </w:rPr>
            </w:pPr>
          </w:p>
          <w:p w14:paraId="3A8FD009" w14:textId="77777777" w:rsidR="00763370" w:rsidRDefault="00763370" w:rsidP="00763370">
            <w:pPr>
              <w:jc w:val="center"/>
            </w:pPr>
          </w:p>
        </w:tc>
      </w:tr>
      <w:tr w:rsidR="00763370" w14:paraId="44480E01" w14:textId="77777777" w:rsidTr="00763370">
        <w:trPr>
          <w:trHeight w:val="361"/>
        </w:trPr>
        <w:tc>
          <w:tcPr>
            <w:tcW w:w="3936" w:type="dxa"/>
            <w:tcBorders>
              <w:top w:val="single" w:sz="4" w:space="0" w:color="auto"/>
              <w:left w:val="nil"/>
              <w:bottom w:val="nil"/>
              <w:right w:val="nil"/>
            </w:tcBorders>
            <w:shd w:val="clear" w:color="auto" w:fill="auto"/>
          </w:tcPr>
          <w:p w14:paraId="63512ED1" w14:textId="77777777" w:rsidR="00763370" w:rsidRPr="00763370" w:rsidRDefault="00763370" w:rsidP="00763370">
            <w:pPr>
              <w:jc w:val="center"/>
              <w:rPr>
                <w:b/>
                <w:bCs/>
                <w:rtl/>
              </w:rPr>
            </w:pPr>
            <w:r w:rsidRPr="00763370">
              <w:rPr>
                <w:rFonts w:hint="cs"/>
                <w:b/>
                <w:bCs/>
                <w:rtl/>
              </w:rPr>
              <w:t>נעה תבור, שופטת</w:t>
            </w:r>
          </w:p>
          <w:p w14:paraId="3C7DE1B1" w14:textId="77777777" w:rsidR="00763370" w:rsidRPr="00763370" w:rsidRDefault="00763370" w:rsidP="00763370">
            <w:pPr>
              <w:jc w:val="center"/>
              <w:rPr>
                <w:b/>
                <w:bCs/>
                <w:rtl/>
              </w:rPr>
            </w:pPr>
            <w:r w:rsidRPr="00763370">
              <w:rPr>
                <w:rFonts w:hint="cs"/>
                <w:b/>
                <w:bCs/>
                <w:rtl/>
              </w:rPr>
              <w:t>סגנית נשיא</w:t>
            </w:r>
          </w:p>
        </w:tc>
      </w:tr>
    </w:tbl>
    <w:p w14:paraId="1B4E19E0" w14:textId="77777777" w:rsidR="00763370" w:rsidRPr="00D232E9" w:rsidRDefault="00D232E9" w:rsidP="00763370">
      <w:pPr>
        <w:rPr>
          <w:rFonts w:ascii="David" w:hAnsi="David"/>
          <w:color w:val="FFFFFF"/>
          <w:sz w:val="2"/>
          <w:szCs w:val="2"/>
          <w:rtl/>
        </w:rPr>
      </w:pPr>
      <w:r w:rsidRPr="00D232E9">
        <w:rPr>
          <w:rFonts w:ascii="David" w:hAnsi="David"/>
          <w:color w:val="FFFFFF"/>
          <w:sz w:val="2"/>
          <w:szCs w:val="2"/>
          <w:rtl/>
        </w:rPr>
        <w:t>5129371</w:t>
      </w:r>
    </w:p>
    <w:p w14:paraId="1E43743A" w14:textId="77777777" w:rsidR="00763370" w:rsidRPr="00D232E9" w:rsidRDefault="00D232E9" w:rsidP="00763370">
      <w:pPr>
        <w:rPr>
          <w:color w:val="FFFFFF"/>
          <w:sz w:val="2"/>
          <w:szCs w:val="2"/>
          <w:rtl/>
        </w:rPr>
      </w:pPr>
      <w:r w:rsidRPr="00D232E9">
        <w:rPr>
          <w:color w:val="FFFFFF"/>
          <w:sz w:val="2"/>
          <w:szCs w:val="2"/>
          <w:rtl/>
        </w:rPr>
        <w:t>54678313</w:t>
      </w:r>
    </w:p>
    <w:p w14:paraId="1CCEA459" w14:textId="77777777" w:rsidR="00763370" w:rsidRDefault="00763370" w:rsidP="00763370">
      <w:pPr>
        <w:spacing w:line="360" w:lineRule="auto"/>
        <w:ind w:left="720" w:hanging="720"/>
        <w:jc w:val="center"/>
        <w:rPr>
          <w:rtl/>
        </w:rPr>
      </w:pPr>
    </w:p>
    <w:p w14:paraId="3E83A48D" w14:textId="77777777" w:rsidR="00763370" w:rsidRDefault="00763370" w:rsidP="00763370">
      <w:pPr>
        <w:spacing w:line="480" w:lineRule="auto"/>
        <w:jc w:val="both"/>
        <w:rPr>
          <w:rFonts w:ascii="David" w:hAnsi="David"/>
          <w:b/>
          <w:bCs/>
          <w:rtl/>
        </w:rPr>
      </w:pPr>
    </w:p>
    <w:p w14:paraId="5B4C943B" w14:textId="77777777" w:rsidR="00763370" w:rsidRDefault="00763370" w:rsidP="00763370">
      <w:pPr>
        <w:pStyle w:val="aa"/>
        <w:spacing w:line="360" w:lineRule="auto"/>
        <w:ind w:left="-58"/>
        <w:jc w:val="both"/>
        <w:rPr>
          <w:rFonts w:ascii="David" w:hAnsi="David" w:cs="David"/>
          <w:sz w:val="24"/>
          <w:szCs w:val="24"/>
          <w:rtl/>
        </w:rPr>
      </w:pPr>
    </w:p>
    <w:p w14:paraId="23DF8190" w14:textId="77777777" w:rsidR="00763370" w:rsidRPr="00B05847" w:rsidRDefault="00763370" w:rsidP="00763370">
      <w:pPr>
        <w:spacing w:line="360" w:lineRule="auto"/>
        <w:rPr>
          <w:rFonts w:ascii="Arial" w:hAnsi="Arial"/>
          <w:rtl/>
        </w:rPr>
      </w:pPr>
    </w:p>
    <w:p w14:paraId="507A3AE4" w14:textId="77777777" w:rsidR="009F373D" w:rsidRPr="00D232E9" w:rsidRDefault="009F373D" w:rsidP="00D232E9">
      <w:pPr>
        <w:keepNext/>
        <w:rPr>
          <w:rFonts w:ascii="David" w:hAnsi="David"/>
          <w:color w:val="000000"/>
          <w:sz w:val="22"/>
          <w:szCs w:val="22"/>
          <w:rtl/>
        </w:rPr>
      </w:pPr>
    </w:p>
    <w:p w14:paraId="7C3224E6" w14:textId="77777777" w:rsidR="00D232E9" w:rsidRPr="00D232E9" w:rsidRDefault="00D232E9" w:rsidP="00D232E9">
      <w:pPr>
        <w:keepNext/>
        <w:rPr>
          <w:rFonts w:ascii="David" w:hAnsi="David"/>
          <w:color w:val="000000"/>
          <w:sz w:val="22"/>
          <w:szCs w:val="22"/>
          <w:rtl/>
        </w:rPr>
      </w:pPr>
      <w:r w:rsidRPr="00D232E9">
        <w:rPr>
          <w:rFonts w:ascii="David" w:hAnsi="David"/>
          <w:color w:val="000000"/>
          <w:sz w:val="22"/>
          <w:szCs w:val="22"/>
          <w:rtl/>
        </w:rPr>
        <w:t>נעה תבור 54678313</w:t>
      </w:r>
    </w:p>
    <w:p w14:paraId="2ABE9739" w14:textId="77777777" w:rsidR="00D232E9" w:rsidRDefault="00D232E9" w:rsidP="00D232E9">
      <w:r w:rsidRPr="00D232E9">
        <w:rPr>
          <w:color w:val="000000"/>
          <w:rtl/>
        </w:rPr>
        <w:t>נוסח מסמך זה כפוף לשינויי ניסוח ועריכה</w:t>
      </w:r>
    </w:p>
    <w:p w14:paraId="6CBC2F5C" w14:textId="77777777" w:rsidR="00D232E9" w:rsidRDefault="00D232E9" w:rsidP="00D232E9">
      <w:pPr>
        <w:rPr>
          <w:rtl/>
        </w:rPr>
      </w:pPr>
    </w:p>
    <w:p w14:paraId="0A71CB78" w14:textId="77777777" w:rsidR="00D232E9" w:rsidRDefault="00D232E9" w:rsidP="00D232E9">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4A977590" w14:textId="77777777" w:rsidR="00D232E9" w:rsidRPr="00D232E9" w:rsidRDefault="00D232E9" w:rsidP="00D232E9">
      <w:pPr>
        <w:jc w:val="center"/>
        <w:rPr>
          <w:color w:val="0000FF"/>
          <w:u w:val="single"/>
        </w:rPr>
      </w:pPr>
    </w:p>
    <w:sectPr w:rsidR="00D232E9" w:rsidRPr="00D232E9" w:rsidSect="00D232E9">
      <w:headerReference w:type="even" r:id="rId27"/>
      <w:headerReference w:type="default" r:id="rId28"/>
      <w:footerReference w:type="even" r:id="rId29"/>
      <w:footerReference w:type="default" r:id="rId3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35753" w14:textId="77777777" w:rsidR="002700D6" w:rsidRDefault="002700D6" w:rsidP="00BE72F2">
      <w:r>
        <w:separator/>
      </w:r>
    </w:p>
  </w:endnote>
  <w:endnote w:type="continuationSeparator" w:id="0">
    <w:p w14:paraId="15FE41BC" w14:textId="77777777" w:rsidR="002700D6" w:rsidRDefault="002700D6" w:rsidP="00BE7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88361" w14:textId="77777777" w:rsidR="00D232E9" w:rsidRDefault="00D232E9" w:rsidP="00D232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3D4F282" w14:textId="77777777" w:rsidR="00D06446" w:rsidRPr="00D232E9" w:rsidRDefault="00D232E9" w:rsidP="00D232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1E3B1" w14:textId="77777777" w:rsidR="00D232E9" w:rsidRDefault="00D232E9" w:rsidP="00D232E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6388">
      <w:rPr>
        <w:rFonts w:ascii="FrankRuehl" w:hAnsi="FrankRuehl" w:cs="FrankRuehl"/>
        <w:noProof/>
        <w:rtl/>
      </w:rPr>
      <w:t>1</w:t>
    </w:r>
    <w:r>
      <w:rPr>
        <w:rFonts w:ascii="FrankRuehl" w:hAnsi="FrankRuehl" w:cs="FrankRuehl"/>
        <w:rtl/>
      </w:rPr>
      <w:fldChar w:fldCharType="end"/>
    </w:r>
  </w:p>
  <w:p w14:paraId="3E18F962" w14:textId="77777777" w:rsidR="00D06446" w:rsidRPr="00D232E9" w:rsidRDefault="00D232E9" w:rsidP="00D232E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AA4B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CA013" w14:textId="77777777" w:rsidR="002700D6" w:rsidRDefault="002700D6" w:rsidP="00BE72F2">
      <w:r>
        <w:separator/>
      </w:r>
    </w:p>
  </w:footnote>
  <w:footnote w:type="continuationSeparator" w:id="0">
    <w:p w14:paraId="05528A4C" w14:textId="77777777" w:rsidR="002700D6" w:rsidRDefault="002700D6" w:rsidP="00BE7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F8DBE" w14:textId="77777777" w:rsidR="00D232E9" w:rsidRPr="00D232E9" w:rsidRDefault="00D232E9" w:rsidP="00D232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1873-07-21</w:t>
    </w:r>
    <w:r>
      <w:rPr>
        <w:rFonts w:ascii="David" w:hAnsi="David"/>
        <w:color w:val="000000"/>
        <w:sz w:val="22"/>
        <w:szCs w:val="22"/>
        <w:rtl/>
      </w:rPr>
      <w:tab/>
      <w:t xml:space="preserve"> מדינת ישראל נ' דורון טרייסון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54FA" w14:textId="77777777" w:rsidR="00D232E9" w:rsidRPr="00D232E9" w:rsidRDefault="00D232E9" w:rsidP="00D232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1873-07-21</w:t>
    </w:r>
    <w:r>
      <w:rPr>
        <w:rFonts w:ascii="David" w:hAnsi="David"/>
        <w:color w:val="000000"/>
        <w:sz w:val="22"/>
        <w:szCs w:val="22"/>
        <w:rtl/>
      </w:rPr>
      <w:tab/>
      <w:t xml:space="preserve"> מדינת ישראל נ' דורון טרייסון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CC949FC"/>
    <w:multiLevelType w:val="hybridMultilevel"/>
    <w:tmpl w:val="F33032DE"/>
    <w:lvl w:ilvl="0" w:tplc="BAF606B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D355491"/>
    <w:multiLevelType w:val="hybridMultilevel"/>
    <w:tmpl w:val="075A577E"/>
    <w:lvl w:ilvl="0" w:tplc="D3B8CB4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49285AB6"/>
    <w:multiLevelType w:val="hybridMultilevel"/>
    <w:tmpl w:val="5C882FE6"/>
    <w:lvl w:ilvl="0" w:tplc="B002B71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693033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97527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98909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88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3370"/>
    <w:rsid w:val="001B5A3B"/>
    <w:rsid w:val="00213133"/>
    <w:rsid w:val="0026586A"/>
    <w:rsid w:val="002700D6"/>
    <w:rsid w:val="0038353B"/>
    <w:rsid w:val="006912C7"/>
    <w:rsid w:val="006D6388"/>
    <w:rsid w:val="00763370"/>
    <w:rsid w:val="007E1FDE"/>
    <w:rsid w:val="00810C96"/>
    <w:rsid w:val="008A024A"/>
    <w:rsid w:val="009F373D"/>
    <w:rsid w:val="00BE72F2"/>
    <w:rsid w:val="00D06446"/>
    <w:rsid w:val="00D232E9"/>
    <w:rsid w:val="00F37E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5F1895"/>
  <w15:chartTrackingRefBased/>
  <w15:docId w15:val="{79BAC738-1D41-473C-A9F9-E94CF40F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6337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63370"/>
    <w:pPr>
      <w:tabs>
        <w:tab w:val="center" w:pos="4153"/>
        <w:tab w:val="right" w:pos="8306"/>
      </w:tabs>
    </w:pPr>
  </w:style>
  <w:style w:type="character" w:customStyle="1" w:styleId="a4">
    <w:name w:val="כותרת עליונה תו"/>
    <w:link w:val="a3"/>
    <w:rsid w:val="00763370"/>
    <w:rPr>
      <w:rFonts w:ascii="Times New Roman" w:eastAsia="Times New Roman" w:hAnsi="Times New Roman" w:cs="David"/>
      <w:sz w:val="24"/>
      <w:szCs w:val="24"/>
    </w:rPr>
  </w:style>
  <w:style w:type="paragraph" w:styleId="a5">
    <w:name w:val="footer"/>
    <w:basedOn w:val="a"/>
    <w:link w:val="a6"/>
    <w:rsid w:val="00763370"/>
    <w:pPr>
      <w:tabs>
        <w:tab w:val="center" w:pos="4153"/>
        <w:tab w:val="right" w:pos="8306"/>
      </w:tabs>
    </w:pPr>
  </w:style>
  <w:style w:type="character" w:customStyle="1" w:styleId="a6">
    <w:name w:val="כותרת תחתונה תו"/>
    <w:link w:val="a5"/>
    <w:rsid w:val="00763370"/>
    <w:rPr>
      <w:rFonts w:ascii="Times New Roman" w:eastAsia="Times New Roman" w:hAnsi="Times New Roman" w:cs="David"/>
      <w:sz w:val="24"/>
      <w:szCs w:val="24"/>
    </w:rPr>
  </w:style>
  <w:style w:type="table" w:styleId="a7">
    <w:name w:val="Table Grid"/>
    <w:basedOn w:val="a1"/>
    <w:rsid w:val="0076337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63370"/>
  </w:style>
  <w:style w:type="character" w:styleId="Hyperlink">
    <w:name w:val="Hyperlink"/>
    <w:rsid w:val="00763370"/>
    <w:rPr>
      <w:color w:val="0000FF"/>
      <w:u w:val="single"/>
    </w:rPr>
  </w:style>
  <w:style w:type="character" w:customStyle="1" w:styleId="a9">
    <w:name w:val="פיסקת רשימה תו"/>
    <w:link w:val="aa"/>
    <w:locked/>
    <w:rsid w:val="00763370"/>
  </w:style>
  <w:style w:type="paragraph" w:styleId="aa">
    <w:name w:val="List Paragraph"/>
    <w:basedOn w:val="a"/>
    <w:link w:val="a9"/>
    <w:qFormat/>
    <w:rsid w:val="00763370"/>
    <w:pPr>
      <w:spacing w:after="160" w:line="256" w:lineRule="auto"/>
      <w:ind w:left="720"/>
      <w:contextualSpacing/>
    </w:pPr>
    <w:rPr>
      <w:rFonts w:ascii="Calibri" w:eastAsia="Calibri" w:hAnsi="Calibri" w:cs="Arial"/>
      <w:sz w:val="22"/>
      <w:szCs w:val="22"/>
    </w:rPr>
  </w:style>
  <w:style w:type="paragraph" w:customStyle="1" w:styleId="ruller5">
    <w:name w:val="ruller5"/>
    <w:basedOn w:val="a"/>
    <w:rsid w:val="00763370"/>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24492956" TargetMode="External"/><Relationship Id="rId18" Type="http://schemas.openxmlformats.org/officeDocument/2006/relationships/hyperlink" Target="http://www.nevo.co.il/case/20632055"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5004045" TargetMode="External"/><Relationship Id="rId7" Type="http://schemas.openxmlformats.org/officeDocument/2006/relationships/hyperlink" Target="http://www.nevo.co.il/law/4216" TargetMode="External"/><Relationship Id="rId12" Type="http://schemas.openxmlformats.org/officeDocument/2006/relationships/hyperlink" Target="http://www.nevo.co.il/case/25191250" TargetMode="External"/><Relationship Id="rId17" Type="http://schemas.openxmlformats.org/officeDocument/2006/relationships/hyperlink" Target="http://www.nevo.co.il/case/16941543" TargetMode="External"/><Relationship Id="rId25" Type="http://schemas.openxmlformats.org/officeDocument/2006/relationships/hyperlink" Target="http://www.eca.gov.il" TargetMode="External"/><Relationship Id="rId2" Type="http://schemas.openxmlformats.org/officeDocument/2006/relationships/styles" Target="styles.xml"/><Relationship Id="rId16" Type="http://schemas.openxmlformats.org/officeDocument/2006/relationships/hyperlink" Target="http://www.nevo.co.il/case/6552365" TargetMode="External"/><Relationship Id="rId20" Type="http://schemas.openxmlformats.org/officeDocument/2006/relationships/hyperlink" Target="http://www.nevo.co.il/case/26503459"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810781"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6900367" TargetMode="External"/><Relationship Id="rId23" Type="http://schemas.openxmlformats.org/officeDocument/2006/relationships/hyperlink" Target="http://www.nevo.co.il/law/4216" TargetMode="External"/><Relationship Id="rId28"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hyperlink" Target="http://www.nevo.co.il/case/2354196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5603186" TargetMode="External"/><Relationship Id="rId22" Type="http://schemas.openxmlformats.org/officeDocument/2006/relationships/hyperlink" Target="http://www.nevo.co.il/case/22695863"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2638</Words>
  <Characters>13195</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15802</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7864368</vt:i4>
      </vt:variant>
      <vt:variant>
        <vt:i4>54</vt:i4>
      </vt:variant>
      <vt:variant>
        <vt:i4>0</vt:i4>
      </vt:variant>
      <vt:variant>
        <vt:i4>5</vt:i4>
      </vt:variant>
      <vt:variant>
        <vt:lpwstr>http://www.eca.gov.il/</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3604599</vt:i4>
      </vt:variant>
      <vt:variant>
        <vt:i4>45</vt:i4>
      </vt:variant>
      <vt:variant>
        <vt:i4>0</vt:i4>
      </vt:variant>
      <vt:variant>
        <vt:i4>5</vt:i4>
      </vt:variant>
      <vt:variant>
        <vt:lpwstr>http://www.nevo.co.il/case/22695863</vt:lpwstr>
      </vt:variant>
      <vt:variant>
        <vt:lpwstr/>
      </vt:variant>
      <vt:variant>
        <vt:i4>3276913</vt:i4>
      </vt:variant>
      <vt:variant>
        <vt:i4>42</vt:i4>
      </vt:variant>
      <vt:variant>
        <vt:i4>0</vt:i4>
      </vt:variant>
      <vt:variant>
        <vt:i4>5</vt:i4>
      </vt:variant>
      <vt:variant>
        <vt:lpwstr>http://www.nevo.co.il/case/25004045</vt:lpwstr>
      </vt:variant>
      <vt:variant>
        <vt:lpwstr/>
      </vt:variant>
      <vt:variant>
        <vt:i4>3211382</vt:i4>
      </vt:variant>
      <vt:variant>
        <vt:i4>39</vt:i4>
      </vt:variant>
      <vt:variant>
        <vt:i4>0</vt:i4>
      </vt:variant>
      <vt:variant>
        <vt:i4>5</vt:i4>
      </vt:variant>
      <vt:variant>
        <vt:lpwstr>http://www.nevo.co.il/case/26503459</vt:lpwstr>
      </vt:variant>
      <vt:variant>
        <vt:lpwstr/>
      </vt:variant>
      <vt:variant>
        <vt:i4>3145850</vt:i4>
      </vt:variant>
      <vt:variant>
        <vt:i4>36</vt:i4>
      </vt:variant>
      <vt:variant>
        <vt:i4>0</vt:i4>
      </vt:variant>
      <vt:variant>
        <vt:i4>5</vt:i4>
      </vt:variant>
      <vt:variant>
        <vt:lpwstr>http://www.nevo.co.il/case/23541967</vt:lpwstr>
      </vt:variant>
      <vt:variant>
        <vt:lpwstr/>
      </vt:variant>
      <vt:variant>
        <vt:i4>3342455</vt:i4>
      </vt:variant>
      <vt:variant>
        <vt:i4>33</vt:i4>
      </vt:variant>
      <vt:variant>
        <vt:i4>0</vt:i4>
      </vt:variant>
      <vt:variant>
        <vt:i4>5</vt:i4>
      </vt:variant>
      <vt:variant>
        <vt:lpwstr>http://www.nevo.co.il/case/20632055</vt:lpwstr>
      </vt:variant>
      <vt:variant>
        <vt:lpwstr/>
      </vt:variant>
      <vt:variant>
        <vt:i4>3997811</vt:i4>
      </vt:variant>
      <vt:variant>
        <vt:i4>30</vt:i4>
      </vt:variant>
      <vt:variant>
        <vt:i4>0</vt:i4>
      </vt:variant>
      <vt:variant>
        <vt:i4>5</vt:i4>
      </vt:variant>
      <vt:variant>
        <vt:lpwstr>http://www.nevo.co.il/case/16941543</vt:lpwstr>
      </vt:variant>
      <vt:variant>
        <vt:lpwstr/>
      </vt:variant>
      <vt:variant>
        <vt:i4>3473525</vt:i4>
      </vt:variant>
      <vt:variant>
        <vt:i4>27</vt:i4>
      </vt:variant>
      <vt:variant>
        <vt:i4>0</vt:i4>
      </vt:variant>
      <vt:variant>
        <vt:i4>5</vt:i4>
      </vt:variant>
      <vt:variant>
        <vt:lpwstr>http://www.nevo.co.il/case/6552365</vt:lpwstr>
      </vt:variant>
      <vt:variant>
        <vt:lpwstr/>
      </vt:variant>
      <vt:variant>
        <vt:i4>4063345</vt:i4>
      </vt:variant>
      <vt:variant>
        <vt:i4>24</vt:i4>
      </vt:variant>
      <vt:variant>
        <vt:i4>0</vt:i4>
      </vt:variant>
      <vt:variant>
        <vt:i4>5</vt:i4>
      </vt:variant>
      <vt:variant>
        <vt:lpwstr>http://www.nevo.co.il/case/16900367</vt:lpwstr>
      </vt:variant>
      <vt:variant>
        <vt:lpwstr/>
      </vt:variant>
      <vt:variant>
        <vt:i4>3276921</vt:i4>
      </vt:variant>
      <vt:variant>
        <vt:i4>21</vt:i4>
      </vt:variant>
      <vt:variant>
        <vt:i4>0</vt:i4>
      </vt:variant>
      <vt:variant>
        <vt:i4>5</vt:i4>
      </vt:variant>
      <vt:variant>
        <vt:lpwstr>http://www.nevo.co.il/case/5603186</vt:lpwstr>
      </vt:variant>
      <vt:variant>
        <vt:lpwstr/>
      </vt:variant>
      <vt:variant>
        <vt:i4>3211376</vt:i4>
      </vt:variant>
      <vt:variant>
        <vt:i4>18</vt:i4>
      </vt:variant>
      <vt:variant>
        <vt:i4>0</vt:i4>
      </vt:variant>
      <vt:variant>
        <vt:i4>5</vt:i4>
      </vt:variant>
      <vt:variant>
        <vt:lpwstr>http://www.nevo.co.il/case/24492956</vt:lpwstr>
      </vt:variant>
      <vt:variant>
        <vt:lpwstr/>
      </vt:variant>
      <vt:variant>
        <vt:i4>3604602</vt:i4>
      </vt:variant>
      <vt:variant>
        <vt:i4>15</vt:i4>
      </vt:variant>
      <vt:variant>
        <vt:i4>0</vt:i4>
      </vt:variant>
      <vt:variant>
        <vt:i4>5</vt:i4>
      </vt:variant>
      <vt:variant>
        <vt:lpwstr>http://www.nevo.co.il/case/25191250</vt:lpwstr>
      </vt:variant>
      <vt:variant>
        <vt:lpwstr/>
      </vt:variant>
      <vt:variant>
        <vt:i4>3276916</vt:i4>
      </vt:variant>
      <vt:variant>
        <vt:i4>12</vt:i4>
      </vt:variant>
      <vt:variant>
        <vt:i4>0</vt:i4>
      </vt:variant>
      <vt:variant>
        <vt:i4>5</vt:i4>
      </vt:variant>
      <vt:variant>
        <vt:lpwstr>http://www.nevo.co.il/case/5810781</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2025-04-23T01:06:00Z</dcterms:created>
  <dcterms:modified xsi:type="dcterms:W3CDTF">2025-04-23T01:06:00Z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1873</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דורון טרייסון</vt:lpwstr>
  </property>
  <property fmtid="{D5CDD505-2E9C-101B-9397-08002B2CF9AE}" pid="10" name="LAWYER">
    <vt:lpwstr>שירן ג'ובאני;ירון דוד</vt:lpwstr>
  </property>
  <property fmtid="{D5CDD505-2E9C-101B-9397-08002B2CF9AE}" pid="11" name="JUDGE">
    <vt:lpwstr>נעה תבור</vt:lpwstr>
  </property>
  <property fmtid="{D5CDD505-2E9C-101B-9397-08002B2CF9AE}" pid="12" name="CITY">
    <vt:lpwstr>ת"א</vt:lpwstr>
  </property>
  <property fmtid="{D5CDD505-2E9C-101B-9397-08002B2CF9AE}" pid="13" name="DATE">
    <vt:lpwstr>20220913</vt:lpwstr>
  </property>
  <property fmtid="{D5CDD505-2E9C-101B-9397-08002B2CF9AE}" pid="14" name="TYPE_N_DATE">
    <vt:lpwstr>38020220913</vt:lpwstr>
  </property>
  <property fmtid="{D5CDD505-2E9C-101B-9397-08002B2CF9AE}" pid="15" name="WORDNUMPAGES">
    <vt:lpwstr>8</vt:lpwstr>
  </property>
  <property fmtid="{D5CDD505-2E9C-101B-9397-08002B2CF9AE}" pid="16" name="TYPE_ABS_DATE">
    <vt:lpwstr>380020220913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5810781;25191250;24492956;5603186;16900367;6552365;16941543;20632055;23541967;26503459;25004045;22695863</vt:lpwstr>
  </property>
  <property fmtid="{D5CDD505-2E9C-101B-9397-08002B2CF9AE}" pid="36" name="LAWLISTTMP1">
    <vt:lpwstr>4216/006</vt:lpwstr>
  </property>
</Properties>
</file>