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F4EE7" w:rsidRPr="00043A9F" w14:paraId="3FBA3644" w14:textId="77777777" w:rsidTr="007D3C99">
        <w:trPr>
          <w:trHeight w:hRule="exact" w:val="418"/>
          <w:jc w:val="center"/>
        </w:trPr>
        <w:tc>
          <w:tcPr>
            <w:tcW w:w="8721" w:type="dxa"/>
            <w:gridSpan w:val="2"/>
          </w:tcPr>
          <w:p w14:paraId="623FAC19" w14:textId="77777777" w:rsidR="007F4EE7" w:rsidRPr="00043A9F" w:rsidRDefault="007F4EE7" w:rsidP="00F65A56">
            <w:pPr>
              <w:pStyle w:val="a3"/>
              <w:jc w:val="center"/>
              <w:rPr>
                <w:rFonts w:ascii="Tahoma" w:hAnsi="Tahoma" w:cs="Tahoma"/>
                <w:color w:val="000080"/>
                <w:rtl/>
              </w:rPr>
            </w:pPr>
            <w:bookmarkStart w:id="0" w:name="LastJudge"/>
            <w:r w:rsidRPr="00043A9F">
              <w:rPr>
                <w:rFonts w:ascii="Tahoma" w:hAnsi="Tahoma" w:cs="Tahoma"/>
                <w:b/>
                <w:bCs/>
                <w:color w:val="000080"/>
                <w:rtl/>
              </w:rPr>
              <w:t>בית משפט השלום בנצרת</w:t>
            </w:r>
          </w:p>
        </w:tc>
      </w:tr>
      <w:tr w:rsidR="007F4EE7" w:rsidRPr="00043A9F" w14:paraId="3EC0B693" w14:textId="77777777" w:rsidTr="007D3C99">
        <w:trPr>
          <w:trHeight w:val="337"/>
          <w:jc w:val="center"/>
        </w:trPr>
        <w:tc>
          <w:tcPr>
            <w:tcW w:w="5054" w:type="dxa"/>
          </w:tcPr>
          <w:p w14:paraId="65C099DB" w14:textId="77777777" w:rsidR="007F4EE7" w:rsidRPr="00043A9F" w:rsidRDefault="007F4EE7" w:rsidP="00F65A56">
            <w:pPr>
              <w:rPr>
                <w:rFonts w:cs="FrankRuehl"/>
                <w:sz w:val="28"/>
                <w:szCs w:val="28"/>
                <w:rtl/>
              </w:rPr>
            </w:pPr>
            <w:r w:rsidRPr="00043A9F">
              <w:rPr>
                <w:rFonts w:cs="FrankRuehl"/>
                <w:sz w:val="28"/>
                <w:szCs w:val="28"/>
                <w:rtl/>
              </w:rPr>
              <w:t>ת"פ</w:t>
            </w:r>
            <w:r w:rsidRPr="00043A9F">
              <w:rPr>
                <w:rFonts w:cs="FrankRuehl" w:hint="cs"/>
                <w:sz w:val="28"/>
                <w:szCs w:val="28"/>
                <w:rtl/>
              </w:rPr>
              <w:t xml:space="preserve"> </w:t>
            </w:r>
            <w:r w:rsidRPr="00043A9F">
              <w:rPr>
                <w:rFonts w:cs="FrankRuehl"/>
                <w:sz w:val="28"/>
                <w:szCs w:val="28"/>
                <w:rtl/>
              </w:rPr>
              <w:t>48404-07-21</w:t>
            </w:r>
            <w:r w:rsidRPr="00043A9F">
              <w:rPr>
                <w:rFonts w:cs="FrankRuehl" w:hint="cs"/>
                <w:sz w:val="28"/>
                <w:szCs w:val="28"/>
                <w:rtl/>
              </w:rPr>
              <w:t xml:space="preserve"> </w:t>
            </w:r>
            <w:r w:rsidRPr="00043A9F">
              <w:rPr>
                <w:rFonts w:cs="FrankRuehl"/>
                <w:sz w:val="28"/>
                <w:szCs w:val="28"/>
                <w:rtl/>
              </w:rPr>
              <w:t>מדינת ישראל נ' וונדה</w:t>
            </w:r>
          </w:p>
          <w:p w14:paraId="28DB4784" w14:textId="77777777" w:rsidR="007F4EE7" w:rsidRPr="00043A9F" w:rsidRDefault="007F4EE7" w:rsidP="00F65A56">
            <w:pPr>
              <w:pStyle w:val="a3"/>
              <w:rPr>
                <w:rFonts w:cs="FrankRuehl"/>
                <w:sz w:val="28"/>
                <w:szCs w:val="28"/>
                <w:rtl/>
              </w:rPr>
            </w:pPr>
          </w:p>
        </w:tc>
        <w:tc>
          <w:tcPr>
            <w:tcW w:w="3667" w:type="dxa"/>
          </w:tcPr>
          <w:p w14:paraId="7F536E70" w14:textId="77777777" w:rsidR="007F4EE7" w:rsidRPr="00043A9F" w:rsidRDefault="007F4EE7" w:rsidP="00F65A56">
            <w:pPr>
              <w:pStyle w:val="a3"/>
              <w:jc w:val="right"/>
              <w:rPr>
                <w:rFonts w:cs="FrankRuehl"/>
                <w:sz w:val="28"/>
                <w:szCs w:val="28"/>
                <w:rtl/>
              </w:rPr>
            </w:pPr>
          </w:p>
        </w:tc>
      </w:tr>
    </w:tbl>
    <w:p w14:paraId="0228F0DC" w14:textId="77777777" w:rsidR="007F4EE7" w:rsidRPr="00043A9F" w:rsidRDefault="007F4EE7" w:rsidP="007F4EE7">
      <w:pPr>
        <w:pStyle w:val="a3"/>
        <w:rPr>
          <w:rtl/>
        </w:rPr>
      </w:pPr>
      <w:r w:rsidRPr="00043A9F">
        <w:rPr>
          <w:rFonts w:hint="cs"/>
          <w:rtl/>
        </w:rPr>
        <w:t xml:space="preserve"> </w:t>
      </w:r>
    </w:p>
    <w:p w14:paraId="77ACD806" w14:textId="77777777" w:rsidR="007F4EE7" w:rsidRPr="00043A9F" w:rsidRDefault="007F4EE7" w:rsidP="007F4EE7">
      <w:pPr>
        <w:rPr>
          <w:rtl/>
        </w:rPr>
      </w:pPr>
    </w:p>
    <w:p w14:paraId="3CE84F8D" w14:textId="77777777" w:rsidR="007F4EE7" w:rsidRPr="00043A9F" w:rsidRDefault="007F4EE7" w:rsidP="007F4EE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F4EE7" w:rsidRPr="00043A9F" w14:paraId="6231D489" w14:textId="77777777" w:rsidTr="007F4EE7">
        <w:trPr>
          <w:trHeight w:val="295"/>
          <w:jc w:val="center"/>
        </w:trPr>
        <w:tc>
          <w:tcPr>
            <w:tcW w:w="923" w:type="dxa"/>
            <w:tcBorders>
              <w:top w:val="nil"/>
              <w:left w:val="nil"/>
              <w:bottom w:val="nil"/>
              <w:right w:val="nil"/>
            </w:tcBorders>
            <w:shd w:val="clear" w:color="auto" w:fill="auto"/>
          </w:tcPr>
          <w:p w14:paraId="374097E2" w14:textId="77777777" w:rsidR="007F4EE7" w:rsidRPr="00043A9F" w:rsidRDefault="007F4EE7" w:rsidP="007F4EE7">
            <w:pPr>
              <w:jc w:val="both"/>
              <w:rPr>
                <w:rFonts w:ascii="David" w:hAnsi="David"/>
                <w:sz w:val="26"/>
                <w:szCs w:val="26"/>
              </w:rPr>
            </w:pPr>
            <w:r w:rsidRPr="00043A9F">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40F93C4" w14:textId="77777777" w:rsidR="007F4EE7" w:rsidRPr="00043A9F" w:rsidRDefault="007F4EE7" w:rsidP="00F65A56">
            <w:pPr>
              <w:rPr>
                <w:rFonts w:ascii="David" w:hAnsi="David"/>
                <w:b/>
                <w:bCs/>
                <w:sz w:val="26"/>
                <w:szCs w:val="26"/>
                <w:rtl/>
              </w:rPr>
            </w:pPr>
            <w:r w:rsidRPr="00043A9F">
              <w:rPr>
                <w:rFonts w:ascii="David" w:hAnsi="David"/>
                <w:b/>
                <w:bCs/>
                <w:sz w:val="26"/>
                <w:szCs w:val="26"/>
                <w:rtl/>
              </w:rPr>
              <w:t>כבוד השופטת  רות שפילברג כהן</w:t>
            </w:r>
          </w:p>
          <w:p w14:paraId="24A497CD" w14:textId="77777777" w:rsidR="007F4EE7" w:rsidRPr="00043A9F" w:rsidRDefault="007F4EE7" w:rsidP="00F65A56">
            <w:pPr>
              <w:rPr>
                <w:rFonts w:ascii="David" w:hAnsi="David"/>
                <w:sz w:val="26"/>
                <w:szCs w:val="26"/>
                <w:rtl/>
              </w:rPr>
            </w:pPr>
          </w:p>
          <w:p w14:paraId="596065E4" w14:textId="77777777" w:rsidR="007F4EE7" w:rsidRPr="00043A9F" w:rsidRDefault="007F4EE7" w:rsidP="007F4EE7">
            <w:pPr>
              <w:jc w:val="both"/>
              <w:rPr>
                <w:rFonts w:ascii="David" w:hAnsi="David"/>
                <w:sz w:val="26"/>
                <w:szCs w:val="26"/>
              </w:rPr>
            </w:pPr>
          </w:p>
        </w:tc>
      </w:tr>
      <w:tr w:rsidR="007F4EE7" w:rsidRPr="00043A9F" w14:paraId="6184F594" w14:textId="77777777" w:rsidTr="007F4EE7">
        <w:trPr>
          <w:trHeight w:val="355"/>
          <w:jc w:val="center"/>
        </w:trPr>
        <w:tc>
          <w:tcPr>
            <w:tcW w:w="923" w:type="dxa"/>
            <w:tcBorders>
              <w:top w:val="nil"/>
              <w:left w:val="nil"/>
              <w:bottom w:val="nil"/>
              <w:right w:val="nil"/>
            </w:tcBorders>
            <w:shd w:val="clear" w:color="auto" w:fill="auto"/>
          </w:tcPr>
          <w:p w14:paraId="2CB37D83" w14:textId="77777777" w:rsidR="007F4EE7" w:rsidRPr="00043A9F" w:rsidRDefault="007F4EE7" w:rsidP="007F4EE7">
            <w:pPr>
              <w:jc w:val="both"/>
              <w:rPr>
                <w:rFonts w:ascii="David" w:hAnsi="David"/>
                <w:sz w:val="26"/>
                <w:szCs w:val="26"/>
              </w:rPr>
            </w:pPr>
            <w:bookmarkStart w:id="1" w:name="FirstAppellant"/>
            <w:r w:rsidRPr="00043A9F">
              <w:rPr>
                <w:rFonts w:ascii="David" w:hAnsi="David"/>
                <w:sz w:val="26"/>
                <w:szCs w:val="26"/>
                <w:rtl/>
              </w:rPr>
              <w:t>בעניין:</w:t>
            </w:r>
          </w:p>
        </w:tc>
        <w:tc>
          <w:tcPr>
            <w:tcW w:w="3219" w:type="dxa"/>
            <w:tcBorders>
              <w:top w:val="nil"/>
              <w:left w:val="nil"/>
              <w:bottom w:val="nil"/>
              <w:right w:val="nil"/>
            </w:tcBorders>
            <w:shd w:val="clear" w:color="auto" w:fill="auto"/>
          </w:tcPr>
          <w:p w14:paraId="7CE2DA16" w14:textId="77777777" w:rsidR="007F4EE7" w:rsidRPr="00043A9F" w:rsidRDefault="007F4EE7" w:rsidP="007F4EE7">
            <w:pPr>
              <w:suppressLineNumbers/>
            </w:pPr>
            <w:r w:rsidRPr="00043A9F">
              <w:rPr>
                <w:rFonts w:ascii="Arial" w:hAnsi="Arial" w:hint="cs"/>
                <w:b/>
                <w:bCs/>
                <w:sz w:val="26"/>
                <w:szCs w:val="26"/>
                <w:rtl/>
              </w:rPr>
              <w:t>ה</w:t>
            </w:r>
            <w:r w:rsidRPr="00043A9F">
              <w:rPr>
                <w:rFonts w:ascii="Arial" w:hAnsi="Arial"/>
                <w:b/>
                <w:bCs/>
                <w:sz w:val="26"/>
                <w:szCs w:val="26"/>
                <w:rtl/>
              </w:rPr>
              <w:t>מאשימה</w:t>
            </w:r>
          </w:p>
          <w:p w14:paraId="25D5737B" w14:textId="77777777" w:rsidR="007F4EE7" w:rsidRPr="00043A9F" w:rsidRDefault="007F4EE7" w:rsidP="00F65A56">
            <w:pPr>
              <w:rPr>
                <w:rFonts w:ascii="David" w:hAnsi="David"/>
                <w:sz w:val="26"/>
                <w:szCs w:val="26"/>
              </w:rPr>
            </w:pPr>
          </w:p>
        </w:tc>
        <w:tc>
          <w:tcPr>
            <w:tcW w:w="4678" w:type="dxa"/>
            <w:tcBorders>
              <w:top w:val="nil"/>
              <w:left w:val="nil"/>
              <w:bottom w:val="nil"/>
              <w:right w:val="nil"/>
            </w:tcBorders>
            <w:shd w:val="clear" w:color="auto" w:fill="auto"/>
            <w:vAlign w:val="center"/>
          </w:tcPr>
          <w:p w14:paraId="08BC0855" w14:textId="77777777" w:rsidR="007F4EE7" w:rsidRPr="00043A9F" w:rsidRDefault="007F4EE7" w:rsidP="007F4EE7">
            <w:pPr>
              <w:suppressLineNumbers/>
            </w:pPr>
            <w:r w:rsidRPr="00043A9F">
              <w:rPr>
                <w:rFonts w:ascii="Arial" w:hAnsi="Arial"/>
                <w:b/>
                <w:bCs/>
                <w:sz w:val="26"/>
                <w:szCs w:val="26"/>
                <w:rtl/>
              </w:rPr>
              <w:t>מדינת ישראל</w:t>
            </w:r>
            <w:r w:rsidRPr="00043A9F">
              <w:rPr>
                <w:rFonts w:ascii="Arial" w:hAnsi="Arial" w:hint="cs"/>
                <w:b/>
                <w:bCs/>
                <w:sz w:val="26"/>
                <w:szCs w:val="26"/>
                <w:rtl/>
              </w:rPr>
              <w:t xml:space="preserve"> </w:t>
            </w:r>
          </w:p>
          <w:p w14:paraId="309865C5" w14:textId="77777777" w:rsidR="007F4EE7" w:rsidRPr="00043A9F" w:rsidRDefault="007F4EE7" w:rsidP="00F65A56">
            <w:pPr>
              <w:rPr>
                <w:rFonts w:ascii="David" w:hAnsi="David"/>
                <w:sz w:val="26"/>
                <w:szCs w:val="26"/>
              </w:rPr>
            </w:pPr>
          </w:p>
        </w:tc>
      </w:tr>
      <w:bookmarkEnd w:id="1"/>
      <w:tr w:rsidR="007F4EE7" w:rsidRPr="00043A9F" w14:paraId="2D46F4DB" w14:textId="77777777" w:rsidTr="007F4EE7">
        <w:trPr>
          <w:trHeight w:val="355"/>
          <w:jc w:val="center"/>
        </w:trPr>
        <w:tc>
          <w:tcPr>
            <w:tcW w:w="923" w:type="dxa"/>
            <w:tcBorders>
              <w:top w:val="nil"/>
              <w:left w:val="nil"/>
              <w:bottom w:val="nil"/>
              <w:right w:val="nil"/>
            </w:tcBorders>
            <w:shd w:val="clear" w:color="auto" w:fill="auto"/>
          </w:tcPr>
          <w:p w14:paraId="44CE25C0" w14:textId="77777777" w:rsidR="007F4EE7" w:rsidRPr="00043A9F" w:rsidRDefault="007F4EE7" w:rsidP="007F4EE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38B21AC" w14:textId="77777777" w:rsidR="007F4EE7" w:rsidRPr="00043A9F" w:rsidRDefault="007F4EE7" w:rsidP="007F4EE7">
            <w:pPr>
              <w:jc w:val="center"/>
              <w:rPr>
                <w:rFonts w:ascii="David" w:hAnsi="David"/>
                <w:b/>
                <w:bCs/>
                <w:sz w:val="26"/>
                <w:szCs w:val="26"/>
                <w:rtl/>
              </w:rPr>
            </w:pPr>
          </w:p>
          <w:p w14:paraId="7B97A50A" w14:textId="77777777" w:rsidR="007F4EE7" w:rsidRPr="00043A9F" w:rsidRDefault="007F4EE7" w:rsidP="007F4EE7">
            <w:pPr>
              <w:jc w:val="center"/>
              <w:rPr>
                <w:rFonts w:ascii="David" w:hAnsi="David"/>
                <w:b/>
                <w:bCs/>
                <w:sz w:val="26"/>
                <w:szCs w:val="26"/>
                <w:rtl/>
              </w:rPr>
            </w:pPr>
            <w:r w:rsidRPr="00043A9F">
              <w:rPr>
                <w:rFonts w:ascii="David" w:hAnsi="David"/>
                <w:b/>
                <w:bCs/>
                <w:sz w:val="26"/>
                <w:szCs w:val="26"/>
                <w:rtl/>
              </w:rPr>
              <w:t>נגד</w:t>
            </w:r>
          </w:p>
          <w:p w14:paraId="03A35D82" w14:textId="77777777" w:rsidR="007F4EE7" w:rsidRPr="00043A9F" w:rsidRDefault="007F4EE7" w:rsidP="007F4EE7">
            <w:pPr>
              <w:jc w:val="both"/>
              <w:rPr>
                <w:rFonts w:ascii="David" w:hAnsi="David"/>
                <w:sz w:val="26"/>
                <w:szCs w:val="26"/>
              </w:rPr>
            </w:pPr>
          </w:p>
        </w:tc>
      </w:tr>
      <w:tr w:rsidR="007F4EE7" w:rsidRPr="00043A9F" w14:paraId="37218834" w14:textId="77777777" w:rsidTr="007F4EE7">
        <w:trPr>
          <w:trHeight w:val="355"/>
          <w:jc w:val="center"/>
        </w:trPr>
        <w:tc>
          <w:tcPr>
            <w:tcW w:w="923" w:type="dxa"/>
            <w:tcBorders>
              <w:top w:val="nil"/>
              <w:left w:val="nil"/>
              <w:bottom w:val="nil"/>
              <w:right w:val="nil"/>
            </w:tcBorders>
            <w:shd w:val="clear" w:color="auto" w:fill="auto"/>
          </w:tcPr>
          <w:p w14:paraId="162C4AFB" w14:textId="77777777" w:rsidR="007F4EE7" w:rsidRPr="00043A9F" w:rsidRDefault="007F4EE7" w:rsidP="00F65A56">
            <w:pPr>
              <w:rPr>
                <w:rFonts w:ascii="David" w:hAnsi="David"/>
                <w:sz w:val="26"/>
                <w:szCs w:val="26"/>
                <w:rtl/>
              </w:rPr>
            </w:pPr>
          </w:p>
        </w:tc>
        <w:tc>
          <w:tcPr>
            <w:tcW w:w="3219" w:type="dxa"/>
            <w:tcBorders>
              <w:top w:val="nil"/>
              <w:left w:val="nil"/>
              <w:bottom w:val="nil"/>
              <w:right w:val="nil"/>
            </w:tcBorders>
            <w:shd w:val="clear" w:color="auto" w:fill="auto"/>
          </w:tcPr>
          <w:p w14:paraId="3C45355B" w14:textId="77777777" w:rsidR="007F4EE7" w:rsidRPr="00043A9F" w:rsidRDefault="007F4EE7" w:rsidP="00F65A56">
            <w:pPr>
              <w:rPr>
                <w:rFonts w:ascii="Arial" w:hAnsi="Arial"/>
                <w:b/>
                <w:bCs/>
                <w:sz w:val="26"/>
                <w:szCs w:val="26"/>
                <w:rtl/>
              </w:rPr>
            </w:pPr>
            <w:r w:rsidRPr="00043A9F">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61CCA69" w14:textId="77777777" w:rsidR="007F4EE7" w:rsidRPr="00043A9F" w:rsidRDefault="007F4EE7" w:rsidP="007F4EE7">
            <w:pPr>
              <w:suppressLineNumbers/>
            </w:pPr>
            <w:r w:rsidRPr="00043A9F">
              <w:rPr>
                <w:rFonts w:ascii="Arial" w:hAnsi="Arial" w:hint="cs"/>
                <w:b/>
                <w:bCs/>
                <w:sz w:val="26"/>
                <w:szCs w:val="26"/>
                <w:rtl/>
              </w:rPr>
              <w:t>פלוני</w:t>
            </w:r>
          </w:p>
          <w:p w14:paraId="598DFCA1" w14:textId="77777777" w:rsidR="007F4EE7" w:rsidRPr="00043A9F" w:rsidRDefault="007F4EE7" w:rsidP="00F65A56">
            <w:pPr>
              <w:rPr>
                <w:rFonts w:ascii="David" w:hAnsi="David"/>
                <w:sz w:val="26"/>
                <w:szCs w:val="26"/>
              </w:rPr>
            </w:pPr>
          </w:p>
        </w:tc>
      </w:tr>
    </w:tbl>
    <w:p w14:paraId="1C72F2F5" w14:textId="77777777" w:rsidR="00043A9F" w:rsidRDefault="00043A9F" w:rsidP="00043A9F">
      <w:pPr>
        <w:rPr>
          <w:sz w:val="26"/>
          <w:szCs w:val="26"/>
          <w:rtl/>
        </w:rPr>
      </w:pPr>
    </w:p>
    <w:p w14:paraId="00DF6019" w14:textId="77777777" w:rsidR="00043A9F" w:rsidRPr="00043A9F" w:rsidRDefault="00043A9F" w:rsidP="00043A9F">
      <w:pPr>
        <w:spacing w:before="120" w:after="120" w:line="240" w:lineRule="exact"/>
        <w:ind w:left="283" w:hanging="283"/>
        <w:jc w:val="both"/>
        <w:rPr>
          <w:rFonts w:ascii="FrankRuehl" w:hAnsi="FrankRuehl" w:cs="FrankRuehl"/>
          <w:rtl/>
        </w:rPr>
      </w:pPr>
    </w:p>
    <w:p w14:paraId="14765050" w14:textId="77777777" w:rsidR="00043A9F" w:rsidRPr="00043A9F" w:rsidRDefault="00043A9F" w:rsidP="00043A9F">
      <w:pPr>
        <w:spacing w:before="120" w:after="120" w:line="240" w:lineRule="exact"/>
        <w:ind w:left="283" w:hanging="283"/>
        <w:jc w:val="both"/>
        <w:rPr>
          <w:rFonts w:ascii="FrankRuehl" w:hAnsi="FrankRuehl" w:cs="FrankRuehl"/>
          <w:rtl/>
        </w:rPr>
      </w:pPr>
    </w:p>
    <w:p w14:paraId="19F3CD81" w14:textId="77777777" w:rsidR="00737110" w:rsidRPr="00737110" w:rsidRDefault="00737110" w:rsidP="00737110">
      <w:pPr>
        <w:spacing w:before="120" w:after="120" w:line="240" w:lineRule="exact"/>
        <w:ind w:left="283" w:hanging="283"/>
        <w:jc w:val="both"/>
        <w:rPr>
          <w:rFonts w:ascii="FrankRuehl" w:hAnsi="FrankRuehl" w:cs="FrankRuehl"/>
          <w:rtl/>
        </w:rPr>
      </w:pPr>
    </w:p>
    <w:p w14:paraId="391F94EF" w14:textId="77777777" w:rsidR="00C92095" w:rsidRDefault="00C92095" w:rsidP="00C92095">
      <w:pPr>
        <w:rPr>
          <w:sz w:val="26"/>
          <w:szCs w:val="26"/>
          <w:rtl/>
        </w:rPr>
      </w:pPr>
      <w:bookmarkStart w:id="2" w:name="LawTable"/>
      <w:bookmarkEnd w:id="2"/>
    </w:p>
    <w:p w14:paraId="0BA16676" w14:textId="77777777" w:rsidR="00C92095" w:rsidRPr="00C92095" w:rsidRDefault="00C92095" w:rsidP="00C92095">
      <w:pPr>
        <w:spacing w:before="120" w:after="120" w:line="240" w:lineRule="exact"/>
        <w:ind w:left="283" w:hanging="283"/>
        <w:jc w:val="both"/>
        <w:rPr>
          <w:rFonts w:ascii="FrankRuehl" w:hAnsi="FrankRuehl" w:cs="FrankRuehl"/>
          <w:rtl/>
        </w:rPr>
      </w:pPr>
    </w:p>
    <w:p w14:paraId="49E47F8E" w14:textId="77777777" w:rsidR="00C92095" w:rsidRPr="00C92095" w:rsidRDefault="00C92095" w:rsidP="00C92095">
      <w:pPr>
        <w:spacing w:before="120" w:after="120" w:line="240" w:lineRule="exact"/>
        <w:ind w:left="283" w:hanging="283"/>
        <w:jc w:val="both"/>
        <w:rPr>
          <w:rFonts w:ascii="FrankRuehl" w:hAnsi="FrankRuehl" w:cs="FrankRuehl"/>
          <w:rtl/>
        </w:rPr>
      </w:pPr>
    </w:p>
    <w:p w14:paraId="5DFE3763" w14:textId="77777777" w:rsidR="00C92095" w:rsidRPr="00C92095" w:rsidRDefault="00C92095" w:rsidP="00C92095">
      <w:pPr>
        <w:spacing w:before="120" w:after="120" w:line="240" w:lineRule="exact"/>
        <w:ind w:left="283" w:hanging="283"/>
        <w:jc w:val="both"/>
        <w:rPr>
          <w:rFonts w:ascii="FrankRuehl" w:hAnsi="FrankRuehl" w:cs="FrankRuehl"/>
          <w:rtl/>
        </w:rPr>
      </w:pPr>
      <w:r w:rsidRPr="00C92095">
        <w:rPr>
          <w:rFonts w:ascii="FrankRuehl" w:hAnsi="FrankRuehl" w:cs="FrankRuehl"/>
          <w:rtl/>
        </w:rPr>
        <w:t xml:space="preserve">חקיקה שאוזכרה: </w:t>
      </w:r>
    </w:p>
    <w:p w14:paraId="7C9FB1C5" w14:textId="77777777" w:rsidR="00C92095" w:rsidRPr="00C92095" w:rsidRDefault="00C92095" w:rsidP="00C92095">
      <w:pPr>
        <w:spacing w:before="120" w:after="120" w:line="240" w:lineRule="exact"/>
        <w:ind w:left="283" w:hanging="283"/>
        <w:jc w:val="both"/>
        <w:rPr>
          <w:rFonts w:ascii="FrankRuehl" w:hAnsi="FrankRuehl" w:cs="FrankRuehl"/>
          <w:rtl/>
        </w:rPr>
      </w:pPr>
      <w:hyperlink r:id="rId6" w:history="1">
        <w:r w:rsidRPr="00C92095">
          <w:rPr>
            <w:rFonts w:ascii="FrankRuehl" w:hAnsi="FrankRuehl" w:cs="FrankRuehl"/>
            <w:color w:val="0000FF"/>
            <w:rtl/>
          </w:rPr>
          <w:t>חוק הגנה על הציבור מפני ביצוע עבירות מין, תשס"ו-2006</w:t>
        </w:r>
      </w:hyperlink>
    </w:p>
    <w:p w14:paraId="1573C67C" w14:textId="77777777" w:rsidR="00C92095" w:rsidRPr="00C92095" w:rsidRDefault="00C92095" w:rsidP="00C92095">
      <w:pPr>
        <w:spacing w:before="120" w:after="120" w:line="240" w:lineRule="exact"/>
        <w:ind w:left="283" w:hanging="283"/>
        <w:jc w:val="both"/>
        <w:rPr>
          <w:rFonts w:ascii="FrankRuehl" w:hAnsi="FrankRuehl" w:cs="FrankRuehl"/>
          <w:rtl/>
        </w:rPr>
      </w:pPr>
      <w:hyperlink r:id="rId7" w:history="1">
        <w:r w:rsidRPr="00C92095">
          <w:rPr>
            <w:rFonts w:ascii="FrankRuehl" w:hAnsi="FrankRuehl" w:cs="FrankRuehl"/>
            <w:color w:val="0000FF"/>
            <w:rtl/>
          </w:rPr>
          <w:t>פקודת הסמים המסוכנים [נוסח חדש], תשל"ג-1973</w:t>
        </w:r>
      </w:hyperlink>
    </w:p>
    <w:p w14:paraId="15923687" w14:textId="77777777" w:rsidR="00C92095" w:rsidRPr="00C92095" w:rsidRDefault="00C92095" w:rsidP="00C92095">
      <w:pPr>
        <w:rPr>
          <w:sz w:val="26"/>
          <w:szCs w:val="26"/>
          <w:rtl/>
        </w:rPr>
      </w:pPr>
      <w:bookmarkStart w:id="3" w:name="LawTable_End"/>
      <w:bookmarkEnd w:id="3"/>
    </w:p>
    <w:p w14:paraId="2542845A" w14:textId="77777777" w:rsidR="007F4EE7" w:rsidRPr="00737110" w:rsidRDefault="007F4EE7" w:rsidP="0073711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F4EE7" w14:paraId="3462BC19" w14:textId="77777777" w:rsidTr="007F4EE7">
        <w:trPr>
          <w:trHeight w:val="355"/>
          <w:jc w:val="center"/>
        </w:trPr>
        <w:tc>
          <w:tcPr>
            <w:tcW w:w="8820" w:type="dxa"/>
            <w:tcBorders>
              <w:top w:val="nil"/>
              <w:left w:val="nil"/>
              <w:bottom w:val="nil"/>
              <w:right w:val="nil"/>
            </w:tcBorders>
            <w:shd w:val="clear" w:color="auto" w:fill="auto"/>
          </w:tcPr>
          <w:p w14:paraId="03DC4A17" w14:textId="77777777" w:rsidR="00043A9F" w:rsidRPr="00043A9F" w:rsidRDefault="00043A9F" w:rsidP="00043A9F">
            <w:pPr>
              <w:jc w:val="center"/>
              <w:rPr>
                <w:rFonts w:ascii="David" w:hAnsi="David"/>
                <w:b/>
                <w:bCs/>
                <w:sz w:val="32"/>
                <w:szCs w:val="32"/>
                <w:u w:val="single"/>
                <w:rtl/>
              </w:rPr>
            </w:pPr>
            <w:bookmarkStart w:id="4" w:name="PsakDin" w:colFirst="0" w:colLast="0"/>
            <w:bookmarkEnd w:id="0"/>
            <w:r w:rsidRPr="00043A9F">
              <w:rPr>
                <w:rFonts w:ascii="David" w:hAnsi="David"/>
                <w:b/>
                <w:bCs/>
                <w:sz w:val="32"/>
                <w:szCs w:val="32"/>
                <w:u w:val="single"/>
                <w:rtl/>
              </w:rPr>
              <w:t>גזר דין</w:t>
            </w:r>
          </w:p>
          <w:p w14:paraId="3512FC38" w14:textId="77777777" w:rsidR="007F4EE7" w:rsidRPr="00043A9F" w:rsidRDefault="007F4EE7" w:rsidP="00043A9F">
            <w:pPr>
              <w:jc w:val="center"/>
              <w:rPr>
                <w:rFonts w:ascii="David" w:hAnsi="David"/>
                <w:bCs/>
                <w:sz w:val="32"/>
                <w:szCs w:val="32"/>
                <w:u w:val="single"/>
                <w:rtl/>
              </w:rPr>
            </w:pPr>
          </w:p>
        </w:tc>
      </w:tr>
      <w:bookmarkEnd w:id="4"/>
    </w:tbl>
    <w:p w14:paraId="4AD6D70F" w14:textId="77777777" w:rsidR="007F4EE7" w:rsidRPr="000F2247" w:rsidRDefault="007F4EE7" w:rsidP="007F4EE7">
      <w:pPr>
        <w:rPr>
          <w:rFonts w:ascii="Arial" w:hAnsi="Arial"/>
          <w:b/>
          <w:bCs/>
          <w:sz w:val="26"/>
          <w:szCs w:val="26"/>
          <w:rtl/>
        </w:rPr>
      </w:pPr>
    </w:p>
    <w:p w14:paraId="2F053B55" w14:textId="77777777" w:rsidR="007F4EE7" w:rsidRPr="000F2247" w:rsidRDefault="007F4EE7" w:rsidP="007F4EE7">
      <w:pPr>
        <w:rPr>
          <w:rFonts w:ascii="Arial" w:hAnsi="Arial"/>
          <w:b/>
          <w:bCs/>
          <w:sz w:val="26"/>
          <w:szCs w:val="26"/>
          <w:rtl/>
        </w:rPr>
      </w:pPr>
    </w:p>
    <w:p w14:paraId="76C20065" w14:textId="77777777" w:rsidR="007F4EE7" w:rsidRDefault="007F4EE7" w:rsidP="007F4EE7">
      <w:pPr>
        <w:spacing w:line="360" w:lineRule="auto"/>
        <w:jc w:val="center"/>
        <w:rPr>
          <w:rFonts w:ascii="Arial" w:hAnsi="Arial"/>
          <w:b/>
          <w:bCs/>
          <w:sz w:val="28"/>
          <w:szCs w:val="28"/>
          <w:u w:val="single"/>
        </w:rPr>
      </w:pPr>
    </w:p>
    <w:p w14:paraId="0B961EB4" w14:textId="77777777" w:rsidR="007F4EE7" w:rsidRDefault="007F4EE7" w:rsidP="007F4EE7">
      <w:pPr>
        <w:spacing w:line="360" w:lineRule="auto"/>
        <w:jc w:val="both"/>
        <w:rPr>
          <w:rFonts w:ascii="David" w:hAnsi="David"/>
          <w:rtl/>
        </w:rPr>
      </w:pPr>
      <w:r>
        <w:rPr>
          <w:rFonts w:hint="cs"/>
          <w:rtl/>
        </w:rPr>
        <w:t xml:space="preserve">הנאשם הורשע לאחר ניהול הוכחות, במספר מקרים של הפרת צו פיקוח. הנאשם, אשר היה נתון במשך תקופה ממושכת תחת צו פיקוח מתוקף </w:t>
      </w:r>
      <w:hyperlink r:id="rId8" w:history="1">
        <w:r w:rsidR="00043A9F" w:rsidRPr="00043A9F">
          <w:rPr>
            <w:color w:val="0000FF"/>
            <w:u w:val="single"/>
            <w:rtl/>
          </w:rPr>
          <w:t>חוק ההגנה על הציבור מפני ביצוע עבירות מין</w:t>
        </w:r>
      </w:hyperlink>
      <w:r>
        <w:rPr>
          <w:rFonts w:hint="cs"/>
          <w:rtl/>
        </w:rPr>
        <w:t>, ואשר היה מנוע, מתוקף צו זה, מצריכת סמים ומשימוש באלכוהול, הפר את הצו בכך שצרך אלכוהול בשלושה מקרים במהלך השנים 2019 – 2020, וכן צרך סם מסוג קוקאין במקרה אחד מחודש אפריל שנת 2021.</w:t>
      </w:r>
    </w:p>
    <w:p w14:paraId="1924842F" w14:textId="77777777" w:rsidR="007F4EE7" w:rsidRDefault="007F4EE7" w:rsidP="007F4EE7">
      <w:pPr>
        <w:spacing w:line="360" w:lineRule="auto"/>
        <w:jc w:val="both"/>
        <w:rPr>
          <w:rtl/>
        </w:rPr>
      </w:pPr>
    </w:p>
    <w:p w14:paraId="28EFB9AB" w14:textId="77777777" w:rsidR="007F4EE7" w:rsidRDefault="007F4EE7" w:rsidP="007F4EE7">
      <w:pPr>
        <w:spacing w:line="360" w:lineRule="auto"/>
        <w:jc w:val="both"/>
        <w:rPr>
          <w:rtl/>
        </w:rPr>
      </w:pPr>
      <w:r>
        <w:rPr>
          <w:rFonts w:hint="cs"/>
          <w:rtl/>
        </w:rPr>
        <w:lastRenderedPageBreak/>
        <w:t xml:space="preserve">חוק ההגנה על הציבור חוקק למטרה מניעתית והגנתית. מתוקף החוק הוקמה יחידה מיוחדת שנועדה לפקח על עברייני מין, מתוך ההכרה כי חלק ניכר מעבירות המין מבוצעות באופן סדרתי, על רקע נטייה לחזור ולפגוע, מצד עבריינים חוזרים. הפרת צו פיקוח פוגעת בבטחון הציבור, וכן במשילות החוק, וזאת בשל הפרת הוראת בית משפט. </w:t>
      </w:r>
    </w:p>
    <w:p w14:paraId="0FB2B09D" w14:textId="77777777" w:rsidR="007F4EE7" w:rsidRDefault="007F4EE7" w:rsidP="007F4EE7">
      <w:pPr>
        <w:spacing w:line="360" w:lineRule="auto"/>
        <w:jc w:val="both"/>
        <w:rPr>
          <w:rtl/>
        </w:rPr>
      </w:pPr>
    </w:p>
    <w:p w14:paraId="552E2231" w14:textId="77777777" w:rsidR="007F4EE7" w:rsidRDefault="007F4EE7" w:rsidP="007F4EE7">
      <w:pPr>
        <w:spacing w:line="360" w:lineRule="auto"/>
        <w:jc w:val="both"/>
        <w:rPr>
          <w:rtl/>
        </w:rPr>
      </w:pPr>
      <w:r>
        <w:rPr>
          <w:rFonts w:hint="cs"/>
          <w:rtl/>
        </w:rPr>
        <w:t xml:space="preserve">הנאשם שבפניי, יליד 1995, נשפט למאסר של 29 חודשים בגין עבירת מין שבוצעה לפני כ- 9 שנים בשנת 2014. כפי שעולה מתסקיר שירות המבחן, הנאשם ביצע את העבירה ככל הנראה בגילופין, ומכאן נכללה בצו הפיקוח הממושך שחל עליו הוראה שאוסרת עליו איסור מוחלט בשימוש בסמים ואלכוהול. מדובר בפגיעה מהותית בערכים המוגנים, אם כי הפגיעה קלה יחסית למקרים חמורים יותר, בין היתר מקרים אשר המאשימה ציינה בטיעוניה לעונש, בהם הפרות הצווים כוללות התנהגות מינית אסורה, או עבירות מין חדשות. </w:t>
      </w:r>
    </w:p>
    <w:p w14:paraId="65E2A39D" w14:textId="77777777" w:rsidR="007F4EE7" w:rsidRDefault="007F4EE7" w:rsidP="007F4EE7">
      <w:pPr>
        <w:spacing w:line="360" w:lineRule="auto"/>
        <w:jc w:val="both"/>
        <w:rPr>
          <w:rtl/>
        </w:rPr>
      </w:pPr>
    </w:p>
    <w:p w14:paraId="42ABBADE" w14:textId="77777777" w:rsidR="007F4EE7" w:rsidRDefault="007F4EE7" w:rsidP="007F4EE7">
      <w:pPr>
        <w:spacing w:line="360" w:lineRule="auto"/>
        <w:jc w:val="both"/>
        <w:rPr>
          <w:rtl/>
        </w:rPr>
      </w:pPr>
      <w:r>
        <w:rPr>
          <w:rFonts w:hint="cs"/>
          <w:rtl/>
        </w:rPr>
        <w:t xml:space="preserve">הנאשם היה נתון לפיקוח במסגרת צו פיקוח שנים ארוכות. קציני הפיקוח שהעידו בפניי תיארו אותו באופן כללי בחיוב, כמפוקח ששיתף פעולה וגילה יחס חיובי לקציני הפיקוח. על שלוש ההפרות הראשונות, צריכת האלכוהול בשלושה מקרים, הסתפקו קציני הפיקוח באזהרת הנאשם, והתיק לא היה מגיע כלל לאישום אלמלא ההפרה האחרונה, שעניינה שימוש בקוקאין. </w:t>
      </w:r>
    </w:p>
    <w:p w14:paraId="512CA1A7" w14:textId="77777777" w:rsidR="007F4EE7" w:rsidRDefault="007F4EE7" w:rsidP="007F4EE7">
      <w:pPr>
        <w:spacing w:line="360" w:lineRule="auto"/>
        <w:jc w:val="both"/>
        <w:rPr>
          <w:rtl/>
        </w:rPr>
      </w:pPr>
    </w:p>
    <w:p w14:paraId="384256B0" w14:textId="77777777" w:rsidR="007F4EE7" w:rsidRDefault="007F4EE7" w:rsidP="007F4EE7">
      <w:pPr>
        <w:spacing w:line="360" w:lineRule="auto"/>
        <w:jc w:val="both"/>
        <w:rPr>
          <w:rtl/>
        </w:rPr>
      </w:pPr>
      <w:r>
        <w:rPr>
          <w:rFonts w:hint="cs"/>
          <w:rtl/>
        </w:rPr>
        <w:t xml:space="preserve">הנאשם לא הודה אמנם, וניהל כאמור הליך שיפוטי, ואולם זאת באופן חלקי בלבד. הנאשם הודה בשימוש בקוקאין, ואילו לגבי ההפרה בשימוש באלכוהול, נטענו טענות משפטיות, אשר הוכרעו בהכרעת הדין. לא ראיתי אצל הנאשם אי קבלת אחריות מהותית על מעשיו. גם היום, במעמד הטיעונים לעונש, הנאשם הביע חרטה והתנצל על התנהגותו. </w:t>
      </w:r>
    </w:p>
    <w:p w14:paraId="640481AA" w14:textId="77777777" w:rsidR="007F4EE7" w:rsidRDefault="007F4EE7" w:rsidP="007F4EE7">
      <w:pPr>
        <w:spacing w:line="360" w:lineRule="auto"/>
        <w:jc w:val="both"/>
        <w:rPr>
          <w:rtl/>
        </w:rPr>
      </w:pPr>
    </w:p>
    <w:p w14:paraId="1BEF4DE5" w14:textId="77777777" w:rsidR="007F4EE7" w:rsidRDefault="007F4EE7" w:rsidP="007F4EE7">
      <w:pPr>
        <w:spacing w:line="360" w:lineRule="auto"/>
        <w:jc w:val="both"/>
        <w:rPr>
          <w:rtl/>
        </w:rPr>
      </w:pPr>
      <w:r>
        <w:rPr>
          <w:rFonts w:hint="cs"/>
          <w:rtl/>
        </w:rPr>
        <w:t xml:space="preserve">אני סבורה כי מתחם הענישה לעבירה של הפרת צו פיקוח בנסיבות הנוכחיות, גם אם מדובר בארבעה מקרים, נע בין מאסר מותנה לבין מאסר בפועל של כ- 8 חודשים. לא ראיתי לקבל את עמדת המאשימה לפיה מתחם הענישה מתחיל בהכרח במאסר בפועל. </w:t>
      </w:r>
    </w:p>
    <w:p w14:paraId="468C1CB0" w14:textId="77777777" w:rsidR="007F4EE7" w:rsidRDefault="007F4EE7" w:rsidP="007F4EE7">
      <w:pPr>
        <w:spacing w:line="360" w:lineRule="auto"/>
        <w:jc w:val="both"/>
        <w:rPr>
          <w:rtl/>
        </w:rPr>
      </w:pPr>
    </w:p>
    <w:p w14:paraId="08356541" w14:textId="77777777" w:rsidR="007F4EE7" w:rsidRDefault="007F4EE7" w:rsidP="007F4EE7">
      <w:pPr>
        <w:spacing w:line="360" w:lineRule="auto"/>
        <w:jc w:val="both"/>
        <w:rPr>
          <w:rtl/>
        </w:rPr>
      </w:pPr>
      <w:r>
        <w:rPr>
          <w:rFonts w:hint="cs"/>
          <w:rtl/>
        </w:rPr>
        <w:t xml:space="preserve">ב"כ המאשימה הפנה למקרים בהם נקבעו מתחמים של מאסר קצר עד מאסר של כשנה, ואולם בחלק מהמקרים דובר בהפרה אשר לא הסתכמה אך ורק בצריכת אלכוהול. לדוגמא, </w:t>
      </w:r>
      <w:hyperlink r:id="rId9" w:history="1">
        <w:r w:rsidR="00043A9F" w:rsidRPr="00043A9F">
          <w:rPr>
            <w:color w:val="0000FF"/>
            <w:u w:val="single"/>
            <w:rtl/>
          </w:rPr>
          <w:t>עפ"ג 34132-05-16</w:t>
        </w:r>
      </w:hyperlink>
      <w:r>
        <w:rPr>
          <w:rFonts w:hint="cs"/>
          <w:rtl/>
        </w:rPr>
        <w:t xml:space="preserve">, שם דובר גם באי התייצבות לפגישה אצל קצין הפיקוח בנוסף לשימוש באלכוהול, או </w:t>
      </w:r>
      <w:hyperlink r:id="rId10" w:history="1">
        <w:r w:rsidR="00043A9F" w:rsidRPr="00043A9F">
          <w:rPr>
            <w:color w:val="0000FF"/>
            <w:u w:val="single"/>
            <w:rtl/>
          </w:rPr>
          <w:t>ת"פ</w:t>
        </w:r>
        <w:r w:rsidR="00043A9F" w:rsidRPr="00043A9F">
          <w:rPr>
            <w:color w:val="0000FF"/>
            <w:u w:val="single"/>
            <w:rtl/>
          </w:rPr>
          <w:br/>
          <w:t xml:space="preserve"> 63963-10-17</w:t>
        </w:r>
      </w:hyperlink>
      <w:r>
        <w:rPr>
          <w:rFonts w:hint="cs"/>
          <w:rtl/>
        </w:rPr>
        <w:t xml:space="preserve">, שם נקבע מתחם של מאסר קצר עד 10 חודשי מאסר, לגבי גלישה באתרים פורנוגרפיים, תוך הערמת קצין הפיקוח. </w:t>
      </w:r>
    </w:p>
    <w:p w14:paraId="037A35E0" w14:textId="77777777" w:rsidR="007F4EE7" w:rsidRDefault="007F4EE7" w:rsidP="007F4EE7">
      <w:pPr>
        <w:spacing w:line="360" w:lineRule="auto"/>
        <w:jc w:val="both"/>
        <w:rPr>
          <w:rtl/>
        </w:rPr>
      </w:pPr>
    </w:p>
    <w:p w14:paraId="02717BE4" w14:textId="77777777" w:rsidR="007F4EE7" w:rsidRDefault="007F4EE7" w:rsidP="007F4EE7">
      <w:pPr>
        <w:spacing w:line="360" w:lineRule="auto"/>
        <w:jc w:val="both"/>
        <w:rPr>
          <w:rtl/>
        </w:rPr>
      </w:pPr>
      <w:r>
        <w:rPr>
          <w:rFonts w:hint="cs"/>
          <w:rtl/>
        </w:rPr>
        <w:t xml:space="preserve">ב"כ הנאשם הפנה למקרים דומים בהם נקבע מתחם אשר אינו מחייב מאסר בפועל, וראה בין היתר, </w:t>
      </w:r>
      <w:hyperlink r:id="rId11" w:history="1">
        <w:r w:rsidR="00043A9F" w:rsidRPr="00043A9F">
          <w:rPr>
            <w:color w:val="0000FF"/>
            <w:u w:val="single"/>
            <w:rtl/>
          </w:rPr>
          <w:t>ת"פ 39297-06-21</w:t>
        </w:r>
      </w:hyperlink>
      <w:r>
        <w:rPr>
          <w:rFonts w:hint="cs"/>
          <w:rtl/>
        </w:rPr>
        <w:t xml:space="preserve">, שם פירט בית משפט זה (כב' השופטת דלית שרון) את מדיניות הפסיקה בעבירות דומות. </w:t>
      </w:r>
    </w:p>
    <w:p w14:paraId="56AA7F11" w14:textId="77777777" w:rsidR="007F4EE7" w:rsidRDefault="007F4EE7" w:rsidP="007F4EE7">
      <w:pPr>
        <w:spacing w:line="360" w:lineRule="auto"/>
        <w:jc w:val="both"/>
        <w:rPr>
          <w:rtl/>
        </w:rPr>
      </w:pPr>
    </w:p>
    <w:p w14:paraId="65D99394" w14:textId="77777777" w:rsidR="007F4EE7" w:rsidRDefault="007F4EE7" w:rsidP="007F4EE7">
      <w:pPr>
        <w:spacing w:line="360" w:lineRule="auto"/>
        <w:jc w:val="both"/>
        <w:rPr>
          <w:rtl/>
        </w:rPr>
      </w:pPr>
      <w:r>
        <w:rPr>
          <w:rFonts w:hint="cs"/>
          <w:rtl/>
        </w:rPr>
        <w:t xml:space="preserve">בנסיבותיו של הנאשם, אשר פורטו בפניי בהליך ההוכחות, וכן על ידי שירות המבחן בתסקיר, מצאתי כי מדובר בהפרות צו פיקוח אשר לא מאופיינות בחומרה המחייבת בהכרח מאסר. הנאשם היה בפועל נתון לפיקוח צמוד והוא סר למרות. קציני הפיקוח החזיקו בפועל בכלים שאפשרו הגנה על הציבור מפני הנאשם, וגילו את ההפרה שבשתיית האלכוהול בהמשך לשיתוף פעולה מלא. הסיכון לציבור בגין ההפרה לא היה ברמה גבוהה. </w:t>
      </w:r>
    </w:p>
    <w:p w14:paraId="66FF94E4" w14:textId="77777777" w:rsidR="007F4EE7" w:rsidRDefault="007F4EE7" w:rsidP="007F4EE7">
      <w:pPr>
        <w:spacing w:line="360" w:lineRule="auto"/>
        <w:jc w:val="both"/>
        <w:rPr>
          <w:rtl/>
        </w:rPr>
      </w:pPr>
    </w:p>
    <w:p w14:paraId="75FFDFE4" w14:textId="77777777" w:rsidR="007F4EE7" w:rsidRDefault="007F4EE7" w:rsidP="007F4EE7">
      <w:pPr>
        <w:spacing w:line="360" w:lineRule="auto"/>
        <w:jc w:val="both"/>
        <w:rPr>
          <w:rtl/>
        </w:rPr>
      </w:pPr>
      <w:r>
        <w:rPr>
          <w:rFonts w:hint="cs"/>
          <w:rtl/>
        </w:rPr>
        <w:t xml:space="preserve">מתחם הענישה נע אפוא כאמור בין מאסר על תנאי למאסר של 8 חודשים. </w:t>
      </w:r>
    </w:p>
    <w:p w14:paraId="743D31B3" w14:textId="77777777" w:rsidR="007F4EE7" w:rsidRDefault="007F4EE7" w:rsidP="007F4EE7">
      <w:pPr>
        <w:spacing w:line="360" w:lineRule="auto"/>
        <w:jc w:val="both"/>
        <w:rPr>
          <w:rtl/>
        </w:rPr>
      </w:pPr>
    </w:p>
    <w:p w14:paraId="6AA8943D" w14:textId="77777777" w:rsidR="007F4EE7" w:rsidRDefault="007F4EE7" w:rsidP="007F4EE7">
      <w:pPr>
        <w:spacing w:line="360" w:lineRule="auto"/>
        <w:jc w:val="both"/>
        <w:rPr>
          <w:rtl/>
        </w:rPr>
      </w:pPr>
      <w:r>
        <w:rPr>
          <w:rFonts w:hint="cs"/>
          <w:rtl/>
        </w:rPr>
        <w:t xml:space="preserve">הנאשם יליד 1995. לחובתו הרשעה יחידה, שהינה אותה הרשעה בגינה הוטל צו הפיקוח. מדובר כאמור בעבירות שבוצעו לפני קרוב ל- 9 שנים. הנאשם סיים במלואו את צו הפיקוח אשר הוארך מעת לעת והוא היום חופשי מפיקוח. תסקיר שירות המבחן לא ממליץ אמנם על אפיק טיפולי, ואמנם מתאר בדיקות שתן נקיות מסם, ושילוב במסגרת תעסוקתית קבועה, זוגיות, וחיים נורמטיביים בהווה. </w:t>
      </w:r>
    </w:p>
    <w:p w14:paraId="604BDDDF" w14:textId="77777777" w:rsidR="007F4EE7" w:rsidRDefault="007F4EE7" w:rsidP="007F4EE7">
      <w:pPr>
        <w:spacing w:line="360" w:lineRule="auto"/>
        <w:jc w:val="both"/>
        <w:rPr>
          <w:rtl/>
        </w:rPr>
      </w:pPr>
    </w:p>
    <w:p w14:paraId="598B9B90" w14:textId="77777777" w:rsidR="007F4EE7" w:rsidRDefault="007F4EE7" w:rsidP="007F4EE7">
      <w:pPr>
        <w:spacing w:line="360" w:lineRule="auto"/>
        <w:jc w:val="both"/>
        <w:rPr>
          <w:rtl/>
        </w:rPr>
      </w:pPr>
      <w:r>
        <w:rPr>
          <w:rFonts w:hint="cs"/>
          <w:rtl/>
        </w:rPr>
        <w:t xml:space="preserve">מצאתי לבוא לקראת הנאשם, לבכר את שיקולי הפרנסה והשילוב בחיים יצרניים על פני שיקולי הענישה האחרים, ולמנוע פגיעה כלכלית אשר תיגרם לו אם ייאלץ להיעדר מעבודה לנשיאת מאסר בעבודות שירות. מצאתי לקבוע את עונשו של הנאשם בתחתית מתחם הענישה. </w:t>
      </w:r>
    </w:p>
    <w:p w14:paraId="5BDBBE33" w14:textId="77777777" w:rsidR="007F4EE7" w:rsidRDefault="007F4EE7" w:rsidP="007F4EE7">
      <w:pPr>
        <w:spacing w:line="360" w:lineRule="auto"/>
        <w:jc w:val="both"/>
        <w:rPr>
          <w:rtl/>
        </w:rPr>
      </w:pPr>
    </w:p>
    <w:p w14:paraId="181C9108" w14:textId="77777777" w:rsidR="007F4EE7" w:rsidRDefault="007F4EE7" w:rsidP="007F4EE7">
      <w:pPr>
        <w:spacing w:line="360" w:lineRule="auto"/>
        <w:jc w:val="both"/>
        <w:rPr>
          <w:rtl/>
        </w:rPr>
      </w:pPr>
      <w:r>
        <w:rPr>
          <w:rFonts w:hint="cs"/>
          <w:rtl/>
        </w:rPr>
        <w:t>אני גוזרת את עונשו של הנאשם כדלקמן:</w:t>
      </w:r>
    </w:p>
    <w:p w14:paraId="1AF4A5F7" w14:textId="77777777" w:rsidR="007F4EE7" w:rsidRDefault="007F4EE7" w:rsidP="007F4EE7">
      <w:pPr>
        <w:pStyle w:val="2"/>
        <w:spacing w:line="360" w:lineRule="auto"/>
        <w:jc w:val="both"/>
        <w:rPr>
          <w:rtl/>
        </w:rPr>
      </w:pPr>
    </w:p>
    <w:p w14:paraId="368FC834" w14:textId="77777777" w:rsidR="007F4EE7" w:rsidRDefault="007F4EE7" w:rsidP="007F4EE7">
      <w:pPr>
        <w:spacing w:line="360" w:lineRule="auto"/>
        <w:ind w:left="720" w:hanging="720"/>
        <w:jc w:val="both"/>
        <w:rPr>
          <w:rtl/>
        </w:rPr>
      </w:pPr>
      <w:r>
        <w:rPr>
          <w:rFonts w:hint="cs"/>
          <w:rtl/>
        </w:rPr>
        <w:t>א.</w:t>
      </w:r>
      <w:r>
        <w:rPr>
          <w:rFonts w:hint="cs"/>
          <w:rtl/>
        </w:rPr>
        <w:tab/>
        <w:t xml:space="preserve">מאסר על תנאי לתקופה של 4 חודשים והתנאי הוא כי במשך 3 שנים מהיום, לא יעבור כל עבירה של הפרת צו פיקוח או עבירה של הפרת הוראה חוקית אחרת. </w:t>
      </w:r>
    </w:p>
    <w:p w14:paraId="450033B4" w14:textId="77777777" w:rsidR="007F4EE7" w:rsidRDefault="007F4EE7" w:rsidP="007F4EE7">
      <w:pPr>
        <w:spacing w:line="360" w:lineRule="auto"/>
        <w:ind w:left="720" w:hanging="720"/>
        <w:jc w:val="both"/>
        <w:rPr>
          <w:rtl/>
        </w:rPr>
      </w:pPr>
    </w:p>
    <w:p w14:paraId="33CC5ECD" w14:textId="77777777" w:rsidR="007F4EE7" w:rsidRDefault="007F4EE7" w:rsidP="007F4EE7">
      <w:pPr>
        <w:spacing w:line="360" w:lineRule="auto"/>
        <w:ind w:left="720" w:hanging="720"/>
        <w:jc w:val="both"/>
        <w:rPr>
          <w:rtl/>
        </w:rPr>
      </w:pPr>
      <w:r>
        <w:rPr>
          <w:rFonts w:hint="cs"/>
          <w:rtl/>
        </w:rPr>
        <w:t>ב.</w:t>
      </w:r>
      <w:r>
        <w:rPr>
          <w:rFonts w:hint="cs"/>
          <w:rtl/>
        </w:rPr>
        <w:tab/>
        <w:t xml:space="preserve">מאסר על תנאי לתקופה של חודש והתנאי הוא כי במשך שנתיים מהיום, לא יעבור כל עבירה על </w:t>
      </w:r>
      <w:hyperlink r:id="rId12" w:history="1">
        <w:r w:rsidR="00043A9F" w:rsidRPr="00043A9F">
          <w:rPr>
            <w:color w:val="0000FF"/>
            <w:u w:val="single"/>
            <w:rtl/>
          </w:rPr>
          <w:t>פקודת הסמים המסוכנים</w:t>
        </w:r>
      </w:hyperlink>
      <w:r>
        <w:rPr>
          <w:rFonts w:hint="cs"/>
          <w:rtl/>
        </w:rPr>
        <w:t xml:space="preserve"> אשר אינה נוגעת לשימוש בסמים מסוג קנאביס או חשיש. </w:t>
      </w:r>
    </w:p>
    <w:p w14:paraId="425DB337" w14:textId="77777777" w:rsidR="007F4EE7" w:rsidRDefault="007F4EE7" w:rsidP="007F4EE7">
      <w:pPr>
        <w:spacing w:line="360" w:lineRule="auto"/>
        <w:ind w:left="720" w:hanging="720"/>
        <w:jc w:val="both"/>
        <w:rPr>
          <w:rtl/>
        </w:rPr>
      </w:pPr>
    </w:p>
    <w:p w14:paraId="1FB12F88" w14:textId="77777777" w:rsidR="007F4EE7" w:rsidRDefault="007F4EE7" w:rsidP="007F4EE7">
      <w:pPr>
        <w:spacing w:line="360" w:lineRule="auto"/>
        <w:ind w:left="720" w:hanging="720"/>
        <w:jc w:val="both"/>
        <w:rPr>
          <w:b/>
          <w:bCs/>
          <w:rtl/>
        </w:rPr>
      </w:pPr>
      <w:r>
        <w:rPr>
          <w:rFonts w:hint="cs"/>
          <w:rtl/>
        </w:rPr>
        <w:t>ג.</w:t>
      </w:r>
      <w:r>
        <w:rPr>
          <w:rFonts w:hint="cs"/>
          <w:rtl/>
        </w:rPr>
        <w:tab/>
        <w:t>קנס בסך 1,200 ₪ או 6 ימי מאסר תמורתו. הקנס ישולם עד יום 1.10.2023, אחרת יישא ריבית והצמדה.</w:t>
      </w:r>
    </w:p>
    <w:p w14:paraId="6B79331E" w14:textId="77777777" w:rsidR="007F4EE7" w:rsidRDefault="007F4EE7" w:rsidP="007F4EE7">
      <w:pPr>
        <w:spacing w:line="360" w:lineRule="auto"/>
        <w:jc w:val="both"/>
        <w:rPr>
          <w:rtl/>
        </w:rPr>
      </w:pPr>
    </w:p>
    <w:p w14:paraId="23AB0760" w14:textId="77777777" w:rsidR="007F4EE7" w:rsidRDefault="00043A9F" w:rsidP="007F4EE7">
      <w:pPr>
        <w:pStyle w:val="2"/>
        <w:spacing w:line="360" w:lineRule="auto"/>
        <w:jc w:val="both"/>
        <w:rPr>
          <w:b/>
          <w:bCs/>
          <w:rtl/>
        </w:rPr>
      </w:pPr>
      <w:r w:rsidRPr="00043A9F">
        <w:rPr>
          <w:b/>
          <w:bCs/>
          <w:color w:val="FFFFFF"/>
          <w:sz w:val="2"/>
          <w:szCs w:val="2"/>
          <w:u w:val="single"/>
          <w:rtl/>
        </w:rPr>
        <w:t>5129371</w:t>
      </w:r>
      <w:r w:rsidR="007F4EE7">
        <w:rPr>
          <w:rFonts w:hint="cs"/>
          <w:b/>
          <w:bCs/>
          <w:u w:val="single"/>
          <w:rtl/>
        </w:rPr>
        <w:t>זכות ערעור תוך 45 יום</w:t>
      </w:r>
      <w:r w:rsidR="007F4EE7">
        <w:rPr>
          <w:rFonts w:hint="cs"/>
          <w:b/>
          <w:bCs/>
          <w:rtl/>
        </w:rPr>
        <w:t>.</w:t>
      </w:r>
    </w:p>
    <w:p w14:paraId="7346C2EA" w14:textId="77777777" w:rsidR="007F4EE7" w:rsidRPr="00043A9F" w:rsidRDefault="00043A9F" w:rsidP="007F4EE7">
      <w:pPr>
        <w:rPr>
          <w:rFonts w:ascii="Arial" w:hAnsi="Arial"/>
          <w:b/>
          <w:bCs/>
          <w:color w:val="FFFFFF"/>
          <w:sz w:val="2"/>
          <w:szCs w:val="2"/>
          <w:rtl/>
        </w:rPr>
      </w:pPr>
      <w:r w:rsidRPr="00043A9F">
        <w:rPr>
          <w:rFonts w:ascii="Arial" w:hAnsi="Arial"/>
          <w:b/>
          <w:bCs/>
          <w:color w:val="FFFFFF"/>
          <w:sz w:val="2"/>
          <w:szCs w:val="2"/>
          <w:rtl/>
        </w:rPr>
        <w:t>54678313</w:t>
      </w:r>
    </w:p>
    <w:p w14:paraId="7CB0916D" w14:textId="77777777" w:rsidR="007F4EE7" w:rsidRPr="000F2247" w:rsidRDefault="007F4EE7" w:rsidP="007F4EE7">
      <w:pPr>
        <w:rPr>
          <w:rFonts w:ascii="Arial" w:hAnsi="Arial"/>
          <w:b/>
          <w:bCs/>
          <w:sz w:val="26"/>
          <w:szCs w:val="26"/>
          <w:rtl/>
        </w:rPr>
      </w:pPr>
    </w:p>
    <w:p w14:paraId="1CC7FDB5" w14:textId="77777777" w:rsidR="007F4EE7" w:rsidRPr="000F2247" w:rsidRDefault="00043A9F" w:rsidP="007F4EE7">
      <w:pPr>
        <w:spacing w:line="360" w:lineRule="auto"/>
        <w:jc w:val="both"/>
        <w:rPr>
          <w:rFonts w:ascii="Arial" w:hAnsi="Arial"/>
          <w:b/>
          <w:bCs/>
          <w:sz w:val="26"/>
          <w:szCs w:val="26"/>
          <w:rtl/>
        </w:rPr>
      </w:pPr>
      <w:bookmarkStart w:id="5" w:name="Nitan"/>
      <w:r>
        <w:rPr>
          <w:rFonts w:ascii="Arial" w:hAnsi="Arial"/>
          <w:b/>
          <w:bCs/>
          <w:sz w:val="26"/>
          <w:szCs w:val="26"/>
          <w:rtl/>
        </w:rPr>
        <w:t xml:space="preserve">ניתן היום,  כ"ב תמוז תשפ"ג, 11 יולי 2023, בהעדר הצדדים. </w:t>
      </w:r>
      <w:bookmarkEnd w:id="5"/>
      <w:r w:rsidR="007F4EE7">
        <w:rPr>
          <w:rFonts w:ascii="Arial" w:hAnsi="Arial"/>
          <w:b/>
          <w:bCs/>
          <w:sz w:val="26"/>
          <w:szCs w:val="26"/>
          <w:rtl/>
        </w:rPr>
        <w:tab/>
      </w:r>
      <w:r w:rsidR="007F4EE7">
        <w:rPr>
          <w:rFonts w:ascii="Arial" w:hAnsi="Arial"/>
          <w:b/>
          <w:bCs/>
          <w:sz w:val="26"/>
          <w:szCs w:val="26"/>
          <w:rtl/>
        </w:rPr>
        <w:tab/>
      </w:r>
      <w:r w:rsidR="007F4EE7">
        <w:rPr>
          <w:rFonts w:ascii="Arial" w:hAnsi="Arial"/>
          <w:b/>
          <w:bCs/>
          <w:sz w:val="26"/>
          <w:szCs w:val="26"/>
          <w:rtl/>
        </w:rPr>
        <w:tab/>
      </w:r>
      <w:r w:rsidR="007F4EE7">
        <w:rPr>
          <w:rFonts w:ascii="Arial" w:hAnsi="Arial"/>
          <w:b/>
          <w:bCs/>
          <w:sz w:val="26"/>
          <w:szCs w:val="26"/>
          <w:rtl/>
        </w:rPr>
        <w:tab/>
      </w:r>
      <w:r w:rsidR="007F4EE7">
        <w:rPr>
          <w:rFonts w:ascii="Arial" w:hAnsi="Arial"/>
          <w:b/>
          <w:bCs/>
          <w:sz w:val="26"/>
          <w:szCs w:val="26"/>
          <w:rtl/>
        </w:rPr>
        <w:tab/>
      </w:r>
      <w:r w:rsidR="007F4EE7">
        <w:rPr>
          <w:rFonts w:ascii="Arial" w:hAnsi="Arial"/>
          <w:b/>
          <w:bCs/>
          <w:sz w:val="26"/>
          <w:szCs w:val="26"/>
          <w:rtl/>
        </w:rPr>
        <w:tab/>
      </w:r>
      <w:r w:rsidR="007F4EE7">
        <w:rPr>
          <w:rFonts w:ascii="Arial" w:hAnsi="Arial"/>
          <w:b/>
          <w:bCs/>
          <w:sz w:val="26"/>
          <w:szCs w:val="26"/>
          <w:rtl/>
        </w:rPr>
        <w:tab/>
      </w:r>
      <w:r w:rsidR="007F4EE7">
        <w:rPr>
          <w:rFonts w:ascii="Arial" w:hAnsi="Arial" w:hint="cs"/>
          <w:b/>
          <w:bCs/>
          <w:sz w:val="26"/>
          <w:szCs w:val="26"/>
          <w:rtl/>
        </w:rPr>
        <w:t xml:space="preserve">         </w:t>
      </w:r>
    </w:p>
    <w:p w14:paraId="3F5CCD04" w14:textId="77777777" w:rsidR="007F4EE7" w:rsidRPr="000F2247" w:rsidRDefault="007F4EE7" w:rsidP="00043A9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631D822" w14:textId="77777777" w:rsidR="007F4EE7" w:rsidRPr="000F2247" w:rsidRDefault="007F4EE7" w:rsidP="007F4EE7">
      <w:pPr>
        <w:jc w:val="center"/>
        <w:rPr>
          <w:rFonts w:ascii="Arial" w:hAnsi="Arial"/>
          <w:b/>
          <w:bCs/>
          <w:sz w:val="26"/>
          <w:szCs w:val="26"/>
          <w:rtl/>
        </w:rPr>
      </w:pPr>
    </w:p>
    <w:p w14:paraId="213D8DB5" w14:textId="77777777" w:rsidR="006F1A2F" w:rsidRPr="00043A9F" w:rsidRDefault="006F1A2F" w:rsidP="00043A9F">
      <w:pPr>
        <w:keepNext/>
        <w:rPr>
          <w:rFonts w:ascii="David" w:hAnsi="David"/>
          <w:color w:val="000000"/>
          <w:sz w:val="22"/>
          <w:szCs w:val="22"/>
          <w:rtl/>
        </w:rPr>
      </w:pPr>
    </w:p>
    <w:p w14:paraId="51722E2C" w14:textId="77777777" w:rsidR="00043A9F" w:rsidRPr="00043A9F" w:rsidRDefault="00043A9F" w:rsidP="00043A9F">
      <w:pPr>
        <w:keepNext/>
        <w:rPr>
          <w:rFonts w:ascii="David" w:hAnsi="David"/>
          <w:color w:val="000000"/>
          <w:sz w:val="22"/>
          <w:szCs w:val="22"/>
          <w:rtl/>
        </w:rPr>
      </w:pPr>
      <w:r w:rsidRPr="00043A9F">
        <w:rPr>
          <w:rFonts w:ascii="David" w:hAnsi="David"/>
          <w:color w:val="000000"/>
          <w:sz w:val="22"/>
          <w:szCs w:val="22"/>
          <w:rtl/>
        </w:rPr>
        <w:t>רות שפילברג כהן 54678313</w:t>
      </w:r>
    </w:p>
    <w:p w14:paraId="24622A86" w14:textId="77777777" w:rsidR="00043A9F" w:rsidRDefault="00043A9F" w:rsidP="00043A9F">
      <w:r w:rsidRPr="00043A9F">
        <w:rPr>
          <w:color w:val="000000"/>
          <w:rtl/>
        </w:rPr>
        <w:t>נוסח מסמך זה כפוף לשינויי ניסוח ועריכה</w:t>
      </w:r>
    </w:p>
    <w:p w14:paraId="650616AB" w14:textId="77777777" w:rsidR="00043A9F" w:rsidRDefault="00043A9F" w:rsidP="00043A9F">
      <w:pPr>
        <w:rPr>
          <w:rtl/>
        </w:rPr>
      </w:pPr>
    </w:p>
    <w:p w14:paraId="35A07C9B" w14:textId="77777777" w:rsidR="00043A9F" w:rsidRDefault="00043A9F" w:rsidP="00043A9F">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68D92205" w14:textId="77777777" w:rsidR="00043A9F" w:rsidRPr="00043A9F" w:rsidRDefault="00043A9F" w:rsidP="00043A9F">
      <w:pPr>
        <w:jc w:val="center"/>
        <w:rPr>
          <w:color w:val="0000FF"/>
          <w:u w:val="single"/>
        </w:rPr>
      </w:pPr>
    </w:p>
    <w:sectPr w:rsidR="00043A9F" w:rsidRPr="00043A9F" w:rsidSect="00043A9F">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9DA1D" w14:textId="77777777" w:rsidR="008D6EF5" w:rsidRDefault="008D6EF5" w:rsidP="00FB29FB">
      <w:r>
        <w:separator/>
      </w:r>
    </w:p>
  </w:endnote>
  <w:endnote w:type="continuationSeparator" w:id="0">
    <w:p w14:paraId="516DDA73" w14:textId="77777777" w:rsidR="008D6EF5" w:rsidRDefault="008D6EF5" w:rsidP="00FB2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5F02E" w14:textId="77777777" w:rsidR="00043A9F" w:rsidRDefault="00043A9F" w:rsidP="00043A9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DEBF90B" w14:textId="77777777" w:rsidR="00F65A56" w:rsidRPr="00043A9F" w:rsidRDefault="00043A9F" w:rsidP="00043A9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5DB45" w14:textId="77777777" w:rsidR="00043A9F" w:rsidRDefault="00043A9F" w:rsidP="00043A9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28B7">
      <w:rPr>
        <w:rFonts w:ascii="FrankRuehl" w:hAnsi="FrankRuehl" w:cs="FrankRuehl"/>
        <w:noProof/>
        <w:rtl/>
      </w:rPr>
      <w:t>1</w:t>
    </w:r>
    <w:r>
      <w:rPr>
        <w:rFonts w:ascii="FrankRuehl" w:hAnsi="FrankRuehl" w:cs="FrankRuehl"/>
        <w:rtl/>
      </w:rPr>
      <w:fldChar w:fldCharType="end"/>
    </w:r>
  </w:p>
  <w:p w14:paraId="7619E8BD" w14:textId="77777777" w:rsidR="00F65A56" w:rsidRPr="00043A9F" w:rsidRDefault="00043A9F" w:rsidP="00043A9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44CD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52FF9" w14:textId="77777777" w:rsidR="008D6EF5" w:rsidRDefault="008D6EF5" w:rsidP="00FB29FB">
      <w:r>
        <w:separator/>
      </w:r>
    </w:p>
  </w:footnote>
  <w:footnote w:type="continuationSeparator" w:id="0">
    <w:p w14:paraId="63019FC3" w14:textId="77777777" w:rsidR="008D6EF5" w:rsidRDefault="008D6EF5" w:rsidP="00FB2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D6E95" w14:textId="77777777" w:rsidR="00043A9F" w:rsidRPr="00043A9F" w:rsidRDefault="00043A9F" w:rsidP="00043A9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48404-07-21</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7DB1E" w14:textId="77777777" w:rsidR="00043A9F" w:rsidRPr="00043A9F" w:rsidRDefault="00043A9F" w:rsidP="00043A9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48404-07-21</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F4EE7"/>
    <w:rsid w:val="00043A9F"/>
    <w:rsid w:val="001B5A3B"/>
    <w:rsid w:val="003528B7"/>
    <w:rsid w:val="006F1A2F"/>
    <w:rsid w:val="00737110"/>
    <w:rsid w:val="007D3C99"/>
    <w:rsid w:val="007F4EE7"/>
    <w:rsid w:val="008D6EF5"/>
    <w:rsid w:val="00C92095"/>
    <w:rsid w:val="00CF0AE9"/>
    <w:rsid w:val="00DE7087"/>
    <w:rsid w:val="00E81186"/>
    <w:rsid w:val="00F02A14"/>
    <w:rsid w:val="00F24387"/>
    <w:rsid w:val="00F65A56"/>
    <w:rsid w:val="00FB29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D1BF00"/>
  <w15:chartTrackingRefBased/>
  <w15:docId w15:val="{5E7FFDC7-E2F4-4B73-9DBF-5E1FD1F3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F4EE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F4EE7"/>
    <w:pPr>
      <w:tabs>
        <w:tab w:val="center" w:pos="4153"/>
        <w:tab w:val="right" w:pos="8306"/>
      </w:tabs>
    </w:pPr>
  </w:style>
  <w:style w:type="character" w:customStyle="1" w:styleId="a4">
    <w:name w:val="כותרת עליונה תו"/>
    <w:link w:val="a3"/>
    <w:rsid w:val="007F4EE7"/>
    <w:rPr>
      <w:rFonts w:ascii="Times New Roman" w:eastAsia="Times New Roman" w:hAnsi="Times New Roman" w:cs="David"/>
      <w:sz w:val="24"/>
      <w:szCs w:val="24"/>
    </w:rPr>
  </w:style>
  <w:style w:type="paragraph" w:styleId="a5">
    <w:name w:val="footer"/>
    <w:basedOn w:val="a"/>
    <w:link w:val="a6"/>
    <w:rsid w:val="007F4EE7"/>
    <w:pPr>
      <w:tabs>
        <w:tab w:val="center" w:pos="4153"/>
        <w:tab w:val="right" w:pos="8306"/>
      </w:tabs>
    </w:pPr>
  </w:style>
  <w:style w:type="character" w:customStyle="1" w:styleId="a6">
    <w:name w:val="כותרת תחתונה תו"/>
    <w:link w:val="a5"/>
    <w:rsid w:val="007F4EE7"/>
    <w:rPr>
      <w:rFonts w:ascii="Times New Roman" w:eastAsia="Times New Roman" w:hAnsi="Times New Roman" w:cs="David"/>
      <w:sz w:val="24"/>
      <w:szCs w:val="24"/>
    </w:rPr>
  </w:style>
  <w:style w:type="table" w:styleId="a7">
    <w:name w:val="Table Grid"/>
    <w:basedOn w:val="a1"/>
    <w:rsid w:val="007F4EE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F4EE7"/>
  </w:style>
  <w:style w:type="paragraph" w:styleId="2">
    <w:name w:val="Body Text 2"/>
    <w:basedOn w:val="a"/>
    <w:link w:val="20"/>
    <w:rsid w:val="007F4EE7"/>
    <w:pPr>
      <w:spacing w:after="120" w:line="480" w:lineRule="auto"/>
    </w:pPr>
    <w:rPr>
      <w:rFonts w:ascii="David" w:eastAsia="David" w:hAnsi="David"/>
    </w:rPr>
  </w:style>
  <w:style w:type="character" w:customStyle="1" w:styleId="20">
    <w:name w:val="גוף טקסט 2 תו"/>
    <w:link w:val="2"/>
    <w:rsid w:val="007F4EE7"/>
    <w:rPr>
      <w:rFonts w:ascii="David" w:eastAsia="David" w:hAnsi="David" w:cs="David"/>
      <w:sz w:val="24"/>
      <w:szCs w:val="24"/>
    </w:rPr>
  </w:style>
  <w:style w:type="character" w:styleId="Hyperlink">
    <w:name w:val="Hyperlink"/>
    <w:rsid w:val="00043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90730"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90730" TargetMode="External"/><Relationship Id="rId11" Type="http://schemas.openxmlformats.org/officeDocument/2006/relationships/hyperlink" Target="http://www.nevo.co.il/case/27714017"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case/23178718"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case/21736712"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4860</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3145842</vt:i4>
      </vt:variant>
      <vt:variant>
        <vt:i4>15</vt:i4>
      </vt:variant>
      <vt:variant>
        <vt:i4>0</vt:i4>
      </vt:variant>
      <vt:variant>
        <vt:i4>5</vt:i4>
      </vt:variant>
      <vt:variant>
        <vt:lpwstr>http://www.nevo.co.il/case/27714017</vt:lpwstr>
      </vt:variant>
      <vt:variant>
        <vt:lpwstr/>
      </vt:variant>
      <vt:variant>
        <vt:i4>3801207</vt:i4>
      </vt:variant>
      <vt:variant>
        <vt:i4>12</vt:i4>
      </vt:variant>
      <vt:variant>
        <vt:i4>0</vt:i4>
      </vt:variant>
      <vt:variant>
        <vt:i4>5</vt:i4>
      </vt:variant>
      <vt:variant>
        <vt:lpwstr>http://www.nevo.co.il/case/23178718</vt:lpwstr>
      </vt:variant>
      <vt:variant>
        <vt:lpwstr/>
      </vt:variant>
      <vt:variant>
        <vt:i4>3276913</vt:i4>
      </vt:variant>
      <vt:variant>
        <vt:i4>9</vt:i4>
      </vt:variant>
      <vt:variant>
        <vt:i4>0</vt:i4>
      </vt:variant>
      <vt:variant>
        <vt:i4>5</vt:i4>
      </vt:variant>
      <vt:variant>
        <vt:lpwstr>http://www.nevo.co.il/case/21736712</vt:lpwstr>
      </vt:variant>
      <vt:variant>
        <vt:lpwstr/>
      </vt:variant>
      <vt:variant>
        <vt:i4>7929966</vt:i4>
      </vt:variant>
      <vt:variant>
        <vt:i4>6</vt:i4>
      </vt:variant>
      <vt:variant>
        <vt:i4>0</vt:i4>
      </vt:variant>
      <vt:variant>
        <vt:i4>5</vt:i4>
      </vt:variant>
      <vt:variant>
        <vt:lpwstr>http://www.nevo.co.il/law/90730</vt:lpwstr>
      </vt:variant>
      <vt:variant>
        <vt:lpwstr/>
      </vt:variant>
      <vt:variant>
        <vt:i4>8257637</vt:i4>
      </vt:variant>
      <vt:variant>
        <vt:i4>3</vt:i4>
      </vt:variant>
      <vt:variant>
        <vt:i4>0</vt:i4>
      </vt:variant>
      <vt:variant>
        <vt:i4>5</vt:i4>
      </vt:variant>
      <vt:variant>
        <vt:lpwstr>http://www.nevo.co.il/law/4216</vt:lpwstr>
      </vt:variant>
      <vt:variant>
        <vt:lpwstr/>
      </vt:variant>
      <vt:variant>
        <vt:i4>7929966</vt:i4>
      </vt:variant>
      <vt:variant>
        <vt:i4>0</vt:i4>
      </vt:variant>
      <vt:variant>
        <vt:i4>0</vt:i4>
      </vt:variant>
      <vt:variant>
        <vt:i4>5</vt:i4>
      </vt:variant>
      <vt:variant>
        <vt:lpwstr>http://www.nevo.co.il/law/90730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2025-04-23T01:07:00Z</dcterms:created>
  <dcterms:modified xsi:type="dcterms:W3CDTF">2025-04-23T01:07:00Z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48404</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20230711</vt:lpwstr>
  </property>
  <property fmtid="{D5CDD505-2E9C-101B-9397-08002B2CF9AE}" pid="13" name="TYPE_N_DATE">
    <vt:lpwstr>38020230711</vt:lpwstr>
  </property>
  <property fmtid="{D5CDD505-2E9C-101B-9397-08002B2CF9AE}" pid="14" name="WORDNUMPAGES">
    <vt:lpwstr>4</vt:lpwstr>
  </property>
  <property fmtid="{D5CDD505-2E9C-101B-9397-08002B2CF9AE}" pid="15" name="TYPE_ABS_DATE">
    <vt:lpwstr>380020230711</vt:lpwstr>
  </property>
  <property fmtid="{D5CDD505-2E9C-101B-9397-08002B2CF9AE}" pid="16" name="CASESLISTTMP1">
    <vt:lpwstr>21736712;23178718;27714017</vt:lpwstr>
  </property>
  <property fmtid="{D5CDD505-2E9C-101B-9397-08002B2CF9AE}" pid="17" name="LAWLISTTMP1">
    <vt:lpwstr>90730</vt:lpwstr>
  </property>
  <property fmtid="{D5CDD505-2E9C-101B-9397-08002B2CF9AE}" pid="18" name="LAWLISTTMP2">
    <vt:lpwstr>4216</vt:lpwstr>
  </property>
</Properties>
</file>