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99413C" w:rsidRPr="00D77ADF" w14:paraId="2AC366CD" w14:textId="77777777" w:rsidTr="00581FB3">
        <w:trPr>
          <w:trHeight w:hRule="exact" w:val="418"/>
          <w:jc w:val="center"/>
        </w:trPr>
        <w:tc>
          <w:tcPr>
            <w:tcW w:w="8721" w:type="dxa"/>
            <w:gridSpan w:val="2"/>
          </w:tcPr>
          <w:p w14:paraId="018D74B8" w14:textId="77777777" w:rsidR="0099413C" w:rsidRPr="00D77ADF" w:rsidRDefault="0099413C" w:rsidP="00581FB3">
            <w:pPr>
              <w:pStyle w:val="a3"/>
              <w:jc w:val="center"/>
              <w:rPr>
                <w:rFonts w:ascii="Tahoma" w:hAnsi="Tahoma" w:cs="Tahoma"/>
                <w:color w:val="000080"/>
                <w:rtl/>
              </w:rPr>
            </w:pPr>
            <w:r w:rsidRPr="00D77ADF">
              <w:rPr>
                <w:rFonts w:ascii="Tahoma" w:hAnsi="Tahoma" w:cs="Tahoma"/>
                <w:b/>
                <w:bCs/>
                <w:color w:val="000080"/>
                <w:rtl/>
              </w:rPr>
              <w:t>בית משפט השלום בקריית גת</w:t>
            </w:r>
          </w:p>
        </w:tc>
      </w:tr>
      <w:tr w:rsidR="0099413C" w:rsidRPr="00D77ADF" w14:paraId="375AE1D2" w14:textId="77777777" w:rsidTr="00581FB3">
        <w:trPr>
          <w:trHeight w:val="337"/>
          <w:jc w:val="center"/>
        </w:trPr>
        <w:tc>
          <w:tcPr>
            <w:tcW w:w="5047" w:type="dxa"/>
          </w:tcPr>
          <w:p w14:paraId="254B838B" w14:textId="77777777" w:rsidR="0099413C" w:rsidRPr="00D77ADF" w:rsidRDefault="0099413C" w:rsidP="00581FB3">
            <w:pPr>
              <w:rPr>
                <w:b/>
                <w:bCs/>
                <w:sz w:val="26"/>
                <w:szCs w:val="26"/>
                <w:rtl/>
              </w:rPr>
            </w:pPr>
          </w:p>
        </w:tc>
        <w:tc>
          <w:tcPr>
            <w:tcW w:w="3674" w:type="dxa"/>
          </w:tcPr>
          <w:p w14:paraId="5D022BE5" w14:textId="77777777" w:rsidR="0099413C" w:rsidRPr="00D77ADF" w:rsidRDefault="0099413C" w:rsidP="00581FB3">
            <w:pPr>
              <w:pStyle w:val="a3"/>
              <w:jc w:val="right"/>
              <w:rPr>
                <w:b/>
                <w:bCs/>
                <w:sz w:val="26"/>
                <w:szCs w:val="26"/>
                <w:rtl/>
              </w:rPr>
            </w:pPr>
            <w:r w:rsidRPr="00D77ADF">
              <w:rPr>
                <w:rFonts w:hint="cs"/>
                <w:b/>
                <w:bCs/>
                <w:sz w:val="26"/>
                <w:szCs w:val="26"/>
                <w:rtl/>
              </w:rPr>
              <w:t>20 יולי 2022</w:t>
            </w:r>
          </w:p>
        </w:tc>
      </w:tr>
      <w:tr w:rsidR="0099413C" w:rsidRPr="00D77ADF" w14:paraId="4BAA1B14" w14:textId="77777777" w:rsidTr="00581FB3">
        <w:trPr>
          <w:trHeight w:val="337"/>
          <w:jc w:val="center"/>
        </w:trPr>
        <w:tc>
          <w:tcPr>
            <w:tcW w:w="8721" w:type="dxa"/>
            <w:gridSpan w:val="2"/>
          </w:tcPr>
          <w:p w14:paraId="34960D8E" w14:textId="77777777" w:rsidR="0099413C" w:rsidRPr="00D77ADF" w:rsidRDefault="0099413C" w:rsidP="00581FB3">
            <w:pPr>
              <w:rPr>
                <w:b/>
                <w:bCs/>
                <w:sz w:val="26"/>
                <w:szCs w:val="26"/>
                <w:rtl/>
              </w:rPr>
            </w:pPr>
            <w:r w:rsidRPr="00D77ADF">
              <w:rPr>
                <w:b/>
                <w:bCs/>
                <w:sz w:val="26"/>
                <w:szCs w:val="26"/>
                <w:rtl/>
              </w:rPr>
              <w:t>ת"פ 1054-08-21 מדינת ישראל נ' פוטרייצ'נקו</w:t>
            </w:r>
          </w:p>
          <w:p w14:paraId="7B92D95F" w14:textId="77777777" w:rsidR="0099413C" w:rsidRPr="00D77ADF" w:rsidRDefault="0099413C" w:rsidP="00581FB3">
            <w:pPr>
              <w:rPr>
                <w:rtl/>
              </w:rPr>
            </w:pPr>
          </w:p>
        </w:tc>
      </w:tr>
    </w:tbl>
    <w:p w14:paraId="57DDBAFC" w14:textId="77777777" w:rsidR="0099413C" w:rsidRPr="00D77ADF" w:rsidRDefault="0099413C" w:rsidP="0099413C"/>
    <w:tbl>
      <w:tblPr>
        <w:bidiVisual/>
        <w:tblW w:w="0" w:type="auto"/>
        <w:jc w:val="center"/>
        <w:tblLook w:val="0000" w:firstRow="0" w:lastRow="0" w:firstColumn="0" w:lastColumn="0" w:noHBand="0" w:noVBand="0"/>
      </w:tblPr>
      <w:tblGrid>
        <w:gridCol w:w="873"/>
        <w:gridCol w:w="7848"/>
      </w:tblGrid>
      <w:tr w:rsidR="0099413C" w:rsidRPr="00D77ADF" w14:paraId="2A244AAD" w14:textId="77777777" w:rsidTr="00581FB3">
        <w:trPr>
          <w:trHeight w:val="337"/>
          <w:jc w:val="center"/>
        </w:trPr>
        <w:tc>
          <w:tcPr>
            <w:tcW w:w="873" w:type="dxa"/>
          </w:tcPr>
          <w:p w14:paraId="705B44E3" w14:textId="77777777" w:rsidR="0099413C" w:rsidRPr="00D77ADF" w:rsidRDefault="0099413C" w:rsidP="00581FB3">
            <w:pPr>
              <w:tabs>
                <w:tab w:val="left" w:pos="1710"/>
              </w:tabs>
              <w:rPr>
                <w:b/>
                <w:bCs/>
                <w:sz w:val="28"/>
                <w:szCs w:val="28"/>
                <w:rtl/>
              </w:rPr>
            </w:pPr>
            <w:r w:rsidRPr="00D77ADF">
              <w:rPr>
                <w:rFonts w:hint="cs"/>
                <w:b/>
                <w:bCs/>
                <w:sz w:val="28"/>
                <w:szCs w:val="28"/>
                <w:rtl/>
              </w:rPr>
              <w:t>בפני</w:t>
            </w:r>
          </w:p>
        </w:tc>
        <w:tc>
          <w:tcPr>
            <w:tcW w:w="7848" w:type="dxa"/>
          </w:tcPr>
          <w:p w14:paraId="786EB584" w14:textId="77777777" w:rsidR="0099413C" w:rsidRPr="00D77ADF" w:rsidRDefault="0099413C" w:rsidP="00581FB3">
            <w:pPr>
              <w:rPr>
                <w:rFonts w:ascii="Arial" w:hAnsi="Arial"/>
                <w:b/>
                <w:bCs/>
                <w:sz w:val="28"/>
                <w:szCs w:val="28"/>
                <w:rtl/>
              </w:rPr>
            </w:pPr>
            <w:r w:rsidRPr="00D77ADF">
              <w:rPr>
                <w:rFonts w:ascii="Arial" w:hAnsi="Arial" w:hint="cs"/>
                <w:b/>
                <w:bCs/>
                <w:sz w:val="28"/>
                <w:szCs w:val="28"/>
                <w:rtl/>
              </w:rPr>
              <w:t xml:space="preserve">כב' השופטת </w:t>
            </w:r>
            <w:r w:rsidRPr="00D77ADF">
              <w:rPr>
                <w:rFonts w:ascii="Arial" w:hAnsi="Arial"/>
                <w:b/>
                <w:bCs/>
                <w:sz w:val="28"/>
                <w:szCs w:val="28"/>
                <w:rtl/>
              </w:rPr>
              <w:t>נגה שמואלי-מאייר</w:t>
            </w:r>
            <w:r w:rsidRPr="00D77ADF">
              <w:rPr>
                <w:rFonts w:ascii="Arial" w:hAnsi="Arial" w:hint="cs"/>
                <w:b/>
                <w:bCs/>
                <w:sz w:val="28"/>
                <w:szCs w:val="28"/>
                <w:rtl/>
              </w:rPr>
              <w:t>, סגנית נשיא</w:t>
            </w:r>
          </w:p>
          <w:p w14:paraId="4A368F4D" w14:textId="77777777" w:rsidR="0099413C" w:rsidRPr="00D77ADF" w:rsidRDefault="0099413C" w:rsidP="00581FB3">
            <w:pPr>
              <w:tabs>
                <w:tab w:val="left" w:pos="1710"/>
              </w:tabs>
              <w:rPr>
                <w:rtl/>
              </w:rPr>
            </w:pPr>
          </w:p>
        </w:tc>
      </w:tr>
    </w:tbl>
    <w:p w14:paraId="4D51902F" w14:textId="77777777" w:rsidR="0099413C" w:rsidRPr="00D77ADF" w:rsidRDefault="0099413C" w:rsidP="0099413C">
      <w:pPr>
        <w:pStyle w:val="a3"/>
        <w:rPr>
          <w:rtl/>
        </w:rPr>
      </w:pPr>
      <w:bookmarkStart w:id="0" w:name="LastJudge"/>
      <w:bookmarkEnd w:id="0"/>
      <w:r w:rsidRPr="00D77ADF">
        <w:rPr>
          <w:rtl/>
        </w:rPr>
        <w:t xml:space="preserve"> </w:t>
      </w:r>
    </w:p>
    <w:p w14:paraId="4D1543E6" w14:textId="77777777" w:rsidR="0099413C" w:rsidRPr="00D77ADF" w:rsidRDefault="0099413C" w:rsidP="0099413C">
      <w:pPr>
        <w:spacing w:line="360" w:lineRule="auto"/>
        <w:jc w:val="both"/>
        <w:rPr>
          <w:rFonts w:ascii="David" w:hAnsi="David"/>
          <w:sz w:val="28"/>
          <w:szCs w:val="28"/>
          <w:rtl/>
        </w:rPr>
      </w:pPr>
    </w:p>
    <w:p w14:paraId="43DAACD1" w14:textId="77777777" w:rsidR="0099413C" w:rsidRPr="00D77ADF" w:rsidRDefault="0099413C" w:rsidP="0099413C">
      <w:pPr>
        <w:spacing w:line="360" w:lineRule="auto"/>
        <w:jc w:val="both"/>
        <w:rPr>
          <w:rFonts w:ascii="David" w:hAnsi="David"/>
          <w:sz w:val="28"/>
          <w:szCs w:val="28"/>
          <w:rtl/>
        </w:rPr>
      </w:pPr>
    </w:p>
    <w:tbl>
      <w:tblPr>
        <w:bidiVisual/>
        <w:tblW w:w="8820" w:type="dxa"/>
        <w:jc w:val="center"/>
        <w:tblLook w:val="01E0" w:firstRow="1" w:lastRow="1" w:firstColumn="1" w:lastColumn="1" w:noHBand="0" w:noVBand="0"/>
      </w:tblPr>
      <w:tblGrid>
        <w:gridCol w:w="5603"/>
        <w:gridCol w:w="3217"/>
      </w:tblGrid>
      <w:tr w:rsidR="0099413C" w:rsidRPr="00D77ADF" w14:paraId="0BAB71FE" w14:textId="77777777" w:rsidTr="0099413C">
        <w:trPr>
          <w:jc w:val="center"/>
        </w:trPr>
        <w:tc>
          <w:tcPr>
            <w:tcW w:w="5603" w:type="dxa"/>
            <w:shd w:val="clear" w:color="auto" w:fill="auto"/>
          </w:tcPr>
          <w:p w14:paraId="372494BC" w14:textId="77777777" w:rsidR="0099413C" w:rsidRPr="00D77ADF" w:rsidRDefault="0099413C" w:rsidP="0099413C">
            <w:pPr>
              <w:spacing w:line="360" w:lineRule="auto"/>
              <w:jc w:val="both"/>
              <w:rPr>
                <w:rFonts w:ascii="David" w:hAnsi="David"/>
                <w:b/>
                <w:bCs/>
                <w:sz w:val="28"/>
                <w:szCs w:val="28"/>
                <w:rtl/>
              </w:rPr>
            </w:pPr>
            <w:bookmarkStart w:id="1" w:name="FirstAppellant"/>
            <w:bookmarkStart w:id="2" w:name="FirstLawyer"/>
            <w:r w:rsidRPr="00D77ADF">
              <w:rPr>
                <w:rFonts w:ascii="David" w:hAnsi="David"/>
                <w:b/>
                <w:bCs/>
                <w:sz w:val="28"/>
                <w:szCs w:val="28"/>
                <w:rtl/>
              </w:rPr>
              <w:t>מדינת ישראל</w:t>
            </w:r>
          </w:p>
          <w:p w14:paraId="116ABCBA" w14:textId="77777777" w:rsidR="0099413C" w:rsidRPr="00D77ADF" w:rsidRDefault="0099413C" w:rsidP="0099413C">
            <w:pPr>
              <w:spacing w:line="360" w:lineRule="auto"/>
              <w:jc w:val="both"/>
              <w:rPr>
                <w:rFonts w:ascii="David" w:hAnsi="David"/>
                <w:b/>
                <w:bCs/>
                <w:sz w:val="28"/>
                <w:szCs w:val="28"/>
                <w:rtl/>
              </w:rPr>
            </w:pPr>
            <w:r w:rsidRPr="00D77ADF">
              <w:rPr>
                <w:rFonts w:ascii="David" w:hAnsi="David"/>
                <w:b/>
                <w:bCs/>
                <w:sz w:val="28"/>
                <w:szCs w:val="28"/>
                <w:rtl/>
              </w:rPr>
              <w:t xml:space="preserve">ע"י ב"כ עו"ד </w:t>
            </w:r>
            <w:r w:rsidRPr="00D77ADF">
              <w:rPr>
                <w:rFonts w:ascii="David" w:hAnsi="David" w:hint="cs"/>
                <w:b/>
                <w:bCs/>
                <w:sz w:val="28"/>
                <w:szCs w:val="28"/>
                <w:rtl/>
              </w:rPr>
              <w:t>הילה מלול</w:t>
            </w:r>
            <w:r w:rsidRPr="00D77ADF">
              <w:rPr>
                <w:rFonts w:ascii="David" w:hAnsi="David"/>
                <w:b/>
                <w:bCs/>
                <w:sz w:val="28"/>
                <w:szCs w:val="28"/>
                <w:rtl/>
              </w:rPr>
              <w:t xml:space="preserve"> – נוכחת </w:t>
            </w:r>
          </w:p>
        </w:tc>
        <w:tc>
          <w:tcPr>
            <w:tcW w:w="3217" w:type="dxa"/>
            <w:shd w:val="clear" w:color="auto" w:fill="auto"/>
          </w:tcPr>
          <w:p w14:paraId="46D6E989" w14:textId="77777777" w:rsidR="0099413C" w:rsidRPr="00D77ADF" w:rsidRDefault="0099413C" w:rsidP="0099413C">
            <w:pPr>
              <w:bidi w:val="0"/>
              <w:spacing w:line="360" w:lineRule="auto"/>
              <w:jc w:val="right"/>
              <w:rPr>
                <w:rFonts w:ascii="David" w:hAnsi="David"/>
                <w:b/>
                <w:bCs/>
                <w:sz w:val="28"/>
                <w:szCs w:val="28"/>
                <w:rtl/>
              </w:rPr>
            </w:pPr>
            <w:r w:rsidRPr="00D77ADF">
              <w:rPr>
                <w:rFonts w:ascii="David" w:hAnsi="David"/>
                <w:b/>
                <w:bCs/>
                <w:sz w:val="28"/>
                <w:szCs w:val="28"/>
                <w:rtl/>
              </w:rPr>
              <w:t>המאשימה</w:t>
            </w:r>
          </w:p>
          <w:p w14:paraId="3DCA0EED" w14:textId="77777777" w:rsidR="0099413C" w:rsidRPr="00D77ADF" w:rsidRDefault="0099413C" w:rsidP="0099413C">
            <w:pPr>
              <w:spacing w:line="360" w:lineRule="auto"/>
              <w:jc w:val="both"/>
              <w:rPr>
                <w:rFonts w:ascii="David" w:hAnsi="David"/>
                <w:b/>
                <w:bCs/>
                <w:sz w:val="28"/>
                <w:szCs w:val="28"/>
                <w:rtl/>
              </w:rPr>
            </w:pPr>
          </w:p>
        </w:tc>
      </w:tr>
      <w:bookmarkEnd w:id="1"/>
      <w:bookmarkEnd w:id="2"/>
      <w:tr w:rsidR="0099413C" w:rsidRPr="00D77ADF" w14:paraId="10F40328" w14:textId="77777777" w:rsidTr="0099413C">
        <w:trPr>
          <w:jc w:val="center"/>
        </w:trPr>
        <w:tc>
          <w:tcPr>
            <w:tcW w:w="8820" w:type="dxa"/>
            <w:gridSpan w:val="2"/>
            <w:shd w:val="clear" w:color="auto" w:fill="auto"/>
          </w:tcPr>
          <w:p w14:paraId="4B40D339" w14:textId="77777777" w:rsidR="0099413C" w:rsidRPr="00D77ADF" w:rsidRDefault="0099413C" w:rsidP="0099413C">
            <w:pPr>
              <w:spacing w:line="360" w:lineRule="auto"/>
              <w:jc w:val="center"/>
              <w:rPr>
                <w:rFonts w:ascii="David" w:hAnsi="David"/>
                <w:b/>
                <w:bCs/>
                <w:sz w:val="28"/>
                <w:szCs w:val="28"/>
              </w:rPr>
            </w:pPr>
            <w:r w:rsidRPr="00D77ADF">
              <w:rPr>
                <w:rFonts w:ascii="David" w:hAnsi="David"/>
                <w:b/>
                <w:bCs/>
                <w:sz w:val="28"/>
                <w:szCs w:val="28"/>
                <w:rtl/>
              </w:rPr>
              <w:t>נ ג ד</w:t>
            </w:r>
          </w:p>
        </w:tc>
      </w:tr>
      <w:tr w:rsidR="0099413C" w:rsidRPr="00D77ADF" w14:paraId="6E7979ED" w14:textId="77777777" w:rsidTr="0099413C">
        <w:trPr>
          <w:jc w:val="center"/>
        </w:trPr>
        <w:tc>
          <w:tcPr>
            <w:tcW w:w="5603" w:type="dxa"/>
            <w:shd w:val="clear" w:color="auto" w:fill="auto"/>
          </w:tcPr>
          <w:p w14:paraId="7C29DA03" w14:textId="77777777" w:rsidR="0099413C" w:rsidRPr="00D77ADF" w:rsidRDefault="0099413C" w:rsidP="0099413C">
            <w:pPr>
              <w:spacing w:line="360" w:lineRule="auto"/>
              <w:jc w:val="both"/>
              <w:rPr>
                <w:rFonts w:ascii="David" w:hAnsi="David"/>
                <w:sz w:val="28"/>
                <w:szCs w:val="28"/>
              </w:rPr>
            </w:pPr>
            <w:r w:rsidRPr="00D77ADF">
              <w:rPr>
                <w:rFonts w:ascii="David" w:hAnsi="David"/>
                <w:b/>
                <w:bCs/>
                <w:sz w:val="28"/>
                <w:szCs w:val="28"/>
                <w:rtl/>
              </w:rPr>
              <w:t xml:space="preserve">דניס פוטרייצ'נקו – נוכח </w:t>
            </w:r>
          </w:p>
          <w:p w14:paraId="6C9DA60A" w14:textId="77777777" w:rsidR="0099413C" w:rsidRPr="00D77ADF" w:rsidRDefault="0099413C" w:rsidP="0099413C">
            <w:pPr>
              <w:spacing w:line="360" w:lineRule="auto"/>
              <w:jc w:val="both"/>
              <w:rPr>
                <w:rFonts w:ascii="David" w:hAnsi="David"/>
                <w:b/>
                <w:bCs/>
                <w:sz w:val="28"/>
                <w:szCs w:val="28"/>
                <w:rtl/>
              </w:rPr>
            </w:pPr>
            <w:r w:rsidRPr="00D77ADF">
              <w:rPr>
                <w:rFonts w:ascii="David" w:hAnsi="David"/>
                <w:b/>
                <w:bCs/>
                <w:sz w:val="28"/>
                <w:szCs w:val="28"/>
                <w:rtl/>
              </w:rPr>
              <w:t xml:space="preserve">ע"י ב"כ עו"ד יורם סגי-זקס – </w:t>
            </w:r>
            <w:r w:rsidRPr="00D77ADF">
              <w:rPr>
                <w:rFonts w:ascii="David" w:hAnsi="David" w:hint="cs"/>
                <w:b/>
                <w:bCs/>
                <w:sz w:val="28"/>
                <w:szCs w:val="28"/>
                <w:rtl/>
              </w:rPr>
              <w:t>בהעדר</w:t>
            </w:r>
          </w:p>
          <w:p w14:paraId="76F7BEB2" w14:textId="77777777" w:rsidR="0099413C" w:rsidRPr="00D77ADF" w:rsidRDefault="0099413C" w:rsidP="0099413C">
            <w:pPr>
              <w:spacing w:line="360" w:lineRule="auto"/>
              <w:jc w:val="both"/>
              <w:rPr>
                <w:rFonts w:ascii="David" w:hAnsi="David"/>
                <w:b/>
                <w:bCs/>
                <w:sz w:val="28"/>
                <w:szCs w:val="28"/>
                <w:rtl/>
              </w:rPr>
            </w:pPr>
            <w:r w:rsidRPr="00D77ADF">
              <w:rPr>
                <w:rFonts w:ascii="David" w:hAnsi="David" w:hint="cs"/>
                <w:b/>
                <w:bCs/>
                <w:sz w:val="28"/>
                <w:szCs w:val="28"/>
                <w:rtl/>
              </w:rPr>
              <w:t xml:space="preserve">עו"ד יאיר לחן (בשם עו"ד סגי-זקס) </w:t>
            </w:r>
            <w:r w:rsidRPr="00D77ADF">
              <w:rPr>
                <w:rFonts w:ascii="David" w:hAnsi="David"/>
                <w:b/>
                <w:bCs/>
                <w:sz w:val="28"/>
                <w:szCs w:val="28"/>
                <w:rtl/>
              </w:rPr>
              <w:t>–</w:t>
            </w:r>
            <w:r w:rsidRPr="00D77ADF">
              <w:rPr>
                <w:rFonts w:ascii="David" w:hAnsi="David" w:hint="cs"/>
                <w:b/>
                <w:bCs/>
                <w:sz w:val="28"/>
                <w:szCs w:val="28"/>
                <w:rtl/>
              </w:rPr>
              <w:t xml:space="preserve"> נוכח</w:t>
            </w:r>
          </w:p>
        </w:tc>
        <w:tc>
          <w:tcPr>
            <w:tcW w:w="3217" w:type="dxa"/>
            <w:shd w:val="clear" w:color="auto" w:fill="auto"/>
          </w:tcPr>
          <w:p w14:paraId="195BB69E" w14:textId="77777777" w:rsidR="0099413C" w:rsidRPr="00D77ADF" w:rsidRDefault="0099413C" w:rsidP="0099413C">
            <w:pPr>
              <w:spacing w:line="360" w:lineRule="auto"/>
              <w:jc w:val="both"/>
              <w:rPr>
                <w:rFonts w:ascii="David" w:hAnsi="David"/>
                <w:b/>
                <w:bCs/>
                <w:sz w:val="28"/>
                <w:szCs w:val="28"/>
                <w:rtl/>
              </w:rPr>
            </w:pPr>
            <w:r w:rsidRPr="00D77ADF">
              <w:rPr>
                <w:rFonts w:ascii="David" w:hAnsi="David"/>
                <w:b/>
                <w:bCs/>
                <w:sz w:val="28"/>
                <w:szCs w:val="28"/>
                <w:rtl/>
              </w:rPr>
              <w:t>הנאשם</w:t>
            </w:r>
          </w:p>
        </w:tc>
      </w:tr>
    </w:tbl>
    <w:p w14:paraId="45477195" w14:textId="77777777" w:rsidR="00B205EF" w:rsidRPr="00B205EF" w:rsidRDefault="00B205EF" w:rsidP="00B205EF">
      <w:pPr>
        <w:pStyle w:val="1"/>
        <w:spacing w:before="120" w:after="120" w:line="240" w:lineRule="exact"/>
        <w:ind w:left="283" w:hanging="283"/>
        <w:jc w:val="both"/>
        <w:rPr>
          <w:rFonts w:ascii="FrankRuehl" w:hAnsi="FrankRuehl" w:cs="FrankRuehl"/>
          <w:color w:val="auto"/>
          <w:sz w:val="24"/>
          <w:szCs w:val="24"/>
          <w:rtl/>
        </w:rPr>
      </w:pPr>
    </w:p>
    <w:p w14:paraId="60DD3DF7" w14:textId="77777777" w:rsidR="00627444" w:rsidRDefault="00627444" w:rsidP="00627444">
      <w:pPr>
        <w:pStyle w:val="1"/>
        <w:spacing w:before="0" w:line="360" w:lineRule="auto"/>
        <w:ind w:left="360"/>
        <w:jc w:val="both"/>
        <w:rPr>
          <w:rFonts w:ascii="David" w:hAnsi="David" w:cs="David"/>
          <w:color w:val="auto"/>
          <w:sz w:val="28"/>
          <w:szCs w:val="28"/>
          <w:rtl/>
        </w:rPr>
      </w:pPr>
      <w:bookmarkStart w:id="3" w:name="LawTable"/>
      <w:bookmarkEnd w:id="3"/>
    </w:p>
    <w:p w14:paraId="229F0898" w14:textId="77777777" w:rsidR="00627444" w:rsidRPr="00627444" w:rsidRDefault="00627444" w:rsidP="00627444">
      <w:pPr>
        <w:pStyle w:val="1"/>
        <w:spacing w:before="120" w:after="120" w:line="240" w:lineRule="exact"/>
        <w:ind w:left="283" w:hanging="283"/>
        <w:jc w:val="both"/>
        <w:rPr>
          <w:rFonts w:ascii="FrankRuehl" w:hAnsi="FrankRuehl" w:cs="FrankRuehl"/>
          <w:color w:val="auto"/>
          <w:sz w:val="24"/>
          <w:szCs w:val="24"/>
          <w:rtl/>
        </w:rPr>
      </w:pPr>
    </w:p>
    <w:p w14:paraId="4A197D38" w14:textId="77777777" w:rsidR="00627444" w:rsidRPr="00627444" w:rsidRDefault="00627444" w:rsidP="00627444">
      <w:pPr>
        <w:pStyle w:val="1"/>
        <w:spacing w:before="120" w:after="120" w:line="240" w:lineRule="exact"/>
        <w:ind w:left="283" w:hanging="283"/>
        <w:jc w:val="both"/>
        <w:rPr>
          <w:rFonts w:ascii="FrankRuehl" w:hAnsi="FrankRuehl" w:cs="FrankRuehl"/>
          <w:color w:val="auto"/>
          <w:sz w:val="24"/>
          <w:szCs w:val="24"/>
          <w:rtl/>
        </w:rPr>
      </w:pPr>
    </w:p>
    <w:p w14:paraId="4EE5AA8E" w14:textId="77777777" w:rsidR="00627444" w:rsidRPr="00627444" w:rsidRDefault="00627444" w:rsidP="00627444">
      <w:pPr>
        <w:pStyle w:val="1"/>
        <w:spacing w:before="120" w:after="120" w:line="240" w:lineRule="exact"/>
        <w:ind w:left="283" w:hanging="283"/>
        <w:jc w:val="both"/>
        <w:rPr>
          <w:rFonts w:ascii="FrankRuehl" w:hAnsi="FrankRuehl" w:cs="FrankRuehl"/>
          <w:color w:val="auto"/>
          <w:sz w:val="24"/>
          <w:szCs w:val="24"/>
          <w:rtl/>
        </w:rPr>
      </w:pPr>
      <w:r w:rsidRPr="00627444">
        <w:rPr>
          <w:rFonts w:ascii="FrankRuehl" w:hAnsi="FrankRuehl" w:cs="FrankRuehl"/>
          <w:color w:val="auto"/>
          <w:sz w:val="24"/>
          <w:szCs w:val="24"/>
          <w:rtl/>
        </w:rPr>
        <w:t xml:space="preserve">חקיקה שאוזכרה: </w:t>
      </w:r>
    </w:p>
    <w:p w14:paraId="5BCCE1ED" w14:textId="77777777" w:rsidR="00627444" w:rsidRPr="00627444" w:rsidRDefault="00627444" w:rsidP="00627444">
      <w:pPr>
        <w:pStyle w:val="1"/>
        <w:spacing w:before="120" w:after="120" w:line="240" w:lineRule="exact"/>
        <w:ind w:left="283" w:hanging="283"/>
        <w:jc w:val="both"/>
        <w:rPr>
          <w:rFonts w:ascii="FrankRuehl" w:hAnsi="FrankRuehl" w:cs="FrankRuehl"/>
          <w:color w:val="auto"/>
          <w:sz w:val="24"/>
          <w:szCs w:val="24"/>
          <w:rtl/>
        </w:rPr>
      </w:pPr>
      <w:hyperlink r:id="rId7" w:history="1">
        <w:r w:rsidRPr="00627444">
          <w:rPr>
            <w:rFonts w:ascii="FrankRuehl" w:hAnsi="FrankRuehl" w:cs="FrankRuehl"/>
            <w:color w:val="0000FF"/>
            <w:sz w:val="24"/>
            <w:szCs w:val="24"/>
            <w:rtl/>
          </w:rPr>
          <w:t>פקודת הסמים המסוכנים [נוסח חדש], תשל"ג-1973</w:t>
        </w:r>
      </w:hyperlink>
      <w:r w:rsidRPr="00627444">
        <w:rPr>
          <w:rFonts w:ascii="FrankRuehl" w:hAnsi="FrankRuehl" w:cs="FrankRuehl"/>
          <w:color w:val="auto"/>
          <w:sz w:val="24"/>
          <w:szCs w:val="24"/>
          <w:rtl/>
        </w:rPr>
        <w:t xml:space="preserve">: סע'  </w:t>
      </w:r>
      <w:hyperlink r:id="rId8" w:history="1">
        <w:r w:rsidRPr="00627444">
          <w:rPr>
            <w:rFonts w:ascii="FrankRuehl" w:hAnsi="FrankRuehl" w:cs="FrankRuehl"/>
            <w:color w:val="0000FF"/>
            <w:sz w:val="24"/>
            <w:szCs w:val="24"/>
            <w:rtl/>
          </w:rPr>
          <w:t>7.א.</w:t>
        </w:r>
      </w:hyperlink>
      <w:r w:rsidRPr="00627444">
        <w:rPr>
          <w:rFonts w:ascii="FrankRuehl" w:hAnsi="FrankRuehl" w:cs="FrankRuehl"/>
          <w:color w:val="auto"/>
          <w:sz w:val="24"/>
          <w:szCs w:val="24"/>
          <w:rtl/>
        </w:rPr>
        <w:t xml:space="preserve">, </w:t>
      </w:r>
      <w:hyperlink r:id="rId9" w:history="1">
        <w:r w:rsidRPr="00627444">
          <w:rPr>
            <w:rFonts w:ascii="FrankRuehl" w:hAnsi="FrankRuehl" w:cs="FrankRuehl"/>
            <w:color w:val="0000FF"/>
            <w:sz w:val="24"/>
            <w:szCs w:val="24"/>
            <w:rtl/>
          </w:rPr>
          <w:t>7.ג</w:t>
        </w:r>
      </w:hyperlink>
    </w:p>
    <w:p w14:paraId="5E0420DB" w14:textId="77777777" w:rsidR="00627444" w:rsidRPr="00627444" w:rsidRDefault="00627444" w:rsidP="00627444">
      <w:pPr>
        <w:pStyle w:val="1"/>
        <w:spacing w:before="120" w:after="120" w:line="240" w:lineRule="exact"/>
        <w:ind w:left="283" w:hanging="283"/>
        <w:jc w:val="both"/>
        <w:rPr>
          <w:rFonts w:ascii="FrankRuehl" w:hAnsi="FrankRuehl" w:cs="FrankRuehl"/>
          <w:color w:val="auto"/>
          <w:sz w:val="24"/>
          <w:szCs w:val="24"/>
          <w:rtl/>
        </w:rPr>
      </w:pPr>
      <w:hyperlink r:id="rId10" w:history="1">
        <w:r w:rsidRPr="00627444">
          <w:rPr>
            <w:rFonts w:ascii="FrankRuehl" w:hAnsi="FrankRuehl" w:cs="FrankRuehl"/>
            <w:color w:val="0000FF"/>
            <w:sz w:val="24"/>
            <w:szCs w:val="24"/>
            <w:rtl/>
          </w:rPr>
          <w:t>חוק העונשין, תשל"ז-1977</w:t>
        </w:r>
      </w:hyperlink>
      <w:r w:rsidRPr="00627444">
        <w:rPr>
          <w:rFonts w:ascii="FrankRuehl" w:hAnsi="FrankRuehl" w:cs="FrankRuehl"/>
          <w:color w:val="auto"/>
          <w:sz w:val="24"/>
          <w:szCs w:val="24"/>
          <w:rtl/>
        </w:rPr>
        <w:t xml:space="preserve">: סע'  </w:t>
      </w:r>
      <w:hyperlink r:id="rId11" w:history="1">
        <w:r w:rsidRPr="00627444">
          <w:rPr>
            <w:rFonts w:ascii="FrankRuehl" w:hAnsi="FrankRuehl" w:cs="FrankRuehl"/>
            <w:color w:val="0000FF"/>
            <w:sz w:val="24"/>
            <w:szCs w:val="24"/>
            <w:rtl/>
          </w:rPr>
          <w:t>40ג(א)</w:t>
        </w:r>
      </w:hyperlink>
      <w:r w:rsidRPr="00627444">
        <w:rPr>
          <w:rFonts w:ascii="FrankRuehl" w:hAnsi="FrankRuehl" w:cs="FrankRuehl"/>
          <w:color w:val="auto"/>
          <w:sz w:val="24"/>
          <w:szCs w:val="24"/>
          <w:rtl/>
        </w:rPr>
        <w:t xml:space="preserve">, </w:t>
      </w:r>
      <w:hyperlink r:id="rId12" w:history="1">
        <w:r w:rsidRPr="00627444">
          <w:rPr>
            <w:rFonts w:ascii="FrankRuehl" w:hAnsi="FrankRuehl" w:cs="FrankRuehl"/>
            <w:color w:val="0000FF"/>
            <w:sz w:val="24"/>
            <w:szCs w:val="24"/>
            <w:rtl/>
          </w:rPr>
          <w:t>40יא</w:t>
        </w:r>
      </w:hyperlink>
    </w:p>
    <w:p w14:paraId="5F6D50A4" w14:textId="77777777" w:rsidR="00627444" w:rsidRPr="00627444" w:rsidRDefault="00627444" w:rsidP="00627444">
      <w:pPr>
        <w:pStyle w:val="1"/>
        <w:spacing w:before="0" w:line="360" w:lineRule="auto"/>
        <w:ind w:left="360"/>
        <w:jc w:val="both"/>
        <w:rPr>
          <w:rFonts w:ascii="David" w:hAnsi="David" w:cs="David"/>
          <w:color w:val="auto"/>
          <w:sz w:val="28"/>
          <w:szCs w:val="28"/>
          <w:rtl/>
        </w:rPr>
      </w:pPr>
      <w:bookmarkStart w:id="4" w:name="LawTable_End"/>
      <w:bookmarkEnd w:id="4"/>
    </w:p>
    <w:p w14:paraId="7FBB90AC" w14:textId="77777777" w:rsidR="0099413C" w:rsidRPr="00B205EF" w:rsidRDefault="0099413C" w:rsidP="00B205EF">
      <w:pPr>
        <w:pStyle w:val="1"/>
        <w:spacing w:before="0" w:line="360" w:lineRule="auto"/>
        <w:ind w:left="360"/>
        <w:jc w:val="both"/>
        <w:rPr>
          <w:rFonts w:ascii="David" w:hAnsi="David" w:cs="David"/>
          <w:color w:val="auto"/>
          <w:sz w:val="28"/>
          <w:szCs w:val="28"/>
        </w:rPr>
      </w:pPr>
    </w:p>
    <w:tbl>
      <w:tblPr>
        <w:bidiVisual/>
        <w:tblW w:w="8820" w:type="dxa"/>
        <w:jc w:val="center"/>
        <w:tblLook w:val="01E0" w:firstRow="1" w:lastRow="1" w:firstColumn="1" w:lastColumn="1" w:noHBand="0" w:noVBand="0"/>
      </w:tblPr>
      <w:tblGrid>
        <w:gridCol w:w="8820"/>
      </w:tblGrid>
      <w:tr w:rsidR="0099413C" w:rsidRPr="00674942" w14:paraId="01A2AAAD" w14:textId="77777777" w:rsidTr="0099413C">
        <w:trPr>
          <w:jc w:val="center"/>
        </w:trPr>
        <w:tc>
          <w:tcPr>
            <w:tcW w:w="8820" w:type="dxa"/>
            <w:shd w:val="clear" w:color="auto" w:fill="auto"/>
          </w:tcPr>
          <w:p w14:paraId="59AA024E" w14:textId="77777777" w:rsidR="00D77ADF" w:rsidRPr="00D77ADF" w:rsidRDefault="00D77ADF" w:rsidP="00D77ADF">
            <w:pPr>
              <w:bidi w:val="0"/>
              <w:spacing w:line="360" w:lineRule="auto"/>
              <w:jc w:val="center"/>
              <w:rPr>
                <w:rFonts w:ascii="David" w:hAnsi="David"/>
                <w:b/>
                <w:bCs/>
                <w:i/>
                <w:iCs/>
                <w:sz w:val="40"/>
                <w:szCs w:val="40"/>
                <w:u w:val="double"/>
              </w:rPr>
            </w:pPr>
            <w:bookmarkStart w:id="5" w:name="PsakDin" w:colFirst="0" w:colLast="0"/>
            <w:r w:rsidRPr="00D77ADF">
              <w:rPr>
                <w:rFonts w:ascii="David" w:hAnsi="David"/>
                <w:b/>
                <w:bCs/>
                <w:i/>
                <w:iCs/>
                <w:sz w:val="40"/>
                <w:szCs w:val="40"/>
                <w:u w:val="double"/>
                <w:rtl/>
              </w:rPr>
              <w:t>גזר דין</w:t>
            </w:r>
          </w:p>
          <w:p w14:paraId="6A2752DC" w14:textId="77777777" w:rsidR="0099413C" w:rsidRPr="00D77ADF" w:rsidRDefault="0099413C" w:rsidP="00D77ADF">
            <w:pPr>
              <w:bidi w:val="0"/>
              <w:spacing w:line="360" w:lineRule="auto"/>
              <w:jc w:val="center"/>
              <w:rPr>
                <w:rFonts w:ascii="David" w:hAnsi="David"/>
                <w:b/>
                <w:bCs/>
                <w:i/>
                <w:iCs/>
                <w:sz w:val="40"/>
                <w:szCs w:val="40"/>
                <w:u w:val="double"/>
              </w:rPr>
            </w:pPr>
          </w:p>
        </w:tc>
      </w:tr>
    </w:tbl>
    <w:bookmarkEnd w:id="5"/>
    <w:p w14:paraId="587A5FC6" w14:textId="77777777" w:rsidR="0099413C" w:rsidRPr="00674942" w:rsidRDefault="0099413C" w:rsidP="0099413C">
      <w:pPr>
        <w:pStyle w:val="1"/>
        <w:numPr>
          <w:ilvl w:val="0"/>
          <w:numId w:val="1"/>
        </w:numPr>
        <w:spacing w:before="0" w:line="360" w:lineRule="auto"/>
        <w:ind w:left="425" w:hanging="425"/>
        <w:jc w:val="both"/>
        <w:rPr>
          <w:rFonts w:ascii="David" w:hAnsi="David" w:cs="David"/>
          <w:b/>
          <w:bCs/>
          <w:color w:val="auto"/>
          <w:sz w:val="28"/>
          <w:szCs w:val="28"/>
          <w:u w:val="single"/>
          <w:rtl/>
        </w:rPr>
      </w:pPr>
      <w:r w:rsidRPr="00674942">
        <w:rPr>
          <w:rFonts w:ascii="David" w:hAnsi="David" w:cs="David"/>
          <w:b/>
          <w:bCs/>
          <w:color w:val="auto"/>
          <w:sz w:val="28"/>
          <w:szCs w:val="28"/>
          <w:u w:val="single"/>
          <w:rtl/>
        </w:rPr>
        <w:t>רקע עובדתי</w:t>
      </w:r>
    </w:p>
    <w:p w14:paraId="69B92038" w14:textId="77777777" w:rsidR="0099413C" w:rsidRPr="00674942" w:rsidRDefault="0099413C" w:rsidP="0099413C">
      <w:pPr>
        <w:pStyle w:val="aa"/>
        <w:numPr>
          <w:ilvl w:val="0"/>
          <w:numId w:val="2"/>
        </w:numPr>
        <w:spacing w:after="0"/>
        <w:ind w:left="-58" w:hanging="283"/>
        <w:rPr>
          <w:rtl/>
        </w:rPr>
      </w:pPr>
      <w:bookmarkStart w:id="6" w:name="ABSTRACT_START"/>
      <w:bookmarkEnd w:id="6"/>
      <w:r w:rsidRPr="00674942">
        <w:rPr>
          <w:rtl/>
        </w:rPr>
        <w:t xml:space="preserve">כפי הנטען </w:t>
      </w:r>
      <w:r w:rsidRPr="00674942">
        <w:rPr>
          <w:b/>
          <w:bCs/>
          <w:rtl/>
        </w:rPr>
        <w:t>בעובדות כתב האישום המתוקן,</w:t>
      </w:r>
      <w:r w:rsidRPr="00674942">
        <w:rPr>
          <w:rtl/>
        </w:rPr>
        <w:t xml:space="preserve"> ביום 22.04.2020 בסמוך לשעה 10:50, התגורר הנאשם ברחוב הרב קוק 19 באשדוד (להלן: </w:t>
      </w:r>
      <w:r w:rsidRPr="00674942">
        <w:rPr>
          <w:b/>
          <w:bCs/>
          <w:rtl/>
        </w:rPr>
        <w:t>"הבית"</w:t>
      </w:r>
      <w:r w:rsidRPr="00674942">
        <w:rPr>
          <w:rtl/>
        </w:rPr>
        <w:t>).</w:t>
      </w:r>
    </w:p>
    <w:p w14:paraId="7E160238" w14:textId="77777777" w:rsidR="0099413C" w:rsidRPr="00674942" w:rsidRDefault="0099413C" w:rsidP="0099413C">
      <w:pPr>
        <w:pStyle w:val="aa"/>
        <w:numPr>
          <w:ilvl w:val="0"/>
          <w:numId w:val="2"/>
        </w:numPr>
        <w:spacing w:after="0"/>
        <w:ind w:left="-58" w:hanging="283"/>
      </w:pPr>
      <w:r w:rsidRPr="00674942">
        <w:rPr>
          <w:rtl/>
        </w:rPr>
        <w:t>בנסיבות אלו החזיק הנאשם בסלון ביתו בסם מסוכן מסוג</w:t>
      </w:r>
      <w:r w:rsidRPr="00674942">
        <w:t xml:space="preserve">F4- MDMB- BUTINACA </w:t>
      </w:r>
      <w:r w:rsidRPr="00674942">
        <w:rPr>
          <w:rtl/>
        </w:rPr>
        <w:t xml:space="preserve"> במשקל נטו של 28 גרם המחולק ל-7 שקיות שלא לצריכתו העצמית.</w:t>
      </w:r>
    </w:p>
    <w:p w14:paraId="2D60248B" w14:textId="77777777" w:rsidR="0099413C" w:rsidRPr="00674942" w:rsidRDefault="0099413C" w:rsidP="0099413C">
      <w:pPr>
        <w:pStyle w:val="aa"/>
        <w:numPr>
          <w:ilvl w:val="0"/>
          <w:numId w:val="2"/>
        </w:numPr>
        <w:spacing w:after="0"/>
        <w:ind w:left="-58" w:hanging="283"/>
      </w:pPr>
      <w:r w:rsidRPr="00674942">
        <w:rPr>
          <w:rtl/>
        </w:rPr>
        <w:t xml:space="preserve">עוד ובאותן נסיבות החזיק הנאשם על מיטתו בסם מסוכן מסוג  </w:t>
      </w:r>
      <w:r w:rsidRPr="00674942">
        <w:t>F4- MDMB- BUTINACA</w:t>
      </w:r>
      <w:r w:rsidRPr="00674942">
        <w:rPr>
          <w:rtl/>
        </w:rPr>
        <w:t xml:space="preserve"> במשקל נטו של 16 גרם מחולק ל-4 שקיות לצריכתו העצמית.</w:t>
      </w:r>
    </w:p>
    <w:p w14:paraId="5C66A842" w14:textId="77777777" w:rsidR="0099413C" w:rsidRPr="00674942" w:rsidRDefault="0099413C" w:rsidP="0099413C">
      <w:pPr>
        <w:pStyle w:val="11"/>
        <w:numPr>
          <w:ilvl w:val="0"/>
          <w:numId w:val="2"/>
        </w:numPr>
        <w:spacing w:after="0"/>
        <w:ind w:left="-58" w:hanging="283"/>
      </w:pPr>
      <w:r w:rsidRPr="00674942">
        <w:rPr>
          <w:rtl/>
        </w:rPr>
        <w:t xml:space="preserve">הנאשם הודה במיוחס לו לעיל, ועל יסוד הודאתו זו הורשע בעבירות של </w:t>
      </w:r>
      <w:r w:rsidRPr="00674942">
        <w:rPr>
          <w:b/>
          <w:bCs/>
          <w:rtl/>
        </w:rPr>
        <w:t>החזקת סם שלא לצריכה עצמית</w:t>
      </w:r>
      <w:r w:rsidRPr="00674942">
        <w:rPr>
          <w:rtl/>
        </w:rPr>
        <w:t xml:space="preserve"> לפי </w:t>
      </w:r>
      <w:hyperlink r:id="rId13" w:history="1">
        <w:r w:rsidR="0030071E" w:rsidRPr="0030071E">
          <w:rPr>
            <w:rStyle w:val="Hyperlink"/>
            <w:rtl/>
          </w:rPr>
          <w:t>סעיפים 7(א)+7(ג)</w:t>
        </w:r>
      </w:hyperlink>
      <w:r w:rsidRPr="00674942">
        <w:rPr>
          <w:rtl/>
        </w:rPr>
        <w:t xml:space="preserve"> רישא </w:t>
      </w:r>
      <w:r w:rsidRPr="00674942">
        <w:rPr>
          <w:u w:val="single"/>
          <w:rtl/>
        </w:rPr>
        <w:t>ל</w:t>
      </w:r>
      <w:hyperlink r:id="rId14" w:history="1">
        <w:r w:rsidR="00D77ADF" w:rsidRPr="00D77ADF">
          <w:rPr>
            <w:color w:val="0000FF"/>
            <w:u w:val="single"/>
            <w:rtl/>
          </w:rPr>
          <w:t>פקודת הסמים המסוכנים</w:t>
        </w:r>
      </w:hyperlink>
      <w:r w:rsidRPr="00674942">
        <w:rPr>
          <w:u w:val="single"/>
          <w:rtl/>
        </w:rPr>
        <w:t xml:space="preserve"> (נוסח חדש) התשל"ג – 1973</w:t>
      </w:r>
      <w:r w:rsidRPr="00674942">
        <w:rPr>
          <w:rtl/>
        </w:rPr>
        <w:t xml:space="preserve"> (</w:t>
      </w:r>
      <w:bookmarkStart w:id="7" w:name="ABSTRACT_END"/>
      <w:bookmarkEnd w:id="7"/>
      <w:r w:rsidRPr="00674942">
        <w:rPr>
          <w:rtl/>
        </w:rPr>
        <w:t xml:space="preserve">להלן: </w:t>
      </w:r>
      <w:r w:rsidRPr="00674942">
        <w:rPr>
          <w:rtl/>
        </w:rPr>
        <w:lastRenderedPageBreak/>
        <w:t>"</w:t>
      </w:r>
      <w:r w:rsidRPr="00674942">
        <w:rPr>
          <w:b/>
          <w:bCs/>
          <w:rtl/>
        </w:rPr>
        <w:t>הפקודה"; "פקודת הסמים המסוכנים"</w:t>
      </w:r>
      <w:r w:rsidRPr="00674942">
        <w:rPr>
          <w:rtl/>
        </w:rPr>
        <w:t>), ו</w:t>
      </w:r>
      <w:r w:rsidRPr="00674942">
        <w:rPr>
          <w:b/>
          <w:bCs/>
          <w:rtl/>
        </w:rPr>
        <w:t>החזקת סם לצריכה עצמית</w:t>
      </w:r>
      <w:r w:rsidRPr="00674942">
        <w:rPr>
          <w:rtl/>
        </w:rPr>
        <w:t xml:space="preserve"> לפי </w:t>
      </w:r>
      <w:hyperlink r:id="rId15" w:history="1">
        <w:r w:rsidR="0030071E" w:rsidRPr="0030071E">
          <w:rPr>
            <w:rStyle w:val="Hyperlink"/>
            <w:rtl/>
          </w:rPr>
          <w:t>סעיפים 7(א)+7(ג)</w:t>
        </w:r>
      </w:hyperlink>
      <w:r w:rsidRPr="00674942">
        <w:rPr>
          <w:rtl/>
        </w:rPr>
        <w:t xml:space="preserve"> סיפא </w:t>
      </w:r>
      <w:r w:rsidRPr="00674942">
        <w:rPr>
          <w:u w:val="single"/>
          <w:rtl/>
        </w:rPr>
        <w:t>לפקודת הסמים המסוכנים.</w:t>
      </w:r>
    </w:p>
    <w:p w14:paraId="6951DBEB" w14:textId="77777777" w:rsidR="0099413C" w:rsidRPr="00674942" w:rsidRDefault="0099413C" w:rsidP="0099413C">
      <w:pPr>
        <w:pStyle w:val="aa"/>
        <w:numPr>
          <w:ilvl w:val="0"/>
          <w:numId w:val="2"/>
        </w:numPr>
        <w:spacing w:after="0"/>
        <w:ind w:left="-58" w:hanging="283"/>
      </w:pPr>
      <w:r w:rsidRPr="00674942">
        <w:rPr>
          <w:rtl/>
        </w:rPr>
        <w:t>הצדדים לא הגיעו להסכמות בעניין העונש, אך הוסכם כי המאשימה תגביל את עצמה בעתירתה העונשית לענישה בדמות 4 חודשים מאסר שיכול וירוצו בעבודות שירות וענישה נלוות, ואילו ההגנה תעתור להסתפק בענישה צופה פני עתיד.</w:t>
      </w:r>
    </w:p>
    <w:p w14:paraId="046EAE73" w14:textId="77777777" w:rsidR="0099413C" w:rsidRDefault="0099413C" w:rsidP="0099413C">
      <w:pPr>
        <w:pStyle w:val="aa"/>
        <w:numPr>
          <w:ilvl w:val="0"/>
          <w:numId w:val="2"/>
        </w:numPr>
        <w:spacing w:after="0"/>
        <w:ind w:left="-58" w:hanging="283"/>
      </w:pPr>
      <w:r w:rsidRPr="00674942">
        <w:rPr>
          <w:b/>
          <w:bCs/>
          <w:rtl/>
        </w:rPr>
        <w:t>מחוות דעת הממונה על עבודות השירות</w:t>
      </w:r>
      <w:r w:rsidRPr="00674942">
        <w:rPr>
          <w:rtl/>
        </w:rPr>
        <w:t xml:space="preserve"> אשר התקבלה ביום 06.07.2022, עולה כי הנאשם מתאים לביצוע עבודות שירות במגבלות.</w:t>
      </w:r>
    </w:p>
    <w:p w14:paraId="252730B8" w14:textId="77777777" w:rsidR="0099413C" w:rsidRPr="00674942" w:rsidRDefault="0099413C" w:rsidP="0099413C">
      <w:pPr>
        <w:pStyle w:val="aa"/>
        <w:spacing w:after="0"/>
        <w:ind w:left="-58" w:firstLine="0"/>
      </w:pPr>
    </w:p>
    <w:p w14:paraId="6B84CC7F" w14:textId="77777777" w:rsidR="0099413C" w:rsidRPr="00674942" w:rsidRDefault="0099413C" w:rsidP="0099413C">
      <w:pPr>
        <w:pStyle w:val="1"/>
        <w:numPr>
          <w:ilvl w:val="0"/>
          <w:numId w:val="1"/>
        </w:numPr>
        <w:spacing w:before="0" w:line="360" w:lineRule="auto"/>
        <w:ind w:left="360"/>
        <w:jc w:val="both"/>
        <w:rPr>
          <w:rFonts w:ascii="David" w:hAnsi="David" w:cs="David"/>
          <w:b/>
          <w:bCs/>
          <w:color w:val="auto"/>
          <w:sz w:val="28"/>
          <w:szCs w:val="28"/>
          <w:u w:val="single"/>
        </w:rPr>
      </w:pPr>
      <w:r w:rsidRPr="00674942">
        <w:rPr>
          <w:rFonts w:ascii="David" w:hAnsi="David" w:cs="David"/>
          <w:b/>
          <w:bCs/>
          <w:color w:val="auto"/>
          <w:sz w:val="28"/>
          <w:szCs w:val="28"/>
          <w:u w:val="single"/>
          <w:rtl/>
        </w:rPr>
        <w:t>טיעוני הצדדים (עיקרי הדברים)</w:t>
      </w:r>
    </w:p>
    <w:p w14:paraId="60A6132E" w14:textId="77777777" w:rsidR="0099413C" w:rsidRPr="00674942" w:rsidRDefault="0099413C" w:rsidP="0099413C">
      <w:pPr>
        <w:pStyle w:val="11"/>
        <w:numPr>
          <w:ilvl w:val="0"/>
          <w:numId w:val="2"/>
        </w:numPr>
        <w:spacing w:after="0"/>
        <w:ind w:left="-58" w:hanging="283"/>
      </w:pPr>
      <w:r w:rsidRPr="00674942">
        <w:rPr>
          <w:rtl/>
        </w:rPr>
        <w:t xml:space="preserve">המאשימה עמדה על הערכים המוגנים שנפגעו כתוצאה ממעשיו של הנאשם, על חומרת מעשיו של הנאשם בדגש על סוג הסם שנתפס, ועתרה לקבוע מתחם עונש הולם הנע בין 4 חודשים מאסר שיכול וירוצו בעבודות שירות לבין 18 חודשים מאסר בפועל, תוך שהפנתה לפסיקה התומכת בעמדתה. בתוך המתחם סברה המאשימה כי בהינתן לקיחת האחריות של הנאשם על מעשיו מצד אחד, ועברו הפלילי של הנאשם שהינו ממין העניין מצד שני, יש מקום להשית על הנאשם עונש בדמות 4 חודשים מאסר שירוצו בעבודות שירות וכן ענישה נלוות בדמות מאסר מותנה, פסילת רישיון נהיגה בפועל ועל תנאי, קנס והתחייבות. </w:t>
      </w:r>
    </w:p>
    <w:p w14:paraId="5E3AAD0B" w14:textId="77777777" w:rsidR="0099413C" w:rsidRPr="00674942" w:rsidRDefault="0099413C" w:rsidP="0099413C">
      <w:pPr>
        <w:pStyle w:val="aa"/>
        <w:numPr>
          <w:ilvl w:val="0"/>
          <w:numId w:val="2"/>
        </w:numPr>
        <w:spacing w:after="0"/>
        <w:ind w:left="-58" w:hanging="283"/>
        <w:rPr>
          <w:rtl/>
        </w:rPr>
      </w:pPr>
      <w:r w:rsidRPr="00674942">
        <w:rPr>
          <w:b/>
          <w:bCs/>
          <w:rtl/>
        </w:rPr>
        <w:t>מנגד,</w:t>
      </w:r>
      <w:r w:rsidRPr="00674942">
        <w:rPr>
          <w:rtl/>
        </w:rPr>
        <w:t xml:space="preserve"> בא כוח הנאשם סבר כי המאשימה גילתה מלכתחילה את דעתה באשר למתחם העונש הראוי בהסכמתה על אודות טווח הענישה, לחילופין חלק הסנגור על המתחם לו טענה המאשימה בשלב הטיעונים לעונש וטען כי בהינתן כמות הסם שבה החזיק הנאשם, הרי שעל מתחם העונש ההולם לנוע החל ממאסר מותנה ברף התחתון ועד למאסר של כמה חודשים בעבודות שירות ברף העליון (תוך שמהטעמים השמורים עמו הלה נמנע מלהפנות לפסיקה התומכת בעמדתו). בכל הנוגע לנסיבות שאינן קשורות לביצוע העבירה, הפנה הסנגור לכך שהנאשם הודה ולקח אחריות על מעשיו; לעברו הפלילי של הנאשם שהתיישן זה מכבר; לנסיבותיו האישיות של הנאשם, ובכלל זה לגילו; למצבו הרפואי הרעוע של הנאשם הסובל ממגוון בעיות בריאותיות קשות; לכך שהנאשם עתר לקבלת רישיון לשימוש בקנבוס רפואי ואולם עד כה לא קיבל לכך אישור; לעובדה שהלה ביצע את עבירת החזקת הסם לצריכה עצמית עקב מצבו הרפואי; למצבו הכלכלי של הנאשם; ולחלוף הזמן שבין מועד ביצוע העבירות ועד להגשת כתב האישום ולזמן שחלף ממועד הגשת כתב האישום ועד למועד מתן גזר הדין. מכל האמור לעיל, עתרה ההגנה להסתפק בעניינו של הנאשם בענישה הצופה פני עתיד. </w:t>
      </w:r>
    </w:p>
    <w:p w14:paraId="0C0D56F7" w14:textId="77777777" w:rsidR="0099413C" w:rsidRPr="00674942" w:rsidRDefault="0099413C" w:rsidP="0099413C">
      <w:pPr>
        <w:pStyle w:val="aa"/>
        <w:numPr>
          <w:ilvl w:val="0"/>
          <w:numId w:val="2"/>
        </w:numPr>
        <w:spacing w:after="0"/>
        <w:ind w:left="-58"/>
      </w:pPr>
      <w:r w:rsidRPr="00674942">
        <w:rPr>
          <w:rtl/>
        </w:rPr>
        <w:t xml:space="preserve">הנאשם אשר קיבל את "זכות המילה האחרונה", לקח אחריות על מעשיו; שיתף באשר למצבו הרפואי ולכך שהוא מטופל במתדון; וביקש מבית המשפט כי יתחשב בו לעניין העונש. </w:t>
      </w:r>
    </w:p>
    <w:p w14:paraId="76CDFEA5" w14:textId="77777777" w:rsidR="0099413C" w:rsidRDefault="0099413C" w:rsidP="0099413C">
      <w:pPr>
        <w:pStyle w:val="aa"/>
        <w:numPr>
          <w:ilvl w:val="0"/>
          <w:numId w:val="2"/>
        </w:numPr>
        <w:spacing w:after="0"/>
        <w:ind w:left="-58" w:hanging="425"/>
      </w:pPr>
      <w:r w:rsidRPr="00674942">
        <w:rPr>
          <w:rtl/>
        </w:rPr>
        <w:t>לאור אלה, ובהתאם למתווה גזירת הדין שאומץ בתיקון 113 ל</w:t>
      </w:r>
      <w:hyperlink r:id="rId16" w:history="1">
        <w:r w:rsidR="00D77ADF" w:rsidRPr="00D77ADF">
          <w:rPr>
            <w:color w:val="0000FF"/>
            <w:u w:val="single"/>
            <w:rtl/>
          </w:rPr>
          <w:t>חוק העונשין</w:t>
        </w:r>
      </w:hyperlink>
      <w:r w:rsidRPr="00674942">
        <w:rPr>
          <w:rtl/>
        </w:rPr>
        <w:t>, בית המשפט יקבע תחילה את מתחם העונש ההולם; ולאחר מכן יגזור את העונש המתאים לנאשם, תוך בחינה שמא יש מקום במקרה הנדון לסטות לקולה מהמתחם שייקבע.</w:t>
      </w:r>
    </w:p>
    <w:p w14:paraId="57AEF3A1" w14:textId="77777777" w:rsidR="0099413C" w:rsidRPr="00674942" w:rsidRDefault="0099413C" w:rsidP="0099413C">
      <w:pPr>
        <w:pStyle w:val="aa"/>
        <w:spacing w:after="0"/>
        <w:ind w:left="-58" w:firstLine="0"/>
      </w:pPr>
    </w:p>
    <w:p w14:paraId="6DC552B5" w14:textId="77777777" w:rsidR="0099413C" w:rsidRPr="00674942" w:rsidRDefault="0099413C" w:rsidP="0099413C">
      <w:pPr>
        <w:pStyle w:val="1"/>
        <w:spacing w:before="0" w:line="360" w:lineRule="auto"/>
        <w:jc w:val="center"/>
        <w:rPr>
          <w:rFonts w:ascii="David" w:hAnsi="David" w:cs="David"/>
          <w:b/>
          <w:bCs/>
          <w:color w:val="auto"/>
          <w:u w:val="single"/>
        </w:rPr>
      </w:pPr>
      <w:r w:rsidRPr="00674942">
        <w:rPr>
          <w:rFonts w:ascii="David" w:hAnsi="David" w:cs="David"/>
          <w:b/>
          <w:bCs/>
          <w:color w:val="auto"/>
          <w:u w:val="single"/>
          <w:rtl/>
        </w:rPr>
        <w:t>דיון והכרעה</w:t>
      </w:r>
    </w:p>
    <w:p w14:paraId="4602E72F" w14:textId="77777777" w:rsidR="0099413C" w:rsidRPr="00DD043F" w:rsidRDefault="0099413C" w:rsidP="0099413C">
      <w:pPr>
        <w:pStyle w:val="1"/>
        <w:spacing w:before="0" w:line="360" w:lineRule="auto"/>
        <w:ind w:left="283" w:hanging="283"/>
        <w:jc w:val="both"/>
        <w:rPr>
          <w:rFonts w:ascii="David" w:hAnsi="David" w:cs="David"/>
          <w:b/>
          <w:bCs/>
          <w:color w:val="auto"/>
          <w:sz w:val="28"/>
          <w:szCs w:val="28"/>
          <w:u w:val="single"/>
          <w:rtl/>
        </w:rPr>
      </w:pPr>
      <w:r w:rsidRPr="00DD043F">
        <w:rPr>
          <w:rFonts w:ascii="David" w:hAnsi="David" w:cs="David"/>
          <w:b/>
          <w:bCs/>
          <w:color w:val="auto"/>
          <w:sz w:val="28"/>
          <w:szCs w:val="28"/>
          <w:rtl/>
        </w:rPr>
        <w:t>ג.</w:t>
      </w:r>
      <w:r w:rsidRPr="00DD043F">
        <w:rPr>
          <w:rFonts w:ascii="David" w:hAnsi="David" w:cs="David"/>
          <w:color w:val="auto"/>
          <w:sz w:val="28"/>
          <w:szCs w:val="28"/>
          <w:rtl/>
        </w:rPr>
        <w:t xml:space="preserve">      </w:t>
      </w:r>
      <w:r w:rsidRPr="00DD043F">
        <w:rPr>
          <w:rFonts w:ascii="David" w:hAnsi="David" w:cs="David"/>
          <w:b/>
          <w:bCs/>
          <w:color w:val="auto"/>
          <w:sz w:val="28"/>
          <w:szCs w:val="28"/>
          <w:u w:val="single"/>
          <w:rtl/>
        </w:rPr>
        <w:t>קביעת מתחם העונש ההולם</w:t>
      </w:r>
    </w:p>
    <w:p w14:paraId="786BD29C" w14:textId="77777777" w:rsidR="0099413C" w:rsidRPr="00674942" w:rsidRDefault="0099413C" w:rsidP="0099413C">
      <w:pPr>
        <w:pStyle w:val="aa"/>
        <w:numPr>
          <w:ilvl w:val="0"/>
          <w:numId w:val="2"/>
        </w:numPr>
        <w:shd w:val="clear" w:color="auto" w:fill="FFFFFF"/>
        <w:spacing w:after="0"/>
        <w:ind w:left="-58"/>
      </w:pPr>
      <w:r w:rsidRPr="00674942">
        <w:rPr>
          <w:rtl/>
        </w:rPr>
        <w:t xml:space="preserve">כזכור, בתיק זה הגיעו הצדדים להסכמה על אודות טווח הענישה, תוך שהמאשימה הגבילה את עתירתה העונשית לעונש של 4 חודשים מאסר שיכול וירוצו בעבודות שירות, ואילו ההגנה עתרה </w:t>
      </w:r>
      <w:r w:rsidRPr="00674942">
        <w:rPr>
          <w:rtl/>
        </w:rPr>
        <w:lastRenderedPageBreak/>
        <w:t xml:space="preserve">להסתפק בעניינו של הנאשם בענישה צופה פני עתיד. עם זאת, הלכה היא כי הסדר טיעון במסגרתו נקבע לעתים טווח ענישה מוסכם, הינו הסכם בין רשויות התביעה לבין נאשם, כאשר בית המשפט איננו, כידוע, צד להסכם, ומשכך, אין ההסכמה בין הצדדים על אודות טווח הענישה מחייבת את בית המשפט. מתחם ענישה לעומת זאת, הינו קביעה נורמטיבית של בית המשפט באשר לטווח הענישה הראוי בגין העבירה בנסיבותיה, מידת אשמו של הנאשם וסוג ומידת העונש האמור להיות מוטל עליו (ראו לעניין זה, </w:t>
      </w:r>
      <w:r w:rsidRPr="00D77ADF">
        <w:rPr>
          <w:color w:val="000000"/>
          <w:rtl/>
        </w:rPr>
        <w:t xml:space="preserve">ע"פ </w:t>
      </w:r>
      <w:hyperlink r:id="rId17" w:history="1">
        <w:r w:rsidR="00B205EF" w:rsidRPr="00B205EF">
          <w:rPr>
            <w:color w:val="0000FF"/>
            <w:u w:val="single"/>
            <w:rtl/>
          </w:rPr>
          <w:t xml:space="preserve">512/13 </w:t>
        </w:r>
      </w:hyperlink>
      <w:r w:rsidRPr="00674942">
        <w:rPr>
          <w:rtl/>
        </w:rPr>
        <w:t xml:space="preserve"> </w:t>
      </w:r>
      <w:r w:rsidRPr="00674942">
        <w:rPr>
          <w:b/>
          <w:bCs/>
          <w:rtl/>
        </w:rPr>
        <w:t>פלוני נ' מדינת ישראל</w:t>
      </w:r>
      <w:r w:rsidRPr="00674942">
        <w:rPr>
          <w:rtl/>
        </w:rPr>
        <w:t>, (נבו, 04.12.2013); וכן ראו, הדברים שנאמרו ב</w:t>
      </w:r>
      <w:hyperlink r:id="rId18" w:history="1">
        <w:r w:rsidR="00D77ADF" w:rsidRPr="00D77ADF">
          <w:rPr>
            <w:color w:val="0000FF"/>
            <w:u w:val="single"/>
            <w:rtl/>
          </w:rPr>
          <w:t>ע"פ 4301/15</w:t>
        </w:r>
      </w:hyperlink>
      <w:r w:rsidRPr="00674942">
        <w:rPr>
          <w:rtl/>
        </w:rPr>
        <w:t xml:space="preserve"> </w:t>
      </w:r>
      <w:r w:rsidRPr="00674942">
        <w:rPr>
          <w:b/>
          <w:bCs/>
          <w:rtl/>
        </w:rPr>
        <w:t>יאשיהו יוסף פינטו נ' מדינת ישראל</w:t>
      </w:r>
      <w:r w:rsidRPr="00674942">
        <w:rPr>
          <w:rtl/>
        </w:rPr>
        <w:t xml:space="preserve">, (נבו, 05.01.2016): </w:t>
      </w:r>
      <w:r w:rsidRPr="00674942">
        <w:rPr>
          <w:b/>
          <w:bCs/>
          <w:rtl/>
        </w:rPr>
        <w:t>"אין בית המשפט כבול לעונש או לטווח ענישה שהוסכם בין הצדדים בהסדר טיעון, ועליו להחליט בהתאם לשיקול דעתו אם לכבד הסכמות אלה אם לאו. זאת, בהתחשב עם סבירות ההקלות שניתנו לנאשם בהסדר הטיעון והשיקולים שעמדו ביסוד הקלות אלה, מבחינת התאמתם לאינטרס הציבורי ולקידום תכליות המשפט הפלילי</w:t>
      </w:r>
      <w:r w:rsidRPr="00674942">
        <w:rPr>
          <w:rtl/>
        </w:rPr>
        <w:t xml:space="preserve">". </w:t>
      </w:r>
    </w:p>
    <w:p w14:paraId="5B7B9106" w14:textId="77777777" w:rsidR="0099413C" w:rsidRPr="00674942" w:rsidRDefault="0099413C" w:rsidP="0099413C">
      <w:pPr>
        <w:pStyle w:val="aa"/>
        <w:numPr>
          <w:ilvl w:val="0"/>
          <w:numId w:val="2"/>
        </w:numPr>
        <w:spacing w:after="0"/>
        <w:ind w:left="-58" w:hanging="425"/>
        <w:rPr>
          <w:rtl/>
        </w:rPr>
      </w:pPr>
      <w:r w:rsidRPr="00674942">
        <w:rPr>
          <w:rtl/>
        </w:rPr>
        <w:t xml:space="preserve">ברוח דברים אלו, כאמור </w:t>
      </w:r>
      <w:hyperlink r:id="rId19" w:history="1">
        <w:r w:rsidR="0030071E" w:rsidRPr="0030071E">
          <w:rPr>
            <w:rStyle w:val="Hyperlink"/>
            <w:rtl/>
          </w:rPr>
          <w:t>בסעיף 40ג(א)</w:t>
        </w:r>
      </w:hyperlink>
      <w:r w:rsidRPr="00674942">
        <w:rPr>
          <w:rtl/>
        </w:rPr>
        <w:t xml:space="preserve"> </w:t>
      </w:r>
      <w:r w:rsidRPr="00674942">
        <w:rPr>
          <w:u w:val="single"/>
          <w:rtl/>
        </w:rPr>
        <w:t>ל</w:t>
      </w:r>
      <w:hyperlink r:id="rId20" w:history="1">
        <w:r w:rsidR="00D77ADF" w:rsidRPr="00D77ADF">
          <w:rPr>
            <w:color w:val="0000FF"/>
            <w:u w:val="single"/>
            <w:rtl/>
          </w:rPr>
          <w:t>חוק העונשין</w:t>
        </w:r>
      </w:hyperlink>
      <w:r w:rsidRPr="00674942">
        <w:rPr>
          <w:u w:val="single"/>
          <w:rtl/>
        </w:rPr>
        <w:t>,</w:t>
      </w:r>
      <w:r w:rsidRPr="00674942">
        <w:rPr>
          <w:rtl/>
        </w:rPr>
        <w:t xml:space="preserve"> קביעת מתחם העונש ההולם תיעשה בהתאם לעקרון ההלימה (הוא העיקרון המנחה בענישה), תוך התחשבות בנסיבות הקשורות בביצוע העבירה, בערכים החברתיים שנפגעו כתוצאה מביצועה, במידת הפגיעה בהם ובמדיניות הענישה הנוהגת. </w:t>
      </w:r>
    </w:p>
    <w:p w14:paraId="2E7771D1" w14:textId="77777777" w:rsidR="0099413C" w:rsidRPr="00674942" w:rsidRDefault="0099413C" w:rsidP="0099413C">
      <w:pPr>
        <w:pStyle w:val="aa"/>
        <w:numPr>
          <w:ilvl w:val="0"/>
          <w:numId w:val="2"/>
        </w:numPr>
        <w:spacing w:after="0"/>
        <w:ind w:left="-58" w:hanging="425"/>
      </w:pPr>
      <w:r w:rsidRPr="00674942">
        <w:rPr>
          <w:rtl/>
        </w:rPr>
        <w:t xml:space="preserve">בכל הנוגע לעבירות הסם אותן עבר הנאשם, נדמה כי אין צורך להכביר מילים בנוגע לחומרה הרבה הכרוכה בעבירות אלה. </w:t>
      </w:r>
      <w:hyperlink r:id="rId21" w:history="1">
        <w:r w:rsidR="00D77ADF" w:rsidRPr="00D77ADF">
          <w:rPr>
            <w:color w:val="0000FF"/>
            <w:u w:val="single"/>
            <w:rtl/>
          </w:rPr>
          <w:t>פקודת הסמים המסוכנים</w:t>
        </w:r>
      </w:hyperlink>
      <w:r w:rsidRPr="00674942">
        <w:rPr>
          <w:rtl/>
        </w:rPr>
        <w:t xml:space="preserve"> נחקקה על מנת להגן על ערכים חברתיים מרכזיים ובראשם החובה להגן על שלומו של הציבור, בריאותו, על בטחונו האישי ועל רכושו. </w:t>
      </w:r>
    </w:p>
    <w:p w14:paraId="37562236" w14:textId="77777777" w:rsidR="0099413C" w:rsidRPr="00674942" w:rsidRDefault="0099413C" w:rsidP="0099413C">
      <w:pPr>
        <w:pStyle w:val="aa"/>
        <w:numPr>
          <w:ilvl w:val="0"/>
          <w:numId w:val="2"/>
        </w:numPr>
        <w:spacing w:after="0"/>
        <w:ind w:left="-58" w:right="-142" w:hanging="425"/>
      </w:pPr>
      <w:r w:rsidRPr="00674942">
        <w:rPr>
          <w:rtl/>
        </w:rPr>
        <w:t xml:space="preserve">בית המשפט העליון קבע בשורה ארוכה של פסקי דין כי נגע הסמים פשה בארצנו כמגיפה ומשכך, מצווים בתי המשפט לתרום את חלקם במלחמה בנגע זה באמצעות הטלת עונשים חמורים ומרתיעים, וכי מי שנגרר אחרי מעשי עבירה המסכנים חיי אדם בצורה מפליגה, צריך לדעת אל-נכון כי אם ייתפס יטופל עניינו בכל חומרת הדין (ראו לעניין זה, למשל, </w:t>
      </w:r>
      <w:hyperlink r:id="rId22" w:history="1">
        <w:r w:rsidR="00D77ADF" w:rsidRPr="00D77ADF">
          <w:rPr>
            <w:color w:val="0000FF"/>
            <w:u w:val="single"/>
            <w:rtl/>
          </w:rPr>
          <w:t>ע"פ 575/88</w:t>
        </w:r>
      </w:hyperlink>
      <w:r w:rsidRPr="00674942">
        <w:rPr>
          <w:rtl/>
        </w:rPr>
        <w:t xml:space="preserve"> </w:t>
      </w:r>
      <w:r w:rsidRPr="00674942">
        <w:rPr>
          <w:b/>
          <w:bCs/>
          <w:rtl/>
        </w:rPr>
        <w:t>עודה נגד מדינת ישראל</w:t>
      </w:r>
      <w:r w:rsidRPr="00674942">
        <w:rPr>
          <w:rtl/>
        </w:rPr>
        <w:t xml:space="preserve"> (פורסם במאגרים המשפטיים) (11.12.1988);</w:t>
      </w:r>
      <w:r w:rsidRPr="00674942">
        <w:rPr>
          <w:u w:val="single"/>
          <w:rtl/>
        </w:rPr>
        <w:t xml:space="preserve"> </w:t>
      </w:r>
      <w:hyperlink r:id="rId23" w:history="1">
        <w:r w:rsidR="00D77ADF" w:rsidRPr="00D77ADF">
          <w:rPr>
            <w:color w:val="0000FF"/>
            <w:u w:val="single"/>
            <w:rtl/>
          </w:rPr>
          <w:t>ע"פ 972/11</w:t>
        </w:r>
      </w:hyperlink>
      <w:r w:rsidRPr="00674942">
        <w:rPr>
          <w:rtl/>
        </w:rPr>
        <w:t xml:space="preserve"> </w:t>
      </w:r>
      <w:r w:rsidRPr="00674942">
        <w:rPr>
          <w:b/>
          <w:bCs/>
          <w:rtl/>
        </w:rPr>
        <w:t>מדינת ישראל נגד יניב יונה</w:t>
      </w:r>
      <w:r w:rsidRPr="00674942">
        <w:rPr>
          <w:rtl/>
        </w:rPr>
        <w:t xml:space="preserve"> (פורסם במאגרים המשפטיים) (04.07.2012); </w:t>
      </w:r>
      <w:hyperlink r:id="rId24" w:history="1">
        <w:r w:rsidR="00D77ADF" w:rsidRPr="00D77ADF">
          <w:rPr>
            <w:color w:val="0000FF"/>
            <w:u w:val="single"/>
            <w:rtl/>
          </w:rPr>
          <w:t>ע"פ 3117/12</w:t>
        </w:r>
      </w:hyperlink>
      <w:r w:rsidRPr="00674942">
        <w:rPr>
          <w:u w:val="single"/>
          <w:rtl/>
        </w:rPr>
        <w:t xml:space="preserve"> </w:t>
      </w:r>
      <w:r w:rsidRPr="00674942">
        <w:rPr>
          <w:b/>
          <w:bCs/>
          <w:rtl/>
        </w:rPr>
        <w:t>ארביב נ' מדינת ישראל</w:t>
      </w:r>
      <w:r w:rsidRPr="00674942">
        <w:rPr>
          <w:rtl/>
        </w:rPr>
        <w:t xml:space="preserve"> (פורסם במאגרים המשפטיים) (06.09.2012)) (הדברים נאמרים באופן כללי, כאשר ברי כי שיקול ההרתעה אינו בא במניין השיקולים שנשקלים לצורך קביעת מתחם העונש ההולם).</w:t>
      </w:r>
    </w:p>
    <w:p w14:paraId="7E6B4FCC" w14:textId="77777777" w:rsidR="0099413C" w:rsidRPr="00674942" w:rsidRDefault="0099413C" w:rsidP="0099413C">
      <w:pPr>
        <w:pStyle w:val="aa"/>
        <w:numPr>
          <w:ilvl w:val="0"/>
          <w:numId w:val="2"/>
        </w:numPr>
        <w:spacing w:after="0"/>
        <w:ind w:left="-58" w:right="-142"/>
      </w:pPr>
      <w:r w:rsidRPr="00674942">
        <w:rPr>
          <w:rtl/>
        </w:rPr>
        <w:t xml:space="preserve">אם לא די באלה, הרי שעל חומרתה היתרה של עבירת החזקת הסם שלא לצריכה עצמית אותה ביצע הנאשם, יכולה להעיד גם הענישה אשר נקבעה בצדה. וכך, העונש המרבי בגין ביצוע עבירת החזקת הסם שלא לצריכה עצמית הוא 20 שנות מאסר. </w:t>
      </w:r>
    </w:p>
    <w:p w14:paraId="75E151AC" w14:textId="77777777" w:rsidR="0099413C" w:rsidRPr="00674942" w:rsidRDefault="0099413C" w:rsidP="0099413C">
      <w:pPr>
        <w:pStyle w:val="aa"/>
        <w:numPr>
          <w:ilvl w:val="0"/>
          <w:numId w:val="2"/>
        </w:numPr>
        <w:spacing w:after="0"/>
        <w:ind w:left="-58" w:right="-142" w:hanging="425"/>
      </w:pPr>
      <w:r w:rsidRPr="00674942">
        <w:rPr>
          <w:rtl/>
        </w:rPr>
        <w:t xml:space="preserve">בשים לב לסוג הסם ולכמות הסם אותה החזיק הנאשם לצריכתו העצמית ושלא לצריכתו העצמית, ובשים לב ליתר הנסיבות הקשורות בביצוע העבירות כפי שיפורט בהמשך הדברים, נדמה כי </w:t>
      </w:r>
      <w:r w:rsidRPr="00674942">
        <w:rPr>
          <w:b/>
          <w:bCs/>
          <w:rtl/>
        </w:rPr>
        <w:t>מידת הפגיעה בערכים המוגנים</w:t>
      </w:r>
      <w:r w:rsidRPr="00674942">
        <w:rPr>
          <w:rtl/>
        </w:rPr>
        <w:t xml:space="preserve"> במקרה הנדון מצויה ברף שאינו גבוה באופן מיוחד. </w:t>
      </w:r>
    </w:p>
    <w:p w14:paraId="60072A65" w14:textId="77777777" w:rsidR="0099413C" w:rsidRPr="00674942" w:rsidRDefault="0099413C" w:rsidP="0099413C">
      <w:pPr>
        <w:pStyle w:val="aa"/>
        <w:numPr>
          <w:ilvl w:val="0"/>
          <w:numId w:val="2"/>
        </w:numPr>
        <w:spacing w:after="0"/>
        <w:ind w:left="-58" w:right="-142"/>
      </w:pPr>
      <w:r w:rsidRPr="00674942">
        <w:rPr>
          <w:rtl/>
        </w:rPr>
        <w:t xml:space="preserve">בבחינת </w:t>
      </w:r>
      <w:r w:rsidRPr="00674942">
        <w:rPr>
          <w:b/>
          <w:bCs/>
          <w:rtl/>
        </w:rPr>
        <w:t>הנסיבות הקשורות בביצוע העבירות,</w:t>
      </w:r>
      <w:r w:rsidRPr="00674942">
        <w:rPr>
          <w:rtl/>
        </w:rPr>
        <w:t xml:space="preserve"> נתתי דעתי בראש ובראשונה לסוג הסם שבו החזיק הנאשם ומשקלו. המדובר בסם מסוכן מסוג </w:t>
      </w:r>
      <w:r w:rsidRPr="00674942">
        <w:t>F4- MDMB- BUTINACA</w:t>
      </w:r>
      <w:r w:rsidRPr="00674942">
        <w:rPr>
          <w:rtl/>
        </w:rPr>
        <w:t xml:space="preserve"> הנמנה עם "הסמים הסינטטיים", כאשר שנים רבות של מחקרים מדעיים שנעשו בתחום לימדו אותנו כי הנזקים שסם זה מביא עמו קשים מהנזקים הנגרמים עקב שימוש בסמים "קלים" כגון חשיש או מריחואנה. בכל הנוגע למשקל הסם, הרי שנתתי דעתי לכך שהנאשם לא החזיק בכמות גבוהה של סם, כאשר הנאשם החזיק 28 גרם שלא לצריכתו העצמית וכן 16 גרם נוספים לצריכתו העצמית. </w:t>
      </w:r>
    </w:p>
    <w:p w14:paraId="0DF248B9" w14:textId="77777777" w:rsidR="0099413C" w:rsidRPr="00674942" w:rsidRDefault="0099413C" w:rsidP="0099413C">
      <w:pPr>
        <w:pStyle w:val="aa"/>
        <w:numPr>
          <w:ilvl w:val="0"/>
          <w:numId w:val="2"/>
        </w:numPr>
        <w:spacing w:after="0"/>
        <w:ind w:left="-58" w:right="-142"/>
      </w:pPr>
      <w:r w:rsidRPr="00674942">
        <w:rPr>
          <w:b/>
          <w:bCs/>
          <w:rtl/>
        </w:rPr>
        <w:t>אשר לסיבות שהביאו את הנאשם לבצע את העבירה</w:t>
      </w:r>
      <w:r w:rsidRPr="00674942">
        <w:rPr>
          <w:rtl/>
        </w:rPr>
        <w:t>, כפי העולה מטיעוני ההגנה לעונש  ומהמסמך הרפואי שהוגשו לעיוני (</w:t>
      </w:r>
      <w:r w:rsidRPr="00674942">
        <w:rPr>
          <w:b/>
          <w:bCs/>
          <w:rtl/>
        </w:rPr>
        <w:t>נ/1)</w:t>
      </w:r>
      <w:r w:rsidRPr="00674942">
        <w:rPr>
          <w:rtl/>
        </w:rPr>
        <w:t>, החזקת הסמים לצריכה עצמית נועדה לדברי הנאשם לשימושו העצמי נוכח מצבו הרפואי הקשה. בהמשך לכך יצוין, כי בכל הנוגע לסם שהוחזק על ידי הנאשם שלא לצריכתו העצמית, בכך שהלה חילק את הסם למנות ב-7 שקיות, ולכך שבסופו של יום, הנאשם הודה בעבירה של החזקת סם שלא לצריכה עצמית, הרי שעל אף שיש לראות בכמות הסם אותה החזיק הנאשם כהחזקה שלא לצריכה עצמית אזי, אין הדבר מצביע בהכרח על כך כי המדובר בהחזקה שמטרתה הייתה להפיץ את הסם. וכך נוסח העניין בקפידה ב</w:t>
      </w:r>
      <w:hyperlink r:id="rId25" w:history="1">
        <w:r w:rsidR="00D77ADF" w:rsidRPr="00D77ADF">
          <w:rPr>
            <w:color w:val="0000FF"/>
            <w:u w:val="single"/>
            <w:rtl/>
          </w:rPr>
          <w:t>ת"פ (שלום י-ם) 7414-01-15</w:t>
        </w:r>
      </w:hyperlink>
      <w:r w:rsidRPr="00674942">
        <w:rPr>
          <w:rtl/>
        </w:rPr>
        <w:t xml:space="preserve"> </w:t>
      </w:r>
      <w:r w:rsidRPr="00674942">
        <w:rPr>
          <w:b/>
          <w:bCs/>
          <w:rtl/>
        </w:rPr>
        <w:t>מדינת ישראל נ' ניסים שגב</w:t>
      </w:r>
      <w:r w:rsidRPr="00674942">
        <w:rPr>
          <w:rtl/>
        </w:rPr>
        <w:t xml:space="preserve"> (נבו,26.02.2017): ".... </w:t>
      </w:r>
      <w:r w:rsidRPr="00674942">
        <w:rPr>
          <w:b/>
          <w:bCs/>
          <w:rtl/>
        </w:rPr>
        <w:t>רוצה לומר, יש מי שמחזיק סם שלא לצריכה עצמית ומטרתו היא לסחור בו ולהפיצו, ויש מי שעושה כן ומטרתו היא להשתמש בסם יחד עם חבריו הקרובים וליתן להם אותו ללא תמורה. זה מחזיק וזה מחזיק, אלא שזה סוחר של ממש, והשני מצוי במקום אחר וצדדי, קרוב יותר לזה המחזיק כמות העולה כדי שימוש עצמי בסם מסוכן. זה מצוי בתחום הפלילי ואף חברו, אלא שזה נעוץ בו עמוק, והשני אך נוגע בפליליות הכרוכה במעשיו</w:t>
      </w:r>
      <w:r w:rsidRPr="00674942">
        <w:rPr>
          <w:rtl/>
        </w:rPr>
        <w:t>".</w:t>
      </w:r>
    </w:p>
    <w:p w14:paraId="22DCA77E" w14:textId="77777777" w:rsidR="0099413C" w:rsidRPr="00674942" w:rsidRDefault="0099413C" w:rsidP="0099413C">
      <w:pPr>
        <w:pStyle w:val="aa"/>
        <w:numPr>
          <w:ilvl w:val="0"/>
          <w:numId w:val="2"/>
        </w:numPr>
        <w:spacing w:after="0"/>
        <w:ind w:left="-58"/>
      </w:pPr>
      <w:r w:rsidRPr="00674942">
        <w:rPr>
          <w:rtl/>
        </w:rPr>
        <w:t xml:space="preserve">בסיכומה של נקודה זה ייאמר, כי אין לו לדיין אלא מה שעיניו רואות </w:t>
      </w:r>
      <w:r w:rsidRPr="00674942">
        <w:rPr>
          <w:b/>
          <w:bCs/>
          <w:rtl/>
        </w:rPr>
        <w:t xml:space="preserve">– </w:t>
      </w:r>
      <w:r w:rsidRPr="00674942">
        <w:rPr>
          <w:rtl/>
        </w:rPr>
        <w:t xml:space="preserve">ומבלי להתעלם מהחזקה החוקית ומרמת האשמה ה"רישמית" שהיא יוצרת, הרי שיש להניח לזכותו של הנאשם כי רמת האשמה המוטלת לפתחו היא נמוכה, בשל נסיבותיו האישיות הנאשם, בדגש על מצבו הרפואי, ועת לא הוכח לפניי כי הלה החזיק את הסם במטרה להפיצו או לסחור בו. </w:t>
      </w:r>
    </w:p>
    <w:p w14:paraId="06124ECA" w14:textId="77777777" w:rsidR="0099413C" w:rsidRPr="00674942" w:rsidRDefault="0099413C" w:rsidP="0099413C">
      <w:pPr>
        <w:pStyle w:val="aa"/>
        <w:numPr>
          <w:ilvl w:val="0"/>
          <w:numId w:val="2"/>
        </w:numPr>
        <w:spacing w:after="0"/>
        <w:ind w:left="-58"/>
      </w:pPr>
      <w:r w:rsidRPr="00674942">
        <w:rPr>
          <w:rtl/>
        </w:rPr>
        <w:t>לבסוף, נתתי דעתי לכך שכתוצאה ממעשיו של הנאשם לא נגרם נזק מוחשי כלשהו. אם כי, אין לייחס משקל רב לנסיבה זו, שכן אלו הן דרכן של עבירות הסמים, כאשר פעמים רבות לא ניתן להצביע על נזק מוחשי ומידי שנגרם כתוצאה מהן, מה שאינו מפחית כהוא זה מהנזק הרב וארוך הטווח שהן מביאות עמן. כידוע, הסמים פוגעים פגיעה קשה לא רק במשתמשים בסם, כי אם גם בבני משפחתם, חבריהם ומכריהם וכן בציבור בכללותו. לא פעם נדרשים המכורים לסמים לבצע עבירות רכוש ואלימות כדי לממן לעצמם את מנת הסם הבאה, ובעצם כך מביאים לפגיעה פעם אחר פעם, בקניינו ובביטחונו של הזולת. גם ניתן בנקל לשער ולדמות את מסכת הסבל והייסורים שעוברים בני משפחתם וחבריהם הקרובים של המכורים לסמים, אשר נאלצים לראות את יקיריהם הולכים מדחי לדחי ומדרדרים את חייהם אל פי תהום. זהו אפוא, אותו נזק פוטנציאלי הטמון בעבירות הסמים השונות.</w:t>
      </w:r>
    </w:p>
    <w:p w14:paraId="07654FD6" w14:textId="77777777" w:rsidR="0099413C" w:rsidRPr="00674942" w:rsidRDefault="0099413C" w:rsidP="0099413C">
      <w:pPr>
        <w:pStyle w:val="aa"/>
        <w:numPr>
          <w:ilvl w:val="0"/>
          <w:numId w:val="2"/>
        </w:numPr>
        <w:spacing w:after="0"/>
        <w:ind w:left="-58"/>
      </w:pPr>
      <w:r w:rsidRPr="00674942">
        <w:rPr>
          <w:rtl/>
        </w:rPr>
        <w:t xml:space="preserve">אשר </w:t>
      </w:r>
      <w:r w:rsidRPr="00674942">
        <w:rPr>
          <w:b/>
          <w:bCs/>
          <w:rtl/>
        </w:rPr>
        <w:t>למדיניות הענישה הנוהגת</w:t>
      </w:r>
      <w:r w:rsidRPr="00674942">
        <w:rPr>
          <w:rtl/>
        </w:rPr>
        <w:t xml:space="preserve">, סקירת הפסיקה מלמדת כי בעבירה של החזקת סם מסוג הסמים הסינטטיים לצריכה עצמית ושלא לצריכה עצמית </w:t>
      </w:r>
      <w:r w:rsidRPr="00674942">
        <w:rPr>
          <w:b/>
          <w:bCs/>
          <w:rtl/>
        </w:rPr>
        <w:t>בכמויות דומות לאלו שבעניינינו</w:t>
      </w:r>
      <w:r w:rsidRPr="00674942">
        <w:rPr>
          <w:rtl/>
        </w:rPr>
        <w:t xml:space="preserve">, קיים מנעד רחב של עונשים, הכול בהתאם לכמות הסם ונסיבות החזקתו, ואולם, </w:t>
      </w:r>
      <w:r w:rsidRPr="00674942">
        <w:rPr>
          <w:b/>
          <w:bCs/>
          <w:rtl/>
        </w:rPr>
        <w:t>בדרך כלל,</w:t>
      </w:r>
      <w:r w:rsidRPr="00674942">
        <w:rPr>
          <w:rtl/>
        </w:rPr>
        <w:t xml:space="preserve"> העונש הדומיננטי הוא, עונש הנע בין מאסר קצר שיכול להיות מרוצה בעבודות שירות ועד לעונש ממושך יותר מאחורי סורג ובריח. עם זאת יש לחדד ולהעיר, כי הפסיקה שתובא להלן מתייחסת בחלקה לכמויות סם שונות מאלה שבעניינינו, והיא נלמדת בדרך של היקש וסברה. ראו למשל,</w:t>
      </w:r>
      <w:r w:rsidRPr="00674942">
        <w:rPr>
          <w:shd w:val="clear" w:color="auto" w:fill="FAFAFA"/>
          <w:rtl/>
        </w:rPr>
        <w:t xml:space="preserve"> </w:t>
      </w:r>
      <w:hyperlink r:id="rId26" w:history="1">
        <w:r w:rsidR="00D77ADF" w:rsidRPr="00D77ADF">
          <w:rPr>
            <w:color w:val="0000FF"/>
            <w:u w:val="single"/>
            <w:shd w:val="clear" w:color="auto" w:fill="FAFAFA"/>
            <w:rtl/>
          </w:rPr>
          <w:t>ת"פ (שלום ב"ש) 59289-05-17</w:t>
        </w:r>
      </w:hyperlink>
      <w:r w:rsidR="00D77ADF">
        <w:rPr>
          <w:u w:val="single"/>
          <w:shd w:val="clear" w:color="auto" w:fill="FAFAFA"/>
          <w:rtl/>
        </w:rPr>
        <w:t xml:space="preserve"> </w:t>
      </w:r>
      <w:r w:rsidRPr="00674942">
        <w:rPr>
          <w:b/>
          <w:bCs/>
          <w:shd w:val="clear" w:color="auto" w:fill="FAFAFA"/>
          <w:rtl/>
        </w:rPr>
        <w:t>מדינת ישראל תביעות נגב נ' דמיטרי טרטיאקוב</w:t>
      </w:r>
      <w:r w:rsidR="00D77ADF">
        <w:rPr>
          <w:shd w:val="clear" w:color="auto" w:fill="FAFAFA"/>
          <w:rtl/>
        </w:rPr>
        <w:t xml:space="preserve"> </w:t>
      </w:r>
      <w:r w:rsidRPr="00674942">
        <w:rPr>
          <w:shd w:val="clear" w:color="auto" w:fill="FAFAFA"/>
        </w:rPr>
        <w:t>)</w:t>
      </w:r>
      <w:r w:rsidRPr="00674942">
        <w:rPr>
          <w:shd w:val="clear" w:color="auto" w:fill="FAFAFA"/>
          <w:rtl/>
        </w:rPr>
        <w:t xml:space="preserve">נבו, 16.10.2017); </w:t>
      </w:r>
      <w:hyperlink r:id="rId27" w:history="1">
        <w:r w:rsidR="00D77ADF" w:rsidRPr="00D77ADF">
          <w:rPr>
            <w:color w:val="0000FF"/>
            <w:u w:val="single"/>
            <w:shd w:val="clear" w:color="auto" w:fill="FAFAFA"/>
            <w:rtl/>
          </w:rPr>
          <w:t>ת"פ (שלום י-ם) 58979-09-20</w:t>
        </w:r>
      </w:hyperlink>
      <w:r w:rsidR="00D77ADF">
        <w:rPr>
          <w:shd w:val="clear" w:color="auto" w:fill="FAFAFA"/>
          <w:rtl/>
        </w:rPr>
        <w:t xml:space="preserve"> </w:t>
      </w:r>
      <w:r w:rsidRPr="00674942">
        <w:rPr>
          <w:b/>
          <w:bCs/>
          <w:shd w:val="clear" w:color="auto" w:fill="FAFAFA"/>
          <w:rtl/>
        </w:rPr>
        <w:t>מדינת ישראל נ' עלי סיאם</w:t>
      </w:r>
      <w:r w:rsidR="00D77ADF">
        <w:rPr>
          <w:shd w:val="clear" w:color="auto" w:fill="FAFAFA"/>
          <w:rtl/>
        </w:rPr>
        <w:t xml:space="preserve"> </w:t>
      </w:r>
      <w:r w:rsidRPr="00674942">
        <w:rPr>
          <w:shd w:val="clear" w:color="auto" w:fill="FAFAFA"/>
          <w:rtl/>
        </w:rPr>
        <w:t xml:space="preserve">(נבו, 13.06.2021); </w:t>
      </w:r>
      <w:hyperlink r:id="rId28" w:history="1">
        <w:r w:rsidR="00D77ADF" w:rsidRPr="00D77ADF">
          <w:rPr>
            <w:color w:val="0000FF"/>
            <w:u w:val="single"/>
            <w:shd w:val="clear" w:color="auto" w:fill="FAFAFA"/>
            <w:rtl/>
          </w:rPr>
          <w:t>ת"פ (שלום ב"ש) 30235-02-22</w:t>
        </w:r>
      </w:hyperlink>
      <w:r w:rsidR="00D77ADF">
        <w:rPr>
          <w:shd w:val="clear" w:color="auto" w:fill="FAFAFA"/>
          <w:rtl/>
        </w:rPr>
        <w:t xml:space="preserve"> </w:t>
      </w:r>
      <w:r w:rsidRPr="00674942">
        <w:rPr>
          <w:b/>
          <w:bCs/>
          <w:shd w:val="clear" w:color="auto" w:fill="FAFAFA"/>
          <w:rtl/>
        </w:rPr>
        <w:t>מדינת ישראל נ' דניאל קוגן</w:t>
      </w:r>
      <w:r w:rsidR="00D77ADF">
        <w:rPr>
          <w:shd w:val="clear" w:color="auto" w:fill="FAFAFA"/>
          <w:rtl/>
        </w:rPr>
        <w:t xml:space="preserve"> </w:t>
      </w:r>
      <w:r w:rsidRPr="00674942">
        <w:rPr>
          <w:shd w:val="clear" w:color="auto" w:fill="FAFAFA"/>
          <w:rtl/>
        </w:rPr>
        <w:t>(נבו, 04.04.2022</w:t>
      </w:r>
      <w:r w:rsidRPr="00674942">
        <w:rPr>
          <w:u w:val="single"/>
          <w:shd w:val="clear" w:color="auto" w:fill="FAFAFA"/>
        </w:rPr>
        <w:t>(</w:t>
      </w:r>
      <w:r w:rsidRPr="00674942">
        <w:rPr>
          <w:u w:val="single"/>
          <w:shd w:val="clear" w:color="auto" w:fill="FAFAFA"/>
          <w:rtl/>
        </w:rPr>
        <w:t xml:space="preserve">; </w:t>
      </w:r>
      <w:hyperlink r:id="rId29" w:history="1">
        <w:r w:rsidR="00D77ADF" w:rsidRPr="00D77ADF">
          <w:rPr>
            <w:color w:val="0000FF"/>
            <w:u w:val="single"/>
            <w:shd w:val="clear" w:color="auto" w:fill="FAFAFA"/>
            <w:rtl/>
          </w:rPr>
          <w:t>ת"פ (שלום ראשל"צ) 22211-06-15</w:t>
        </w:r>
      </w:hyperlink>
      <w:r w:rsidR="00D77ADF">
        <w:rPr>
          <w:shd w:val="clear" w:color="auto" w:fill="FAFAFA"/>
          <w:rtl/>
        </w:rPr>
        <w:t xml:space="preserve"> </w:t>
      </w:r>
      <w:r w:rsidRPr="00674942">
        <w:rPr>
          <w:b/>
          <w:bCs/>
          <w:shd w:val="clear" w:color="auto" w:fill="FAFAFA"/>
          <w:rtl/>
        </w:rPr>
        <w:t>מדינת ישראל נ' גיל שטיינמץ</w:t>
      </w:r>
      <w:r w:rsidR="00D77ADF">
        <w:rPr>
          <w:shd w:val="clear" w:color="auto" w:fill="FAFAFA"/>
          <w:rtl/>
        </w:rPr>
        <w:t xml:space="preserve"> </w:t>
      </w:r>
      <w:r w:rsidRPr="00674942">
        <w:rPr>
          <w:shd w:val="clear" w:color="auto" w:fill="FAFAFA"/>
          <w:rtl/>
        </w:rPr>
        <w:t>(נבו, 23.01.2017</w:t>
      </w:r>
      <w:r w:rsidRPr="00674942">
        <w:rPr>
          <w:shd w:val="clear" w:color="auto" w:fill="FAFAFA"/>
        </w:rPr>
        <w:t>(</w:t>
      </w:r>
      <w:r w:rsidRPr="00674942">
        <w:rPr>
          <w:shd w:val="clear" w:color="auto" w:fill="FAFAFA"/>
          <w:rtl/>
        </w:rPr>
        <w:t xml:space="preserve">; </w:t>
      </w:r>
      <w:hyperlink r:id="rId30" w:history="1">
        <w:r w:rsidR="00D77ADF" w:rsidRPr="00D77ADF">
          <w:rPr>
            <w:color w:val="0000FF"/>
            <w:u w:val="single"/>
            <w:shd w:val="clear" w:color="auto" w:fill="FAFAFA"/>
            <w:rtl/>
          </w:rPr>
          <w:t>עפ"ג (מחוזי מרכז) 7875-09-19</w:t>
        </w:r>
      </w:hyperlink>
      <w:r w:rsidR="00D77ADF">
        <w:rPr>
          <w:shd w:val="clear" w:color="auto" w:fill="FAFAFA"/>
          <w:rtl/>
        </w:rPr>
        <w:t xml:space="preserve"> </w:t>
      </w:r>
      <w:r w:rsidRPr="00674942">
        <w:rPr>
          <w:b/>
          <w:bCs/>
          <w:shd w:val="clear" w:color="auto" w:fill="FAFAFA"/>
          <w:rtl/>
        </w:rPr>
        <w:t>מדינת ישראל נ' מחמוד עאמר</w:t>
      </w:r>
      <w:r w:rsidR="00D77ADF">
        <w:rPr>
          <w:shd w:val="clear" w:color="auto" w:fill="FAFAFA"/>
          <w:rtl/>
        </w:rPr>
        <w:t xml:space="preserve"> </w:t>
      </w:r>
      <w:r w:rsidRPr="00674942">
        <w:rPr>
          <w:shd w:val="clear" w:color="auto" w:fill="FAFAFA"/>
          <w:rtl/>
        </w:rPr>
        <w:t xml:space="preserve">(נבו, 21.01.2020); </w:t>
      </w:r>
      <w:hyperlink r:id="rId31" w:history="1">
        <w:r w:rsidR="00D77ADF" w:rsidRPr="00D77ADF">
          <w:rPr>
            <w:color w:val="0000FF"/>
            <w:u w:val="single"/>
            <w:shd w:val="clear" w:color="auto" w:fill="FAFAFA"/>
            <w:rtl/>
          </w:rPr>
          <w:t>עפ"ג (מחוזי מרכז) 21551-12-15</w:t>
        </w:r>
      </w:hyperlink>
      <w:r w:rsidR="00D77ADF">
        <w:rPr>
          <w:shd w:val="clear" w:color="auto" w:fill="FAFAFA"/>
          <w:rtl/>
        </w:rPr>
        <w:t xml:space="preserve"> </w:t>
      </w:r>
      <w:r w:rsidRPr="00674942">
        <w:rPr>
          <w:b/>
          <w:bCs/>
          <w:shd w:val="clear" w:color="auto" w:fill="FAFAFA"/>
          <w:rtl/>
        </w:rPr>
        <w:t>שלום ציקואשוילי נ' מדינת ישראל</w:t>
      </w:r>
      <w:r w:rsidR="00D77ADF">
        <w:rPr>
          <w:shd w:val="clear" w:color="auto" w:fill="FAFAFA"/>
          <w:rtl/>
        </w:rPr>
        <w:t xml:space="preserve"> </w:t>
      </w:r>
      <w:r w:rsidRPr="00674942">
        <w:rPr>
          <w:shd w:val="clear" w:color="auto" w:fill="FAFAFA"/>
          <w:rtl/>
        </w:rPr>
        <w:t xml:space="preserve">(נבו, 19.04.2016); </w:t>
      </w:r>
      <w:hyperlink r:id="rId32" w:history="1">
        <w:r w:rsidR="00D77ADF" w:rsidRPr="00D77ADF">
          <w:rPr>
            <w:color w:val="0000FF"/>
            <w:u w:val="single"/>
            <w:shd w:val="clear" w:color="auto" w:fill="FAFAFA"/>
            <w:rtl/>
          </w:rPr>
          <w:t>ת"פ (שלום כ"ס) 61617-11-16</w:t>
        </w:r>
      </w:hyperlink>
      <w:r w:rsidR="00D77ADF">
        <w:rPr>
          <w:shd w:val="clear" w:color="auto" w:fill="FAFAFA"/>
          <w:rtl/>
        </w:rPr>
        <w:t xml:space="preserve"> </w:t>
      </w:r>
      <w:r w:rsidRPr="00674942">
        <w:rPr>
          <w:b/>
          <w:bCs/>
          <w:shd w:val="clear" w:color="auto" w:fill="FAFAFA"/>
          <w:rtl/>
        </w:rPr>
        <w:t>מדינת ישראל נ' אדהם בן מוחמד סולטאן</w:t>
      </w:r>
      <w:r w:rsidR="00D77ADF">
        <w:rPr>
          <w:shd w:val="clear" w:color="auto" w:fill="FAFAFA"/>
          <w:rtl/>
        </w:rPr>
        <w:t xml:space="preserve"> </w:t>
      </w:r>
      <w:r w:rsidRPr="00674942">
        <w:rPr>
          <w:shd w:val="clear" w:color="auto" w:fill="FAFAFA"/>
          <w:rtl/>
        </w:rPr>
        <w:t>(נבו, 03.02.2019)</w:t>
      </w:r>
      <w:r w:rsidRPr="00674942">
        <w:rPr>
          <w:rtl/>
        </w:rPr>
        <w:t xml:space="preserve">; </w:t>
      </w:r>
      <w:hyperlink r:id="rId33" w:history="1">
        <w:r w:rsidR="00D77ADF" w:rsidRPr="00D77ADF">
          <w:rPr>
            <w:color w:val="0000FF"/>
            <w:u w:val="single"/>
            <w:shd w:val="clear" w:color="auto" w:fill="FAFAFA"/>
            <w:rtl/>
          </w:rPr>
          <w:t>ת"פ (שלום ק"ג) 74108-01-20</w:t>
        </w:r>
      </w:hyperlink>
      <w:r w:rsidR="00D77ADF">
        <w:rPr>
          <w:shd w:val="clear" w:color="auto" w:fill="FAFAFA"/>
          <w:rtl/>
        </w:rPr>
        <w:t xml:space="preserve"> </w:t>
      </w:r>
      <w:r w:rsidRPr="00674942">
        <w:rPr>
          <w:b/>
          <w:bCs/>
          <w:shd w:val="clear" w:color="auto" w:fill="FAFAFA"/>
          <w:rtl/>
        </w:rPr>
        <w:t>מדינת ישראל נ' מאיר בן חמו</w:t>
      </w:r>
      <w:r w:rsidR="00D77ADF">
        <w:rPr>
          <w:shd w:val="clear" w:color="auto" w:fill="FAFAFA"/>
          <w:rtl/>
        </w:rPr>
        <w:t xml:space="preserve"> </w:t>
      </w:r>
      <w:r w:rsidRPr="00674942">
        <w:rPr>
          <w:shd w:val="clear" w:color="auto" w:fill="FAFAFA"/>
          <w:rtl/>
        </w:rPr>
        <w:t>(נבו, 20.07.2021)</w:t>
      </w:r>
      <w:r w:rsidRPr="00674942">
        <w:rPr>
          <w:rtl/>
        </w:rPr>
        <w:t xml:space="preserve"> (ערעור בתיק תלוי ועומד); </w:t>
      </w:r>
      <w:hyperlink r:id="rId34" w:history="1">
        <w:r w:rsidR="00D77ADF" w:rsidRPr="00D77ADF">
          <w:rPr>
            <w:color w:val="0000FF"/>
            <w:u w:val="single"/>
            <w:shd w:val="clear" w:color="auto" w:fill="FAFAFA"/>
            <w:rtl/>
          </w:rPr>
          <w:t>ת"פ (שלום ת"א) 62497-06-18</w:t>
        </w:r>
      </w:hyperlink>
      <w:r w:rsidR="00D77ADF">
        <w:rPr>
          <w:shd w:val="clear" w:color="auto" w:fill="FAFAFA"/>
          <w:rtl/>
        </w:rPr>
        <w:t xml:space="preserve"> </w:t>
      </w:r>
      <w:r w:rsidRPr="00674942">
        <w:rPr>
          <w:b/>
          <w:bCs/>
          <w:shd w:val="clear" w:color="auto" w:fill="FAFAFA"/>
          <w:rtl/>
        </w:rPr>
        <w:t>מדינת ישראל נ' דמיטרי דיקוי</w:t>
      </w:r>
      <w:r w:rsidR="00D77ADF">
        <w:rPr>
          <w:shd w:val="clear" w:color="auto" w:fill="FAFAFA"/>
          <w:rtl/>
        </w:rPr>
        <w:t xml:space="preserve"> </w:t>
      </w:r>
      <w:r w:rsidRPr="00674942">
        <w:rPr>
          <w:shd w:val="clear" w:color="auto" w:fill="FAFAFA"/>
        </w:rPr>
        <w:t>)</w:t>
      </w:r>
      <w:r w:rsidRPr="00674942">
        <w:rPr>
          <w:shd w:val="clear" w:color="auto" w:fill="FAFAFA"/>
          <w:rtl/>
        </w:rPr>
        <w:t>נבו, 11.10.2021</w:t>
      </w:r>
      <w:r w:rsidRPr="00674942">
        <w:rPr>
          <w:shd w:val="clear" w:color="auto" w:fill="FAFAFA"/>
        </w:rPr>
        <w:t>(</w:t>
      </w:r>
      <w:r w:rsidRPr="00674942">
        <w:rPr>
          <w:shd w:val="clear" w:color="auto" w:fill="FAFAFA"/>
          <w:rtl/>
        </w:rPr>
        <w:t xml:space="preserve">; </w:t>
      </w:r>
      <w:r w:rsidRPr="00674942">
        <w:rPr>
          <w:u w:val="single"/>
          <w:shd w:val="clear" w:color="auto" w:fill="FAFAFA"/>
          <w:rtl/>
        </w:rPr>
        <w:t>ות</w:t>
      </w:r>
      <w:r w:rsidRPr="00674942">
        <w:rPr>
          <w:u w:val="single"/>
          <w:shd w:val="clear" w:color="auto" w:fill="FAFAFA"/>
        </w:rPr>
        <w:t>"</w:t>
      </w:r>
      <w:r w:rsidRPr="00674942">
        <w:rPr>
          <w:u w:val="single"/>
          <w:shd w:val="clear" w:color="auto" w:fill="FAFAFA"/>
          <w:rtl/>
        </w:rPr>
        <w:t>פ (שלום ירושלים) 66974-11-17</w:t>
      </w:r>
      <w:r w:rsidR="00D77ADF">
        <w:rPr>
          <w:u w:val="single"/>
          <w:shd w:val="clear" w:color="auto" w:fill="FAFAFA"/>
          <w:rtl/>
        </w:rPr>
        <w:t xml:space="preserve"> </w:t>
      </w:r>
      <w:r w:rsidRPr="00674942">
        <w:rPr>
          <w:b/>
          <w:bCs/>
          <w:shd w:val="clear" w:color="auto" w:fill="FAFAFA"/>
          <w:rtl/>
        </w:rPr>
        <w:t>מדינת ישראל נ' טארק אבו חלף</w:t>
      </w:r>
      <w:r w:rsidR="00D77ADF">
        <w:rPr>
          <w:shd w:val="clear" w:color="auto" w:fill="FAFAFA"/>
          <w:rtl/>
        </w:rPr>
        <w:t xml:space="preserve"> </w:t>
      </w:r>
      <w:r w:rsidRPr="00674942">
        <w:rPr>
          <w:shd w:val="clear" w:color="auto" w:fill="FAFAFA"/>
          <w:rtl/>
        </w:rPr>
        <w:t>(נבו, 13.12.2021)</w:t>
      </w:r>
      <w:r w:rsidRPr="00674942">
        <w:rPr>
          <w:rtl/>
        </w:rPr>
        <w:t>).</w:t>
      </w:r>
    </w:p>
    <w:p w14:paraId="54B47DE9" w14:textId="77777777" w:rsidR="0099413C" w:rsidRPr="00674942" w:rsidRDefault="0099413C" w:rsidP="0099413C">
      <w:pPr>
        <w:pStyle w:val="aa"/>
        <w:numPr>
          <w:ilvl w:val="0"/>
          <w:numId w:val="2"/>
        </w:numPr>
        <w:spacing w:after="0"/>
        <w:ind w:left="-58"/>
      </w:pPr>
      <w:r w:rsidRPr="00674942">
        <w:rPr>
          <w:rtl/>
        </w:rPr>
        <w:t xml:space="preserve">כאן אציין, כי אף לא התעלמתי מהפסיקה אליה הפנתה המאשימה, אולם הדבר נעשה תוך ביצוע האבחנות המתבקשות. כך </w:t>
      </w:r>
      <w:r w:rsidRPr="00674942">
        <w:rPr>
          <w:shd w:val="clear" w:color="auto" w:fill="FAFAFA"/>
          <w:rtl/>
        </w:rPr>
        <w:t xml:space="preserve">למשל </w:t>
      </w:r>
      <w:r w:rsidRPr="00674942">
        <w:rPr>
          <w:u w:val="single"/>
          <w:shd w:val="clear" w:color="auto" w:fill="FAFAFA"/>
          <w:rtl/>
        </w:rPr>
        <w:t>ב</w:t>
      </w:r>
      <w:hyperlink r:id="rId35" w:history="1">
        <w:r w:rsidR="00D77ADF" w:rsidRPr="00D77ADF">
          <w:rPr>
            <w:color w:val="0000FF"/>
            <w:u w:val="single"/>
            <w:shd w:val="clear" w:color="auto" w:fill="FAFAFA"/>
            <w:rtl/>
          </w:rPr>
          <w:t>ת"פ (שלום ב"ש) 4097-09-15</w:t>
        </w:r>
      </w:hyperlink>
      <w:r w:rsidR="00D77ADF">
        <w:rPr>
          <w:shd w:val="clear" w:color="auto" w:fill="FAFAFA"/>
          <w:rtl/>
        </w:rPr>
        <w:t xml:space="preserve"> </w:t>
      </w:r>
      <w:r w:rsidRPr="00674942">
        <w:rPr>
          <w:b/>
          <w:bCs/>
          <w:shd w:val="clear" w:color="auto" w:fill="FAFAFA"/>
          <w:rtl/>
        </w:rPr>
        <w:t>מדינת ישראל נ' אילן חיימוב</w:t>
      </w:r>
      <w:r w:rsidR="00D77ADF">
        <w:rPr>
          <w:shd w:val="clear" w:color="auto" w:fill="FAFAFA"/>
          <w:rtl/>
        </w:rPr>
        <w:t xml:space="preserve"> </w:t>
      </w:r>
      <w:r w:rsidRPr="00674942">
        <w:rPr>
          <w:shd w:val="clear" w:color="auto" w:fill="FAFAFA"/>
          <w:rtl/>
        </w:rPr>
        <w:t>(נבו, 12.01.2016</w:t>
      </w:r>
      <w:r w:rsidRPr="00674942">
        <w:rPr>
          <w:shd w:val="clear" w:color="auto" w:fill="FAFAFA"/>
        </w:rPr>
        <w:t>(</w:t>
      </w:r>
      <w:r w:rsidRPr="00674942">
        <w:rPr>
          <w:shd w:val="clear" w:color="auto" w:fill="FAFAFA"/>
          <w:rtl/>
        </w:rPr>
        <w:t xml:space="preserve">, </w:t>
      </w:r>
      <w:r w:rsidRPr="00674942">
        <w:rPr>
          <w:rtl/>
        </w:rPr>
        <w:t xml:space="preserve">פסיקה אליה הפנתה המאשימה, המדובר בנאשם שהורשע בעבירת סחר בסם מסוכן, אשר אינה מענייננו, מה גם ששם המדובר היה בהסדר סגור שגובש בין הצדדים לעניין העונש. </w:t>
      </w:r>
    </w:p>
    <w:p w14:paraId="2B4F4430" w14:textId="77777777" w:rsidR="0099413C" w:rsidRPr="00674942" w:rsidRDefault="0099413C" w:rsidP="0099413C">
      <w:pPr>
        <w:pStyle w:val="aa"/>
        <w:numPr>
          <w:ilvl w:val="0"/>
          <w:numId w:val="2"/>
        </w:numPr>
        <w:spacing w:after="0"/>
        <w:ind w:left="-58"/>
      </w:pPr>
      <w:r w:rsidRPr="00674942">
        <w:rPr>
          <w:rtl/>
        </w:rPr>
        <w:t xml:space="preserve">על כל פנים, וזאת חשוב להדגיש, נהיר לבית המשפט כי קיימים מקרים שבהם הושתו עונשים החורגים, לכאן או לכאן, ממנעד הענישה שהוצג לעיל, ועדיין, דומני כי הפסיקה שהוזכרה היא-היא המייצגת נכונה את מדיניות הענישה הנוהגת. עוד ראוי להזכיר, כי ממילא גם לאחר תיקון 113 הענישה נותרה אינדיווידואלית </w:t>
      </w:r>
      <w:r w:rsidRPr="00674942">
        <w:rPr>
          <w:b/>
          <w:bCs/>
          <w:rtl/>
        </w:rPr>
        <w:t>ו"אין עסקינן בשיטת ניקוד, או באריתמטיקה. ענישה היא מלאכת מחשבת – ולא מלאכת מחשב"</w:t>
      </w:r>
      <w:r w:rsidRPr="00674942">
        <w:rPr>
          <w:rtl/>
        </w:rPr>
        <w:t xml:space="preserve"> (</w:t>
      </w:r>
      <w:hyperlink r:id="rId36" w:history="1">
        <w:r w:rsidR="00D77ADF" w:rsidRPr="00D77ADF">
          <w:rPr>
            <w:color w:val="0000FF"/>
            <w:u w:val="single"/>
            <w:rtl/>
          </w:rPr>
          <w:t>ע"פ 5768/10</w:t>
        </w:r>
      </w:hyperlink>
      <w:r w:rsidRPr="00674942">
        <w:rPr>
          <w:rtl/>
        </w:rPr>
        <w:t xml:space="preserve"> </w:t>
      </w:r>
      <w:r w:rsidRPr="00674942">
        <w:rPr>
          <w:b/>
          <w:bCs/>
          <w:rtl/>
        </w:rPr>
        <w:t>פלוני נ' מדינת ישראל</w:t>
      </w:r>
      <w:r w:rsidRPr="00674942">
        <w:rPr>
          <w:rtl/>
        </w:rPr>
        <w:t xml:space="preserve">, (נבו, 08.06.2015)). לעולם אין לגזור עונשו של נאשם על סמך כותרות העבירות שבהן הוא הורשע ויש להתחשב במכלול הנסיבות בכל מקרה לגופו (ראו והשוו, </w:t>
      </w:r>
      <w:hyperlink r:id="rId37" w:history="1">
        <w:r w:rsidR="00D77ADF" w:rsidRPr="00D77ADF">
          <w:rPr>
            <w:color w:val="0000FF"/>
            <w:u w:val="single"/>
            <w:rtl/>
          </w:rPr>
          <w:t>ע"פ 433/89</w:t>
        </w:r>
      </w:hyperlink>
      <w:r w:rsidRPr="00674942">
        <w:rPr>
          <w:rtl/>
        </w:rPr>
        <w:t xml:space="preserve"> </w:t>
      </w:r>
      <w:r w:rsidRPr="00674942">
        <w:rPr>
          <w:b/>
          <w:bCs/>
          <w:rtl/>
        </w:rPr>
        <w:t>ג'ורג' אטיאס נ' מדינת ישראל</w:t>
      </w:r>
      <w:r w:rsidRPr="00674942">
        <w:rPr>
          <w:rtl/>
        </w:rPr>
        <w:t xml:space="preserve">, פ"ד מג(4) 170, (1989); </w:t>
      </w:r>
      <w:r w:rsidRPr="00674942">
        <w:rPr>
          <w:u w:val="single"/>
          <w:rtl/>
        </w:rPr>
        <w:t>ו</w:t>
      </w:r>
      <w:hyperlink r:id="rId38" w:history="1">
        <w:r w:rsidR="00D77ADF" w:rsidRPr="00D77ADF">
          <w:rPr>
            <w:color w:val="0000FF"/>
            <w:u w:val="single"/>
            <w:rtl/>
          </w:rPr>
          <w:t>רע"פ 3173/09</w:t>
        </w:r>
      </w:hyperlink>
      <w:r w:rsidRPr="00674942">
        <w:rPr>
          <w:rtl/>
        </w:rPr>
        <w:t xml:space="preserve"> </w:t>
      </w:r>
      <w:r w:rsidRPr="00674942">
        <w:rPr>
          <w:b/>
          <w:bCs/>
          <w:rtl/>
        </w:rPr>
        <w:t>פראגין נ' מדינת ישראל</w:t>
      </w:r>
      <w:r w:rsidRPr="00674942">
        <w:rPr>
          <w:rtl/>
        </w:rPr>
        <w:t xml:space="preserve">, (נבו, 05.05.2009)). לבסוף, ראוי להזכיר כי השיקול של "מדיניות הענישה" הינו אך שיקול אחד מבין מכלול השיקולים אותם ישקול בית המשפט בטרם קביעת מתחם העונש ההולם וגזירת הדין (ראו בעניין זה, </w:t>
      </w:r>
      <w:hyperlink r:id="rId39" w:history="1">
        <w:r w:rsidR="00D77ADF" w:rsidRPr="00D77ADF">
          <w:rPr>
            <w:color w:val="0000FF"/>
            <w:u w:val="single"/>
            <w:rtl/>
          </w:rPr>
          <w:t>ע"פ 1903/13</w:t>
        </w:r>
      </w:hyperlink>
      <w:r w:rsidRPr="00674942">
        <w:rPr>
          <w:rtl/>
        </w:rPr>
        <w:t xml:space="preserve"> </w:t>
      </w:r>
      <w:r w:rsidRPr="00674942">
        <w:rPr>
          <w:b/>
          <w:bCs/>
          <w:rtl/>
        </w:rPr>
        <w:t>חמודה עיאשה נ' מדינת ישראל</w:t>
      </w:r>
      <w:r w:rsidRPr="00674942">
        <w:rPr>
          <w:rtl/>
        </w:rPr>
        <w:t>, (נבו, 25.06.2013)).</w:t>
      </w:r>
    </w:p>
    <w:p w14:paraId="1AF7B889" w14:textId="77777777" w:rsidR="0099413C" w:rsidRPr="00674942" w:rsidRDefault="0099413C" w:rsidP="0099413C">
      <w:pPr>
        <w:pStyle w:val="aa"/>
        <w:numPr>
          <w:ilvl w:val="0"/>
          <w:numId w:val="2"/>
        </w:numPr>
        <w:spacing w:after="0"/>
        <w:ind w:left="-58"/>
      </w:pPr>
      <w:r w:rsidRPr="00674942">
        <w:rPr>
          <w:rtl/>
        </w:rPr>
        <w:t xml:space="preserve">כללם של דברים, לאחר שנתתי את דעתי לעיקרון המנחה בענישה, לערכים המוגנים שנפגעו ולמידת הפגיעה בהם, למדיניות הענישה הנוהגת ולנסיבות הקשורות בביצוע העבירות, כפי שפורט בהרחבה לעיל, ובשים לב לסוגו של הסם, כמותו ונסיבות החזקתו, הריני לקבוע כי </w:t>
      </w:r>
      <w:r w:rsidRPr="00674942">
        <w:rPr>
          <w:b/>
          <w:bCs/>
          <w:rtl/>
        </w:rPr>
        <w:t>על מתחם העונש ההולם במקרה הנדון לנוע בין מאסר קצר (שניתן לרצותו בעבודות שירות) לבין 8 חודשים מאסר בפועל</w:t>
      </w:r>
      <w:r w:rsidRPr="00674942">
        <w:rPr>
          <w:rtl/>
        </w:rPr>
        <w:t xml:space="preserve">. </w:t>
      </w:r>
    </w:p>
    <w:p w14:paraId="2C6F241B" w14:textId="77777777" w:rsidR="0099413C" w:rsidRPr="00674942" w:rsidRDefault="0099413C" w:rsidP="0099413C">
      <w:pPr>
        <w:tabs>
          <w:tab w:val="right" w:pos="7371"/>
        </w:tabs>
        <w:spacing w:line="360" w:lineRule="auto"/>
        <w:ind w:left="-58" w:right="-625"/>
        <w:contextualSpacing/>
        <w:jc w:val="both"/>
        <w:rPr>
          <w:rFonts w:ascii="David" w:hAnsi="David"/>
        </w:rPr>
      </w:pPr>
    </w:p>
    <w:p w14:paraId="3EC8EC76" w14:textId="77777777" w:rsidR="0099413C" w:rsidRPr="00674942" w:rsidRDefault="0099413C" w:rsidP="0099413C">
      <w:pPr>
        <w:keepNext/>
        <w:keepLines/>
        <w:tabs>
          <w:tab w:val="right" w:pos="7371"/>
        </w:tabs>
        <w:spacing w:line="360" w:lineRule="auto"/>
        <w:ind w:right="-625"/>
        <w:jc w:val="center"/>
        <w:outlineLvl w:val="0"/>
        <w:rPr>
          <w:rFonts w:ascii="David" w:hAnsi="David"/>
          <w:b/>
          <w:bCs/>
          <w:sz w:val="32"/>
          <w:szCs w:val="32"/>
          <w:u w:val="single"/>
        </w:rPr>
      </w:pPr>
      <w:r w:rsidRPr="00674942">
        <w:rPr>
          <w:rFonts w:ascii="David" w:hAnsi="David"/>
          <w:b/>
          <w:bCs/>
          <w:sz w:val="32"/>
          <w:szCs w:val="32"/>
          <w:u w:val="single"/>
          <w:rtl/>
        </w:rPr>
        <w:t>גזירת הדין</w:t>
      </w:r>
    </w:p>
    <w:p w14:paraId="3D243DBD" w14:textId="77777777" w:rsidR="0099413C" w:rsidRPr="00DD043F" w:rsidRDefault="0099413C" w:rsidP="0099413C">
      <w:pPr>
        <w:keepNext/>
        <w:keepLines/>
        <w:spacing w:line="360" w:lineRule="auto"/>
        <w:ind w:left="559" w:hanging="559"/>
        <w:jc w:val="both"/>
        <w:outlineLvl w:val="0"/>
        <w:rPr>
          <w:rFonts w:ascii="David" w:hAnsi="David"/>
          <w:b/>
          <w:bCs/>
          <w:sz w:val="28"/>
          <w:szCs w:val="28"/>
          <w:u w:val="single"/>
          <w:rtl/>
        </w:rPr>
      </w:pPr>
      <w:r>
        <w:rPr>
          <w:rFonts w:ascii="David" w:hAnsi="David" w:hint="cs"/>
          <w:b/>
          <w:bCs/>
          <w:sz w:val="28"/>
          <w:szCs w:val="28"/>
          <w:rtl/>
        </w:rPr>
        <w:t>ד</w:t>
      </w:r>
      <w:r w:rsidRPr="00DD043F">
        <w:rPr>
          <w:rFonts w:ascii="David" w:hAnsi="David"/>
          <w:b/>
          <w:bCs/>
          <w:sz w:val="28"/>
          <w:szCs w:val="28"/>
          <w:rtl/>
        </w:rPr>
        <w:t>.</w:t>
      </w:r>
      <w:r w:rsidRPr="00DD043F">
        <w:rPr>
          <w:rFonts w:ascii="David" w:hAnsi="David"/>
          <w:sz w:val="28"/>
          <w:szCs w:val="28"/>
          <w:rtl/>
        </w:rPr>
        <w:t xml:space="preserve"> </w:t>
      </w:r>
      <w:r>
        <w:rPr>
          <w:rFonts w:ascii="David" w:hAnsi="David"/>
          <w:sz w:val="28"/>
          <w:szCs w:val="28"/>
          <w:rtl/>
        </w:rPr>
        <w:tab/>
      </w:r>
      <w:r w:rsidRPr="00DD043F">
        <w:rPr>
          <w:rFonts w:ascii="David" w:hAnsi="David"/>
          <w:b/>
          <w:bCs/>
          <w:sz w:val="28"/>
          <w:szCs w:val="28"/>
          <w:u w:val="single"/>
          <w:rtl/>
        </w:rPr>
        <w:t>גזירת העונש המתאים לנאשם</w:t>
      </w:r>
    </w:p>
    <w:p w14:paraId="32615174" w14:textId="77777777" w:rsidR="0099413C" w:rsidRPr="00674942" w:rsidRDefault="0099413C" w:rsidP="0099413C">
      <w:pPr>
        <w:pStyle w:val="aa"/>
        <w:numPr>
          <w:ilvl w:val="0"/>
          <w:numId w:val="2"/>
        </w:numPr>
        <w:spacing w:after="0"/>
        <w:ind w:left="-58"/>
      </w:pPr>
      <w:r w:rsidRPr="00674942">
        <w:rPr>
          <w:rtl/>
        </w:rPr>
        <w:t xml:space="preserve">כעת נותר לגזור את עונשו של הנאשם, ולצורך כך, כמצוות המחוקק </w:t>
      </w:r>
      <w:hyperlink r:id="rId40" w:history="1">
        <w:r w:rsidR="0030071E" w:rsidRPr="0030071E">
          <w:rPr>
            <w:rStyle w:val="Hyperlink"/>
            <w:rtl/>
          </w:rPr>
          <w:t>בסעיף 40יא</w:t>
        </w:r>
      </w:hyperlink>
      <w:r w:rsidRPr="00674942">
        <w:rPr>
          <w:rtl/>
        </w:rPr>
        <w:t xml:space="preserve"> ל</w:t>
      </w:r>
      <w:hyperlink r:id="rId41" w:history="1">
        <w:r w:rsidR="00D77ADF" w:rsidRPr="00D77ADF">
          <w:rPr>
            <w:color w:val="0000FF"/>
            <w:u w:val="single"/>
            <w:rtl/>
          </w:rPr>
          <w:t>חוק העונשין</w:t>
        </w:r>
      </w:hyperlink>
      <w:r w:rsidRPr="00674942">
        <w:rPr>
          <w:rtl/>
        </w:rPr>
        <w:t xml:space="preserve">, יש להתחשב בנסיבות שאינן קשורות בביצוע העבירה. </w:t>
      </w:r>
    </w:p>
    <w:p w14:paraId="5A7EA827" w14:textId="77777777" w:rsidR="0099413C" w:rsidRPr="00674942" w:rsidRDefault="0099413C" w:rsidP="0099413C">
      <w:pPr>
        <w:numPr>
          <w:ilvl w:val="0"/>
          <w:numId w:val="2"/>
        </w:numPr>
        <w:shd w:val="clear" w:color="auto" w:fill="FAFAFA"/>
        <w:spacing w:line="360" w:lineRule="auto"/>
        <w:ind w:left="-118"/>
        <w:contextualSpacing/>
        <w:jc w:val="both"/>
        <w:rPr>
          <w:rFonts w:ascii="David" w:hAnsi="David"/>
        </w:rPr>
      </w:pPr>
      <w:r w:rsidRPr="00674942">
        <w:rPr>
          <w:rFonts w:ascii="David" w:hAnsi="David"/>
          <w:rtl/>
        </w:rPr>
        <w:t xml:space="preserve">בעניין זה, בראש ובראשונה נתתי דעתי לגילו של הנאשם, ולגיליון ההרשעות הקודמות שלו הכולל כ-11 הרשעות בין השנים 2002-2012, במגוון עבירות שעיקרן עבירות רכוש שונות, וכן עבירות של החזקת סם לצריכה עצמית ועבירה בודדת של החזקת סם שלא לצריכה עצמית, הפרת הוראה חוקית ותקיפה הגורמת חבלה, שכולן בוצעו לפני שנים רבות והתיישנו זה מכבר אך לא נמחקו. </w:t>
      </w:r>
    </w:p>
    <w:p w14:paraId="4805D847" w14:textId="77777777" w:rsidR="0099413C" w:rsidRPr="00674942" w:rsidRDefault="0099413C" w:rsidP="0099413C">
      <w:pPr>
        <w:numPr>
          <w:ilvl w:val="0"/>
          <w:numId w:val="2"/>
        </w:numPr>
        <w:shd w:val="clear" w:color="auto" w:fill="FAFAFA"/>
        <w:spacing w:line="360" w:lineRule="auto"/>
        <w:ind w:left="-118"/>
        <w:contextualSpacing/>
        <w:jc w:val="both"/>
        <w:rPr>
          <w:rFonts w:ascii="David" w:hAnsi="David"/>
        </w:rPr>
      </w:pPr>
      <w:r w:rsidRPr="00674942">
        <w:rPr>
          <w:rFonts w:ascii="David" w:hAnsi="David"/>
          <w:rtl/>
        </w:rPr>
        <w:t xml:space="preserve">עוד ולקולה, יש ליתן את הדעת לכך שהנאשם הודה בביצוע העבירות, לקח אחריות על מעשיו, הביא לחיסכון בזמן שיפוטי יקר ואף ייתר את הצורך בשמיעת העדים. </w:t>
      </w:r>
    </w:p>
    <w:p w14:paraId="2346FC27" w14:textId="77777777" w:rsidR="0099413C" w:rsidRPr="00674942" w:rsidRDefault="0099413C" w:rsidP="0099413C">
      <w:pPr>
        <w:numPr>
          <w:ilvl w:val="0"/>
          <w:numId w:val="2"/>
        </w:numPr>
        <w:tabs>
          <w:tab w:val="left" w:pos="8306"/>
        </w:tabs>
        <w:spacing w:line="360" w:lineRule="auto"/>
        <w:ind w:left="-118"/>
        <w:contextualSpacing/>
        <w:jc w:val="both"/>
        <w:rPr>
          <w:rFonts w:ascii="David" w:hAnsi="David"/>
        </w:rPr>
      </w:pPr>
      <w:r w:rsidRPr="00674942">
        <w:rPr>
          <w:rFonts w:ascii="David" w:hAnsi="David"/>
          <w:rtl/>
        </w:rPr>
        <w:t xml:space="preserve">עוד לא נעלם מעיניי שהעבירות שבמוקד כתב האישום המתוקן בוצעו לפני למעלה משנתיים. אם כי, את מירב המשקל בנקודה זו יש להעניק לא לאותה ספירת זמן "טכנית" – אלא לכך שבפרק הזמן שחלף מאז, הנאשם נמנע מלהסתבך עוד בפלילים. </w:t>
      </w:r>
    </w:p>
    <w:p w14:paraId="75442E45" w14:textId="77777777" w:rsidR="0099413C" w:rsidRDefault="0099413C" w:rsidP="0099413C">
      <w:pPr>
        <w:pStyle w:val="aa"/>
        <w:numPr>
          <w:ilvl w:val="0"/>
          <w:numId w:val="2"/>
        </w:numPr>
        <w:spacing w:after="0"/>
        <w:ind w:left="-199" w:hanging="284"/>
      </w:pPr>
      <w:r w:rsidRPr="00674942">
        <w:rPr>
          <w:rtl/>
        </w:rPr>
        <w:t>כמו כן, שקלתי את נסיבותיו הרפואיות של הנאשם כפי שפורטו בשלב הטיעונים לעונש ובמסמך שהוגש לעיוני (</w:t>
      </w:r>
      <w:r w:rsidRPr="00674942">
        <w:rPr>
          <w:b/>
          <w:bCs/>
          <w:rtl/>
        </w:rPr>
        <w:t>נ/1</w:t>
      </w:r>
      <w:r w:rsidRPr="00674942">
        <w:rPr>
          <w:rtl/>
        </w:rPr>
        <w:t>), מהם נלמד כי הנאשם סובל מבעיות בריאותיות שונות ומגוונות ובשל צנעת הפרט אין זה המקום לפרטן. ואולם מצאתי להעיר כי נראה שיש בכוח כל אחת מהבעיות הרפואיות עמן מתמודד הנאשם כשהיא עומדת לבדה להוות נטל כבד על אורחות חייו של הנאשם, כשברי ששילובן יחדיו מעמיד את הנאשם במעמסה קשה מנשוא. בנסיבות אלו ברי כי אתן לכך משקל ראוי בגזירת עונשו של הנאשם.</w:t>
      </w:r>
    </w:p>
    <w:p w14:paraId="53AFFF8E" w14:textId="77777777" w:rsidR="0099413C" w:rsidRPr="009247EA" w:rsidRDefault="0099413C" w:rsidP="0099413C">
      <w:pPr>
        <w:pStyle w:val="aa"/>
        <w:numPr>
          <w:ilvl w:val="0"/>
          <w:numId w:val="2"/>
        </w:numPr>
        <w:spacing w:after="0"/>
        <w:ind w:left="-199" w:hanging="284"/>
      </w:pPr>
      <w:r w:rsidRPr="00674942">
        <w:rPr>
          <w:rtl/>
        </w:rPr>
        <w:t xml:space="preserve">הנה כי כן, עסקינן בנאשם, שמאז שביצע את העבירות שבגינן הוא נותן את הדין כעת, היטיב את דרכיו ונמנע מלשוב ולבצע עבירות נוספות. מנגד, יש לתת את הדעת לכך שהנאשם לא עבר כל הליך טיפולי ואף לא הביע כל רצון לכך, ונראה כי אותו מוקד בעייתי וקווי אישיותו של הנאשם שעמדו ברקע לביצוע העבירות, לא אוינו. </w:t>
      </w:r>
      <w:r w:rsidRPr="009247EA">
        <w:rPr>
          <w:b/>
          <w:bCs/>
          <w:rtl/>
        </w:rPr>
        <w:t xml:space="preserve">ברי כי משאלו הם פני הדברים, הרי שאין מקום בעניינו לסטות סטייה לקולה מגדרי מתחם העונש שנקבע על ידי (כעתירתה דה-פקטו של ההגנה לעניין העונש), אלא יש מקום להשית על הנאשם ענישה המצויה בגדרי מתחם העונש ההולם.  </w:t>
      </w:r>
    </w:p>
    <w:p w14:paraId="21EBD968" w14:textId="77777777" w:rsidR="0099413C" w:rsidRPr="009247EA" w:rsidRDefault="0099413C" w:rsidP="0099413C">
      <w:pPr>
        <w:pStyle w:val="aa"/>
        <w:numPr>
          <w:ilvl w:val="0"/>
          <w:numId w:val="2"/>
        </w:numPr>
        <w:spacing w:after="0"/>
        <w:ind w:left="-199" w:hanging="284"/>
      </w:pPr>
      <w:r w:rsidRPr="00674942">
        <w:rPr>
          <w:rtl/>
        </w:rPr>
        <w:t xml:space="preserve">אכן, אין הכרח שהנאשם יעבור שיקום "מוסדי" במסגרת טיפולית כלשהי, ולעיתים די בכך שבית המשפט ישתכנע שהנאשם מנהל אורח חיים נורמטיבי, משתף פעולה עם רשויות החוק, לא שב לדרכיו הרעות ולא מסתבך עוד בפלילים, כדי לקבוע כי אותו נאשם "השתקם או שיש סיכוי של ממש שישתקם בעתיד" (ראו לעניין זה, </w:t>
      </w:r>
      <w:hyperlink r:id="rId42" w:history="1">
        <w:r w:rsidR="00D77ADF" w:rsidRPr="00D77ADF">
          <w:rPr>
            <w:color w:val="0000FF"/>
            <w:u w:val="single"/>
            <w:shd w:val="clear" w:color="auto" w:fill="FAFAFA"/>
            <w:rtl/>
          </w:rPr>
          <w:t>ע"פ 1903/13</w:t>
        </w:r>
      </w:hyperlink>
      <w:r w:rsidR="00D77ADF">
        <w:rPr>
          <w:shd w:val="clear" w:color="auto" w:fill="FAFAFA"/>
          <w:rtl/>
        </w:rPr>
        <w:t xml:space="preserve"> </w:t>
      </w:r>
      <w:r w:rsidRPr="009247EA">
        <w:rPr>
          <w:b/>
          <w:bCs/>
          <w:shd w:val="clear" w:color="auto" w:fill="FAFAFA"/>
          <w:rtl/>
        </w:rPr>
        <w:t>חמודה עיאשה נ' מדינת ישראל</w:t>
      </w:r>
      <w:r w:rsidR="00D77ADF">
        <w:rPr>
          <w:shd w:val="clear" w:color="auto" w:fill="FAFAFA"/>
          <w:rtl/>
        </w:rPr>
        <w:t xml:space="preserve"> </w:t>
      </w:r>
      <w:r w:rsidRPr="009247EA">
        <w:rPr>
          <w:shd w:val="clear" w:color="auto" w:fill="FAFAFA"/>
          <w:rtl/>
        </w:rPr>
        <w:t xml:space="preserve">(פורסם בנבו, 14.07.2013); </w:t>
      </w:r>
      <w:hyperlink r:id="rId43" w:history="1">
        <w:r w:rsidR="00D77ADF" w:rsidRPr="00D77ADF">
          <w:rPr>
            <w:color w:val="0000FF"/>
            <w:u w:val="single"/>
            <w:shd w:val="clear" w:color="auto" w:fill="FAFAFA"/>
            <w:rtl/>
          </w:rPr>
          <w:t>רע"פ 7683/13</w:t>
        </w:r>
      </w:hyperlink>
      <w:r w:rsidR="00D77ADF">
        <w:rPr>
          <w:shd w:val="clear" w:color="auto" w:fill="FAFAFA"/>
          <w:rtl/>
        </w:rPr>
        <w:t xml:space="preserve"> </w:t>
      </w:r>
      <w:r w:rsidRPr="009247EA">
        <w:rPr>
          <w:b/>
          <w:bCs/>
          <w:shd w:val="clear" w:color="auto" w:fill="FAFAFA"/>
          <w:rtl/>
        </w:rPr>
        <w:t>דויד פרלמן נ' מדינת ישראל</w:t>
      </w:r>
      <w:r w:rsidR="00D77ADF">
        <w:rPr>
          <w:shd w:val="clear" w:color="auto" w:fill="FAFAFA"/>
          <w:rtl/>
        </w:rPr>
        <w:t xml:space="preserve"> </w:t>
      </w:r>
      <w:r w:rsidRPr="009247EA">
        <w:rPr>
          <w:shd w:val="clear" w:color="auto" w:fill="FAFAFA"/>
          <w:rtl/>
        </w:rPr>
        <w:t xml:space="preserve">(פורסם בנבו, 23.02.2014); </w:t>
      </w:r>
      <w:hyperlink r:id="rId44" w:history="1">
        <w:r w:rsidR="00D77ADF" w:rsidRPr="00D77ADF">
          <w:rPr>
            <w:color w:val="0000FF"/>
            <w:u w:val="single"/>
            <w:shd w:val="clear" w:color="auto" w:fill="FAFAFA"/>
            <w:rtl/>
          </w:rPr>
          <w:t>רע"פ 1441/14</w:t>
        </w:r>
      </w:hyperlink>
      <w:r w:rsidR="00D77ADF">
        <w:rPr>
          <w:shd w:val="clear" w:color="auto" w:fill="FAFAFA"/>
          <w:rtl/>
        </w:rPr>
        <w:t xml:space="preserve"> </w:t>
      </w:r>
      <w:r w:rsidRPr="009247EA">
        <w:rPr>
          <w:b/>
          <w:bCs/>
          <w:shd w:val="clear" w:color="auto" w:fill="FAFAFA"/>
          <w:rtl/>
        </w:rPr>
        <w:t>האבט חמיס נ' מדינת ישראל</w:t>
      </w:r>
      <w:r w:rsidR="00D77ADF">
        <w:rPr>
          <w:shd w:val="clear" w:color="auto" w:fill="FAFAFA"/>
          <w:rtl/>
        </w:rPr>
        <w:t xml:space="preserve"> </w:t>
      </w:r>
      <w:r w:rsidRPr="009247EA">
        <w:rPr>
          <w:shd w:val="clear" w:color="auto" w:fill="FAFAFA"/>
          <w:rtl/>
        </w:rPr>
        <w:t>(פורסם בנבו, 09.12.2014</w:t>
      </w:r>
      <w:r w:rsidRPr="009247EA">
        <w:rPr>
          <w:shd w:val="clear" w:color="auto" w:fill="FAFAFA"/>
        </w:rPr>
        <w:t>(</w:t>
      </w:r>
      <w:r w:rsidRPr="009247EA">
        <w:rPr>
          <w:shd w:val="clear" w:color="auto" w:fill="FAFAFA"/>
          <w:rtl/>
        </w:rPr>
        <w:t xml:space="preserve">; </w:t>
      </w:r>
      <w:hyperlink r:id="rId45" w:history="1">
        <w:r w:rsidR="00D77ADF" w:rsidRPr="00D77ADF">
          <w:rPr>
            <w:color w:val="0000FF"/>
            <w:u w:val="single"/>
            <w:shd w:val="clear" w:color="auto" w:fill="FAFAFA"/>
            <w:rtl/>
          </w:rPr>
          <w:t>ע"פ 5341/13</w:t>
        </w:r>
      </w:hyperlink>
      <w:r w:rsidR="00D77ADF">
        <w:rPr>
          <w:shd w:val="clear" w:color="auto" w:fill="FAFAFA"/>
          <w:rtl/>
        </w:rPr>
        <w:t xml:space="preserve"> </w:t>
      </w:r>
      <w:r w:rsidRPr="009247EA">
        <w:rPr>
          <w:b/>
          <w:bCs/>
          <w:shd w:val="clear" w:color="auto" w:fill="FAFAFA"/>
          <w:rtl/>
        </w:rPr>
        <w:t>מדינת ישראל נ' מוחמד אלקרעאן</w:t>
      </w:r>
      <w:r w:rsidR="00D77ADF">
        <w:rPr>
          <w:shd w:val="clear" w:color="auto" w:fill="FAFAFA"/>
          <w:rtl/>
        </w:rPr>
        <w:t xml:space="preserve"> </w:t>
      </w:r>
      <w:r w:rsidRPr="009247EA">
        <w:rPr>
          <w:shd w:val="clear" w:color="auto" w:fill="FAFAFA"/>
        </w:rPr>
        <w:t>)</w:t>
      </w:r>
      <w:r w:rsidRPr="009247EA">
        <w:rPr>
          <w:shd w:val="clear" w:color="auto" w:fill="FAFAFA"/>
          <w:rtl/>
        </w:rPr>
        <w:t>פורסם בנבו, 08.12.2013</w:t>
      </w:r>
      <w:r w:rsidRPr="009247EA">
        <w:rPr>
          <w:shd w:val="clear" w:color="auto" w:fill="FAFAFA"/>
        </w:rPr>
        <w:t>(</w:t>
      </w:r>
      <w:r w:rsidRPr="00674942">
        <w:rPr>
          <w:rtl/>
        </w:rPr>
        <w:t>;</w:t>
      </w:r>
      <w:r w:rsidRPr="009247EA">
        <w:rPr>
          <w:u w:val="single"/>
          <w:rtl/>
        </w:rPr>
        <w:t xml:space="preserve"> ו</w:t>
      </w:r>
      <w:hyperlink r:id="rId46" w:history="1">
        <w:r w:rsidR="00D77ADF" w:rsidRPr="00D77ADF">
          <w:rPr>
            <w:color w:val="0000FF"/>
            <w:u w:val="single"/>
            <w:shd w:val="clear" w:color="auto" w:fill="FAFAFA"/>
            <w:rtl/>
          </w:rPr>
          <w:t>עפ"ג (מחוזי ב"ש) 37682-03-13</w:t>
        </w:r>
      </w:hyperlink>
      <w:r w:rsidR="00D77ADF">
        <w:rPr>
          <w:shd w:val="clear" w:color="auto" w:fill="FAFAFA"/>
          <w:rtl/>
        </w:rPr>
        <w:t xml:space="preserve"> </w:t>
      </w:r>
      <w:r w:rsidRPr="009247EA">
        <w:rPr>
          <w:b/>
          <w:bCs/>
          <w:shd w:val="clear" w:color="auto" w:fill="FAFAFA"/>
          <w:rtl/>
        </w:rPr>
        <w:t>דמטרי גרניק נ' מדינת ישראל</w:t>
      </w:r>
      <w:r w:rsidR="00D77ADF">
        <w:rPr>
          <w:shd w:val="clear" w:color="auto" w:fill="FAFAFA"/>
          <w:rtl/>
        </w:rPr>
        <w:t xml:space="preserve"> </w:t>
      </w:r>
      <w:r w:rsidRPr="009247EA">
        <w:rPr>
          <w:shd w:val="clear" w:color="auto" w:fill="FAFAFA"/>
          <w:rtl/>
        </w:rPr>
        <w:t>(פורסם בנבו, 20.11.2013</w:t>
      </w:r>
      <w:r w:rsidRPr="009247EA">
        <w:rPr>
          <w:shd w:val="clear" w:color="auto" w:fill="FAFAFA"/>
        </w:rPr>
        <w:t>(</w:t>
      </w:r>
      <w:r w:rsidRPr="009247EA">
        <w:rPr>
          <w:shd w:val="clear" w:color="auto" w:fill="FAFAFA"/>
          <w:rtl/>
        </w:rPr>
        <w:t>.</w:t>
      </w:r>
    </w:p>
    <w:p w14:paraId="7000370E" w14:textId="77777777" w:rsidR="0099413C" w:rsidRPr="009247EA" w:rsidRDefault="0099413C" w:rsidP="0099413C">
      <w:pPr>
        <w:pStyle w:val="aa"/>
        <w:numPr>
          <w:ilvl w:val="0"/>
          <w:numId w:val="2"/>
        </w:numPr>
        <w:spacing w:after="0"/>
        <w:ind w:left="-199" w:hanging="284"/>
      </w:pPr>
      <w:r w:rsidRPr="00674942">
        <w:rPr>
          <w:rtl/>
        </w:rPr>
        <w:t xml:space="preserve">והרי שבמקרה שלפניי, לא ניתן לומר כי שיקומו של הנאשם (בהינתן העובדה כי הלה מנהל אורח חיים נורמטיבי ולא שב לדרכיו הרעות), יצדיק סטייה ממתחם העונש שקבעתי לעיל. זאת ועוד וכידוע, לא כל קביעה לפיה קיים סיכוי שהנאשם השתקם או ישתקם בעתיד תביא מניה וביה לסטייה ממתחם העונש ההולם וממילא לא להימנעות מהשתת רכיב של מאסר ולו בעבודות שירות (ראו והשוו, </w:t>
      </w:r>
      <w:hyperlink r:id="rId47" w:history="1">
        <w:r w:rsidR="00D77ADF" w:rsidRPr="00D77ADF">
          <w:rPr>
            <w:color w:val="0000FF"/>
            <w:u w:val="single"/>
            <w:shd w:val="clear" w:color="auto" w:fill="FAFAFA"/>
            <w:rtl/>
          </w:rPr>
          <w:t>רע"פ 4097/16</w:t>
        </w:r>
      </w:hyperlink>
      <w:r w:rsidR="00D77ADF">
        <w:rPr>
          <w:shd w:val="clear" w:color="auto" w:fill="FAFAFA"/>
          <w:rtl/>
        </w:rPr>
        <w:t xml:space="preserve"> </w:t>
      </w:r>
      <w:r w:rsidRPr="009247EA">
        <w:rPr>
          <w:b/>
          <w:bCs/>
          <w:shd w:val="clear" w:color="auto" w:fill="FAFAFA"/>
          <w:rtl/>
        </w:rPr>
        <w:t>מוחמד מחמוד נ' מדינת ישראל</w:t>
      </w:r>
      <w:r w:rsidR="00D77ADF">
        <w:rPr>
          <w:shd w:val="clear" w:color="auto" w:fill="FAFAFA"/>
          <w:rtl/>
        </w:rPr>
        <w:t xml:space="preserve"> </w:t>
      </w:r>
      <w:r w:rsidRPr="009247EA">
        <w:rPr>
          <w:shd w:val="clear" w:color="auto" w:fill="FAFAFA"/>
          <w:rtl/>
        </w:rPr>
        <w:t xml:space="preserve">(פורסם בנבו, 24.05.2016); </w:t>
      </w:r>
      <w:r w:rsidRPr="009247EA">
        <w:rPr>
          <w:u w:val="single"/>
          <w:rtl/>
        </w:rPr>
        <w:t xml:space="preserve"> ו</w:t>
      </w:r>
      <w:hyperlink r:id="rId48" w:history="1">
        <w:r w:rsidR="00D77ADF" w:rsidRPr="00D77ADF">
          <w:rPr>
            <w:color w:val="0000FF"/>
            <w:u w:val="single"/>
            <w:shd w:val="clear" w:color="auto" w:fill="FAFAFA"/>
            <w:rtl/>
          </w:rPr>
          <w:t>ע"פ 1521/14</w:t>
        </w:r>
      </w:hyperlink>
      <w:r w:rsidR="00D77ADF">
        <w:rPr>
          <w:u w:val="single"/>
          <w:shd w:val="clear" w:color="auto" w:fill="FAFAFA"/>
          <w:rtl/>
        </w:rPr>
        <w:t xml:space="preserve"> </w:t>
      </w:r>
      <w:r w:rsidRPr="009247EA">
        <w:rPr>
          <w:b/>
          <w:bCs/>
          <w:shd w:val="clear" w:color="auto" w:fill="FAFAFA"/>
          <w:rtl/>
        </w:rPr>
        <w:t>יוסף אלפקיר נ' מדינת ישראל</w:t>
      </w:r>
      <w:r w:rsidR="00D77ADF">
        <w:rPr>
          <w:shd w:val="clear" w:color="auto" w:fill="FAFAFA"/>
          <w:rtl/>
        </w:rPr>
        <w:t xml:space="preserve"> </w:t>
      </w:r>
      <w:r w:rsidRPr="009247EA">
        <w:rPr>
          <w:shd w:val="clear" w:color="auto" w:fill="FAFAFA"/>
          <w:rtl/>
        </w:rPr>
        <w:t>(פורסם בנבו, 16.09.2015).</w:t>
      </w:r>
    </w:p>
    <w:p w14:paraId="534D10D7" w14:textId="77777777" w:rsidR="0099413C" w:rsidRDefault="0099413C" w:rsidP="0099413C">
      <w:pPr>
        <w:pStyle w:val="aa"/>
        <w:numPr>
          <w:ilvl w:val="0"/>
          <w:numId w:val="2"/>
        </w:numPr>
        <w:spacing w:after="0"/>
        <w:ind w:left="-199" w:hanging="284"/>
      </w:pPr>
      <w:r w:rsidRPr="009247EA">
        <w:rPr>
          <w:b/>
          <w:bCs/>
          <w:rtl/>
        </w:rPr>
        <w:t>ומן התם אל הכא,</w:t>
      </w:r>
      <w:r w:rsidRPr="00674942">
        <w:rPr>
          <w:rtl/>
        </w:rPr>
        <w:t xml:space="preserve"> כידוע, מלאכת גזירת הדין איננה קלה כלל ועיקר, ובית המשפט אינו מקל ראש בחומרת מעשיו של הנאשם, ומביע מהם סלידה רבתי. אולם, באיזון הראוי בין מכלול השיקולים והנסיבות אשר פורטו לעיל, ובשים לב לעברו הפלילי המכביד של הנאשם מחד גיסא, ולכך שעברו הפלילי התיישן זה מכבר אך לא נמחק, מאידך גיסא, להודאתו של הנאשם </w:t>
      </w:r>
      <w:r>
        <w:rPr>
          <w:rFonts w:hint="cs"/>
          <w:rtl/>
        </w:rPr>
        <w:t>ב</w:t>
      </w:r>
      <w:r w:rsidRPr="00674942">
        <w:rPr>
          <w:rtl/>
        </w:rPr>
        <w:t>מיוחס לו ולקיחת האחריות מצדו; לגילו של הנאשם ולנסיבותיו האישיות והרפואיות; לחלוף הזמן; ולעובדה שמאז ביצוע העבירות ועד היום לא נפתחו כנגד הנאשם תיקים נוספים – נדמה כי יש למקם בזו הפעם את עונשו של הנאשם ברף הנמוך (אם כי לא התחתון), של המתחם אותו קבעתי לעיל.</w:t>
      </w:r>
    </w:p>
    <w:p w14:paraId="4E8BF294" w14:textId="77777777" w:rsidR="0099413C" w:rsidRPr="00DD043F" w:rsidRDefault="0099413C" w:rsidP="0099413C">
      <w:pPr>
        <w:pStyle w:val="aa"/>
        <w:numPr>
          <w:ilvl w:val="0"/>
          <w:numId w:val="2"/>
        </w:numPr>
        <w:spacing w:after="0"/>
        <w:ind w:left="-199" w:hanging="284"/>
      </w:pPr>
      <w:r w:rsidRPr="009247EA">
        <w:rPr>
          <w:b/>
          <w:bCs/>
          <w:rtl/>
        </w:rPr>
        <w:t>לאור כל האמור לעיל, הריני גוזרת על הנאשם את העונשים הבאים:</w:t>
      </w:r>
    </w:p>
    <w:p w14:paraId="69E5F5E0" w14:textId="77777777" w:rsidR="0099413C" w:rsidRPr="00DD043F" w:rsidRDefault="0099413C" w:rsidP="0099413C">
      <w:pPr>
        <w:pStyle w:val="aa"/>
        <w:numPr>
          <w:ilvl w:val="0"/>
          <w:numId w:val="4"/>
        </w:numPr>
        <w:rPr>
          <w:b/>
          <w:bCs/>
          <w:rtl/>
        </w:rPr>
      </w:pPr>
      <w:r w:rsidRPr="00DD043F">
        <w:rPr>
          <w:rFonts w:hint="cs"/>
          <w:b/>
          <w:bCs/>
          <w:rtl/>
        </w:rPr>
        <w:t>45</w:t>
      </w:r>
      <w:r w:rsidRPr="00DD043F">
        <w:rPr>
          <w:b/>
          <w:bCs/>
          <w:rtl/>
        </w:rPr>
        <w:t xml:space="preserve"> ימים מאסר שירוצו בעבודות שירות. </w:t>
      </w:r>
    </w:p>
    <w:p w14:paraId="3616719C" w14:textId="77777777" w:rsidR="0099413C" w:rsidRPr="00DD043F" w:rsidRDefault="0099413C" w:rsidP="0099413C">
      <w:pPr>
        <w:pStyle w:val="aa"/>
        <w:ind w:left="161" w:firstLine="0"/>
        <w:rPr>
          <w:b/>
          <w:bCs/>
          <w:rtl/>
        </w:rPr>
      </w:pPr>
      <w:r w:rsidRPr="00DD043F">
        <w:rPr>
          <w:b/>
          <w:bCs/>
          <w:rtl/>
        </w:rPr>
        <w:t>בהתאם לאמור בחוות דעת הממונה על עבודות השירות מיום 06.07.2022, הנאשם יחל בריצוי עבודות השירות ביום 07.11.2022, או בכל מועד אחר אשר יקבע הממונה. העבודות תבוצענה באגודה למען העיוור באשדוד, במהלך חמשה ימי עבודה בשבוע על פי טווח השעות המתאפשר ב</w:t>
      </w:r>
      <w:hyperlink r:id="rId49" w:history="1">
        <w:r w:rsidR="00D77ADF" w:rsidRPr="00D77ADF">
          <w:rPr>
            <w:b/>
            <w:bCs/>
            <w:color w:val="0000FF"/>
            <w:u w:val="single"/>
            <w:rtl/>
          </w:rPr>
          <w:t>חוק העונשין</w:t>
        </w:r>
      </w:hyperlink>
      <w:r w:rsidRPr="00DD043F">
        <w:rPr>
          <w:b/>
          <w:bCs/>
          <w:rtl/>
        </w:rPr>
        <w:t xml:space="preserve"> - והכול אלא אם הממונה יקבע אחרת. על הנאשם להתייצב לריצוי המאסר במועד הנקוב, בשעה 08:00, ביחידת ברקאי – עבודות שירות – שלוחת דרום, אלא אם כאמור, הממונה על עבודות השירות יודיע לו על מועד תחילה אחר.</w:t>
      </w:r>
    </w:p>
    <w:p w14:paraId="16114258" w14:textId="77777777" w:rsidR="0099413C" w:rsidRPr="00DD043F" w:rsidRDefault="0099413C" w:rsidP="0099413C">
      <w:pPr>
        <w:pStyle w:val="aa"/>
        <w:ind w:left="161" w:firstLine="0"/>
        <w:rPr>
          <w:b/>
          <w:bCs/>
          <w:rtl/>
        </w:rPr>
      </w:pPr>
      <w:r w:rsidRPr="00DD043F">
        <w:rPr>
          <w:b/>
          <w:bCs/>
          <w:rtl/>
        </w:rPr>
        <w:t>מוסבר לנאשם כי עליו לעמוד בתנאי העבודה, וכי כל הפרה של תנאי עבודות השירות עלולה להביא להפסקה מנהלית של העבודות ולריצוי יתרת התקופה במאסר ממש.</w:t>
      </w:r>
    </w:p>
    <w:p w14:paraId="2F2AE730" w14:textId="77777777" w:rsidR="0099413C" w:rsidRPr="00DD043F" w:rsidRDefault="0099413C" w:rsidP="0099413C">
      <w:pPr>
        <w:pStyle w:val="aa"/>
        <w:ind w:left="161" w:firstLine="0"/>
        <w:rPr>
          <w:b/>
          <w:bCs/>
          <w:rtl/>
        </w:rPr>
      </w:pPr>
      <w:r w:rsidRPr="00DD043F">
        <w:rPr>
          <w:b/>
          <w:bCs/>
          <w:rtl/>
        </w:rPr>
        <w:t>העתק ההחלטה ישלח בדחיפות לממונה על עבודות השירות.</w:t>
      </w:r>
    </w:p>
    <w:p w14:paraId="1BF3DF47" w14:textId="77777777" w:rsidR="0099413C" w:rsidRPr="00DD043F" w:rsidRDefault="0099413C" w:rsidP="0099413C">
      <w:pPr>
        <w:pStyle w:val="aa"/>
        <w:numPr>
          <w:ilvl w:val="0"/>
          <w:numId w:val="4"/>
        </w:numPr>
        <w:rPr>
          <w:b/>
          <w:bCs/>
          <w:rtl/>
        </w:rPr>
      </w:pPr>
      <w:r w:rsidRPr="00DD043F">
        <w:rPr>
          <w:b/>
          <w:bCs/>
          <w:rtl/>
        </w:rPr>
        <w:t xml:space="preserve">מאסר מותנה למשך 4 חודשים, אשר יופעל אם תוך תקופה של שנתיים מהיום הנאשם יעבור  כל עבירה מסוג פשע בניגוד </w:t>
      </w:r>
      <w:r w:rsidRPr="00DD043F">
        <w:rPr>
          <w:b/>
          <w:bCs/>
          <w:u w:val="single"/>
          <w:rtl/>
        </w:rPr>
        <w:t>ל</w:t>
      </w:r>
      <w:hyperlink r:id="rId50" w:history="1">
        <w:r w:rsidR="00D77ADF" w:rsidRPr="00D77ADF">
          <w:rPr>
            <w:b/>
            <w:bCs/>
            <w:color w:val="0000FF"/>
            <w:u w:val="single"/>
            <w:rtl/>
          </w:rPr>
          <w:t>פקודת הסמים המסוכנים</w:t>
        </w:r>
      </w:hyperlink>
      <w:r w:rsidRPr="00DD043F">
        <w:rPr>
          <w:b/>
          <w:bCs/>
          <w:u w:val="single"/>
          <w:rtl/>
        </w:rPr>
        <w:t>.</w:t>
      </w:r>
    </w:p>
    <w:p w14:paraId="75C95B2A" w14:textId="77777777" w:rsidR="0099413C" w:rsidRPr="00DD043F" w:rsidRDefault="0099413C" w:rsidP="0099413C">
      <w:pPr>
        <w:pStyle w:val="aa"/>
        <w:numPr>
          <w:ilvl w:val="0"/>
          <w:numId w:val="4"/>
        </w:numPr>
        <w:rPr>
          <w:b/>
          <w:bCs/>
          <w:rtl/>
        </w:rPr>
      </w:pPr>
      <w:r w:rsidRPr="00DD043F">
        <w:rPr>
          <w:b/>
          <w:bCs/>
          <w:rtl/>
        </w:rPr>
        <w:t xml:space="preserve">מאסר מותנה למשך חודש, אשר יופעל אם תוך תקופה של שנתיים מהיום הנאשם יעבור כל עבירה מסוג עוון בניגוד </w:t>
      </w:r>
      <w:r w:rsidRPr="00DD043F">
        <w:rPr>
          <w:b/>
          <w:bCs/>
          <w:u w:val="single"/>
          <w:rtl/>
        </w:rPr>
        <w:t>ל</w:t>
      </w:r>
      <w:hyperlink r:id="rId51" w:history="1">
        <w:r w:rsidR="00D77ADF" w:rsidRPr="00D77ADF">
          <w:rPr>
            <w:b/>
            <w:bCs/>
            <w:color w:val="0000FF"/>
            <w:u w:val="single"/>
            <w:rtl/>
          </w:rPr>
          <w:t>פקודת הסמים המסוכנים</w:t>
        </w:r>
      </w:hyperlink>
      <w:r w:rsidRPr="00DD043F">
        <w:rPr>
          <w:b/>
          <w:bCs/>
          <w:u w:val="single"/>
          <w:rtl/>
        </w:rPr>
        <w:t>.</w:t>
      </w:r>
    </w:p>
    <w:p w14:paraId="48BB5930" w14:textId="77777777" w:rsidR="0099413C" w:rsidRPr="00DD043F" w:rsidRDefault="0099413C" w:rsidP="0099413C">
      <w:pPr>
        <w:pStyle w:val="aa"/>
        <w:numPr>
          <w:ilvl w:val="0"/>
          <w:numId w:val="4"/>
        </w:numPr>
        <w:rPr>
          <w:b/>
          <w:bCs/>
          <w:rtl/>
        </w:rPr>
      </w:pPr>
      <w:r w:rsidRPr="00DD043F">
        <w:rPr>
          <w:b/>
          <w:bCs/>
          <w:rtl/>
        </w:rPr>
        <w:t xml:space="preserve">קנס בסך 500 ₪ או 5 ימי מאסר תמורתו.  הקנס ישולם בתוך </w:t>
      </w:r>
      <w:r>
        <w:rPr>
          <w:rFonts w:hint="cs"/>
          <w:b/>
          <w:bCs/>
          <w:rtl/>
        </w:rPr>
        <w:t>90</w:t>
      </w:r>
      <w:r w:rsidRPr="00DD043F">
        <w:rPr>
          <w:b/>
          <w:bCs/>
          <w:rtl/>
        </w:rPr>
        <w:t xml:space="preserve"> יום מהיום. </w:t>
      </w:r>
    </w:p>
    <w:p w14:paraId="565954E3" w14:textId="77777777" w:rsidR="0099413C" w:rsidRPr="00DD043F" w:rsidRDefault="0099413C" w:rsidP="0099413C">
      <w:pPr>
        <w:pStyle w:val="aa"/>
        <w:ind w:left="161" w:firstLine="0"/>
        <w:rPr>
          <w:b/>
          <w:bCs/>
          <w:rtl/>
        </w:rPr>
      </w:pPr>
      <w:r w:rsidRPr="00DD043F">
        <w:rPr>
          <w:b/>
          <w:bCs/>
          <w:rtl/>
        </w:rPr>
        <w:t>תשומת לב הנאשם כי החוב מועבר למרכז לגביית קנסות, אגרות והוצאות ברשות האכיפה והגבייה, בהתאם למועדים והתשלומים שנקבעו בגזר הדין.</w:t>
      </w:r>
    </w:p>
    <w:p w14:paraId="3C1A691F" w14:textId="77777777" w:rsidR="0099413C" w:rsidRDefault="0099413C" w:rsidP="0099413C">
      <w:pPr>
        <w:pStyle w:val="aa"/>
        <w:ind w:left="161" w:firstLine="0"/>
        <w:rPr>
          <w:b/>
          <w:bCs/>
          <w:rtl/>
        </w:rPr>
      </w:pPr>
      <w:r w:rsidRPr="00DD043F">
        <w:rPr>
          <w:b/>
          <w:bCs/>
          <w:rtl/>
        </w:rPr>
        <w:t>ניתן יהיה לשלם את הקנס/ הפיצוי/ ההוצאות כעבור שלושה ימים מיום מתן גזר הדין לחשבון המרכז לגביית קנסות, אגרות והוצאות ברשות האכיפה והגבייה באחת מהדרכים הבאות:</w:t>
      </w:r>
    </w:p>
    <w:p w14:paraId="5C3FB03D" w14:textId="77777777" w:rsidR="0099413C" w:rsidRPr="00674942" w:rsidRDefault="0099413C" w:rsidP="0099413C">
      <w:pPr>
        <w:pStyle w:val="aa"/>
        <w:numPr>
          <w:ilvl w:val="0"/>
          <w:numId w:val="3"/>
        </w:numPr>
        <w:spacing w:after="0"/>
        <w:rPr>
          <w:rtl/>
        </w:rPr>
      </w:pPr>
      <w:r w:rsidRPr="00674942">
        <w:rPr>
          <w:b/>
          <w:bCs/>
          <w:rtl/>
        </w:rPr>
        <w:t>בכרטיס אשראי</w:t>
      </w:r>
      <w:r w:rsidRPr="00674942">
        <w:rPr>
          <w:rtl/>
        </w:rPr>
        <w:t xml:space="preserve"> – באתר המקוון של רשות האכיפה והגבייה, </w:t>
      </w:r>
      <w:hyperlink r:id="rId52" w:history="1">
        <w:r w:rsidRPr="00674942">
          <w:rPr>
            <w:rStyle w:val="Hyperlink"/>
          </w:rPr>
          <w:t>www.eca.gov.il</w:t>
        </w:r>
      </w:hyperlink>
      <w:r w:rsidRPr="00674942">
        <w:t xml:space="preserve"> </w:t>
      </w:r>
      <w:r w:rsidR="00D77ADF">
        <w:rPr>
          <w:rtl/>
        </w:rPr>
        <w:t xml:space="preserve"> </w:t>
      </w:r>
    </w:p>
    <w:p w14:paraId="1258F62B" w14:textId="77777777" w:rsidR="0099413C" w:rsidRPr="00674942" w:rsidRDefault="0099413C" w:rsidP="0099413C">
      <w:pPr>
        <w:pStyle w:val="aa"/>
        <w:numPr>
          <w:ilvl w:val="0"/>
          <w:numId w:val="3"/>
        </w:numPr>
        <w:spacing w:after="0"/>
        <w:rPr>
          <w:rtl/>
        </w:rPr>
      </w:pPr>
      <w:r w:rsidRPr="00674942">
        <w:rPr>
          <w:b/>
          <w:bCs/>
          <w:rtl/>
        </w:rPr>
        <w:t>במוקד שירות טלפוני בשרות עצמי (מרכז גבייה)</w:t>
      </w:r>
      <w:r w:rsidR="00D77ADF">
        <w:rPr>
          <w:b/>
          <w:bCs/>
          <w:rtl/>
        </w:rPr>
        <w:t xml:space="preserve"> </w:t>
      </w:r>
      <w:r w:rsidRPr="00674942">
        <w:rPr>
          <w:b/>
          <w:bCs/>
          <w:rtl/>
        </w:rPr>
        <w:t xml:space="preserve"> – בטלפון 35592* או בטלפון 073-2055000</w:t>
      </w:r>
    </w:p>
    <w:p w14:paraId="79E89992" w14:textId="77777777" w:rsidR="0099413C" w:rsidRDefault="0099413C" w:rsidP="0099413C">
      <w:pPr>
        <w:pStyle w:val="aa"/>
        <w:numPr>
          <w:ilvl w:val="0"/>
          <w:numId w:val="3"/>
        </w:numPr>
        <w:spacing w:after="0"/>
      </w:pPr>
      <w:r w:rsidRPr="00674942">
        <w:rPr>
          <w:b/>
          <w:bCs/>
          <w:rtl/>
        </w:rPr>
        <w:t>במזומן בכל סניף של בנק הדואר</w:t>
      </w:r>
      <w:r w:rsidRPr="00674942">
        <w:rPr>
          <w:rtl/>
        </w:rPr>
        <w:t xml:space="preserve"> – בהצגת תעודת זהות בלבד (אין צורך בשוברי תשלום).</w:t>
      </w:r>
    </w:p>
    <w:p w14:paraId="6B5880F4" w14:textId="77777777" w:rsidR="0099413C" w:rsidRPr="00DD043F" w:rsidRDefault="0099413C" w:rsidP="0099413C">
      <w:pPr>
        <w:pStyle w:val="aa"/>
        <w:numPr>
          <w:ilvl w:val="0"/>
          <w:numId w:val="4"/>
        </w:numPr>
        <w:rPr>
          <w:b/>
          <w:bCs/>
          <w:rtl/>
        </w:rPr>
      </w:pPr>
      <w:r w:rsidRPr="00DD043F">
        <w:rPr>
          <w:b/>
          <w:bCs/>
          <w:rtl/>
        </w:rPr>
        <w:t xml:space="preserve">הנאשם יצהיר על התחייבות על סך 3,000 ₪ להימנע מביצוע כל עבירה בניגוד </w:t>
      </w:r>
      <w:r w:rsidRPr="00DD043F">
        <w:rPr>
          <w:b/>
          <w:bCs/>
          <w:u w:val="single"/>
          <w:rtl/>
        </w:rPr>
        <w:t>ל</w:t>
      </w:r>
      <w:hyperlink r:id="rId53" w:history="1">
        <w:r w:rsidR="00D77ADF" w:rsidRPr="00D77ADF">
          <w:rPr>
            <w:b/>
            <w:bCs/>
            <w:color w:val="0000FF"/>
            <w:u w:val="single"/>
            <w:rtl/>
          </w:rPr>
          <w:t>פקודת הסמים המסוכנים</w:t>
        </w:r>
      </w:hyperlink>
      <w:r w:rsidRPr="00DD043F">
        <w:rPr>
          <w:b/>
          <w:bCs/>
          <w:rtl/>
        </w:rPr>
        <w:t xml:space="preserve"> וזאת לתקופה של שנתיים מהיום. </w:t>
      </w:r>
    </w:p>
    <w:p w14:paraId="3D5807DA" w14:textId="77777777" w:rsidR="0099413C" w:rsidRPr="00DD043F" w:rsidRDefault="0099413C" w:rsidP="0099413C">
      <w:pPr>
        <w:pStyle w:val="aa"/>
        <w:numPr>
          <w:ilvl w:val="0"/>
          <w:numId w:val="4"/>
        </w:numPr>
        <w:rPr>
          <w:b/>
          <w:bCs/>
          <w:rtl/>
        </w:rPr>
      </w:pPr>
      <w:r w:rsidRPr="00DD043F">
        <w:rPr>
          <w:b/>
          <w:bCs/>
          <w:rtl/>
        </w:rPr>
        <w:t xml:space="preserve">אני פוסלת את הנאשם מלקבל או מלהחזיק רישיון נהיגה למשך 3 חודשים, מהיום. נוכח הצהרתו של הנאשם כי אין בידו רישיון נהיגה להפקדה, אזי אין צורך כי הנאשם יפקיד את רישיון הנהיגה שלו במזכירות בית המשפט. </w:t>
      </w:r>
    </w:p>
    <w:p w14:paraId="75320FBB" w14:textId="77777777" w:rsidR="0099413C" w:rsidRPr="009247EA" w:rsidRDefault="0099413C" w:rsidP="0099413C">
      <w:pPr>
        <w:pStyle w:val="aa"/>
        <w:numPr>
          <w:ilvl w:val="0"/>
          <w:numId w:val="4"/>
        </w:numPr>
        <w:rPr>
          <w:b/>
          <w:bCs/>
          <w:u w:val="single"/>
        </w:rPr>
      </w:pPr>
      <w:r w:rsidRPr="00DD043F">
        <w:rPr>
          <w:b/>
          <w:bCs/>
          <w:rtl/>
        </w:rPr>
        <w:t xml:space="preserve">הנני פוסלת הנאשם מלקבל ומלהחזיק רישיון נהיגה למשך 6 חודשים בתנאי שלא יעבור כל עבירה בניגוד </w:t>
      </w:r>
      <w:r w:rsidRPr="00DD043F">
        <w:rPr>
          <w:b/>
          <w:bCs/>
          <w:u w:val="single"/>
          <w:rtl/>
        </w:rPr>
        <w:t>ל</w:t>
      </w:r>
      <w:hyperlink r:id="rId54" w:history="1">
        <w:r w:rsidR="00D77ADF" w:rsidRPr="00D77ADF">
          <w:rPr>
            <w:b/>
            <w:bCs/>
            <w:color w:val="0000FF"/>
            <w:u w:val="single"/>
            <w:rtl/>
          </w:rPr>
          <w:t>פקודת הסמים המסוכנים</w:t>
        </w:r>
      </w:hyperlink>
      <w:r w:rsidRPr="00DD043F">
        <w:rPr>
          <w:b/>
          <w:bCs/>
          <w:rtl/>
        </w:rPr>
        <w:t xml:space="preserve"> במשך שנתיים מהיום. </w:t>
      </w:r>
    </w:p>
    <w:p w14:paraId="1C927B76" w14:textId="77777777" w:rsidR="0099413C" w:rsidRDefault="0099413C" w:rsidP="0099413C">
      <w:pPr>
        <w:spacing w:line="360" w:lineRule="auto"/>
        <w:ind w:left="-199"/>
        <w:rPr>
          <w:b/>
          <w:bCs/>
          <w:rtl/>
        </w:rPr>
      </w:pPr>
    </w:p>
    <w:p w14:paraId="3A972187" w14:textId="77777777" w:rsidR="0099413C" w:rsidRDefault="0099413C" w:rsidP="0099413C">
      <w:pPr>
        <w:spacing w:line="360" w:lineRule="auto"/>
        <w:ind w:left="-199"/>
        <w:rPr>
          <w:b/>
          <w:bCs/>
          <w:rtl/>
        </w:rPr>
      </w:pPr>
      <w:r w:rsidRPr="009247EA">
        <w:rPr>
          <w:rFonts w:hint="cs"/>
          <w:b/>
          <w:bCs/>
          <w:rtl/>
        </w:rPr>
        <w:t>בשל נסיבותיו האישיות של הנאשם ומצבו הכלכלי, הנני פוטרת אותו מתשלום אגרת הסנגוריה הציבורית.</w:t>
      </w:r>
    </w:p>
    <w:p w14:paraId="52EE12B5" w14:textId="77777777" w:rsidR="0099413C" w:rsidRDefault="0099413C" w:rsidP="0099413C">
      <w:pPr>
        <w:spacing w:line="360" w:lineRule="auto"/>
        <w:ind w:left="-199"/>
        <w:rPr>
          <w:b/>
          <w:bCs/>
          <w:rtl/>
        </w:rPr>
      </w:pPr>
      <w:r>
        <w:rPr>
          <w:rFonts w:hint="cs"/>
          <w:b/>
          <w:bCs/>
          <w:rtl/>
        </w:rPr>
        <w:t xml:space="preserve">העתק הפרוטוקול יישלח לסנגוריה הציבורית. </w:t>
      </w:r>
    </w:p>
    <w:p w14:paraId="12507B5B" w14:textId="77777777" w:rsidR="0099413C" w:rsidRDefault="0099413C" w:rsidP="0099413C">
      <w:pPr>
        <w:spacing w:line="360" w:lineRule="auto"/>
        <w:ind w:left="-559"/>
        <w:rPr>
          <w:rFonts w:ascii="David" w:hAnsi="David"/>
          <w:b/>
          <w:bCs/>
          <w:rtl/>
        </w:rPr>
      </w:pPr>
    </w:p>
    <w:p w14:paraId="3498FE1E" w14:textId="77777777" w:rsidR="0099413C" w:rsidRDefault="0099413C" w:rsidP="0099413C">
      <w:pPr>
        <w:spacing w:line="360" w:lineRule="auto"/>
        <w:ind w:left="-559"/>
        <w:rPr>
          <w:rFonts w:ascii="David" w:hAnsi="David"/>
          <w:b/>
          <w:bCs/>
          <w:rtl/>
        </w:rPr>
      </w:pPr>
      <w:r w:rsidRPr="00674942">
        <w:rPr>
          <w:rFonts w:ascii="David" w:hAnsi="David"/>
          <w:b/>
          <w:bCs/>
          <w:rtl/>
        </w:rPr>
        <w:t>זכות ערעור כחוק.</w:t>
      </w:r>
    </w:p>
    <w:p w14:paraId="6C59973E" w14:textId="77777777" w:rsidR="0099413C" w:rsidRDefault="0099413C" w:rsidP="0099413C">
      <w:pPr>
        <w:spacing w:line="360" w:lineRule="auto"/>
        <w:ind w:left="-559"/>
        <w:rPr>
          <w:rFonts w:ascii="David" w:hAnsi="David"/>
          <w:b/>
          <w:bCs/>
          <w:rtl/>
        </w:rPr>
      </w:pPr>
    </w:p>
    <w:p w14:paraId="440C1744" w14:textId="77777777" w:rsidR="0099413C" w:rsidRPr="0050085C" w:rsidRDefault="0099413C" w:rsidP="0099413C">
      <w:pPr>
        <w:spacing w:line="360" w:lineRule="auto"/>
        <w:ind w:left="-559"/>
        <w:rPr>
          <w:rFonts w:ascii="David" w:hAnsi="David"/>
          <w:b/>
          <w:bCs/>
          <w:rtl/>
        </w:rPr>
      </w:pPr>
      <w:r w:rsidRPr="0050085C">
        <w:rPr>
          <w:rFonts w:ascii="David" w:hAnsi="David"/>
          <w:b/>
          <w:bCs/>
          <w:rtl/>
        </w:rPr>
        <w:t>נ</w:t>
      </w:r>
      <w:r w:rsidRPr="0050085C">
        <w:rPr>
          <w:rFonts w:ascii="David" w:hAnsi="David" w:hint="cs"/>
          <w:b/>
          <w:bCs/>
          <w:rtl/>
        </w:rPr>
        <w:t>יתן</w:t>
      </w:r>
      <w:r w:rsidRPr="0050085C">
        <w:rPr>
          <w:rFonts w:ascii="David" w:hAnsi="David"/>
          <w:b/>
          <w:bCs/>
          <w:rtl/>
        </w:rPr>
        <w:t xml:space="preserve"> היום,  </w:t>
      </w:r>
      <w:r>
        <w:rPr>
          <w:rFonts w:ascii="David" w:hAnsi="David" w:hint="cs"/>
          <w:b/>
          <w:bCs/>
          <w:rtl/>
        </w:rPr>
        <w:t>כ"א תמוז תשפ"ב</w:t>
      </w:r>
      <w:r w:rsidRPr="0050085C">
        <w:rPr>
          <w:rFonts w:ascii="David" w:hAnsi="David"/>
          <w:b/>
          <w:bCs/>
          <w:rtl/>
        </w:rPr>
        <w:t xml:space="preserve">, </w:t>
      </w:r>
      <w:r>
        <w:rPr>
          <w:rFonts w:ascii="David" w:hAnsi="David" w:hint="cs"/>
          <w:b/>
          <w:bCs/>
          <w:rtl/>
        </w:rPr>
        <w:t>20 יולי 2022</w:t>
      </w:r>
      <w:r w:rsidRPr="0050085C">
        <w:rPr>
          <w:rFonts w:ascii="David" w:hAnsi="David"/>
          <w:b/>
          <w:bCs/>
          <w:rtl/>
        </w:rPr>
        <w:t>, ב</w:t>
      </w:r>
      <w:r w:rsidRPr="0050085C">
        <w:rPr>
          <w:rFonts w:ascii="David" w:hAnsi="David" w:hint="cs"/>
          <w:b/>
          <w:bCs/>
          <w:rtl/>
        </w:rPr>
        <w:t>מעמד</w:t>
      </w:r>
      <w:r w:rsidRPr="0050085C">
        <w:rPr>
          <w:rFonts w:ascii="David" w:hAnsi="David"/>
          <w:b/>
          <w:bCs/>
          <w:rtl/>
        </w:rPr>
        <w:t xml:space="preserve"> הצדדים.</w:t>
      </w:r>
    </w:p>
    <w:p w14:paraId="1EE55B5B" w14:textId="77777777" w:rsidR="0099413C" w:rsidRPr="00674942" w:rsidRDefault="0099413C" w:rsidP="0099413C">
      <w:pPr>
        <w:spacing w:line="360" w:lineRule="auto"/>
        <w:jc w:val="both"/>
        <w:rPr>
          <w:rFonts w:ascii="David" w:hAnsi="David"/>
          <w:rtl/>
        </w:rPr>
      </w:pPr>
    </w:p>
    <w:p w14:paraId="5FEE68C1" w14:textId="77777777" w:rsidR="0099413C" w:rsidRPr="00674942" w:rsidRDefault="004063AA" w:rsidP="0099413C">
      <w:pPr>
        <w:spacing w:line="360" w:lineRule="auto"/>
        <w:ind w:left="3600" w:firstLine="720"/>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57.5pt;height:107.25pt;visibility:visible">
            <v:imagedata r:id="rId55" o:title=""/>
          </v:shape>
        </w:pict>
      </w:r>
    </w:p>
    <w:p w14:paraId="5835A4E1" w14:textId="77777777" w:rsidR="0099413C" w:rsidRPr="00674942" w:rsidRDefault="0099413C" w:rsidP="0099413C">
      <w:pPr>
        <w:spacing w:line="360" w:lineRule="auto"/>
        <w:ind w:left="3600" w:firstLine="720"/>
        <w:jc w:val="both"/>
        <w:rPr>
          <w:rFonts w:ascii="David" w:hAnsi="David"/>
          <w:rtl/>
        </w:rPr>
      </w:pPr>
    </w:p>
    <w:p w14:paraId="1D0333BE" w14:textId="77777777" w:rsidR="0099413C" w:rsidRDefault="0099413C" w:rsidP="0099413C">
      <w:pPr>
        <w:spacing w:line="360" w:lineRule="auto"/>
        <w:ind w:left="-559"/>
        <w:rPr>
          <w:rFonts w:ascii="David" w:hAnsi="David"/>
          <w:rtl/>
        </w:rPr>
      </w:pPr>
      <w:r w:rsidRPr="00674942">
        <w:rPr>
          <w:rFonts w:ascii="David" w:hAnsi="David"/>
          <w:b/>
          <w:bCs/>
          <w:u w:val="single"/>
          <w:rtl/>
        </w:rPr>
        <w:t>הנאשם:</w:t>
      </w:r>
    </w:p>
    <w:p w14:paraId="1EE4B7FF" w14:textId="77777777" w:rsidR="0099413C" w:rsidRDefault="0099413C" w:rsidP="0099413C">
      <w:pPr>
        <w:spacing w:line="360" w:lineRule="auto"/>
        <w:ind w:left="-559"/>
        <w:rPr>
          <w:rFonts w:ascii="David" w:hAnsi="David"/>
          <w:rtl/>
        </w:rPr>
      </w:pPr>
      <w:r w:rsidRPr="00674942">
        <w:rPr>
          <w:rFonts w:ascii="David" w:hAnsi="David"/>
          <w:rtl/>
        </w:rPr>
        <w:t xml:space="preserve">אני מתחייב שלא לעבור כל עבירה בניגוד </w:t>
      </w:r>
      <w:r w:rsidRPr="00674942">
        <w:rPr>
          <w:rFonts w:ascii="David" w:hAnsi="David"/>
          <w:u w:val="single"/>
          <w:rtl/>
        </w:rPr>
        <w:t>ל</w:t>
      </w:r>
      <w:hyperlink r:id="rId56" w:history="1">
        <w:r w:rsidR="00D77ADF" w:rsidRPr="00D77ADF">
          <w:rPr>
            <w:rFonts w:ascii="David" w:hAnsi="David"/>
            <w:color w:val="0000FF"/>
            <w:u w:val="single"/>
            <w:rtl/>
          </w:rPr>
          <w:t>פקודת הסמים המסוכנים</w:t>
        </w:r>
      </w:hyperlink>
      <w:r w:rsidRPr="00674942">
        <w:rPr>
          <w:rFonts w:ascii="David" w:hAnsi="David"/>
          <w:rtl/>
        </w:rPr>
        <w:t xml:space="preserve"> וזאת למשך שנתיים מהיום.</w:t>
      </w:r>
    </w:p>
    <w:p w14:paraId="47737F6A" w14:textId="77777777" w:rsidR="0099413C" w:rsidRDefault="0099413C" w:rsidP="0099413C">
      <w:pPr>
        <w:spacing w:line="360" w:lineRule="auto"/>
        <w:ind w:left="-559"/>
        <w:rPr>
          <w:rFonts w:ascii="David" w:hAnsi="David"/>
          <w:rtl/>
        </w:rPr>
      </w:pPr>
      <w:r w:rsidRPr="00674942">
        <w:rPr>
          <w:rFonts w:ascii="David" w:hAnsi="David"/>
          <w:rtl/>
        </w:rPr>
        <w:t xml:space="preserve">הובהר לי, כי ככל שאעבור כל עבירה בניגוד </w:t>
      </w:r>
      <w:r w:rsidRPr="00674942">
        <w:rPr>
          <w:rFonts w:ascii="David" w:hAnsi="David"/>
          <w:u w:val="single"/>
          <w:rtl/>
        </w:rPr>
        <w:t>ל</w:t>
      </w:r>
      <w:hyperlink r:id="rId57" w:history="1">
        <w:r w:rsidR="00D77ADF" w:rsidRPr="00D77ADF">
          <w:rPr>
            <w:rFonts w:ascii="David" w:hAnsi="David"/>
            <w:color w:val="0000FF"/>
            <w:u w:val="single"/>
            <w:rtl/>
          </w:rPr>
          <w:t>פקודת הסמים המסוכנים</w:t>
        </w:r>
      </w:hyperlink>
      <w:r w:rsidRPr="00674942">
        <w:rPr>
          <w:rFonts w:ascii="David" w:hAnsi="David"/>
          <w:u w:val="single"/>
          <w:rtl/>
        </w:rPr>
        <w:t>,</w:t>
      </w:r>
      <w:r w:rsidRPr="00674942">
        <w:rPr>
          <w:rFonts w:ascii="David" w:hAnsi="David"/>
          <w:rtl/>
        </w:rPr>
        <w:t xml:space="preserve"> במשך שנתיים מהיום, אזי יושת עלי סך של 3,000 ₪. </w:t>
      </w:r>
    </w:p>
    <w:p w14:paraId="34EBCDD1" w14:textId="77777777" w:rsidR="0099413C" w:rsidRPr="00D615D3" w:rsidRDefault="0099413C" w:rsidP="0099413C">
      <w:pPr>
        <w:spacing w:line="360" w:lineRule="auto"/>
        <w:ind w:left="-559"/>
        <w:jc w:val="center"/>
        <w:rPr>
          <w:rFonts w:ascii="David" w:hAnsi="David"/>
          <w:b/>
          <w:bCs/>
          <w:sz w:val="28"/>
          <w:szCs w:val="28"/>
          <w:u w:val="single"/>
          <w:rtl/>
        </w:rPr>
      </w:pPr>
      <w:r w:rsidRPr="00D615D3">
        <w:rPr>
          <w:rFonts w:ascii="David" w:hAnsi="David" w:hint="cs"/>
          <w:b/>
          <w:bCs/>
          <w:sz w:val="28"/>
          <w:szCs w:val="28"/>
          <w:u w:val="single"/>
          <w:rtl/>
        </w:rPr>
        <w:t>החלטה</w:t>
      </w:r>
    </w:p>
    <w:p w14:paraId="55438944" w14:textId="77777777" w:rsidR="0099413C" w:rsidRDefault="0099413C" w:rsidP="0099413C">
      <w:pPr>
        <w:spacing w:line="360" w:lineRule="auto"/>
        <w:ind w:left="-559"/>
        <w:rPr>
          <w:rFonts w:ascii="David" w:hAnsi="David"/>
          <w:rtl/>
        </w:rPr>
      </w:pPr>
    </w:p>
    <w:p w14:paraId="1AF5D457" w14:textId="77777777" w:rsidR="0099413C" w:rsidRDefault="0099413C" w:rsidP="0099413C">
      <w:pPr>
        <w:spacing w:line="360" w:lineRule="auto"/>
        <w:ind w:left="-559"/>
        <w:rPr>
          <w:sz w:val="6"/>
          <w:szCs w:val="6"/>
          <w:rtl/>
        </w:rPr>
      </w:pPr>
      <w:r>
        <w:rPr>
          <w:rFonts w:ascii="David" w:hAnsi="David" w:hint="cs"/>
          <w:rtl/>
        </w:rPr>
        <w:t>ר</w:t>
      </w:r>
      <w:r w:rsidRPr="00674942">
        <w:rPr>
          <w:rFonts w:ascii="David" w:hAnsi="David"/>
          <w:rtl/>
        </w:rPr>
        <w:t xml:space="preserve">שמתי לפניי את התחייבות הנאשם להימנע מביצוע העבירות כמפורט בגזר הדין. </w:t>
      </w:r>
    </w:p>
    <w:p w14:paraId="63DFD0E4" w14:textId="77777777" w:rsidR="0099413C" w:rsidRPr="00D77ADF" w:rsidRDefault="00D77ADF" w:rsidP="0099413C">
      <w:pPr>
        <w:spacing w:line="360" w:lineRule="auto"/>
        <w:ind w:left="-559"/>
        <w:rPr>
          <w:color w:val="FFFFFF"/>
          <w:sz w:val="2"/>
          <w:szCs w:val="2"/>
          <w:rtl/>
        </w:rPr>
      </w:pPr>
      <w:r w:rsidRPr="00D77ADF">
        <w:rPr>
          <w:color w:val="FFFFFF"/>
          <w:sz w:val="2"/>
          <w:szCs w:val="2"/>
          <w:rtl/>
        </w:rPr>
        <w:t>5129371</w:t>
      </w:r>
    </w:p>
    <w:tbl>
      <w:tblPr>
        <w:bidiVisual/>
        <w:tblW w:w="3936" w:type="dxa"/>
        <w:tblInd w:w="5040" w:type="dxa"/>
        <w:tblBorders>
          <w:insideH w:val="single" w:sz="4" w:space="0" w:color="auto"/>
          <w:insideV w:val="single" w:sz="4" w:space="0" w:color="auto"/>
        </w:tblBorders>
        <w:tblLook w:val="01E0" w:firstRow="1" w:lastRow="1" w:firstColumn="1" w:lastColumn="1" w:noHBand="0" w:noVBand="0"/>
      </w:tblPr>
      <w:tblGrid>
        <w:gridCol w:w="3936"/>
      </w:tblGrid>
      <w:tr w:rsidR="0099413C" w14:paraId="4DC3EE4B" w14:textId="77777777" w:rsidTr="0099413C">
        <w:trPr>
          <w:trHeight w:val="316"/>
        </w:trPr>
        <w:tc>
          <w:tcPr>
            <w:tcW w:w="3936" w:type="dxa"/>
            <w:tcBorders>
              <w:top w:val="nil"/>
              <w:left w:val="nil"/>
              <w:bottom w:val="single" w:sz="4" w:space="0" w:color="auto"/>
              <w:right w:val="nil"/>
            </w:tcBorders>
            <w:shd w:val="clear" w:color="auto" w:fill="auto"/>
          </w:tcPr>
          <w:p w14:paraId="1C5D9904" w14:textId="77777777" w:rsidR="0099413C" w:rsidRDefault="00D77ADF" w:rsidP="00D77ADF">
            <w:pPr>
              <w:spacing w:line="360" w:lineRule="auto"/>
              <w:jc w:val="center"/>
            </w:pPr>
            <w:bookmarkStart w:id="8" w:name="Nitan"/>
            <w:r w:rsidRPr="00D77ADF">
              <w:rPr>
                <w:b/>
                <w:bCs/>
                <w:color w:val="FFFFFF"/>
                <w:sz w:val="2"/>
                <w:szCs w:val="2"/>
                <w:rtl/>
              </w:rPr>
              <w:t>54678313</w:t>
            </w:r>
            <w:r>
              <w:rPr>
                <w:b/>
                <w:bCs/>
                <w:rtl/>
              </w:rPr>
              <w:t xml:space="preserve">ניתנה והודעה היום כ"א תמוז תשפ"ב, 20/07/2022 במעמד הנוכחים. </w:t>
            </w:r>
            <w:bookmarkEnd w:id="8"/>
          </w:p>
        </w:tc>
      </w:tr>
      <w:tr w:rsidR="0099413C" w14:paraId="62DC46DA" w14:textId="77777777" w:rsidTr="0099413C">
        <w:trPr>
          <w:trHeight w:val="361"/>
        </w:trPr>
        <w:tc>
          <w:tcPr>
            <w:tcW w:w="3936" w:type="dxa"/>
            <w:tcBorders>
              <w:top w:val="single" w:sz="4" w:space="0" w:color="auto"/>
              <w:left w:val="nil"/>
              <w:bottom w:val="nil"/>
              <w:right w:val="nil"/>
            </w:tcBorders>
            <w:shd w:val="clear" w:color="auto" w:fill="auto"/>
          </w:tcPr>
          <w:p w14:paraId="709983CB" w14:textId="77777777" w:rsidR="0099413C" w:rsidRPr="0099413C" w:rsidRDefault="0099413C" w:rsidP="0099413C">
            <w:pPr>
              <w:spacing w:line="360" w:lineRule="auto"/>
              <w:jc w:val="center"/>
              <w:rPr>
                <w:b/>
                <w:bCs/>
                <w:rtl/>
              </w:rPr>
            </w:pPr>
            <w:r w:rsidRPr="0099413C">
              <w:rPr>
                <w:rFonts w:hint="cs"/>
                <w:b/>
                <w:bCs/>
                <w:rtl/>
              </w:rPr>
              <w:t xml:space="preserve">נגה שמואלי </w:t>
            </w:r>
            <w:r w:rsidRPr="0099413C">
              <w:rPr>
                <w:rFonts w:hint="cs"/>
                <w:b/>
                <w:bCs/>
                <w:vertAlign w:val="superscript"/>
                <w:rtl/>
              </w:rPr>
              <w:t>–</w:t>
            </w:r>
            <w:r w:rsidRPr="0099413C">
              <w:rPr>
                <w:rFonts w:hint="cs"/>
                <w:b/>
                <w:bCs/>
                <w:rtl/>
              </w:rPr>
              <w:t xml:space="preserve"> מאייר, שופטת </w:t>
            </w:r>
          </w:p>
          <w:p w14:paraId="4C61E6B3" w14:textId="77777777" w:rsidR="0099413C" w:rsidRPr="0099413C" w:rsidRDefault="0099413C" w:rsidP="0099413C">
            <w:pPr>
              <w:spacing w:line="360" w:lineRule="auto"/>
              <w:jc w:val="center"/>
              <w:rPr>
                <w:b/>
                <w:bCs/>
                <w:rtl/>
              </w:rPr>
            </w:pPr>
            <w:r w:rsidRPr="0099413C">
              <w:rPr>
                <w:rFonts w:hint="cs"/>
                <w:b/>
                <w:bCs/>
                <w:rtl/>
              </w:rPr>
              <w:t>סגנית נשיא</w:t>
            </w:r>
          </w:p>
        </w:tc>
      </w:tr>
    </w:tbl>
    <w:p w14:paraId="379713A1" w14:textId="77777777" w:rsidR="0099413C" w:rsidRDefault="0099413C" w:rsidP="0099413C">
      <w:pPr>
        <w:spacing w:line="360" w:lineRule="auto"/>
        <w:jc w:val="right"/>
        <w:rPr>
          <w:rFonts w:ascii="David" w:hAnsi="David"/>
          <w:szCs w:val="26"/>
          <w:rtl/>
        </w:rPr>
      </w:pPr>
    </w:p>
    <w:p w14:paraId="39D8D9AF" w14:textId="77777777" w:rsidR="0099413C" w:rsidRDefault="0099413C" w:rsidP="0099413C">
      <w:pPr>
        <w:spacing w:line="360" w:lineRule="auto"/>
        <w:rPr>
          <w:rtl/>
        </w:rPr>
      </w:pPr>
    </w:p>
    <w:p w14:paraId="4F23F261" w14:textId="77777777" w:rsidR="0099413C" w:rsidRDefault="0099413C" w:rsidP="0099413C">
      <w:pPr>
        <w:spacing w:line="360" w:lineRule="auto"/>
        <w:jc w:val="center"/>
        <w:rPr>
          <w:rtl/>
        </w:rPr>
      </w:pPr>
    </w:p>
    <w:p w14:paraId="31164AFB" w14:textId="77777777" w:rsidR="0099413C" w:rsidRPr="0030071E" w:rsidRDefault="0030071E" w:rsidP="0099413C">
      <w:pPr>
        <w:spacing w:line="360" w:lineRule="auto"/>
        <w:rPr>
          <w:color w:val="FFFFFF"/>
          <w:sz w:val="2"/>
          <w:szCs w:val="2"/>
          <w:rtl/>
        </w:rPr>
      </w:pPr>
      <w:r w:rsidRPr="0030071E">
        <w:rPr>
          <w:color w:val="FFFFFF"/>
          <w:sz w:val="2"/>
          <w:szCs w:val="2"/>
          <w:rtl/>
        </w:rPr>
        <w:t>5129371</w:t>
      </w:r>
      <w:r w:rsidR="0099413C" w:rsidRPr="0030071E">
        <w:rPr>
          <w:rFonts w:hint="cs"/>
          <w:color w:val="FFFFFF"/>
          <w:sz w:val="2"/>
          <w:szCs w:val="2"/>
          <w:rtl/>
        </w:rPr>
        <w:t xml:space="preserve"> </w:t>
      </w:r>
    </w:p>
    <w:p w14:paraId="3F474D8F" w14:textId="77777777" w:rsidR="00D02FB7" w:rsidRPr="0030071E" w:rsidRDefault="0030071E" w:rsidP="00D77ADF">
      <w:pPr>
        <w:keepNext/>
        <w:rPr>
          <w:rFonts w:ascii="David" w:hAnsi="David" w:hint="cs"/>
          <w:color w:val="FFFFFF"/>
          <w:sz w:val="2"/>
          <w:szCs w:val="2"/>
          <w:rtl/>
        </w:rPr>
      </w:pPr>
      <w:r w:rsidRPr="0030071E">
        <w:rPr>
          <w:rFonts w:ascii="David" w:hAnsi="David"/>
          <w:color w:val="FFFFFF"/>
          <w:sz w:val="2"/>
          <w:szCs w:val="2"/>
          <w:rtl/>
        </w:rPr>
        <w:t>54678313</w:t>
      </w:r>
    </w:p>
    <w:p w14:paraId="2D7740A4" w14:textId="77777777" w:rsidR="00D77ADF" w:rsidRPr="00D77ADF" w:rsidRDefault="00D77ADF" w:rsidP="00D77ADF">
      <w:pPr>
        <w:keepNext/>
        <w:rPr>
          <w:rFonts w:ascii="David" w:hAnsi="David"/>
          <w:color w:val="000000"/>
          <w:sz w:val="22"/>
          <w:szCs w:val="22"/>
          <w:rtl/>
        </w:rPr>
      </w:pPr>
      <w:r w:rsidRPr="00D77ADF">
        <w:rPr>
          <w:rFonts w:ascii="David" w:hAnsi="David"/>
          <w:color w:val="000000"/>
          <w:sz w:val="22"/>
          <w:szCs w:val="22"/>
          <w:rtl/>
        </w:rPr>
        <w:t>נגה שמואלי מאייר 54678313</w:t>
      </w:r>
    </w:p>
    <w:p w14:paraId="52F79750" w14:textId="77777777" w:rsidR="00D77ADF" w:rsidRDefault="00D77ADF" w:rsidP="00D77ADF">
      <w:r w:rsidRPr="00D77ADF">
        <w:rPr>
          <w:color w:val="000000"/>
          <w:rtl/>
        </w:rPr>
        <w:t>נוסח מסמך זה כפוף לשינויי ניסוח ועריכה</w:t>
      </w:r>
    </w:p>
    <w:p w14:paraId="7F74B9B1" w14:textId="77777777" w:rsidR="00D77ADF" w:rsidRDefault="00D77ADF" w:rsidP="00D77ADF">
      <w:pPr>
        <w:rPr>
          <w:rtl/>
        </w:rPr>
      </w:pPr>
    </w:p>
    <w:p w14:paraId="3C04AF24" w14:textId="77777777" w:rsidR="00D77ADF" w:rsidRDefault="00D77ADF" w:rsidP="00D77ADF">
      <w:pPr>
        <w:jc w:val="center"/>
        <w:rPr>
          <w:color w:val="0000FF"/>
          <w:u w:val="single"/>
        </w:rPr>
      </w:pPr>
      <w:hyperlink r:id="rId58" w:history="1">
        <w:r>
          <w:rPr>
            <w:color w:val="0000FF"/>
            <w:u w:val="single"/>
            <w:rtl/>
          </w:rPr>
          <w:t>בעניין עריכה ושינויים במסמכי פסיקה, חקיקה ועוד באתר נבו – הקש כאן</w:t>
        </w:r>
      </w:hyperlink>
    </w:p>
    <w:p w14:paraId="1ABFCB07" w14:textId="77777777" w:rsidR="0030071E" w:rsidRPr="0030071E" w:rsidRDefault="0030071E" w:rsidP="0030071E">
      <w:pPr>
        <w:keepNext/>
        <w:rPr>
          <w:rFonts w:ascii="David" w:hAnsi="David" w:hint="cs"/>
          <w:color w:val="000000"/>
          <w:sz w:val="22"/>
          <w:szCs w:val="22"/>
          <w:rtl/>
        </w:rPr>
      </w:pPr>
    </w:p>
    <w:sectPr w:rsidR="0030071E" w:rsidRPr="0030071E" w:rsidSect="0030071E">
      <w:headerReference w:type="even" r:id="rId59"/>
      <w:headerReference w:type="default" r:id="rId60"/>
      <w:footerReference w:type="even" r:id="rId61"/>
      <w:footerReference w:type="default" r:id="rId62"/>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BF6A23" w14:textId="77777777" w:rsidR="009822B1" w:rsidRDefault="009822B1" w:rsidP="004063AA">
      <w:r>
        <w:separator/>
      </w:r>
    </w:p>
  </w:endnote>
  <w:endnote w:type="continuationSeparator" w:id="0">
    <w:p w14:paraId="24A94F9A" w14:textId="77777777" w:rsidR="009822B1" w:rsidRDefault="009822B1" w:rsidP="00406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4A9E1" w14:textId="77777777" w:rsidR="0030071E" w:rsidRDefault="0030071E" w:rsidP="0030071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305D3D1" w14:textId="77777777" w:rsidR="00D77ADF" w:rsidRPr="0030071E" w:rsidRDefault="0030071E" w:rsidP="0030071E">
    <w:pPr>
      <w:pStyle w:val="a5"/>
      <w:pBdr>
        <w:top w:val="single" w:sz="4" w:space="1" w:color="auto"/>
        <w:between w:val="single" w:sz="4" w:space="0" w:color="auto"/>
      </w:pBdr>
      <w:spacing w:after="60"/>
      <w:jc w:val="center"/>
      <w:rPr>
        <w:rFonts w:ascii="FrankRuehl" w:hAnsi="FrankRuehl" w:cs="FrankRuehl"/>
        <w:color w:val="000000"/>
      </w:rPr>
    </w:pPr>
    <w:r w:rsidRPr="0030071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A7DD0" w14:textId="77777777" w:rsidR="0030071E" w:rsidRDefault="0030071E" w:rsidP="0030071E">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6B715F">
      <w:rPr>
        <w:rStyle w:val="a8"/>
        <w:rFonts w:ascii="FrankRuehl" w:hAnsi="FrankRuehl" w:cs="FrankRuehl"/>
        <w:noProof/>
        <w:rtl/>
      </w:rPr>
      <w:t>1</w:t>
    </w:r>
    <w:r>
      <w:rPr>
        <w:rStyle w:val="a8"/>
        <w:rFonts w:ascii="FrankRuehl" w:hAnsi="FrankRuehl" w:cs="FrankRuehl"/>
        <w:rtl/>
      </w:rPr>
      <w:fldChar w:fldCharType="end"/>
    </w:r>
  </w:p>
  <w:p w14:paraId="3F996569" w14:textId="77777777" w:rsidR="00581FB3" w:rsidRPr="0030071E" w:rsidRDefault="0030071E" w:rsidP="0030071E">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30071E">
      <w:rPr>
        <w:rStyle w:val="a8"/>
        <w:rFonts w:ascii="FrankRuehl" w:hAnsi="FrankRuehl" w:cs="FrankRuehl" w:hint="cs"/>
        <w:color w:val="000000"/>
      </w:rPr>
      <w:pict w14:anchorId="398C43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71CF73" w14:textId="77777777" w:rsidR="009822B1" w:rsidRDefault="009822B1" w:rsidP="004063AA">
      <w:r>
        <w:separator/>
      </w:r>
    </w:p>
  </w:footnote>
  <w:footnote w:type="continuationSeparator" w:id="0">
    <w:p w14:paraId="7D76D69A" w14:textId="77777777" w:rsidR="009822B1" w:rsidRDefault="009822B1" w:rsidP="004063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E82766" w14:textId="77777777" w:rsidR="00D77ADF" w:rsidRPr="0030071E" w:rsidRDefault="0030071E" w:rsidP="0030071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1054-08-21</w:t>
    </w:r>
    <w:r>
      <w:rPr>
        <w:rFonts w:ascii="David" w:hAnsi="David"/>
        <w:color w:val="000000"/>
        <w:sz w:val="22"/>
        <w:szCs w:val="22"/>
        <w:rtl/>
      </w:rPr>
      <w:tab/>
      <w:t xml:space="preserve"> מדינת ישראל נ' דניס פוטרייצ'נקו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3AE1C2" w14:textId="77777777" w:rsidR="00D77ADF" w:rsidRPr="0030071E" w:rsidRDefault="0030071E" w:rsidP="0030071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1054-08-21</w:t>
    </w:r>
    <w:r>
      <w:rPr>
        <w:rFonts w:ascii="David" w:hAnsi="David"/>
        <w:color w:val="000000"/>
        <w:sz w:val="22"/>
        <w:szCs w:val="22"/>
        <w:rtl/>
      </w:rPr>
      <w:tab/>
      <w:t xml:space="preserve"> מדינת ישראל נ' דניס פוטרייצ'נקו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Courier New"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2D277F34"/>
    <w:multiLevelType w:val="hybridMultilevel"/>
    <w:tmpl w:val="0624ECDC"/>
    <w:lvl w:ilvl="0" w:tplc="F782E0DC">
      <w:start w:val="1"/>
      <w:numFmt w:val="decimal"/>
      <w:lvlText w:val="%1."/>
      <w:lvlJc w:val="left"/>
      <w:pPr>
        <w:ind w:left="662" w:hanging="360"/>
      </w:pPr>
      <w:rPr>
        <w:rFonts w:ascii="David" w:hAnsi="David" w:cs="David" w:hint="default"/>
        <w:b w:val="0"/>
        <w:bCs w:val="0"/>
        <w:color w:val="auto"/>
      </w:rPr>
    </w:lvl>
    <w:lvl w:ilvl="1" w:tplc="272AFB96">
      <w:start w:val="1"/>
      <w:numFmt w:val="hebrew1"/>
      <w:lvlText w:val="%2."/>
      <w:lvlJc w:val="left"/>
      <w:pPr>
        <w:ind w:left="1517" w:hanging="495"/>
      </w:pPr>
      <w:rPr>
        <w:b w:val="0"/>
        <w:bCs/>
      </w:rPr>
    </w:lvl>
    <w:lvl w:ilvl="2" w:tplc="0409001B">
      <w:start w:val="1"/>
      <w:numFmt w:val="lowerRoman"/>
      <w:lvlText w:val="%3."/>
      <w:lvlJc w:val="right"/>
      <w:pPr>
        <w:ind w:left="2102" w:hanging="180"/>
      </w:pPr>
    </w:lvl>
    <w:lvl w:ilvl="3" w:tplc="0409000F">
      <w:start w:val="1"/>
      <w:numFmt w:val="decimal"/>
      <w:lvlText w:val="%4."/>
      <w:lvlJc w:val="left"/>
      <w:pPr>
        <w:ind w:left="2822" w:hanging="360"/>
      </w:pPr>
    </w:lvl>
    <w:lvl w:ilvl="4" w:tplc="04090019">
      <w:start w:val="1"/>
      <w:numFmt w:val="lowerLetter"/>
      <w:lvlText w:val="%5."/>
      <w:lvlJc w:val="left"/>
      <w:pPr>
        <w:ind w:left="3542" w:hanging="360"/>
      </w:pPr>
    </w:lvl>
    <w:lvl w:ilvl="5" w:tplc="0409001B">
      <w:start w:val="1"/>
      <w:numFmt w:val="lowerRoman"/>
      <w:lvlText w:val="%6."/>
      <w:lvlJc w:val="right"/>
      <w:pPr>
        <w:ind w:left="4262" w:hanging="180"/>
      </w:pPr>
    </w:lvl>
    <w:lvl w:ilvl="6" w:tplc="0409000F">
      <w:start w:val="1"/>
      <w:numFmt w:val="decimal"/>
      <w:lvlText w:val="%7."/>
      <w:lvlJc w:val="left"/>
      <w:pPr>
        <w:ind w:left="4982" w:hanging="360"/>
      </w:pPr>
    </w:lvl>
    <w:lvl w:ilvl="7" w:tplc="04090019">
      <w:start w:val="1"/>
      <w:numFmt w:val="lowerLetter"/>
      <w:lvlText w:val="%8."/>
      <w:lvlJc w:val="left"/>
      <w:pPr>
        <w:ind w:left="5702" w:hanging="360"/>
      </w:pPr>
    </w:lvl>
    <w:lvl w:ilvl="8" w:tplc="0409001B">
      <w:start w:val="1"/>
      <w:numFmt w:val="lowerRoman"/>
      <w:lvlText w:val="%9."/>
      <w:lvlJc w:val="right"/>
      <w:pPr>
        <w:ind w:left="6422" w:hanging="180"/>
      </w:pPr>
    </w:lvl>
  </w:abstractNum>
  <w:abstractNum w:abstractNumId="2" w15:restartNumberingAfterBreak="0">
    <w:nsid w:val="633E1DE5"/>
    <w:multiLevelType w:val="hybridMultilevel"/>
    <w:tmpl w:val="4ACE219C"/>
    <w:lvl w:ilvl="0" w:tplc="39F60BB0">
      <w:start w:val="1"/>
      <w:numFmt w:val="hebrew1"/>
      <w:lvlText w:val="%1."/>
      <w:lvlJc w:val="center"/>
      <w:pPr>
        <w:ind w:left="720" w:hanging="36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E4154E1"/>
    <w:multiLevelType w:val="hybridMultilevel"/>
    <w:tmpl w:val="F5765B86"/>
    <w:lvl w:ilvl="0" w:tplc="04090013">
      <w:start w:val="1"/>
      <w:numFmt w:val="hebrew1"/>
      <w:lvlText w:val="%1."/>
      <w:lvlJc w:val="center"/>
      <w:pPr>
        <w:ind w:left="161" w:hanging="360"/>
      </w:pPr>
    </w:lvl>
    <w:lvl w:ilvl="1" w:tplc="04090019" w:tentative="1">
      <w:start w:val="1"/>
      <w:numFmt w:val="lowerLetter"/>
      <w:lvlText w:val="%2."/>
      <w:lvlJc w:val="left"/>
      <w:pPr>
        <w:ind w:left="881" w:hanging="360"/>
      </w:pPr>
    </w:lvl>
    <w:lvl w:ilvl="2" w:tplc="0409001B" w:tentative="1">
      <w:start w:val="1"/>
      <w:numFmt w:val="lowerRoman"/>
      <w:lvlText w:val="%3."/>
      <w:lvlJc w:val="right"/>
      <w:pPr>
        <w:ind w:left="1601" w:hanging="180"/>
      </w:pPr>
    </w:lvl>
    <w:lvl w:ilvl="3" w:tplc="0409000F" w:tentative="1">
      <w:start w:val="1"/>
      <w:numFmt w:val="decimal"/>
      <w:lvlText w:val="%4."/>
      <w:lvlJc w:val="left"/>
      <w:pPr>
        <w:ind w:left="2321" w:hanging="360"/>
      </w:pPr>
    </w:lvl>
    <w:lvl w:ilvl="4" w:tplc="04090019" w:tentative="1">
      <w:start w:val="1"/>
      <w:numFmt w:val="lowerLetter"/>
      <w:lvlText w:val="%5."/>
      <w:lvlJc w:val="left"/>
      <w:pPr>
        <w:ind w:left="3041" w:hanging="360"/>
      </w:pPr>
    </w:lvl>
    <w:lvl w:ilvl="5" w:tplc="0409001B" w:tentative="1">
      <w:start w:val="1"/>
      <w:numFmt w:val="lowerRoman"/>
      <w:lvlText w:val="%6."/>
      <w:lvlJc w:val="right"/>
      <w:pPr>
        <w:ind w:left="3761" w:hanging="180"/>
      </w:pPr>
    </w:lvl>
    <w:lvl w:ilvl="6" w:tplc="0409000F" w:tentative="1">
      <w:start w:val="1"/>
      <w:numFmt w:val="decimal"/>
      <w:lvlText w:val="%7."/>
      <w:lvlJc w:val="left"/>
      <w:pPr>
        <w:ind w:left="4481" w:hanging="360"/>
      </w:pPr>
    </w:lvl>
    <w:lvl w:ilvl="7" w:tplc="04090019" w:tentative="1">
      <w:start w:val="1"/>
      <w:numFmt w:val="lowerLetter"/>
      <w:lvlText w:val="%8."/>
      <w:lvlJc w:val="left"/>
      <w:pPr>
        <w:ind w:left="5201" w:hanging="360"/>
      </w:pPr>
    </w:lvl>
    <w:lvl w:ilvl="8" w:tplc="0409001B" w:tentative="1">
      <w:start w:val="1"/>
      <w:numFmt w:val="lowerRoman"/>
      <w:lvlText w:val="%9."/>
      <w:lvlJc w:val="right"/>
      <w:pPr>
        <w:ind w:left="5921" w:hanging="180"/>
      </w:pPr>
    </w:lvl>
  </w:abstractNum>
  <w:num w:numId="1" w16cid:durableId="52705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636480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64162598">
    <w:abstractNumId w:val="0"/>
  </w:num>
  <w:num w:numId="4" w16cid:durableId="2881653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9413C"/>
    <w:rsid w:val="000D35AD"/>
    <w:rsid w:val="001B5A3B"/>
    <w:rsid w:val="0030071E"/>
    <w:rsid w:val="003414DA"/>
    <w:rsid w:val="004063AA"/>
    <w:rsid w:val="00581FB3"/>
    <w:rsid w:val="00627444"/>
    <w:rsid w:val="006B715F"/>
    <w:rsid w:val="00863C82"/>
    <w:rsid w:val="00945701"/>
    <w:rsid w:val="009822B1"/>
    <w:rsid w:val="0099413C"/>
    <w:rsid w:val="009B25C3"/>
    <w:rsid w:val="00B205EF"/>
    <w:rsid w:val="00BE73CA"/>
    <w:rsid w:val="00D02FB7"/>
    <w:rsid w:val="00D77A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AD3DB7B"/>
  <w15:chartTrackingRefBased/>
  <w15:docId w15:val="{4FB665E8-9550-4262-8E2A-17F1042C2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413C"/>
    <w:pPr>
      <w:bidi/>
    </w:pPr>
    <w:rPr>
      <w:rFonts w:ascii="Times New Roman" w:eastAsia="Times New Roman" w:hAnsi="Times New Roman" w:cs="David"/>
      <w:sz w:val="24"/>
      <w:szCs w:val="24"/>
    </w:rPr>
  </w:style>
  <w:style w:type="paragraph" w:styleId="1">
    <w:name w:val="heading 1"/>
    <w:basedOn w:val="a"/>
    <w:next w:val="a"/>
    <w:link w:val="10"/>
    <w:qFormat/>
    <w:rsid w:val="0099413C"/>
    <w:pPr>
      <w:keepNext/>
      <w:keepLines/>
      <w:spacing w:before="240"/>
      <w:outlineLvl w:val="0"/>
    </w:pPr>
    <w:rPr>
      <w:rFonts w:ascii="Calibri Light" w:hAnsi="Calibri Light" w:cs="Times New Roman"/>
      <w:color w:val="2E74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99413C"/>
    <w:rPr>
      <w:rFonts w:ascii="Calibri Light" w:eastAsia="Times New Roman" w:hAnsi="Calibri Light" w:cs="Times New Roman"/>
      <w:color w:val="2E74B5"/>
      <w:sz w:val="32"/>
      <w:szCs w:val="32"/>
    </w:rPr>
  </w:style>
  <w:style w:type="paragraph" w:styleId="a3">
    <w:name w:val="header"/>
    <w:basedOn w:val="a"/>
    <w:link w:val="a4"/>
    <w:rsid w:val="0099413C"/>
    <w:pPr>
      <w:tabs>
        <w:tab w:val="center" w:pos="4153"/>
        <w:tab w:val="right" w:pos="8306"/>
      </w:tabs>
    </w:pPr>
  </w:style>
  <w:style w:type="character" w:customStyle="1" w:styleId="a4">
    <w:name w:val="כותרת עליונה תו"/>
    <w:link w:val="a3"/>
    <w:rsid w:val="0099413C"/>
    <w:rPr>
      <w:rFonts w:ascii="Times New Roman" w:eastAsia="Times New Roman" w:hAnsi="Times New Roman" w:cs="David"/>
      <w:sz w:val="24"/>
      <w:szCs w:val="24"/>
    </w:rPr>
  </w:style>
  <w:style w:type="paragraph" w:styleId="a5">
    <w:name w:val="footer"/>
    <w:basedOn w:val="a"/>
    <w:link w:val="a6"/>
    <w:rsid w:val="0099413C"/>
    <w:pPr>
      <w:tabs>
        <w:tab w:val="center" w:pos="4153"/>
        <w:tab w:val="right" w:pos="8306"/>
      </w:tabs>
    </w:pPr>
  </w:style>
  <w:style w:type="character" w:customStyle="1" w:styleId="a6">
    <w:name w:val="כותרת תחתונה תו"/>
    <w:link w:val="a5"/>
    <w:rsid w:val="0099413C"/>
    <w:rPr>
      <w:rFonts w:ascii="Times New Roman" w:eastAsia="Times New Roman" w:hAnsi="Times New Roman" w:cs="David"/>
      <w:sz w:val="24"/>
      <w:szCs w:val="24"/>
    </w:rPr>
  </w:style>
  <w:style w:type="table" w:styleId="a7">
    <w:name w:val="Table Grid"/>
    <w:basedOn w:val="a1"/>
    <w:rsid w:val="0099413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9413C"/>
    <w:rPr>
      <w:noProof w:val="0"/>
    </w:rPr>
  </w:style>
  <w:style w:type="character" w:styleId="Hyperlink">
    <w:name w:val="Hyperlink"/>
    <w:rsid w:val="0099413C"/>
    <w:rPr>
      <w:noProof w:val="0"/>
      <w:color w:val="0000FF"/>
      <w:u w:val="single"/>
    </w:rPr>
  </w:style>
  <w:style w:type="character" w:customStyle="1" w:styleId="a9">
    <w:name w:val="פיסקת רשימה תו"/>
    <w:link w:val="aa"/>
    <w:locked/>
    <w:rsid w:val="0099413C"/>
    <w:rPr>
      <w:rFonts w:ascii="David" w:hAnsi="David" w:cs="David"/>
      <w:sz w:val="24"/>
      <w:szCs w:val="24"/>
    </w:rPr>
  </w:style>
  <w:style w:type="paragraph" w:styleId="aa">
    <w:name w:val="List Paragraph"/>
    <w:basedOn w:val="a"/>
    <w:link w:val="a9"/>
    <w:qFormat/>
    <w:rsid w:val="0099413C"/>
    <w:pPr>
      <w:spacing w:after="160" w:line="360" w:lineRule="auto"/>
      <w:ind w:left="720" w:hanging="357"/>
      <w:contextualSpacing/>
      <w:jc w:val="both"/>
    </w:pPr>
    <w:rPr>
      <w:rFonts w:ascii="David" w:eastAsia="Calibri" w:hAnsi="David"/>
    </w:rPr>
  </w:style>
  <w:style w:type="character" w:customStyle="1" w:styleId="ListParagraphChar">
    <w:name w:val="List Paragraph Char"/>
    <w:link w:val="11"/>
    <w:locked/>
    <w:rsid w:val="0099413C"/>
    <w:rPr>
      <w:rFonts w:ascii="David" w:hAnsi="David" w:cs="David"/>
      <w:sz w:val="24"/>
      <w:szCs w:val="24"/>
    </w:rPr>
  </w:style>
  <w:style w:type="paragraph" w:customStyle="1" w:styleId="11">
    <w:name w:val="פיסקת רשימה1"/>
    <w:basedOn w:val="a"/>
    <w:link w:val="ListParagraphChar"/>
    <w:rsid w:val="0099413C"/>
    <w:pPr>
      <w:spacing w:after="160" w:line="360" w:lineRule="auto"/>
      <w:ind w:left="720" w:hanging="357"/>
      <w:contextualSpacing/>
      <w:jc w:val="both"/>
    </w:pPr>
    <w:rPr>
      <w:rFonts w:ascii="David" w:eastAsia="Calibri" w:hAnsi="Dav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7.c" TargetMode="External"/><Relationship Id="rId18" Type="http://schemas.openxmlformats.org/officeDocument/2006/relationships/hyperlink" Target="http://www.nevo.co.il/case/20371840" TargetMode="External"/><Relationship Id="rId26" Type="http://schemas.openxmlformats.org/officeDocument/2006/relationships/hyperlink" Target="http://www.nevo.co.il/case/22652667" TargetMode="External"/><Relationship Id="rId39" Type="http://schemas.openxmlformats.org/officeDocument/2006/relationships/hyperlink" Target="http://www.nevo.co.il/case/6824952" TargetMode="External"/><Relationship Id="rId21" Type="http://schemas.openxmlformats.org/officeDocument/2006/relationships/hyperlink" Target="http://www.nevo.co.il/law/4216" TargetMode="External"/><Relationship Id="rId34" Type="http://schemas.openxmlformats.org/officeDocument/2006/relationships/hyperlink" Target="http://www.nevo.co.il/case/24337627" TargetMode="External"/><Relationship Id="rId42" Type="http://schemas.openxmlformats.org/officeDocument/2006/relationships/hyperlink" Target="http://www.nevo.co.il/case/6824952" TargetMode="External"/><Relationship Id="rId47" Type="http://schemas.openxmlformats.org/officeDocument/2006/relationships/hyperlink" Target="http://www.nevo.co.il/case/21474481" TargetMode="External"/><Relationship Id="rId50" Type="http://schemas.openxmlformats.org/officeDocument/2006/relationships/hyperlink" Target="http://www.nevo.co.il/law/4216" TargetMode="External"/><Relationship Id="rId55" Type="http://schemas.openxmlformats.org/officeDocument/2006/relationships/image" Target="media/image1.jpeg"/><Relationship Id="rId63"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0346889" TargetMode="External"/><Relationship Id="rId11" Type="http://schemas.openxmlformats.org/officeDocument/2006/relationships/hyperlink" Target="http://www.nevo.co.il/law/70301/40c.a" TargetMode="External"/><Relationship Id="rId24" Type="http://schemas.openxmlformats.org/officeDocument/2006/relationships/hyperlink" Target="http://www.nevo.co.il/case/5583030" TargetMode="External"/><Relationship Id="rId32" Type="http://schemas.openxmlformats.org/officeDocument/2006/relationships/hyperlink" Target="http://www.nevo.co.il/case/21691280" TargetMode="External"/><Relationship Id="rId37" Type="http://schemas.openxmlformats.org/officeDocument/2006/relationships/hyperlink" Target="http://www.nevo.co.il/case/17941073" TargetMode="External"/><Relationship Id="rId40" Type="http://schemas.openxmlformats.org/officeDocument/2006/relationships/hyperlink" Target="http://www.nevo.co.il/law/70301/40ja" TargetMode="External"/><Relationship Id="rId45" Type="http://schemas.openxmlformats.org/officeDocument/2006/relationships/hyperlink" Target="http://www.nevo.co.il/case/7821838" TargetMode="External"/><Relationship Id="rId53" Type="http://schemas.openxmlformats.org/officeDocument/2006/relationships/hyperlink" Target="http://www.nevo.co.il/law/4216" TargetMode="External"/><Relationship Id="rId58"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www.nevo.co.il/law/70301/40c.a" TargetMode="External"/><Relationship Id="rId14" Type="http://schemas.openxmlformats.org/officeDocument/2006/relationships/hyperlink" Target="http://www.nevo.co.il/law/4216" TargetMode="External"/><Relationship Id="rId22" Type="http://schemas.openxmlformats.org/officeDocument/2006/relationships/hyperlink" Target="http://www.nevo.co.il/case/17939812" TargetMode="External"/><Relationship Id="rId27" Type="http://schemas.openxmlformats.org/officeDocument/2006/relationships/hyperlink" Target="http://www.nevo.co.il/case/27033954" TargetMode="External"/><Relationship Id="rId30" Type="http://schemas.openxmlformats.org/officeDocument/2006/relationships/hyperlink" Target="http://www.nevo.co.il/case/26007899" TargetMode="External"/><Relationship Id="rId35" Type="http://schemas.openxmlformats.org/officeDocument/2006/relationships/hyperlink" Target="http://www.nevo.co.il/case/20548418" TargetMode="External"/><Relationship Id="rId43" Type="http://schemas.openxmlformats.org/officeDocument/2006/relationships/hyperlink" Target="http://www.nevo.co.il/case/10459128" TargetMode="External"/><Relationship Id="rId48" Type="http://schemas.openxmlformats.org/officeDocument/2006/relationships/hyperlink" Target="http://www.nevo.co.il/case/13015510" TargetMode="External"/><Relationship Id="rId56" Type="http://schemas.openxmlformats.org/officeDocument/2006/relationships/hyperlink" Target="http://www.nevo.co.il/law/4216" TargetMode="External"/><Relationship Id="rId64" Type="http://schemas.openxmlformats.org/officeDocument/2006/relationships/theme" Target="theme/theme1.xml"/><Relationship Id="rId8" Type="http://schemas.openxmlformats.org/officeDocument/2006/relationships/hyperlink" Target="http://www.nevo.co.il/law/4216/7.a." TargetMode="External"/><Relationship Id="rId51"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case/5569233" TargetMode="External"/><Relationship Id="rId25" Type="http://schemas.openxmlformats.org/officeDocument/2006/relationships/hyperlink" Target="http://www.nevo.co.il/case/18791199" TargetMode="External"/><Relationship Id="rId33" Type="http://schemas.openxmlformats.org/officeDocument/2006/relationships/hyperlink" Target="http://www.nevo.co.il/case/26411714" TargetMode="External"/><Relationship Id="rId38" Type="http://schemas.openxmlformats.org/officeDocument/2006/relationships/hyperlink" Target="http://www.nevo.co.il/case/5880417" TargetMode="External"/><Relationship Id="rId46" Type="http://schemas.openxmlformats.org/officeDocument/2006/relationships/hyperlink" Target="http://www.nevo.co.il/case/6848505" TargetMode="External"/><Relationship Id="rId59" Type="http://schemas.openxmlformats.org/officeDocument/2006/relationships/header" Target="header1.xml"/><Relationship Id="rId20" Type="http://schemas.openxmlformats.org/officeDocument/2006/relationships/hyperlink" Target="http://www.nevo.co.il/law/70301" TargetMode="External"/><Relationship Id="rId41" Type="http://schemas.openxmlformats.org/officeDocument/2006/relationships/hyperlink" Target="http://www.nevo.co.il/law/70301" TargetMode="External"/><Relationship Id="rId54" Type="http://schemas.openxmlformats.org/officeDocument/2006/relationships/hyperlink" Target="http://www.nevo.co.il/law/4216" TargetMode="External"/><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a.;7.c" TargetMode="External"/><Relationship Id="rId23" Type="http://schemas.openxmlformats.org/officeDocument/2006/relationships/hyperlink" Target="http://www.nevo.co.il/case/5738608" TargetMode="External"/><Relationship Id="rId28" Type="http://schemas.openxmlformats.org/officeDocument/2006/relationships/hyperlink" Target="http://www.nevo.co.il/case/28314846" TargetMode="External"/><Relationship Id="rId36" Type="http://schemas.openxmlformats.org/officeDocument/2006/relationships/hyperlink" Target="http://www.nevo.co.il/case/6032057" TargetMode="External"/><Relationship Id="rId49" Type="http://schemas.openxmlformats.org/officeDocument/2006/relationships/hyperlink" Target="http://www.nevo.co.il/law/70301" TargetMode="External"/><Relationship Id="rId57" Type="http://schemas.openxmlformats.org/officeDocument/2006/relationships/hyperlink" Target="http://www.nevo.co.il/law/4216" TargetMode="External"/><Relationship Id="rId10" Type="http://schemas.openxmlformats.org/officeDocument/2006/relationships/hyperlink" Target="http://www.nevo.co.il/law/70301" TargetMode="External"/><Relationship Id="rId31" Type="http://schemas.openxmlformats.org/officeDocument/2006/relationships/hyperlink" Target="http://www.nevo.co.il/case/20786050" TargetMode="External"/><Relationship Id="rId44" Type="http://schemas.openxmlformats.org/officeDocument/2006/relationships/hyperlink" Target="http://www.nevo.co.il/case/12930657" TargetMode="External"/><Relationship Id="rId52" Type="http://schemas.openxmlformats.org/officeDocument/2006/relationships/hyperlink" Target="http://www.eca.gov.il" TargetMode="External"/><Relationship Id="rId6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3362</Words>
  <Characters>16815</Characters>
  <Application>Microsoft Office Word</Application>
  <DocSecurity>0</DocSecurity>
  <Lines>140</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20137</CharactersWithSpaces>
  <SharedDoc>false</SharedDoc>
  <HLinks>
    <vt:vector size="306" baseType="variant">
      <vt:variant>
        <vt:i4>393283</vt:i4>
      </vt:variant>
      <vt:variant>
        <vt:i4>150</vt:i4>
      </vt:variant>
      <vt:variant>
        <vt:i4>0</vt:i4>
      </vt:variant>
      <vt:variant>
        <vt:i4>5</vt:i4>
      </vt:variant>
      <vt:variant>
        <vt:lpwstr>http://www.nevo.co.il/advertisements/nevo-100.doc</vt:lpwstr>
      </vt:variant>
      <vt:variant>
        <vt:lpwstr/>
      </vt:variant>
      <vt:variant>
        <vt:i4>8257637</vt:i4>
      </vt:variant>
      <vt:variant>
        <vt:i4>147</vt:i4>
      </vt:variant>
      <vt:variant>
        <vt:i4>0</vt:i4>
      </vt:variant>
      <vt:variant>
        <vt:i4>5</vt:i4>
      </vt:variant>
      <vt:variant>
        <vt:lpwstr>http://www.nevo.co.il/law/4216</vt:lpwstr>
      </vt:variant>
      <vt:variant>
        <vt:lpwstr/>
      </vt:variant>
      <vt:variant>
        <vt:i4>8257637</vt:i4>
      </vt:variant>
      <vt:variant>
        <vt:i4>144</vt:i4>
      </vt:variant>
      <vt:variant>
        <vt:i4>0</vt:i4>
      </vt:variant>
      <vt:variant>
        <vt:i4>5</vt:i4>
      </vt:variant>
      <vt:variant>
        <vt:lpwstr>http://www.nevo.co.il/law/4216</vt:lpwstr>
      </vt:variant>
      <vt:variant>
        <vt:lpwstr/>
      </vt:variant>
      <vt:variant>
        <vt:i4>8257637</vt:i4>
      </vt:variant>
      <vt:variant>
        <vt:i4>141</vt:i4>
      </vt:variant>
      <vt:variant>
        <vt:i4>0</vt:i4>
      </vt:variant>
      <vt:variant>
        <vt:i4>5</vt:i4>
      </vt:variant>
      <vt:variant>
        <vt:lpwstr>http://www.nevo.co.il/law/4216</vt:lpwstr>
      </vt:variant>
      <vt:variant>
        <vt:lpwstr/>
      </vt:variant>
      <vt:variant>
        <vt:i4>8257637</vt:i4>
      </vt:variant>
      <vt:variant>
        <vt:i4>138</vt:i4>
      </vt:variant>
      <vt:variant>
        <vt:i4>0</vt:i4>
      </vt:variant>
      <vt:variant>
        <vt:i4>5</vt:i4>
      </vt:variant>
      <vt:variant>
        <vt:lpwstr>http://www.nevo.co.il/law/4216</vt:lpwstr>
      </vt:variant>
      <vt:variant>
        <vt:lpwstr/>
      </vt:variant>
      <vt:variant>
        <vt:i4>7864368</vt:i4>
      </vt:variant>
      <vt:variant>
        <vt:i4>135</vt:i4>
      </vt:variant>
      <vt:variant>
        <vt:i4>0</vt:i4>
      </vt:variant>
      <vt:variant>
        <vt:i4>5</vt:i4>
      </vt:variant>
      <vt:variant>
        <vt:lpwstr>http://www.eca.gov.il/</vt:lpwstr>
      </vt:variant>
      <vt:variant>
        <vt:lpwstr/>
      </vt:variant>
      <vt:variant>
        <vt:i4>8257637</vt:i4>
      </vt:variant>
      <vt:variant>
        <vt:i4>132</vt:i4>
      </vt:variant>
      <vt:variant>
        <vt:i4>0</vt:i4>
      </vt:variant>
      <vt:variant>
        <vt:i4>5</vt:i4>
      </vt:variant>
      <vt:variant>
        <vt:lpwstr>http://www.nevo.co.il/law/4216</vt:lpwstr>
      </vt:variant>
      <vt:variant>
        <vt:lpwstr/>
      </vt:variant>
      <vt:variant>
        <vt:i4>8257637</vt:i4>
      </vt:variant>
      <vt:variant>
        <vt:i4>129</vt:i4>
      </vt:variant>
      <vt:variant>
        <vt:i4>0</vt:i4>
      </vt:variant>
      <vt:variant>
        <vt:i4>5</vt:i4>
      </vt:variant>
      <vt:variant>
        <vt:lpwstr>http://www.nevo.co.il/law/4216</vt:lpwstr>
      </vt:variant>
      <vt:variant>
        <vt:lpwstr/>
      </vt:variant>
      <vt:variant>
        <vt:i4>7995492</vt:i4>
      </vt:variant>
      <vt:variant>
        <vt:i4>126</vt:i4>
      </vt:variant>
      <vt:variant>
        <vt:i4>0</vt:i4>
      </vt:variant>
      <vt:variant>
        <vt:i4>5</vt:i4>
      </vt:variant>
      <vt:variant>
        <vt:lpwstr>http://www.nevo.co.il/law/70301</vt:lpwstr>
      </vt:variant>
      <vt:variant>
        <vt:lpwstr/>
      </vt:variant>
      <vt:variant>
        <vt:i4>3473523</vt:i4>
      </vt:variant>
      <vt:variant>
        <vt:i4>123</vt:i4>
      </vt:variant>
      <vt:variant>
        <vt:i4>0</vt:i4>
      </vt:variant>
      <vt:variant>
        <vt:i4>5</vt:i4>
      </vt:variant>
      <vt:variant>
        <vt:lpwstr>http://www.nevo.co.il/case/13015510</vt:lpwstr>
      </vt:variant>
      <vt:variant>
        <vt:lpwstr/>
      </vt:variant>
      <vt:variant>
        <vt:i4>3801206</vt:i4>
      </vt:variant>
      <vt:variant>
        <vt:i4>120</vt:i4>
      </vt:variant>
      <vt:variant>
        <vt:i4>0</vt:i4>
      </vt:variant>
      <vt:variant>
        <vt:i4>5</vt:i4>
      </vt:variant>
      <vt:variant>
        <vt:lpwstr>http://www.nevo.co.il/case/21474481</vt:lpwstr>
      </vt:variant>
      <vt:variant>
        <vt:lpwstr/>
      </vt:variant>
      <vt:variant>
        <vt:i4>3276916</vt:i4>
      </vt:variant>
      <vt:variant>
        <vt:i4>117</vt:i4>
      </vt:variant>
      <vt:variant>
        <vt:i4>0</vt:i4>
      </vt:variant>
      <vt:variant>
        <vt:i4>5</vt:i4>
      </vt:variant>
      <vt:variant>
        <vt:lpwstr>http://www.nevo.co.il/case/6848505</vt:lpwstr>
      </vt:variant>
      <vt:variant>
        <vt:lpwstr/>
      </vt:variant>
      <vt:variant>
        <vt:i4>3473534</vt:i4>
      </vt:variant>
      <vt:variant>
        <vt:i4>114</vt:i4>
      </vt:variant>
      <vt:variant>
        <vt:i4>0</vt:i4>
      </vt:variant>
      <vt:variant>
        <vt:i4>5</vt:i4>
      </vt:variant>
      <vt:variant>
        <vt:lpwstr>http://www.nevo.co.il/case/7821838</vt:lpwstr>
      </vt:variant>
      <vt:variant>
        <vt:lpwstr/>
      </vt:variant>
      <vt:variant>
        <vt:i4>3997811</vt:i4>
      </vt:variant>
      <vt:variant>
        <vt:i4>111</vt:i4>
      </vt:variant>
      <vt:variant>
        <vt:i4>0</vt:i4>
      </vt:variant>
      <vt:variant>
        <vt:i4>5</vt:i4>
      </vt:variant>
      <vt:variant>
        <vt:lpwstr>http://www.nevo.co.il/case/12930657</vt:lpwstr>
      </vt:variant>
      <vt:variant>
        <vt:lpwstr/>
      </vt:variant>
      <vt:variant>
        <vt:i4>4063344</vt:i4>
      </vt:variant>
      <vt:variant>
        <vt:i4>108</vt:i4>
      </vt:variant>
      <vt:variant>
        <vt:i4>0</vt:i4>
      </vt:variant>
      <vt:variant>
        <vt:i4>5</vt:i4>
      </vt:variant>
      <vt:variant>
        <vt:lpwstr>http://www.nevo.co.il/case/10459128</vt:lpwstr>
      </vt:variant>
      <vt:variant>
        <vt:lpwstr/>
      </vt:variant>
      <vt:variant>
        <vt:i4>4128893</vt:i4>
      </vt:variant>
      <vt:variant>
        <vt:i4>105</vt:i4>
      </vt:variant>
      <vt:variant>
        <vt:i4>0</vt:i4>
      </vt:variant>
      <vt:variant>
        <vt:i4>5</vt:i4>
      </vt:variant>
      <vt:variant>
        <vt:lpwstr>http://www.nevo.co.il/case/6824952</vt:lpwstr>
      </vt:variant>
      <vt:variant>
        <vt:lpwstr/>
      </vt:variant>
      <vt:variant>
        <vt:i4>7995492</vt:i4>
      </vt:variant>
      <vt:variant>
        <vt:i4>102</vt:i4>
      </vt:variant>
      <vt:variant>
        <vt:i4>0</vt:i4>
      </vt:variant>
      <vt:variant>
        <vt:i4>5</vt:i4>
      </vt:variant>
      <vt:variant>
        <vt:lpwstr>http://www.nevo.co.il/law/70301</vt:lpwstr>
      </vt:variant>
      <vt:variant>
        <vt:lpwstr/>
      </vt:variant>
      <vt:variant>
        <vt:i4>262155</vt:i4>
      </vt:variant>
      <vt:variant>
        <vt:i4>99</vt:i4>
      </vt:variant>
      <vt:variant>
        <vt:i4>0</vt:i4>
      </vt:variant>
      <vt:variant>
        <vt:i4>5</vt:i4>
      </vt:variant>
      <vt:variant>
        <vt:lpwstr>http://www.nevo.co.il/law/70301/40ja</vt:lpwstr>
      </vt:variant>
      <vt:variant>
        <vt:lpwstr/>
      </vt:variant>
      <vt:variant>
        <vt:i4>4128893</vt:i4>
      </vt:variant>
      <vt:variant>
        <vt:i4>96</vt:i4>
      </vt:variant>
      <vt:variant>
        <vt:i4>0</vt:i4>
      </vt:variant>
      <vt:variant>
        <vt:i4>5</vt:i4>
      </vt:variant>
      <vt:variant>
        <vt:lpwstr>http://www.nevo.co.il/case/6824952</vt:lpwstr>
      </vt:variant>
      <vt:variant>
        <vt:lpwstr/>
      </vt:variant>
      <vt:variant>
        <vt:i4>4063357</vt:i4>
      </vt:variant>
      <vt:variant>
        <vt:i4>93</vt:i4>
      </vt:variant>
      <vt:variant>
        <vt:i4>0</vt:i4>
      </vt:variant>
      <vt:variant>
        <vt:i4>5</vt:i4>
      </vt:variant>
      <vt:variant>
        <vt:lpwstr>http://www.nevo.co.il/case/5880417</vt:lpwstr>
      </vt:variant>
      <vt:variant>
        <vt:lpwstr/>
      </vt:variant>
      <vt:variant>
        <vt:i4>4063351</vt:i4>
      </vt:variant>
      <vt:variant>
        <vt:i4>90</vt:i4>
      </vt:variant>
      <vt:variant>
        <vt:i4>0</vt:i4>
      </vt:variant>
      <vt:variant>
        <vt:i4>5</vt:i4>
      </vt:variant>
      <vt:variant>
        <vt:lpwstr>http://www.nevo.co.il/case/17941073</vt:lpwstr>
      </vt:variant>
      <vt:variant>
        <vt:lpwstr/>
      </vt:variant>
      <vt:variant>
        <vt:i4>3276915</vt:i4>
      </vt:variant>
      <vt:variant>
        <vt:i4>87</vt:i4>
      </vt:variant>
      <vt:variant>
        <vt:i4>0</vt:i4>
      </vt:variant>
      <vt:variant>
        <vt:i4>5</vt:i4>
      </vt:variant>
      <vt:variant>
        <vt:lpwstr>http://www.nevo.co.il/case/6032057</vt:lpwstr>
      </vt:variant>
      <vt:variant>
        <vt:lpwstr/>
      </vt:variant>
      <vt:variant>
        <vt:i4>4063348</vt:i4>
      </vt:variant>
      <vt:variant>
        <vt:i4>84</vt:i4>
      </vt:variant>
      <vt:variant>
        <vt:i4>0</vt:i4>
      </vt:variant>
      <vt:variant>
        <vt:i4>5</vt:i4>
      </vt:variant>
      <vt:variant>
        <vt:lpwstr>http://www.nevo.co.il/case/20548418</vt:lpwstr>
      </vt:variant>
      <vt:variant>
        <vt:lpwstr/>
      </vt:variant>
      <vt:variant>
        <vt:i4>3407989</vt:i4>
      </vt:variant>
      <vt:variant>
        <vt:i4>81</vt:i4>
      </vt:variant>
      <vt:variant>
        <vt:i4>0</vt:i4>
      </vt:variant>
      <vt:variant>
        <vt:i4>5</vt:i4>
      </vt:variant>
      <vt:variant>
        <vt:lpwstr>http://www.nevo.co.il/case/24337627</vt:lpwstr>
      </vt:variant>
      <vt:variant>
        <vt:lpwstr/>
      </vt:variant>
      <vt:variant>
        <vt:i4>3539060</vt:i4>
      </vt:variant>
      <vt:variant>
        <vt:i4>78</vt:i4>
      </vt:variant>
      <vt:variant>
        <vt:i4>0</vt:i4>
      </vt:variant>
      <vt:variant>
        <vt:i4>5</vt:i4>
      </vt:variant>
      <vt:variant>
        <vt:lpwstr>http://www.nevo.co.il/case/26411714</vt:lpwstr>
      </vt:variant>
      <vt:variant>
        <vt:lpwstr/>
      </vt:variant>
      <vt:variant>
        <vt:i4>3997822</vt:i4>
      </vt:variant>
      <vt:variant>
        <vt:i4>75</vt:i4>
      </vt:variant>
      <vt:variant>
        <vt:i4>0</vt:i4>
      </vt:variant>
      <vt:variant>
        <vt:i4>5</vt:i4>
      </vt:variant>
      <vt:variant>
        <vt:lpwstr>http://www.nevo.co.il/case/21691280</vt:lpwstr>
      </vt:variant>
      <vt:variant>
        <vt:lpwstr/>
      </vt:variant>
      <vt:variant>
        <vt:i4>3539068</vt:i4>
      </vt:variant>
      <vt:variant>
        <vt:i4>72</vt:i4>
      </vt:variant>
      <vt:variant>
        <vt:i4>0</vt:i4>
      </vt:variant>
      <vt:variant>
        <vt:i4>5</vt:i4>
      </vt:variant>
      <vt:variant>
        <vt:lpwstr>http://www.nevo.co.il/case/20786050</vt:lpwstr>
      </vt:variant>
      <vt:variant>
        <vt:lpwstr/>
      </vt:variant>
      <vt:variant>
        <vt:i4>3932282</vt:i4>
      </vt:variant>
      <vt:variant>
        <vt:i4>69</vt:i4>
      </vt:variant>
      <vt:variant>
        <vt:i4>0</vt:i4>
      </vt:variant>
      <vt:variant>
        <vt:i4>5</vt:i4>
      </vt:variant>
      <vt:variant>
        <vt:lpwstr>http://www.nevo.co.il/case/26007899</vt:lpwstr>
      </vt:variant>
      <vt:variant>
        <vt:lpwstr/>
      </vt:variant>
      <vt:variant>
        <vt:i4>4128888</vt:i4>
      </vt:variant>
      <vt:variant>
        <vt:i4>66</vt:i4>
      </vt:variant>
      <vt:variant>
        <vt:i4>0</vt:i4>
      </vt:variant>
      <vt:variant>
        <vt:i4>5</vt:i4>
      </vt:variant>
      <vt:variant>
        <vt:lpwstr>http://www.nevo.co.il/case/20346889</vt:lpwstr>
      </vt:variant>
      <vt:variant>
        <vt:lpwstr/>
      </vt:variant>
      <vt:variant>
        <vt:i4>3211381</vt:i4>
      </vt:variant>
      <vt:variant>
        <vt:i4>63</vt:i4>
      </vt:variant>
      <vt:variant>
        <vt:i4>0</vt:i4>
      </vt:variant>
      <vt:variant>
        <vt:i4>5</vt:i4>
      </vt:variant>
      <vt:variant>
        <vt:lpwstr>http://www.nevo.co.il/case/28314846</vt:lpwstr>
      </vt:variant>
      <vt:variant>
        <vt:lpwstr/>
      </vt:variant>
      <vt:variant>
        <vt:i4>3407993</vt:i4>
      </vt:variant>
      <vt:variant>
        <vt:i4>60</vt:i4>
      </vt:variant>
      <vt:variant>
        <vt:i4>0</vt:i4>
      </vt:variant>
      <vt:variant>
        <vt:i4>5</vt:i4>
      </vt:variant>
      <vt:variant>
        <vt:lpwstr>http://www.nevo.co.il/case/27033954</vt:lpwstr>
      </vt:variant>
      <vt:variant>
        <vt:lpwstr/>
      </vt:variant>
      <vt:variant>
        <vt:i4>3145845</vt:i4>
      </vt:variant>
      <vt:variant>
        <vt:i4>57</vt:i4>
      </vt:variant>
      <vt:variant>
        <vt:i4>0</vt:i4>
      </vt:variant>
      <vt:variant>
        <vt:i4>5</vt:i4>
      </vt:variant>
      <vt:variant>
        <vt:lpwstr>http://www.nevo.co.il/case/22652667</vt:lpwstr>
      </vt:variant>
      <vt:variant>
        <vt:lpwstr/>
      </vt:variant>
      <vt:variant>
        <vt:i4>4063348</vt:i4>
      </vt:variant>
      <vt:variant>
        <vt:i4>54</vt:i4>
      </vt:variant>
      <vt:variant>
        <vt:i4>0</vt:i4>
      </vt:variant>
      <vt:variant>
        <vt:i4>5</vt:i4>
      </vt:variant>
      <vt:variant>
        <vt:lpwstr>http://www.nevo.co.il/case/18791199</vt:lpwstr>
      </vt:variant>
      <vt:variant>
        <vt:lpwstr/>
      </vt:variant>
      <vt:variant>
        <vt:i4>3997809</vt:i4>
      </vt:variant>
      <vt:variant>
        <vt:i4>51</vt:i4>
      </vt:variant>
      <vt:variant>
        <vt:i4>0</vt:i4>
      </vt:variant>
      <vt:variant>
        <vt:i4>5</vt:i4>
      </vt:variant>
      <vt:variant>
        <vt:lpwstr>http://www.nevo.co.il/case/5583030</vt:lpwstr>
      </vt:variant>
      <vt:variant>
        <vt:lpwstr/>
      </vt:variant>
      <vt:variant>
        <vt:i4>3670139</vt:i4>
      </vt:variant>
      <vt:variant>
        <vt:i4>48</vt:i4>
      </vt:variant>
      <vt:variant>
        <vt:i4>0</vt:i4>
      </vt:variant>
      <vt:variant>
        <vt:i4>5</vt:i4>
      </vt:variant>
      <vt:variant>
        <vt:lpwstr>http://www.nevo.co.il/case/5738608</vt:lpwstr>
      </vt:variant>
      <vt:variant>
        <vt:lpwstr/>
      </vt:variant>
      <vt:variant>
        <vt:i4>3145848</vt:i4>
      </vt:variant>
      <vt:variant>
        <vt:i4>45</vt:i4>
      </vt:variant>
      <vt:variant>
        <vt:i4>0</vt:i4>
      </vt:variant>
      <vt:variant>
        <vt:i4>5</vt:i4>
      </vt:variant>
      <vt:variant>
        <vt:lpwstr>http://www.nevo.co.il/case/17939812</vt:lpwstr>
      </vt:variant>
      <vt:variant>
        <vt:lpwstr/>
      </vt:variant>
      <vt:variant>
        <vt:i4>8257637</vt:i4>
      </vt:variant>
      <vt:variant>
        <vt:i4>42</vt:i4>
      </vt:variant>
      <vt:variant>
        <vt:i4>0</vt:i4>
      </vt:variant>
      <vt:variant>
        <vt:i4>5</vt:i4>
      </vt:variant>
      <vt:variant>
        <vt:lpwstr>http://www.nevo.co.il/law/4216</vt:lpwstr>
      </vt:variant>
      <vt:variant>
        <vt:lpwstr/>
      </vt:variant>
      <vt:variant>
        <vt:i4>7995492</vt:i4>
      </vt:variant>
      <vt:variant>
        <vt:i4>39</vt:i4>
      </vt:variant>
      <vt:variant>
        <vt:i4>0</vt:i4>
      </vt:variant>
      <vt:variant>
        <vt:i4>5</vt:i4>
      </vt:variant>
      <vt:variant>
        <vt:lpwstr>http://www.nevo.co.il/law/70301</vt:lpwstr>
      </vt:variant>
      <vt:variant>
        <vt:lpwstr/>
      </vt:variant>
      <vt:variant>
        <vt:i4>4915202</vt:i4>
      </vt:variant>
      <vt:variant>
        <vt:i4>36</vt:i4>
      </vt:variant>
      <vt:variant>
        <vt:i4>0</vt:i4>
      </vt:variant>
      <vt:variant>
        <vt:i4>5</vt:i4>
      </vt:variant>
      <vt:variant>
        <vt:lpwstr>http://www.nevo.co.il/law/70301/40c.a</vt:lpwstr>
      </vt:variant>
      <vt:variant>
        <vt:lpwstr/>
      </vt:variant>
      <vt:variant>
        <vt:i4>3407995</vt:i4>
      </vt:variant>
      <vt:variant>
        <vt:i4>33</vt:i4>
      </vt:variant>
      <vt:variant>
        <vt:i4>0</vt:i4>
      </vt:variant>
      <vt:variant>
        <vt:i4>5</vt:i4>
      </vt:variant>
      <vt:variant>
        <vt:lpwstr>http://www.nevo.co.il/case/20371840</vt:lpwstr>
      </vt:variant>
      <vt:variant>
        <vt:lpwstr/>
      </vt:variant>
      <vt:variant>
        <vt:i4>3276923</vt:i4>
      </vt:variant>
      <vt:variant>
        <vt:i4>30</vt:i4>
      </vt:variant>
      <vt:variant>
        <vt:i4>0</vt:i4>
      </vt:variant>
      <vt:variant>
        <vt:i4>5</vt:i4>
      </vt:variant>
      <vt:variant>
        <vt:lpwstr>http://www.nevo.co.il/case/5569233</vt:lpwstr>
      </vt:variant>
      <vt:variant>
        <vt:lpwstr/>
      </vt:variant>
      <vt:variant>
        <vt:i4>7995492</vt:i4>
      </vt:variant>
      <vt:variant>
        <vt:i4>27</vt:i4>
      </vt:variant>
      <vt:variant>
        <vt:i4>0</vt:i4>
      </vt:variant>
      <vt:variant>
        <vt:i4>5</vt:i4>
      </vt:variant>
      <vt:variant>
        <vt:lpwstr>http://www.nevo.co.il/law/70301</vt:lpwstr>
      </vt:variant>
      <vt:variant>
        <vt:lpwstr/>
      </vt:variant>
      <vt:variant>
        <vt:i4>3997821</vt:i4>
      </vt:variant>
      <vt:variant>
        <vt:i4>24</vt:i4>
      </vt:variant>
      <vt:variant>
        <vt:i4>0</vt:i4>
      </vt:variant>
      <vt:variant>
        <vt:i4>5</vt:i4>
      </vt:variant>
      <vt:variant>
        <vt:lpwstr>http://www.nevo.co.il/law/4216/7.a.;7.c</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2025-04-23T01:07:00Z</dcterms:created>
  <dcterms:modified xsi:type="dcterms:W3CDTF">2025-04-23T01:07:00Z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1054</vt:lpwstr>
  </property>
  <property fmtid="{D5CDD505-2E9C-101B-9397-08002B2CF9AE}" pid="6" name="NEWPARTB">
    <vt:lpwstr>08</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דניס פוטרייצ'נקו</vt:lpwstr>
  </property>
  <property fmtid="{D5CDD505-2E9C-101B-9397-08002B2CF9AE}" pid="10" name="LAWYER">
    <vt:lpwstr>הילה מלול;יורם סגי זקס;יאיר לחן</vt:lpwstr>
  </property>
  <property fmtid="{D5CDD505-2E9C-101B-9397-08002B2CF9AE}" pid="11" name="JUDGE">
    <vt:lpwstr>נגה שמואלי מאייר</vt:lpwstr>
  </property>
  <property fmtid="{D5CDD505-2E9C-101B-9397-08002B2CF9AE}" pid="12" name="CITY">
    <vt:lpwstr>ק"ג</vt:lpwstr>
  </property>
  <property fmtid="{D5CDD505-2E9C-101B-9397-08002B2CF9AE}" pid="13" name="DATE">
    <vt:lpwstr>20220720</vt:lpwstr>
  </property>
  <property fmtid="{D5CDD505-2E9C-101B-9397-08002B2CF9AE}" pid="14" name="TYPE_N_DATE">
    <vt:lpwstr>38020220720</vt:lpwstr>
  </property>
  <property fmtid="{D5CDD505-2E9C-101B-9397-08002B2CF9AE}" pid="15" name="WORDNUMPAGES">
    <vt:lpwstr>8</vt:lpwstr>
  </property>
  <property fmtid="{D5CDD505-2E9C-101B-9397-08002B2CF9AE}" pid="16" name="TYPE_ABS_DATE">
    <vt:lpwstr>380020220720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5569233;17939812;5738608;5583030;18791199;22652667;27033954;28314846;20346889;26007899;20786050;21691280;26411714;24337627;20548418;6032057;17941073;5880417;6824952:2;10459128;12930657;7821838;6848505;21474481;13015510</vt:lpwstr>
  </property>
  <property fmtid="{D5CDD505-2E9C-101B-9397-08002B2CF9AE}" pid="36" name="LAWLISTTMP1">
    <vt:lpwstr>4216/007.a:2;007.c:2</vt:lpwstr>
  </property>
  <property fmtid="{D5CDD505-2E9C-101B-9397-08002B2CF9AE}" pid="37" name="LAWLISTTMP2">
    <vt:lpwstr>70301/040c.a;40ja</vt:lpwstr>
  </property>
</Properties>
</file>