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813463" w:rsidRPr="008D4222" w14:paraId="460CC7FE" w14:textId="77777777" w:rsidTr="00BB19B9">
        <w:trPr>
          <w:trHeight w:hRule="exact" w:val="418"/>
          <w:jc w:val="center"/>
        </w:trPr>
        <w:tc>
          <w:tcPr>
            <w:tcW w:w="8721" w:type="dxa"/>
            <w:gridSpan w:val="2"/>
          </w:tcPr>
          <w:p w14:paraId="6AE749F2" w14:textId="77777777" w:rsidR="00813463" w:rsidRPr="008D4222" w:rsidRDefault="00813463" w:rsidP="00F11FD9">
            <w:pPr>
              <w:pStyle w:val="a3"/>
              <w:jc w:val="center"/>
              <w:rPr>
                <w:rFonts w:ascii="Tahoma" w:hAnsi="Tahoma" w:cs="Tahoma"/>
                <w:color w:val="000080"/>
                <w:rtl/>
              </w:rPr>
            </w:pPr>
            <w:bookmarkStart w:id="0" w:name="LastJudge"/>
            <w:r w:rsidRPr="008D4222">
              <w:rPr>
                <w:rFonts w:ascii="Tahoma" w:hAnsi="Tahoma" w:cs="Tahoma"/>
                <w:b/>
                <w:bCs/>
                <w:color w:val="000080"/>
                <w:rtl/>
              </w:rPr>
              <w:t>בית משפט השלום בבאר שבע</w:t>
            </w:r>
          </w:p>
        </w:tc>
      </w:tr>
      <w:tr w:rsidR="00813463" w:rsidRPr="008D4222" w14:paraId="2BCDE64C" w14:textId="77777777" w:rsidTr="00BB19B9">
        <w:trPr>
          <w:trHeight w:val="337"/>
          <w:jc w:val="center"/>
        </w:trPr>
        <w:tc>
          <w:tcPr>
            <w:tcW w:w="5057" w:type="dxa"/>
          </w:tcPr>
          <w:p w14:paraId="73613782" w14:textId="77777777" w:rsidR="00813463" w:rsidRPr="008D4222" w:rsidRDefault="00813463" w:rsidP="00F11FD9">
            <w:pPr>
              <w:rPr>
                <w:rFonts w:ascii="David" w:hAnsi="David"/>
                <w:b/>
                <w:bCs/>
                <w:sz w:val="26"/>
                <w:szCs w:val="26"/>
                <w:rtl/>
              </w:rPr>
            </w:pPr>
            <w:r w:rsidRPr="008D4222">
              <w:rPr>
                <w:rFonts w:ascii="David" w:hAnsi="David"/>
                <w:b/>
                <w:bCs/>
                <w:sz w:val="26"/>
                <w:szCs w:val="26"/>
                <w:rtl/>
              </w:rPr>
              <w:t>ת"פ 21127-08-21 מדינת ישראל נ' בן-חמו(עציר)</w:t>
            </w:r>
          </w:p>
        </w:tc>
        <w:tc>
          <w:tcPr>
            <w:tcW w:w="3664" w:type="dxa"/>
          </w:tcPr>
          <w:p w14:paraId="739B6711" w14:textId="77777777" w:rsidR="00813463" w:rsidRPr="008D4222" w:rsidRDefault="00813463" w:rsidP="00F11FD9">
            <w:pPr>
              <w:pStyle w:val="a3"/>
              <w:jc w:val="right"/>
              <w:rPr>
                <w:rFonts w:cs="FrankRuehl"/>
                <w:sz w:val="28"/>
                <w:szCs w:val="28"/>
                <w:rtl/>
              </w:rPr>
            </w:pPr>
          </w:p>
        </w:tc>
      </w:tr>
    </w:tbl>
    <w:p w14:paraId="1508B379" w14:textId="77777777" w:rsidR="00813463" w:rsidRPr="008D4222" w:rsidRDefault="00813463" w:rsidP="00BB19B9">
      <w:pPr>
        <w:pStyle w:val="a3"/>
        <w:rPr>
          <w:sz w:val="26"/>
          <w:szCs w:val="26"/>
          <w:rtl/>
        </w:rPr>
      </w:pPr>
      <w:r w:rsidRPr="008D4222">
        <w:rPr>
          <w:rFonts w:hint="cs"/>
          <w:rtl/>
        </w:rPr>
        <w:t xml:space="preserve"> </w:t>
      </w:r>
    </w:p>
    <w:tbl>
      <w:tblPr>
        <w:bidiVisual/>
        <w:tblW w:w="8730" w:type="dxa"/>
        <w:tblInd w:w="-12" w:type="dxa"/>
        <w:tblLook w:val="01E0" w:firstRow="1" w:lastRow="1" w:firstColumn="1" w:lastColumn="1" w:noHBand="0" w:noVBand="0"/>
      </w:tblPr>
      <w:tblGrid>
        <w:gridCol w:w="2268"/>
        <w:gridCol w:w="6462"/>
      </w:tblGrid>
      <w:tr w:rsidR="00813463" w:rsidRPr="008D4222" w14:paraId="09B8D429" w14:textId="77777777" w:rsidTr="00813463">
        <w:tc>
          <w:tcPr>
            <w:tcW w:w="8730" w:type="dxa"/>
            <w:gridSpan w:val="2"/>
            <w:shd w:val="clear" w:color="auto" w:fill="auto"/>
          </w:tcPr>
          <w:p w14:paraId="09D9F5D6" w14:textId="77777777" w:rsidR="00813463" w:rsidRPr="008D4222" w:rsidRDefault="00813463" w:rsidP="00813463">
            <w:pPr>
              <w:spacing w:line="360" w:lineRule="auto"/>
              <w:jc w:val="both"/>
              <w:rPr>
                <w:b/>
                <w:bCs/>
                <w:sz w:val="26"/>
                <w:szCs w:val="26"/>
              </w:rPr>
            </w:pPr>
            <w:r w:rsidRPr="008D4222">
              <w:rPr>
                <w:rFonts w:hint="cs"/>
                <w:b/>
                <w:bCs/>
                <w:sz w:val="26"/>
                <w:szCs w:val="26"/>
                <w:rtl/>
              </w:rPr>
              <w:t>לפני כבוד השופטת זהר דולב להמן</w:t>
            </w:r>
            <w:r w:rsidRPr="008D4222">
              <w:rPr>
                <w:rStyle w:val="TimesNewRomanTimesNewRoman"/>
                <w:rtl/>
              </w:rPr>
              <w:t xml:space="preserve"> </w:t>
            </w:r>
          </w:p>
        </w:tc>
      </w:tr>
      <w:tr w:rsidR="00813463" w:rsidRPr="008D4222" w14:paraId="24A4543A" w14:textId="77777777" w:rsidTr="00813463">
        <w:trPr>
          <w:cantSplit/>
          <w:trHeight w:val="724"/>
        </w:trPr>
        <w:tc>
          <w:tcPr>
            <w:tcW w:w="2268" w:type="dxa"/>
            <w:shd w:val="clear" w:color="auto" w:fill="auto"/>
          </w:tcPr>
          <w:p w14:paraId="12AFCBF7" w14:textId="77777777" w:rsidR="00813463" w:rsidRPr="008D4222" w:rsidRDefault="00813463" w:rsidP="00813463">
            <w:pPr>
              <w:ind w:left="26"/>
              <w:rPr>
                <w:b/>
                <w:bCs/>
                <w:sz w:val="26"/>
                <w:szCs w:val="26"/>
                <w:rtl/>
              </w:rPr>
            </w:pPr>
            <w:bookmarkStart w:id="1" w:name="FirstAppellant"/>
            <w:bookmarkStart w:id="2" w:name="FirstLawyer"/>
          </w:p>
          <w:p w14:paraId="7D307681" w14:textId="77777777" w:rsidR="00813463" w:rsidRPr="008D4222" w:rsidRDefault="00813463" w:rsidP="00813463">
            <w:pPr>
              <w:ind w:left="26"/>
              <w:rPr>
                <w:b/>
                <w:bCs/>
                <w:sz w:val="26"/>
                <w:szCs w:val="26"/>
                <w:rtl/>
              </w:rPr>
            </w:pPr>
            <w:r w:rsidRPr="008D4222">
              <w:rPr>
                <w:b/>
                <w:bCs/>
                <w:sz w:val="26"/>
                <w:szCs w:val="26"/>
                <w:rtl/>
              </w:rPr>
              <w:t>המאשימה</w:t>
            </w:r>
          </w:p>
        </w:tc>
        <w:tc>
          <w:tcPr>
            <w:tcW w:w="6462" w:type="dxa"/>
            <w:shd w:val="clear" w:color="auto" w:fill="auto"/>
          </w:tcPr>
          <w:p w14:paraId="473F2069" w14:textId="77777777" w:rsidR="00813463" w:rsidRPr="008D4222" w:rsidRDefault="00813463" w:rsidP="00F11FD9">
            <w:pPr>
              <w:rPr>
                <w:rFonts w:cs="Times New Roman"/>
                <w:rtl/>
              </w:rPr>
            </w:pPr>
          </w:p>
          <w:p w14:paraId="5BCB2533" w14:textId="77777777" w:rsidR="00813463" w:rsidRPr="008D4222" w:rsidRDefault="00813463" w:rsidP="00F11FD9">
            <w:pPr>
              <w:rPr>
                <w:rtl/>
              </w:rPr>
            </w:pPr>
            <w:r w:rsidRPr="008D4222">
              <w:rPr>
                <w:b/>
                <w:bCs/>
                <w:sz w:val="26"/>
                <w:szCs w:val="26"/>
                <w:rtl/>
              </w:rPr>
              <w:t>מדינת ישראל</w:t>
            </w:r>
          </w:p>
          <w:p w14:paraId="1B5EF331" w14:textId="77777777" w:rsidR="00813463" w:rsidRPr="008D4222" w:rsidRDefault="00813463" w:rsidP="00F11FD9">
            <w:pPr>
              <w:rPr>
                <w:b/>
                <w:bCs/>
                <w:sz w:val="26"/>
                <w:szCs w:val="26"/>
                <w:rtl/>
              </w:rPr>
            </w:pPr>
            <w:r w:rsidRPr="008D4222">
              <w:rPr>
                <w:rtl/>
              </w:rPr>
              <w:t>ע"י ב"כ עו"ד גנית אטיאס ועו"ד ליטל פרץ</w:t>
            </w:r>
          </w:p>
        </w:tc>
      </w:tr>
      <w:bookmarkEnd w:id="1"/>
      <w:bookmarkEnd w:id="2"/>
      <w:tr w:rsidR="00813463" w:rsidRPr="008D4222" w14:paraId="684BEB41" w14:textId="77777777" w:rsidTr="00813463">
        <w:tc>
          <w:tcPr>
            <w:tcW w:w="8730" w:type="dxa"/>
            <w:gridSpan w:val="2"/>
            <w:shd w:val="clear" w:color="auto" w:fill="auto"/>
            <w:vAlign w:val="center"/>
          </w:tcPr>
          <w:p w14:paraId="4F3FFC1A" w14:textId="77777777" w:rsidR="00813463" w:rsidRPr="008D4222" w:rsidRDefault="00813463" w:rsidP="00813463">
            <w:pPr>
              <w:jc w:val="center"/>
              <w:rPr>
                <w:rFonts w:ascii="Arial" w:hAnsi="Arial"/>
                <w:b/>
                <w:bCs/>
                <w:sz w:val="26"/>
                <w:szCs w:val="26"/>
                <w:rtl/>
              </w:rPr>
            </w:pPr>
          </w:p>
          <w:p w14:paraId="64B752C6" w14:textId="77777777" w:rsidR="00813463" w:rsidRPr="008D4222" w:rsidRDefault="00813463" w:rsidP="00813463">
            <w:pPr>
              <w:jc w:val="center"/>
              <w:rPr>
                <w:rFonts w:ascii="Arial" w:hAnsi="Arial"/>
                <w:b/>
                <w:bCs/>
                <w:sz w:val="26"/>
                <w:szCs w:val="26"/>
                <w:rtl/>
              </w:rPr>
            </w:pPr>
            <w:r w:rsidRPr="008D4222">
              <w:rPr>
                <w:rFonts w:ascii="Arial" w:hAnsi="Arial"/>
                <w:b/>
                <w:bCs/>
                <w:sz w:val="26"/>
                <w:szCs w:val="26"/>
                <w:rtl/>
              </w:rPr>
              <w:t>נגד</w:t>
            </w:r>
          </w:p>
          <w:p w14:paraId="67EF7442" w14:textId="77777777" w:rsidR="00813463" w:rsidRPr="008D4222" w:rsidRDefault="00813463" w:rsidP="00F11FD9">
            <w:pPr>
              <w:rPr>
                <w:rFonts w:ascii="Arial" w:hAnsi="Arial"/>
                <w:b/>
                <w:bCs/>
                <w:sz w:val="26"/>
                <w:szCs w:val="26"/>
                <w:rtl/>
              </w:rPr>
            </w:pPr>
          </w:p>
        </w:tc>
      </w:tr>
      <w:tr w:rsidR="00813463" w:rsidRPr="008D4222" w14:paraId="54D46DB4" w14:textId="77777777" w:rsidTr="00813463">
        <w:tc>
          <w:tcPr>
            <w:tcW w:w="2268" w:type="dxa"/>
            <w:shd w:val="clear" w:color="auto" w:fill="auto"/>
          </w:tcPr>
          <w:p w14:paraId="438D104D" w14:textId="77777777" w:rsidR="00813463" w:rsidRPr="008D4222" w:rsidRDefault="00813463" w:rsidP="00813463">
            <w:pPr>
              <w:ind w:left="26"/>
              <w:rPr>
                <w:b/>
                <w:bCs/>
                <w:sz w:val="26"/>
                <w:szCs w:val="26"/>
                <w:rtl/>
              </w:rPr>
            </w:pPr>
            <w:r w:rsidRPr="008D4222">
              <w:rPr>
                <w:b/>
                <w:bCs/>
                <w:sz w:val="26"/>
                <w:szCs w:val="26"/>
                <w:rtl/>
              </w:rPr>
              <w:t>הנאשם</w:t>
            </w:r>
          </w:p>
        </w:tc>
        <w:tc>
          <w:tcPr>
            <w:tcW w:w="6462" w:type="dxa"/>
            <w:shd w:val="clear" w:color="auto" w:fill="auto"/>
          </w:tcPr>
          <w:p w14:paraId="15B74533" w14:textId="77777777" w:rsidR="00813463" w:rsidRPr="008D4222" w:rsidRDefault="00813463" w:rsidP="00F11FD9">
            <w:r w:rsidRPr="008D4222">
              <w:rPr>
                <w:b/>
                <w:bCs/>
                <w:sz w:val="26"/>
                <w:szCs w:val="26"/>
                <w:rtl/>
              </w:rPr>
              <w:t>יוסף בן חמו</w:t>
            </w:r>
            <w:r w:rsidRPr="008D4222">
              <w:rPr>
                <w:rtl/>
              </w:rPr>
              <w:t xml:space="preserve"> </w:t>
            </w:r>
          </w:p>
          <w:p w14:paraId="32E6663B" w14:textId="77777777" w:rsidR="00813463" w:rsidRPr="008D4222" w:rsidRDefault="00813463" w:rsidP="00F11FD9">
            <w:pPr>
              <w:rPr>
                <w:rtl/>
              </w:rPr>
            </w:pPr>
            <w:r w:rsidRPr="008D4222">
              <w:rPr>
                <w:rtl/>
              </w:rPr>
              <w:t>ע"י ב"כ עוה"ד רחמים דיין</w:t>
            </w:r>
          </w:p>
          <w:p w14:paraId="4BECC1D2" w14:textId="77777777" w:rsidR="00813463" w:rsidRPr="008D4222" w:rsidRDefault="00813463" w:rsidP="00F11FD9">
            <w:pPr>
              <w:rPr>
                <w:b/>
                <w:bCs/>
                <w:sz w:val="26"/>
                <w:szCs w:val="26"/>
                <w:rtl/>
              </w:rPr>
            </w:pPr>
          </w:p>
        </w:tc>
      </w:tr>
    </w:tbl>
    <w:p w14:paraId="7481791D" w14:textId="77777777" w:rsidR="0045437A" w:rsidRDefault="0045437A" w:rsidP="008D4222">
      <w:pPr>
        <w:rPr>
          <w:rFonts w:ascii="Arial" w:hAnsi="Arial"/>
          <w:sz w:val="26"/>
          <w:szCs w:val="26"/>
          <w:rtl/>
        </w:rPr>
      </w:pPr>
      <w:bookmarkStart w:id="3" w:name="LawTable"/>
      <w:bookmarkEnd w:id="3"/>
    </w:p>
    <w:p w14:paraId="26104EDD" w14:textId="77777777" w:rsidR="0045437A" w:rsidRPr="0045437A" w:rsidRDefault="0045437A" w:rsidP="0045437A">
      <w:pPr>
        <w:spacing w:after="120" w:line="240" w:lineRule="exact"/>
        <w:ind w:left="283" w:hanging="283"/>
        <w:jc w:val="both"/>
        <w:rPr>
          <w:rFonts w:ascii="FrankRuehl" w:hAnsi="FrankRuehl" w:cs="FrankRuehl"/>
          <w:rtl/>
        </w:rPr>
      </w:pPr>
    </w:p>
    <w:p w14:paraId="5AAE3B8A" w14:textId="77777777" w:rsidR="0045437A" w:rsidRPr="0045437A" w:rsidRDefault="0045437A" w:rsidP="0045437A">
      <w:pPr>
        <w:spacing w:after="120" w:line="240" w:lineRule="exact"/>
        <w:ind w:left="283" w:hanging="283"/>
        <w:jc w:val="both"/>
        <w:rPr>
          <w:rFonts w:ascii="FrankRuehl" w:hAnsi="FrankRuehl" w:cs="FrankRuehl"/>
          <w:rtl/>
        </w:rPr>
      </w:pPr>
      <w:r w:rsidRPr="0045437A">
        <w:rPr>
          <w:rFonts w:ascii="FrankRuehl" w:hAnsi="FrankRuehl" w:cs="FrankRuehl"/>
          <w:rtl/>
        </w:rPr>
        <w:t xml:space="preserve">חקיקה שאוזכרה: </w:t>
      </w:r>
    </w:p>
    <w:p w14:paraId="692F135E" w14:textId="77777777" w:rsidR="0045437A" w:rsidRPr="0045437A" w:rsidRDefault="0045437A" w:rsidP="0045437A">
      <w:pPr>
        <w:spacing w:after="120" w:line="240" w:lineRule="exact"/>
        <w:ind w:left="283" w:hanging="283"/>
        <w:jc w:val="both"/>
        <w:rPr>
          <w:rFonts w:ascii="FrankRuehl" w:hAnsi="FrankRuehl" w:cs="FrankRuehl"/>
          <w:color w:val="0000FF"/>
          <w:u w:val="single"/>
          <w:rtl/>
        </w:rPr>
      </w:pPr>
      <w:hyperlink r:id="rId7" w:history="1">
        <w:r w:rsidRPr="0045437A">
          <w:rPr>
            <w:rStyle w:val="Hyperlink"/>
            <w:rFonts w:ascii="FrankRuehl" w:hAnsi="FrankRuehl" w:cs="FrankRuehl"/>
            <w:rtl/>
          </w:rPr>
          <w:t>חוק העונשין, תשל"ז-1977</w:t>
        </w:r>
      </w:hyperlink>
      <w:r w:rsidRPr="0045437A">
        <w:rPr>
          <w:rFonts w:ascii="FrankRuehl" w:hAnsi="FrankRuehl" w:cs="FrankRuehl"/>
          <w:color w:val="0000FF"/>
          <w:u w:val="single"/>
          <w:rtl/>
        </w:rPr>
        <w:t xml:space="preserve">: סע'  </w:t>
      </w:r>
      <w:hyperlink r:id="rId8" w:history="1">
        <w:r w:rsidRPr="0045437A">
          <w:rPr>
            <w:rStyle w:val="Hyperlink"/>
            <w:rFonts w:ascii="FrankRuehl" w:hAnsi="FrankRuehl" w:cs="FrankRuehl"/>
          </w:rPr>
          <w:t>40</w:t>
        </w:r>
        <w:r w:rsidRPr="0045437A">
          <w:rPr>
            <w:rStyle w:val="Hyperlink"/>
            <w:rFonts w:ascii="FrankRuehl" w:hAnsi="FrankRuehl" w:cs="FrankRuehl"/>
            <w:rtl/>
          </w:rPr>
          <w:t>ג(א</w:t>
        </w:r>
        <w:r w:rsidRPr="0045437A">
          <w:rPr>
            <w:rStyle w:val="Hyperlink"/>
            <w:rFonts w:ascii="FrankRuehl" w:hAnsi="FrankRuehl" w:cs="FrankRuehl"/>
          </w:rPr>
          <w:t>)</w:t>
        </w:r>
      </w:hyperlink>
      <w:r w:rsidRPr="0045437A">
        <w:rPr>
          <w:rFonts w:ascii="FrankRuehl" w:hAnsi="FrankRuehl" w:cs="FrankRuehl"/>
          <w:color w:val="0000FF"/>
          <w:u w:val="single"/>
          <w:rtl/>
        </w:rPr>
        <w:t xml:space="preserve">, </w:t>
      </w:r>
      <w:hyperlink r:id="rId9" w:history="1">
        <w:r w:rsidRPr="0045437A">
          <w:rPr>
            <w:rStyle w:val="Hyperlink"/>
            <w:rFonts w:ascii="FrankRuehl" w:hAnsi="FrankRuehl" w:cs="FrankRuehl"/>
          </w:rPr>
          <w:t>40</w:t>
        </w:r>
        <w:r w:rsidRPr="0045437A">
          <w:rPr>
            <w:rStyle w:val="Hyperlink"/>
            <w:rFonts w:ascii="FrankRuehl" w:hAnsi="FrankRuehl" w:cs="FrankRuehl"/>
            <w:rtl/>
          </w:rPr>
          <w:t>ג(ב</w:t>
        </w:r>
        <w:r w:rsidRPr="0045437A">
          <w:rPr>
            <w:rStyle w:val="Hyperlink"/>
            <w:rFonts w:ascii="FrankRuehl" w:hAnsi="FrankRuehl" w:cs="FrankRuehl"/>
          </w:rPr>
          <w:t>)</w:t>
        </w:r>
      </w:hyperlink>
      <w:r w:rsidRPr="0045437A">
        <w:rPr>
          <w:rFonts w:ascii="FrankRuehl" w:hAnsi="FrankRuehl" w:cs="FrankRuehl"/>
          <w:color w:val="0000FF"/>
          <w:u w:val="single"/>
          <w:rtl/>
        </w:rPr>
        <w:t xml:space="preserve">, </w:t>
      </w:r>
      <w:hyperlink r:id="rId10" w:history="1">
        <w:r w:rsidRPr="0045437A">
          <w:rPr>
            <w:rStyle w:val="Hyperlink"/>
            <w:rFonts w:ascii="FrankRuehl" w:hAnsi="FrankRuehl" w:cs="FrankRuehl"/>
          </w:rPr>
          <w:t>40</w:t>
        </w:r>
        <w:r w:rsidRPr="0045437A">
          <w:rPr>
            <w:rStyle w:val="Hyperlink"/>
            <w:rFonts w:ascii="FrankRuehl" w:hAnsi="FrankRuehl" w:cs="FrankRuehl"/>
            <w:rtl/>
          </w:rPr>
          <w:t>ד</w:t>
        </w:r>
      </w:hyperlink>
      <w:r w:rsidRPr="0045437A">
        <w:rPr>
          <w:rFonts w:ascii="FrankRuehl" w:hAnsi="FrankRuehl" w:cs="FrankRuehl"/>
          <w:color w:val="0000FF"/>
          <w:u w:val="single"/>
          <w:rtl/>
        </w:rPr>
        <w:t xml:space="preserve">, </w:t>
      </w:r>
      <w:hyperlink r:id="rId11" w:history="1">
        <w:r w:rsidRPr="0045437A">
          <w:rPr>
            <w:rStyle w:val="Hyperlink"/>
            <w:rFonts w:ascii="FrankRuehl" w:hAnsi="FrankRuehl" w:cs="FrankRuehl"/>
          </w:rPr>
          <w:t>40</w:t>
        </w:r>
        <w:r w:rsidRPr="0045437A">
          <w:rPr>
            <w:rStyle w:val="Hyperlink"/>
            <w:rFonts w:ascii="FrankRuehl" w:hAnsi="FrankRuehl" w:cs="FrankRuehl"/>
            <w:rtl/>
          </w:rPr>
          <w:t>ה</w:t>
        </w:r>
      </w:hyperlink>
      <w:r w:rsidRPr="0045437A">
        <w:rPr>
          <w:rFonts w:ascii="FrankRuehl" w:hAnsi="FrankRuehl" w:cs="FrankRuehl"/>
          <w:color w:val="0000FF"/>
          <w:u w:val="single"/>
          <w:rtl/>
        </w:rPr>
        <w:t xml:space="preserve">, </w:t>
      </w:r>
      <w:hyperlink r:id="rId12" w:history="1">
        <w:r w:rsidRPr="0045437A">
          <w:rPr>
            <w:rStyle w:val="Hyperlink"/>
            <w:rFonts w:ascii="FrankRuehl" w:hAnsi="FrankRuehl" w:cs="FrankRuehl"/>
          </w:rPr>
          <w:t>40</w:t>
        </w:r>
        <w:r w:rsidRPr="0045437A">
          <w:rPr>
            <w:rStyle w:val="Hyperlink"/>
            <w:rFonts w:ascii="FrankRuehl" w:hAnsi="FrankRuehl" w:cs="FrankRuehl"/>
            <w:rtl/>
          </w:rPr>
          <w:t>ו</w:t>
        </w:r>
      </w:hyperlink>
      <w:r w:rsidRPr="0045437A">
        <w:rPr>
          <w:rFonts w:ascii="FrankRuehl" w:hAnsi="FrankRuehl" w:cs="FrankRuehl"/>
          <w:color w:val="0000FF"/>
          <w:u w:val="single"/>
          <w:rtl/>
        </w:rPr>
        <w:t xml:space="preserve">, </w:t>
      </w:r>
      <w:hyperlink r:id="rId13" w:history="1">
        <w:r w:rsidRPr="0045437A">
          <w:rPr>
            <w:rStyle w:val="Hyperlink"/>
            <w:rFonts w:ascii="FrankRuehl" w:hAnsi="FrankRuehl" w:cs="FrankRuehl"/>
          </w:rPr>
          <w:t>40</w:t>
        </w:r>
        <w:r w:rsidRPr="0045437A">
          <w:rPr>
            <w:rStyle w:val="Hyperlink"/>
            <w:rFonts w:ascii="FrankRuehl" w:hAnsi="FrankRuehl" w:cs="FrankRuehl"/>
            <w:rtl/>
          </w:rPr>
          <w:t>ז</w:t>
        </w:r>
      </w:hyperlink>
      <w:r w:rsidRPr="0045437A">
        <w:rPr>
          <w:rFonts w:ascii="FrankRuehl" w:hAnsi="FrankRuehl" w:cs="FrankRuehl"/>
          <w:color w:val="0000FF"/>
          <w:u w:val="single"/>
          <w:rtl/>
        </w:rPr>
        <w:t xml:space="preserve">, </w:t>
      </w:r>
      <w:hyperlink r:id="rId14" w:history="1">
        <w:r w:rsidRPr="0045437A">
          <w:rPr>
            <w:rStyle w:val="Hyperlink"/>
            <w:rFonts w:ascii="FrankRuehl" w:hAnsi="FrankRuehl" w:cs="FrankRuehl"/>
          </w:rPr>
          <w:t>40</w:t>
        </w:r>
        <w:r w:rsidRPr="0045437A">
          <w:rPr>
            <w:rStyle w:val="Hyperlink"/>
            <w:rFonts w:ascii="FrankRuehl" w:hAnsi="FrankRuehl" w:cs="FrankRuehl"/>
            <w:rtl/>
          </w:rPr>
          <w:t>ח</w:t>
        </w:r>
      </w:hyperlink>
      <w:r w:rsidRPr="0045437A">
        <w:rPr>
          <w:rFonts w:ascii="FrankRuehl" w:hAnsi="FrankRuehl" w:cs="FrankRuehl"/>
          <w:color w:val="0000FF"/>
          <w:u w:val="single"/>
          <w:rtl/>
        </w:rPr>
        <w:t xml:space="preserve">, </w:t>
      </w:r>
      <w:hyperlink r:id="rId15" w:history="1">
        <w:r w:rsidRPr="0045437A">
          <w:rPr>
            <w:rStyle w:val="Hyperlink"/>
            <w:rFonts w:ascii="FrankRuehl" w:hAnsi="FrankRuehl" w:cs="FrankRuehl"/>
          </w:rPr>
          <w:t>40</w:t>
        </w:r>
        <w:r w:rsidRPr="0045437A">
          <w:rPr>
            <w:rStyle w:val="Hyperlink"/>
            <w:rFonts w:ascii="FrankRuehl" w:hAnsi="FrankRuehl" w:cs="FrankRuehl"/>
            <w:rtl/>
          </w:rPr>
          <w:t>י</w:t>
        </w:r>
      </w:hyperlink>
      <w:r w:rsidRPr="0045437A">
        <w:rPr>
          <w:rFonts w:ascii="FrankRuehl" w:hAnsi="FrankRuehl" w:cs="FrankRuehl"/>
          <w:color w:val="0000FF"/>
          <w:u w:val="single"/>
          <w:rtl/>
        </w:rPr>
        <w:t xml:space="preserve">, </w:t>
      </w:r>
      <w:hyperlink r:id="rId16" w:history="1">
        <w:r w:rsidRPr="0045437A">
          <w:rPr>
            <w:rStyle w:val="Hyperlink"/>
            <w:rFonts w:ascii="FrankRuehl" w:hAnsi="FrankRuehl" w:cs="FrankRuehl"/>
          </w:rPr>
          <w:t>40</w:t>
        </w:r>
        <w:r w:rsidRPr="0045437A">
          <w:rPr>
            <w:rStyle w:val="Hyperlink"/>
            <w:rFonts w:ascii="FrankRuehl" w:hAnsi="FrankRuehl" w:cs="FrankRuehl"/>
            <w:rtl/>
          </w:rPr>
          <w:t>י(ב)(2</w:t>
        </w:r>
        <w:r w:rsidRPr="0045437A">
          <w:rPr>
            <w:rStyle w:val="Hyperlink"/>
            <w:rFonts w:ascii="FrankRuehl" w:hAnsi="FrankRuehl" w:cs="FrankRuehl"/>
          </w:rPr>
          <w:t>)</w:t>
        </w:r>
      </w:hyperlink>
      <w:r w:rsidRPr="0045437A">
        <w:rPr>
          <w:rFonts w:ascii="FrankRuehl" w:hAnsi="FrankRuehl" w:cs="FrankRuehl"/>
          <w:color w:val="0000FF"/>
          <w:u w:val="single"/>
          <w:rtl/>
        </w:rPr>
        <w:t xml:space="preserve">, </w:t>
      </w:r>
      <w:hyperlink r:id="rId17" w:history="1">
        <w:r w:rsidRPr="0045437A">
          <w:rPr>
            <w:rStyle w:val="Hyperlink"/>
            <w:rFonts w:ascii="FrankRuehl" w:hAnsi="FrankRuehl" w:cs="FrankRuehl"/>
          </w:rPr>
          <w:t>40</w:t>
        </w:r>
        <w:r w:rsidRPr="0045437A">
          <w:rPr>
            <w:rStyle w:val="Hyperlink"/>
            <w:rFonts w:ascii="FrankRuehl" w:hAnsi="FrankRuehl" w:cs="FrankRuehl"/>
            <w:rtl/>
          </w:rPr>
          <w:t>י(ג</w:t>
        </w:r>
        <w:r w:rsidRPr="0045437A">
          <w:rPr>
            <w:rStyle w:val="Hyperlink"/>
            <w:rFonts w:ascii="FrankRuehl" w:hAnsi="FrankRuehl" w:cs="FrankRuehl"/>
          </w:rPr>
          <w:t>)</w:t>
        </w:r>
      </w:hyperlink>
      <w:r w:rsidRPr="0045437A">
        <w:rPr>
          <w:rFonts w:ascii="FrankRuehl" w:hAnsi="FrankRuehl" w:cs="FrankRuehl"/>
          <w:color w:val="0000FF"/>
          <w:u w:val="single"/>
          <w:rtl/>
        </w:rPr>
        <w:t xml:space="preserve">, </w:t>
      </w:r>
      <w:hyperlink r:id="rId18" w:history="1">
        <w:r w:rsidRPr="0045437A">
          <w:rPr>
            <w:rStyle w:val="Hyperlink"/>
            <w:rFonts w:ascii="FrankRuehl" w:hAnsi="FrankRuehl" w:cs="FrankRuehl"/>
          </w:rPr>
          <w:t>40</w:t>
        </w:r>
        <w:r w:rsidRPr="0045437A">
          <w:rPr>
            <w:rStyle w:val="Hyperlink"/>
            <w:rFonts w:ascii="FrankRuehl" w:hAnsi="FrankRuehl" w:cs="FrankRuehl"/>
            <w:rtl/>
          </w:rPr>
          <w:t>יא</w:t>
        </w:r>
      </w:hyperlink>
      <w:r w:rsidRPr="0045437A">
        <w:rPr>
          <w:rFonts w:ascii="FrankRuehl" w:hAnsi="FrankRuehl" w:cs="FrankRuehl"/>
          <w:color w:val="0000FF"/>
          <w:u w:val="single"/>
          <w:rtl/>
        </w:rPr>
        <w:t xml:space="preserve">, </w:t>
      </w:r>
      <w:hyperlink r:id="rId19" w:history="1">
        <w:r w:rsidRPr="0045437A">
          <w:rPr>
            <w:rStyle w:val="Hyperlink"/>
            <w:rFonts w:ascii="FrankRuehl" w:hAnsi="FrankRuehl" w:cs="FrankRuehl"/>
          </w:rPr>
          <w:t>40</w:t>
        </w:r>
        <w:r w:rsidRPr="0045437A">
          <w:rPr>
            <w:rStyle w:val="Hyperlink"/>
            <w:rFonts w:ascii="FrankRuehl" w:hAnsi="FrankRuehl" w:cs="FrankRuehl"/>
            <w:rtl/>
          </w:rPr>
          <w:t>יט</w:t>
        </w:r>
      </w:hyperlink>
      <w:r w:rsidRPr="0045437A">
        <w:rPr>
          <w:rFonts w:ascii="FrankRuehl" w:hAnsi="FrankRuehl" w:cs="FrankRuehl"/>
          <w:color w:val="0000FF"/>
          <w:u w:val="single"/>
          <w:rtl/>
        </w:rPr>
        <w:t xml:space="preserve">, </w:t>
      </w:r>
      <w:hyperlink r:id="rId20" w:history="1">
        <w:r w:rsidRPr="0045437A">
          <w:rPr>
            <w:rStyle w:val="Hyperlink"/>
            <w:rFonts w:ascii="FrankRuehl" w:hAnsi="FrankRuehl" w:cs="FrankRuehl"/>
          </w:rPr>
          <w:t>499(</w:t>
        </w:r>
        <w:r w:rsidRPr="0045437A">
          <w:rPr>
            <w:rStyle w:val="Hyperlink"/>
            <w:rFonts w:ascii="FrankRuehl" w:hAnsi="FrankRuehl" w:cs="FrankRuehl"/>
            <w:rtl/>
          </w:rPr>
          <w:t>א)(1</w:t>
        </w:r>
        <w:r w:rsidRPr="0045437A">
          <w:rPr>
            <w:rStyle w:val="Hyperlink"/>
            <w:rFonts w:ascii="FrankRuehl" w:hAnsi="FrankRuehl" w:cs="FrankRuehl"/>
          </w:rPr>
          <w:t>)</w:t>
        </w:r>
      </w:hyperlink>
    </w:p>
    <w:p w14:paraId="4E06EF1D" w14:textId="77777777" w:rsidR="0045437A" w:rsidRPr="0045437A" w:rsidRDefault="0045437A" w:rsidP="0045437A">
      <w:pPr>
        <w:spacing w:after="120" w:line="240" w:lineRule="exact"/>
        <w:ind w:left="283" w:hanging="283"/>
        <w:jc w:val="both"/>
        <w:rPr>
          <w:rFonts w:ascii="FrankRuehl" w:hAnsi="FrankRuehl" w:cs="FrankRuehl"/>
          <w:color w:val="0000FF"/>
          <w:u w:val="single"/>
          <w:rtl/>
        </w:rPr>
      </w:pPr>
      <w:hyperlink r:id="rId21" w:history="1">
        <w:r w:rsidRPr="0045437A">
          <w:rPr>
            <w:rStyle w:val="Hyperlink"/>
            <w:rFonts w:ascii="FrankRuehl" w:hAnsi="FrankRuehl" w:cs="FrankRuehl"/>
            <w:rtl/>
          </w:rPr>
          <w:t>פקודת הסמים המסוכנים [נוסח חדש], תשל"ג-1973</w:t>
        </w:r>
      </w:hyperlink>
      <w:r w:rsidRPr="0045437A">
        <w:rPr>
          <w:rFonts w:ascii="FrankRuehl" w:hAnsi="FrankRuehl" w:cs="FrankRuehl"/>
          <w:color w:val="0000FF"/>
          <w:u w:val="single"/>
          <w:rtl/>
        </w:rPr>
        <w:t xml:space="preserve">: סע'  </w:t>
      </w:r>
      <w:hyperlink r:id="rId22" w:history="1">
        <w:r w:rsidRPr="0045437A">
          <w:rPr>
            <w:rStyle w:val="Hyperlink"/>
            <w:rFonts w:ascii="FrankRuehl" w:hAnsi="FrankRuehl" w:cs="FrankRuehl"/>
          </w:rPr>
          <w:t>7(</w:t>
        </w:r>
        <w:r w:rsidRPr="0045437A">
          <w:rPr>
            <w:rStyle w:val="Hyperlink"/>
            <w:rFonts w:ascii="FrankRuehl" w:hAnsi="FrankRuehl" w:cs="FrankRuehl"/>
            <w:rtl/>
          </w:rPr>
          <w:t>א</w:t>
        </w:r>
        <w:r w:rsidRPr="0045437A">
          <w:rPr>
            <w:rStyle w:val="Hyperlink"/>
            <w:rFonts w:ascii="FrankRuehl" w:hAnsi="FrankRuehl" w:cs="FrankRuehl"/>
          </w:rPr>
          <w:t>)</w:t>
        </w:r>
      </w:hyperlink>
      <w:r w:rsidRPr="0045437A">
        <w:rPr>
          <w:rFonts w:ascii="FrankRuehl" w:hAnsi="FrankRuehl" w:cs="FrankRuehl"/>
          <w:color w:val="0000FF"/>
          <w:u w:val="single"/>
          <w:rtl/>
        </w:rPr>
        <w:t xml:space="preserve">, </w:t>
      </w:r>
      <w:hyperlink r:id="rId23" w:history="1">
        <w:r w:rsidRPr="0045437A">
          <w:rPr>
            <w:rStyle w:val="Hyperlink"/>
            <w:rFonts w:ascii="FrankRuehl" w:hAnsi="FrankRuehl" w:cs="FrankRuehl"/>
          </w:rPr>
          <w:t>7(</w:t>
        </w:r>
        <w:r w:rsidRPr="0045437A">
          <w:rPr>
            <w:rStyle w:val="Hyperlink"/>
            <w:rFonts w:ascii="FrankRuehl" w:hAnsi="FrankRuehl" w:cs="FrankRuehl"/>
            <w:rtl/>
          </w:rPr>
          <w:t>ג</w:t>
        </w:r>
        <w:r w:rsidRPr="0045437A">
          <w:rPr>
            <w:rStyle w:val="Hyperlink"/>
            <w:rFonts w:ascii="FrankRuehl" w:hAnsi="FrankRuehl" w:cs="FrankRuehl"/>
          </w:rPr>
          <w:t>)</w:t>
        </w:r>
      </w:hyperlink>
      <w:r w:rsidRPr="0045437A">
        <w:rPr>
          <w:rFonts w:ascii="FrankRuehl" w:hAnsi="FrankRuehl" w:cs="FrankRuehl"/>
          <w:color w:val="0000FF"/>
          <w:u w:val="single"/>
          <w:rtl/>
        </w:rPr>
        <w:t xml:space="preserve">, </w:t>
      </w:r>
      <w:hyperlink r:id="rId24" w:history="1">
        <w:r w:rsidRPr="0045437A">
          <w:rPr>
            <w:rStyle w:val="Hyperlink"/>
            <w:rFonts w:ascii="FrankRuehl" w:hAnsi="FrankRuehl" w:cs="FrankRuehl"/>
          </w:rPr>
          <w:t>13</w:t>
        </w:r>
      </w:hyperlink>
      <w:r w:rsidRPr="0045437A">
        <w:rPr>
          <w:rFonts w:ascii="FrankRuehl" w:hAnsi="FrankRuehl" w:cs="FrankRuehl"/>
          <w:color w:val="0000FF"/>
          <w:u w:val="single"/>
          <w:rtl/>
        </w:rPr>
        <w:t xml:space="preserve">, </w:t>
      </w:r>
      <w:hyperlink r:id="rId25" w:history="1">
        <w:r w:rsidRPr="0045437A">
          <w:rPr>
            <w:rStyle w:val="Hyperlink"/>
            <w:rFonts w:ascii="FrankRuehl" w:hAnsi="FrankRuehl" w:cs="FrankRuehl"/>
          </w:rPr>
          <w:t>19.</w:t>
        </w:r>
        <w:r w:rsidRPr="0045437A">
          <w:rPr>
            <w:rStyle w:val="Hyperlink"/>
            <w:rFonts w:ascii="FrankRuehl" w:hAnsi="FrankRuehl" w:cs="FrankRuehl"/>
            <w:rtl/>
          </w:rPr>
          <w:t>א</w:t>
        </w:r>
      </w:hyperlink>
      <w:r w:rsidRPr="0045437A">
        <w:rPr>
          <w:rFonts w:ascii="FrankRuehl" w:hAnsi="FrankRuehl" w:cs="FrankRuehl"/>
          <w:color w:val="0000FF"/>
          <w:u w:val="single"/>
          <w:rtl/>
        </w:rPr>
        <w:t xml:space="preserve">, </w:t>
      </w:r>
      <w:hyperlink r:id="rId26" w:history="1">
        <w:r w:rsidRPr="0045437A">
          <w:rPr>
            <w:rStyle w:val="Hyperlink"/>
            <w:rFonts w:ascii="FrankRuehl" w:hAnsi="FrankRuehl" w:cs="FrankRuehl"/>
          </w:rPr>
          <w:t>37</w:t>
        </w:r>
        <w:r w:rsidRPr="0045437A">
          <w:rPr>
            <w:rStyle w:val="Hyperlink"/>
            <w:rFonts w:ascii="FrankRuehl" w:hAnsi="FrankRuehl" w:cs="FrankRuehl"/>
            <w:rtl/>
          </w:rPr>
          <w:t>א</w:t>
        </w:r>
      </w:hyperlink>
      <w:r w:rsidRPr="0045437A">
        <w:rPr>
          <w:rFonts w:ascii="FrankRuehl" w:hAnsi="FrankRuehl" w:cs="FrankRuehl"/>
          <w:color w:val="0000FF"/>
          <w:u w:val="single"/>
          <w:rtl/>
        </w:rPr>
        <w:t xml:space="preserve">, </w:t>
      </w:r>
      <w:hyperlink r:id="rId27" w:history="1">
        <w:r w:rsidRPr="0045437A">
          <w:rPr>
            <w:rStyle w:val="Hyperlink"/>
            <w:rFonts w:ascii="FrankRuehl" w:hAnsi="FrankRuehl" w:cs="FrankRuehl"/>
          </w:rPr>
          <w:t>10</w:t>
        </w:r>
        <w:r w:rsidRPr="0045437A">
          <w:rPr>
            <w:rStyle w:val="Hyperlink"/>
            <w:rFonts w:ascii="FrankRuehl" w:hAnsi="FrankRuehl" w:cs="FrankRuehl"/>
            <w:rtl/>
          </w:rPr>
          <w:t>א</w:t>
        </w:r>
      </w:hyperlink>
    </w:p>
    <w:p w14:paraId="7B100FF0" w14:textId="77777777" w:rsidR="0045437A" w:rsidRPr="0045437A" w:rsidRDefault="0045437A" w:rsidP="0045437A">
      <w:pPr>
        <w:spacing w:after="120" w:line="240" w:lineRule="exact"/>
        <w:ind w:left="283" w:hanging="283"/>
        <w:jc w:val="both"/>
        <w:rPr>
          <w:rFonts w:ascii="FrankRuehl" w:hAnsi="FrankRuehl" w:cs="FrankRuehl"/>
          <w:rtl/>
        </w:rPr>
      </w:pPr>
    </w:p>
    <w:p w14:paraId="32405350" w14:textId="77777777" w:rsidR="0045437A" w:rsidRPr="0045437A" w:rsidRDefault="0045437A" w:rsidP="008D4222">
      <w:pPr>
        <w:rPr>
          <w:rFonts w:ascii="Arial" w:hAnsi="Arial"/>
          <w:sz w:val="26"/>
          <w:szCs w:val="26"/>
          <w:rtl/>
        </w:rPr>
      </w:pPr>
      <w:bookmarkStart w:id="4" w:name="LawTable_End"/>
      <w:bookmarkEnd w:id="4"/>
    </w:p>
    <w:p w14:paraId="68C8F7E8" w14:textId="77777777" w:rsidR="008D4222" w:rsidRPr="008D4222" w:rsidRDefault="008D4222" w:rsidP="008D4222">
      <w:pPr>
        <w:rPr>
          <w:rFonts w:ascii="Arial" w:hAnsi="Arial"/>
          <w:sz w:val="26"/>
          <w:szCs w:val="26"/>
          <w:rtl/>
        </w:rPr>
      </w:pPr>
    </w:p>
    <w:p w14:paraId="00DB62F1" w14:textId="77777777" w:rsidR="00813463" w:rsidRPr="008D4222" w:rsidRDefault="00813463" w:rsidP="00813463">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13463" w14:paraId="50B0474E" w14:textId="77777777" w:rsidTr="00813463">
        <w:trPr>
          <w:trHeight w:val="624"/>
          <w:jc w:val="center"/>
        </w:trPr>
        <w:tc>
          <w:tcPr>
            <w:tcW w:w="8820" w:type="dxa"/>
            <w:tcBorders>
              <w:top w:val="nil"/>
              <w:left w:val="nil"/>
              <w:bottom w:val="nil"/>
              <w:right w:val="nil"/>
            </w:tcBorders>
            <w:shd w:val="clear" w:color="auto" w:fill="auto"/>
            <w:vAlign w:val="center"/>
          </w:tcPr>
          <w:p w14:paraId="7B6F5AFD" w14:textId="77777777" w:rsidR="008D4222" w:rsidRPr="008D4222" w:rsidRDefault="008D4222" w:rsidP="008D4222">
            <w:pPr>
              <w:jc w:val="center"/>
              <w:rPr>
                <w:rFonts w:ascii="David" w:hAnsi="David"/>
                <w:b/>
                <w:bCs/>
                <w:sz w:val="32"/>
                <w:szCs w:val="32"/>
                <w:u w:val="single"/>
                <w:rtl/>
              </w:rPr>
            </w:pPr>
            <w:bookmarkStart w:id="5" w:name="PsakDin" w:colFirst="0" w:colLast="0"/>
            <w:bookmarkEnd w:id="0"/>
            <w:r w:rsidRPr="008D4222">
              <w:rPr>
                <w:rFonts w:ascii="David" w:hAnsi="David"/>
                <w:b/>
                <w:bCs/>
                <w:sz w:val="32"/>
                <w:szCs w:val="32"/>
                <w:u w:val="single"/>
                <w:rtl/>
              </w:rPr>
              <w:t>גזר דין</w:t>
            </w:r>
          </w:p>
          <w:p w14:paraId="7A0298E3" w14:textId="77777777" w:rsidR="00813463" w:rsidRPr="008D4222" w:rsidRDefault="00813463" w:rsidP="008D4222">
            <w:pPr>
              <w:jc w:val="center"/>
              <w:rPr>
                <w:rFonts w:ascii="David" w:hAnsi="David"/>
                <w:bCs/>
                <w:sz w:val="32"/>
                <w:szCs w:val="32"/>
                <w:u w:val="single"/>
              </w:rPr>
            </w:pPr>
          </w:p>
        </w:tc>
      </w:tr>
      <w:bookmarkEnd w:id="5"/>
    </w:tbl>
    <w:p w14:paraId="15AC6B82" w14:textId="77777777" w:rsidR="00813463" w:rsidRDefault="00813463" w:rsidP="00813463">
      <w:pPr>
        <w:rPr>
          <w:rFonts w:ascii="Arial" w:hAnsi="Arial"/>
          <w:b/>
          <w:bCs/>
          <w:sz w:val="26"/>
          <w:szCs w:val="26"/>
          <w:rtl/>
        </w:rPr>
      </w:pPr>
    </w:p>
    <w:p w14:paraId="12A50A7C" w14:textId="77777777" w:rsidR="00813463" w:rsidRDefault="00813463" w:rsidP="00813463">
      <w:pPr>
        <w:spacing w:line="360" w:lineRule="auto"/>
        <w:jc w:val="both"/>
        <w:rPr>
          <w:rFonts w:ascii="Arial" w:hAnsi="Arial"/>
          <w:b/>
          <w:bCs/>
          <w:sz w:val="26"/>
          <w:szCs w:val="26"/>
          <w:rtl/>
        </w:rPr>
      </w:pPr>
      <w:r>
        <w:rPr>
          <w:rFonts w:ascii="Arial" w:hAnsi="Arial"/>
          <w:b/>
          <w:bCs/>
          <w:sz w:val="26"/>
          <w:szCs w:val="26"/>
          <w:rtl/>
        </w:rPr>
        <w:t>כתב האישום, הכרעת הדין, הסדר הטיעון והשתלשלות העניינים בתיק</w:t>
      </w:r>
    </w:p>
    <w:p w14:paraId="608FE99F" w14:textId="77777777" w:rsidR="00813463" w:rsidRDefault="00813463" w:rsidP="00813463">
      <w:pPr>
        <w:pStyle w:val="a9"/>
        <w:numPr>
          <w:ilvl w:val="0"/>
          <w:numId w:val="2"/>
        </w:numPr>
        <w:spacing w:line="360" w:lineRule="auto"/>
        <w:contextualSpacing w:val="0"/>
        <w:jc w:val="both"/>
        <w:rPr>
          <w:rFonts w:ascii="Arial" w:hAnsi="Arial"/>
        </w:rPr>
      </w:pPr>
      <w:bookmarkStart w:id="6" w:name="ABSTRACT_START"/>
      <w:bookmarkEnd w:id="6"/>
      <w:r>
        <w:rPr>
          <w:rFonts w:ascii="Arial" w:hAnsi="Arial"/>
          <w:rtl/>
        </w:rPr>
        <w:t xml:space="preserve">הנאשם הורשע על פי הודאתו בעובדות כתב אישום מתוקן (להלן: </w:t>
      </w:r>
      <w:r>
        <w:rPr>
          <w:rFonts w:ascii="David" w:hAnsi="David"/>
          <w:b/>
          <w:bCs/>
          <w:rtl/>
        </w:rPr>
        <w:t>כתב האישום</w:t>
      </w:r>
      <w:r>
        <w:rPr>
          <w:rFonts w:ascii="Arial" w:hAnsi="Arial"/>
          <w:rtl/>
        </w:rPr>
        <w:t>), ב</w:t>
      </w:r>
      <w:r>
        <w:rPr>
          <w:rtl/>
        </w:rPr>
        <w:t>-</w:t>
      </w:r>
      <w:r>
        <w:rPr>
          <w:b/>
          <w:bCs/>
          <w:rtl/>
        </w:rPr>
        <w:t>קשירת קשר לפשע</w:t>
      </w:r>
      <w:r>
        <w:rPr>
          <w:rtl/>
        </w:rPr>
        <w:t xml:space="preserve">, בהתאם </w:t>
      </w:r>
      <w:hyperlink r:id="rId28" w:history="1">
        <w:r w:rsidR="00BB19B9" w:rsidRPr="00BB19B9">
          <w:rPr>
            <w:rStyle w:val="Hyperlink"/>
            <w:color w:val="0000FF"/>
            <w:rtl/>
          </w:rPr>
          <w:t>לסעיף 499(א)(1)</w:t>
        </w:r>
      </w:hyperlink>
      <w:r>
        <w:rPr>
          <w:rtl/>
        </w:rPr>
        <w:t xml:space="preserve"> ל-</w:t>
      </w:r>
      <w:hyperlink r:id="rId29" w:history="1">
        <w:r w:rsidR="008D4222" w:rsidRPr="008D4222">
          <w:rPr>
            <w:rFonts w:ascii="Miriam" w:hAnsi="Miriam" w:cs="Miriam"/>
            <w:b/>
            <w:bCs/>
            <w:color w:val="0000FF"/>
            <w:sz w:val="18"/>
            <w:szCs w:val="22"/>
            <w:u w:val="single"/>
            <w:rtl/>
          </w:rPr>
          <w:t>חוק העונשין</w:t>
        </w:r>
      </w:hyperlink>
      <w:r>
        <w:rPr>
          <w:rtl/>
        </w:rPr>
        <w:t xml:space="preserve">, התשל"ז-1977 (להלן: </w:t>
      </w:r>
      <w:r>
        <w:rPr>
          <w:rFonts w:ascii="Miriam" w:hAnsi="Miriam" w:cs="Miriam"/>
          <w:b/>
          <w:bCs/>
          <w:sz w:val="18"/>
          <w:szCs w:val="22"/>
          <w:rtl/>
        </w:rPr>
        <w:t>חוק העונשין</w:t>
      </w:r>
      <w:r>
        <w:rPr>
          <w:rtl/>
        </w:rPr>
        <w:t xml:space="preserve">), 14 עבירות סחר בסם מסוכן, בהתאם לסעיפים </w:t>
      </w:r>
      <w:hyperlink r:id="rId30" w:history="1">
        <w:r w:rsidR="00BB19B9" w:rsidRPr="00BB19B9">
          <w:rPr>
            <w:rStyle w:val="Hyperlink"/>
            <w:color w:val="0000FF"/>
            <w:rtl/>
          </w:rPr>
          <w:t>13 ו-19א</w:t>
        </w:r>
      </w:hyperlink>
      <w:r>
        <w:rPr>
          <w:rtl/>
        </w:rPr>
        <w:t xml:space="preserve"> ל-</w:t>
      </w:r>
      <w:hyperlink r:id="rId31" w:history="1">
        <w:r w:rsidR="008D4222" w:rsidRPr="008D4222">
          <w:rPr>
            <w:rFonts w:ascii="Miriam" w:hAnsi="Miriam" w:cs="Miriam"/>
            <w:b/>
            <w:bCs/>
            <w:color w:val="0000FF"/>
            <w:sz w:val="18"/>
            <w:szCs w:val="22"/>
            <w:u w:val="single"/>
            <w:rtl/>
          </w:rPr>
          <w:t>פקודת הסמים המסוכנים</w:t>
        </w:r>
      </w:hyperlink>
      <w:r>
        <w:rPr>
          <w:rFonts w:ascii="Miriam" w:hAnsi="Miriam" w:cs="Miriam"/>
          <w:b/>
          <w:bCs/>
          <w:sz w:val="18"/>
          <w:szCs w:val="22"/>
          <w:rtl/>
        </w:rPr>
        <w:t xml:space="preserve"> [נוסח חדש]</w:t>
      </w:r>
      <w:r>
        <w:rPr>
          <w:rtl/>
        </w:rPr>
        <w:t xml:space="preserve">, התשל"ג-1973 (להלן: </w:t>
      </w:r>
      <w:r>
        <w:rPr>
          <w:rFonts w:cs="Miriam"/>
          <w:b/>
          <w:bCs/>
          <w:sz w:val="22"/>
          <w:szCs w:val="22"/>
          <w:rtl/>
        </w:rPr>
        <w:t>פקודת הסמים</w:t>
      </w:r>
      <w:r>
        <w:rPr>
          <w:rFonts w:ascii="Arial" w:hAnsi="Arial"/>
          <w:rtl/>
        </w:rPr>
        <w:t xml:space="preserve">) החזקת סמים שלא לצריכה עצמית, בהתאם </w:t>
      </w:r>
      <w:hyperlink r:id="rId32" w:history="1">
        <w:r w:rsidR="00BB19B9" w:rsidRPr="00BB19B9">
          <w:rPr>
            <w:rStyle w:val="Hyperlink"/>
            <w:rFonts w:ascii="Arial" w:hAnsi="Arial"/>
            <w:color w:val="0000FF"/>
            <w:rtl/>
          </w:rPr>
          <w:t>לסעיפים 7(א)</w:t>
        </w:r>
      </w:hyperlink>
      <w:r>
        <w:rPr>
          <w:rFonts w:ascii="Arial" w:hAnsi="Arial"/>
          <w:rtl/>
        </w:rPr>
        <w:t xml:space="preserve"> ו-</w:t>
      </w:r>
      <w:hyperlink r:id="rId33" w:history="1">
        <w:r w:rsidR="00BB19B9" w:rsidRPr="00BB19B9">
          <w:rPr>
            <w:rStyle w:val="Hyperlink"/>
            <w:rFonts w:ascii="Arial" w:hAnsi="Arial"/>
            <w:color w:val="0000FF"/>
            <w:rtl/>
          </w:rPr>
          <w:t>7(ג)</w:t>
        </w:r>
      </w:hyperlink>
      <w:r>
        <w:rPr>
          <w:rFonts w:ascii="Arial" w:hAnsi="Arial"/>
          <w:rtl/>
        </w:rPr>
        <w:t xml:space="preserve"> רישא ל-</w:t>
      </w:r>
      <w:r>
        <w:rPr>
          <w:rFonts w:ascii="Miriam" w:hAnsi="Miriam" w:cs="Miriam"/>
          <w:b/>
          <w:bCs/>
          <w:sz w:val="18"/>
          <w:szCs w:val="22"/>
          <w:rtl/>
        </w:rPr>
        <w:t>פקודת הסמים</w:t>
      </w:r>
      <w:r>
        <w:rPr>
          <w:rFonts w:ascii="Arial" w:hAnsi="Arial"/>
          <w:b/>
          <w:bCs/>
          <w:rtl/>
        </w:rPr>
        <w:t>.</w:t>
      </w:r>
    </w:p>
    <w:p w14:paraId="0C0269E8" w14:textId="77777777" w:rsidR="00813463" w:rsidRDefault="00813463" w:rsidP="00813463">
      <w:pPr>
        <w:pStyle w:val="a9"/>
        <w:numPr>
          <w:ilvl w:val="0"/>
          <w:numId w:val="2"/>
        </w:numPr>
        <w:spacing w:before="240" w:line="360" w:lineRule="auto"/>
        <w:ind w:left="357" w:hanging="357"/>
        <w:contextualSpacing w:val="0"/>
        <w:jc w:val="both"/>
        <w:rPr>
          <w:rFonts w:ascii="Arial" w:hAnsi="Arial"/>
        </w:rPr>
      </w:pPr>
      <w:bookmarkStart w:id="7" w:name="ABSTRACT_END"/>
      <w:bookmarkEnd w:id="7"/>
      <w:r>
        <w:rPr>
          <w:rFonts w:ascii="Arial" w:hAnsi="Arial"/>
          <w:rtl/>
        </w:rPr>
        <w:t xml:space="preserve">על פי עובדות כתב האישום בהן הודה והורשע, </w:t>
      </w:r>
      <w:r>
        <w:rPr>
          <w:rFonts w:ascii="David" w:eastAsia="David" w:hAnsi="David"/>
          <w:rtl/>
        </w:rPr>
        <w:t xml:space="preserve">במועדים הרלוונטיים לכתב האישום קשר הנאשם קשר עם אבירן אבוקסיס (להלן: </w:t>
      </w:r>
      <w:r>
        <w:rPr>
          <w:rFonts w:ascii="David" w:eastAsia="David" w:hAnsi="David"/>
          <w:b/>
          <w:bCs/>
          <w:rtl/>
        </w:rPr>
        <w:t>אבירן</w:t>
      </w:r>
      <w:r>
        <w:rPr>
          <w:rFonts w:ascii="David" w:eastAsia="David" w:hAnsi="David"/>
          <w:rtl/>
        </w:rPr>
        <w:t xml:space="preserve">), שי הרמון (להלן: </w:t>
      </w:r>
      <w:r>
        <w:rPr>
          <w:rFonts w:ascii="David" w:eastAsia="David" w:hAnsi="David"/>
          <w:b/>
          <w:bCs/>
          <w:rtl/>
        </w:rPr>
        <w:t>שי</w:t>
      </w:r>
      <w:r>
        <w:rPr>
          <w:rFonts w:ascii="David" w:eastAsia="David" w:hAnsi="David"/>
          <w:rtl/>
        </w:rPr>
        <w:t xml:space="preserve">), בנימין סלמן (להלן: </w:t>
      </w:r>
      <w:r>
        <w:rPr>
          <w:rFonts w:ascii="David" w:eastAsia="David" w:hAnsi="David"/>
          <w:b/>
          <w:bCs/>
          <w:rtl/>
        </w:rPr>
        <w:t>בנימין</w:t>
      </w:r>
      <w:r>
        <w:rPr>
          <w:rFonts w:ascii="David" w:eastAsia="David" w:hAnsi="David"/>
          <w:rtl/>
        </w:rPr>
        <w:t xml:space="preserve">) ולירון גבאי (להלן: </w:t>
      </w:r>
      <w:r>
        <w:rPr>
          <w:rFonts w:ascii="David" w:eastAsia="David" w:hAnsi="David"/>
          <w:b/>
          <w:bCs/>
          <w:rtl/>
        </w:rPr>
        <w:t>לירון</w:t>
      </w:r>
      <w:r>
        <w:rPr>
          <w:rFonts w:ascii="David" w:eastAsia="David" w:hAnsi="David"/>
          <w:rtl/>
        </w:rPr>
        <w:t xml:space="preserve">) (אבירן, שי, בנימין ולירון יקראו להלן: </w:t>
      </w:r>
      <w:r>
        <w:rPr>
          <w:rFonts w:ascii="David" w:eastAsia="David" w:hAnsi="David"/>
          <w:b/>
          <w:bCs/>
          <w:rtl/>
        </w:rPr>
        <w:t>האחרים</w:t>
      </w:r>
      <w:r>
        <w:rPr>
          <w:rFonts w:ascii="David" w:eastAsia="David" w:hAnsi="David"/>
          <w:rtl/>
        </w:rPr>
        <w:t xml:space="preserve">) לסחור בסם מסוכן מסוג </w:t>
      </w:r>
      <w:r>
        <w:rPr>
          <w:rFonts w:ascii="David" w:hAnsi="David"/>
          <w:sz w:val="22"/>
          <w:szCs w:val="22"/>
          <w:lang w:eastAsia="he-IL"/>
        </w:rPr>
        <w:t>Methyl</w:t>
      </w:r>
      <w:r>
        <w:rPr>
          <w:rFonts w:ascii="David" w:hAnsi="David"/>
          <w:sz w:val="22"/>
          <w:szCs w:val="28"/>
          <w:lang w:eastAsia="he-IL"/>
        </w:rPr>
        <w:t>MethCathinone</w:t>
      </w:r>
      <w:r>
        <w:rPr>
          <w:rFonts w:ascii="David" w:eastAsia="David" w:hAnsi="David"/>
          <w:rtl/>
        </w:rPr>
        <w:t xml:space="preserve"> </w:t>
      </w:r>
      <w:r>
        <w:rPr>
          <w:rFonts w:ascii="David" w:eastAsia="David" w:hAnsi="David" w:hint="cs"/>
          <w:rtl/>
        </w:rPr>
        <w:t xml:space="preserve">(להלן: </w:t>
      </w:r>
      <w:r>
        <w:rPr>
          <w:rFonts w:ascii="David" w:eastAsia="David" w:hAnsi="David"/>
          <w:b/>
          <w:bCs/>
          <w:sz w:val="22"/>
          <w:szCs w:val="22"/>
        </w:rPr>
        <w:t>MMC</w:t>
      </w:r>
      <w:r>
        <w:rPr>
          <w:rFonts w:ascii="David" w:eastAsia="David" w:hAnsi="David"/>
          <w:rtl/>
        </w:rPr>
        <w:t xml:space="preserve"> או </w:t>
      </w:r>
      <w:r>
        <w:rPr>
          <w:rFonts w:ascii="David" w:eastAsia="David" w:hAnsi="David"/>
          <w:b/>
          <w:bCs/>
          <w:rtl/>
        </w:rPr>
        <w:t>הסם</w:t>
      </w:r>
      <w:r>
        <w:rPr>
          <w:rFonts w:ascii="David" w:eastAsia="David" w:hAnsi="David"/>
          <w:rtl/>
        </w:rPr>
        <w:t>), אותו כינו "</w:t>
      </w:r>
      <w:r>
        <w:rPr>
          <w:rFonts w:ascii="David" w:eastAsia="David" w:hAnsi="David"/>
          <w:b/>
          <w:bCs/>
          <w:rtl/>
        </w:rPr>
        <w:t>הדוקטור</w:t>
      </w:r>
      <w:r>
        <w:rPr>
          <w:rFonts w:ascii="David" w:eastAsia="David" w:hAnsi="David"/>
          <w:rtl/>
        </w:rPr>
        <w:t xml:space="preserve">". במסגרת הקשר, שי ואבירן ניהלו את הרשת, הנאשם היה דרג ביניים תחתיהם ותחתיו היו בני ולירון. </w:t>
      </w:r>
    </w:p>
    <w:p w14:paraId="53A5A765" w14:textId="77777777" w:rsidR="00813463" w:rsidRDefault="00813463" w:rsidP="00813463">
      <w:pPr>
        <w:pStyle w:val="a9"/>
        <w:spacing w:before="60" w:line="360" w:lineRule="auto"/>
        <w:ind w:left="357"/>
        <w:contextualSpacing w:val="0"/>
        <w:jc w:val="both"/>
        <w:rPr>
          <w:rFonts w:ascii="Arial" w:hAnsi="Arial"/>
        </w:rPr>
      </w:pPr>
      <w:r>
        <w:rPr>
          <w:rFonts w:ascii="David" w:eastAsia="David" w:hAnsi="David"/>
          <w:rtl/>
        </w:rPr>
        <w:t xml:space="preserve">הנאשם והאחרים החזיקו שני טלפונים ניידים (להלן: </w:t>
      </w:r>
      <w:r>
        <w:rPr>
          <w:rFonts w:ascii="David" w:eastAsia="David" w:hAnsi="David"/>
          <w:b/>
          <w:bCs/>
          <w:rtl/>
        </w:rPr>
        <w:t>הטלפון המבצעי</w:t>
      </w:r>
      <w:r>
        <w:rPr>
          <w:rFonts w:ascii="David" w:eastAsia="David" w:hAnsi="David"/>
          <w:rtl/>
        </w:rPr>
        <w:t xml:space="preserve"> ו-</w:t>
      </w:r>
      <w:r>
        <w:rPr>
          <w:rFonts w:ascii="David" w:eastAsia="David" w:hAnsi="David"/>
          <w:b/>
          <w:bCs/>
          <w:rtl/>
        </w:rPr>
        <w:t>טלפון מבצעי 1</w:t>
      </w:r>
      <w:r>
        <w:rPr>
          <w:rFonts w:ascii="David" w:eastAsia="David" w:hAnsi="David"/>
          <w:rtl/>
        </w:rPr>
        <w:t xml:space="preserve">). בטלפונים האלה תיאמו הנאשם והאחרים אחד עם השני ועם הלקוחות את מכירת הסם. </w:t>
      </w:r>
    </w:p>
    <w:p w14:paraId="1513BDC9" w14:textId="77777777" w:rsidR="00813463" w:rsidRDefault="00813463" w:rsidP="00813463">
      <w:pPr>
        <w:pStyle w:val="a9"/>
        <w:spacing w:before="60" w:line="360" w:lineRule="auto"/>
        <w:ind w:left="357"/>
        <w:contextualSpacing w:val="0"/>
        <w:jc w:val="both"/>
        <w:rPr>
          <w:rFonts w:ascii="Arial" w:hAnsi="Arial"/>
          <w:rtl/>
        </w:rPr>
      </w:pPr>
      <w:r>
        <w:rPr>
          <w:rFonts w:ascii="David" w:eastAsia="David" w:hAnsi="David"/>
          <w:rtl/>
        </w:rPr>
        <w:lastRenderedPageBreak/>
        <w:t>במסגרת הקשר פתחו הנאשם והאחרים קבוצה באפליקציית ווטסאפ בשם "</w:t>
      </w:r>
      <w:r>
        <w:rPr>
          <w:rFonts w:ascii="David" w:eastAsia="David" w:hAnsi="David"/>
          <w:b/>
          <w:bCs/>
          <w:rtl/>
        </w:rPr>
        <w:t>דלדא</w:t>
      </w:r>
      <w:r>
        <w:rPr>
          <w:rFonts w:ascii="David" w:eastAsia="David" w:hAnsi="David"/>
          <w:rtl/>
        </w:rPr>
        <w:t xml:space="preserve">" (להלן: </w:t>
      </w:r>
      <w:r>
        <w:rPr>
          <w:rFonts w:ascii="David" w:eastAsia="David" w:hAnsi="David"/>
          <w:b/>
          <w:bCs/>
          <w:rtl/>
        </w:rPr>
        <w:t>דלדא</w:t>
      </w:r>
      <w:r>
        <w:rPr>
          <w:rFonts w:ascii="David" w:eastAsia="David" w:hAnsi="David"/>
          <w:rtl/>
        </w:rPr>
        <w:t xml:space="preserve">), בה התכתבו לגבי מכירות הסם. שי נתן הוראות ומי שהחזיק באותו זמן את הטלפון המבצעי או טלפון מבצעי 1 היה מגיב. </w:t>
      </w:r>
    </w:p>
    <w:p w14:paraId="316497AB" w14:textId="77777777" w:rsidR="00813463" w:rsidRDefault="00813463" w:rsidP="00813463">
      <w:pPr>
        <w:pStyle w:val="a9"/>
        <w:spacing w:before="60" w:line="360" w:lineRule="auto"/>
        <w:ind w:left="357"/>
        <w:contextualSpacing w:val="0"/>
        <w:jc w:val="both"/>
        <w:rPr>
          <w:rFonts w:ascii="Arial" w:hAnsi="Arial"/>
        </w:rPr>
      </w:pPr>
      <w:r>
        <w:rPr>
          <w:rFonts w:ascii="David" w:eastAsia="David" w:hAnsi="David"/>
          <w:rtl/>
        </w:rPr>
        <w:t>במסגרת הקשר עשו השותפים שימוש בשמות קוד, כך שמשמעות המילה "</w:t>
      </w:r>
      <w:r>
        <w:rPr>
          <w:rFonts w:ascii="David" w:eastAsia="David" w:hAnsi="David"/>
          <w:b/>
          <w:bCs/>
          <w:rtl/>
        </w:rPr>
        <w:t>נייר</w:t>
      </w:r>
      <w:r>
        <w:rPr>
          <w:rFonts w:ascii="David" w:eastAsia="David" w:hAnsi="David"/>
          <w:rtl/>
        </w:rPr>
        <w:t>" היא כסף, משמעות המילה "</w:t>
      </w:r>
      <w:r>
        <w:rPr>
          <w:rFonts w:ascii="David" w:eastAsia="David" w:hAnsi="David"/>
          <w:b/>
          <w:bCs/>
          <w:rtl/>
        </w:rPr>
        <w:t>חולצה</w:t>
      </w:r>
      <w:r>
        <w:rPr>
          <w:rFonts w:ascii="David" w:eastAsia="David" w:hAnsi="David"/>
          <w:rtl/>
        </w:rPr>
        <w:t xml:space="preserve">" היא מנת הסם, שהכילה בין 0.8 ל-0.9 גרם </w:t>
      </w:r>
      <w:r>
        <w:rPr>
          <w:rFonts w:ascii="David" w:eastAsia="David" w:hAnsi="David"/>
          <w:sz w:val="22"/>
          <w:szCs w:val="22"/>
        </w:rPr>
        <w:t>MMC</w:t>
      </w:r>
      <w:r>
        <w:rPr>
          <w:rFonts w:ascii="David" w:eastAsia="David" w:hAnsi="David"/>
          <w:rtl/>
        </w:rPr>
        <w:t>, משמעות המילה "</w:t>
      </w:r>
      <w:r>
        <w:rPr>
          <w:rFonts w:ascii="David" w:eastAsia="David" w:hAnsi="David"/>
          <w:b/>
          <w:bCs/>
          <w:rtl/>
        </w:rPr>
        <w:t>גוש</w:t>
      </w:r>
      <w:r>
        <w:rPr>
          <w:rFonts w:ascii="David" w:eastAsia="David" w:hAnsi="David"/>
          <w:rtl/>
        </w:rPr>
        <w:t>" היא מנה גדולה יותר של הסם, משמעות המילה "</w:t>
      </w:r>
      <w:r>
        <w:rPr>
          <w:rFonts w:ascii="David" w:eastAsia="David" w:hAnsi="David"/>
          <w:b/>
          <w:bCs/>
          <w:rtl/>
        </w:rPr>
        <w:t>ללא</w:t>
      </w:r>
      <w:r>
        <w:rPr>
          <w:rFonts w:ascii="David" w:eastAsia="David" w:hAnsi="David"/>
          <w:rtl/>
        </w:rPr>
        <w:t>" היא כאשר לא משלמים כסף על הסם, אלא נותנים הוראת קרדיט והסם כונה "</w:t>
      </w:r>
      <w:r>
        <w:rPr>
          <w:rFonts w:ascii="David" w:eastAsia="David" w:hAnsi="David"/>
          <w:b/>
          <w:bCs/>
          <w:rtl/>
        </w:rPr>
        <w:t>הדוקטור</w:t>
      </w:r>
      <w:r>
        <w:rPr>
          <w:rFonts w:ascii="David" w:eastAsia="David" w:hAnsi="David"/>
          <w:rtl/>
        </w:rPr>
        <w:t xml:space="preserve">". </w:t>
      </w:r>
    </w:p>
    <w:p w14:paraId="7B1B582E" w14:textId="77777777" w:rsidR="00813463" w:rsidRDefault="00813463" w:rsidP="00813463">
      <w:pPr>
        <w:pStyle w:val="a9"/>
        <w:spacing w:before="60" w:line="360" w:lineRule="auto"/>
        <w:ind w:left="357"/>
        <w:contextualSpacing w:val="0"/>
        <w:jc w:val="both"/>
        <w:rPr>
          <w:rFonts w:ascii="David" w:eastAsia="David" w:hAnsi="David"/>
        </w:rPr>
      </w:pPr>
      <w:r>
        <w:rPr>
          <w:rFonts w:ascii="David" w:eastAsia="David" w:hAnsi="David"/>
          <w:rtl/>
        </w:rPr>
        <w:t xml:space="preserve">ב-26.6.21 או בסמוך למועד זה הסתכסכו שי ואבירן ובעקבות כך, הנאשם, שי, בני ולירון עזבו את הרשת בה היה אבירן והפעילו רשת חדשה, שפעלה בדומה לרשת הקודמת, עשו בה שימוש באותם שמות קוד והשתמשו רק בטלפון המבצעי (להלן: </w:t>
      </w:r>
      <w:r>
        <w:rPr>
          <w:rFonts w:ascii="David" w:eastAsia="David" w:hAnsi="David"/>
          <w:b/>
          <w:bCs/>
          <w:rtl/>
        </w:rPr>
        <w:t>הרשת החדשה</w:t>
      </w:r>
      <w:r>
        <w:rPr>
          <w:rFonts w:ascii="David" w:eastAsia="David" w:hAnsi="David"/>
          <w:rtl/>
        </w:rPr>
        <w:t xml:space="preserve">). </w:t>
      </w:r>
    </w:p>
    <w:p w14:paraId="6312CD7A" w14:textId="77777777" w:rsidR="00813463" w:rsidRDefault="00813463" w:rsidP="00813463">
      <w:pPr>
        <w:pStyle w:val="a9"/>
        <w:spacing w:before="60" w:line="360" w:lineRule="auto"/>
        <w:ind w:left="357"/>
        <w:contextualSpacing w:val="0"/>
        <w:jc w:val="both"/>
        <w:rPr>
          <w:rFonts w:ascii="David" w:eastAsia="David" w:hAnsi="David"/>
          <w:rtl/>
        </w:rPr>
      </w:pPr>
      <w:r>
        <w:rPr>
          <w:rFonts w:ascii="David" w:eastAsia="David" w:hAnsi="David"/>
          <w:rtl/>
        </w:rPr>
        <w:t xml:space="preserve">במסגרת הרשת החדשה שכרו הנאשם, שי, בני ולירון יחידת דיור ברחוב חצב 22 בבאר-שבע (להלן: </w:t>
      </w:r>
      <w:r>
        <w:rPr>
          <w:rFonts w:ascii="David" w:eastAsia="David" w:hAnsi="David"/>
          <w:b/>
          <w:bCs/>
          <w:rtl/>
        </w:rPr>
        <w:t>הדירה</w:t>
      </w:r>
      <w:r>
        <w:rPr>
          <w:rFonts w:ascii="David" w:eastAsia="David" w:hAnsi="David"/>
          <w:rtl/>
        </w:rPr>
        <w:t xml:space="preserve">). לדירה הביאו את הסם על מנת לחלקו למנות וממנה נטלו את מנות הסם, כדי להפיצן ללקוחות. </w:t>
      </w:r>
    </w:p>
    <w:p w14:paraId="6361A965" w14:textId="77777777" w:rsidR="00813463" w:rsidRDefault="00813463" w:rsidP="00813463">
      <w:pPr>
        <w:pStyle w:val="a9"/>
        <w:spacing w:before="60" w:line="360" w:lineRule="auto"/>
        <w:ind w:left="357"/>
        <w:contextualSpacing w:val="0"/>
        <w:jc w:val="both"/>
        <w:rPr>
          <w:rFonts w:ascii="Arial" w:hAnsi="Arial"/>
          <w:rtl/>
        </w:rPr>
      </w:pPr>
      <w:r>
        <w:rPr>
          <w:rFonts w:ascii="David" w:eastAsia="David" w:hAnsi="David"/>
          <w:rtl/>
        </w:rPr>
        <w:t>במסגרת הרשת החדשה נפתחה קבוצה חדשה באפליקציית הווטסאפ בשם "</w:t>
      </w:r>
      <w:r>
        <w:rPr>
          <w:rFonts w:ascii="David" w:eastAsia="David" w:hAnsi="David"/>
          <w:b/>
          <w:bCs/>
          <w:rtl/>
        </w:rPr>
        <w:t>צוות הטיגריסים</w:t>
      </w:r>
      <w:r>
        <w:rPr>
          <w:rFonts w:ascii="David" w:eastAsia="David" w:hAnsi="David"/>
          <w:rtl/>
        </w:rPr>
        <w:t xml:space="preserve">", בה הנאשם, שי, בני, לירון והטלפון המבצעי, בה דיווחו על מכירות והעברות של כספים וסמים. </w:t>
      </w:r>
    </w:p>
    <w:p w14:paraId="34AC6CFF" w14:textId="77777777" w:rsidR="00813463" w:rsidRDefault="00813463" w:rsidP="00813463">
      <w:pPr>
        <w:pStyle w:val="a9"/>
        <w:numPr>
          <w:ilvl w:val="0"/>
          <w:numId w:val="2"/>
        </w:numPr>
        <w:spacing w:before="240" w:line="360" w:lineRule="auto"/>
        <w:ind w:left="357" w:hanging="357"/>
        <w:contextualSpacing w:val="0"/>
        <w:jc w:val="both"/>
        <w:rPr>
          <w:rFonts w:ascii="Arial" w:hAnsi="Arial"/>
        </w:rPr>
      </w:pPr>
      <w:r>
        <w:rPr>
          <w:rFonts w:ascii="Arial" w:hAnsi="Arial"/>
          <w:rtl/>
        </w:rPr>
        <w:t>במסגרת הרשת והרשת החדשה ביצע הנאשם את העבירות ב-15 אישומים כמפורט להלן:</w:t>
      </w:r>
    </w:p>
    <w:p w14:paraId="55DE3C4A" w14:textId="77777777" w:rsidR="00813463" w:rsidRDefault="00813463" w:rsidP="00813463">
      <w:pPr>
        <w:pStyle w:val="a9"/>
        <w:numPr>
          <w:ilvl w:val="0"/>
          <w:numId w:val="3"/>
        </w:numPr>
        <w:spacing w:before="60" w:line="360" w:lineRule="auto"/>
        <w:ind w:left="851" w:hanging="397"/>
        <w:contextualSpacing w:val="0"/>
        <w:jc w:val="both"/>
        <w:rPr>
          <w:rFonts w:ascii="David" w:eastAsia="David" w:hAnsi="David"/>
          <w:rtl/>
        </w:rPr>
      </w:pPr>
      <w:r>
        <w:rPr>
          <w:rFonts w:ascii="David" w:eastAsia="David" w:hAnsi="David"/>
          <w:u w:val="single"/>
          <w:rtl/>
        </w:rPr>
        <w:t>אישום 1</w:t>
      </w:r>
      <w:r>
        <w:rPr>
          <w:rFonts w:ascii="David" w:eastAsia="David" w:hAnsi="David"/>
          <w:rtl/>
        </w:rPr>
        <w:t xml:space="preserve"> - ב-29.3.21, בשעה 15:55 החלה שיחה בהודעות קוליות בקבוצת דלדא בין אבירן לנאשם, באמצעות טלפון מבצעי 1, לגבי 10 מנות סם. לשיחה הצטרף לאחר מכן שי ושלח גם הוא הודעות קוליות. במהלך השיחה סיכמו הנאשם, אבירן ושי על מכירת 5 מנות של הסם למאיר גנון (להלן: </w:t>
      </w:r>
      <w:r>
        <w:rPr>
          <w:rFonts w:ascii="David" w:eastAsia="David" w:hAnsi="David"/>
          <w:b/>
          <w:bCs/>
          <w:rtl/>
        </w:rPr>
        <w:t>גנון</w:t>
      </w:r>
      <w:r>
        <w:rPr>
          <w:rFonts w:ascii="David" w:eastAsia="David" w:hAnsi="David"/>
          <w:rtl/>
        </w:rPr>
        <w:t>), תמורת 1,000 ₪, אותן היה אל אבירן לאסוף מלירון. גנון שילם 600 ₪, מתוכם 500 ₪ היו בגין חוב קודם, עבור רכישת מנות קודמות.</w:t>
      </w:r>
    </w:p>
    <w:p w14:paraId="49BBD1ED" w14:textId="77777777" w:rsidR="00813463" w:rsidRDefault="00813463" w:rsidP="00813463">
      <w:pPr>
        <w:pStyle w:val="a9"/>
        <w:numPr>
          <w:ilvl w:val="0"/>
          <w:numId w:val="3"/>
        </w:numPr>
        <w:spacing w:before="60" w:line="360" w:lineRule="auto"/>
        <w:ind w:left="851" w:hanging="397"/>
        <w:contextualSpacing w:val="0"/>
        <w:jc w:val="both"/>
        <w:rPr>
          <w:rFonts w:ascii="David" w:eastAsia="David" w:hAnsi="David"/>
          <w:rtl/>
        </w:rPr>
      </w:pPr>
      <w:r>
        <w:rPr>
          <w:rFonts w:ascii="David" w:eastAsia="David" w:hAnsi="David"/>
          <w:u w:val="single"/>
          <w:rtl/>
        </w:rPr>
        <w:t>אישום 2</w:t>
      </w:r>
      <w:r>
        <w:rPr>
          <w:rFonts w:ascii="David" w:eastAsia="David" w:hAnsi="David"/>
          <w:rtl/>
        </w:rPr>
        <w:t xml:space="preserve"> - ב-29.3.21, סמוך לשעה 18:00, החלה התכתבות ב-</w:t>
      </w:r>
      <w:r>
        <w:rPr>
          <w:rFonts w:ascii="David" w:eastAsia="David" w:hAnsi="David"/>
          <w:b/>
          <w:bCs/>
          <w:rtl/>
        </w:rPr>
        <w:t>דלדא</w:t>
      </w:r>
      <w:r>
        <w:rPr>
          <w:rFonts w:ascii="David" w:eastAsia="David" w:hAnsi="David"/>
          <w:rtl/>
        </w:rPr>
        <w:t xml:space="preserve">, במסגרתה שלח אבירן הודעה באמצעות טלפון מבצעי 1, וחיפש מי יכול לבצע משלוח. בשלב מסוים ענה הנאשם שהוא יכול לבצע את המשלוח. שי ביקש מהנאשם להביא לירון בן עזרי (להלן: </w:t>
      </w:r>
      <w:r>
        <w:rPr>
          <w:rFonts w:ascii="David" w:eastAsia="David" w:hAnsi="David"/>
          <w:b/>
          <w:bCs/>
          <w:rtl/>
        </w:rPr>
        <w:t>בן עזרי</w:t>
      </w:r>
      <w:r>
        <w:rPr>
          <w:rFonts w:ascii="David" w:eastAsia="David" w:hAnsi="David"/>
          <w:rtl/>
        </w:rPr>
        <w:t xml:space="preserve">) 3 מנות סם, עבורן היה על בן עזרי לשלם 750 ₪ וסוכם שבן עזרי ישלם לנאשם 100 ₪ עבור הנסיעה וישאר חייב עבור מנות הסם. בכך הנאשם והאחרים מכרו לבן עזרי 3 מנות של הסם, עבורן היה על בן עזרי לשלם 750 ₪. </w:t>
      </w:r>
    </w:p>
    <w:p w14:paraId="45715248" w14:textId="77777777" w:rsidR="00813463" w:rsidRDefault="00813463" w:rsidP="00813463">
      <w:pPr>
        <w:pStyle w:val="a9"/>
        <w:numPr>
          <w:ilvl w:val="0"/>
          <w:numId w:val="3"/>
        </w:numPr>
        <w:spacing w:before="60" w:line="360" w:lineRule="auto"/>
        <w:ind w:left="851" w:hanging="397"/>
        <w:contextualSpacing w:val="0"/>
        <w:jc w:val="both"/>
        <w:rPr>
          <w:rFonts w:ascii="David" w:eastAsia="David" w:hAnsi="David"/>
          <w:rtl/>
        </w:rPr>
      </w:pPr>
      <w:r>
        <w:rPr>
          <w:rFonts w:ascii="David" w:eastAsia="David" w:hAnsi="David"/>
          <w:u w:val="single"/>
          <w:rtl/>
        </w:rPr>
        <w:t>אישום 3</w:t>
      </w:r>
      <w:r>
        <w:rPr>
          <w:rFonts w:ascii="David" w:eastAsia="David" w:hAnsi="David"/>
          <w:rtl/>
        </w:rPr>
        <w:t xml:space="preserve"> - ב-1.4.21, סמוך לשעה 21:30, אליונה אורלוב ויונתן ילמה (להלן: </w:t>
      </w:r>
      <w:r>
        <w:rPr>
          <w:rFonts w:ascii="David" w:eastAsia="David" w:hAnsi="David"/>
          <w:b/>
          <w:bCs/>
          <w:rtl/>
        </w:rPr>
        <w:t>אורלוב</w:t>
      </w:r>
      <w:r>
        <w:rPr>
          <w:rFonts w:ascii="David" w:eastAsia="David" w:hAnsi="David"/>
          <w:rtl/>
        </w:rPr>
        <w:t xml:space="preserve">, </w:t>
      </w:r>
      <w:r>
        <w:rPr>
          <w:rFonts w:ascii="David" w:eastAsia="David" w:hAnsi="David"/>
          <w:b/>
          <w:bCs/>
          <w:rtl/>
        </w:rPr>
        <w:t>ילמה</w:t>
      </w:r>
      <w:r>
        <w:rPr>
          <w:rFonts w:ascii="David" w:eastAsia="David" w:hAnsi="David"/>
          <w:rtl/>
        </w:rPr>
        <w:t xml:space="preserve"> או </w:t>
      </w:r>
      <w:r>
        <w:rPr>
          <w:rFonts w:ascii="David" w:eastAsia="David" w:hAnsi="David"/>
          <w:b/>
          <w:bCs/>
          <w:rtl/>
        </w:rPr>
        <w:t>השניים</w:t>
      </w:r>
      <w:r>
        <w:rPr>
          <w:rFonts w:ascii="David" w:eastAsia="David" w:hAnsi="David"/>
          <w:rtl/>
        </w:rPr>
        <w:t xml:space="preserve">, בהתאמה ועל פי ההקשר) שלחו מסרון לנאשם, לטלפון מבצעי 1, בו ביקשו מהנאשם להביא להם את הסם לביג. לאחר מכן ביקשו שיביא את הסם לביתם. כשהגיע הנאשם, ילמה ניגש אליו וקנה ממנו מנה של הסם, תמורת 300 ₪. </w:t>
      </w:r>
    </w:p>
    <w:p w14:paraId="276E5E30" w14:textId="77777777" w:rsidR="00813463" w:rsidRDefault="00813463" w:rsidP="00813463">
      <w:pPr>
        <w:pStyle w:val="a9"/>
        <w:numPr>
          <w:ilvl w:val="0"/>
          <w:numId w:val="3"/>
        </w:numPr>
        <w:spacing w:before="60" w:line="360" w:lineRule="auto"/>
        <w:ind w:left="851" w:hanging="397"/>
        <w:contextualSpacing w:val="0"/>
        <w:jc w:val="both"/>
        <w:rPr>
          <w:rFonts w:ascii="David" w:eastAsia="David" w:hAnsi="David"/>
          <w:rtl/>
        </w:rPr>
      </w:pPr>
      <w:r>
        <w:rPr>
          <w:rFonts w:ascii="David" w:eastAsia="David" w:hAnsi="David"/>
          <w:u w:val="single"/>
          <w:rtl/>
        </w:rPr>
        <w:t>אישום 4</w:t>
      </w:r>
      <w:r>
        <w:rPr>
          <w:rFonts w:ascii="David" w:eastAsia="David" w:hAnsi="David"/>
          <w:rtl/>
        </w:rPr>
        <w:t xml:space="preserve"> - עובר לחודש יולי 2021 מכר הנאשם, יחד עם האחרים, לנדב כרמי מנה של הסם, תמורת 300 ₪, כשהתיאום נעשה בטלפון מבצעי 1. </w:t>
      </w:r>
    </w:p>
    <w:p w14:paraId="50201C98" w14:textId="77777777" w:rsidR="00813463" w:rsidRDefault="00813463" w:rsidP="00813463">
      <w:pPr>
        <w:pStyle w:val="a9"/>
        <w:numPr>
          <w:ilvl w:val="0"/>
          <w:numId w:val="3"/>
        </w:numPr>
        <w:spacing w:before="60" w:line="360" w:lineRule="auto"/>
        <w:ind w:left="851" w:hanging="397"/>
        <w:contextualSpacing w:val="0"/>
        <w:jc w:val="both"/>
        <w:rPr>
          <w:rFonts w:ascii="David" w:eastAsia="David" w:hAnsi="David"/>
          <w:rtl/>
        </w:rPr>
      </w:pPr>
      <w:r>
        <w:rPr>
          <w:rFonts w:ascii="David" w:eastAsia="David" w:hAnsi="David"/>
          <w:u w:val="single"/>
          <w:rtl/>
        </w:rPr>
        <w:lastRenderedPageBreak/>
        <w:t>אישום 5</w:t>
      </w:r>
      <w:r>
        <w:rPr>
          <w:rFonts w:ascii="David" w:eastAsia="David" w:hAnsi="David"/>
          <w:rtl/>
        </w:rPr>
        <w:t xml:space="preserve"> - ב-2.4.21 סמוך לשעה 16:00, מכר הנאשם, יחד עם האחרים, למאור עוזיאל מנה של הסם תמורת 300 ₪, כשהתיאום נעשה בטלפון מבצעי 1.</w:t>
      </w:r>
    </w:p>
    <w:p w14:paraId="7AF5E628" w14:textId="77777777" w:rsidR="00813463" w:rsidRDefault="00813463" w:rsidP="00813463">
      <w:pPr>
        <w:pStyle w:val="a9"/>
        <w:numPr>
          <w:ilvl w:val="0"/>
          <w:numId w:val="3"/>
        </w:numPr>
        <w:spacing w:before="60" w:line="360" w:lineRule="auto"/>
        <w:ind w:left="851" w:hanging="397"/>
        <w:contextualSpacing w:val="0"/>
        <w:jc w:val="both"/>
        <w:rPr>
          <w:rFonts w:ascii="David" w:eastAsia="David" w:hAnsi="David"/>
          <w:rtl/>
        </w:rPr>
      </w:pPr>
      <w:r>
        <w:rPr>
          <w:rFonts w:ascii="David" w:eastAsia="David" w:hAnsi="David"/>
          <w:u w:val="single"/>
          <w:rtl/>
        </w:rPr>
        <w:t>אישום 6</w:t>
      </w:r>
      <w:r>
        <w:rPr>
          <w:rFonts w:ascii="David" w:eastAsia="David" w:hAnsi="David"/>
          <w:rtl/>
        </w:rPr>
        <w:t xml:space="preserve"> - ב-8.7.21, בשעה 18:07, שוחח הנאשם עם ערן שורקי (להלן: </w:t>
      </w:r>
      <w:r>
        <w:rPr>
          <w:rFonts w:ascii="David" w:eastAsia="David" w:hAnsi="David"/>
          <w:b/>
          <w:bCs/>
          <w:rtl/>
        </w:rPr>
        <w:t>שוקרי</w:t>
      </w:r>
      <w:r>
        <w:rPr>
          <w:rFonts w:ascii="David" w:eastAsia="David" w:hAnsi="David"/>
          <w:rtl/>
        </w:rPr>
        <w:t xml:space="preserve">) בטלפון המבצעי, ולאחר תיאומים שעשו, מכר הנאשם לשוקרי מנה של סם במשקל 0.8985 גרם נטו תמורת 300 ₪. </w:t>
      </w:r>
    </w:p>
    <w:p w14:paraId="468B7ECC" w14:textId="77777777" w:rsidR="00813463" w:rsidRDefault="00813463" w:rsidP="00813463">
      <w:pPr>
        <w:pStyle w:val="a9"/>
        <w:numPr>
          <w:ilvl w:val="0"/>
          <w:numId w:val="3"/>
        </w:numPr>
        <w:spacing w:before="60" w:line="360" w:lineRule="auto"/>
        <w:ind w:left="851" w:hanging="397"/>
        <w:contextualSpacing w:val="0"/>
        <w:jc w:val="both"/>
        <w:rPr>
          <w:rFonts w:ascii="David" w:eastAsia="David" w:hAnsi="David"/>
          <w:rtl/>
        </w:rPr>
      </w:pPr>
      <w:r>
        <w:rPr>
          <w:rFonts w:ascii="David" w:eastAsia="David" w:hAnsi="David"/>
          <w:u w:val="single"/>
          <w:rtl/>
        </w:rPr>
        <w:t>אישום 7</w:t>
      </w:r>
      <w:r>
        <w:rPr>
          <w:rFonts w:ascii="David" w:eastAsia="David" w:hAnsi="David"/>
          <w:rtl/>
        </w:rPr>
        <w:t xml:space="preserve"> - ב-8.7.21, בשעה 19:20, התקשר ארבל שבתאי (להלן: </w:t>
      </w:r>
      <w:r>
        <w:rPr>
          <w:rFonts w:ascii="David" w:eastAsia="David" w:hAnsi="David"/>
          <w:b/>
          <w:bCs/>
          <w:rtl/>
        </w:rPr>
        <w:t>שבתאי</w:t>
      </w:r>
      <w:r>
        <w:rPr>
          <w:rFonts w:ascii="David" w:eastAsia="David" w:hAnsi="David"/>
          <w:rtl/>
        </w:rPr>
        <w:t>) לטלפון המבצעי ושוחח עם הנאשם, בין היתר על חוב של שבתאי בסך 150 ₪. הנאשם מכר לשבתאי מנה של הסם במשקל של 0.9053 גרם נטו תמורת 250 ₪ ושבתאי שילם 150 ₪ עבור החוב.</w:t>
      </w:r>
    </w:p>
    <w:p w14:paraId="708C3218" w14:textId="77777777" w:rsidR="00813463" w:rsidRDefault="00813463" w:rsidP="00813463">
      <w:pPr>
        <w:pStyle w:val="a9"/>
        <w:numPr>
          <w:ilvl w:val="0"/>
          <w:numId w:val="3"/>
        </w:numPr>
        <w:spacing w:before="60" w:line="360" w:lineRule="auto"/>
        <w:ind w:left="851" w:hanging="397"/>
        <w:contextualSpacing w:val="0"/>
        <w:jc w:val="both"/>
        <w:rPr>
          <w:rFonts w:ascii="David" w:eastAsia="David" w:hAnsi="David"/>
          <w:rtl/>
        </w:rPr>
      </w:pPr>
      <w:r>
        <w:rPr>
          <w:rFonts w:ascii="David" w:eastAsia="David" w:hAnsi="David"/>
          <w:u w:val="single"/>
          <w:rtl/>
        </w:rPr>
        <w:t>אישום 8</w:t>
      </w:r>
      <w:r>
        <w:rPr>
          <w:rFonts w:ascii="David" w:eastAsia="David" w:hAnsi="David"/>
          <w:rtl/>
        </w:rPr>
        <w:t xml:space="preserve"> - ב-10.7.21 שוחח הנאשם עם הראל סעדה (להלן: </w:t>
      </w:r>
      <w:r>
        <w:rPr>
          <w:rFonts w:ascii="David" w:eastAsia="David" w:hAnsi="David"/>
          <w:b/>
          <w:bCs/>
          <w:rtl/>
        </w:rPr>
        <w:t>סעדה</w:t>
      </w:r>
      <w:r>
        <w:rPr>
          <w:rFonts w:ascii="David" w:eastAsia="David" w:hAnsi="David"/>
          <w:rtl/>
        </w:rPr>
        <w:t xml:space="preserve">) ובהמשך מכר הנאשם לסעדה מנה של הסם תמורת 250 ₪. התיאום נעשה באמצעות הטלפון המבצעי. </w:t>
      </w:r>
    </w:p>
    <w:p w14:paraId="4D6AC8B1" w14:textId="77777777" w:rsidR="00813463" w:rsidRDefault="00813463" w:rsidP="00813463">
      <w:pPr>
        <w:pStyle w:val="a9"/>
        <w:numPr>
          <w:ilvl w:val="0"/>
          <w:numId w:val="3"/>
        </w:numPr>
        <w:spacing w:before="60" w:line="360" w:lineRule="auto"/>
        <w:ind w:left="851" w:hanging="397"/>
        <w:contextualSpacing w:val="0"/>
        <w:jc w:val="both"/>
        <w:rPr>
          <w:rFonts w:ascii="David" w:eastAsia="David" w:hAnsi="David"/>
          <w:rtl/>
        </w:rPr>
      </w:pPr>
      <w:r>
        <w:rPr>
          <w:rFonts w:ascii="David" w:eastAsia="David" w:hAnsi="David"/>
          <w:u w:val="single"/>
          <w:rtl/>
        </w:rPr>
        <w:t>אישום 9</w:t>
      </w:r>
      <w:r>
        <w:rPr>
          <w:rFonts w:ascii="David" w:eastAsia="David" w:hAnsi="David"/>
          <w:rtl/>
        </w:rPr>
        <w:t xml:space="preserve"> - ב-7.7.21 מכר הנאשם לעידן חגאי מנה של הסם תמורת סכום הנע בין 250 ₪ לבין 300 ₪. התיאום נעשה באמצעות הטלפון המבצעי. </w:t>
      </w:r>
    </w:p>
    <w:p w14:paraId="14A1FF73" w14:textId="77777777" w:rsidR="00813463" w:rsidRDefault="00813463" w:rsidP="00813463">
      <w:pPr>
        <w:pStyle w:val="a9"/>
        <w:numPr>
          <w:ilvl w:val="0"/>
          <w:numId w:val="3"/>
        </w:numPr>
        <w:spacing w:before="60" w:line="360" w:lineRule="auto"/>
        <w:ind w:left="851" w:hanging="397"/>
        <w:contextualSpacing w:val="0"/>
        <w:jc w:val="both"/>
        <w:rPr>
          <w:rFonts w:ascii="David" w:eastAsia="David" w:hAnsi="David"/>
          <w:rtl/>
        </w:rPr>
      </w:pPr>
      <w:r>
        <w:rPr>
          <w:rFonts w:ascii="David" w:eastAsia="David" w:hAnsi="David"/>
          <w:u w:val="single"/>
          <w:rtl/>
        </w:rPr>
        <w:t>אישום 10</w:t>
      </w:r>
      <w:r>
        <w:rPr>
          <w:rFonts w:ascii="David" w:eastAsia="David" w:hAnsi="David"/>
          <w:rtl/>
        </w:rPr>
        <w:t xml:space="preserve"> - ב-19.6.21 מכר הנאשם למשה מזרחי מנה של הסם תמורת 250 ₪. התיאום נעשה באמצעות הטלפון המבצעי. </w:t>
      </w:r>
    </w:p>
    <w:p w14:paraId="25D1ADC1" w14:textId="77777777" w:rsidR="00813463" w:rsidRDefault="00813463" w:rsidP="00813463">
      <w:pPr>
        <w:pStyle w:val="a9"/>
        <w:numPr>
          <w:ilvl w:val="0"/>
          <w:numId w:val="3"/>
        </w:numPr>
        <w:spacing w:before="60" w:line="360" w:lineRule="auto"/>
        <w:ind w:left="851" w:hanging="397"/>
        <w:contextualSpacing w:val="0"/>
        <w:jc w:val="both"/>
        <w:rPr>
          <w:rFonts w:ascii="David" w:eastAsia="David" w:hAnsi="David"/>
          <w:rtl/>
        </w:rPr>
      </w:pPr>
      <w:r>
        <w:rPr>
          <w:rFonts w:ascii="David" w:eastAsia="David" w:hAnsi="David"/>
          <w:u w:val="single"/>
          <w:rtl/>
        </w:rPr>
        <w:t>אישום 11</w:t>
      </w:r>
      <w:r>
        <w:rPr>
          <w:rFonts w:ascii="David" w:eastAsia="David" w:hAnsi="David"/>
          <w:rtl/>
        </w:rPr>
        <w:t xml:space="preserve"> - עובר ל-7.7.21 מכר הנאשם לויטלי רינסקי (להלן: </w:t>
      </w:r>
      <w:r>
        <w:rPr>
          <w:rFonts w:ascii="David" w:eastAsia="David" w:hAnsi="David"/>
          <w:b/>
          <w:bCs/>
          <w:rtl/>
        </w:rPr>
        <w:t>רינסקי</w:t>
      </w:r>
      <w:r>
        <w:rPr>
          <w:rFonts w:ascii="David" w:eastAsia="David" w:hAnsi="David"/>
          <w:rtl/>
        </w:rPr>
        <w:t>) מנה של הסם תמורת 200 ₪. התיאום נעשה באמצעות הטלפון המבצעי. ב-7.7.21, סמוך לשעה 00:08, התקשר רינסקי לטלפון המבצעי ודיבר עם לירון לגבי הספקת מנה של הסם. לירון אמר לרינסקי שישאל את הנאשם. ב-00:19 הנאשם התקשר ואמר לרינסקי שלא יתקשר יותר לטלפון המבצעי ושרינסקי חייב 200 ₪ כבר 3 חודשים. רינסקי הבטיח שיביא לנאשם 500 ₪ יום למחרת וביקש שהנאשם יביא לו מנה של הסם, אבל הנאשם סירב.</w:t>
      </w:r>
    </w:p>
    <w:p w14:paraId="780389D2" w14:textId="77777777" w:rsidR="00813463" w:rsidRDefault="00813463" w:rsidP="00813463">
      <w:pPr>
        <w:pStyle w:val="a9"/>
        <w:numPr>
          <w:ilvl w:val="0"/>
          <w:numId w:val="3"/>
        </w:numPr>
        <w:spacing w:before="60" w:line="360" w:lineRule="auto"/>
        <w:ind w:left="851" w:hanging="397"/>
        <w:contextualSpacing w:val="0"/>
        <w:jc w:val="both"/>
        <w:rPr>
          <w:rFonts w:ascii="David" w:eastAsia="David" w:hAnsi="David"/>
          <w:rtl/>
        </w:rPr>
      </w:pPr>
      <w:r>
        <w:rPr>
          <w:rFonts w:ascii="David" w:eastAsia="David" w:hAnsi="David"/>
          <w:u w:val="single"/>
          <w:rtl/>
        </w:rPr>
        <w:t>אישום 12</w:t>
      </w:r>
      <w:r>
        <w:rPr>
          <w:rFonts w:ascii="David" w:eastAsia="David" w:hAnsi="David"/>
          <w:rtl/>
        </w:rPr>
        <w:t xml:space="preserve"> - ב-1.7.21 סמוך לשעה 22:00, התקשר משה מזרחי (להלן: </w:t>
      </w:r>
      <w:r>
        <w:rPr>
          <w:rFonts w:ascii="David" w:eastAsia="David" w:hAnsi="David"/>
          <w:b/>
          <w:bCs/>
          <w:rtl/>
        </w:rPr>
        <w:t>מזרחי</w:t>
      </w:r>
      <w:r>
        <w:rPr>
          <w:rFonts w:ascii="David" w:eastAsia="David" w:hAnsi="David"/>
          <w:rtl/>
        </w:rPr>
        <w:t xml:space="preserve">) לנאשם וביקש לרכוש מנה של הסם. הנאשם הפנה את מזרחי לשוחח עם בני בטלפון המבצעי. מנת הסם נמכרה למזרחי תמורת 250 ₪. מזרחי שילם 50 ₪ ונותר חייב עוד 200 ₪. מזרחי שלח הודעה קולית בה כעס על שי שלא עדכן כי ישלם בהקפה. בכך סחרו הנאשם, בני ושי בסם המסוכן. </w:t>
      </w:r>
    </w:p>
    <w:p w14:paraId="3ACB2CC8" w14:textId="77777777" w:rsidR="00813463" w:rsidRDefault="00813463" w:rsidP="00813463">
      <w:pPr>
        <w:pStyle w:val="a9"/>
        <w:numPr>
          <w:ilvl w:val="0"/>
          <w:numId w:val="3"/>
        </w:numPr>
        <w:spacing w:before="60" w:line="360" w:lineRule="auto"/>
        <w:ind w:left="851" w:hanging="397"/>
        <w:contextualSpacing w:val="0"/>
        <w:jc w:val="both"/>
        <w:rPr>
          <w:rFonts w:ascii="David" w:eastAsia="David" w:hAnsi="David"/>
          <w:rtl/>
        </w:rPr>
      </w:pPr>
      <w:r>
        <w:rPr>
          <w:rFonts w:ascii="David" w:eastAsia="David" w:hAnsi="David"/>
          <w:u w:val="single"/>
          <w:rtl/>
        </w:rPr>
        <w:t>אישום 13</w:t>
      </w:r>
      <w:r>
        <w:rPr>
          <w:rFonts w:ascii="David" w:eastAsia="David" w:hAnsi="David"/>
          <w:rtl/>
        </w:rPr>
        <w:t xml:space="preserve"> - ב-8.7.21, סמוך לשעה 22:30, מזרחי התקשר לטלפון המבצעי, שוחח עם לירון והם קבעו להיפגש. מזרחי מסר ללירון 700 ₪, 500 ₪ עבור שתי מנות של הסם שרכש, במשקל של 1.8313 גרם נטו, ו-200 ₪ על החוב הקודם. </w:t>
      </w:r>
    </w:p>
    <w:p w14:paraId="1F81D94A" w14:textId="77777777" w:rsidR="00813463" w:rsidRDefault="00813463" w:rsidP="00813463">
      <w:pPr>
        <w:pStyle w:val="a9"/>
        <w:numPr>
          <w:ilvl w:val="0"/>
          <w:numId w:val="3"/>
        </w:numPr>
        <w:spacing w:before="60" w:line="360" w:lineRule="auto"/>
        <w:ind w:left="851" w:hanging="397"/>
        <w:contextualSpacing w:val="0"/>
        <w:jc w:val="both"/>
        <w:rPr>
          <w:rFonts w:ascii="David" w:eastAsia="David" w:hAnsi="David"/>
          <w:rtl/>
        </w:rPr>
      </w:pPr>
      <w:r>
        <w:rPr>
          <w:rFonts w:ascii="David" w:eastAsia="David" w:hAnsi="David"/>
          <w:u w:val="single"/>
          <w:rtl/>
        </w:rPr>
        <w:t>אישום 14</w:t>
      </w:r>
      <w:r>
        <w:rPr>
          <w:rFonts w:ascii="David" w:eastAsia="David" w:hAnsi="David"/>
          <w:rtl/>
        </w:rPr>
        <w:t xml:space="preserve"> - ב-8.7.21, סמוך לשעה 20:00, לאחר שחיים אזולאי (להלן: </w:t>
      </w:r>
      <w:r>
        <w:rPr>
          <w:rFonts w:ascii="David" w:eastAsia="David" w:hAnsi="David"/>
          <w:b/>
          <w:bCs/>
          <w:rtl/>
        </w:rPr>
        <w:t>אזולאי</w:t>
      </w:r>
      <w:r>
        <w:rPr>
          <w:rFonts w:ascii="David" w:eastAsia="David" w:hAnsi="David"/>
          <w:rtl/>
        </w:rPr>
        <w:t xml:space="preserve">) דיבר עם בני על רכישת הסם, אזולאי התקשר לטלפון המבצעי ודיבר עם לירון. לירון מסר לאזולאי מנה של הסם במשקל של 0.841 גרם, תמורת 300 ₪. </w:t>
      </w:r>
    </w:p>
    <w:p w14:paraId="53799D2F" w14:textId="77777777" w:rsidR="00813463" w:rsidRDefault="00813463" w:rsidP="00813463">
      <w:pPr>
        <w:pStyle w:val="a9"/>
        <w:numPr>
          <w:ilvl w:val="0"/>
          <w:numId w:val="3"/>
        </w:numPr>
        <w:spacing w:before="60" w:line="360" w:lineRule="auto"/>
        <w:ind w:left="851" w:hanging="397"/>
        <w:contextualSpacing w:val="0"/>
        <w:jc w:val="both"/>
        <w:rPr>
          <w:rFonts w:ascii="David" w:eastAsia="David" w:hAnsi="David"/>
          <w:rtl/>
        </w:rPr>
      </w:pPr>
      <w:r>
        <w:rPr>
          <w:rFonts w:ascii="David" w:eastAsia="David" w:hAnsi="David"/>
          <w:u w:val="single"/>
          <w:rtl/>
        </w:rPr>
        <w:t>אישום 15</w:t>
      </w:r>
      <w:r>
        <w:rPr>
          <w:rFonts w:ascii="David" w:eastAsia="David" w:hAnsi="David"/>
          <w:rtl/>
        </w:rPr>
        <w:t xml:space="preserve"> - ב-11.7.21, סמוך לשעה 15:30, החזיקו הנאשם והאחרים ב-40.45 גרם של הסם </w:t>
      </w:r>
      <w:r>
        <w:rPr>
          <w:rFonts w:ascii="David" w:eastAsia="David" w:hAnsi="David"/>
          <w:sz w:val="22"/>
          <w:szCs w:val="22"/>
        </w:rPr>
        <w:t>MMC</w:t>
      </w:r>
      <w:r>
        <w:rPr>
          <w:rFonts w:ascii="David" w:eastAsia="David" w:hAnsi="David"/>
          <w:rtl/>
        </w:rPr>
        <w:t xml:space="preserve">, כך ש-37.58 גרם נטו של הסם </w:t>
      </w:r>
      <w:r>
        <w:rPr>
          <w:rFonts w:ascii="David" w:eastAsia="David" w:hAnsi="David"/>
          <w:sz w:val="22"/>
          <w:szCs w:val="22"/>
        </w:rPr>
        <w:t>MMC</w:t>
      </w:r>
      <w:r>
        <w:rPr>
          <w:rFonts w:ascii="David" w:eastAsia="David" w:hAnsi="David"/>
          <w:rtl/>
        </w:rPr>
        <w:t xml:space="preserve"> </w:t>
      </w:r>
      <w:r>
        <w:rPr>
          <w:rFonts w:ascii="David" w:eastAsia="David" w:hAnsi="David" w:hint="cs"/>
          <w:rtl/>
        </w:rPr>
        <w:t xml:space="preserve">הוחזקו במקומות שונים בדירה ובחצר ו-2.87 גרם נטו של הסם נתפסו בתא המטען ובין המושבים ברכב הנאשם, שחנה סמוך לדירה. בנוסף החזיקו הנאשם והאחרים 1.4687 גרם נטו </w:t>
      </w:r>
      <w:r>
        <w:rPr>
          <w:rFonts w:ascii="David" w:eastAsia="David" w:hAnsi="David"/>
          <w:sz w:val="22"/>
          <w:szCs w:val="22"/>
        </w:rPr>
        <w:t>KETAMINE</w:t>
      </w:r>
      <w:r>
        <w:rPr>
          <w:rFonts w:ascii="David" w:eastAsia="David" w:hAnsi="David"/>
        </w:rPr>
        <w:t xml:space="preserve"> </w:t>
      </w:r>
      <w:r>
        <w:rPr>
          <w:rFonts w:ascii="David" w:eastAsia="David" w:hAnsi="David"/>
          <w:sz w:val="22"/>
          <w:szCs w:val="22"/>
        </w:rPr>
        <w:t>MDMA</w:t>
      </w:r>
      <w:r>
        <w:rPr>
          <w:rFonts w:ascii="David" w:eastAsia="David" w:hAnsi="David"/>
          <w:rtl/>
        </w:rPr>
        <w:t xml:space="preserve">, משקל דיגיטלי, שקיות קטנות שקופות, 41,330 ₪ ו-200 דולר. </w:t>
      </w:r>
    </w:p>
    <w:p w14:paraId="7B9001D7" w14:textId="77777777" w:rsidR="00813463" w:rsidRDefault="00813463" w:rsidP="00813463">
      <w:pPr>
        <w:pStyle w:val="a9"/>
        <w:numPr>
          <w:ilvl w:val="0"/>
          <w:numId w:val="2"/>
        </w:numPr>
        <w:spacing w:before="240" w:line="360" w:lineRule="auto"/>
        <w:ind w:left="357" w:hanging="357"/>
        <w:contextualSpacing w:val="0"/>
        <w:jc w:val="both"/>
        <w:rPr>
          <w:rFonts w:ascii="Arial" w:hAnsi="Arial"/>
          <w:rtl/>
        </w:rPr>
      </w:pPr>
      <w:r>
        <w:rPr>
          <w:rFonts w:ascii="Arial" w:hAnsi="Arial"/>
          <w:rtl/>
        </w:rPr>
        <w:t>כתב האישום הוגש ביום 9.8.21. ב-21.11.21 מסר ב"כ הנאשם כי בפי הנאשם טענות זוטא וביקש דחיה להגשתן בכתב. טענות הזוטא הוגשו ביום 16.12.21 וביום 19.12.21 הוגש מענה מפורט לכתב האישום. לאחר מספר דחיות במתן תשובתה לטענות הזוטא, ב-2.1.22 ביקשה המאשימה להגיב להן במועד הדיון. ב</w:t>
      </w:r>
      <w:r>
        <w:rPr>
          <w:rFonts w:ascii="Arial" w:hAnsi="Arial" w:hint="cs"/>
          <w:rtl/>
        </w:rPr>
        <w:t>-</w:t>
      </w:r>
      <w:r>
        <w:rPr>
          <w:rFonts w:ascii="Arial" w:hAnsi="Arial"/>
          <w:rtl/>
        </w:rPr>
        <w:t>13.2.22 קבעה כב' ס</w:t>
      </w:r>
      <w:r>
        <w:rPr>
          <w:rFonts w:ascii="Arial" w:hAnsi="Arial"/>
          <w:rtl/>
        </w:rPr>
        <w:pgNum/>
      </w:r>
      <w:r>
        <w:rPr>
          <w:rFonts w:ascii="Arial" w:hAnsi="Arial"/>
          <w:rtl/>
        </w:rPr>
        <w:pgNum/>
      </w:r>
      <w:r>
        <w:rPr>
          <w:rFonts w:ascii="Arial" w:hAnsi="Arial" w:hint="cs"/>
          <w:rtl/>
        </w:rPr>
        <w:t>"</w:t>
      </w:r>
      <w:r>
        <w:rPr>
          <w:rFonts w:ascii="Arial" w:hAnsi="Arial"/>
          <w:rtl/>
        </w:rPr>
        <w:t>נ הש' חולתא כי דיון ההוכחות ישמע בפניי ב</w:t>
      </w:r>
      <w:r>
        <w:rPr>
          <w:rFonts w:ascii="Arial" w:hAnsi="Arial" w:hint="cs"/>
          <w:rtl/>
        </w:rPr>
        <w:t>-</w:t>
      </w:r>
      <w:r>
        <w:rPr>
          <w:rFonts w:ascii="Arial" w:hAnsi="Arial"/>
          <w:rtl/>
        </w:rPr>
        <w:t xml:space="preserve">16.2.22. </w:t>
      </w:r>
    </w:p>
    <w:p w14:paraId="5EA39947" w14:textId="77777777" w:rsidR="00813463" w:rsidRDefault="00813463" w:rsidP="00813463">
      <w:pPr>
        <w:pStyle w:val="a9"/>
        <w:numPr>
          <w:ilvl w:val="0"/>
          <w:numId w:val="2"/>
        </w:numPr>
        <w:spacing w:before="240" w:line="360" w:lineRule="auto"/>
        <w:ind w:left="357" w:hanging="357"/>
        <w:contextualSpacing w:val="0"/>
        <w:jc w:val="both"/>
        <w:rPr>
          <w:rFonts w:ascii="Arial" w:hAnsi="Arial"/>
        </w:rPr>
      </w:pPr>
      <w:r>
        <w:rPr>
          <w:rFonts w:ascii="Arial" w:hAnsi="Arial"/>
          <w:rtl/>
        </w:rPr>
        <w:t>בדיון ב</w:t>
      </w:r>
      <w:r>
        <w:rPr>
          <w:rFonts w:ascii="Arial" w:hAnsi="Arial" w:hint="cs"/>
          <w:rtl/>
        </w:rPr>
        <w:t>-</w:t>
      </w:r>
      <w:r>
        <w:rPr>
          <w:rFonts w:ascii="Arial" w:hAnsi="Arial"/>
          <w:rtl/>
        </w:rPr>
        <w:t>16.2.22 הוצג הסדר טיעון, במסגרתו הוגש כתב האישום המתוקן ללא הסכמה עונשית. הנאשם הודה בעובדות כתב אישום המתוקן, הורשע על פי הודאתו ולאחר מכן הופנה לשירות המבחן לעריכת תסקיר לעונש בעניינו. הדיון נדחה לשמיעת טיעונים לעונש ב</w:t>
      </w:r>
      <w:r>
        <w:rPr>
          <w:rFonts w:ascii="Arial" w:hAnsi="Arial" w:hint="cs"/>
          <w:rtl/>
        </w:rPr>
        <w:t>-</w:t>
      </w:r>
      <w:r>
        <w:rPr>
          <w:rFonts w:ascii="Arial" w:hAnsi="Arial"/>
          <w:rtl/>
        </w:rPr>
        <w:t xml:space="preserve">31.3.22. ב-31.3.22 ביקשה המאשימה להגיש חו"ד לעניין הסם ולהעיד את עורכת חו"ד, בהינתן עמדת ב"כ הנאשם. מאחר שעורכת חו"ד לא יכלה להתייצב לדיון, הדיון נדחה ל-6.6.22 - מועד בו הוגשו ראיות לעונש, נשמעה עדות המומחית (עורכת </w:t>
      </w:r>
      <w:r>
        <w:rPr>
          <w:rFonts w:cs="Miriam"/>
          <w:b/>
          <w:bCs/>
          <w:sz w:val="18"/>
          <w:szCs w:val="22"/>
          <w:rtl/>
          <w:lang w:eastAsia="he-IL"/>
        </w:rPr>
        <w:t>ת/1</w:t>
      </w:r>
      <w:r>
        <w:rPr>
          <w:rFonts w:ascii="Arial" w:hAnsi="Arial"/>
          <w:rtl/>
        </w:rPr>
        <w:t xml:space="preserve"> ו-</w:t>
      </w:r>
      <w:r>
        <w:rPr>
          <w:rFonts w:cs="Miriam"/>
          <w:b/>
          <w:bCs/>
          <w:sz w:val="18"/>
          <w:szCs w:val="22"/>
          <w:rtl/>
          <w:lang w:eastAsia="he-IL"/>
        </w:rPr>
        <w:t>ת/2</w:t>
      </w:r>
      <w:r>
        <w:rPr>
          <w:rFonts w:ascii="Arial" w:hAnsi="Arial"/>
          <w:rtl/>
        </w:rPr>
        <w:t xml:space="preserve"> אליהן אתייחס בהמשך) ונשמעו טיעונים לעונש.</w:t>
      </w:r>
    </w:p>
    <w:p w14:paraId="453C2284" w14:textId="77777777" w:rsidR="00813463" w:rsidRDefault="00813463" w:rsidP="00813463">
      <w:pPr>
        <w:spacing w:before="240" w:line="360" w:lineRule="auto"/>
        <w:jc w:val="both"/>
        <w:rPr>
          <w:rFonts w:ascii="David" w:hAnsi="David"/>
          <w:b/>
          <w:bCs/>
          <w:sz w:val="26"/>
          <w:szCs w:val="26"/>
        </w:rPr>
      </w:pPr>
      <w:r>
        <w:rPr>
          <w:rFonts w:ascii="David" w:hAnsi="David"/>
          <w:b/>
          <w:bCs/>
          <w:sz w:val="26"/>
          <w:szCs w:val="26"/>
          <w:rtl/>
        </w:rPr>
        <w:t>קביעת מתחם העונש ההולם</w:t>
      </w:r>
    </w:p>
    <w:p w14:paraId="2F05071C" w14:textId="77777777" w:rsidR="00813463" w:rsidRDefault="00813463" w:rsidP="00813463">
      <w:pPr>
        <w:numPr>
          <w:ilvl w:val="0"/>
          <w:numId w:val="2"/>
        </w:numPr>
        <w:snapToGrid w:val="0"/>
        <w:spacing w:line="360" w:lineRule="auto"/>
        <w:jc w:val="both"/>
        <w:rPr>
          <w:sz w:val="20"/>
          <w:lang w:eastAsia="he-IL"/>
        </w:rPr>
      </w:pPr>
      <w:r>
        <w:rPr>
          <w:sz w:val="20"/>
          <w:rtl/>
          <w:lang w:eastAsia="he-IL"/>
        </w:rPr>
        <w:t>הנאשם הודה והורשע ב-15 אישומים, ובהם 14 עבירות סחר בסמים ועבירה אחת של החזקת סמים מסוכנים שלא לצריכה עצמית. הנאשם</w:t>
      </w:r>
      <w:r>
        <w:rPr>
          <w:rFonts w:hint="cs"/>
          <w:sz w:val="20"/>
          <w:lang w:eastAsia="he-IL"/>
        </w:rPr>
        <w:t xml:space="preserve"> </w:t>
      </w:r>
      <w:r>
        <w:rPr>
          <w:sz w:val="20"/>
          <w:rtl/>
          <w:lang w:eastAsia="he-IL"/>
        </w:rPr>
        <w:t xml:space="preserve">היה חלק משתי רשתות סחר בסם מסוכן מסוג </w:t>
      </w:r>
      <w:r>
        <w:rPr>
          <w:rFonts w:ascii="David" w:hAnsi="David"/>
          <w:sz w:val="22"/>
          <w:szCs w:val="22"/>
          <w:lang w:eastAsia="he-IL"/>
        </w:rPr>
        <w:t>MMC</w:t>
      </w:r>
      <w:r>
        <w:rPr>
          <w:sz w:val="20"/>
          <w:rtl/>
          <w:lang w:eastAsia="he-IL"/>
        </w:rPr>
        <w:t>, כאשר הרשת החדשה היא תולדה של סכסוך ברשת המקורית. מדובר בהתארגנות והפצה של הסם לרוכשים שונים בעיר באר שבע וסביבתה, במהלך תקופה של כ-4 חודשים בשנת 2021.</w:t>
      </w:r>
      <w:r>
        <w:rPr>
          <w:rFonts w:hint="cs"/>
          <w:sz w:val="20"/>
          <w:lang w:eastAsia="he-IL"/>
        </w:rPr>
        <w:t xml:space="preserve"> </w:t>
      </w:r>
      <w:r>
        <w:rPr>
          <w:sz w:val="20"/>
          <w:rtl/>
          <w:lang w:eastAsia="he-IL"/>
        </w:rPr>
        <w:t>בהתאם למבחן</w:t>
      </w:r>
      <w:r>
        <w:rPr>
          <w:rFonts w:hint="cs"/>
          <w:sz w:val="20"/>
          <w:lang w:eastAsia="he-IL"/>
        </w:rPr>
        <w:t xml:space="preserve"> </w:t>
      </w:r>
      <w:r>
        <w:rPr>
          <w:rFonts w:ascii="David" w:hAnsi="David"/>
          <w:rtl/>
          <w:lang w:eastAsia="he-IL"/>
        </w:rPr>
        <w:t>הקשר</w:t>
      </w:r>
      <w:r>
        <w:rPr>
          <w:rFonts w:ascii="David" w:hAnsi="David"/>
          <w:lang w:eastAsia="he-IL"/>
        </w:rPr>
        <w:t xml:space="preserve"> </w:t>
      </w:r>
      <w:r>
        <w:rPr>
          <w:rFonts w:ascii="David" w:hAnsi="David"/>
          <w:rtl/>
          <w:lang w:eastAsia="he-IL"/>
        </w:rPr>
        <w:t>ההדוק, בהינתן כי כל העבירות בוצעו במסגרת תכנית עבריינית אחת וכחלק ממנה - ראיתי לנכון לקבל עתירת ב"כ הצדדים ולקבוע</w:t>
      </w:r>
      <w:r>
        <w:rPr>
          <w:rFonts w:ascii="David" w:hAnsi="David"/>
          <w:lang w:eastAsia="he-IL"/>
        </w:rPr>
        <w:t xml:space="preserve"> </w:t>
      </w:r>
      <w:r>
        <w:rPr>
          <w:rFonts w:ascii="David" w:hAnsi="David"/>
          <w:rtl/>
          <w:lang w:eastAsia="he-IL"/>
        </w:rPr>
        <w:t>מתחם עונש הולם אחד</w:t>
      </w:r>
      <w:r>
        <w:rPr>
          <w:rFonts w:ascii="David" w:hAnsi="David"/>
          <w:lang w:eastAsia="he-IL"/>
        </w:rPr>
        <w:t xml:space="preserve"> </w:t>
      </w:r>
      <w:r>
        <w:rPr>
          <w:rFonts w:ascii="David" w:hAnsi="David"/>
          <w:rtl/>
          <w:lang w:eastAsia="he-IL"/>
        </w:rPr>
        <w:t>ביחס</w:t>
      </w:r>
      <w:r>
        <w:rPr>
          <w:rFonts w:ascii="David" w:hAnsi="David"/>
          <w:lang w:eastAsia="he-IL"/>
        </w:rPr>
        <w:t xml:space="preserve"> </w:t>
      </w:r>
      <w:r>
        <w:rPr>
          <w:rFonts w:ascii="David" w:hAnsi="David"/>
          <w:rtl/>
          <w:lang w:eastAsia="he-IL"/>
        </w:rPr>
        <w:t>לכל</w:t>
      </w:r>
      <w:r>
        <w:rPr>
          <w:rFonts w:ascii="David" w:hAnsi="David"/>
          <w:lang w:eastAsia="he-IL"/>
        </w:rPr>
        <w:t xml:space="preserve"> </w:t>
      </w:r>
      <w:r>
        <w:rPr>
          <w:rFonts w:ascii="David" w:hAnsi="David"/>
          <w:rtl/>
          <w:lang w:eastAsia="he-IL"/>
        </w:rPr>
        <w:t xml:space="preserve">העבירות בהן הודה והורשע הנאשם [ראו והשוו </w:t>
      </w:r>
      <w:hyperlink r:id="rId34" w:history="1">
        <w:r w:rsidR="008D4222" w:rsidRPr="008D4222">
          <w:rPr>
            <w:rFonts w:ascii="David" w:hAnsi="David"/>
            <w:color w:val="0000FF"/>
            <w:u w:val="single"/>
            <w:rtl/>
          </w:rPr>
          <w:t>ע"פ 4910/03</w:t>
        </w:r>
      </w:hyperlink>
      <w:r>
        <w:rPr>
          <w:rFonts w:ascii="David" w:hAnsi="David"/>
          <w:lang w:eastAsia="he-IL"/>
        </w:rPr>
        <w:t xml:space="preserve"> </w:t>
      </w:r>
      <w:r>
        <w:rPr>
          <w:rFonts w:ascii="Miriam" w:hAnsi="Miriam" w:cs="Miriam"/>
          <w:bCs/>
          <w:sz w:val="22"/>
          <w:szCs w:val="22"/>
          <w:rtl/>
        </w:rPr>
        <w:t>ג</w:t>
      </w:r>
      <w:r>
        <w:rPr>
          <w:rFonts w:ascii="Miriam" w:hAnsi="Miriam" w:cs="Miriam"/>
          <w:bCs/>
          <w:sz w:val="22"/>
          <w:szCs w:val="22"/>
        </w:rPr>
        <w:t>'</w:t>
      </w:r>
      <w:r>
        <w:rPr>
          <w:rFonts w:ascii="Miriam" w:hAnsi="Miriam" w:cs="Miriam"/>
          <w:bCs/>
          <w:sz w:val="22"/>
          <w:szCs w:val="22"/>
          <w:rtl/>
        </w:rPr>
        <w:t>אבר נ' מדינת</w:t>
      </w:r>
      <w:r>
        <w:rPr>
          <w:rFonts w:ascii="Miriam" w:hAnsi="Miriam" w:cs="Miriam"/>
          <w:bCs/>
          <w:sz w:val="22"/>
          <w:szCs w:val="22"/>
        </w:rPr>
        <w:t xml:space="preserve"> </w:t>
      </w:r>
      <w:r>
        <w:rPr>
          <w:rFonts w:ascii="Miriam" w:hAnsi="Miriam" w:cs="Miriam"/>
          <w:bCs/>
          <w:sz w:val="22"/>
          <w:szCs w:val="22"/>
          <w:rtl/>
        </w:rPr>
        <w:t>ישראל</w:t>
      </w:r>
      <w:r>
        <w:rPr>
          <w:rFonts w:ascii="David" w:hAnsi="David"/>
          <w:lang w:eastAsia="he-IL"/>
        </w:rPr>
        <w:t xml:space="preserve">(29.10.14) </w:t>
      </w:r>
      <w:r>
        <w:rPr>
          <w:rFonts w:ascii="David" w:hAnsi="David"/>
          <w:rtl/>
          <w:lang w:eastAsia="he-IL"/>
        </w:rPr>
        <w:t>, אליו הפנה ב"כ הנאשם ו-</w:t>
      </w:r>
      <w:hyperlink r:id="rId35" w:history="1">
        <w:r w:rsidR="008D4222" w:rsidRPr="008D4222">
          <w:rPr>
            <w:rFonts w:ascii="David" w:hAnsi="David"/>
            <w:color w:val="0000FF"/>
            <w:u w:val="single"/>
            <w:rtl/>
          </w:rPr>
          <w:t>ע"פ 5643/14</w:t>
        </w:r>
      </w:hyperlink>
      <w:r>
        <w:rPr>
          <w:rFonts w:ascii="David" w:hAnsi="David"/>
          <w:b/>
          <w:bCs/>
          <w:lang w:eastAsia="he-IL"/>
        </w:rPr>
        <w:t xml:space="preserve"> </w:t>
      </w:r>
      <w:r>
        <w:rPr>
          <w:rFonts w:ascii="Miriam" w:hAnsi="Miriam" w:cs="Miriam"/>
          <w:bCs/>
          <w:sz w:val="22"/>
          <w:szCs w:val="22"/>
          <w:rtl/>
        </w:rPr>
        <w:t xml:space="preserve">עיסא ואח' נ' מדינת ישראל </w:t>
      </w:r>
      <w:r>
        <w:rPr>
          <w:rFonts w:ascii="David" w:hAnsi="David"/>
          <w:rtl/>
          <w:lang w:eastAsia="he-IL"/>
        </w:rPr>
        <w:t xml:space="preserve">(23.6.15)]. </w:t>
      </w:r>
    </w:p>
    <w:p w14:paraId="6EEE78E3" w14:textId="77777777" w:rsidR="00813463" w:rsidRDefault="00813463" w:rsidP="00813463">
      <w:pPr>
        <w:numPr>
          <w:ilvl w:val="0"/>
          <w:numId w:val="2"/>
        </w:numPr>
        <w:snapToGrid w:val="0"/>
        <w:spacing w:before="240" w:line="360" w:lineRule="auto"/>
        <w:ind w:left="357" w:hanging="357"/>
        <w:jc w:val="both"/>
        <w:rPr>
          <w:sz w:val="20"/>
          <w:lang w:eastAsia="he-IL"/>
        </w:rPr>
      </w:pPr>
      <w:r>
        <w:rPr>
          <w:sz w:val="20"/>
          <w:rtl/>
          <w:lang w:eastAsia="he-IL"/>
        </w:rPr>
        <w:t>לנסיבות ביצוע העבירה, ובכלל זה סוג הסם והשפעותיו הישירות והעקיפות על הציבור, יש השלכה על פרמטרים נוספים בקביעת המתחם, ובכלל זה עוצמת הפגיעה בערכים החברתיים ומדיניות הענישה הנהוגה. משכך מצאתי כי יש לפנות תחילה לנסיבות הקשורות בסוג הסם ומהותו, נסיבות עליהן נחלקו באי כוח הצדדים:</w:t>
      </w:r>
    </w:p>
    <w:p w14:paraId="4DA093C0" w14:textId="77777777" w:rsidR="00813463" w:rsidRDefault="00813463" w:rsidP="00813463">
      <w:pPr>
        <w:numPr>
          <w:ilvl w:val="1"/>
          <w:numId w:val="2"/>
        </w:numPr>
        <w:snapToGrid w:val="0"/>
        <w:spacing w:before="120" w:line="360" w:lineRule="auto"/>
        <w:ind w:left="851" w:hanging="397"/>
        <w:jc w:val="both"/>
        <w:rPr>
          <w:sz w:val="20"/>
          <w:lang w:eastAsia="he-IL"/>
        </w:rPr>
      </w:pPr>
      <w:r>
        <w:rPr>
          <w:sz w:val="20"/>
          <w:rtl/>
          <w:lang w:eastAsia="he-IL"/>
        </w:rPr>
        <w:t>הנאשם ושותפיו סחרו ב-</w:t>
      </w:r>
      <w:r>
        <w:rPr>
          <w:rFonts w:ascii="David" w:hAnsi="David"/>
          <w:sz w:val="22"/>
          <w:szCs w:val="22"/>
          <w:lang w:eastAsia="he-IL"/>
        </w:rPr>
        <w:t>Methyl</w:t>
      </w:r>
      <w:r>
        <w:rPr>
          <w:rFonts w:ascii="David" w:hAnsi="David"/>
          <w:sz w:val="22"/>
          <w:szCs w:val="28"/>
          <w:lang w:eastAsia="he-IL"/>
        </w:rPr>
        <w:t>MethCathinone</w:t>
      </w:r>
      <w:r>
        <w:rPr>
          <w:rFonts w:ascii="David" w:hAnsi="David"/>
          <w:rtl/>
          <w:lang w:eastAsia="he-IL"/>
        </w:rPr>
        <w:t xml:space="preserve">, שהינו סם מסוכן, בהתאם </w:t>
      </w:r>
      <w:hyperlink r:id="rId36" w:history="1">
        <w:r w:rsidR="0045437A" w:rsidRPr="0045437A">
          <w:rPr>
            <w:rStyle w:val="Hyperlink"/>
            <w:color w:val="0000FF"/>
            <w:sz w:val="20"/>
            <w:rtl/>
            <w:lang w:eastAsia="he-IL"/>
          </w:rPr>
          <w:t>לסעיף 10א</w:t>
        </w:r>
      </w:hyperlink>
      <w:r>
        <w:rPr>
          <w:sz w:val="20"/>
          <w:rtl/>
          <w:lang w:eastAsia="he-IL"/>
        </w:rPr>
        <w:t xml:space="preserve"> בסימן ב' בחלק א' של התוספת הראשונה ל-</w:t>
      </w:r>
      <w:r>
        <w:rPr>
          <w:rFonts w:cs="Miriam"/>
          <w:b/>
          <w:bCs/>
          <w:sz w:val="18"/>
          <w:szCs w:val="22"/>
          <w:rtl/>
          <w:lang w:eastAsia="he-IL"/>
        </w:rPr>
        <w:t>פקודת הסמים</w:t>
      </w:r>
      <w:r>
        <w:rPr>
          <w:sz w:val="20"/>
          <w:rtl/>
          <w:lang w:eastAsia="he-IL"/>
        </w:rPr>
        <w:t xml:space="preserve"> (לעיל ולהלן: </w:t>
      </w:r>
      <w:r>
        <w:rPr>
          <w:b/>
          <w:bCs/>
          <w:sz w:val="20"/>
          <w:rtl/>
          <w:lang w:eastAsia="he-IL"/>
        </w:rPr>
        <w:t>הסם</w:t>
      </w:r>
      <w:r>
        <w:rPr>
          <w:sz w:val="20"/>
          <w:rtl/>
          <w:lang w:eastAsia="he-IL"/>
        </w:rPr>
        <w:t xml:space="preserve"> או </w:t>
      </w:r>
      <w:r>
        <w:rPr>
          <w:rFonts w:ascii="David" w:hAnsi="David"/>
          <w:b/>
          <w:bCs/>
          <w:sz w:val="22"/>
          <w:szCs w:val="28"/>
          <w:lang w:eastAsia="he-IL"/>
        </w:rPr>
        <w:t>MMC</w:t>
      </w:r>
      <w:r>
        <w:rPr>
          <w:sz w:val="20"/>
          <w:rtl/>
          <w:lang w:eastAsia="he-IL"/>
        </w:rPr>
        <w:t xml:space="preserve">). כראיות לעונש מטעם המאשימה הוגשו חוות דעת והבהרה לחוות הדעת, שנערכו על ידי הרוקחת גב' אלינה פופרנו (להלן: </w:t>
      </w:r>
      <w:r>
        <w:rPr>
          <w:b/>
          <w:bCs/>
          <w:sz w:val="20"/>
          <w:rtl/>
          <w:lang w:eastAsia="he-IL"/>
        </w:rPr>
        <w:t>המומחית</w:t>
      </w:r>
      <w:r>
        <w:rPr>
          <w:sz w:val="20"/>
          <w:rtl/>
          <w:lang w:eastAsia="he-IL"/>
        </w:rPr>
        <w:t xml:space="preserve">). </w:t>
      </w:r>
    </w:p>
    <w:p w14:paraId="24510D2F" w14:textId="77777777" w:rsidR="00813463" w:rsidRDefault="0045437A" w:rsidP="00813463">
      <w:pPr>
        <w:numPr>
          <w:ilvl w:val="1"/>
          <w:numId w:val="2"/>
        </w:numPr>
        <w:snapToGrid w:val="0"/>
        <w:spacing w:before="120" w:line="360" w:lineRule="auto"/>
        <w:ind w:left="851" w:hanging="397"/>
        <w:jc w:val="both"/>
        <w:rPr>
          <w:sz w:val="20"/>
          <w:lang w:eastAsia="he-IL"/>
        </w:rPr>
      </w:pPr>
      <w:hyperlink r:id="rId37" w:history="1">
        <w:r w:rsidRPr="0045437A">
          <w:rPr>
            <w:rStyle w:val="Hyperlink"/>
            <w:color w:val="0000FF"/>
            <w:rtl/>
          </w:rPr>
          <w:t>סעיף 40י</w:t>
        </w:r>
      </w:hyperlink>
      <w:r w:rsidR="00813463">
        <w:rPr>
          <w:rtl/>
        </w:rPr>
        <w:t xml:space="preserve"> ל</w:t>
      </w:r>
      <w:hyperlink r:id="rId38" w:history="1">
        <w:r w:rsidR="008D4222" w:rsidRPr="008D4222">
          <w:rPr>
            <w:rFonts w:ascii="Miriam" w:hAnsi="Miriam" w:cs="Miriam"/>
            <w:b/>
            <w:bCs/>
            <w:color w:val="0000FF"/>
            <w:sz w:val="18"/>
            <w:szCs w:val="22"/>
            <w:u w:val="single"/>
            <w:rtl/>
          </w:rPr>
          <w:t>חוק העונשין</w:t>
        </w:r>
      </w:hyperlink>
      <w:r w:rsidR="00813463">
        <w:rPr>
          <w:rtl/>
        </w:rPr>
        <w:t xml:space="preserve"> קובע לגבי "</w:t>
      </w:r>
      <w:r w:rsidR="00813463">
        <w:rPr>
          <w:b/>
          <w:bCs/>
          <w:rtl/>
        </w:rPr>
        <w:t>הוכחת נסיבות הקשורות בביצוע העבירה</w:t>
      </w:r>
      <w:r w:rsidR="00813463">
        <w:rPr>
          <w:rtl/>
        </w:rPr>
        <w:t xml:space="preserve">", כי משהודה נאשם בעובדות כתב האישום - על כתב האישום לכלול כל העובדות והנסיבות הקשורות בביצוע העבירה. זאת בלי לגרוע מהוראת </w:t>
      </w:r>
      <w:hyperlink r:id="rId39" w:history="1">
        <w:r w:rsidRPr="0045437A">
          <w:rPr>
            <w:rStyle w:val="Hyperlink"/>
            <w:color w:val="0000FF"/>
            <w:rtl/>
          </w:rPr>
          <w:t>סעיף 40י(ב)(2)</w:t>
        </w:r>
      </w:hyperlink>
      <w:r w:rsidR="00813463">
        <w:rPr>
          <w:rtl/>
        </w:rPr>
        <w:t xml:space="preserve"> ל-</w:t>
      </w:r>
      <w:hyperlink r:id="rId40" w:history="1">
        <w:r w:rsidR="008D4222" w:rsidRPr="008D4222">
          <w:rPr>
            <w:rFonts w:ascii="Miriam" w:hAnsi="Miriam" w:cs="Miriam"/>
            <w:b/>
            <w:bCs/>
            <w:color w:val="0000FF"/>
            <w:sz w:val="18"/>
            <w:szCs w:val="22"/>
            <w:u w:val="single"/>
            <w:rtl/>
          </w:rPr>
          <w:t>חוק העונשין</w:t>
        </w:r>
      </w:hyperlink>
      <w:r w:rsidR="00813463">
        <w:rPr>
          <w:rtl/>
        </w:rPr>
        <w:t>, לפיה ניתן להביא ראיות בענין נסיבות הקשורות בביצוע העבירה בשלב הטיעונים לעונש, אם "</w:t>
      </w:r>
      <w:r w:rsidR="00813463">
        <w:rPr>
          <w:b/>
          <w:bCs/>
          <w:rtl/>
        </w:rPr>
        <w:t>לא היתה אפשרות לטעון לגביהן בשלב בירור האשמה או אם הדבר דרוש כדי למנוע עיוות דין</w:t>
      </w:r>
      <w:r w:rsidR="00813463">
        <w:rPr>
          <w:rtl/>
        </w:rPr>
        <w:t xml:space="preserve">". </w:t>
      </w:r>
    </w:p>
    <w:p w14:paraId="54739525" w14:textId="77777777" w:rsidR="00813463" w:rsidRDefault="00813463" w:rsidP="00813463">
      <w:pPr>
        <w:snapToGrid w:val="0"/>
        <w:spacing w:before="60" w:line="360" w:lineRule="auto"/>
        <w:ind w:left="851"/>
        <w:jc w:val="both"/>
        <w:rPr>
          <w:sz w:val="20"/>
          <w:lang w:eastAsia="he-IL"/>
        </w:rPr>
      </w:pPr>
      <w:r>
        <w:rPr>
          <w:rtl/>
        </w:rPr>
        <w:t xml:space="preserve">בהינתן שלא נוהלו הוכחות בתיק, ברי כי לא היתה אפשרות להביא ראיות לגבי נסיבות הקשורות בסם והשפעותיו בשלב בירור האשמה, ומשכך עמדה הדרך להגיש ראיות אלו בשלב הטיעונים לעונש. </w:t>
      </w:r>
      <w:r>
        <w:rPr>
          <w:sz w:val="20"/>
          <w:rtl/>
          <w:lang w:eastAsia="he-IL"/>
        </w:rPr>
        <w:t xml:space="preserve">כך חוות הדעת שנערכה על ידי המומחית הוגשה במסגרת ראיות התביעה לעונש, סומנה </w:t>
      </w:r>
      <w:r>
        <w:rPr>
          <w:rFonts w:ascii="Miriam" w:hAnsi="Miriam" w:cs="Miriam"/>
          <w:b/>
          <w:bCs/>
          <w:sz w:val="18"/>
          <w:szCs w:val="22"/>
          <w:rtl/>
        </w:rPr>
        <w:t>ת/1</w:t>
      </w:r>
      <w:r>
        <w:rPr>
          <w:sz w:val="20"/>
          <w:rtl/>
          <w:lang w:eastAsia="he-IL"/>
        </w:rPr>
        <w:t xml:space="preserve">, הבהרה לחוות הדעת הוגשה וסומנה </w:t>
      </w:r>
      <w:r>
        <w:rPr>
          <w:rFonts w:cs="Miriam"/>
          <w:b/>
          <w:bCs/>
          <w:sz w:val="18"/>
          <w:szCs w:val="22"/>
          <w:rtl/>
          <w:lang w:eastAsia="he-IL"/>
        </w:rPr>
        <w:t>ת/2</w:t>
      </w:r>
      <w:r>
        <w:rPr>
          <w:sz w:val="20"/>
          <w:rtl/>
          <w:lang w:eastAsia="he-IL"/>
        </w:rPr>
        <w:t xml:space="preserve">, והמומחית העידה בבית המשפט ונחקרה על </w:t>
      </w:r>
      <w:r>
        <w:rPr>
          <w:rFonts w:ascii="Miriam" w:hAnsi="Miriam" w:cs="Miriam"/>
          <w:b/>
          <w:bCs/>
          <w:sz w:val="18"/>
          <w:szCs w:val="22"/>
          <w:rtl/>
        </w:rPr>
        <w:t>ת/1</w:t>
      </w:r>
      <w:r>
        <w:rPr>
          <w:sz w:val="20"/>
          <w:rtl/>
          <w:lang w:eastAsia="he-IL"/>
        </w:rPr>
        <w:t xml:space="preserve"> ו-</w:t>
      </w:r>
      <w:r>
        <w:rPr>
          <w:rFonts w:ascii="Miriam" w:hAnsi="Miriam" w:cs="Miriam"/>
          <w:b/>
          <w:bCs/>
          <w:sz w:val="18"/>
          <w:szCs w:val="22"/>
          <w:rtl/>
        </w:rPr>
        <w:t>ת/2</w:t>
      </w:r>
      <w:r>
        <w:rPr>
          <w:sz w:val="20"/>
          <w:rtl/>
          <w:lang w:eastAsia="he-IL"/>
        </w:rPr>
        <w:t xml:space="preserve"> (אשר יקראו יחד להלן: </w:t>
      </w:r>
      <w:r>
        <w:rPr>
          <w:b/>
          <w:bCs/>
          <w:sz w:val="20"/>
          <w:rtl/>
          <w:lang w:eastAsia="he-IL"/>
        </w:rPr>
        <w:t>חוות הדעת</w:t>
      </w:r>
      <w:r>
        <w:rPr>
          <w:sz w:val="20"/>
          <w:rtl/>
          <w:lang w:eastAsia="he-IL"/>
        </w:rPr>
        <w:t xml:space="preserve">). </w:t>
      </w:r>
    </w:p>
    <w:p w14:paraId="712D9ACF" w14:textId="77777777" w:rsidR="00813463" w:rsidRDefault="00813463" w:rsidP="00813463">
      <w:pPr>
        <w:numPr>
          <w:ilvl w:val="1"/>
          <w:numId w:val="2"/>
        </w:numPr>
        <w:snapToGrid w:val="0"/>
        <w:spacing w:before="120" w:line="360" w:lineRule="auto"/>
        <w:ind w:left="851" w:hanging="397"/>
        <w:jc w:val="both"/>
        <w:rPr>
          <w:sz w:val="20"/>
          <w:lang w:eastAsia="he-IL"/>
        </w:rPr>
      </w:pPr>
      <w:r>
        <w:rPr>
          <w:sz w:val="20"/>
          <w:rtl/>
          <w:lang w:eastAsia="he-IL"/>
        </w:rPr>
        <w:t xml:space="preserve">בהתאם להוראות </w:t>
      </w:r>
      <w:hyperlink r:id="rId41" w:history="1">
        <w:r w:rsidR="0045437A" w:rsidRPr="0045437A">
          <w:rPr>
            <w:rStyle w:val="Hyperlink"/>
            <w:color w:val="0000FF"/>
            <w:sz w:val="20"/>
            <w:rtl/>
            <w:lang w:eastAsia="he-IL"/>
          </w:rPr>
          <w:t>סעיף 40י(ג)</w:t>
        </w:r>
      </w:hyperlink>
      <w:r>
        <w:rPr>
          <w:sz w:val="20"/>
          <w:rtl/>
          <w:lang w:eastAsia="he-IL"/>
        </w:rPr>
        <w:t xml:space="preserve"> ל-</w:t>
      </w:r>
      <w:hyperlink r:id="rId42" w:history="1">
        <w:r w:rsidR="008D4222" w:rsidRPr="008D4222">
          <w:rPr>
            <w:rFonts w:ascii="Miriam" w:hAnsi="Miriam" w:cs="Miriam"/>
            <w:b/>
            <w:bCs/>
            <w:color w:val="0000FF"/>
            <w:sz w:val="18"/>
            <w:szCs w:val="22"/>
            <w:u w:val="single"/>
            <w:rtl/>
          </w:rPr>
          <w:t>חוק העונשין</w:t>
        </w:r>
      </w:hyperlink>
      <w:r>
        <w:rPr>
          <w:sz w:val="20"/>
          <w:rtl/>
          <w:lang w:eastAsia="he-IL"/>
        </w:rPr>
        <w:t xml:space="preserve"> "</w:t>
      </w:r>
      <w:r w:rsidRPr="00196386">
        <w:rPr>
          <w:rStyle w:val="default"/>
          <w:rFonts w:ascii="David" w:hAnsi="David"/>
          <w:b/>
          <w:bCs/>
          <w:rtl/>
        </w:rPr>
        <w:t>בית המשפט יקבע כי התקיימה נסיבה מחמירה הקשורה בביצוע העבירה אם היא הוכחה מעבר לספק סביר</w:t>
      </w:r>
      <w:r w:rsidRPr="00196386">
        <w:rPr>
          <w:rStyle w:val="default"/>
          <w:rFonts w:ascii="David" w:hAnsi="David"/>
          <w:rtl/>
        </w:rPr>
        <w:t>".</w:t>
      </w:r>
      <w:r w:rsidRPr="00196386">
        <w:rPr>
          <w:rFonts w:ascii="David" w:hAnsi="David"/>
          <w:sz w:val="18"/>
          <w:szCs w:val="22"/>
          <w:rtl/>
          <w:lang w:eastAsia="he-IL"/>
        </w:rPr>
        <w:t xml:space="preserve"> </w:t>
      </w:r>
      <w:r>
        <w:rPr>
          <w:sz w:val="20"/>
          <w:rtl/>
          <w:lang w:eastAsia="he-IL"/>
        </w:rPr>
        <w:t xml:space="preserve">אקדים את המאוחר ואציין כי המומחית הותירה בי רושם מהימן ביותר. </w:t>
      </w:r>
    </w:p>
    <w:p w14:paraId="7D98E664" w14:textId="77777777" w:rsidR="00813463" w:rsidRDefault="00813463" w:rsidP="00813463">
      <w:pPr>
        <w:snapToGrid w:val="0"/>
        <w:spacing w:before="60" w:line="360" w:lineRule="auto"/>
        <w:ind w:left="851"/>
        <w:jc w:val="both"/>
        <w:rPr>
          <w:sz w:val="20"/>
          <w:lang w:eastAsia="he-IL"/>
        </w:rPr>
      </w:pPr>
      <w:r>
        <w:rPr>
          <w:sz w:val="20"/>
          <w:rtl/>
          <w:lang w:eastAsia="he-IL"/>
        </w:rPr>
        <w:t xml:space="preserve">המומחית היא רכזת נושא ארצי באגף לאכיפה ופיקוח של משרד הבריאות (להלן: </w:t>
      </w:r>
      <w:r>
        <w:rPr>
          <w:b/>
          <w:bCs/>
          <w:sz w:val="20"/>
          <w:rtl/>
          <w:lang w:eastAsia="he-IL"/>
        </w:rPr>
        <w:t>האגף</w:t>
      </w:r>
      <w:r>
        <w:rPr>
          <w:sz w:val="20"/>
          <w:rtl/>
          <w:lang w:eastAsia="he-IL"/>
        </w:rPr>
        <w:t>). האגף אחראי על טיפול בפשיעה הפרמצבטית, לרבות בקרה, פיקוח וייעוץ בנושא השימוש לרעה בסמים ובחומרים מסוכנים, העלולים לסכן את בריאות הציבור.</w:t>
      </w:r>
    </w:p>
    <w:p w14:paraId="6DCB7972" w14:textId="77777777" w:rsidR="00813463" w:rsidRDefault="00813463" w:rsidP="00813463">
      <w:pPr>
        <w:snapToGrid w:val="0"/>
        <w:spacing w:before="60" w:line="360" w:lineRule="auto"/>
        <w:ind w:left="851"/>
        <w:jc w:val="both"/>
        <w:rPr>
          <w:sz w:val="20"/>
          <w:rtl/>
          <w:lang w:eastAsia="he-IL"/>
        </w:rPr>
      </w:pPr>
      <w:r>
        <w:rPr>
          <w:sz w:val="20"/>
          <w:rtl/>
          <w:lang w:eastAsia="he-IL"/>
        </w:rPr>
        <w:t>דומה שלא יכולה להיות מחלוקת על מומחיותה הרבה בתחום הסמים והחומרים המסוכנים, כעולה מחוות הדעת ומעדותה בבית המשפט. זאת בהינתן נסיונה רב השנים, תפקידה ועיסוקה היומיומי בתחומים אלו, בהינתן תפקידה כחברה בועדות שונות העוסקות בתחום הסמים והחומרים המסוכנים והשפעתם על הציבור, לרבות בצוות המיעץ ליו"ר הועדה לבחינת הכללת חומרים מסוכנים בהליך "</w:t>
      </w:r>
      <w:r>
        <w:rPr>
          <w:b/>
          <w:bCs/>
          <w:sz w:val="20"/>
          <w:rtl/>
          <w:lang w:eastAsia="he-IL"/>
        </w:rPr>
        <w:t>הכרזה דחופה</w:t>
      </w:r>
      <w:r>
        <w:rPr>
          <w:sz w:val="20"/>
          <w:rtl/>
          <w:lang w:eastAsia="he-IL"/>
        </w:rPr>
        <w:t>", אשר קבעה כי</w:t>
      </w:r>
      <w:r>
        <w:rPr>
          <w:rFonts w:ascii="David" w:hAnsi="David"/>
          <w:sz w:val="22"/>
          <w:szCs w:val="28"/>
          <w:rtl/>
          <w:lang w:eastAsia="he-IL"/>
        </w:rPr>
        <w:t xml:space="preserve"> </w:t>
      </w:r>
      <w:r>
        <w:rPr>
          <w:rFonts w:ascii="David" w:hAnsi="David"/>
          <w:sz w:val="22"/>
          <w:szCs w:val="28"/>
          <w:lang w:eastAsia="he-IL"/>
        </w:rPr>
        <w:t>MMC</w:t>
      </w:r>
      <w:r>
        <w:rPr>
          <w:sz w:val="20"/>
          <w:rtl/>
          <w:lang w:eastAsia="he-IL"/>
        </w:rPr>
        <w:t xml:space="preserve"> </w:t>
      </w:r>
      <w:r>
        <w:rPr>
          <w:rFonts w:hint="cs"/>
          <w:sz w:val="20"/>
          <w:rtl/>
          <w:lang w:eastAsia="he-IL"/>
        </w:rPr>
        <w:t>הוא סם מסוכן ולכן יש לצרפו לרשימת הסמים המסוכנים שב-</w:t>
      </w:r>
      <w:r>
        <w:rPr>
          <w:rFonts w:ascii="Miriam" w:hAnsi="Miriam" w:cs="Miriam"/>
          <w:b/>
          <w:bCs/>
          <w:sz w:val="18"/>
          <w:szCs w:val="22"/>
          <w:rtl/>
        </w:rPr>
        <w:t>פקודת הסמים</w:t>
      </w:r>
      <w:r>
        <w:rPr>
          <w:sz w:val="20"/>
          <w:rtl/>
          <w:lang w:eastAsia="he-IL"/>
        </w:rPr>
        <w:t xml:space="preserve">. </w:t>
      </w:r>
    </w:p>
    <w:p w14:paraId="31FEF2A4" w14:textId="77777777" w:rsidR="00813463" w:rsidRDefault="00813463" w:rsidP="00813463">
      <w:pPr>
        <w:snapToGrid w:val="0"/>
        <w:spacing w:before="60" w:line="360" w:lineRule="auto"/>
        <w:ind w:left="851"/>
        <w:jc w:val="both"/>
        <w:rPr>
          <w:sz w:val="20"/>
          <w:lang w:eastAsia="he-IL"/>
        </w:rPr>
      </w:pPr>
      <w:r>
        <w:rPr>
          <w:sz w:val="20"/>
          <w:rtl/>
          <w:lang w:eastAsia="he-IL"/>
        </w:rPr>
        <w:t xml:space="preserve">שמעתי בקשב רב את דברי המומחית והתרשמתי כי היא ביקשה לדייק בדבריה ולהביא לבית המשפט מידע אמין, מהימן, חשוב ומהותי לגבי השפעות הסם. </w:t>
      </w:r>
    </w:p>
    <w:p w14:paraId="1CAF4A88" w14:textId="77777777" w:rsidR="00813463" w:rsidRDefault="00813463" w:rsidP="00813463">
      <w:pPr>
        <w:snapToGrid w:val="0"/>
        <w:spacing w:before="60" w:line="360" w:lineRule="auto"/>
        <w:ind w:left="851"/>
        <w:jc w:val="both"/>
        <w:rPr>
          <w:sz w:val="20"/>
          <w:lang w:eastAsia="he-IL"/>
        </w:rPr>
      </w:pPr>
      <w:r>
        <w:rPr>
          <w:sz w:val="20"/>
          <w:rtl/>
          <w:lang w:eastAsia="he-IL"/>
        </w:rPr>
        <w:t xml:space="preserve">עדות המומחית היתה קוהרנטית ואמינה ואני נותנת אמון בעדותה ובחוות דעתה, הכוללת את </w:t>
      </w:r>
      <w:r>
        <w:rPr>
          <w:rFonts w:cs="Miriam"/>
          <w:b/>
          <w:bCs/>
          <w:sz w:val="18"/>
          <w:szCs w:val="22"/>
          <w:rtl/>
          <w:lang w:eastAsia="he-IL"/>
        </w:rPr>
        <w:t>ת/1</w:t>
      </w:r>
      <w:r>
        <w:rPr>
          <w:sz w:val="20"/>
          <w:rtl/>
          <w:lang w:eastAsia="he-IL"/>
        </w:rPr>
        <w:t xml:space="preserve"> ו-</w:t>
      </w:r>
      <w:r>
        <w:rPr>
          <w:rFonts w:cs="Miriam"/>
          <w:b/>
          <w:bCs/>
          <w:sz w:val="18"/>
          <w:szCs w:val="22"/>
          <w:rtl/>
          <w:lang w:eastAsia="he-IL"/>
        </w:rPr>
        <w:t>ת/2</w:t>
      </w:r>
      <w:r>
        <w:rPr>
          <w:sz w:val="20"/>
          <w:rtl/>
          <w:lang w:eastAsia="he-IL"/>
        </w:rPr>
        <w:t xml:space="preserve"> כאמור לעיל. </w:t>
      </w:r>
    </w:p>
    <w:p w14:paraId="0BCB0BCA" w14:textId="77777777" w:rsidR="00813463" w:rsidRDefault="00813463" w:rsidP="00813463">
      <w:pPr>
        <w:numPr>
          <w:ilvl w:val="1"/>
          <w:numId w:val="2"/>
        </w:numPr>
        <w:snapToGrid w:val="0"/>
        <w:spacing w:before="120" w:line="360" w:lineRule="auto"/>
        <w:ind w:left="851" w:hanging="397"/>
        <w:jc w:val="both"/>
        <w:rPr>
          <w:sz w:val="20"/>
          <w:lang w:eastAsia="he-IL"/>
        </w:rPr>
      </w:pPr>
      <w:r>
        <w:rPr>
          <w:sz w:val="20"/>
          <w:rtl/>
          <w:lang w:eastAsia="he-IL"/>
        </w:rPr>
        <w:t xml:space="preserve">אשר על כן, </w:t>
      </w:r>
      <w:r>
        <w:rPr>
          <w:b/>
          <w:bCs/>
          <w:sz w:val="20"/>
          <w:rtl/>
          <w:lang w:eastAsia="he-IL"/>
        </w:rPr>
        <w:t>מצאתי כי המאשימה הוכיחה, מעבר לספק סביר, את נסיבות ביצוע העבירה, בכל הנוגע לסוג הסם והשפעותיו הישירות והעקיפות על הציבור</w:t>
      </w:r>
      <w:r>
        <w:rPr>
          <w:sz w:val="20"/>
          <w:rtl/>
          <w:lang w:eastAsia="he-IL"/>
        </w:rPr>
        <w:t>, כפי שיפורט להלן:</w:t>
      </w:r>
    </w:p>
    <w:p w14:paraId="079009B2" w14:textId="77777777" w:rsidR="00813463" w:rsidRDefault="00813463" w:rsidP="00813463">
      <w:pPr>
        <w:numPr>
          <w:ilvl w:val="2"/>
          <w:numId w:val="2"/>
        </w:numPr>
        <w:snapToGrid w:val="0"/>
        <w:spacing w:before="60" w:line="360" w:lineRule="auto"/>
        <w:ind w:left="1211" w:hanging="360"/>
        <w:jc w:val="both"/>
        <w:rPr>
          <w:rtl/>
          <w:lang w:eastAsia="he-IL"/>
        </w:rPr>
      </w:pPr>
      <w:r>
        <w:rPr>
          <w:rFonts w:ascii="David" w:hAnsi="David"/>
          <w:sz w:val="22"/>
          <w:szCs w:val="28"/>
          <w:lang w:eastAsia="he-IL"/>
        </w:rPr>
        <w:t>MMC</w:t>
      </w:r>
      <w:r>
        <w:rPr>
          <w:sz w:val="20"/>
          <w:rtl/>
          <w:lang w:eastAsia="he-IL"/>
        </w:rPr>
        <w:t xml:space="preserve"> </w:t>
      </w:r>
      <w:r>
        <w:rPr>
          <w:rFonts w:hint="cs"/>
          <w:sz w:val="20"/>
          <w:rtl/>
          <w:lang w:eastAsia="he-IL"/>
        </w:rPr>
        <w:t>ידוע בכינוי "</w:t>
      </w:r>
      <w:r>
        <w:rPr>
          <w:rFonts w:hint="cs"/>
          <w:b/>
          <w:bCs/>
          <w:sz w:val="20"/>
          <w:rtl/>
          <w:lang w:eastAsia="he-IL"/>
        </w:rPr>
        <w:t>דוקטור</w:t>
      </w:r>
      <w:r>
        <w:rPr>
          <w:rFonts w:hint="cs"/>
          <w:sz w:val="20"/>
          <w:rtl/>
          <w:lang w:eastAsia="he-IL"/>
        </w:rPr>
        <w:t>", "</w:t>
      </w:r>
      <w:r>
        <w:rPr>
          <w:rFonts w:hint="cs"/>
          <w:b/>
          <w:bCs/>
          <w:sz w:val="20"/>
          <w:rtl/>
          <w:lang w:eastAsia="he-IL"/>
        </w:rPr>
        <w:t>ממסי</w:t>
      </w:r>
      <w:r>
        <w:rPr>
          <w:rFonts w:hint="cs"/>
          <w:sz w:val="20"/>
          <w:rtl/>
          <w:lang w:eastAsia="he-IL"/>
        </w:rPr>
        <w:t>" ו-"</w:t>
      </w:r>
      <w:r>
        <w:rPr>
          <w:rFonts w:hint="cs"/>
          <w:b/>
          <w:bCs/>
          <w:sz w:val="20"/>
          <w:rtl/>
          <w:lang w:eastAsia="he-IL"/>
        </w:rPr>
        <w:t>מפדרון</w:t>
      </w:r>
      <w:r>
        <w:rPr>
          <w:rFonts w:hint="cs"/>
          <w:sz w:val="20"/>
          <w:rtl/>
          <w:lang w:eastAsia="he-IL"/>
        </w:rPr>
        <w:t>", משתייך למשפחת "</w:t>
      </w:r>
      <w:r>
        <w:rPr>
          <w:rFonts w:hint="cs"/>
          <w:b/>
          <w:bCs/>
          <w:sz w:val="20"/>
          <w:rtl/>
          <w:lang w:eastAsia="he-IL"/>
        </w:rPr>
        <w:t>האמפטמינים</w:t>
      </w:r>
      <w:r>
        <w:rPr>
          <w:rFonts w:hint="cs"/>
          <w:sz w:val="20"/>
          <w:rtl/>
          <w:lang w:eastAsia="he-IL"/>
        </w:rPr>
        <w:t xml:space="preserve"> </w:t>
      </w:r>
      <w:r>
        <w:rPr>
          <w:rFonts w:hint="cs"/>
          <w:b/>
          <w:bCs/>
          <w:sz w:val="20"/>
          <w:rtl/>
          <w:lang w:eastAsia="he-IL"/>
        </w:rPr>
        <w:t>וקטינונים סינטטיים</w:t>
      </w:r>
      <w:r>
        <w:rPr>
          <w:rFonts w:hint="cs"/>
          <w:sz w:val="20"/>
          <w:rtl/>
          <w:lang w:eastAsia="he-IL"/>
        </w:rPr>
        <w:t>", ידוע כ"</w:t>
      </w:r>
      <w:r>
        <w:rPr>
          <w:rFonts w:hint="cs"/>
          <w:b/>
          <w:bCs/>
          <w:sz w:val="20"/>
          <w:rtl/>
          <w:lang w:eastAsia="he-IL"/>
        </w:rPr>
        <w:t>סם פיצוציות</w:t>
      </w:r>
      <w:r>
        <w:rPr>
          <w:rFonts w:hint="cs"/>
          <w:sz w:val="20"/>
          <w:rtl/>
          <w:lang w:eastAsia="he-IL"/>
        </w:rPr>
        <w:t>" ואין לו שימוש רפואי כלשהו. הסם זמין למכירה באתרי אינטרנט פיראטיים ובשוק הסמים בצורות של אבקה, טבליות וקפסולות לבליעה. משתמשים ב-</w:t>
      </w:r>
      <w:r>
        <w:rPr>
          <w:rFonts w:ascii="David" w:hAnsi="David"/>
          <w:sz w:val="22"/>
          <w:szCs w:val="28"/>
          <w:lang w:eastAsia="he-IL"/>
        </w:rPr>
        <w:t xml:space="preserve"> MMC</w:t>
      </w:r>
      <w:r>
        <w:rPr>
          <w:rFonts w:ascii="David" w:hAnsi="David"/>
          <w:rtl/>
          <w:lang w:eastAsia="he-IL"/>
        </w:rPr>
        <w:t>בשאיפה, הזרקה, עישון והכנות רקטליות. המינון הידוע של מנת סם הוא כ-75–</w:t>
      </w:r>
      <w:r>
        <w:rPr>
          <w:sz w:val="20"/>
          <w:rtl/>
          <w:lang w:eastAsia="he-IL"/>
        </w:rPr>
        <w:t xml:space="preserve">250 מ"ג למנה. כך, מתוך 100 גרם של אבקת </w:t>
      </w:r>
      <w:r>
        <w:rPr>
          <w:rFonts w:ascii="David" w:hAnsi="David"/>
          <w:sz w:val="22"/>
          <w:szCs w:val="28"/>
          <w:lang w:eastAsia="he-IL"/>
        </w:rPr>
        <w:t>MMC</w:t>
      </w:r>
      <w:r>
        <w:rPr>
          <w:rFonts w:ascii="David" w:hAnsi="David"/>
          <w:sz w:val="22"/>
          <w:szCs w:val="28"/>
          <w:rtl/>
          <w:lang w:eastAsia="he-IL"/>
        </w:rPr>
        <w:t xml:space="preserve"> </w:t>
      </w:r>
      <w:r>
        <w:rPr>
          <w:rFonts w:ascii="David" w:hAnsi="David"/>
          <w:rtl/>
          <w:lang w:eastAsia="he-IL"/>
        </w:rPr>
        <w:t>ניתן לייצר כ-400–</w:t>
      </w:r>
      <w:r>
        <w:rPr>
          <w:sz w:val="20"/>
          <w:rtl/>
          <w:lang w:eastAsia="he-IL"/>
        </w:rPr>
        <w:t>1,330 מנות סם. בהסנפת אבקה המינון למנת סם נמוך יותר וכך כמות המנות שניתן לייצר גדולה יותר. ל-</w:t>
      </w:r>
      <w:r>
        <w:rPr>
          <w:rFonts w:ascii="David" w:hAnsi="David"/>
          <w:sz w:val="22"/>
          <w:szCs w:val="28"/>
          <w:lang w:eastAsia="he-IL"/>
        </w:rPr>
        <w:t xml:space="preserve"> MMC</w:t>
      </w:r>
      <w:r>
        <w:rPr>
          <w:rFonts w:ascii="David" w:hAnsi="David"/>
          <w:rtl/>
          <w:lang w:eastAsia="he-IL"/>
        </w:rPr>
        <w:t xml:space="preserve">יש 3 איזומרים, </w:t>
      </w:r>
      <w:r>
        <w:rPr>
          <w:rFonts w:ascii="David" w:hAnsi="David"/>
          <w:sz w:val="22"/>
          <w:szCs w:val="22"/>
          <w:lang w:eastAsia="he-IL"/>
        </w:rPr>
        <w:t>M</w:t>
      </w:r>
      <w:r>
        <w:rPr>
          <w:rFonts w:ascii="David" w:hAnsi="David"/>
          <w:rtl/>
          <w:lang w:eastAsia="he-IL"/>
        </w:rPr>
        <w:t xml:space="preserve">, </w:t>
      </w:r>
      <w:r>
        <w:rPr>
          <w:rFonts w:ascii="David" w:hAnsi="David"/>
          <w:sz w:val="22"/>
          <w:szCs w:val="22"/>
          <w:lang w:eastAsia="he-IL"/>
        </w:rPr>
        <w:t>O</w:t>
      </w:r>
      <w:r>
        <w:rPr>
          <w:rFonts w:ascii="David" w:hAnsi="David"/>
          <w:rtl/>
          <w:lang w:eastAsia="he-IL"/>
        </w:rPr>
        <w:t xml:space="preserve"> ו-</w:t>
      </w:r>
      <w:r>
        <w:rPr>
          <w:rFonts w:ascii="David" w:hAnsi="David"/>
          <w:sz w:val="22"/>
          <w:szCs w:val="22"/>
          <w:lang w:eastAsia="he-IL"/>
        </w:rPr>
        <w:t>P</w:t>
      </w:r>
      <w:r>
        <w:rPr>
          <w:rFonts w:ascii="David" w:hAnsi="David"/>
          <w:rtl/>
          <w:lang w:eastAsia="he-IL"/>
        </w:rPr>
        <w:t xml:space="preserve">. האיזומר שזוהה בחומר שנתפס בתיק שלפני הוא איזומר </w:t>
      </w:r>
      <w:r>
        <w:rPr>
          <w:rFonts w:ascii="David" w:hAnsi="David"/>
          <w:sz w:val="22"/>
          <w:szCs w:val="22"/>
          <w:lang w:eastAsia="he-IL"/>
        </w:rPr>
        <w:t>M</w:t>
      </w:r>
      <w:r>
        <w:rPr>
          <w:rFonts w:ascii="David" w:hAnsi="David"/>
          <w:rtl/>
          <w:lang w:eastAsia="he-IL"/>
        </w:rPr>
        <w:t>, כעולה מחוות דעת מז"פ בתיק, ולגביו צורף דו"ח סקירה של מרכז הניטור האירופי לסמים והתמכרות לסמים (</w:t>
      </w:r>
      <w:r>
        <w:rPr>
          <w:rFonts w:ascii="David" w:hAnsi="David"/>
          <w:sz w:val="22"/>
          <w:szCs w:val="22"/>
          <w:lang w:eastAsia="he-IL"/>
        </w:rPr>
        <w:t>EMCDDA</w:t>
      </w:r>
      <w:r>
        <w:rPr>
          <w:rFonts w:ascii="David" w:hAnsi="David"/>
          <w:rtl/>
          <w:lang w:eastAsia="he-IL"/>
        </w:rPr>
        <w:t>) לאיזומר זה, כנספח ל-</w:t>
      </w:r>
      <w:r>
        <w:rPr>
          <w:rFonts w:cs="Miriam"/>
          <w:b/>
          <w:bCs/>
          <w:sz w:val="18"/>
          <w:szCs w:val="22"/>
          <w:rtl/>
          <w:lang w:eastAsia="he-IL"/>
        </w:rPr>
        <w:t>ת/2</w:t>
      </w:r>
      <w:r>
        <w:rPr>
          <w:rFonts w:ascii="David" w:hAnsi="David"/>
          <w:rtl/>
          <w:lang w:eastAsia="he-IL"/>
        </w:rPr>
        <w:t xml:space="preserve">. </w:t>
      </w:r>
    </w:p>
    <w:p w14:paraId="3BD0A5D1" w14:textId="77777777" w:rsidR="00813463" w:rsidRDefault="00813463" w:rsidP="00813463">
      <w:pPr>
        <w:numPr>
          <w:ilvl w:val="2"/>
          <w:numId w:val="2"/>
        </w:numPr>
        <w:snapToGrid w:val="0"/>
        <w:spacing w:before="60" w:line="360" w:lineRule="auto"/>
        <w:ind w:left="1211" w:hanging="360"/>
        <w:jc w:val="both"/>
        <w:rPr>
          <w:sz w:val="20"/>
          <w:lang w:eastAsia="he-IL"/>
        </w:rPr>
      </w:pPr>
      <w:r>
        <w:rPr>
          <w:sz w:val="20"/>
          <w:rtl/>
          <w:lang w:eastAsia="he-IL"/>
        </w:rPr>
        <w:t xml:space="preserve">השפעות </w:t>
      </w:r>
      <w:r>
        <w:rPr>
          <w:rFonts w:ascii="David" w:hAnsi="David"/>
          <w:sz w:val="22"/>
          <w:szCs w:val="28"/>
          <w:lang w:eastAsia="he-IL"/>
        </w:rPr>
        <w:t>MMC</w:t>
      </w:r>
      <w:r>
        <w:rPr>
          <w:sz w:val="20"/>
          <w:rtl/>
          <w:lang w:eastAsia="he-IL"/>
        </w:rPr>
        <w:t xml:space="preserve"> דומות להשפעות סמים כגון </w:t>
      </w:r>
      <w:r>
        <w:rPr>
          <w:rFonts w:ascii="David" w:hAnsi="David"/>
          <w:sz w:val="22"/>
          <w:szCs w:val="28"/>
          <w:lang w:eastAsia="he-IL"/>
        </w:rPr>
        <w:t>MDMA</w:t>
      </w:r>
      <w:r>
        <w:rPr>
          <w:sz w:val="20"/>
          <w:rtl/>
          <w:lang w:eastAsia="he-IL"/>
        </w:rPr>
        <w:t>, אקסטזי וסמים ממריצים אחרים, ולעיתים משמש כתחליף לסמי מועדונים ידועים כגון אקסטזי וקוקאין. גם מחקירתה הנגדית של המומחית עלה כי במנעד שבין אלו המכונים "</w:t>
      </w:r>
      <w:r>
        <w:rPr>
          <w:b/>
          <w:bCs/>
          <w:sz w:val="20"/>
          <w:rtl/>
          <w:lang w:eastAsia="he-IL"/>
        </w:rPr>
        <w:t>סמים קלים</w:t>
      </w:r>
      <w:r>
        <w:rPr>
          <w:sz w:val="20"/>
          <w:rtl/>
          <w:lang w:eastAsia="he-IL"/>
        </w:rPr>
        <w:t>" כדוגמת קנביס, לבין אלו המכונים "</w:t>
      </w:r>
      <w:r>
        <w:rPr>
          <w:b/>
          <w:bCs/>
          <w:sz w:val="20"/>
          <w:rtl/>
          <w:lang w:eastAsia="he-IL"/>
        </w:rPr>
        <w:t>סמים קשים</w:t>
      </w:r>
      <w:r>
        <w:rPr>
          <w:sz w:val="20"/>
          <w:rtl/>
          <w:lang w:eastAsia="he-IL"/>
        </w:rPr>
        <w:t xml:space="preserve">" כדוגמת קוקאין - </w:t>
      </w:r>
      <w:r>
        <w:rPr>
          <w:rFonts w:ascii="David" w:hAnsi="David"/>
          <w:sz w:val="22"/>
          <w:szCs w:val="28"/>
          <w:lang w:eastAsia="he-IL"/>
        </w:rPr>
        <w:t>MMC</w:t>
      </w:r>
      <w:r>
        <w:rPr>
          <w:sz w:val="20"/>
          <w:rtl/>
          <w:lang w:eastAsia="he-IL"/>
        </w:rPr>
        <w:t xml:space="preserve"> נמצא קרוב יותר ל"</w:t>
      </w:r>
      <w:r>
        <w:rPr>
          <w:b/>
          <w:bCs/>
          <w:sz w:val="20"/>
          <w:rtl/>
          <w:lang w:eastAsia="he-IL"/>
        </w:rPr>
        <w:t>סמים הקשים</w:t>
      </w:r>
      <w:r>
        <w:rPr>
          <w:sz w:val="20"/>
          <w:rtl/>
          <w:lang w:eastAsia="he-IL"/>
        </w:rPr>
        <w:t xml:space="preserve">" כדוגמת קוקאין. </w:t>
      </w:r>
    </w:p>
    <w:p w14:paraId="4E760696" w14:textId="77777777" w:rsidR="00813463" w:rsidRDefault="00813463" w:rsidP="00813463">
      <w:pPr>
        <w:numPr>
          <w:ilvl w:val="0"/>
          <w:numId w:val="2"/>
        </w:numPr>
        <w:snapToGrid w:val="0"/>
        <w:spacing w:before="240" w:line="360" w:lineRule="auto"/>
        <w:ind w:left="357" w:hanging="357"/>
        <w:jc w:val="both"/>
        <w:rPr>
          <w:sz w:val="20"/>
          <w:lang w:eastAsia="he-IL"/>
        </w:rPr>
      </w:pPr>
      <w:r>
        <w:rPr>
          <w:sz w:val="20"/>
          <w:rtl/>
          <w:lang w:eastAsia="he-IL"/>
        </w:rPr>
        <w:t>ב-</w:t>
      </w:r>
      <w:hyperlink r:id="rId43" w:history="1">
        <w:r w:rsidR="008D4222" w:rsidRPr="008D4222">
          <w:rPr>
            <w:color w:val="0000FF"/>
            <w:sz w:val="20"/>
            <w:u w:val="single"/>
            <w:rtl/>
            <w:lang w:eastAsia="he-IL"/>
          </w:rPr>
          <w:t>ע"פ 4915/15</w:t>
        </w:r>
      </w:hyperlink>
      <w:r>
        <w:rPr>
          <w:sz w:val="20"/>
          <w:rtl/>
          <w:lang w:eastAsia="he-IL"/>
        </w:rPr>
        <w:t xml:space="preserve"> </w:t>
      </w:r>
      <w:r>
        <w:rPr>
          <w:rFonts w:ascii="Miriam" w:hAnsi="Miriam" w:cs="Miriam"/>
          <w:b/>
          <w:bCs/>
          <w:sz w:val="18"/>
          <w:szCs w:val="22"/>
          <w:rtl/>
          <w:lang w:eastAsia="he-IL"/>
        </w:rPr>
        <w:t xml:space="preserve">ותד ואח' נ' מדינת ישראל </w:t>
      </w:r>
      <w:r>
        <w:rPr>
          <w:sz w:val="20"/>
          <w:rtl/>
          <w:lang w:eastAsia="he-IL"/>
        </w:rPr>
        <w:t xml:space="preserve">(2.11.15) (להלן: </w:t>
      </w:r>
      <w:r>
        <w:rPr>
          <w:rFonts w:ascii="Miriam" w:hAnsi="Miriam" w:cs="Miriam"/>
          <w:b/>
          <w:bCs/>
          <w:sz w:val="18"/>
          <w:szCs w:val="22"/>
          <w:rtl/>
          <w:lang w:eastAsia="he-IL"/>
        </w:rPr>
        <w:t>ענין ותד</w:t>
      </w:r>
      <w:r>
        <w:rPr>
          <w:sz w:val="20"/>
          <w:rtl/>
          <w:lang w:eastAsia="he-IL"/>
        </w:rPr>
        <w:t>) דן בית המשפט העליון בעבירות סמים שבוצעו בסם</w:t>
      </w:r>
      <w:r>
        <w:rPr>
          <w:rFonts w:ascii="David" w:hAnsi="David"/>
          <w:rtl/>
        </w:rPr>
        <w:t xml:space="preserve"> ממשפחת הקנבינואידים הסינטטיים, הידוע</w:t>
      </w:r>
      <w:r>
        <w:rPr>
          <w:sz w:val="20"/>
          <w:rtl/>
          <w:lang w:eastAsia="he-IL"/>
        </w:rPr>
        <w:t xml:space="preserve"> בכינוי "</w:t>
      </w:r>
      <w:r>
        <w:rPr>
          <w:b/>
          <w:bCs/>
          <w:sz w:val="20"/>
          <w:rtl/>
          <w:lang w:eastAsia="he-IL"/>
        </w:rPr>
        <w:t>נייס גאי</w:t>
      </w:r>
      <w:r>
        <w:rPr>
          <w:sz w:val="20"/>
          <w:rtl/>
          <w:lang w:eastAsia="he-IL"/>
        </w:rPr>
        <w:t>". נסיבות ביצוע העבירות, לרבות סוג הסם ומהות המעשים שביצעו המערערים ב-</w:t>
      </w:r>
      <w:r>
        <w:rPr>
          <w:rFonts w:ascii="Miriam" w:hAnsi="Miriam" w:cs="Miriam"/>
          <w:b/>
          <w:bCs/>
          <w:sz w:val="18"/>
          <w:szCs w:val="22"/>
          <w:rtl/>
          <w:lang w:eastAsia="he-IL"/>
        </w:rPr>
        <w:t>ענין ותד</w:t>
      </w:r>
      <w:r>
        <w:rPr>
          <w:sz w:val="20"/>
          <w:rtl/>
          <w:lang w:eastAsia="he-IL"/>
        </w:rPr>
        <w:t>, שונות אמנם מהנסיבות בתיק שלפניי - אולם חלק מהקביעות ב-</w:t>
      </w:r>
      <w:r>
        <w:rPr>
          <w:rFonts w:ascii="Miriam" w:hAnsi="Miriam" w:cs="Miriam"/>
          <w:b/>
          <w:bCs/>
          <w:sz w:val="18"/>
          <w:szCs w:val="22"/>
          <w:rtl/>
          <w:lang w:eastAsia="he-IL"/>
        </w:rPr>
        <w:t xml:space="preserve">ענין ותד </w:t>
      </w:r>
      <w:r>
        <w:rPr>
          <w:sz w:val="20"/>
          <w:rtl/>
          <w:lang w:eastAsia="he-IL"/>
        </w:rPr>
        <w:t>רלוונטיות לעניינו. להשלמת התמונה אציין כי כל המערערים ב-</w:t>
      </w:r>
      <w:r>
        <w:rPr>
          <w:rFonts w:ascii="Miriam" w:hAnsi="Miriam" w:cs="Miriam"/>
          <w:b/>
          <w:bCs/>
          <w:sz w:val="18"/>
          <w:szCs w:val="22"/>
          <w:rtl/>
          <w:lang w:eastAsia="he-IL"/>
        </w:rPr>
        <w:t xml:space="preserve">ענין ותד </w:t>
      </w:r>
      <w:r>
        <w:rPr>
          <w:sz w:val="20"/>
          <w:rtl/>
          <w:lang w:eastAsia="he-IL"/>
        </w:rPr>
        <w:t xml:space="preserve">הורשעו בעבירות קשירת קשר לפשע. 2 הורשעו ב-החזקת סם מסוכן שלא לצריכה עצמית, 1 הורשע ב-תיווך בסם מסוכן ו-2 הורשע ב-עסקה בסמים. כל העבירות קשורות בעסקה של רכישת </w:t>
      </w:r>
      <w:r>
        <w:rPr>
          <w:rFonts w:ascii="David" w:hAnsi="David"/>
          <w:rtl/>
        </w:rPr>
        <w:t>כ-300 גרם חומר פעיל של "נייס גיא" (</w:t>
      </w:r>
      <w:r>
        <w:rPr>
          <w:rtl/>
        </w:rPr>
        <w:t>ביחס משוער של 20 גרם חומר פעיל לכל ק"ג חומר צמחי במשקל כ-15 ק"ג)</w:t>
      </w:r>
      <w:r>
        <w:rPr>
          <w:rFonts w:ascii="David" w:hAnsi="David"/>
          <w:rtl/>
        </w:rPr>
        <w:t xml:space="preserve">. בית המשפט המחוזי בחיפה קבע כי נוכח תכונותיהם הרעות של חומרים אלו אין להחיל עליהם את רמת הענישה המתונה באופן יחסי הנהוגה ביחס לסמים מסוג קנבוס או חשיש, אולם מאחר שהחומרים הוכרזו כסמים פחות משנה עובר למתן גזר דינו, יש להעלות את רף הענישה באופן הדרגתי, ולא באבחה אחת. נקבע מתחם 2–5 שנות מאסר והושתו עונשים של 24–28 חודשי מאסר בפועל, כל אחד לפי חלקו ובהתאם לנסיבותיו האישיות, ובכלל זה קיומו או העדרו של עבר פלילי. </w:t>
      </w:r>
      <w:r>
        <w:rPr>
          <w:sz w:val="20"/>
          <w:rtl/>
          <w:lang w:eastAsia="he-IL"/>
        </w:rPr>
        <w:t xml:space="preserve">בסעיף 3 לפסק דינו </w:t>
      </w:r>
      <w:r>
        <w:rPr>
          <w:rFonts w:ascii="David" w:hAnsi="David"/>
          <w:rtl/>
        </w:rPr>
        <w:t xml:space="preserve">דן כב' הש' הנדל בטענה </w:t>
      </w:r>
      <w:r>
        <w:rPr>
          <w:rtl/>
        </w:rPr>
        <w:t>כי לא היה מקום להשית עונשים כה חמורים טרם התגבשה מדיניות ענישה ביחס לסם, שהיה אותה עת סם "חדש" והתייחס לטענה בשני מישורים. כוחו של המישור הראשון יפה גם לענייננו, כפי שעולה מהמובאה דלהלן, אך בהינתן שהסם בתיק שלפניי הוסף ל-</w:t>
      </w:r>
      <w:r>
        <w:rPr>
          <w:rFonts w:ascii="Miriam" w:hAnsi="Miriam" w:cs="Miriam"/>
          <w:b/>
          <w:bCs/>
          <w:sz w:val="18"/>
          <w:szCs w:val="22"/>
          <w:rtl/>
        </w:rPr>
        <w:t xml:space="preserve">פקודת הסמים </w:t>
      </w:r>
      <w:r>
        <w:rPr>
          <w:rtl/>
        </w:rPr>
        <w:t>עוד בשנת 2014 - המישור השני פחות רלוונטי, שכן לא מדובר עוד במקרה ראשון של אכיפה</w:t>
      </w:r>
      <w:r>
        <w:rPr>
          <w:sz w:val="20"/>
          <w:rtl/>
          <w:lang w:eastAsia="he-IL"/>
        </w:rPr>
        <w:t>. כך נקבע בסעיף 3 לפסק דינו של כב' הש' הנדל ב-</w:t>
      </w:r>
      <w:r>
        <w:rPr>
          <w:rFonts w:ascii="Miriam" w:hAnsi="Miriam" w:cs="Miriam"/>
          <w:b/>
          <w:bCs/>
          <w:sz w:val="18"/>
          <w:szCs w:val="22"/>
          <w:rtl/>
          <w:lang w:eastAsia="he-IL"/>
        </w:rPr>
        <w:t xml:space="preserve">ענין יהודה </w:t>
      </w:r>
      <w:r>
        <w:rPr>
          <w:sz w:val="20"/>
          <w:rtl/>
          <w:lang w:eastAsia="he-IL"/>
        </w:rPr>
        <w:t xml:space="preserve">- </w:t>
      </w:r>
    </w:p>
    <w:p w14:paraId="20E78328" w14:textId="77777777" w:rsidR="00813463" w:rsidRDefault="00813463" w:rsidP="00813463">
      <w:pPr>
        <w:widowControl w:val="0"/>
        <w:snapToGrid w:val="0"/>
        <w:spacing w:before="60" w:line="360" w:lineRule="auto"/>
        <w:ind w:left="1474" w:right="1304"/>
        <w:jc w:val="both"/>
        <w:rPr>
          <w:b/>
          <w:bCs/>
          <w:sz w:val="20"/>
          <w:lang w:eastAsia="he-IL"/>
        </w:rPr>
      </w:pPr>
      <w:r>
        <w:rPr>
          <w:sz w:val="20"/>
          <w:rtl/>
          <w:lang w:eastAsia="he-IL"/>
        </w:rPr>
        <w:t>"...</w:t>
      </w:r>
      <w:r>
        <w:rPr>
          <w:b/>
          <w:bCs/>
          <w:sz w:val="20"/>
          <w:rtl/>
          <w:lang w:eastAsia="he-IL"/>
        </w:rPr>
        <w:t xml:space="preserve"> המישור הראשון הוא טיבו של הסם ומהות הסכנה הנשקפת ממנו - כפי שהם עולים מחוות דעת המומחה שהציגה המדינה בבית המשפט המחוזי, לנוכח היותו 'סם מסוכן חדש' ולא מוכר. חוות הדעת מלמדת כי הסם אמנם איננו מסוכן בעוצמה המיוחסת לסמים קשים, כגון הרואין, אך בד בבד הוא ניחן במאפיינים שונים שבגינם מסוכנותו עולה על זו של סמים שנחשבים קשים פחות, כגון חשיש או מריחואנה. לנוכח מיקומו של הסם במדרג הסיכון</w:t>
      </w:r>
      <w:r>
        <w:rPr>
          <w:sz w:val="20"/>
          <w:rtl/>
          <w:lang w:eastAsia="he-IL"/>
        </w:rPr>
        <w:t>,...</w:t>
      </w:r>
      <w:r>
        <w:rPr>
          <w:b/>
          <w:bCs/>
          <w:sz w:val="20"/>
          <w:rtl/>
          <w:lang w:eastAsia="he-IL"/>
        </w:rPr>
        <w:t xml:space="preserve"> מאפייניו האינדיבידואליים של הסם מחייבים התייחסות מחמירה לעבירות הקשורות בו כבר עתה</w:t>
      </w:r>
      <w:r>
        <w:rPr>
          <w:sz w:val="20"/>
          <w:rtl/>
          <w:lang w:eastAsia="he-IL"/>
        </w:rPr>
        <w:t>...</w:t>
      </w:r>
      <w:r>
        <w:rPr>
          <w:b/>
          <w:bCs/>
          <w:sz w:val="20"/>
          <w:rtl/>
          <w:lang w:eastAsia="he-IL"/>
        </w:rPr>
        <w:t xml:space="preserve"> על רקע מאפייניו הקונקרטיים של הסם נשוא ענייננו, דומה כי אין לייחס להופעתו זה-מקרוב משקל רב מדי לקולא. </w:t>
      </w:r>
    </w:p>
    <w:p w14:paraId="6C9F6720" w14:textId="77777777" w:rsidR="00813463" w:rsidRDefault="00813463" w:rsidP="00813463">
      <w:pPr>
        <w:widowControl w:val="0"/>
        <w:snapToGrid w:val="0"/>
        <w:spacing w:before="60" w:line="360" w:lineRule="auto"/>
        <w:ind w:left="1474" w:right="1287"/>
        <w:jc w:val="both"/>
        <w:rPr>
          <w:sz w:val="20"/>
          <w:lang w:eastAsia="he-IL"/>
        </w:rPr>
      </w:pPr>
      <w:r>
        <w:rPr>
          <w:b/>
          <w:bCs/>
          <w:sz w:val="20"/>
          <w:rtl/>
          <w:lang w:eastAsia="he-IL"/>
        </w:rPr>
        <w:t>המישור השני הוא, כי בית המשפט המחוזי אמנם התחשב במידה מסוימת באלמנט ה'חידוש' שבהגדרת הסם כסם מסוכן, והדגיש כי 'ההחמרה במדיניות הענישה בהקשר לקנבינואידים הסינטטיים</w:t>
      </w:r>
      <w:r>
        <w:rPr>
          <w:sz w:val="20"/>
          <w:rtl/>
          <w:lang w:eastAsia="he-IL"/>
        </w:rPr>
        <w:t xml:space="preserve"> ...</w:t>
      </w:r>
      <w:r>
        <w:rPr>
          <w:b/>
          <w:bCs/>
          <w:sz w:val="20"/>
          <w:rtl/>
          <w:lang w:eastAsia="he-IL"/>
        </w:rPr>
        <w:t xml:space="preserve"> אינה יכולה להיעשות באבחה אחת'. כך עשה, וכך ראוי שיעשה. נזכיר כי העונש המרבי בגין העבירות בהן הורשעו המערערים עומד על 20 שנות מאסר, כך שמתחמי הענישה שקבע בית המשפט קמא - שלא לדבר על העונש שהוטל על המערערים בפועל - אכן משקפים התחשבות שכזו</w:t>
      </w:r>
      <w:r>
        <w:rPr>
          <w:sz w:val="20"/>
          <w:rtl/>
          <w:lang w:eastAsia="he-IL"/>
        </w:rPr>
        <w:t>".</w:t>
      </w:r>
    </w:p>
    <w:p w14:paraId="3A442F69" w14:textId="77777777" w:rsidR="00813463" w:rsidRDefault="00813463" w:rsidP="00813463">
      <w:pPr>
        <w:numPr>
          <w:ilvl w:val="0"/>
          <w:numId w:val="2"/>
        </w:numPr>
        <w:snapToGrid w:val="0"/>
        <w:spacing w:before="240" w:line="360" w:lineRule="auto"/>
        <w:ind w:left="357" w:hanging="357"/>
        <w:jc w:val="both"/>
        <w:rPr>
          <w:sz w:val="20"/>
          <w:lang w:eastAsia="he-IL"/>
        </w:rPr>
      </w:pPr>
      <w:r>
        <w:rPr>
          <w:rFonts w:ascii="David" w:hAnsi="David"/>
          <w:rtl/>
          <w:lang w:eastAsia="he-IL"/>
        </w:rPr>
        <w:t>ב-</w:t>
      </w:r>
      <w:hyperlink r:id="rId44" w:history="1">
        <w:r w:rsidR="008D4222" w:rsidRPr="008D4222">
          <w:rPr>
            <w:color w:val="0000FF"/>
            <w:sz w:val="20"/>
            <w:u w:val="single"/>
            <w:rtl/>
            <w:lang w:eastAsia="he-IL"/>
          </w:rPr>
          <w:t>ע"פ 1635/14</w:t>
        </w:r>
      </w:hyperlink>
      <w:r>
        <w:rPr>
          <w:sz w:val="20"/>
          <w:rtl/>
          <w:lang w:eastAsia="he-IL"/>
        </w:rPr>
        <w:t xml:space="preserve"> </w:t>
      </w:r>
      <w:r>
        <w:rPr>
          <w:rFonts w:ascii="Miriam" w:hAnsi="Miriam" w:cs="Miriam"/>
          <w:b/>
          <w:bCs/>
          <w:sz w:val="18"/>
          <w:szCs w:val="22"/>
          <w:rtl/>
        </w:rPr>
        <w:t>יהודה נ' מדינת ישראל</w:t>
      </w:r>
      <w:r>
        <w:rPr>
          <w:sz w:val="20"/>
          <w:rtl/>
          <w:lang w:eastAsia="he-IL"/>
        </w:rPr>
        <w:t xml:space="preserve"> (21.8.14) (להלן: </w:t>
      </w:r>
      <w:r>
        <w:rPr>
          <w:rFonts w:ascii="Miriam" w:hAnsi="Miriam" w:cs="Miriam"/>
          <w:b/>
          <w:bCs/>
          <w:sz w:val="18"/>
          <w:szCs w:val="22"/>
          <w:rtl/>
        </w:rPr>
        <w:t>ענין יהודה</w:t>
      </w:r>
      <w:r>
        <w:rPr>
          <w:sz w:val="20"/>
          <w:rtl/>
          <w:lang w:eastAsia="he-IL"/>
        </w:rPr>
        <w:t>) אליו התייחס כב' הש' הנדל בפסק דינו ב-</w:t>
      </w:r>
      <w:r>
        <w:rPr>
          <w:rFonts w:ascii="Miriam" w:hAnsi="Miriam" w:cs="Miriam"/>
          <w:b/>
          <w:bCs/>
          <w:sz w:val="18"/>
          <w:szCs w:val="22"/>
          <w:rtl/>
          <w:lang w:eastAsia="he-IL"/>
        </w:rPr>
        <w:t>ענין ותד</w:t>
      </w:r>
      <w:r>
        <w:rPr>
          <w:sz w:val="20"/>
          <w:rtl/>
          <w:lang w:eastAsia="he-IL"/>
        </w:rPr>
        <w:t xml:space="preserve">, דן בית המשפט העליון בעבירות סמים שבוצעו בסם המסוכן שלפני מסוג </w:t>
      </w:r>
      <w:r>
        <w:rPr>
          <w:rFonts w:ascii="David" w:hAnsi="David"/>
          <w:sz w:val="22"/>
          <w:szCs w:val="28"/>
          <w:lang w:eastAsia="he-IL"/>
        </w:rPr>
        <w:t>MMC</w:t>
      </w:r>
      <w:r>
        <w:rPr>
          <w:sz w:val="20"/>
          <w:rtl/>
          <w:lang w:eastAsia="he-IL"/>
        </w:rPr>
        <w:t>. העבירות שנדונו ב-</w:t>
      </w:r>
      <w:r>
        <w:rPr>
          <w:rFonts w:ascii="Miriam" w:hAnsi="Miriam" w:cs="Miriam"/>
          <w:b/>
          <w:bCs/>
          <w:sz w:val="18"/>
          <w:szCs w:val="22"/>
          <w:rtl/>
          <w:lang w:eastAsia="he-IL"/>
        </w:rPr>
        <w:t xml:space="preserve">ענין יהודה </w:t>
      </w:r>
      <w:r>
        <w:rPr>
          <w:sz w:val="20"/>
          <w:rtl/>
          <w:lang w:eastAsia="he-IL"/>
        </w:rPr>
        <w:t>שונות אמנם מהעבירות בהן הורשע הנאשם שלפני - אולם חלק מהקביעות ב-</w:t>
      </w:r>
      <w:r>
        <w:rPr>
          <w:rFonts w:ascii="Miriam" w:hAnsi="Miriam" w:cs="Miriam"/>
          <w:b/>
          <w:bCs/>
          <w:sz w:val="18"/>
          <w:szCs w:val="22"/>
          <w:rtl/>
          <w:lang w:eastAsia="he-IL"/>
        </w:rPr>
        <w:t xml:space="preserve">ענין יהודה </w:t>
      </w:r>
      <w:r>
        <w:rPr>
          <w:sz w:val="20"/>
          <w:rtl/>
          <w:lang w:eastAsia="he-IL"/>
        </w:rPr>
        <w:t xml:space="preserve">רלוונטיות אף הן לעניינו ויובאו בהמשך, במסגרת בחינת אמות המידה ואבני הבוחן לקביעת מתחם העונש ההולם. כך, בהינתן המסקנות העולות מחוות הדעת בנוגע לסוג הסם והשפעותיו הישירות והעקיפות על הציבור כמפורט לעיל, </w:t>
      </w:r>
      <w:r>
        <w:rPr>
          <w:rFonts w:ascii="David" w:hAnsi="David"/>
          <w:sz w:val="18"/>
          <w:rtl/>
          <w:lang w:eastAsia="he-IL"/>
        </w:rPr>
        <w:t>בקביעת מתחם העונש ההולם</w:t>
      </w:r>
      <w:r>
        <w:rPr>
          <w:sz w:val="20"/>
          <w:rtl/>
          <w:lang w:eastAsia="he-IL"/>
        </w:rPr>
        <w:t xml:space="preserve">, בהתאם </w:t>
      </w:r>
      <w:hyperlink r:id="rId45" w:history="1">
        <w:r w:rsidR="0045437A" w:rsidRPr="0045437A">
          <w:rPr>
            <w:rStyle w:val="Hyperlink"/>
            <w:color w:val="0000FF"/>
            <w:sz w:val="20"/>
            <w:rtl/>
            <w:lang w:eastAsia="he-IL"/>
          </w:rPr>
          <w:t>לסעיף 40ג(א)</w:t>
        </w:r>
      </w:hyperlink>
      <w:r>
        <w:rPr>
          <w:sz w:val="20"/>
          <w:rtl/>
          <w:lang w:eastAsia="he-IL"/>
        </w:rPr>
        <w:t xml:space="preserve"> ל-</w:t>
      </w:r>
      <w:hyperlink r:id="rId46" w:history="1">
        <w:r w:rsidR="008D4222" w:rsidRPr="008D4222">
          <w:rPr>
            <w:rFonts w:ascii="Miriam" w:hAnsi="Miriam" w:cs="Miriam"/>
            <w:b/>
            <w:bCs/>
            <w:color w:val="0000FF"/>
            <w:sz w:val="18"/>
            <w:szCs w:val="22"/>
            <w:u w:val="single"/>
            <w:rtl/>
            <w:lang w:eastAsia="he-IL"/>
          </w:rPr>
          <w:t>חוק העונשין</w:t>
        </w:r>
      </w:hyperlink>
      <w:r>
        <w:rPr>
          <w:sz w:val="20"/>
          <w:rtl/>
          <w:lang w:eastAsia="he-IL"/>
        </w:rPr>
        <w:t>, התחשבתי בקריטריונים הבאים, לרבות קביעות</w:t>
      </w:r>
      <w:r>
        <w:rPr>
          <w:rFonts w:ascii="David" w:hAnsi="David"/>
          <w:sz w:val="18"/>
          <w:rtl/>
          <w:lang w:eastAsia="he-IL"/>
        </w:rPr>
        <w:t xml:space="preserve"> הרלוונטיות לסמים </w:t>
      </w:r>
      <w:r>
        <w:rPr>
          <w:sz w:val="20"/>
          <w:rtl/>
          <w:lang w:eastAsia="he-IL"/>
        </w:rPr>
        <w:t>ממריצים ממכרים שונים מקבוצת קתינונים ואמפטמינים ולסמים סינטטיים שונים</w:t>
      </w:r>
      <w:r>
        <w:rPr>
          <w:rFonts w:ascii="David" w:hAnsi="David"/>
          <w:rtl/>
          <w:lang w:eastAsia="he-IL"/>
        </w:rPr>
        <w:t>, הכל כמפורט להלן</w:t>
      </w:r>
      <w:r>
        <w:rPr>
          <w:sz w:val="20"/>
          <w:rtl/>
          <w:lang w:eastAsia="he-IL"/>
        </w:rPr>
        <w:t xml:space="preserve">: </w:t>
      </w:r>
    </w:p>
    <w:p w14:paraId="64DBA17D" w14:textId="77777777" w:rsidR="00813463" w:rsidRDefault="00813463" w:rsidP="00813463">
      <w:pPr>
        <w:widowControl w:val="0"/>
        <w:numPr>
          <w:ilvl w:val="1"/>
          <w:numId w:val="1"/>
        </w:numPr>
        <w:snapToGrid w:val="0"/>
        <w:spacing w:before="120" w:line="360" w:lineRule="auto"/>
        <w:ind w:left="851" w:hanging="397"/>
        <w:jc w:val="both"/>
        <w:rPr>
          <w:sz w:val="20"/>
          <w:lang w:eastAsia="he-IL"/>
        </w:rPr>
      </w:pPr>
      <w:r>
        <w:rPr>
          <w:b/>
          <w:bCs/>
          <w:sz w:val="20"/>
          <w:rtl/>
          <w:lang w:eastAsia="he-IL"/>
        </w:rPr>
        <w:t>הערכים החברתיים שנפגעו מביצוע העבירות</w:t>
      </w:r>
      <w:r>
        <w:rPr>
          <w:sz w:val="20"/>
          <w:rtl/>
          <w:lang w:eastAsia="he-IL"/>
        </w:rPr>
        <w:t xml:space="preserve"> - </w:t>
      </w:r>
      <w:r>
        <w:rPr>
          <w:rFonts w:ascii="Arial" w:hAnsi="Arial"/>
          <w:sz w:val="20"/>
          <w:rtl/>
          <w:lang w:eastAsia="he-IL"/>
        </w:rPr>
        <w:t>שלום הציבור ובריאותו. סחר בסמים יוצר נזקים ישירים ועקיפים, הנגרמים עקב השימוש בסמים. בסחר בסמים מסוכנים טמון פוטנציאל נזק רב, בשל פגיעתם הרעה בבריאות הציבור, בחלקים נרחבים באוכלוסייה -</w:t>
      </w:r>
      <w:r>
        <w:rPr>
          <w:sz w:val="20"/>
          <w:rtl/>
          <w:lang w:eastAsia="he-IL"/>
        </w:rPr>
        <w:t xml:space="preserve"> קטינים, צעירים ומבוגרים. השלכות השימוש בסמים קשות, שכן השימוש בסמים המסוכנים פוגע בבריאות המשתמשים, משבש שגרת חייהם, עשוי להביא להתמכרות ולעבריינות נלווית בתחומי הרכוש והאלימות. משכך, מקובלת עלי טענת באת כוח המאשימה לפיה מעבר לנזקים הישירים הנגרמים למשתמשי הסם, נגע הסמים מלווה ואף יוצר עבירות נוספות, ובכלל זה עבירות רכוש</w:t>
      </w:r>
      <w:r>
        <w:rPr>
          <w:b/>
          <w:bCs/>
          <w:sz w:val="20"/>
          <w:rtl/>
          <w:lang w:eastAsia="he-IL"/>
        </w:rPr>
        <w:t xml:space="preserve">, </w:t>
      </w:r>
      <w:r>
        <w:rPr>
          <w:noProof/>
          <w:sz w:val="20"/>
          <w:rtl/>
          <w:lang w:eastAsia="he-IL"/>
        </w:rPr>
        <w:t>בשל הצורך העז להשיג מנת הסם ולעיתים אף עבירות אלימות, המבוצעות כתוצאה מהשימוש בסמים או במהלך עבירות הרכוש.</w:t>
      </w:r>
      <w:r>
        <w:rPr>
          <w:sz w:val="20"/>
          <w:rtl/>
          <w:lang w:eastAsia="he-IL"/>
        </w:rPr>
        <w:t xml:space="preserve"> </w:t>
      </w:r>
      <w:r>
        <w:rPr>
          <w:rFonts w:ascii="David" w:hAnsi="David"/>
          <w:rtl/>
          <w:lang w:eastAsia="he-IL"/>
        </w:rPr>
        <w:t xml:space="preserve">על "מעגלי ההרס" הנגרמים כתוצאה מסמים מסוכנים בכלל, והסם המסוכן מסוג </w:t>
      </w:r>
      <w:r>
        <w:rPr>
          <w:rFonts w:ascii="David" w:hAnsi="David"/>
          <w:sz w:val="22"/>
          <w:szCs w:val="22"/>
          <w:lang w:eastAsia="he-IL"/>
        </w:rPr>
        <w:t>MMC</w:t>
      </w:r>
      <w:r>
        <w:rPr>
          <w:rFonts w:ascii="David" w:hAnsi="David"/>
          <w:sz w:val="22"/>
          <w:szCs w:val="22"/>
          <w:rtl/>
          <w:lang w:eastAsia="he-IL"/>
        </w:rPr>
        <w:t xml:space="preserve"> </w:t>
      </w:r>
      <w:r>
        <w:rPr>
          <w:rFonts w:ascii="David" w:hAnsi="David"/>
          <w:rtl/>
          <w:lang w:eastAsia="he-IL"/>
        </w:rPr>
        <w:t>בפרט, עמד כב' הש' הנדל בסעיף 5 לפסק דינו ב-</w:t>
      </w:r>
      <w:r>
        <w:rPr>
          <w:rFonts w:ascii="Miriam" w:hAnsi="Miriam" w:cs="Miriam"/>
          <w:b/>
          <w:bCs/>
          <w:sz w:val="18"/>
          <w:szCs w:val="22"/>
          <w:rtl/>
        </w:rPr>
        <w:t>ענין יהודה</w:t>
      </w:r>
      <w:r>
        <w:rPr>
          <w:sz w:val="20"/>
          <w:rtl/>
          <w:lang w:eastAsia="he-IL"/>
        </w:rPr>
        <w:t xml:space="preserve"> - </w:t>
      </w:r>
    </w:p>
    <w:p w14:paraId="58CF2A26" w14:textId="77777777" w:rsidR="00813463" w:rsidRDefault="00813463" w:rsidP="00813463">
      <w:pPr>
        <w:widowControl w:val="0"/>
        <w:snapToGrid w:val="0"/>
        <w:spacing w:before="60" w:line="360" w:lineRule="auto"/>
        <w:ind w:left="1474" w:right="1304"/>
        <w:jc w:val="both"/>
        <w:rPr>
          <w:sz w:val="20"/>
          <w:rtl/>
          <w:lang w:eastAsia="he-IL"/>
        </w:rPr>
      </w:pPr>
      <w:r>
        <w:rPr>
          <w:sz w:val="20"/>
          <w:rtl/>
          <w:lang w:eastAsia="he-IL"/>
        </w:rPr>
        <w:t>"</w:t>
      </w:r>
      <w:r>
        <w:rPr>
          <w:b/>
          <w:bCs/>
          <w:sz w:val="20"/>
          <w:rtl/>
          <w:lang w:eastAsia="he-IL"/>
        </w:rPr>
        <w:t>כידוע, השימוש בסם מסוכן אינו פוגע במשתמש לבדו, כי אם בבני משפחתו ובזרים לו, בסביבתו הקרובה והרחוקה, וסופה של השפעתו המחריבה להתפרס על פני החברה בכללותה. הנה כי כן, מעגלי ההרס הקשורים בשימוש בסמים מסוכנים ובייבואם מתרחבים והולכים, כמעגליה של אבן הפוגעת במים מורעלים</w:t>
      </w:r>
      <w:r>
        <w:rPr>
          <w:sz w:val="20"/>
          <w:rtl/>
          <w:lang w:eastAsia="he-IL"/>
        </w:rPr>
        <w:t xml:space="preserve">". </w:t>
      </w:r>
    </w:p>
    <w:p w14:paraId="1E90E9AB" w14:textId="77777777" w:rsidR="00813463" w:rsidRDefault="00813463" w:rsidP="00813463">
      <w:pPr>
        <w:widowControl w:val="0"/>
        <w:snapToGrid w:val="0"/>
        <w:spacing w:before="120" w:line="360" w:lineRule="auto"/>
        <w:ind w:left="851"/>
        <w:jc w:val="both"/>
        <w:rPr>
          <w:sz w:val="20"/>
          <w:rtl/>
          <w:lang w:eastAsia="he-IL"/>
        </w:rPr>
      </w:pPr>
      <w:r>
        <w:rPr>
          <w:sz w:val="20"/>
          <w:rtl/>
          <w:lang w:eastAsia="he-IL"/>
        </w:rPr>
        <w:t>ובאשר לפגיעה בערכים המוגנים בעבירות סחר בסמים מסוכנים ראו, מיני רבות, קביעת כב' השופט סולברג ב</w:t>
      </w:r>
      <w:hyperlink r:id="rId47" w:history="1">
        <w:r w:rsidR="008D4222" w:rsidRPr="008D4222">
          <w:rPr>
            <w:color w:val="0000FF"/>
            <w:sz w:val="20"/>
            <w:u w:val="single"/>
            <w:rtl/>
            <w:lang w:eastAsia="he-IL"/>
          </w:rPr>
          <w:t>ע"פ 7952/15</w:t>
        </w:r>
      </w:hyperlink>
      <w:r>
        <w:rPr>
          <w:sz w:val="20"/>
          <w:rtl/>
          <w:lang w:eastAsia="he-IL"/>
        </w:rPr>
        <w:t xml:space="preserve"> </w:t>
      </w:r>
      <w:r>
        <w:rPr>
          <w:rFonts w:ascii="Miriam" w:hAnsi="Miriam" w:cs="Miriam"/>
          <w:b/>
          <w:bCs/>
          <w:sz w:val="18"/>
          <w:szCs w:val="22"/>
          <w:rtl/>
        </w:rPr>
        <w:t xml:space="preserve">מדינת ישראל נ' שץ </w:t>
      </w:r>
      <w:r>
        <w:rPr>
          <w:sz w:val="20"/>
          <w:rtl/>
          <w:lang w:eastAsia="he-IL"/>
        </w:rPr>
        <w:t xml:space="preserve">(15.2.16) (והאסמכתאות שם) - </w:t>
      </w:r>
    </w:p>
    <w:p w14:paraId="3861143F" w14:textId="77777777" w:rsidR="00813463" w:rsidRDefault="00813463" w:rsidP="00813463">
      <w:pPr>
        <w:widowControl w:val="0"/>
        <w:snapToGrid w:val="0"/>
        <w:spacing w:before="60" w:line="360" w:lineRule="auto"/>
        <w:ind w:left="1474" w:right="1304"/>
        <w:jc w:val="both"/>
        <w:rPr>
          <w:sz w:val="20"/>
          <w:rtl/>
          <w:lang w:eastAsia="he-IL"/>
        </w:rPr>
      </w:pPr>
      <w:r>
        <w:rPr>
          <w:sz w:val="20"/>
          <w:rtl/>
          <w:lang w:eastAsia="he-IL"/>
        </w:rPr>
        <w:t>"</w:t>
      </w:r>
      <w:r>
        <w:rPr>
          <w:b/>
          <w:bCs/>
          <w:sz w:val="20"/>
          <w:rtl/>
          <w:lang w:eastAsia="he-IL"/>
        </w:rPr>
        <w:t>בית משפט זה עמד לא אחת על החומרה הרבה הטמונה בעבירות סחר והפצה של סמים, לא כל שכן סמים מסוכנים המוגדרים 'קשים'</w:t>
      </w:r>
      <w:r>
        <w:rPr>
          <w:sz w:val="20"/>
          <w:rtl/>
          <w:lang w:eastAsia="he-IL"/>
        </w:rPr>
        <w:t xml:space="preserve">..., </w:t>
      </w:r>
      <w:r>
        <w:rPr>
          <w:b/>
          <w:bCs/>
          <w:sz w:val="20"/>
          <w:rtl/>
          <w:lang w:eastAsia="he-IL"/>
        </w:rPr>
        <w:t>ועל הצורך להיאבק בהן באמצעות ענישה משמעותית ומרתיעה</w:t>
      </w:r>
      <w:r>
        <w:rPr>
          <w:sz w:val="20"/>
          <w:rtl/>
          <w:lang w:eastAsia="he-IL"/>
        </w:rPr>
        <w:t xml:space="preserve">... </w:t>
      </w:r>
      <w:r>
        <w:rPr>
          <w:b/>
          <w:bCs/>
          <w:sz w:val="20"/>
          <w:rtl/>
          <w:lang w:eastAsia="he-IL"/>
        </w:rPr>
        <w:t>זאת, לאור הנזק הרב שהן מסבות לא אך למשתמשים הישירים בסם, אלא לחברה כולה, הסובלת מעבירות רכוש ואלימות מצד העוסקים בסחר ומלקוחותיהם</w:t>
      </w:r>
      <w:r>
        <w:rPr>
          <w:sz w:val="20"/>
          <w:rtl/>
          <w:lang w:eastAsia="he-IL"/>
        </w:rPr>
        <w:t>...".</w:t>
      </w:r>
    </w:p>
    <w:p w14:paraId="7F528787" w14:textId="77777777" w:rsidR="00813463" w:rsidRDefault="00813463" w:rsidP="00813463">
      <w:pPr>
        <w:widowControl w:val="0"/>
        <w:numPr>
          <w:ilvl w:val="1"/>
          <w:numId w:val="1"/>
        </w:numPr>
        <w:snapToGrid w:val="0"/>
        <w:spacing w:before="240" w:line="360" w:lineRule="auto"/>
        <w:ind w:left="851" w:hanging="397"/>
        <w:jc w:val="both"/>
        <w:rPr>
          <w:sz w:val="20"/>
          <w:rtl/>
          <w:lang w:eastAsia="he-IL"/>
        </w:rPr>
      </w:pPr>
      <w:r>
        <w:rPr>
          <w:b/>
          <w:bCs/>
          <w:sz w:val="20"/>
          <w:rtl/>
          <w:lang w:eastAsia="he-IL"/>
        </w:rPr>
        <w:t xml:space="preserve">מידת הפגיעה בערכים המוגנים היא גבוהה. </w:t>
      </w:r>
      <w:r>
        <w:rPr>
          <w:sz w:val="20"/>
          <w:rtl/>
          <w:lang w:eastAsia="he-IL"/>
        </w:rPr>
        <w:t xml:space="preserve">הנאשם הודה והורשע ב-14 אישומים של סחר, בסם מסוכן, </w:t>
      </w:r>
      <w:r>
        <w:rPr>
          <w:rFonts w:ascii="David" w:hAnsi="David"/>
          <w:rtl/>
          <w:lang w:eastAsia="he-IL"/>
        </w:rPr>
        <w:t xml:space="preserve">בכמויות לא זניחות, במסגרת רשת מאורגנת של סחר בסמים מסוכנים, כאשר קדם לביצוע כל אחד מהאישומים תכנון מוקדם וקפדני. </w:t>
      </w:r>
      <w:r>
        <w:rPr>
          <w:sz w:val="20"/>
          <w:rtl/>
          <w:lang w:eastAsia="he-IL"/>
        </w:rPr>
        <w:t xml:space="preserve">כמו כן הורשע הנאשם בהחזקת </w:t>
      </w:r>
      <w:r>
        <w:rPr>
          <w:rFonts w:ascii="David" w:eastAsia="David" w:hAnsi="David"/>
          <w:rtl/>
        </w:rPr>
        <w:t>37.58 גרם נטו</w:t>
      </w:r>
      <w:r>
        <w:rPr>
          <w:rFonts w:ascii="David" w:eastAsia="David" w:hAnsi="David"/>
          <w:sz w:val="22"/>
          <w:szCs w:val="22"/>
          <w:rtl/>
        </w:rPr>
        <w:t xml:space="preserve"> </w:t>
      </w:r>
      <w:r>
        <w:rPr>
          <w:rFonts w:ascii="David" w:eastAsia="David" w:hAnsi="David"/>
          <w:sz w:val="22"/>
          <w:szCs w:val="22"/>
        </w:rPr>
        <w:t>MMC</w:t>
      </w:r>
      <w:r>
        <w:rPr>
          <w:rFonts w:ascii="David" w:eastAsia="David" w:hAnsi="David"/>
          <w:rtl/>
        </w:rPr>
        <w:t xml:space="preserve">, 1.4687 גרם נטו קטמין </w:t>
      </w:r>
      <w:r>
        <w:rPr>
          <w:rFonts w:ascii="David" w:eastAsia="David" w:hAnsi="David"/>
          <w:sz w:val="22"/>
          <w:szCs w:val="22"/>
        </w:rPr>
        <w:t>MDMA</w:t>
      </w:r>
      <w:r>
        <w:rPr>
          <w:rFonts w:ascii="David" w:eastAsia="David" w:hAnsi="David"/>
          <w:rtl/>
        </w:rPr>
        <w:t xml:space="preserve">, כאשר בדירה הוחזקו גם משקל דיגיטלי, שקיות קטנות שקופות וכסף רב. בנוסף החזיק הנאשם בתא המטען של הרכב שחנה סמוך לדירה 2.87 גרם נטו של הסם. </w:t>
      </w:r>
      <w:r>
        <w:rPr>
          <w:rFonts w:ascii="David" w:hAnsi="David"/>
          <w:rtl/>
          <w:lang w:eastAsia="he-IL"/>
        </w:rPr>
        <w:t xml:space="preserve">כאמור בחוות הדעת ובעדות המומחית, </w:t>
      </w:r>
      <w:r>
        <w:rPr>
          <w:sz w:val="20"/>
          <w:rtl/>
          <w:lang w:eastAsia="he-IL"/>
        </w:rPr>
        <w:t>השפעות הסם דומות להשפעות סמים מסוכנים כדוגמת אקסטזי, קוקאין ו-</w:t>
      </w:r>
      <w:r>
        <w:rPr>
          <w:rFonts w:ascii="David" w:hAnsi="David"/>
          <w:sz w:val="22"/>
          <w:szCs w:val="28"/>
          <w:lang w:eastAsia="he-IL"/>
        </w:rPr>
        <w:t>MDMA</w:t>
      </w:r>
      <w:r>
        <w:rPr>
          <w:sz w:val="20"/>
          <w:rtl/>
          <w:lang w:eastAsia="he-IL"/>
        </w:rPr>
        <w:t xml:space="preserve">. </w:t>
      </w:r>
      <w:r>
        <w:rPr>
          <w:rFonts w:ascii="David" w:hAnsi="David"/>
          <w:rtl/>
          <w:lang w:eastAsia="he-IL"/>
        </w:rPr>
        <w:t xml:space="preserve">על עוצמת הפגיעה של סמים מסוכנים "חדשים" בכלל והסם </w:t>
      </w:r>
      <w:r>
        <w:rPr>
          <w:rFonts w:ascii="David" w:hAnsi="David"/>
          <w:sz w:val="22"/>
          <w:szCs w:val="22"/>
          <w:lang w:eastAsia="he-IL"/>
        </w:rPr>
        <w:t>MMC</w:t>
      </w:r>
      <w:r>
        <w:rPr>
          <w:rFonts w:ascii="David" w:hAnsi="David"/>
          <w:rtl/>
          <w:lang w:eastAsia="he-IL"/>
        </w:rPr>
        <w:t xml:space="preserve"> בפרט, עמד כב' הש' הנדל בסעיף 5 לפסק דינו ב-</w:t>
      </w:r>
      <w:r>
        <w:rPr>
          <w:rFonts w:ascii="Miriam" w:hAnsi="Miriam" w:cs="Miriam"/>
          <w:b/>
          <w:bCs/>
          <w:sz w:val="18"/>
          <w:szCs w:val="22"/>
          <w:rtl/>
        </w:rPr>
        <w:t>ענין יהודה</w:t>
      </w:r>
      <w:r>
        <w:rPr>
          <w:rFonts w:ascii="David" w:hAnsi="David"/>
          <w:rtl/>
          <w:lang w:eastAsia="he-IL"/>
        </w:rPr>
        <w:t xml:space="preserve">, וקבע דברים היפים לענייננו - </w:t>
      </w:r>
    </w:p>
    <w:p w14:paraId="1C2653A9" w14:textId="77777777" w:rsidR="00813463" w:rsidRDefault="00813463" w:rsidP="00813463">
      <w:pPr>
        <w:widowControl w:val="0"/>
        <w:snapToGrid w:val="0"/>
        <w:spacing w:before="60" w:line="360" w:lineRule="auto"/>
        <w:ind w:left="1474" w:right="1304"/>
        <w:jc w:val="both"/>
        <w:rPr>
          <w:sz w:val="20"/>
          <w:rtl/>
          <w:lang w:eastAsia="he-IL"/>
        </w:rPr>
      </w:pPr>
      <w:r>
        <w:rPr>
          <w:sz w:val="20"/>
          <w:rtl/>
          <w:lang w:eastAsia="he-IL"/>
        </w:rPr>
        <w:t>"</w:t>
      </w:r>
      <w:r>
        <w:rPr>
          <w:b/>
          <w:bCs/>
          <w:sz w:val="20"/>
          <w:rtl/>
          <w:lang w:eastAsia="he-IL"/>
        </w:rPr>
        <w:t xml:space="preserve">הסמים המסוכנים פשטו בקרבנו כנגע חברתי, אשר השלכותיו הרסניות וסכנותיו רחבות היקף. בענייננו, יש פן נוסף בחומרת עבירת הסמים. עסקינן בסוג סם חדש יחסית לעומת סמים מוכרים יותר. כניסתו של סם חדש לזירה דורשת תגובה של ענישה הולמת. כל סם וקהל היעד שלו. כל סם ומרכיבי המשיכה שלו - מחיר, נגישות, תגובה פיסית. נדמה, כי ריבוי סוגי הסמים מביא לעלייה בשימוש בסמים בכללותו. הפסיקה מכירה בסמים חמורים יותר ופחות, אך יש לדעת את מאפייניו של כל סוג. לסם הנדון - </w:t>
      </w:r>
      <w:r>
        <w:rPr>
          <w:rFonts w:ascii="David" w:hAnsi="David"/>
          <w:b/>
          <w:bCs/>
          <w:sz w:val="22"/>
          <w:szCs w:val="22"/>
          <w:lang w:eastAsia="he-IL"/>
        </w:rPr>
        <w:t>MethylMethCathinone</w:t>
      </w:r>
      <w:r>
        <w:rPr>
          <w:rFonts w:ascii="David" w:hAnsi="David"/>
          <w:b/>
          <w:bCs/>
          <w:sz w:val="22"/>
          <w:szCs w:val="22"/>
          <w:rtl/>
          <w:lang w:eastAsia="he-IL"/>
        </w:rPr>
        <w:t xml:space="preserve"> </w:t>
      </w:r>
      <w:r>
        <w:rPr>
          <w:b/>
          <w:bCs/>
          <w:sz w:val="20"/>
          <w:rtl/>
          <w:lang w:eastAsia="he-IL"/>
        </w:rPr>
        <w:t>- תכונות מיוחדות משלו. סם זה הידוע כ'סם פיצוציות' כולל מרכיב 'קאתינון' הגורם, בין היתר, לתלות נפשית משמעותית, לתופעות חרדה, הזיות ופרנויות, והמשתמשים בו עשויים להיקלע למצבים פסיכוטיים</w:t>
      </w:r>
      <w:r>
        <w:rPr>
          <w:sz w:val="20"/>
          <w:rtl/>
          <w:lang w:eastAsia="he-IL"/>
        </w:rPr>
        <w:t xml:space="preserve">...". </w:t>
      </w:r>
    </w:p>
    <w:p w14:paraId="05643990" w14:textId="77777777" w:rsidR="00813463" w:rsidRDefault="00813463" w:rsidP="00813463">
      <w:pPr>
        <w:widowControl w:val="0"/>
        <w:snapToGrid w:val="0"/>
        <w:spacing w:before="240" w:line="360" w:lineRule="auto"/>
        <w:ind w:left="851"/>
        <w:jc w:val="both"/>
        <w:rPr>
          <w:sz w:val="20"/>
          <w:rtl/>
          <w:lang w:eastAsia="he-IL"/>
        </w:rPr>
      </w:pPr>
      <w:r>
        <w:rPr>
          <w:sz w:val="20"/>
          <w:rtl/>
          <w:lang w:eastAsia="he-IL"/>
        </w:rPr>
        <w:t>באשר לחומרת הפגיעה של הסמים הסינטטיים ראו גם קביעת הרכב בראשות כב' הנשיאה רויטל יפה-כ"ץ וכב' הש' עדן וגדעון ב-</w:t>
      </w:r>
      <w:hyperlink r:id="rId48" w:history="1">
        <w:r w:rsidR="008D4222" w:rsidRPr="008D4222">
          <w:rPr>
            <w:color w:val="0000FF"/>
            <w:sz w:val="20"/>
            <w:u w:val="single"/>
            <w:rtl/>
            <w:lang w:eastAsia="he-IL"/>
          </w:rPr>
          <w:t>עפ"ג (מחוזי-ב"ש) 54915-05-21</w:t>
        </w:r>
      </w:hyperlink>
      <w:r w:rsidR="008D4222">
        <w:rPr>
          <w:sz w:val="20"/>
          <w:rtl/>
          <w:lang w:eastAsia="he-IL"/>
        </w:rPr>
        <w:t xml:space="preserve"> </w:t>
      </w:r>
      <w:r>
        <w:rPr>
          <w:rFonts w:ascii="Miriam" w:hAnsi="Miriam" w:cs="Miriam"/>
          <w:b/>
          <w:bCs/>
          <w:sz w:val="18"/>
          <w:szCs w:val="22"/>
          <w:rtl/>
        </w:rPr>
        <w:t>מדינת ישראל נ' בניטה</w:t>
      </w:r>
      <w:r w:rsidR="008D4222">
        <w:rPr>
          <w:sz w:val="20"/>
          <w:rtl/>
          <w:lang w:eastAsia="he-IL"/>
        </w:rPr>
        <w:t xml:space="preserve"> </w:t>
      </w:r>
      <w:r>
        <w:rPr>
          <w:sz w:val="20"/>
          <w:rtl/>
          <w:lang w:eastAsia="he-IL"/>
        </w:rPr>
        <w:t xml:space="preserve">(16.3.22) (והאסמכתאות שם) - </w:t>
      </w:r>
    </w:p>
    <w:p w14:paraId="71010182" w14:textId="77777777" w:rsidR="00813463" w:rsidRDefault="00813463" w:rsidP="00813463">
      <w:pPr>
        <w:widowControl w:val="0"/>
        <w:snapToGrid w:val="0"/>
        <w:spacing w:before="60" w:line="360" w:lineRule="auto"/>
        <w:ind w:left="1474" w:right="1304"/>
        <w:jc w:val="both"/>
        <w:rPr>
          <w:rFonts w:ascii="David" w:hAnsi="David"/>
          <w:b/>
          <w:bCs/>
          <w:rtl/>
          <w:lang w:eastAsia="he-IL"/>
        </w:rPr>
      </w:pPr>
      <w:r>
        <w:rPr>
          <w:rFonts w:ascii="David" w:hAnsi="David"/>
          <w:rtl/>
          <w:lang w:eastAsia="he-IL"/>
        </w:rPr>
        <w:t>"</w:t>
      </w:r>
      <w:r>
        <w:rPr>
          <w:rFonts w:ascii="David" w:hAnsi="David"/>
          <w:b/>
          <w:bCs/>
          <w:rtl/>
          <w:lang w:eastAsia="he-IL"/>
        </w:rPr>
        <w:t>יוער בעניין זה, כי מאז ומתמיד מצאו בתי המשפט, כי השימוש בסמים הסינתטיים, הידועים כנגזרות של האמפיטמינים בכל תרכובת שלא תומצא, השפעתו קשה, לא פחות מההשפעה של מה שמכונה 'סמים קשים' כגון הרואין וקוקאין</w:t>
      </w:r>
      <w:r>
        <w:rPr>
          <w:rFonts w:ascii="David" w:hAnsi="David"/>
          <w:rtl/>
          <w:lang w:eastAsia="he-IL"/>
        </w:rPr>
        <w:t xml:space="preserve">... </w:t>
      </w:r>
    </w:p>
    <w:p w14:paraId="4EA3BAE8" w14:textId="77777777" w:rsidR="00813463" w:rsidRDefault="00813463" w:rsidP="00813463">
      <w:pPr>
        <w:widowControl w:val="0"/>
        <w:snapToGrid w:val="0"/>
        <w:ind w:left="1474" w:right="1304"/>
        <w:jc w:val="both"/>
        <w:rPr>
          <w:rFonts w:ascii="David" w:hAnsi="David"/>
          <w:rtl/>
          <w:lang w:eastAsia="he-IL"/>
        </w:rPr>
      </w:pPr>
      <w:r>
        <w:rPr>
          <w:rFonts w:ascii="David" w:hAnsi="David"/>
          <w:rtl/>
          <w:lang w:eastAsia="he-IL"/>
        </w:rPr>
        <w:t>...</w:t>
      </w:r>
    </w:p>
    <w:p w14:paraId="7A4638A9" w14:textId="77777777" w:rsidR="00813463" w:rsidRDefault="00813463" w:rsidP="00813463">
      <w:pPr>
        <w:widowControl w:val="0"/>
        <w:snapToGrid w:val="0"/>
        <w:spacing w:before="60" w:line="360" w:lineRule="auto"/>
        <w:ind w:left="1474" w:right="1304"/>
        <w:jc w:val="both"/>
        <w:rPr>
          <w:rFonts w:ascii="David" w:hAnsi="David"/>
          <w:b/>
          <w:bCs/>
          <w:rtl/>
          <w:lang w:eastAsia="he-IL"/>
        </w:rPr>
      </w:pPr>
      <w:r>
        <w:rPr>
          <w:rFonts w:ascii="David" w:hAnsi="David"/>
          <w:b/>
          <w:bCs/>
          <w:rtl/>
          <w:lang w:eastAsia="he-IL"/>
        </w:rPr>
        <w:t>ובאשר לטענה, כי מדובר בסם שהוגדר כסם מסוכן רק בשנים האחרונות ומכאן שאין להחמיר בענישה המתייחסת אליו, הרי שהפסיקה קבעה כי לנתון זה אין לייחס משקל של ממש (גם לו טענה זו הייתה נכונה, דבר שלא מקבל ביטוי ב</w:t>
      </w:r>
      <w:hyperlink r:id="rId49" w:history="1">
        <w:r w:rsidR="008D4222" w:rsidRPr="008D4222">
          <w:rPr>
            <w:rFonts w:ascii="David" w:hAnsi="David"/>
            <w:b/>
            <w:bCs/>
            <w:color w:val="0000FF"/>
            <w:u w:val="single"/>
            <w:rtl/>
            <w:lang w:eastAsia="he-IL"/>
          </w:rPr>
          <w:t>פקודת הסמים המסוכנים</w:t>
        </w:r>
      </w:hyperlink>
      <w:r>
        <w:rPr>
          <w:rFonts w:ascii="David" w:hAnsi="David"/>
          <w:b/>
          <w:bCs/>
          <w:rtl/>
          <w:lang w:eastAsia="he-IL"/>
        </w:rPr>
        <w:t xml:space="preserve"> - להלן</w:t>
      </w:r>
      <w:r>
        <w:rPr>
          <w:rFonts w:ascii="David" w:hAnsi="David"/>
          <w:rtl/>
          <w:lang w:eastAsia="he-IL"/>
        </w:rPr>
        <w:t>)..."</w:t>
      </w:r>
    </w:p>
    <w:p w14:paraId="72F89830" w14:textId="77777777" w:rsidR="00813463" w:rsidRDefault="00813463" w:rsidP="00813463">
      <w:pPr>
        <w:widowControl w:val="0"/>
        <w:numPr>
          <w:ilvl w:val="1"/>
          <w:numId w:val="1"/>
        </w:numPr>
        <w:snapToGrid w:val="0"/>
        <w:spacing w:before="240" w:line="360" w:lineRule="auto"/>
        <w:ind w:left="851" w:hanging="397"/>
        <w:jc w:val="both"/>
        <w:rPr>
          <w:sz w:val="20"/>
          <w:rtl/>
          <w:lang w:eastAsia="he-IL"/>
        </w:rPr>
      </w:pPr>
      <w:r>
        <w:rPr>
          <w:sz w:val="20"/>
          <w:rtl/>
          <w:lang w:eastAsia="he-IL"/>
        </w:rPr>
        <w:t>בטרם אפנה לסקירת מדיניות הענישה הנוהגת, אתייחס ל-</w:t>
      </w:r>
      <w:r>
        <w:rPr>
          <w:b/>
          <w:bCs/>
          <w:sz w:val="20"/>
          <w:rtl/>
          <w:lang w:eastAsia="he-IL"/>
        </w:rPr>
        <w:t>נסיבות הקשורות בביצוע העבירה</w:t>
      </w:r>
      <w:r>
        <w:rPr>
          <w:sz w:val="20"/>
          <w:rtl/>
          <w:lang w:eastAsia="he-IL"/>
        </w:rPr>
        <w:t xml:space="preserve">, כאמור </w:t>
      </w:r>
      <w:hyperlink r:id="rId50" w:history="1">
        <w:r w:rsidR="0045437A" w:rsidRPr="0045437A">
          <w:rPr>
            <w:rStyle w:val="Hyperlink"/>
            <w:color w:val="0000FF"/>
            <w:sz w:val="20"/>
            <w:rtl/>
            <w:lang w:eastAsia="he-IL"/>
          </w:rPr>
          <w:t>בסעיף 40יט</w:t>
        </w:r>
      </w:hyperlink>
      <w:r>
        <w:rPr>
          <w:sz w:val="20"/>
          <w:rtl/>
          <w:lang w:eastAsia="he-IL"/>
        </w:rPr>
        <w:t xml:space="preserve"> ל-</w:t>
      </w:r>
      <w:hyperlink r:id="rId51" w:history="1">
        <w:r w:rsidR="008D4222" w:rsidRPr="008D4222">
          <w:rPr>
            <w:rFonts w:ascii="Miriam" w:hAnsi="Miriam" w:cs="Miriam"/>
            <w:b/>
            <w:bCs/>
            <w:color w:val="0000FF"/>
            <w:sz w:val="18"/>
            <w:szCs w:val="22"/>
            <w:u w:val="single"/>
            <w:rtl/>
            <w:lang w:eastAsia="he-IL"/>
          </w:rPr>
          <w:t>חוק העונשין</w:t>
        </w:r>
      </w:hyperlink>
      <w:r>
        <w:rPr>
          <w:sz w:val="20"/>
          <w:rtl/>
          <w:lang w:eastAsia="he-IL"/>
        </w:rPr>
        <w:t>, אשר להן השלכה על רלוונטיות הפסיקה, כפי שיפורט להלן -</w:t>
      </w:r>
    </w:p>
    <w:p w14:paraId="45F35FC0" w14:textId="77777777" w:rsidR="00813463" w:rsidRDefault="00813463" w:rsidP="00813463">
      <w:pPr>
        <w:widowControl w:val="0"/>
        <w:numPr>
          <w:ilvl w:val="2"/>
          <w:numId w:val="1"/>
        </w:numPr>
        <w:snapToGrid w:val="0"/>
        <w:spacing w:before="120" w:line="360" w:lineRule="auto"/>
        <w:ind w:left="1248" w:hanging="397"/>
        <w:jc w:val="both"/>
        <w:rPr>
          <w:sz w:val="20"/>
          <w:lang w:eastAsia="he-IL"/>
        </w:rPr>
      </w:pPr>
      <w:r>
        <w:rPr>
          <w:sz w:val="20"/>
          <w:u w:val="single"/>
          <w:rtl/>
          <w:lang w:eastAsia="he-IL"/>
        </w:rPr>
        <w:t>לעבירות קדם תכנון מוקדם, מפורט וקפדני</w:t>
      </w:r>
      <w:r>
        <w:rPr>
          <w:sz w:val="20"/>
          <w:rtl/>
          <w:lang w:eastAsia="he-IL"/>
        </w:rPr>
        <w:t xml:space="preserve">. הנאשם ושותפיו הקימו שתי רשתות לאספקת סמים מסוכנים, בהן הייתה חלוקת תפקידים ברורה בין כל השותפים. הנאשם והאחרים אף שכרו דירה, בה ארגנו את הפעילות הקשורה לרשת הפצת הסם, לרבות החזקתו וחלוקתו. במסגרת התכנון המוקדם וההתארגנות, ניהלו הנאשם ושותפיו קבוצות ווטסאפ והחזיקו בטלפונים מבצעיים, לצורך קידום הפצת הסם ובמטרה לטשטש עקבות. במסגרת תכנון מוקדם זה אף עשו שימוש בקודים מוסכמים, כפי שפורט לעיל ונזכיר משמעויות הקודים השונים: </w:t>
      </w:r>
    </w:p>
    <w:p w14:paraId="24AD1B66" w14:textId="77777777" w:rsidR="00813463" w:rsidRDefault="00813463" w:rsidP="00813463">
      <w:pPr>
        <w:widowControl w:val="0"/>
        <w:snapToGrid w:val="0"/>
        <w:spacing w:before="60" w:line="360" w:lineRule="auto"/>
        <w:ind w:left="1247"/>
        <w:jc w:val="both"/>
        <w:rPr>
          <w:sz w:val="20"/>
          <w:lang w:eastAsia="he-IL"/>
        </w:rPr>
      </w:pPr>
      <w:r>
        <w:rPr>
          <w:rFonts w:ascii="David" w:eastAsia="David" w:hAnsi="David"/>
          <w:rtl/>
        </w:rPr>
        <w:t>"</w:t>
      </w:r>
      <w:r>
        <w:rPr>
          <w:rFonts w:ascii="David" w:eastAsia="David" w:hAnsi="David"/>
          <w:b/>
          <w:bCs/>
          <w:rtl/>
        </w:rPr>
        <w:t>הדוקטור</w:t>
      </w:r>
      <w:r>
        <w:rPr>
          <w:rFonts w:ascii="David" w:eastAsia="David" w:hAnsi="David"/>
          <w:rtl/>
        </w:rPr>
        <w:t>" - כינוי הסם;</w:t>
      </w:r>
    </w:p>
    <w:p w14:paraId="2000D8F2" w14:textId="77777777" w:rsidR="00813463" w:rsidRDefault="00813463" w:rsidP="00813463">
      <w:pPr>
        <w:widowControl w:val="0"/>
        <w:snapToGrid w:val="0"/>
        <w:spacing w:before="60" w:line="360" w:lineRule="auto"/>
        <w:ind w:left="1247"/>
        <w:jc w:val="both"/>
        <w:rPr>
          <w:rFonts w:ascii="David" w:eastAsia="David" w:hAnsi="David"/>
        </w:rPr>
      </w:pPr>
      <w:r>
        <w:rPr>
          <w:rFonts w:ascii="David" w:eastAsia="David" w:hAnsi="David"/>
          <w:rtl/>
        </w:rPr>
        <w:t>"</w:t>
      </w:r>
      <w:r>
        <w:rPr>
          <w:rFonts w:ascii="David" w:eastAsia="David" w:hAnsi="David"/>
          <w:b/>
          <w:bCs/>
          <w:rtl/>
        </w:rPr>
        <w:t>חולצה</w:t>
      </w:r>
      <w:r>
        <w:rPr>
          <w:rFonts w:ascii="David" w:eastAsia="David" w:hAnsi="David"/>
          <w:rtl/>
        </w:rPr>
        <w:t xml:space="preserve">" - מנה של הסם, שהכילה בין 0.8 ל-0.9 גרם </w:t>
      </w:r>
      <w:r>
        <w:rPr>
          <w:rFonts w:ascii="David" w:eastAsia="David" w:hAnsi="David"/>
          <w:sz w:val="22"/>
          <w:szCs w:val="22"/>
        </w:rPr>
        <w:t>MMC</w:t>
      </w:r>
      <w:r>
        <w:rPr>
          <w:rFonts w:ascii="David" w:eastAsia="David" w:hAnsi="David"/>
          <w:sz w:val="22"/>
          <w:szCs w:val="22"/>
          <w:rtl/>
        </w:rPr>
        <w:t>;</w:t>
      </w:r>
    </w:p>
    <w:p w14:paraId="5B8F7AED" w14:textId="77777777" w:rsidR="00813463" w:rsidRDefault="00813463" w:rsidP="00813463">
      <w:pPr>
        <w:widowControl w:val="0"/>
        <w:snapToGrid w:val="0"/>
        <w:spacing w:before="60" w:line="360" w:lineRule="auto"/>
        <w:ind w:left="1247"/>
        <w:jc w:val="both"/>
        <w:rPr>
          <w:rFonts w:ascii="David" w:eastAsia="David" w:hAnsi="David"/>
          <w:rtl/>
        </w:rPr>
      </w:pPr>
      <w:r>
        <w:rPr>
          <w:rFonts w:ascii="David" w:eastAsia="David" w:hAnsi="David"/>
          <w:rtl/>
        </w:rPr>
        <w:t>"</w:t>
      </w:r>
      <w:r>
        <w:rPr>
          <w:rFonts w:ascii="David" w:eastAsia="David" w:hAnsi="David"/>
          <w:b/>
          <w:bCs/>
          <w:rtl/>
        </w:rPr>
        <w:t>גוש</w:t>
      </w:r>
      <w:r>
        <w:rPr>
          <w:rFonts w:ascii="David" w:eastAsia="David" w:hAnsi="David"/>
          <w:rtl/>
        </w:rPr>
        <w:t>" - מנה גדולה יותר של הסם;</w:t>
      </w:r>
    </w:p>
    <w:p w14:paraId="2A6BCD16" w14:textId="77777777" w:rsidR="00813463" w:rsidRDefault="00813463" w:rsidP="00813463">
      <w:pPr>
        <w:widowControl w:val="0"/>
        <w:snapToGrid w:val="0"/>
        <w:spacing w:before="60" w:line="360" w:lineRule="auto"/>
        <w:ind w:left="1247"/>
        <w:jc w:val="both"/>
        <w:rPr>
          <w:rFonts w:ascii="David" w:eastAsia="David" w:hAnsi="David"/>
          <w:rtl/>
        </w:rPr>
      </w:pPr>
      <w:r>
        <w:rPr>
          <w:rFonts w:ascii="David" w:eastAsia="David" w:hAnsi="David"/>
          <w:rtl/>
        </w:rPr>
        <w:t>"</w:t>
      </w:r>
      <w:r>
        <w:rPr>
          <w:rFonts w:ascii="David" w:eastAsia="David" w:hAnsi="David"/>
          <w:b/>
          <w:bCs/>
          <w:rtl/>
        </w:rPr>
        <w:t>נייר</w:t>
      </w:r>
      <w:r>
        <w:rPr>
          <w:rFonts w:ascii="David" w:eastAsia="David" w:hAnsi="David"/>
          <w:rtl/>
        </w:rPr>
        <w:t>" - כסף;</w:t>
      </w:r>
    </w:p>
    <w:p w14:paraId="04A7898E" w14:textId="77777777" w:rsidR="00813463" w:rsidRDefault="00813463" w:rsidP="00813463">
      <w:pPr>
        <w:widowControl w:val="0"/>
        <w:snapToGrid w:val="0"/>
        <w:spacing w:before="60" w:line="360" w:lineRule="auto"/>
        <w:ind w:left="1247"/>
        <w:jc w:val="both"/>
        <w:rPr>
          <w:rFonts w:ascii="David" w:eastAsia="David" w:hAnsi="David"/>
          <w:rtl/>
        </w:rPr>
      </w:pPr>
      <w:r>
        <w:rPr>
          <w:rFonts w:ascii="David" w:eastAsia="David" w:hAnsi="David"/>
          <w:rtl/>
        </w:rPr>
        <w:t>"</w:t>
      </w:r>
      <w:r>
        <w:rPr>
          <w:rFonts w:ascii="David" w:eastAsia="David" w:hAnsi="David"/>
          <w:b/>
          <w:bCs/>
          <w:rtl/>
        </w:rPr>
        <w:t>ללא</w:t>
      </w:r>
      <w:r>
        <w:rPr>
          <w:rFonts w:ascii="David" w:eastAsia="David" w:hAnsi="David"/>
          <w:rtl/>
        </w:rPr>
        <w:t>" - לא משלמים כסף על הסם, אלא נותנים הוראת קרדיט.</w:t>
      </w:r>
    </w:p>
    <w:p w14:paraId="2A54C7C8" w14:textId="77777777" w:rsidR="00813463" w:rsidRDefault="00813463" w:rsidP="00813463">
      <w:pPr>
        <w:widowControl w:val="0"/>
        <w:numPr>
          <w:ilvl w:val="2"/>
          <w:numId w:val="1"/>
        </w:numPr>
        <w:snapToGrid w:val="0"/>
        <w:spacing w:before="120" w:line="360" w:lineRule="auto"/>
        <w:ind w:left="1248" w:hanging="397"/>
        <w:jc w:val="both"/>
        <w:rPr>
          <w:sz w:val="20"/>
          <w:rtl/>
          <w:lang w:eastAsia="he-IL"/>
        </w:rPr>
      </w:pPr>
      <w:r>
        <w:rPr>
          <w:sz w:val="20"/>
          <w:rtl/>
          <w:lang w:eastAsia="he-IL"/>
        </w:rPr>
        <w:t xml:space="preserve">כאמור לעיל, הנאשם ביצע את העבירות כחלק </w:t>
      </w:r>
      <w:r>
        <w:rPr>
          <w:sz w:val="20"/>
          <w:u w:val="single"/>
          <w:rtl/>
          <w:lang w:eastAsia="he-IL"/>
        </w:rPr>
        <w:t>משתי רשתות אספקת סמים</w:t>
      </w:r>
      <w:r>
        <w:rPr>
          <w:sz w:val="20"/>
          <w:rtl/>
          <w:lang w:eastAsia="he-IL"/>
        </w:rPr>
        <w:t>, בראשונה היו חברים 5 שותפים וברשת החדשה היו חברים 4 שותפים. מדובר ב</w:t>
      </w:r>
      <w:r>
        <w:rPr>
          <w:sz w:val="20"/>
          <w:u w:val="single"/>
          <w:rtl/>
          <w:lang w:eastAsia="he-IL"/>
        </w:rPr>
        <w:t>רשתות מאורגנות היטב</w:t>
      </w:r>
      <w:r>
        <w:rPr>
          <w:sz w:val="20"/>
          <w:rtl/>
          <w:lang w:eastAsia="he-IL"/>
        </w:rPr>
        <w:t xml:space="preserve">, בעלות היררכיה ברורה, שהוקמו במטרה לפעול, באופן אקטיבי, לספק את הסם ברחבי העיר באר שבע ובסביבתה הקרובה. כפי שציינתי לעיל, במסגרת הרשתות לכל שותפיהן היו תפקידים מוגדרים, כאשר </w:t>
      </w:r>
      <w:r>
        <w:rPr>
          <w:sz w:val="20"/>
          <w:u w:val="single"/>
          <w:rtl/>
          <w:lang w:eastAsia="he-IL"/>
        </w:rPr>
        <w:t>תפקידו של הנאשם היה בדרג ביניים</w:t>
      </w:r>
      <w:r>
        <w:rPr>
          <w:sz w:val="20"/>
          <w:rtl/>
          <w:lang w:eastAsia="he-IL"/>
        </w:rPr>
        <w:t>. תחת הנאשם היו שניים אחרים, שהפיצו אף הם את הסם כשליחים והיו כפופים לנאשם.</w:t>
      </w:r>
    </w:p>
    <w:p w14:paraId="11810A2B" w14:textId="77777777" w:rsidR="00813463" w:rsidRDefault="00813463" w:rsidP="00813463">
      <w:pPr>
        <w:widowControl w:val="0"/>
        <w:numPr>
          <w:ilvl w:val="2"/>
          <w:numId w:val="1"/>
        </w:numPr>
        <w:snapToGrid w:val="0"/>
        <w:spacing w:before="120" w:line="360" w:lineRule="auto"/>
        <w:ind w:left="1248" w:hanging="397"/>
        <w:jc w:val="both"/>
        <w:rPr>
          <w:sz w:val="20"/>
          <w:lang w:eastAsia="he-IL"/>
        </w:rPr>
      </w:pPr>
      <w:r>
        <w:rPr>
          <w:sz w:val="20"/>
          <w:rtl/>
          <w:lang w:eastAsia="he-IL"/>
        </w:rPr>
        <w:t xml:space="preserve">הנאשם, נהג מונית במקצועו, </w:t>
      </w:r>
      <w:r>
        <w:rPr>
          <w:sz w:val="20"/>
          <w:u w:val="single"/>
          <w:rtl/>
          <w:lang w:eastAsia="he-IL"/>
        </w:rPr>
        <w:t>ניצל עבודתו כנהג מונית ופעל במסגרת זו להפצת הסם</w:t>
      </w:r>
      <w:r>
        <w:rPr>
          <w:sz w:val="20"/>
          <w:rtl/>
          <w:lang w:eastAsia="he-IL"/>
        </w:rPr>
        <w:t xml:space="preserve">. בהקשר זה אין לי אלא להפנות למובאה אליה הפנתה ב"כ המאשימה בטיעוניה לעונש מתוך </w:t>
      </w:r>
      <w:hyperlink r:id="rId52" w:history="1">
        <w:r w:rsidR="008D4222" w:rsidRPr="008D4222">
          <w:rPr>
            <w:color w:val="0000FF"/>
            <w:sz w:val="20"/>
            <w:u w:val="single"/>
            <w:rtl/>
            <w:lang w:eastAsia="he-IL"/>
          </w:rPr>
          <w:t>ע"פ 8915/18</w:t>
        </w:r>
      </w:hyperlink>
      <w:r>
        <w:rPr>
          <w:sz w:val="20"/>
          <w:rtl/>
          <w:lang w:eastAsia="he-IL"/>
        </w:rPr>
        <w:t xml:space="preserve"> </w:t>
      </w:r>
      <w:r>
        <w:rPr>
          <w:rFonts w:ascii="Miriam" w:hAnsi="Miriam" w:cs="Miriam"/>
          <w:b/>
          <w:bCs/>
          <w:sz w:val="18"/>
          <w:szCs w:val="22"/>
          <w:rtl/>
        </w:rPr>
        <w:t>מועזיז נ' מדינת ישראל</w:t>
      </w:r>
      <w:r>
        <w:rPr>
          <w:sz w:val="20"/>
          <w:rtl/>
          <w:lang w:eastAsia="he-IL"/>
        </w:rPr>
        <w:t xml:space="preserve"> (24.9.19), תוך הפניה לפסקה י' לפסק דינו של כב' הש' (כתוארו אז) א' רובינשטיין ב-ע"פ 1282/07 </w:t>
      </w:r>
      <w:r>
        <w:rPr>
          <w:rFonts w:ascii="Miriam" w:hAnsi="Miriam" w:cs="Miriam"/>
          <w:b/>
          <w:bCs/>
          <w:sz w:val="18"/>
          <w:szCs w:val="22"/>
          <w:rtl/>
        </w:rPr>
        <w:t>בן אבו נ' מדינת ישראל</w:t>
      </w:r>
      <w:r>
        <w:rPr>
          <w:sz w:val="20"/>
          <w:rtl/>
          <w:lang w:eastAsia="he-IL"/>
        </w:rPr>
        <w:t xml:space="preserve"> (25.7.07) -  </w:t>
      </w:r>
    </w:p>
    <w:p w14:paraId="1E6FC42D" w14:textId="77777777" w:rsidR="00813463" w:rsidRDefault="00813463" w:rsidP="00813463">
      <w:pPr>
        <w:widowControl w:val="0"/>
        <w:snapToGrid w:val="0"/>
        <w:spacing w:before="60" w:line="360" w:lineRule="auto"/>
        <w:ind w:left="1474" w:right="1304"/>
        <w:jc w:val="both"/>
        <w:rPr>
          <w:rFonts w:ascii="David" w:hAnsi="David"/>
          <w:b/>
          <w:bCs/>
          <w:lang w:eastAsia="he-IL"/>
        </w:rPr>
      </w:pPr>
      <w:r>
        <w:rPr>
          <w:rFonts w:ascii="David" w:hAnsi="David"/>
          <w:rtl/>
          <w:lang w:eastAsia="he-IL"/>
        </w:rPr>
        <w:t>"</w:t>
      </w:r>
      <w:r>
        <w:rPr>
          <w:rFonts w:ascii="David" w:hAnsi="David"/>
          <w:b/>
          <w:bCs/>
          <w:rtl/>
          <w:lang w:eastAsia="he-IL"/>
        </w:rPr>
        <w:t xml:space="preserve">בית משפט זה עמד בעבר על אחריותם של בלדרים, ובפרט נהגי מוניות, כחלק משרשרת הפצה של סמים: </w:t>
      </w:r>
      <w:r>
        <w:rPr>
          <w:rFonts w:ascii="Century" w:hAnsi="Century" w:cs="Miriam"/>
          <w:b/>
          <w:sz w:val="22"/>
          <w:rtl/>
        </w:rPr>
        <w:t>'</w:t>
      </w:r>
      <w:r>
        <w:rPr>
          <w:rFonts w:ascii="Century" w:hAnsi="Century" w:cs="Miriam"/>
          <w:b/>
          <w:sz w:val="20"/>
          <w:szCs w:val="22"/>
          <w:rtl/>
        </w:rPr>
        <w:t>כפי שכתבה השופטת המלומדת בבית המשפט קמא... 'סוחרי סמים מחפשים כל דרך אפשרית להעביר את הסם ובין היתר משתמשים גם בנהגי מונית למטרה זו...' אנו מצטרפים לדברים אלה, שכמותם גם נאמרו לא אחת על-ידי בית משפט זה. לסמים אין רגליים; הם זקוקים למי שיכין אותם, ישווק אותם, ויוביל אותם ליעדיהם המפוקפקים. כל חוליה בשרשרת פשע זו ראויה לענישה, ולענישה מכאיבה</w:t>
      </w:r>
      <w:r>
        <w:rPr>
          <w:rFonts w:ascii="David" w:hAnsi="David"/>
          <w:b/>
          <w:bCs/>
          <w:rtl/>
          <w:lang w:eastAsia="he-IL"/>
        </w:rPr>
        <w:t>'...</w:t>
      </w:r>
      <w:r>
        <w:rPr>
          <w:rFonts w:ascii="David" w:hAnsi="David"/>
          <w:rtl/>
          <w:lang w:eastAsia="he-IL"/>
        </w:rPr>
        <w:t>".</w:t>
      </w:r>
    </w:p>
    <w:p w14:paraId="40C5C0CC" w14:textId="77777777" w:rsidR="00813463" w:rsidRDefault="00813463" w:rsidP="00813463">
      <w:pPr>
        <w:widowControl w:val="0"/>
        <w:numPr>
          <w:ilvl w:val="2"/>
          <w:numId w:val="1"/>
        </w:numPr>
        <w:snapToGrid w:val="0"/>
        <w:spacing w:before="120" w:line="360" w:lineRule="auto"/>
        <w:ind w:left="1248" w:hanging="397"/>
        <w:jc w:val="both"/>
        <w:rPr>
          <w:sz w:val="20"/>
          <w:rtl/>
          <w:lang w:eastAsia="he-IL"/>
        </w:rPr>
      </w:pPr>
      <w:r>
        <w:rPr>
          <w:sz w:val="20"/>
          <w:rtl/>
          <w:lang w:eastAsia="he-IL"/>
        </w:rPr>
        <w:t xml:space="preserve">מדובר בסחר בסמים מסוכנים שהתבצע </w:t>
      </w:r>
      <w:r>
        <w:rPr>
          <w:sz w:val="20"/>
          <w:u w:val="single"/>
          <w:rtl/>
          <w:lang w:eastAsia="he-IL"/>
        </w:rPr>
        <w:t>באמצעים דיגיטליים, תוך שימוש בטלפונים מבצעיים ובישומון ווטסאפ, בתדירות רבה</w:t>
      </w:r>
      <w:r>
        <w:rPr>
          <w:sz w:val="20"/>
          <w:rtl/>
          <w:lang w:eastAsia="he-IL"/>
        </w:rPr>
        <w:t xml:space="preserve">, ביום, בלילה, ובכל רגע נתון בו הלקוחות פנו לנאשם ולשותפיו, </w:t>
      </w:r>
      <w:r>
        <w:rPr>
          <w:sz w:val="20"/>
          <w:u w:val="single"/>
          <w:rtl/>
          <w:lang w:eastAsia="he-IL"/>
        </w:rPr>
        <w:t>במשך כ-4 חודשים</w:t>
      </w:r>
      <w:r>
        <w:rPr>
          <w:sz w:val="20"/>
          <w:rtl/>
          <w:lang w:eastAsia="he-IL"/>
        </w:rPr>
        <w:t xml:space="preserve">, בהיקף של </w:t>
      </w:r>
      <w:r>
        <w:rPr>
          <w:sz w:val="20"/>
          <w:u w:val="single"/>
          <w:rtl/>
          <w:lang w:eastAsia="he-IL"/>
        </w:rPr>
        <w:t>14 עסקאות</w:t>
      </w:r>
      <w:r>
        <w:rPr>
          <w:sz w:val="20"/>
          <w:rtl/>
          <w:lang w:eastAsia="he-IL"/>
        </w:rPr>
        <w:t xml:space="preserve"> עם </w:t>
      </w:r>
      <w:r>
        <w:rPr>
          <w:sz w:val="20"/>
          <w:u w:val="single"/>
          <w:rtl/>
          <w:lang w:eastAsia="he-IL"/>
        </w:rPr>
        <w:t>11 לקוחות</w:t>
      </w:r>
      <w:r>
        <w:rPr>
          <w:sz w:val="20"/>
          <w:rtl/>
          <w:lang w:eastAsia="he-IL"/>
        </w:rPr>
        <w:t xml:space="preserve"> שונים, שחלקם היו "לקוחות חוזרים" ולכך אתייחס בהמשך. </w:t>
      </w:r>
    </w:p>
    <w:p w14:paraId="7D8232C3" w14:textId="77777777" w:rsidR="00813463" w:rsidRDefault="00813463" w:rsidP="00813463">
      <w:pPr>
        <w:widowControl w:val="0"/>
        <w:numPr>
          <w:ilvl w:val="2"/>
          <w:numId w:val="1"/>
        </w:numPr>
        <w:snapToGrid w:val="0"/>
        <w:spacing w:before="120" w:line="360" w:lineRule="auto"/>
        <w:ind w:left="1248" w:hanging="397"/>
        <w:jc w:val="both"/>
        <w:rPr>
          <w:sz w:val="20"/>
          <w:lang w:eastAsia="he-IL"/>
        </w:rPr>
      </w:pPr>
      <w:r>
        <w:rPr>
          <w:sz w:val="20"/>
          <w:u w:val="single"/>
          <w:rtl/>
          <w:lang w:eastAsia="he-IL"/>
        </w:rPr>
        <w:t>זמינות הסם</w:t>
      </w:r>
      <w:r>
        <w:rPr>
          <w:sz w:val="20"/>
          <w:rtl/>
          <w:lang w:eastAsia="he-IL"/>
        </w:rPr>
        <w:t xml:space="preserve"> לנאשם ולשותפיו היתה גבוהה והסמים סופקו לעיתים מידית, תוך דקות מעטות, בטבורה של העיר באר שבע, ובמשלוחים אל מחוצה לה. </w:t>
      </w:r>
    </w:p>
    <w:p w14:paraId="06E26F2F" w14:textId="77777777" w:rsidR="00813463" w:rsidRDefault="00813463" w:rsidP="00813463">
      <w:pPr>
        <w:widowControl w:val="0"/>
        <w:numPr>
          <w:ilvl w:val="2"/>
          <w:numId w:val="1"/>
        </w:numPr>
        <w:snapToGrid w:val="0"/>
        <w:spacing w:before="120" w:line="360" w:lineRule="auto"/>
        <w:ind w:left="1248" w:hanging="397"/>
        <w:jc w:val="both"/>
        <w:rPr>
          <w:sz w:val="20"/>
          <w:lang w:eastAsia="he-IL"/>
        </w:rPr>
      </w:pPr>
      <w:r>
        <w:rPr>
          <w:sz w:val="20"/>
          <w:rtl/>
          <w:lang w:eastAsia="he-IL"/>
        </w:rPr>
        <w:t xml:space="preserve">כעולה מחוות הדעת ומעדות המומחית - </w:t>
      </w:r>
      <w:r>
        <w:rPr>
          <w:sz w:val="20"/>
          <w:u w:val="single"/>
          <w:rtl/>
          <w:lang w:eastAsia="he-IL"/>
        </w:rPr>
        <w:t>הנזק הנגרם מביצוע העבירות הוא רב</w:t>
      </w:r>
      <w:r>
        <w:rPr>
          <w:sz w:val="20"/>
          <w:rtl/>
          <w:lang w:eastAsia="he-IL"/>
        </w:rPr>
        <w:t>. בדומה לסמים ממריצים ממכרים אחרים, הסכנה מ-</w:t>
      </w:r>
      <w:r>
        <w:rPr>
          <w:sz w:val="20"/>
          <w:lang w:eastAsia="he-IL"/>
        </w:rPr>
        <w:t>MMC</w:t>
      </w:r>
      <w:r>
        <w:rPr>
          <w:sz w:val="20"/>
          <w:rtl/>
          <w:lang w:eastAsia="he-IL"/>
        </w:rPr>
        <w:t xml:space="preserve"> לבריאות הציבור ברורה, נוכח הפרופיל הפרמאקולוגי שלו, הכולל תופעות לוואי רבות ומסכנות חיים, המשותפות לסמים מקבוצת הקתינונים ואמפטמינים, ובכלל זה: </w:t>
      </w:r>
    </w:p>
    <w:p w14:paraId="37D019CB" w14:textId="77777777" w:rsidR="00813463" w:rsidRDefault="00813463" w:rsidP="00813463">
      <w:pPr>
        <w:widowControl w:val="0"/>
        <w:snapToGrid w:val="0"/>
        <w:spacing w:before="60" w:line="360" w:lineRule="auto"/>
        <w:ind w:left="1980" w:right="993"/>
        <w:jc w:val="both"/>
        <w:rPr>
          <w:sz w:val="20"/>
          <w:lang w:eastAsia="he-IL"/>
        </w:rPr>
      </w:pPr>
      <w:r>
        <w:rPr>
          <w:sz w:val="20"/>
          <w:rtl/>
          <w:lang w:eastAsia="he-IL"/>
        </w:rPr>
        <w:t>"</w:t>
      </w:r>
      <w:r>
        <w:rPr>
          <w:b/>
          <w:bCs/>
          <w:sz w:val="20"/>
          <w:rtl/>
          <w:lang w:eastAsia="he-IL"/>
        </w:rPr>
        <w:t>הזעה, דפיקות לב, בחילה, הקאה, יתר לחץ דם, טכיקרדיה, אגיטציה, פרכוסים, רפלקסים מוגברים, תלות, שינויים בתפיסת המציאות, הזיות, איבוד תיאבון, רעד, יובש בפה, ראיה מטושטשת, חרדה, בלבול, מניה קצת טווח, דלוזיות פרנואידיות, נדודי שינה, עייפות מנטלית, סיוטי לילה, בעיות נשימה, התכווצות כלי דם היקפיים, הפרעה בתפיסת הזמן ופסיכוזה</w:t>
      </w:r>
      <w:r>
        <w:rPr>
          <w:sz w:val="20"/>
          <w:rtl/>
          <w:lang w:eastAsia="he-IL"/>
        </w:rPr>
        <w:t xml:space="preserve">" </w:t>
      </w:r>
    </w:p>
    <w:p w14:paraId="457A51AB" w14:textId="77777777" w:rsidR="00813463" w:rsidRDefault="00813463" w:rsidP="00813463">
      <w:pPr>
        <w:snapToGrid w:val="0"/>
        <w:spacing w:before="60" w:line="360" w:lineRule="auto"/>
        <w:ind w:left="1248"/>
        <w:jc w:val="both"/>
        <w:rPr>
          <w:sz w:val="20"/>
          <w:lang w:eastAsia="he-IL"/>
        </w:rPr>
      </w:pPr>
      <w:r>
        <w:rPr>
          <w:sz w:val="20"/>
          <w:rtl/>
          <w:lang w:eastAsia="he-IL"/>
        </w:rPr>
        <w:t>לכך יש גם להוסיף כי ידוע על מספר רב של אשפוזים ומקרי מוות, המתועדים בספרות המקצועית, הקשורים לשימוש לרעה ב-</w:t>
      </w:r>
      <w:r>
        <w:rPr>
          <w:rFonts w:ascii="David" w:hAnsi="David"/>
          <w:sz w:val="22"/>
          <w:szCs w:val="28"/>
          <w:lang w:eastAsia="he-IL"/>
        </w:rPr>
        <w:t>MMC</w:t>
      </w:r>
      <w:r>
        <w:rPr>
          <w:sz w:val="20"/>
          <w:rtl/>
          <w:lang w:eastAsia="he-IL"/>
        </w:rPr>
        <w:t>.</w:t>
      </w:r>
    </w:p>
    <w:p w14:paraId="009BED8F" w14:textId="77777777" w:rsidR="00813463" w:rsidRDefault="00813463" w:rsidP="00813463">
      <w:pPr>
        <w:snapToGrid w:val="0"/>
        <w:spacing w:before="60" w:line="360" w:lineRule="auto"/>
        <w:ind w:left="1248"/>
        <w:jc w:val="both"/>
        <w:rPr>
          <w:sz w:val="20"/>
          <w:rtl/>
          <w:lang w:eastAsia="he-IL"/>
        </w:rPr>
      </w:pPr>
      <w:r>
        <w:rPr>
          <w:sz w:val="20"/>
          <w:rtl/>
          <w:lang w:eastAsia="he-IL"/>
        </w:rPr>
        <w:t xml:space="preserve">מקובלת עלי גם טענת המאשימה כי בכך שמדובר ב"לקוחות חוזרים" יש ללמד על הפצה מסחרים ולנזק הרב שנגרם מביצוע העבירות, הצורך בסם אצל אותם לקוחות, וכן ללמד על הנזק שצפוי היה להיגרם. </w:t>
      </w:r>
    </w:p>
    <w:p w14:paraId="78F531A8" w14:textId="77777777" w:rsidR="00813463" w:rsidRDefault="00813463" w:rsidP="00813463">
      <w:pPr>
        <w:widowControl w:val="0"/>
        <w:numPr>
          <w:ilvl w:val="2"/>
          <w:numId w:val="1"/>
        </w:numPr>
        <w:snapToGrid w:val="0"/>
        <w:spacing w:before="120" w:line="360" w:lineRule="auto"/>
        <w:ind w:left="1248" w:hanging="397"/>
        <w:jc w:val="both"/>
        <w:rPr>
          <w:sz w:val="20"/>
          <w:lang w:eastAsia="he-IL"/>
        </w:rPr>
      </w:pPr>
      <w:r>
        <w:rPr>
          <w:sz w:val="20"/>
          <w:u w:val="single"/>
          <w:rtl/>
          <w:lang w:eastAsia="he-IL"/>
        </w:rPr>
        <w:t>הנזק שצפוי היה להיגרם מביצוע העבירות</w:t>
      </w:r>
      <w:r>
        <w:rPr>
          <w:sz w:val="20"/>
          <w:rtl/>
          <w:lang w:eastAsia="he-IL"/>
        </w:rPr>
        <w:t xml:space="preserve">, הן של הסחר והן של החזקת הסמים בדירה רב אף הוא. בהינתן כמות עבירות הסחר, מגוון הסמים, סוגם וכמויות הסמים המסוכנים שנתפסו - כ-40 גרם נטו של </w:t>
      </w:r>
      <w:r>
        <w:rPr>
          <w:rFonts w:ascii="David" w:eastAsia="David" w:hAnsi="David"/>
          <w:rtl/>
        </w:rPr>
        <w:t xml:space="preserve">הסם </w:t>
      </w:r>
      <w:r>
        <w:rPr>
          <w:rFonts w:ascii="David" w:eastAsia="David" w:hAnsi="David"/>
          <w:sz w:val="22"/>
          <w:szCs w:val="22"/>
        </w:rPr>
        <w:t>MMC</w:t>
      </w:r>
      <w:r>
        <w:rPr>
          <w:rFonts w:ascii="David" w:eastAsia="David" w:hAnsi="David"/>
          <w:rtl/>
        </w:rPr>
        <w:t xml:space="preserve"> ו-1.4687 גרם נטו קטמין </w:t>
      </w:r>
      <w:r>
        <w:rPr>
          <w:rFonts w:ascii="David" w:eastAsia="David" w:hAnsi="David"/>
          <w:sz w:val="22"/>
          <w:szCs w:val="22"/>
        </w:rPr>
        <w:t>MDMA</w:t>
      </w:r>
      <w:r>
        <w:rPr>
          <w:rFonts w:ascii="David" w:eastAsia="David" w:hAnsi="David"/>
          <w:rtl/>
        </w:rPr>
        <w:t xml:space="preserve"> </w:t>
      </w:r>
      <w:r>
        <w:rPr>
          <w:sz w:val="20"/>
          <w:rtl/>
          <w:lang w:eastAsia="he-IL"/>
        </w:rPr>
        <w:t xml:space="preserve">- מהם ניתן להפיק "מנות" רבות של סמים מסוכנים. מחוות הדעת עולה כי מכמות כזו ניתן לייצר 160–550 מנות סם </w:t>
      </w:r>
      <w:r>
        <w:rPr>
          <w:rFonts w:ascii="David" w:hAnsi="David"/>
          <w:sz w:val="22"/>
          <w:szCs w:val="28"/>
          <w:lang w:eastAsia="he-IL"/>
        </w:rPr>
        <w:t>MMC</w:t>
      </w:r>
      <w:r>
        <w:rPr>
          <w:sz w:val="20"/>
          <w:rtl/>
          <w:lang w:eastAsia="he-IL"/>
        </w:rPr>
        <w:t>.</w:t>
      </w:r>
    </w:p>
    <w:p w14:paraId="717EE866" w14:textId="77777777" w:rsidR="00813463" w:rsidRDefault="00813463" w:rsidP="00813463">
      <w:pPr>
        <w:widowControl w:val="0"/>
        <w:numPr>
          <w:ilvl w:val="2"/>
          <w:numId w:val="1"/>
        </w:numPr>
        <w:snapToGrid w:val="0"/>
        <w:spacing w:before="120" w:line="360" w:lineRule="auto"/>
        <w:ind w:left="1248" w:hanging="397"/>
        <w:jc w:val="both"/>
        <w:rPr>
          <w:sz w:val="20"/>
          <w:lang w:eastAsia="he-IL"/>
        </w:rPr>
      </w:pPr>
      <w:r>
        <w:rPr>
          <w:sz w:val="20"/>
          <w:u w:val="single"/>
          <w:rtl/>
          <w:lang w:eastAsia="he-IL"/>
        </w:rPr>
        <w:t>הסיבות שהביאו את הנאשם לביצוע העבירות</w:t>
      </w:r>
      <w:r>
        <w:rPr>
          <w:sz w:val="20"/>
          <w:rtl/>
          <w:lang w:eastAsia="he-IL"/>
        </w:rPr>
        <w:t xml:space="preserve">, כפי שעולה מתסקיר שירות המבחן, הן מצבו הכלכלי עקב פרוץ מגפת הקורונה. הנאשם התקשה להתמודד עם המצוקה הכלכלית אליה נקלע ומכך שהוא לא יכול לפרנס את משפחתו, ולכן כאשר נהגי מוניות אחרים הציעו לו להעביר סמים תמורת כסף - הסכים. עולה מגרסת הנאשם כי הסיבה שהביאה אותו לביצוע העבירות היא בצע כסף, על רקע משבר כלכלי אליו נקלע, בשל משבר עולמי, בעקבות התפרצות נגיף הקורונה. </w:t>
      </w:r>
    </w:p>
    <w:p w14:paraId="2CA68BDD" w14:textId="77777777" w:rsidR="00813463" w:rsidRDefault="00813463" w:rsidP="00813463">
      <w:pPr>
        <w:widowControl w:val="0"/>
        <w:numPr>
          <w:ilvl w:val="1"/>
          <w:numId w:val="1"/>
        </w:numPr>
        <w:snapToGrid w:val="0"/>
        <w:spacing w:before="240" w:line="360" w:lineRule="auto"/>
        <w:ind w:left="714" w:hanging="357"/>
        <w:jc w:val="both"/>
        <w:rPr>
          <w:sz w:val="20"/>
          <w:lang w:eastAsia="he-IL"/>
        </w:rPr>
      </w:pPr>
      <w:r>
        <w:rPr>
          <w:b/>
          <w:bCs/>
          <w:sz w:val="20"/>
          <w:rtl/>
          <w:lang w:eastAsia="he-IL"/>
        </w:rPr>
        <w:t xml:space="preserve">מדיניות הענישה הנהוגה </w:t>
      </w:r>
      <w:r>
        <w:rPr>
          <w:sz w:val="20"/>
          <w:rtl/>
          <w:lang w:eastAsia="he-IL"/>
        </w:rPr>
        <w:t xml:space="preserve">- עיון בפסיקת שלוש הערכאות מלמד כי קיים מנעד גדול של ענישה. אורך תקופת המאסר כמו גם גובה הקנס תלויים בסוג הסם, כמותו, מספר העסקאות שבוצעו ונסיבות החזקתו. במהלך הטיעונים לעונש הופניתי אל פסיקה של בתי המשפט השונים, כל צד הציג פסיקה התומכת בטיעוניו לגבי מדיניות הענישה הנהוגה, ועל אלו הוספתי פסיקה רלוונטית נוספת. כל מקרה לנסיבותיו ויש לאבחן המקרים השונים למקרה שלפניי, אם כי יש פסקי-דין מהם ניתן לגזור אמת-מידה עונשית הולמת, ומשכך אסקור להלן חלק מפסקי הדין בהם נדונו עבירות בסמים מסוג הסם </w:t>
      </w:r>
      <w:r>
        <w:rPr>
          <w:rFonts w:ascii="David" w:hAnsi="David"/>
          <w:sz w:val="22"/>
          <w:szCs w:val="28"/>
          <w:lang w:eastAsia="he-IL"/>
        </w:rPr>
        <w:t>MMC</w:t>
      </w:r>
      <w:r>
        <w:rPr>
          <w:sz w:val="20"/>
          <w:rtl/>
          <w:lang w:eastAsia="he-IL"/>
        </w:rPr>
        <w:t xml:space="preserve"> סמים דומים לו, כעולה מחוות הדעת -</w:t>
      </w:r>
    </w:p>
    <w:p w14:paraId="0C506C0A" w14:textId="77777777" w:rsidR="00813463" w:rsidRDefault="008D4222" w:rsidP="00813463">
      <w:pPr>
        <w:numPr>
          <w:ilvl w:val="2"/>
          <w:numId w:val="1"/>
        </w:numPr>
        <w:snapToGrid w:val="0"/>
        <w:spacing w:before="60" w:line="360" w:lineRule="auto"/>
        <w:ind w:left="1134" w:hanging="454"/>
        <w:jc w:val="both"/>
        <w:rPr>
          <w:sz w:val="20"/>
          <w:lang w:eastAsia="he-IL"/>
        </w:rPr>
      </w:pPr>
      <w:hyperlink r:id="rId53" w:history="1">
        <w:r w:rsidRPr="008D4222">
          <w:rPr>
            <w:rFonts w:ascii="David" w:hAnsi="David"/>
            <w:color w:val="0000FF"/>
            <w:u w:val="single"/>
            <w:rtl/>
          </w:rPr>
          <w:t>רע"פ 1807/22</w:t>
        </w:r>
      </w:hyperlink>
      <w:r>
        <w:rPr>
          <w:rFonts w:ascii="David" w:hAnsi="David"/>
          <w:rtl/>
        </w:rPr>
        <w:t xml:space="preserve"> </w:t>
      </w:r>
      <w:r w:rsidR="00813463">
        <w:rPr>
          <w:rFonts w:ascii="Miriam" w:hAnsi="Miriam" w:cs="Miriam"/>
          <w:b/>
          <w:bCs/>
          <w:sz w:val="18"/>
          <w:szCs w:val="22"/>
          <w:rtl/>
        </w:rPr>
        <w:t>פלוני נ' מדינת ישראל</w:t>
      </w:r>
      <w:r>
        <w:rPr>
          <w:rFonts w:ascii="David" w:hAnsi="David"/>
          <w:color w:val="000000"/>
          <w:rtl/>
        </w:rPr>
        <w:t xml:space="preserve"> </w:t>
      </w:r>
      <w:r w:rsidR="00813463">
        <w:rPr>
          <w:rFonts w:ascii="David" w:hAnsi="David"/>
          <w:color w:val="000000"/>
          <w:rtl/>
        </w:rPr>
        <w:t xml:space="preserve">(16.3.22) - נדחתה בקשת רשות ערעור על פסק הדין בערעור, בו הוחמר עונשו של המבקש והושתו עליו 18 חודשי מאסר בפועל, חלף 9 חודשי מאסר בעבודות שירות, לצד ענישה נלווית. המבקש הורשע על פי הודאתו בהחזקת 49.3 גרם קוקאין, שיבוש מהלכי משפט ועבירות תעבורה. </w:t>
      </w:r>
      <w:r w:rsidR="00813463">
        <w:rPr>
          <w:sz w:val="20"/>
          <w:rtl/>
          <w:lang w:eastAsia="he-IL"/>
        </w:rPr>
        <w:t xml:space="preserve">בדחותו בקשת רשות הערעור, קבע כב' הש' אלרון דברים הרלוונטיים גם לעניינו - </w:t>
      </w:r>
    </w:p>
    <w:p w14:paraId="044D6B71" w14:textId="77777777" w:rsidR="00813463" w:rsidRDefault="00813463" w:rsidP="00813463">
      <w:pPr>
        <w:widowControl w:val="0"/>
        <w:snapToGrid w:val="0"/>
        <w:spacing w:before="60" w:line="360" w:lineRule="auto"/>
        <w:ind w:left="1474" w:right="1304"/>
        <w:jc w:val="both"/>
        <w:rPr>
          <w:sz w:val="20"/>
          <w:lang w:eastAsia="he-IL"/>
        </w:rPr>
      </w:pPr>
      <w:r>
        <w:rPr>
          <w:sz w:val="20"/>
          <w:rtl/>
          <w:lang w:eastAsia="he-IL"/>
        </w:rPr>
        <w:t>"</w:t>
      </w:r>
      <w:r>
        <w:rPr>
          <w:b/>
          <w:bCs/>
          <w:sz w:val="20"/>
          <w:rtl/>
          <w:lang w:eastAsia="he-IL"/>
        </w:rPr>
        <w:t>בענייננו, המבקש הורשע בהחזקת סם מסוכן מסוג קוקאין בכמות משמעותית שניתן להפיק ממנה מאות 'מנות' אשר היו עלולות להגיע לרחובות ישראל ולהסב נזק רב, אלמלא פעילות גורמי האכיפה. לא אחת התרעתי מפני חומרתן הרבה של עבירות הסמים, ועל הצורך בענישה מרתיעה ויעילה בעבירות אלו בכדי למנוע אותן בטרם יסבו נזק לחברה</w:t>
      </w:r>
      <w:r>
        <w:rPr>
          <w:sz w:val="20"/>
          <w:rtl/>
          <w:lang w:eastAsia="he-IL"/>
        </w:rPr>
        <w:t>..."</w:t>
      </w:r>
    </w:p>
    <w:p w14:paraId="291F7D2F" w14:textId="77777777" w:rsidR="00813463" w:rsidRDefault="008D4222" w:rsidP="00813463">
      <w:pPr>
        <w:numPr>
          <w:ilvl w:val="2"/>
          <w:numId w:val="1"/>
        </w:numPr>
        <w:snapToGrid w:val="0"/>
        <w:spacing w:before="120" w:line="360" w:lineRule="auto"/>
        <w:ind w:left="1134" w:hanging="454"/>
        <w:jc w:val="both"/>
        <w:rPr>
          <w:rFonts w:ascii="David" w:hAnsi="David"/>
        </w:rPr>
      </w:pPr>
      <w:hyperlink r:id="rId54" w:history="1">
        <w:r w:rsidRPr="008D4222">
          <w:rPr>
            <w:rFonts w:ascii="David" w:hAnsi="David"/>
            <w:color w:val="0000FF"/>
            <w:u w:val="single"/>
            <w:rtl/>
          </w:rPr>
          <w:t>ע"פ 971/21</w:t>
        </w:r>
      </w:hyperlink>
      <w:r>
        <w:rPr>
          <w:rFonts w:ascii="David" w:hAnsi="David"/>
          <w:rtl/>
        </w:rPr>
        <w:t xml:space="preserve"> </w:t>
      </w:r>
      <w:r w:rsidR="00813463">
        <w:rPr>
          <w:rFonts w:ascii="Miriam" w:hAnsi="Miriam" w:cs="Miriam"/>
          <w:b/>
          <w:bCs/>
          <w:sz w:val="18"/>
          <w:szCs w:val="22"/>
          <w:rtl/>
        </w:rPr>
        <w:t>אמאצ'י נ' מדינת ישראל</w:t>
      </w:r>
      <w:r>
        <w:rPr>
          <w:rFonts w:ascii="David" w:hAnsi="David"/>
          <w:rtl/>
        </w:rPr>
        <w:t xml:space="preserve"> </w:t>
      </w:r>
      <w:r w:rsidR="00813463">
        <w:rPr>
          <w:rFonts w:ascii="David" w:hAnsi="David"/>
          <w:rtl/>
        </w:rPr>
        <w:t xml:space="preserve">(31.3.21) - נדחה ערעור מי שהורשע על פי הודאתו בהחזקת </w:t>
      </w:r>
      <w:r w:rsidR="00813463">
        <w:rPr>
          <w:rFonts w:ascii="David" w:hAnsi="David" w:hint="cs"/>
          <w:rtl/>
        </w:rPr>
        <w:t>כ-</w:t>
      </w:r>
      <w:r w:rsidR="00813463">
        <w:rPr>
          <w:rFonts w:ascii="David" w:hAnsi="David"/>
          <w:rtl/>
        </w:rPr>
        <w:t>68</w:t>
      </w:r>
      <w:r w:rsidR="00813463">
        <w:rPr>
          <w:rFonts w:ascii="David" w:hAnsi="David" w:hint="cs"/>
          <w:rtl/>
        </w:rPr>
        <w:t>0</w:t>
      </w:r>
      <w:r w:rsidR="00813463">
        <w:rPr>
          <w:rFonts w:ascii="David" w:hAnsi="David"/>
          <w:rtl/>
        </w:rPr>
        <w:t xml:space="preserve"> גרם נטו קוקאין, ארוז ב-43 יחידות. בית המשפט המחוזי קבע מתחם 24–60 חודשי מאסר בפועל, וחרף המלצת שירות המבחן, השית על המערער 30 חודשי מאסר בפועל ועונשים נלווים. </w:t>
      </w:r>
      <w:r w:rsidR="00813463">
        <w:rPr>
          <w:sz w:val="20"/>
          <w:rtl/>
          <w:lang w:eastAsia="he-IL"/>
        </w:rPr>
        <w:t xml:space="preserve">בדחותו הערעור, תוך התייחסות להמלצה החיובית של שירות המבחן, קבע כב' הש' קרא הדברים הבאים, הרלוונטים גם לעניינו, בהינתן כי גם שם דובר במי שהיה נעדר עבר פלילי וביצע העבירות על רקע משבר אליו נקלע. שם דובר אמנם בכמות גדולה יותר, אולם המבקש לא הורשע בעבירות סחר - </w:t>
      </w:r>
    </w:p>
    <w:p w14:paraId="38123137" w14:textId="77777777" w:rsidR="00813463" w:rsidRDefault="00813463" w:rsidP="00813463">
      <w:pPr>
        <w:widowControl w:val="0"/>
        <w:snapToGrid w:val="0"/>
        <w:spacing w:before="60" w:line="360" w:lineRule="auto"/>
        <w:ind w:left="1474" w:right="1304"/>
        <w:jc w:val="both"/>
        <w:rPr>
          <w:sz w:val="20"/>
          <w:lang w:eastAsia="he-IL"/>
        </w:rPr>
      </w:pPr>
      <w:r>
        <w:rPr>
          <w:sz w:val="20"/>
          <w:rtl/>
          <w:lang w:eastAsia="he-IL"/>
        </w:rPr>
        <w:t>"</w:t>
      </w:r>
      <w:r>
        <w:rPr>
          <w:b/>
          <w:bCs/>
          <w:sz w:val="20"/>
          <w:rtl/>
          <w:lang w:eastAsia="he-IL"/>
        </w:rPr>
        <w:t>הדעת נותנת כי עבירה מהסוג שביצע המערער אינה פרי מעידה רגעית, ואין די בהכאה על חטא כדי להצביע על שיקומו של מי שעד לאותה עת ניהל אורח חיים נורמטיבי וחיובי והנה לפתע, הגם שעל רקע משברי כפי שצוין בתסקיר, ביצע עבירה כה חמורה המצריכה קשר עם גורמים עברייניים ואשר מעידה על מוכנות להשתתפות בפעילות פורצת חוק, כשעל פי הודאת המערער נועד הסם שהחזיק, כשהוא מחולק לעשרות מנות, להספקה לאחרים. אכן, שירות המבחן העריך כי הושגה הרתעה והצטמצם הסיכון להישנות העבירה, אולם לאור חומרת העבירה, אין די בכך כדי להשיג את האינטרס הציבורי המובהק בענישה מרתיעה והולמת בעבירות סמים אל מול שיקולי השיקום, על דרך של חריגה ממתחם העונש ההולם</w:t>
      </w:r>
      <w:r>
        <w:rPr>
          <w:sz w:val="20"/>
          <w:rtl/>
          <w:lang w:eastAsia="he-IL"/>
        </w:rPr>
        <w:t xml:space="preserve">... </w:t>
      </w:r>
      <w:r>
        <w:rPr>
          <w:b/>
          <w:bCs/>
          <w:sz w:val="20"/>
          <w:rtl/>
          <w:lang w:eastAsia="he-IL"/>
        </w:rPr>
        <w:t>ומכל מקום, כידוע, תסקיר שירות המבחן הינו כלי עזר שאותו נדרש בית המשפט לבחון 'בעין שיפוטית' ואין בו משום המלצה מחייבת</w:t>
      </w:r>
      <w:r>
        <w:rPr>
          <w:sz w:val="20"/>
          <w:rtl/>
          <w:lang w:eastAsia="he-IL"/>
        </w:rPr>
        <w:t>..."</w:t>
      </w:r>
    </w:p>
    <w:p w14:paraId="2CF6ED37" w14:textId="77777777" w:rsidR="00813463" w:rsidRDefault="008D4222" w:rsidP="00813463">
      <w:pPr>
        <w:numPr>
          <w:ilvl w:val="2"/>
          <w:numId w:val="1"/>
        </w:numPr>
        <w:snapToGrid w:val="0"/>
        <w:spacing w:before="120" w:line="360" w:lineRule="auto"/>
        <w:ind w:left="1134" w:hanging="454"/>
        <w:jc w:val="both"/>
        <w:rPr>
          <w:sz w:val="18"/>
          <w:szCs w:val="22"/>
          <w:lang w:eastAsia="he-IL"/>
        </w:rPr>
      </w:pPr>
      <w:hyperlink r:id="rId55" w:history="1">
        <w:r w:rsidRPr="008D4222">
          <w:rPr>
            <w:color w:val="0000FF"/>
            <w:u w:val="single"/>
            <w:rtl/>
          </w:rPr>
          <w:t>רע"פ 2361/20</w:t>
        </w:r>
      </w:hyperlink>
      <w:r w:rsidR="00813463">
        <w:rPr>
          <w:color w:val="000000"/>
          <w:rtl/>
        </w:rPr>
        <w:t xml:space="preserve"> </w:t>
      </w:r>
      <w:r w:rsidR="00813463">
        <w:rPr>
          <w:rFonts w:ascii="Miriam" w:hAnsi="Miriam" w:cs="Miriam"/>
          <w:b/>
          <w:bCs/>
          <w:sz w:val="18"/>
          <w:szCs w:val="22"/>
          <w:rtl/>
        </w:rPr>
        <w:t>בן אדרת נ' מדינת ישראל</w:t>
      </w:r>
      <w:r w:rsidR="00813463">
        <w:rPr>
          <w:color w:val="000000"/>
          <w:rtl/>
        </w:rPr>
        <w:t xml:space="preserve"> (‏6.4.20) - נדחו ערעור ובקשת רשות ערעור של מי שהורשע על פי הודאתו, במספר עבירות סחר בסם מסוכן הידוע בכינוי "</w:t>
      </w:r>
      <w:r w:rsidR="00813463">
        <w:rPr>
          <w:b/>
          <w:bCs/>
          <w:color w:val="000000"/>
          <w:rtl/>
        </w:rPr>
        <w:t>נייס גאי</w:t>
      </w:r>
      <w:r w:rsidR="00813463">
        <w:rPr>
          <w:color w:val="000000"/>
          <w:rtl/>
        </w:rPr>
        <w:t>", במסגרת רשת אספקת סמים מסוכנים בה שימש כבלדר ונדון ל-24 חודשי מאסר בפועל. בדחותו בקשת רשות הערעור, קבע כב' השופט אלרון, בנוגע לסחר ב-"</w:t>
      </w:r>
      <w:r w:rsidR="00813463">
        <w:rPr>
          <w:b/>
          <w:bCs/>
          <w:color w:val="000000"/>
          <w:rtl/>
        </w:rPr>
        <w:t>סמים סינתטיים</w:t>
      </w:r>
      <w:r w:rsidR="00813463">
        <w:rPr>
          <w:color w:val="000000"/>
          <w:rtl/>
        </w:rPr>
        <w:t xml:space="preserve">" קביעות הרלוונטיות אף לעניינו (ההדגשה לא במקור - זד"ל) - </w:t>
      </w:r>
    </w:p>
    <w:p w14:paraId="17F70F7B" w14:textId="77777777" w:rsidR="00813463" w:rsidRDefault="00813463" w:rsidP="00813463">
      <w:pPr>
        <w:widowControl w:val="0"/>
        <w:snapToGrid w:val="0"/>
        <w:spacing w:before="60" w:line="360" w:lineRule="auto"/>
        <w:ind w:left="1474" w:right="1304"/>
        <w:jc w:val="both"/>
        <w:rPr>
          <w:sz w:val="20"/>
          <w:lang w:eastAsia="he-IL"/>
        </w:rPr>
      </w:pPr>
      <w:r>
        <w:rPr>
          <w:sz w:val="20"/>
          <w:rtl/>
          <w:lang w:eastAsia="he-IL"/>
        </w:rPr>
        <w:t>"</w:t>
      </w:r>
      <w:r>
        <w:rPr>
          <w:b/>
          <w:bCs/>
          <w:sz w:val="20"/>
          <w:rtl/>
          <w:lang w:eastAsia="he-IL"/>
        </w:rPr>
        <w:t>בית משפט זה שב והדגיש כי על מדיניות הענישה בגין סחר והפצה של סמים מסוכנים, ובכללן סמים הנחשבים ל'סמים קלים', להיות מרתיעה ומשמעותית, וכי יש לראות בחומרה ניסיונות לעשיית רווח כספי באמצעות סחר בסמים אלה</w:t>
      </w:r>
      <w:r>
        <w:rPr>
          <w:sz w:val="20"/>
          <w:rtl/>
          <w:lang w:eastAsia="he-IL"/>
        </w:rPr>
        <w:t>...</w:t>
      </w:r>
      <w:r>
        <w:rPr>
          <w:b/>
          <w:bCs/>
          <w:sz w:val="20"/>
          <w:rtl/>
          <w:lang w:eastAsia="he-IL"/>
        </w:rPr>
        <w:t xml:space="preserve"> </w:t>
      </w:r>
      <w:r>
        <w:rPr>
          <w:b/>
          <w:bCs/>
          <w:sz w:val="20"/>
          <w:u w:val="single"/>
          <w:rtl/>
          <w:lang w:eastAsia="he-IL"/>
        </w:rPr>
        <w:t>קל וחומר כי כאשר עסקינן בסמים סינתטיים שפגיעתם חמורה יותר, על הענישה להיות מרתיעה ומשמעותית</w:t>
      </w:r>
      <w:r>
        <w:rPr>
          <w:sz w:val="20"/>
          <w:rtl/>
          <w:lang w:eastAsia="he-IL"/>
        </w:rPr>
        <w:t>".</w:t>
      </w:r>
    </w:p>
    <w:p w14:paraId="7C199382" w14:textId="77777777" w:rsidR="00813463" w:rsidRDefault="008D4222" w:rsidP="00813463">
      <w:pPr>
        <w:numPr>
          <w:ilvl w:val="2"/>
          <w:numId w:val="1"/>
        </w:numPr>
        <w:snapToGrid w:val="0"/>
        <w:spacing w:before="120" w:line="360" w:lineRule="auto"/>
        <w:ind w:left="1134" w:hanging="454"/>
        <w:jc w:val="both"/>
        <w:rPr>
          <w:rFonts w:ascii="David" w:hAnsi="David"/>
          <w:lang w:eastAsia="he-IL"/>
        </w:rPr>
      </w:pPr>
      <w:hyperlink r:id="rId56" w:history="1">
        <w:r w:rsidRPr="008D4222">
          <w:rPr>
            <w:rFonts w:ascii="David" w:hAnsi="David"/>
            <w:color w:val="0000FF"/>
            <w:u w:val="single"/>
            <w:rtl/>
            <w:lang w:eastAsia="he-IL"/>
          </w:rPr>
          <w:t>רע"פ 8408/15</w:t>
        </w:r>
      </w:hyperlink>
      <w:r w:rsidR="00813463">
        <w:rPr>
          <w:rFonts w:ascii="David" w:hAnsi="David"/>
          <w:lang w:eastAsia="he-IL"/>
        </w:rPr>
        <w:t xml:space="preserve"> </w:t>
      </w:r>
      <w:r w:rsidR="00813463">
        <w:rPr>
          <w:rFonts w:ascii="Miriam" w:hAnsi="Miriam" w:cs="Miriam"/>
          <w:b/>
          <w:bCs/>
          <w:sz w:val="18"/>
          <w:szCs w:val="22"/>
          <w:rtl/>
        </w:rPr>
        <w:t>חביב</w:t>
      </w:r>
      <w:r w:rsidR="00813463">
        <w:rPr>
          <w:rFonts w:ascii="Miriam" w:hAnsi="Miriam" w:cs="Miriam"/>
          <w:b/>
          <w:bCs/>
          <w:sz w:val="18"/>
          <w:szCs w:val="22"/>
        </w:rPr>
        <w:t xml:space="preserve"> </w:t>
      </w:r>
      <w:r w:rsidR="00813463">
        <w:rPr>
          <w:rFonts w:ascii="Miriam" w:hAnsi="Miriam" w:cs="Miriam"/>
          <w:b/>
          <w:bCs/>
          <w:sz w:val="18"/>
          <w:szCs w:val="22"/>
          <w:rtl/>
        </w:rPr>
        <w:t>נ'</w:t>
      </w:r>
      <w:r w:rsidR="00813463">
        <w:rPr>
          <w:rFonts w:ascii="Miriam" w:hAnsi="Miriam" w:cs="Miriam"/>
          <w:b/>
          <w:bCs/>
          <w:sz w:val="18"/>
          <w:szCs w:val="22"/>
        </w:rPr>
        <w:t xml:space="preserve"> </w:t>
      </w:r>
      <w:r w:rsidR="00813463">
        <w:rPr>
          <w:rFonts w:ascii="Miriam" w:hAnsi="Miriam" w:cs="Miriam"/>
          <w:b/>
          <w:bCs/>
          <w:sz w:val="18"/>
          <w:szCs w:val="22"/>
          <w:rtl/>
        </w:rPr>
        <w:t>מדינת</w:t>
      </w:r>
      <w:r w:rsidR="00813463">
        <w:rPr>
          <w:rFonts w:ascii="Miriam" w:hAnsi="Miriam" w:cs="Miriam"/>
          <w:b/>
          <w:bCs/>
          <w:sz w:val="18"/>
          <w:szCs w:val="22"/>
        </w:rPr>
        <w:t xml:space="preserve"> </w:t>
      </w:r>
      <w:r w:rsidR="00813463">
        <w:rPr>
          <w:rFonts w:ascii="Miriam" w:hAnsi="Miriam" w:cs="Miriam"/>
          <w:b/>
          <w:bCs/>
          <w:sz w:val="18"/>
          <w:szCs w:val="22"/>
          <w:rtl/>
        </w:rPr>
        <w:t xml:space="preserve">ישראל </w:t>
      </w:r>
      <w:r w:rsidR="00813463">
        <w:rPr>
          <w:rFonts w:ascii="David" w:hAnsi="David"/>
          <w:lang w:eastAsia="he-IL"/>
        </w:rPr>
        <w:t xml:space="preserve"> (9.12.15)</w:t>
      </w:r>
      <w:r w:rsidR="00813463">
        <w:rPr>
          <w:rFonts w:ascii="David" w:hAnsi="David"/>
          <w:rtl/>
          <w:lang w:eastAsia="he-IL"/>
        </w:rPr>
        <w:t xml:space="preserve">- אליו הפנה ב"כ הנאשם. נדחו ערעור ובקשת רשות ערעור. בגין 2 עבירות סחר בקוקאין במשקלים של 1.1 גרם (2 מנות) ומעל 5 גרם (10 מנות) והחזקת אריזות של מעל 15 גרם - נקבע מתחם 8–18 חודשי מאסר בפועל לכל אישום. על הנאשם, בעל עבר פלילי מכביד, הושתו 17 חודשי מאסר בפועל לצד עונשים נלווים, בהינתן </w:t>
      </w:r>
      <w:r w:rsidR="00813463">
        <w:rPr>
          <w:rtl/>
        </w:rPr>
        <w:t>הודאתו, נסיבות חייו וההליך השיקומי שעבר.</w:t>
      </w:r>
      <w:r w:rsidR="00813463">
        <w:rPr>
          <w:rFonts w:ascii="David" w:hAnsi="David"/>
          <w:rtl/>
          <w:lang w:eastAsia="he-IL"/>
        </w:rPr>
        <w:t xml:space="preserve"> בדחותו הבקשה, שב כב' הש' ג'ובראן על ההלכה לפיה "</w:t>
      </w:r>
      <w:r w:rsidR="00813463">
        <w:rPr>
          <w:rFonts w:ascii="David" w:hAnsi="David"/>
          <w:b/>
          <w:bCs/>
          <w:rtl/>
          <w:lang w:eastAsia="he-IL"/>
        </w:rPr>
        <w:t>תסקיר שירות המבחן, למרות הערכת מקצועיותו הרבה, מהווה המלצה בלבד ובית המשפט רשאי להפעיל את שיקול דעתו בהתחשב בכלל האינטרסים העומדים לפניו</w:t>
      </w:r>
      <w:r w:rsidR="00813463">
        <w:rPr>
          <w:rFonts w:ascii="David" w:hAnsi="David"/>
          <w:rtl/>
          <w:lang w:eastAsia="he-IL"/>
        </w:rPr>
        <w:t>".</w:t>
      </w:r>
    </w:p>
    <w:p w14:paraId="7C3CDA68" w14:textId="77777777" w:rsidR="00813463" w:rsidRDefault="00813463" w:rsidP="00813463">
      <w:pPr>
        <w:numPr>
          <w:ilvl w:val="2"/>
          <w:numId w:val="1"/>
        </w:numPr>
        <w:snapToGrid w:val="0"/>
        <w:spacing w:before="120" w:line="360" w:lineRule="auto"/>
        <w:ind w:left="1134" w:hanging="454"/>
        <w:jc w:val="both"/>
        <w:rPr>
          <w:sz w:val="20"/>
          <w:lang w:eastAsia="he-IL"/>
        </w:rPr>
      </w:pPr>
      <w:r>
        <w:rPr>
          <w:rFonts w:ascii="Miriam" w:hAnsi="Miriam" w:cs="Miriam"/>
          <w:b/>
          <w:bCs/>
          <w:sz w:val="18"/>
          <w:szCs w:val="22"/>
          <w:rtl/>
        </w:rPr>
        <w:t xml:space="preserve">ענין ותד </w:t>
      </w:r>
      <w:r>
        <w:rPr>
          <w:rFonts w:ascii="David" w:hAnsi="David"/>
          <w:rtl/>
        </w:rPr>
        <w:t>- נדחה ערעורם של מי שהורשעו על פי הודעתם בעבירות בקשר לעסקה אחת, בה רכשו כ-300 גרם חומר פעיל ממשפחת הקנבינואידים הסינטטיים, הידוע בכינוי "</w:t>
      </w:r>
      <w:r>
        <w:rPr>
          <w:rFonts w:ascii="David" w:hAnsi="David"/>
          <w:b/>
          <w:bCs/>
          <w:rtl/>
        </w:rPr>
        <w:t>נייס גיא</w:t>
      </w:r>
      <w:r>
        <w:rPr>
          <w:rFonts w:ascii="David" w:hAnsi="David"/>
          <w:rtl/>
        </w:rPr>
        <w:t>" (</w:t>
      </w:r>
      <w:r>
        <w:rPr>
          <w:rtl/>
        </w:rPr>
        <w:t>ביחס משוער של 20 גרם חומר פעיל לכל ק"ג חומר צמחי במשקל כ-15 ק"ג)</w:t>
      </w:r>
      <w:r>
        <w:rPr>
          <w:rFonts w:ascii="David" w:hAnsi="David"/>
          <w:rtl/>
        </w:rPr>
        <w:t xml:space="preserve">. בית המשפט המחוזי בחיפה קבע כי נוכח תכונותיהם הרעות של חומרים אלו אין להחיל עליהם רמת הענישה המתונה באופן יחסי הנהוגה ביחס לסמים מסוג קנבוס או חשיש, אך מאחר שהחומרים הוכרזו כסמים פחות משנה עובר למתן גזר דינו - יש להעלות רף הענישה באופן הדרגתי, ולא באבחה אחת. נקבע מתחם 2–5 שנות מאסר והושתו עונשים של 24–28 חודשי מאסר בפועל, בין היתר בהינתן נסיבותיהם האישיות, שכללו גם את גילם הצעיר של חלק מהנאשמים, העדר עבר פלילי לחלקם ורצח אבי שניים מהם. </w:t>
      </w:r>
    </w:p>
    <w:p w14:paraId="4593D578" w14:textId="77777777" w:rsidR="00813463" w:rsidRDefault="00813463" w:rsidP="00813463">
      <w:pPr>
        <w:numPr>
          <w:ilvl w:val="2"/>
          <w:numId w:val="1"/>
        </w:numPr>
        <w:snapToGrid w:val="0"/>
        <w:spacing w:before="120" w:line="360" w:lineRule="auto"/>
        <w:ind w:left="1134" w:hanging="454"/>
        <w:jc w:val="both"/>
        <w:rPr>
          <w:sz w:val="20"/>
          <w:lang w:eastAsia="he-IL"/>
        </w:rPr>
      </w:pPr>
      <w:r>
        <w:rPr>
          <w:rFonts w:ascii="Miriam" w:hAnsi="Miriam" w:cs="Miriam"/>
          <w:b/>
          <w:bCs/>
          <w:sz w:val="18"/>
          <w:szCs w:val="22"/>
          <w:rtl/>
        </w:rPr>
        <w:t xml:space="preserve">ענין יהודה </w:t>
      </w:r>
      <w:r>
        <w:rPr>
          <w:sz w:val="20"/>
          <w:rtl/>
          <w:lang w:eastAsia="he-IL"/>
        </w:rPr>
        <w:t xml:space="preserve">- נדחה ערעור על 30 חודשי מאסר, שהושתו על המערער בגין הרשעתו ביבוא הסם המסוכן </w:t>
      </w:r>
      <w:r>
        <w:rPr>
          <w:sz w:val="20"/>
          <w:lang w:eastAsia="he-IL"/>
        </w:rPr>
        <w:t>MMC</w:t>
      </w:r>
      <w:r>
        <w:rPr>
          <w:sz w:val="20"/>
          <w:rtl/>
          <w:lang w:eastAsia="he-IL"/>
        </w:rPr>
        <w:t xml:space="preserve">. על דודו, שותפו לביצוע העבירות, הושתו 42 חודשי מאסר. עונשים אלו היו ברף התחתון של מתחמי הענישה שנקבעו. </w:t>
      </w:r>
    </w:p>
    <w:p w14:paraId="53714904" w14:textId="77777777" w:rsidR="00813463" w:rsidRDefault="008D4222" w:rsidP="00813463">
      <w:pPr>
        <w:numPr>
          <w:ilvl w:val="2"/>
          <w:numId w:val="1"/>
        </w:numPr>
        <w:snapToGrid w:val="0"/>
        <w:spacing w:before="120" w:line="360" w:lineRule="auto"/>
        <w:ind w:left="1134" w:hanging="454"/>
        <w:jc w:val="both"/>
        <w:rPr>
          <w:sz w:val="20"/>
          <w:lang w:eastAsia="he-IL"/>
        </w:rPr>
      </w:pPr>
      <w:hyperlink r:id="rId57" w:history="1">
        <w:r w:rsidRPr="008D4222">
          <w:rPr>
            <w:rFonts w:ascii="David" w:hAnsi="David"/>
            <w:color w:val="0000FF"/>
            <w:u w:val="single"/>
            <w:rtl/>
          </w:rPr>
          <w:t>רע"פ 126/15</w:t>
        </w:r>
      </w:hyperlink>
      <w:r w:rsidR="00813463">
        <w:rPr>
          <w:rFonts w:ascii="David" w:hAnsi="David"/>
          <w:lang w:eastAsia="he-IL"/>
        </w:rPr>
        <w:t xml:space="preserve"> </w:t>
      </w:r>
      <w:r w:rsidR="00813463">
        <w:rPr>
          <w:rFonts w:ascii="Miriam" w:hAnsi="Miriam" w:cs="Miriam"/>
          <w:b/>
          <w:bCs/>
          <w:sz w:val="18"/>
          <w:szCs w:val="22"/>
          <w:rtl/>
        </w:rPr>
        <w:t>חביף</w:t>
      </w:r>
      <w:r w:rsidR="00813463">
        <w:rPr>
          <w:rFonts w:ascii="Miriam" w:hAnsi="Miriam" w:cs="Miriam"/>
          <w:b/>
          <w:bCs/>
          <w:sz w:val="18"/>
          <w:szCs w:val="22"/>
        </w:rPr>
        <w:t xml:space="preserve"> </w:t>
      </w:r>
      <w:r w:rsidR="00813463">
        <w:rPr>
          <w:rFonts w:ascii="Miriam" w:hAnsi="Miriam" w:cs="Miriam"/>
          <w:b/>
          <w:bCs/>
          <w:sz w:val="18"/>
          <w:szCs w:val="22"/>
          <w:rtl/>
        </w:rPr>
        <w:t>נ'</w:t>
      </w:r>
      <w:r w:rsidR="00813463">
        <w:rPr>
          <w:rFonts w:ascii="Miriam" w:hAnsi="Miriam" w:cs="Miriam"/>
          <w:b/>
          <w:bCs/>
          <w:sz w:val="18"/>
          <w:szCs w:val="22"/>
        </w:rPr>
        <w:t xml:space="preserve"> </w:t>
      </w:r>
      <w:r w:rsidR="00813463">
        <w:rPr>
          <w:rFonts w:ascii="Miriam" w:hAnsi="Miriam" w:cs="Miriam"/>
          <w:b/>
          <w:bCs/>
          <w:sz w:val="18"/>
          <w:szCs w:val="22"/>
          <w:rtl/>
        </w:rPr>
        <w:t>מדינת</w:t>
      </w:r>
      <w:r w:rsidR="00813463">
        <w:rPr>
          <w:rFonts w:ascii="Miriam" w:hAnsi="Miriam" w:cs="Miriam"/>
          <w:b/>
          <w:bCs/>
          <w:sz w:val="18"/>
          <w:szCs w:val="22"/>
        </w:rPr>
        <w:t xml:space="preserve"> </w:t>
      </w:r>
      <w:r w:rsidR="00813463">
        <w:rPr>
          <w:rFonts w:ascii="Miriam" w:hAnsi="Miriam" w:cs="Miriam"/>
          <w:b/>
          <w:bCs/>
          <w:sz w:val="18"/>
          <w:szCs w:val="22"/>
          <w:rtl/>
        </w:rPr>
        <w:t xml:space="preserve">ישראל </w:t>
      </w:r>
      <w:r w:rsidR="00813463">
        <w:rPr>
          <w:sz w:val="20"/>
          <w:rtl/>
          <w:lang w:eastAsia="he-IL"/>
        </w:rPr>
        <w:t xml:space="preserve">(13.1.15) - אליו הפנה ב"כ הנאשם. </w:t>
      </w:r>
      <w:r w:rsidR="00813463">
        <w:rPr>
          <w:rFonts w:ascii="David" w:hAnsi="David"/>
          <w:rtl/>
          <w:lang w:eastAsia="he-IL"/>
        </w:rPr>
        <w:t xml:space="preserve">נדחו ערעור ובקשת רשות ערעור על 20 חודשי מאסר בפועל, שכללו הפעלת מאסר מותנה וענישה נלווית, לאחר שנקבע </w:t>
      </w:r>
      <w:r w:rsidR="00813463">
        <w:rPr>
          <w:sz w:val="20"/>
          <w:rtl/>
          <w:lang w:eastAsia="he-IL"/>
        </w:rPr>
        <w:t>מתחם 8–18 חודשים בגין כל אירוע מכירת קוקאין לסוכן משטרתי ו-</w:t>
      </w:r>
      <w:r w:rsidR="00813463">
        <w:rPr>
          <w:rFonts w:ascii="David" w:hAnsi="David"/>
          <w:rtl/>
          <w:lang w:eastAsia="he-IL"/>
        </w:rPr>
        <w:t>6-12 לכל אישום החזקת סם שלא לצריכה עצמית</w:t>
      </w:r>
      <w:r w:rsidR="00813463">
        <w:rPr>
          <w:sz w:val="20"/>
          <w:rtl/>
          <w:lang w:eastAsia="he-IL"/>
        </w:rPr>
        <w:t xml:space="preserve"> - מתחמים שלגבי כל אחד מהם נקבע כי מדובר ב"</w:t>
      </w:r>
      <w:r w:rsidR="00813463">
        <w:rPr>
          <w:b/>
          <w:bCs/>
          <w:sz w:val="20"/>
          <w:rtl/>
          <w:lang w:eastAsia="he-IL"/>
        </w:rPr>
        <w:t>מתחם</w:t>
      </w:r>
      <w:r w:rsidR="00813463">
        <w:rPr>
          <w:rFonts w:hint="cs"/>
          <w:b/>
          <w:bCs/>
          <w:sz w:val="20"/>
          <w:lang w:eastAsia="he-IL"/>
        </w:rPr>
        <w:t xml:space="preserve"> </w:t>
      </w:r>
      <w:r w:rsidR="00813463">
        <w:rPr>
          <w:b/>
          <w:bCs/>
          <w:sz w:val="20"/>
          <w:rtl/>
          <w:lang w:eastAsia="he-IL"/>
        </w:rPr>
        <w:t>מתון במיוחד</w:t>
      </w:r>
      <w:r w:rsidR="00813463">
        <w:rPr>
          <w:sz w:val="20"/>
          <w:rtl/>
          <w:lang w:eastAsia="he-IL"/>
        </w:rPr>
        <w:t>" ו-"</w:t>
      </w:r>
      <w:r w:rsidR="00813463">
        <w:rPr>
          <w:b/>
          <w:bCs/>
          <w:sz w:val="20"/>
          <w:rtl/>
          <w:lang w:eastAsia="he-IL"/>
        </w:rPr>
        <w:t>אף מקלים</w:t>
      </w:r>
      <w:r w:rsidR="00813463">
        <w:rPr>
          <w:sz w:val="20"/>
          <w:rtl/>
          <w:lang w:eastAsia="he-IL"/>
        </w:rPr>
        <w:t xml:space="preserve">". </w:t>
      </w:r>
      <w:r w:rsidR="00813463">
        <w:rPr>
          <w:rFonts w:ascii="David" w:hAnsi="David"/>
          <w:rtl/>
          <w:lang w:eastAsia="he-IL"/>
        </w:rPr>
        <w:t xml:space="preserve">הנאשם, בעל עבר פלילי מכביד, מכר לסוכן משטרתי ב-3 הזדמנויות קוקאין במשקל </w:t>
      </w:r>
      <w:r w:rsidR="00813463">
        <w:rPr>
          <w:rFonts w:ascii="Century" w:hAnsi="Century"/>
          <w:rtl/>
        </w:rPr>
        <w:t xml:space="preserve">0.3901 גרם, 0.8179 גרם ו-2.5056 גרם. </w:t>
      </w:r>
      <w:r w:rsidR="00813463">
        <w:rPr>
          <w:rFonts w:ascii="David" w:hAnsi="David"/>
          <w:rtl/>
          <w:lang w:eastAsia="he-IL"/>
        </w:rPr>
        <w:t>בדחותו הבקשה, שב כב' הש' ג'ובראן וקבע גם כאן כי "</w:t>
      </w:r>
      <w:r w:rsidR="00813463">
        <w:rPr>
          <w:rFonts w:ascii="David" w:hAnsi="David"/>
          <w:b/>
          <w:bCs/>
          <w:rtl/>
          <w:lang w:eastAsia="he-IL"/>
        </w:rPr>
        <w:t>ידועה ההלכה כי</w:t>
      </w:r>
      <w:r w:rsidR="00813463">
        <w:rPr>
          <w:rFonts w:ascii="David" w:hAnsi="David"/>
          <w:rtl/>
          <w:lang w:eastAsia="he-IL"/>
        </w:rPr>
        <w:t xml:space="preserve"> </w:t>
      </w:r>
      <w:r w:rsidR="00813463">
        <w:rPr>
          <w:rFonts w:ascii="David" w:hAnsi="David"/>
          <w:b/>
          <w:bCs/>
          <w:rtl/>
          <w:lang w:eastAsia="he-IL"/>
        </w:rPr>
        <w:t>תסקיר שירות המבחן, על אף הערכת מקצועיותו הרבה, מהווה המלצה בלבד ובית המשפט רשאי להפעיל את שיקול דעתו בהתחשב בכלל האינטרסים העומדים לפניו</w:t>
      </w:r>
      <w:r w:rsidR="00813463">
        <w:rPr>
          <w:rFonts w:ascii="David" w:hAnsi="David"/>
          <w:rtl/>
          <w:lang w:eastAsia="he-IL"/>
        </w:rPr>
        <w:t>".</w:t>
      </w:r>
    </w:p>
    <w:p w14:paraId="3C0AF1EC" w14:textId="77777777" w:rsidR="00813463" w:rsidRDefault="008D4222" w:rsidP="00813463">
      <w:pPr>
        <w:numPr>
          <w:ilvl w:val="2"/>
          <w:numId w:val="1"/>
        </w:numPr>
        <w:snapToGrid w:val="0"/>
        <w:spacing w:before="120" w:line="360" w:lineRule="auto"/>
        <w:ind w:left="1134" w:hanging="454"/>
        <w:jc w:val="both"/>
        <w:rPr>
          <w:sz w:val="20"/>
          <w:lang w:eastAsia="he-IL"/>
        </w:rPr>
      </w:pPr>
      <w:hyperlink r:id="rId58" w:history="1">
        <w:r w:rsidRPr="008D4222">
          <w:rPr>
            <w:color w:val="0000FF"/>
            <w:sz w:val="20"/>
            <w:u w:val="single"/>
            <w:rtl/>
            <w:lang w:eastAsia="he-IL"/>
          </w:rPr>
          <w:t>רע"פ 7681/13</w:t>
        </w:r>
      </w:hyperlink>
      <w:r w:rsidR="00813463">
        <w:rPr>
          <w:sz w:val="20"/>
          <w:rtl/>
          <w:lang w:eastAsia="he-IL"/>
        </w:rPr>
        <w:t xml:space="preserve"> </w:t>
      </w:r>
      <w:r w:rsidR="00813463">
        <w:rPr>
          <w:rFonts w:ascii="Miriam" w:hAnsi="Miriam" w:cs="Miriam"/>
          <w:b/>
          <w:bCs/>
          <w:sz w:val="18"/>
          <w:szCs w:val="22"/>
          <w:rtl/>
        </w:rPr>
        <w:t>דקא נ' מדינת ישראל</w:t>
      </w:r>
      <w:r w:rsidR="00813463">
        <w:rPr>
          <w:sz w:val="20"/>
          <w:rtl/>
          <w:lang w:eastAsia="he-IL"/>
        </w:rPr>
        <w:t xml:space="preserve"> (21.1.14) - אליו הפנה ב"כ הנאשם. נדחו ערעור ובקשת רשות ערעור של מי שהורשע, על פי הודאתו, ב-2 עבירות סחר בהרואין, בכמויות של 1.3334 גרם (2 מנות) ו-1.4846 גרם (2 מנות), תמורת 200 ₪ בכל מכירה. נקבע מתחם 6-12 לכל אירוע והושת עונש כולל של 10 חודשי מאסר בפועל לצד ענישה נלווית, תוך התחשבות בהליך טיפולי שעבר ועברו הישן יחסית. </w:t>
      </w:r>
    </w:p>
    <w:p w14:paraId="0AEFD1EA" w14:textId="77777777" w:rsidR="00813463" w:rsidRDefault="00813463" w:rsidP="00813463">
      <w:pPr>
        <w:numPr>
          <w:ilvl w:val="2"/>
          <w:numId w:val="1"/>
        </w:numPr>
        <w:snapToGrid w:val="0"/>
        <w:spacing w:before="120" w:line="360" w:lineRule="auto"/>
        <w:ind w:left="1134" w:hanging="454"/>
        <w:jc w:val="both"/>
        <w:rPr>
          <w:b/>
          <w:bCs/>
          <w:sz w:val="20"/>
          <w:lang w:eastAsia="he-IL"/>
        </w:rPr>
      </w:pPr>
      <w:r>
        <w:rPr>
          <w:sz w:val="20"/>
          <w:rtl/>
          <w:lang w:eastAsia="he-IL"/>
        </w:rPr>
        <w:t xml:space="preserve">עפ"ג (מחוזי-ב"ש) 44065-09-21 </w:t>
      </w:r>
      <w:r>
        <w:rPr>
          <w:rFonts w:ascii="Miriam" w:hAnsi="Miriam" w:cs="Miriam"/>
          <w:b/>
          <w:bCs/>
          <w:sz w:val="18"/>
          <w:szCs w:val="22"/>
          <w:rtl/>
        </w:rPr>
        <w:t>בן הרוש נ' מדינת ישראל</w:t>
      </w:r>
      <w:r>
        <w:rPr>
          <w:sz w:val="20"/>
          <w:rtl/>
          <w:lang w:eastAsia="he-IL"/>
        </w:rPr>
        <w:t xml:space="preserve"> (22.12.21) - למעט שינוי ברכיב הקנס, נדחה ערעור על גזר דינו של כב' הש' בן דוד ב-ת"פ 44829-06-20 </w:t>
      </w:r>
      <w:r>
        <w:rPr>
          <w:rFonts w:ascii="Miriam" w:hAnsi="Miriam" w:cs="Miriam"/>
          <w:b/>
          <w:bCs/>
          <w:sz w:val="18"/>
          <w:szCs w:val="22"/>
          <w:rtl/>
        </w:rPr>
        <w:t>מדינת ישראל נ' בן הרוש ואח'</w:t>
      </w:r>
      <w:r>
        <w:rPr>
          <w:sz w:val="20"/>
          <w:rtl/>
          <w:lang w:eastAsia="he-IL"/>
        </w:rPr>
        <w:t xml:space="preserve"> (9.8.21). אל שניהם הפנתה ב"כ המאשימה. בגין הרשעתו ב-14 עסקאות סחר בחשיש וקנבוס</w:t>
      </w:r>
      <w:r>
        <w:rPr>
          <w:b/>
          <w:bCs/>
          <w:sz w:val="20"/>
          <w:rtl/>
          <w:lang w:eastAsia="he-IL"/>
        </w:rPr>
        <w:t xml:space="preserve"> </w:t>
      </w:r>
      <w:r>
        <w:rPr>
          <w:sz w:val="20"/>
          <w:rtl/>
          <w:lang w:eastAsia="he-IL"/>
        </w:rPr>
        <w:t>נקבע מתחם 30–50 חודשי מאסר ומתחם קנס 8,000 ₪–20,000 ₪. על המערער, בעל עבר פלילי שכלל מאסר מותנה בסמים, הושתו 34 חודשי מאסר, שכללו הפעלת המאסר המותנה חציו בחופף, לצד עונשים נלווים. בדחותו הערעור, חזר ההרכב בראשות כב' הש' עדן, כהן וליבדרו על חומרת עבירות סחר והפצה של סמים מסוכנים, לרבות סמים מסוג חשיש וקנבוס "</w:t>
      </w:r>
      <w:r>
        <w:rPr>
          <w:b/>
          <w:bCs/>
          <w:sz w:val="20"/>
          <w:rtl/>
          <w:lang w:eastAsia="he-IL"/>
        </w:rPr>
        <w:t>ולכך שהתפיסה המקלה בסוגי סמים מסוימים נעדרת אחיזה בדין המצוי</w:t>
      </w:r>
      <w:r>
        <w:rPr>
          <w:sz w:val="20"/>
          <w:rtl/>
          <w:lang w:eastAsia="he-IL"/>
        </w:rPr>
        <w:t>". באשר לביצוע 14 עסקאות סחר קבע בית המשפט המחוזי קביעה הרלוונטית אף לענייננו ולפיה "</w:t>
      </w:r>
      <w:r>
        <w:rPr>
          <w:b/>
          <w:bCs/>
          <w:sz w:val="20"/>
          <w:rtl/>
          <w:lang w:eastAsia="he-IL"/>
        </w:rPr>
        <w:t>משמדובר בסדרה כה ארוכה משמעותית של ביצוע עבירות סחר, אין אלא לקבל את טענת ב"כ המשיבה על פיה מדובר במי שבחר בסחר בסמים כעיסוק</w:t>
      </w:r>
      <w:r>
        <w:rPr>
          <w:sz w:val="20"/>
          <w:rtl/>
          <w:lang w:eastAsia="he-IL"/>
        </w:rPr>
        <w:t>". זאת ועוד, בית המשפט המחוזי קבע כי "</w:t>
      </w:r>
      <w:r>
        <w:rPr>
          <w:b/>
          <w:bCs/>
          <w:sz w:val="20"/>
          <w:rtl/>
          <w:lang w:eastAsia="he-IL"/>
        </w:rPr>
        <w:t>לחומרה של העבירות, ריבויין ונסיבות ביצוען, יש לתת ביטוי במסגרת המתחם, ומתחם עונש הולם אשר הרף התחתון שלו 30 חודשי מאסר, אינו מחמיר ויש לומר כי הוא אף מקל במידה מסוימת</w:t>
      </w:r>
      <w:r>
        <w:rPr>
          <w:sz w:val="20"/>
          <w:rtl/>
          <w:lang w:eastAsia="he-IL"/>
        </w:rPr>
        <w:t>". זאת ועוד, בית המשפט המחוזי קבע כי "</w:t>
      </w:r>
      <w:r>
        <w:rPr>
          <w:b/>
          <w:bCs/>
          <w:sz w:val="20"/>
          <w:rtl/>
          <w:lang w:eastAsia="he-IL"/>
        </w:rPr>
        <w:t>הקנס אשר הוטל בסך 10,000 ₪, אינו גבוה, ועבירות מסוג זה צריכות גם לענישה כלכלית לצידן, משמעותית, לאור המניע הכלכלי בבסיסן, ולאור הצורך בהרתעה</w:t>
      </w:r>
      <w:r>
        <w:rPr>
          <w:sz w:val="20"/>
          <w:rtl/>
          <w:lang w:eastAsia="he-IL"/>
        </w:rPr>
        <w:t>". הקנס הופחת משום שהושתו על המבקש 15,000 ₪ הוצאות לטובת אוצר המדינה ובית המשפט המחוזי ראה נכון להביא לתוצאה לפיה סך העיצום הכלכלי יעמוד על 20,000 ₪.</w:t>
      </w:r>
    </w:p>
    <w:p w14:paraId="2D54B60E" w14:textId="77777777" w:rsidR="00813463" w:rsidRDefault="008D4222" w:rsidP="00813463">
      <w:pPr>
        <w:numPr>
          <w:ilvl w:val="2"/>
          <w:numId w:val="1"/>
        </w:numPr>
        <w:snapToGrid w:val="0"/>
        <w:spacing w:before="120" w:line="360" w:lineRule="auto"/>
        <w:ind w:left="1134" w:hanging="454"/>
        <w:jc w:val="both"/>
        <w:rPr>
          <w:b/>
          <w:bCs/>
          <w:lang w:eastAsia="he-IL"/>
        </w:rPr>
      </w:pPr>
      <w:hyperlink r:id="rId59" w:history="1">
        <w:r w:rsidRPr="008D4222">
          <w:rPr>
            <w:rFonts w:ascii="David" w:hAnsi="David"/>
            <w:color w:val="0000FF"/>
            <w:u w:val="single"/>
            <w:rtl/>
          </w:rPr>
          <w:t>ת"פ (מחוזי-ת"א) 43983-05-19</w:t>
        </w:r>
      </w:hyperlink>
      <w:r>
        <w:rPr>
          <w:rFonts w:ascii="David" w:hAnsi="David"/>
          <w:rtl/>
        </w:rPr>
        <w:t xml:space="preserve"> </w:t>
      </w:r>
      <w:r w:rsidR="00813463">
        <w:rPr>
          <w:rFonts w:ascii="Miriam" w:hAnsi="Miriam" w:cs="Miriam"/>
          <w:b/>
          <w:bCs/>
          <w:sz w:val="18"/>
          <w:szCs w:val="22"/>
          <w:rtl/>
        </w:rPr>
        <w:t>מדינת ישראל נ' ראובן</w:t>
      </w:r>
      <w:r>
        <w:rPr>
          <w:rFonts w:ascii="Miriam" w:hAnsi="Miriam" w:cs="Miriam"/>
          <w:b/>
          <w:bCs/>
          <w:sz w:val="18"/>
          <w:szCs w:val="22"/>
          <w:rtl/>
        </w:rPr>
        <w:t xml:space="preserve"> </w:t>
      </w:r>
      <w:r w:rsidR="00813463">
        <w:rPr>
          <w:rFonts w:ascii="David" w:hAnsi="David"/>
          <w:rtl/>
        </w:rPr>
        <w:t xml:space="preserve">(19.3.20) - בגין הרשעתו על פי הודאתו במסגרת הסדר טיעון בכתב אישום מתוקן, בשתי עבירות החזקת סמים שלא לצריכה עצמית, ובהחזקת כלים המשמשים להכנת סם מסוכן או לצריכתו - נקבע מתחם 18–42 חודשי מאסר בפועל, והושתו 18 חודשי מאסר בפועל לצד ענישה נלווית, בהינתן גילו הצעיר, הודייתו ומאמציו לחזור למוטב, העדר הרשעות קודמות, נסיבות חייו המורכבות והמלצת שירות המבחן. הנאשם החזיק ברכבו 317.46 גרם </w:t>
      </w:r>
      <w:r w:rsidR="00813463">
        <w:rPr>
          <w:rFonts w:ascii="David" w:hAnsi="David"/>
          <w:sz w:val="22"/>
          <w:szCs w:val="22"/>
        </w:rPr>
        <w:t>MDMA</w:t>
      </w:r>
      <w:r w:rsidR="00813463">
        <w:rPr>
          <w:rFonts w:ascii="David" w:hAnsi="David"/>
          <w:rtl/>
        </w:rPr>
        <w:t xml:space="preserve"> ובדירתו החזיק 10 גרם קוקאין,</w:t>
      </w:r>
      <w:r>
        <w:rPr>
          <w:rFonts w:ascii="David" w:hAnsi="David"/>
          <w:b/>
          <w:bCs/>
          <w:rtl/>
        </w:rPr>
        <w:t xml:space="preserve"> </w:t>
      </w:r>
      <w:r w:rsidR="00813463">
        <w:rPr>
          <w:rFonts w:ascii="David" w:hAnsi="David"/>
          <w:rtl/>
        </w:rPr>
        <w:t>19 טבליות</w:t>
      </w:r>
      <w:r>
        <w:rPr>
          <w:rFonts w:ascii="David" w:hAnsi="David"/>
          <w:rtl/>
        </w:rPr>
        <w:t xml:space="preserve"> </w:t>
      </w:r>
      <w:r w:rsidR="00813463">
        <w:rPr>
          <w:rFonts w:ascii="David" w:hAnsi="David"/>
          <w:sz w:val="22"/>
          <w:szCs w:val="22"/>
        </w:rPr>
        <w:t>MDMA</w:t>
      </w:r>
      <w:r w:rsidR="00813463">
        <w:rPr>
          <w:rFonts w:ascii="David" w:hAnsi="David"/>
          <w:rtl/>
        </w:rPr>
        <w:t>, 15.62 גרם</w:t>
      </w:r>
      <w:r>
        <w:rPr>
          <w:rFonts w:ascii="David" w:hAnsi="David"/>
          <w:rtl/>
        </w:rPr>
        <w:t xml:space="preserve"> </w:t>
      </w:r>
      <w:r w:rsidR="00813463">
        <w:rPr>
          <w:rFonts w:ascii="David" w:hAnsi="David"/>
          <w:sz w:val="22"/>
          <w:szCs w:val="22"/>
        </w:rPr>
        <w:t>MDMA</w:t>
      </w:r>
      <w:r w:rsidR="00813463">
        <w:rPr>
          <w:rFonts w:ascii="David" w:hAnsi="David"/>
          <w:rtl/>
        </w:rPr>
        <w:t>, 6.26 גרם</w:t>
      </w:r>
      <w:r>
        <w:rPr>
          <w:rFonts w:ascii="David" w:hAnsi="David"/>
          <w:rtl/>
        </w:rPr>
        <w:t xml:space="preserve"> </w:t>
      </w:r>
      <w:r w:rsidR="00813463">
        <w:rPr>
          <w:rFonts w:ascii="David" w:hAnsi="David"/>
          <w:sz w:val="22"/>
          <w:szCs w:val="22"/>
        </w:rPr>
        <w:t>MMC</w:t>
      </w:r>
      <w:r w:rsidR="00813463">
        <w:rPr>
          <w:rFonts w:ascii="David" w:hAnsi="David"/>
          <w:rtl/>
        </w:rPr>
        <w:t>, 12.02 גרם קטמין, 56 בולי</w:t>
      </w:r>
      <w:r>
        <w:rPr>
          <w:rFonts w:ascii="David" w:hAnsi="David"/>
          <w:rtl/>
        </w:rPr>
        <w:t xml:space="preserve"> </w:t>
      </w:r>
      <w:r w:rsidR="00813463">
        <w:rPr>
          <w:rFonts w:ascii="David" w:hAnsi="David"/>
          <w:sz w:val="22"/>
          <w:szCs w:val="22"/>
        </w:rPr>
        <w:t>LSD</w:t>
      </w:r>
      <w:r w:rsidR="00813463">
        <w:rPr>
          <w:rFonts w:ascii="David" w:hAnsi="David"/>
          <w:rtl/>
        </w:rPr>
        <w:t xml:space="preserve"> ו-2 משקלים אלקטרוניים. </w:t>
      </w:r>
    </w:p>
    <w:p w14:paraId="25D90BD5" w14:textId="77777777" w:rsidR="00813463" w:rsidRDefault="00813463" w:rsidP="00813463">
      <w:pPr>
        <w:numPr>
          <w:ilvl w:val="2"/>
          <w:numId w:val="1"/>
        </w:numPr>
        <w:snapToGrid w:val="0"/>
        <w:spacing w:before="120" w:line="360" w:lineRule="auto"/>
        <w:ind w:left="1134" w:hanging="454"/>
        <w:jc w:val="both"/>
        <w:rPr>
          <w:sz w:val="20"/>
          <w:lang w:eastAsia="he-IL"/>
        </w:rPr>
      </w:pPr>
      <w:r>
        <w:rPr>
          <w:sz w:val="20"/>
          <w:rtl/>
          <w:lang w:eastAsia="he-IL"/>
        </w:rPr>
        <w:t xml:space="preserve">עפ"ג (מחוזי ב"ש) </w:t>
      </w:r>
      <w:r>
        <w:rPr>
          <w:rFonts w:ascii="Miriam" w:hAnsi="Miriam" w:cs="Miriam"/>
          <w:b/>
          <w:bCs/>
          <w:sz w:val="18"/>
          <w:szCs w:val="22"/>
          <w:rtl/>
        </w:rPr>
        <w:t>לרין נ' מדינת ישראל</w:t>
      </w:r>
      <w:r>
        <w:rPr>
          <w:sz w:val="20"/>
          <w:rtl/>
          <w:lang w:eastAsia="he-IL"/>
        </w:rPr>
        <w:t xml:space="preserve"> (13.5.20) - בהמלצת ההרכב בראשות כב' הנשיאה יפה-כ"ץ והש' עדן ו-אקסלרד, חזר בו המערער מערעור על גזר הדין ב-</w:t>
      </w:r>
      <w:hyperlink r:id="rId60" w:history="1">
        <w:r w:rsidR="008D4222" w:rsidRPr="008D4222">
          <w:rPr>
            <w:color w:val="0000FF"/>
            <w:sz w:val="20"/>
            <w:u w:val="single"/>
            <w:rtl/>
            <w:lang w:eastAsia="he-IL"/>
          </w:rPr>
          <w:t>ת"פ 37412-03-19</w:t>
        </w:r>
      </w:hyperlink>
      <w:r>
        <w:rPr>
          <w:sz w:val="20"/>
          <w:rtl/>
          <w:lang w:eastAsia="he-IL"/>
        </w:rPr>
        <w:t xml:space="preserve"> </w:t>
      </w:r>
      <w:r>
        <w:rPr>
          <w:rFonts w:ascii="Miriam" w:hAnsi="Miriam" w:cs="Miriam"/>
          <w:b/>
          <w:bCs/>
          <w:sz w:val="18"/>
          <w:szCs w:val="22"/>
          <w:rtl/>
        </w:rPr>
        <w:t>מדינת ישראל נ' לרין</w:t>
      </w:r>
      <w:r>
        <w:rPr>
          <w:sz w:val="20"/>
          <w:rtl/>
          <w:lang w:eastAsia="he-IL"/>
        </w:rPr>
        <w:t xml:space="preserve"> (25.12.19), אליו הפנתה המאשימה. בגין הרשעתו בקשירת קשר לפשע, החזקת 220 גרם קנבוס שלא לצריכה עצמית, החזקת כלים להכנת סם שלא לצריכה עצמית, 9 עבירות סחר בקנבוס ועבירת סיוע לסחר בקנבוס - נקבע מתחם 24–48 חודשי מאסר. על המערער, נעדר עבר פלילי, הושתו 26 חודשי מאסר בפועל לצד עונשים נלווים, שכללו 5,000 ₪ קנס או חודשיים מאסר תחתיו. כאמור לעיל, בית המשפט המחוזי המליץ למערער לחזור בו מהערעור על העונש, אך נעתר לבקשתו החלופית וחלף חודשיים מאסר קבע כי הנאשם ירצה חודש מאסר אם לא ישלם הקנס.</w:t>
      </w:r>
    </w:p>
    <w:p w14:paraId="12A7AE91" w14:textId="77777777" w:rsidR="00813463" w:rsidRDefault="008D4222" w:rsidP="00813463">
      <w:pPr>
        <w:numPr>
          <w:ilvl w:val="2"/>
          <w:numId w:val="1"/>
        </w:numPr>
        <w:snapToGrid w:val="0"/>
        <w:spacing w:before="120" w:line="360" w:lineRule="auto"/>
        <w:ind w:left="1134" w:hanging="454"/>
        <w:jc w:val="both"/>
        <w:rPr>
          <w:sz w:val="20"/>
          <w:lang w:eastAsia="he-IL"/>
        </w:rPr>
      </w:pPr>
      <w:hyperlink r:id="rId61" w:history="1">
        <w:r w:rsidRPr="008D4222">
          <w:rPr>
            <w:color w:val="0000FF"/>
            <w:sz w:val="20"/>
            <w:u w:val="single"/>
            <w:rtl/>
            <w:lang w:eastAsia="he-IL"/>
          </w:rPr>
          <w:t>עפ"ג (מחוזי-ב"ש) 11549-01-20</w:t>
        </w:r>
      </w:hyperlink>
      <w:r w:rsidR="00813463">
        <w:rPr>
          <w:sz w:val="20"/>
          <w:rtl/>
          <w:lang w:eastAsia="he-IL"/>
        </w:rPr>
        <w:t xml:space="preserve"> </w:t>
      </w:r>
      <w:r w:rsidR="00813463">
        <w:rPr>
          <w:rFonts w:ascii="Miriam" w:hAnsi="Miriam" w:cs="Miriam"/>
          <w:b/>
          <w:bCs/>
          <w:sz w:val="18"/>
          <w:szCs w:val="22"/>
          <w:rtl/>
        </w:rPr>
        <w:t xml:space="preserve">סלימוב נ' מדינת ישראל </w:t>
      </w:r>
      <w:r w:rsidR="00813463">
        <w:rPr>
          <w:sz w:val="20"/>
          <w:rtl/>
          <w:lang w:eastAsia="he-IL"/>
        </w:rPr>
        <w:t>(27.4.20) - נדחה ערעור על גזר הדין ב-</w:t>
      </w:r>
      <w:hyperlink r:id="rId62" w:history="1">
        <w:r w:rsidRPr="008D4222">
          <w:rPr>
            <w:color w:val="0000FF"/>
            <w:sz w:val="20"/>
            <w:u w:val="single"/>
            <w:rtl/>
            <w:lang w:eastAsia="he-IL"/>
          </w:rPr>
          <w:t>ת"פ 40720-03-19</w:t>
        </w:r>
      </w:hyperlink>
      <w:r w:rsidR="00813463">
        <w:rPr>
          <w:sz w:val="20"/>
          <w:rtl/>
          <w:lang w:eastAsia="he-IL"/>
        </w:rPr>
        <w:t xml:space="preserve"> </w:t>
      </w:r>
      <w:r w:rsidR="00813463">
        <w:rPr>
          <w:rFonts w:ascii="Miriam" w:hAnsi="Miriam" w:cs="Miriam"/>
          <w:b/>
          <w:bCs/>
          <w:sz w:val="18"/>
          <w:szCs w:val="22"/>
          <w:rtl/>
        </w:rPr>
        <w:t>מדינת ישראל נ' סלימוב</w:t>
      </w:r>
      <w:r w:rsidR="00813463">
        <w:rPr>
          <w:sz w:val="20"/>
          <w:rtl/>
          <w:lang w:eastAsia="he-IL"/>
        </w:rPr>
        <w:t xml:space="preserve"> (27.11.19) אליו הפנתה המאשימה.  הנאשם הורשע</w:t>
      </w:r>
      <w:r w:rsidR="00813463">
        <w:rPr>
          <w:rtl/>
        </w:rPr>
        <w:t xml:space="preserve"> בהפרעה לשוטר במילוי תפקידו</w:t>
      </w:r>
      <w:r w:rsidR="00813463">
        <w:rPr>
          <w:sz w:val="20"/>
          <w:rtl/>
          <w:lang w:eastAsia="he-IL"/>
        </w:rPr>
        <w:t xml:space="preserve">, 5 עסקאות בקנבוס (2 במשקל 20 גרם, אחת במשקל 5 גרם, אחת במשקל 3 גרם ובפעם החמישית במשקל 1 גרם) ובהחזקת </w:t>
      </w:r>
      <w:r w:rsidR="00813463">
        <w:rPr>
          <w:rtl/>
        </w:rPr>
        <w:t xml:space="preserve">58.4 גרם קנביס וכן החזיק שקיות חלוקה, משקלים אלקטרוניים, 9,400 ₪ ו-3 טלפונים סלולריים. </w:t>
      </w:r>
      <w:r w:rsidR="00813463">
        <w:rPr>
          <w:sz w:val="20"/>
          <w:rtl/>
          <w:lang w:eastAsia="he-IL"/>
        </w:rPr>
        <w:t>נקבע מתחם 6</w:t>
      </w:r>
      <w:r w:rsidR="00813463">
        <w:rPr>
          <w:b/>
          <w:bCs/>
          <w:sz w:val="20"/>
          <w:rtl/>
          <w:lang w:eastAsia="he-IL"/>
        </w:rPr>
        <w:t>–</w:t>
      </w:r>
      <w:r w:rsidR="00813463">
        <w:rPr>
          <w:sz w:val="20"/>
          <w:rtl/>
          <w:lang w:eastAsia="he-IL"/>
        </w:rPr>
        <w:t>12 חודשי מאסר בפועל לכל אישום. על הנאשם, בעל עבר פלילי מכביד, החולה בשחפת, הושתו 32 חודשי מאסר בפועל לצד עונשים נלווים. בדחותו הערער, קבע הרכב בראשות כב' הנשיאה יפה-כ"ץ וכב' הש' רז-לוי ו-שלו "</w:t>
      </w:r>
      <w:r w:rsidR="00813463">
        <w:rPr>
          <w:b/>
          <w:bCs/>
          <w:sz w:val="20"/>
          <w:rtl/>
          <w:lang w:eastAsia="he-IL"/>
        </w:rPr>
        <w:t>לא מצאנו כי העונש חורג בחומרתו. נהפוך הוא. מדובר בעונש ההולם את חומרת מעשיו של המערער וכל כן הערעור נדחה</w:t>
      </w:r>
      <w:r w:rsidR="00813463">
        <w:rPr>
          <w:sz w:val="20"/>
          <w:rtl/>
          <w:lang w:eastAsia="he-IL"/>
        </w:rPr>
        <w:t xml:space="preserve">", אף מבלי להידרש לתגובת המשיבה.  </w:t>
      </w:r>
    </w:p>
    <w:p w14:paraId="45E0AF64" w14:textId="77777777" w:rsidR="00813463" w:rsidRDefault="008D4222" w:rsidP="00813463">
      <w:pPr>
        <w:numPr>
          <w:ilvl w:val="2"/>
          <w:numId w:val="1"/>
        </w:numPr>
        <w:snapToGrid w:val="0"/>
        <w:spacing w:before="120" w:line="360" w:lineRule="auto"/>
        <w:ind w:left="1134" w:hanging="454"/>
        <w:jc w:val="both"/>
        <w:rPr>
          <w:rFonts w:ascii="David" w:hAnsi="David"/>
          <w:lang w:eastAsia="he-IL"/>
        </w:rPr>
      </w:pPr>
      <w:hyperlink r:id="rId63" w:history="1">
        <w:r w:rsidRPr="008D4222">
          <w:rPr>
            <w:rFonts w:ascii="David" w:hAnsi="David"/>
            <w:color w:val="0000FF"/>
            <w:u w:val="single"/>
            <w:rtl/>
            <w:lang w:eastAsia="he-IL"/>
          </w:rPr>
          <w:t>עפ"ג 68646-02-19</w:t>
        </w:r>
      </w:hyperlink>
      <w:r w:rsidR="00813463">
        <w:rPr>
          <w:rFonts w:ascii="David" w:hAnsi="David"/>
          <w:rtl/>
          <w:lang w:eastAsia="he-IL"/>
        </w:rPr>
        <w:t xml:space="preserve"> </w:t>
      </w:r>
      <w:r w:rsidR="00813463">
        <w:rPr>
          <w:rFonts w:ascii="Miriam" w:hAnsi="Miriam" w:cs="Miriam"/>
          <w:b/>
          <w:bCs/>
          <w:sz w:val="18"/>
          <w:szCs w:val="22"/>
          <w:rtl/>
        </w:rPr>
        <w:t xml:space="preserve">נגורני נ' מדינת ישראל </w:t>
      </w:r>
      <w:r w:rsidR="00813463">
        <w:rPr>
          <w:rFonts w:ascii="David" w:hAnsi="David"/>
          <w:rtl/>
          <w:lang w:eastAsia="he-IL"/>
        </w:rPr>
        <w:t>(22.5.19) - נדחה ערעור על גזר הדין ב-</w:t>
      </w:r>
      <w:hyperlink r:id="rId64" w:history="1">
        <w:r w:rsidRPr="008D4222">
          <w:rPr>
            <w:rFonts w:ascii="David" w:hAnsi="David"/>
            <w:color w:val="0000FF"/>
            <w:u w:val="single"/>
            <w:rtl/>
            <w:lang w:eastAsia="he-IL"/>
          </w:rPr>
          <w:t>ת"פ 6007-09-17</w:t>
        </w:r>
      </w:hyperlink>
      <w:r w:rsidR="00813463">
        <w:rPr>
          <w:rFonts w:ascii="David" w:hAnsi="David"/>
          <w:rtl/>
          <w:lang w:eastAsia="he-IL"/>
        </w:rPr>
        <w:t xml:space="preserve"> </w:t>
      </w:r>
      <w:r w:rsidR="00813463">
        <w:rPr>
          <w:rFonts w:ascii="Miriam" w:hAnsi="Miriam" w:cs="Miriam"/>
          <w:b/>
          <w:bCs/>
          <w:sz w:val="18"/>
          <w:szCs w:val="22"/>
          <w:rtl/>
        </w:rPr>
        <w:t xml:space="preserve">מדינת ישראל נ' נגורני </w:t>
      </w:r>
      <w:r w:rsidR="00813463">
        <w:rPr>
          <w:rFonts w:ascii="David" w:hAnsi="David"/>
          <w:rtl/>
          <w:lang w:eastAsia="he-IL"/>
        </w:rPr>
        <w:t>(15.1.19) אליו הפנתה המאשימה. הנאשם הורשע בהחזקת 267.81 גרם קנבוס שלא לצריכתו העצמית וב-8 עבירות סחר בקנבוס במשקלים של גרמים בודדים. נקבע מתחם לכלל העבירות 32–60 חודשי מאסר בפועל. על נאשם 1, שאין לו הרשעות קודמות, אשר הודה בהזדמנות הראשונה והיה מעונין להתחיל בדרך חדשה, הושתו 32 חודשי מאסר בפועל לצד עונשים נלווים.</w:t>
      </w:r>
    </w:p>
    <w:p w14:paraId="57B56A71" w14:textId="77777777" w:rsidR="00813463" w:rsidRDefault="008D4222" w:rsidP="00813463">
      <w:pPr>
        <w:numPr>
          <w:ilvl w:val="2"/>
          <w:numId w:val="1"/>
        </w:numPr>
        <w:snapToGrid w:val="0"/>
        <w:spacing w:before="120" w:line="360" w:lineRule="auto"/>
        <w:ind w:left="1134" w:hanging="454"/>
        <w:jc w:val="both"/>
        <w:rPr>
          <w:rFonts w:ascii="David" w:hAnsi="David"/>
          <w:b/>
          <w:bCs/>
          <w:lang w:eastAsia="he-IL"/>
        </w:rPr>
      </w:pPr>
      <w:hyperlink r:id="rId65" w:history="1">
        <w:r w:rsidRPr="008D4222">
          <w:rPr>
            <w:rFonts w:ascii="David" w:hAnsi="David"/>
            <w:color w:val="0000FF"/>
            <w:u w:val="single"/>
            <w:rtl/>
            <w:lang w:eastAsia="he-IL"/>
          </w:rPr>
          <w:t>ת"פ 35056-12-18</w:t>
        </w:r>
      </w:hyperlink>
      <w:r w:rsidR="00813463">
        <w:rPr>
          <w:rFonts w:ascii="David" w:hAnsi="David"/>
          <w:rtl/>
          <w:lang w:eastAsia="he-IL"/>
        </w:rPr>
        <w:t xml:space="preserve"> </w:t>
      </w:r>
      <w:r w:rsidR="00813463">
        <w:rPr>
          <w:rFonts w:ascii="Miriam" w:hAnsi="Miriam" w:cs="Miriam"/>
          <w:b/>
          <w:bCs/>
          <w:sz w:val="18"/>
          <w:szCs w:val="22"/>
          <w:rtl/>
        </w:rPr>
        <w:t>מדינת ישראל נ' שלוף</w:t>
      </w:r>
      <w:r w:rsidR="00813463">
        <w:rPr>
          <w:rFonts w:ascii="David" w:hAnsi="David"/>
          <w:b/>
          <w:bCs/>
          <w:rtl/>
          <w:lang w:eastAsia="he-IL"/>
        </w:rPr>
        <w:t xml:space="preserve"> </w:t>
      </w:r>
      <w:r w:rsidR="00813463">
        <w:rPr>
          <w:rFonts w:ascii="David" w:hAnsi="David"/>
          <w:rtl/>
          <w:lang w:eastAsia="he-IL"/>
        </w:rPr>
        <w:t>(9.9.19) - אליו הפנתה המאשימה. בגין הרשעתו בקשירת קשר לפשע, עבירות תעבורה, סיוע לסחר בקנבוס ו-2 עבירות סחר בקנבוס במספר מועדים, קבע כב' סגן הנשיאה (כתוארו אז) ברסלר-גונן מתחם כולל 18–36 חודשי מאסר בפועל. על הנאשם, צעיר כבן 21, בעל עבר פלילי מבית משפט לנוער שהתיישן, תוך התחשבות בכך שהודה, בנסיבות חייו הקשות ובהליך הטיפולי שעבר במעון - הושתו 21 חודשי מאסר בפועל, לצד עונשים נלווים</w:t>
      </w:r>
      <w:r w:rsidR="00813463">
        <w:rPr>
          <w:rFonts w:ascii="David" w:hAnsi="David"/>
          <w:b/>
          <w:bCs/>
          <w:rtl/>
          <w:lang w:eastAsia="he-IL"/>
        </w:rPr>
        <w:t>.</w:t>
      </w:r>
    </w:p>
    <w:p w14:paraId="65C14618" w14:textId="77777777" w:rsidR="00813463" w:rsidRDefault="00813463" w:rsidP="00813463">
      <w:pPr>
        <w:spacing w:before="240" w:line="360" w:lineRule="auto"/>
        <w:jc w:val="both"/>
        <w:rPr>
          <w:rFonts w:ascii="David" w:hAnsi="David"/>
          <w:bCs/>
          <w:sz w:val="26"/>
          <w:szCs w:val="26"/>
        </w:rPr>
      </w:pPr>
      <w:r>
        <w:rPr>
          <w:rFonts w:ascii="David" w:hAnsi="David"/>
          <w:bCs/>
          <w:sz w:val="26"/>
          <w:szCs w:val="26"/>
          <w:rtl/>
        </w:rPr>
        <w:t>מתחם העונש ההולם</w:t>
      </w:r>
    </w:p>
    <w:p w14:paraId="42AAE6C7" w14:textId="77777777" w:rsidR="00813463" w:rsidRDefault="00813463" w:rsidP="00813463">
      <w:pPr>
        <w:numPr>
          <w:ilvl w:val="0"/>
          <w:numId w:val="2"/>
        </w:numPr>
        <w:snapToGrid w:val="0"/>
        <w:spacing w:line="360" w:lineRule="auto"/>
        <w:jc w:val="both"/>
        <w:rPr>
          <w:b/>
          <w:sz w:val="20"/>
          <w:rtl/>
          <w:lang w:eastAsia="he-IL"/>
        </w:rPr>
      </w:pPr>
      <w:r>
        <w:rPr>
          <w:sz w:val="20"/>
          <w:rtl/>
          <w:lang w:eastAsia="he-IL"/>
        </w:rPr>
        <w:t>כאמור לעיל, הנאשם הורשע בכמה עבירות המהוות אירוע אחד, שכן כולן בוצעו כחלק</w:t>
      </w:r>
      <w:r>
        <w:rPr>
          <w:rFonts w:hint="cs"/>
          <w:sz w:val="20"/>
          <w:lang w:eastAsia="he-IL"/>
        </w:rPr>
        <w:t xml:space="preserve"> </w:t>
      </w:r>
      <w:r>
        <w:rPr>
          <w:sz w:val="20"/>
          <w:rtl/>
          <w:lang w:eastAsia="he-IL"/>
        </w:rPr>
        <w:t>מתכנית</w:t>
      </w:r>
      <w:r>
        <w:rPr>
          <w:rFonts w:hint="cs"/>
          <w:sz w:val="20"/>
          <w:lang w:eastAsia="he-IL"/>
        </w:rPr>
        <w:t xml:space="preserve"> </w:t>
      </w:r>
      <w:r>
        <w:rPr>
          <w:sz w:val="20"/>
          <w:rtl/>
          <w:lang w:eastAsia="he-IL"/>
        </w:rPr>
        <w:t>עבריינית אחת ומתקיים רצף של זמן ומקום מבחינת ביצוע העבירות. משכך אני קובעת</w:t>
      </w:r>
      <w:r>
        <w:rPr>
          <w:rFonts w:hint="cs"/>
          <w:sz w:val="20"/>
          <w:lang w:eastAsia="he-IL"/>
        </w:rPr>
        <w:t xml:space="preserve"> </w:t>
      </w:r>
      <w:r>
        <w:rPr>
          <w:sz w:val="20"/>
          <w:rtl/>
          <w:lang w:eastAsia="he-IL"/>
        </w:rPr>
        <w:t>מתחם</w:t>
      </w:r>
      <w:r>
        <w:rPr>
          <w:rFonts w:hint="cs"/>
          <w:sz w:val="20"/>
          <w:lang w:eastAsia="he-IL"/>
        </w:rPr>
        <w:t xml:space="preserve"> </w:t>
      </w:r>
      <w:r>
        <w:rPr>
          <w:sz w:val="20"/>
          <w:rtl/>
          <w:lang w:eastAsia="he-IL"/>
        </w:rPr>
        <w:t>אחד</w:t>
      </w:r>
      <w:r>
        <w:rPr>
          <w:rFonts w:hint="cs"/>
          <w:sz w:val="20"/>
          <w:lang w:eastAsia="he-IL"/>
        </w:rPr>
        <w:t xml:space="preserve"> </w:t>
      </w:r>
      <w:r>
        <w:rPr>
          <w:sz w:val="20"/>
          <w:rtl/>
          <w:lang w:eastAsia="he-IL"/>
        </w:rPr>
        <w:t>ביחס</w:t>
      </w:r>
      <w:r>
        <w:rPr>
          <w:rFonts w:hint="cs"/>
          <w:sz w:val="20"/>
          <w:lang w:eastAsia="he-IL"/>
        </w:rPr>
        <w:t xml:space="preserve"> </w:t>
      </w:r>
      <w:r>
        <w:rPr>
          <w:sz w:val="20"/>
          <w:rtl/>
          <w:lang w:eastAsia="he-IL"/>
        </w:rPr>
        <w:t>לכלל</w:t>
      </w:r>
      <w:r>
        <w:rPr>
          <w:rFonts w:hint="cs"/>
          <w:sz w:val="20"/>
          <w:lang w:eastAsia="he-IL"/>
        </w:rPr>
        <w:t xml:space="preserve"> </w:t>
      </w:r>
      <w:r>
        <w:rPr>
          <w:sz w:val="20"/>
          <w:rtl/>
          <w:lang w:eastAsia="he-IL"/>
        </w:rPr>
        <w:t>העבירות בהן הודה והורשע, תוך התחשבות במספר העבירות, תדירותן ובזיקה ביניהן, כ-</w:t>
      </w:r>
      <w:r>
        <w:rPr>
          <w:b/>
          <w:bCs/>
          <w:sz w:val="20"/>
          <w:rtl/>
          <w:lang w:eastAsia="he-IL"/>
        </w:rPr>
        <w:t>מתחם הנע</w:t>
      </w:r>
      <w:r>
        <w:rPr>
          <w:sz w:val="20"/>
          <w:rtl/>
          <w:lang w:eastAsia="he-IL"/>
        </w:rPr>
        <w:t xml:space="preserve"> </w:t>
      </w:r>
      <w:r>
        <w:rPr>
          <w:bCs/>
          <w:sz w:val="20"/>
          <w:rtl/>
          <w:lang w:eastAsia="he-IL"/>
        </w:rPr>
        <w:t>בין 36 לבין 60 חודשי מאסר בפועל</w:t>
      </w:r>
      <w:r>
        <w:rPr>
          <w:b/>
          <w:sz w:val="20"/>
          <w:rtl/>
          <w:lang w:eastAsia="he-IL"/>
        </w:rPr>
        <w:t xml:space="preserve">, </w:t>
      </w:r>
      <w:r>
        <w:rPr>
          <w:sz w:val="20"/>
          <w:rtl/>
          <w:lang w:eastAsia="he-IL"/>
        </w:rPr>
        <w:t>לצד ענישה נלווית, הכוללת מאסרים מותנים, קנס ופסילה, לגביהם יקבעו מתחמים נפרדים.</w:t>
      </w:r>
    </w:p>
    <w:p w14:paraId="316434E3" w14:textId="77777777" w:rsidR="00813463" w:rsidRDefault="00813463" w:rsidP="00813463">
      <w:pPr>
        <w:numPr>
          <w:ilvl w:val="0"/>
          <w:numId w:val="2"/>
        </w:numPr>
        <w:snapToGrid w:val="0"/>
        <w:spacing w:before="240" w:line="360" w:lineRule="auto"/>
        <w:ind w:left="357" w:hanging="357"/>
        <w:jc w:val="both"/>
        <w:rPr>
          <w:b/>
          <w:sz w:val="20"/>
          <w:lang w:eastAsia="he-IL"/>
        </w:rPr>
      </w:pPr>
      <w:r>
        <w:rPr>
          <w:sz w:val="20"/>
          <w:rtl/>
          <w:lang w:eastAsia="he-IL"/>
        </w:rPr>
        <w:t xml:space="preserve">עבירות הסמים הן עבירות כלכליות וככאלו מחייבות עיצומים כלכליים, שיהיה בהם כדי ללמד על חוסר הכדאיות בצבירת הון על חשבון בריאות הציבור. </w:t>
      </w:r>
      <w:r>
        <w:rPr>
          <w:b/>
          <w:sz w:val="20"/>
          <w:rtl/>
          <w:lang w:eastAsia="he-IL"/>
        </w:rPr>
        <w:t>כך נקבע לא אחת "</w:t>
      </w:r>
      <w:r>
        <w:rPr>
          <w:bCs/>
          <w:sz w:val="20"/>
          <w:rtl/>
          <w:lang w:eastAsia="he-IL"/>
        </w:rPr>
        <w:t>קנס,</w:t>
      </w:r>
      <w:r>
        <w:rPr>
          <w:rFonts w:hint="cs"/>
          <w:bCs/>
          <w:sz w:val="20"/>
          <w:lang w:eastAsia="he-IL"/>
        </w:rPr>
        <w:t xml:space="preserve"> </w:t>
      </w:r>
      <w:r>
        <w:rPr>
          <w:bCs/>
          <w:sz w:val="20"/>
          <w:rtl/>
          <w:lang w:eastAsia="he-IL"/>
        </w:rPr>
        <w:t>אכן</w:t>
      </w:r>
      <w:r>
        <w:rPr>
          <w:rFonts w:hint="cs"/>
          <w:bCs/>
          <w:sz w:val="20"/>
          <w:lang w:eastAsia="he-IL"/>
        </w:rPr>
        <w:t xml:space="preserve"> </w:t>
      </w:r>
      <w:r>
        <w:rPr>
          <w:bCs/>
          <w:sz w:val="20"/>
          <w:rtl/>
          <w:lang w:eastAsia="he-IL"/>
        </w:rPr>
        <w:t>נועד</w:t>
      </w:r>
      <w:r>
        <w:rPr>
          <w:rFonts w:hint="cs"/>
          <w:bCs/>
          <w:sz w:val="20"/>
          <w:lang w:eastAsia="he-IL"/>
        </w:rPr>
        <w:t xml:space="preserve"> </w:t>
      </w:r>
      <w:r>
        <w:rPr>
          <w:bCs/>
          <w:sz w:val="20"/>
          <w:rtl/>
          <w:lang w:eastAsia="he-IL"/>
        </w:rPr>
        <w:t>לבטא,</w:t>
      </w:r>
      <w:r>
        <w:rPr>
          <w:rFonts w:hint="cs"/>
          <w:bCs/>
          <w:sz w:val="20"/>
          <w:lang w:eastAsia="he-IL"/>
        </w:rPr>
        <w:t xml:space="preserve"> </w:t>
      </w:r>
      <w:r>
        <w:rPr>
          <w:bCs/>
          <w:sz w:val="20"/>
          <w:rtl/>
          <w:lang w:eastAsia="he-IL"/>
        </w:rPr>
        <w:t>בין</w:t>
      </w:r>
      <w:r>
        <w:rPr>
          <w:rFonts w:hint="cs"/>
          <w:bCs/>
          <w:sz w:val="20"/>
          <w:lang w:eastAsia="he-IL"/>
        </w:rPr>
        <w:t xml:space="preserve"> </w:t>
      </w:r>
      <w:r>
        <w:rPr>
          <w:bCs/>
          <w:sz w:val="20"/>
          <w:rtl/>
          <w:lang w:eastAsia="he-IL"/>
        </w:rPr>
        <w:t>היתר,</w:t>
      </w:r>
      <w:r>
        <w:rPr>
          <w:rFonts w:hint="cs"/>
          <w:bCs/>
          <w:sz w:val="20"/>
          <w:lang w:eastAsia="he-IL"/>
        </w:rPr>
        <w:t xml:space="preserve"> </w:t>
      </w:r>
      <w:r>
        <w:rPr>
          <w:bCs/>
          <w:sz w:val="20"/>
          <w:rtl/>
          <w:lang w:eastAsia="he-IL"/>
        </w:rPr>
        <w:t>ענישה</w:t>
      </w:r>
      <w:r>
        <w:rPr>
          <w:rFonts w:hint="cs"/>
          <w:bCs/>
          <w:sz w:val="20"/>
          <w:lang w:eastAsia="he-IL"/>
        </w:rPr>
        <w:t xml:space="preserve"> </w:t>
      </w:r>
      <w:r>
        <w:rPr>
          <w:bCs/>
          <w:sz w:val="20"/>
          <w:rtl/>
          <w:lang w:eastAsia="he-IL"/>
        </w:rPr>
        <w:t>בגין</w:t>
      </w:r>
      <w:r>
        <w:rPr>
          <w:rFonts w:hint="cs"/>
          <w:bCs/>
          <w:sz w:val="20"/>
          <w:lang w:eastAsia="he-IL"/>
        </w:rPr>
        <w:t xml:space="preserve"> </w:t>
      </w:r>
      <w:r>
        <w:rPr>
          <w:bCs/>
          <w:sz w:val="20"/>
          <w:rtl/>
          <w:lang w:eastAsia="he-IL"/>
        </w:rPr>
        <w:t>הרווח</w:t>
      </w:r>
      <w:r>
        <w:rPr>
          <w:rFonts w:hint="cs"/>
          <w:bCs/>
          <w:sz w:val="20"/>
          <w:lang w:eastAsia="he-IL"/>
        </w:rPr>
        <w:t xml:space="preserve"> </w:t>
      </w:r>
      <w:r>
        <w:rPr>
          <w:bCs/>
          <w:sz w:val="20"/>
          <w:rtl/>
          <w:lang w:eastAsia="he-IL"/>
        </w:rPr>
        <w:t>הכלכלי</w:t>
      </w:r>
      <w:r>
        <w:rPr>
          <w:rFonts w:hint="cs"/>
          <w:bCs/>
          <w:sz w:val="20"/>
          <w:lang w:eastAsia="he-IL"/>
        </w:rPr>
        <w:t xml:space="preserve"> </w:t>
      </w:r>
      <w:r>
        <w:rPr>
          <w:bCs/>
          <w:sz w:val="20"/>
          <w:rtl/>
          <w:lang w:eastAsia="he-IL"/>
        </w:rPr>
        <w:t>שביקש</w:t>
      </w:r>
      <w:r>
        <w:rPr>
          <w:rFonts w:hint="cs"/>
          <w:bCs/>
          <w:sz w:val="20"/>
          <w:lang w:eastAsia="he-IL"/>
        </w:rPr>
        <w:t xml:space="preserve"> </w:t>
      </w:r>
      <w:r>
        <w:rPr>
          <w:bCs/>
          <w:sz w:val="20"/>
          <w:rtl/>
          <w:lang w:eastAsia="he-IL"/>
        </w:rPr>
        <w:t>העבריין</w:t>
      </w:r>
      <w:r>
        <w:rPr>
          <w:rFonts w:hint="cs"/>
          <w:bCs/>
          <w:sz w:val="20"/>
          <w:lang w:eastAsia="he-IL"/>
        </w:rPr>
        <w:t xml:space="preserve"> </w:t>
      </w:r>
      <w:r>
        <w:rPr>
          <w:bCs/>
          <w:sz w:val="20"/>
          <w:rtl/>
          <w:lang w:eastAsia="he-IL"/>
        </w:rPr>
        <w:t>לגרוף</w:t>
      </w:r>
      <w:r>
        <w:rPr>
          <w:rFonts w:hint="cs"/>
          <w:bCs/>
          <w:sz w:val="20"/>
          <w:lang w:eastAsia="he-IL"/>
        </w:rPr>
        <w:t xml:space="preserve"> </w:t>
      </w:r>
      <w:r>
        <w:rPr>
          <w:bCs/>
          <w:sz w:val="20"/>
          <w:rtl/>
          <w:lang w:eastAsia="he-IL"/>
        </w:rPr>
        <w:t>לכיסיו"</w:t>
      </w:r>
      <w:r>
        <w:rPr>
          <w:b/>
          <w:sz w:val="20"/>
          <w:rtl/>
          <w:lang w:eastAsia="he-IL"/>
        </w:rPr>
        <w:t xml:space="preserve"> </w:t>
      </w:r>
      <w:r>
        <w:rPr>
          <w:rFonts w:ascii="David" w:hAnsi="David"/>
          <w:b/>
          <w:rtl/>
          <w:lang w:eastAsia="he-IL"/>
        </w:rPr>
        <w:t xml:space="preserve">[ראו והשוו </w:t>
      </w:r>
      <w:hyperlink r:id="rId66" w:history="1">
        <w:r w:rsidR="008D4222" w:rsidRPr="008D4222">
          <w:rPr>
            <w:rFonts w:ascii="David" w:hAnsi="David"/>
            <w:b/>
            <w:color w:val="0000FF"/>
            <w:u w:val="single"/>
            <w:rtl/>
            <w:lang w:eastAsia="he-IL"/>
          </w:rPr>
          <w:t>ע"פ 2996/09</w:t>
        </w:r>
      </w:hyperlink>
      <w:r>
        <w:rPr>
          <w:rFonts w:ascii="David" w:hAnsi="David"/>
          <w:b/>
          <w:rtl/>
          <w:lang w:eastAsia="he-IL"/>
        </w:rPr>
        <w:t xml:space="preserve"> </w:t>
      </w:r>
      <w:r>
        <w:rPr>
          <w:rFonts w:ascii="Miriam" w:hAnsi="Miriam" w:cs="Miriam"/>
          <w:b/>
          <w:bCs/>
          <w:sz w:val="18"/>
          <w:szCs w:val="22"/>
          <w:rtl/>
        </w:rPr>
        <w:t>פלוני נ' מדינת ישראל</w:t>
      </w:r>
      <w:r>
        <w:rPr>
          <w:rFonts w:ascii="David" w:hAnsi="David"/>
          <w:b/>
          <w:rtl/>
          <w:lang w:eastAsia="he-IL"/>
        </w:rPr>
        <w:t xml:space="preserve"> (11.5.11)]. </w:t>
      </w:r>
      <w:r>
        <w:rPr>
          <w:sz w:val="20"/>
          <w:rtl/>
          <w:lang w:eastAsia="he-IL"/>
        </w:rPr>
        <w:t xml:space="preserve">לצד זאת, בהתאם </w:t>
      </w:r>
      <w:hyperlink r:id="rId67" w:history="1">
        <w:r w:rsidR="0045437A" w:rsidRPr="0045437A">
          <w:rPr>
            <w:rStyle w:val="Hyperlink"/>
            <w:color w:val="0000FF"/>
            <w:sz w:val="20"/>
            <w:rtl/>
            <w:lang w:eastAsia="he-IL"/>
          </w:rPr>
          <w:t>לסעיף 40ח</w:t>
        </w:r>
      </w:hyperlink>
      <w:r>
        <w:rPr>
          <w:sz w:val="20"/>
          <w:rtl/>
          <w:lang w:eastAsia="he-IL"/>
        </w:rPr>
        <w:t xml:space="preserve"> ל-</w:t>
      </w:r>
      <w:hyperlink r:id="rId68" w:history="1">
        <w:r w:rsidR="008D4222" w:rsidRPr="008D4222">
          <w:rPr>
            <w:rFonts w:ascii="Miriam" w:hAnsi="Miriam" w:cs="Miriam"/>
            <w:b/>
            <w:bCs/>
            <w:color w:val="0000FF"/>
            <w:sz w:val="22"/>
            <w:szCs w:val="22"/>
            <w:u w:val="single"/>
            <w:rtl/>
            <w:lang w:eastAsia="he-IL"/>
          </w:rPr>
          <w:t>חוק העונשין</w:t>
        </w:r>
      </w:hyperlink>
      <w:r>
        <w:rPr>
          <w:sz w:val="20"/>
          <w:rtl/>
          <w:lang w:eastAsia="he-IL"/>
        </w:rPr>
        <w:t>, התחשבתי במצבו הכלכלי הנטען של הנאשם בקביעת מתחם הקנס, שכן כאשר מדובר בעונש של קנס אין דין פלוני כאלמוני. משכך</w:t>
      </w:r>
      <w:r>
        <w:rPr>
          <w:b/>
          <w:sz w:val="20"/>
          <w:rtl/>
          <w:lang w:eastAsia="he-IL"/>
        </w:rPr>
        <w:t xml:space="preserve">, בהינתן מצבו הכלכלי הגבולי של הנאשם, אשר ביצע העבירות על רקע משבר כלכלי אליו נקלע נוכח התפרצות נגיף הקורונה (ומבלי שיהיה בכך להצדיק מעשיו), </w:t>
      </w:r>
      <w:r>
        <w:rPr>
          <w:sz w:val="20"/>
          <w:rtl/>
          <w:lang w:eastAsia="he-IL"/>
        </w:rPr>
        <w:t xml:space="preserve">תוך התחשבות במספר העבירות, תדירותן, הזיקה ביניהן והרווח שהופק, </w:t>
      </w:r>
      <w:r>
        <w:rPr>
          <w:b/>
          <w:bCs/>
          <w:sz w:val="20"/>
          <w:rtl/>
          <w:lang w:eastAsia="he-IL"/>
        </w:rPr>
        <w:t>מתחם הקנס נע בין 15,000 ₪ לבין 150,000 ₪, לצד התחייבות</w:t>
      </w:r>
      <w:r>
        <w:rPr>
          <w:sz w:val="20"/>
          <w:rtl/>
          <w:lang w:eastAsia="he-IL"/>
        </w:rPr>
        <w:t>.</w:t>
      </w:r>
    </w:p>
    <w:p w14:paraId="6C4DC513" w14:textId="77777777" w:rsidR="00813463" w:rsidRDefault="00813463" w:rsidP="00813463">
      <w:pPr>
        <w:numPr>
          <w:ilvl w:val="0"/>
          <w:numId w:val="2"/>
        </w:numPr>
        <w:snapToGrid w:val="0"/>
        <w:spacing w:before="240" w:line="360" w:lineRule="auto"/>
        <w:ind w:left="357" w:hanging="357"/>
        <w:jc w:val="both"/>
        <w:rPr>
          <w:b/>
          <w:sz w:val="20"/>
          <w:lang w:eastAsia="he-IL"/>
        </w:rPr>
      </w:pPr>
      <w:r>
        <w:rPr>
          <w:b/>
          <w:sz w:val="20"/>
          <w:rtl/>
          <w:lang w:eastAsia="he-IL"/>
        </w:rPr>
        <w:t xml:space="preserve">כפי שנקבע בפסיקה ובהתאם להוראות </w:t>
      </w:r>
      <w:hyperlink r:id="rId69" w:history="1">
        <w:r w:rsidR="0045437A" w:rsidRPr="0045437A">
          <w:rPr>
            <w:rStyle w:val="Hyperlink"/>
            <w:b/>
            <w:color w:val="0000FF"/>
            <w:sz w:val="20"/>
            <w:rtl/>
            <w:lang w:eastAsia="he-IL"/>
          </w:rPr>
          <w:t>סעיף 37א</w:t>
        </w:r>
      </w:hyperlink>
      <w:r>
        <w:rPr>
          <w:b/>
          <w:sz w:val="20"/>
          <w:rtl/>
          <w:lang w:eastAsia="he-IL"/>
        </w:rPr>
        <w:t xml:space="preserve"> ל-</w:t>
      </w:r>
      <w:r>
        <w:rPr>
          <w:rFonts w:ascii="Miriam" w:hAnsi="Miriam" w:cs="Miriam"/>
          <w:b/>
          <w:bCs/>
          <w:sz w:val="18"/>
          <w:szCs w:val="22"/>
          <w:rtl/>
        </w:rPr>
        <w:t>פקודת הסמים</w:t>
      </w:r>
      <w:r>
        <w:rPr>
          <w:b/>
          <w:sz w:val="20"/>
          <w:rtl/>
          <w:lang w:eastAsia="he-IL"/>
        </w:rPr>
        <w:t xml:space="preserve">, בעבירות הקשורות בסם מסוכן יש חשיבות לפסילה, ודאי כאשר מדובר במי שביצע את העבירות תוך שימוש ברכב. משכך אני קובעת, כי </w:t>
      </w:r>
      <w:r>
        <w:rPr>
          <w:bCs/>
          <w:sz w:val="20"/>
          <w:rtl/>
          <w:lang w:eastAsia="he-IL"/>
        </w:rPr>
        <w:t>מתחם הפסילה נע בין 11 לבין 60 חודשי פסילה בפועל, לצד פסילה מותנית</w:t>
      </w:r>
      <w:r>
        <w:rPr>
          <w:b/>
          <w:sz w:val="20"/>
          <w:rtl/>
          <w:lang w:eastAsia="he-IL"/>
        </w:rPr>
        <w:t>.</w:t>
      </w:r>
    </w:p>
    <w:p w14:paraId="7E8E5738" w14:textId="77777777" w:rsidR="00813463" w:rsidRDefault="00813463" w:rsidP="00813463">
      <w:pPr>
        <w:spacing w:before="240" w:line="360" w:lineRule="auto"/>
        <w:jc w:val="both"/>
        <w:rPr>
          <w:rFonts w:ascii="David" w:hAnsi="David"/>
          <w:bCs/>
          <w:sz w:val="26"/>
          <w:szCs w:val="26"/>
        </w:rPr>
      </w:pPr>
      <w:r>
        <w:rPr>
          <w:rFonts w:ascii="David" w:hAnsi="David"/>
          <w:bCs/>
          <w:sz w:val="26"/>
          <w:szCs w:val="26"/>
          <w:rtl/>
        </w:rPr>
        <w:t>גזירת העונש המתאים לנאשם במסגרת המתחם</w:t>
      </w:r>
    </w:p>
    <w:p w14:paraId="35B50025" w14:textId="77777777" w:rsidR="00813463" w:rsidRDefault="00813463" w:rsidP="00813463">
      <w:pPr>
        <w:pStyle w:val="a9"/>
        <w:numPr>
          <w:ilvl w:val="0"/>
          <w:numId w:val="2"/>
        </w:numPr>
        <w:spacing w:line="360" w:lineRule="auto"/>
        <w:contextualSpacing w:val="0"/>
        <w:jc w:val="both"/>
        <w:rPr>
          <w:rFonts w:ascii="Arial" w:hAnsi="Arial"/>
        </w:rPr>
      </w:pPr>
      <w:r>
        <w:rPr>
          <w:rFonts w:ascii="David" w:hAnsi="David"/>
          <w:rtl/>
        </w:rPr>
        <w:t xml:space="preserve">בגזירת העונש המתאים לנאשם התחשבתי, בהתאם </w:t>
      </w:r>
      <w:hyperlink r:id="rId70" w:history="1">
        <w:r w:rsidR="0045437A" w:rsidRPr="0045437A">
          <w:rPr>
            <w:rStyle w:val="Hyperlink"/>
            <w:rFonts w:ascii="David" w:hAnsi="David"/>
            <w:color w:val="0000FF"/>
            <w:rtl/>
          </w:rPr>
          <w:t>לסעיף 40ג(ב)</w:t>
        </w:r>
      </w:hyperlink>
      <w:r>
        <w:rPr>
          <w:rFonts w:ascii="David" w:hAnsi="David"/>
          <w:rtl/>
        </w:rPr>
        <w:t xml:space="preserve"> ל</w:t>
      </w:r>
      <w:hyperlink r:id="rId71" w:history="1">
        <w:r w:rsidR="008D4222" w:rsidRPr="008D4222">
          <w:rPr>
            <w:rFonts w:ascii="Miriam" w:hAnsi="Miriam" w:cs="Miriam"/>
            <w:b/>
            <w:bCs/>
            <w:color w:val="0000FF"/>
            <w:sz w:val="18"/>
            <w:szCs w:val="22"/>
            <w:u w:val="single"/>
            <w:rtl/>
          </w:rPr>
          <w:t>חוק העונשין</w:t>
        </w:r>
      </w:hyperlink>
      <w:r>
        <w:rPr>
          <w:rFonts w:ascii="Miriam" w:hAnsi="Miriam" w:cs="Miriam"/>
          <w:b/>
          <w:bCs/>
          <w:sz w:val="18"/>
          <w:szCs w:val="22"/>
          <w:rtl/>
        </w:rPr>
        <w:t xml:space="preserve">, </w:t>
      </w:r>
      <w:r>
        <w:rPr>
          <w:rFonts w:ascii="David" w:hAnsi="David"/>
          <w:rtl/>
        </w:rPr>
        <w:t xml:space="preserve">בנסיבות שאינן קשורות בביצוע העבירה כאמור </w:t>
      </w:r>
      <w:hyperlink r:id="rId72" w:history="1">
        <w:r w:rsidR="0045437A" w:rsidRPr="0045437A">
          <w:rPr>
            <w:rStyle w:val="Hyperlink"/>
            <w:rFonts w:ascii="David" w:hAnsi="David"/>
            <w:color w:val="0000FF"/>
            <w:rtl/>
          </w:rPr>
          <w:t>בסעיף 40יא</w:t>
        </w:r>
      </w:hyperlink>
      <w:r>
        <w:rPr>
          <w:rFonts w:ascii="David" w:hAnsi="David"/>
          <w:rtl/>
        </w:rPr>
        <w:t xml:space="preserve"> ל</w:t>
      </w:r>
      <w:r>
        <w:rPr>
          <w:rFonts w:ascii="Miriam" w:hAnsi="Miriam" w:cs="Miriam"/>
          <w:b/>
          <w:bCs/>
          <w:sz w:val="18"/>
          <w:szCs w:val="22"/>
          <w:rtl/>
        </w:rPr>
        <w:t>חוק העונשין</w:t>
      </w:r>
      <w:r>
        <w:rPr>
          <w:rFonts w:ascii="David" w:hAnsi="David"/>
          <w:rtl/>
        </w:rPr>
        <w:t>, בהתאם לאמור בתסקיר שירות המבחן מיום 23.3.22, טיעוני באי כוח הצדדים ובדברי הנאשם לעונש, הכל כמפורט להלן:</w:t>
      </w:r>
    </w:p>
    <w:p w14:paraId="7BD36E91" w14:textId="77777777" w:rsidR="00813463" w:rsidRDefault="00813463" w:rsidP="00813463">
      <w:pPr>
        <w:pStyle w:val="a9"/>
        <w:numPr>
          <w:ilvl w:val="1"/>
          <w:numId w:val="2"/>
        </w:numPr>
        <w:spacing w:before="60" w:line="360" w:lineRule="auto"/>
        <w:ind w:left="851" w:hanging="397"/>
        <w:contextualSpacing w:val="0"/>
        <w:jc w:val="both"/>
        <w:rPr>
          <w:rFonts w:ascii="Arial" w:hAnsi="Arial"/>
        </w:rPr>
      </w:pPr>
      <w:r>
        <w:rPr>
          <w:rFonts w:ascii="Arial" w:hAnsi="Arial"/>
          <w:u w:val="single"/>
          <w:rtl/>
        </w:rPr>
        <w:t>הנזקים שנגרמו לנאשם מביצעו העבירות ומהרשעתו, הפגיעה של העונש בנאשם, לרבות בשל גילו והפגיעה של העונש במשפחתו</w:t>
      </w:r>
      <w:r>
        <w:rPr>
          <w:rFonts w:ascii="Arial" w:hAnsi="Arial"/>
          <w:rtl/>
        </w:rPr>
        <w:t xml:space="preserve"> - הנאשם כבן 53, נעדר עבר פלילי, נשוי ואב לשלושה ילדים בטווח גילאים 22–28. הנאשם גדל בירושלים, סיים לימודיו בכיתה י"א מסיבות שלא זכורות לו והחל לעבוד עד שירותו הצבאי. שירת שירות מלא בחיל התותחנים. לאחר שחרורו עבד כשנתיים במגרש מכוניות. במשפחת מוצאו הוא הרביעי מבין חמישה אחים, שני הוריו נפטרו. הנאשם התקשה להתמודד עם פטירת אמו וחווה אירוע זה כמשברי, בנוסף לקשיים כלכליים עמם מתמודד. משפחתו הגרעינית מנהלת אורח חיים נורמטיבי, קשריו עם משפחתו קרובים וחיוביים. בנו משרת כשוטר במשטרת ישראל ול</w:t>
      </w:r>
      <w:r>
        <w:rPr>
          <w:rFonts w:ascii="Arial" w:hAnsi="Arial" w:hint="cs"/>
          <w:rtl/>
        </w:rPr>
        <w:t>מעורבות הנאשם ב</w:t>
      </w:r>
      <w:r>
        <w:rPr>
          <w:rFonts w:ascii="Arial" w:hAnsi="Arial"/>
          <w:rtl/>
        </w:rPr>
        <w:t xml:space="preserve">תיק שלפניי יש השפעה עליו. </w:t>
      </w:r>
    </w:p>
    <w:p w14:paraId="7945BCCA" w14:textId="77777777" w:rsidR="00813463" w:rsidRDefault="00813463" w:rsidP="00813463">
      <w:pPr>
        <w:pStyle w:val="a9"/>
        <w:numPr>
          <w:ilvl w:val="1"/>
          <w:numId w:val="2"/>
        </w:numPr>
        <w:spacing w:before="60" w:line="360" w:lineRule="auto"/>
        <w:ind w:left="851" w:hanging="397"/>
        <w:contextualSpacing w:val="0"/>
        <w:jc w:val="both"/>
        <w:rPr>
          <w:rFonts w:ascii="Arial" w:hAnsi="Arial"/>
        </w:rPr>
      </w:pPr>
      <w:r>
        <w:rPr>
          <w:rFonts w:ascii="Arial" w:hAnsi="Arial"/>
          <w:u w:val="single"/>
          <w:rtl/>
        </w:rPr>
        <w:t>נסיבות חייו של הנאשם שהיתה להן השפעה על ביצוע העבירות</w:t>
      </w:r>
      <w:r>
        <w:rPr>
          <w:rFonts w:ascii="Arial" w:hAnsi="Arial"/>
          <w:rtl/>
        </w:rPr>
        <w:t xml:space="preserve"> - כשעבר הנאשם להתגורר בבאר שבע החל לעבוד כסדרן בתחנת מוניות כ-25 שנים באופן רציף עד יציאתו לחל"ת בתקופת הקורונה. לפני כשנה וחצי,  לאחר שיצא לחל"ת, החל להשתמש בסם שהתקשה להגדיר, כדרך התמודדות שלילית עם הקשיים הרגשיים שחווה עת הפסיק לעבוד. </w:t>
      </w:r>
      <w:r>
        <w:rPr>
          <w:rFonts w:ascii="Arial" w:hAnsi="Arial"/>
          <w:u w:val="single"/>
          <w:rtl/>
        </w:rPr>
        <w:t>להתרשמות שירות המבחן, קיימים גורמי סיכון לעבריינות</w:t>
      </w:r>
      <w:r>
        <w:rPr>
          <w:rFonts w:ascii="Arial" w:hAnsi="Arial"/>
          <w:rtl/>
        </w:rPr>
        <w:t xml:space="preserve"> - הנאשם התקשה להתמודד באופן אדפטיבי והחל להתמודד באופן שולי תוך הסתרת התנהלותו מבני משפחתו, יצר קשרים שוליים ופנה לפתרונות מהירים, תוך קושי בזיהוי השלכות ובעייתיות בהתנהגותו. הנאשם היה מודע למחירים ולבעייתיות שבהתנהלות פלילית, בהינתן דבריו כי לאורך השנים נחשף לפעילות פלילית, אך בעבר ידע להציב לעצמו גבולות.</w:t>
      </w:r>
    </w:p>
    <w:p w14:paraId="03688500" w14:textId="77777777" w:rsidR="00813463" w:rsidRDefault="00813463" w:rsidP="00813463">
      <w:pPr>
        <w:pStyle w:val="a9"/>
        <w:numPr>
          <w:ilvl w:val="1"/>
          <w:numId w:val="2"/>
        </w:numPr>
        <w:spacing w:before="60" w:line="360" w:lineRule="auto"/>
        <w:ind w:left="851" w:hanging="397"/>
        <w:contextualSpacing w:val="0"/>
        <w:jc w:val="both"/>
        <w:rPr>
          <w:rFonts w:ascii="Arial" w:hAnsi="Arial"/>
        </w:rPr>
      </w:pPr>
      <w:r>
        <w:rPr>
          <w:rFonts w:ascii="Arial" w:hAnsi="Arial"/>
          <w:u w:val="single"/>
          <w:rtl/>
        </w:rPr>
        <w:t>נטילת אחריות של הנאשם על מעשיו, מאמציו לחזור למוטב ולתיקון תוצאות העבירות</w:t>
      </w:r>
      <w:r>
        <w:rPr>
          <w:rFonts w:ascii="Arial" w:hAnsi="Arial"/>
          <w:rtl/>
        </w:rPr>
        <w:t xml:space="preserve"> - הנאשם הודה בביצוע העבירות. הודייה המגלמת נטילת אחריות וחסכון בזמן שיפוטי יקרה. אף בדבריו האחרונים הביע צער וחרטה עמוקה ולהתרשמות שירות המבחן נטל אחריות מלאה על מעשיו. הנאשם מסר שהפסיק לצרוך סמים מאז מעצרו והביע רצון לקבל סיוע טיפולי בתחום. שותפיו של הנאשם לעבירות הם נהגי מוניות, אשר עבדו אתו בתקופה האחרונה, שלחלקם עבר פלילי. כיום מבין את הבעייתיות בקשרים אלו. כיום משתתף בקבוצה טיפולית לאלימות למרות שזו איננה רלוונטית לגביו, אך מכיוון שזו הקבוצה הפעילה היחידה החליט להשתתף בה והוא מגיע באופן סדיר ומשתף מעולמו האישי, כמו כן החל לשמש כתומך ומלווה צעיר אשר מרצה מאסר ממושך ונמצא בקשר יומיומי עם גורמי הטיפול בכלא.</w:t>
      </w:r>
    </w:p>
    <w:p w14:paraId="5BC30EF7" w14:textId="77777777" w:rsidR="00813463" w:rsidRDefault="00813463" w:rsidP="00813463">
      <w:pPr>
        <w:pStyle w:val="a9"/>
        <w:numPr>
          <w:ilvl w:val="1"/>
          <w:numId w:val="2"/>
        </w:numPr>
        <w:spacing w:before="60" w:line="360" w:lineRule="auto"/>
        <w:ind w:left="851" w:hanging="397"/>
        <w:contextualSpacing w:val="0"/>
        <w:jc w:val="both"/>
        <w:rPr>
          <w:rFonts w:ascii="Arial" w:hAnsi="Arial"/>
        </w:rPr>
      </w:pPr>
      <w:r>
        <w:rPr>
          <w:rFonts w:ascii="Arial" w:hAnsi="Arial"/>
          <w:u w:val="single"/>
          <w:rtl/>
        </w:rPr>
        <w:t xml:space="preserve">שיתוף הפעולה של הנאשם עם רשויות אכיפת החוק </w:t>
      </w:r>
      <w:r>
        <w:rPr>
          <w:rFonts w:ascii="Arial" w:hAnsi="Arial"/>
          <w:rtl/>
        </w:rPr>
        <w:t xml:space="preserve">- כאמור לעיל, הנאשם הודה בביצוע העבירות עוד בחקירתו במשטרה. שיתוף פעולה זה של הנאשם עם חוקרי המשטרה הביא לפיצוח ולהתקדמות משמעותית בחקירה ולהבאת נאשמים נוספים לדין. נתון זה בהחלט יש בו השפעה משמעותית על קביעת עונשו של הנאשם בגדרי המתחם ויש בו כדי להטות את הכף לקולא. לכך יש גם להוסיף, כי לדברי הנאשם קיבל איומים על חייו בכלא, בשל שיתוף הפעולה עם המשטרה. </w:t>
      </w:r>
    </w:p>
    <w:p w14:paraId="6521FBE2" w14:textId="77777777" w:rsidR="00813463" w:rsidRDefault="00813463" w:rsidP="00813463">
      <w:pPr>
        <w:pStyle w:val="a9"/>
        <w:numPr>
          <w:ilvl w:val="1"/>
          <w:numId w:val="2"/>
        </w:numPr>
        <w:spacing w:before="60" w:line="360" w:lineRule="auto"/>
        <w:ind w:left="851" w:hanging="397"/>
        <w:contextualSpacing w:val="0"/>
        <w:jc w:val="both"/>
        <w:rPr>
          <w:rFonts w:ascii="Arial" w:hAnsi="Arial"/>
        </w:rPr>
      </w:pPr>
      <w:r>
        <w:rPr>
          <w:rFonts w:ascii="Arial" w:hAnsi="Arial"/>
          <w:u w:val="single"/>
          <w:rtl/>
        </w:rPr>
        <w:t>להתרשמות שירות המבחן, קיימים גורמי סיכוי לשיקום</w:t>
      </w:r>
      <w:r>
        <w:rPr>
          <w:rFonts w:ascii="Arial" w:hAnsi="Arial"/>
          <w:rtl/>
        </w:rPr>
        <w:t xml:space="preserve"> - הנאשם הוא באדם מבוגר, ללא עבר פלילי, שהתנהל לאורך חייו באופן נורמטיבי, תוך יציבות תעסוקתית של למעלה מ-20 שנים. קשריו החיוביים עם משפחתו, התמודדותו עם קשים כלכליים לאורך השנים ללא חיפוש מענים זמינים ושלויים לקשייו אף הם מהווים גורמי סיכוי לשיקום. מודעות הנאשם לכשלים שבהתנהגותו והבעת מוטיבציה לשינוי ושיקום אף במהלך מעצרו, כמו גם תקופת המעצר, אשר היוותה עבורו טלטלה, בהינתן כי זה מעצרו הראשון בחייו והאיומים אשר ספג במעצר. להתרשמות שירות המבחן לא מדובר באדם בעל מאפיינים עבריינים מושרשים, אלא במי שהיה נתון בתקופה משברית בחייו, אשר הובילה להתדרדרות ובחירות שגויות. הנאשם ביטא בפני שירות המבחן רצון להשתלב בכל סוג של טיפול. שירות המבחן מעריך כי הנאשם אינו זקוק לטיפול אינטנסיבי במסגרת טיפולית סגורה, אלא יכול להירתם משילוב במסגרת טיפולית פתוחה. </w:t>
      </w:r>
    </w:p>
    <w:p w14:paraId="63C90B5B" w14:textId="77777777" w:rsidR="00813463" w:rsidRDefault="00813463" w:rsidP="00813463">
      <w:pPr>
        <w:pStyle w:val="a9"/>
        <w:numPr>
          <w:ilvl w:val="1"/>
          <w:numId w:val="2"/>
        </w:numPr>
        <w:spacing w:before="60" w:line="360" w:lineRule="auto"/>
        <w:ind w:left="851" w:hanging="397"/>
        <w:contextualSpacing w:val="0"/>
        <w:jc w:val="both"/>
        <w:rPr>
          <w:rFonts w:ascii="Arial" w:hAnsi="Arial"/>
        </w:rPr>
      </w:pPr>
      <w:r>
        <w:rPr>
          <w:rFonts w:ascii="Arial" w:hAnsi="Arial"/>
          <w:rtl/>
        </w:rPr>
        <w:t xml:space="preserve">כאמור לעיל, </w:t>
      </w:r>
      <w:r>
        <w:rPr>
          <w:rFonts w:ascii="Arial" w:hAnsi="Arial"/>
          <w:u w:val="single"/>
          <w:rtl/>
        </w:rPr>
        <w:t>הנאשם נעדר עבר פלילי</w:t>
      </w:r>
      <w:r>
        <w:rPr>
          <w:rFonts w:ascii="Arial" w:hAnsi="Arial"/>
          <w:rtl/>
        </w:rPr>
        <w:t xml:space="preserve"> וזו לו הסתבכותו הראשונה עם החוק. </w:t>
      </w:r>
    </w:p>
    <w:p w14:paraId="32C57E5F" w14:textId="77777777" w:rsidR="00813463" w:rsidRDefault="00813463" w:rsidP="00813463">
      <w:pPr>
        <w:spacing w:before="240" w:line="360" w:lineRule="auto"/>
        <w:jc w:val="both"/>
        <w:rPr>
          <w:rFonts w:ascii="David" w:hAnsi="David"/>
          <w:b/>
          <w:bCs/>
          <w:sz w:val="26"/>
          <w:szCs w:val="26"/>
        </w:rPr>
      </w:pPr>
      <w:bookmarkStart w:id="8" w:name="Rov1059"/>
      <w:r>
        <w:rPr>
          <w:rFonts w:ascii="David" w:hAnsi="David"/>
          <w:b/>
          <w:bCs/>
          <w:sz w:val="26"/>
          <w:szCs w:val="26"/>
          <w:rtl/>
        </w:rPr>
        <w:t>סוף דבר</w:t>
      </w:r>
    </w:p>
    <w:bookmarkEnd w:id="8"/>
    <w:p w14:paraId="5D8DD3F5" w14:textId="77777777" w:rsidR="00813463" w:rsidRDefault="00813463" w:rsidP="00813463">
      <w:pPr>
        <w:numPr>
          <w:ilvl w:val="0"/>
          <w:numId w:val="2"/>
        </w:numPr>
        <w:snapToGrid w:val="0"/>
        <w:spacing w:line="360" w:lineRule="auto"/>
        <w:ind w:left="357" w:hanging="357"/>
        <w:jc w:val="both"/>
        <w:rPr>
          <w:sz w:val="20"/>
          <w:rtl/>
          <w:lang w:eastAsia="he-IL"/>
        </w:rPr>
      </w:pPr>
      <w:r>
        <w:rPr>
          <w:sz w:val="20"/>
          <w:rtl/>
          <w:lang w:eastAsia="he-IL"/>
        </w:rPr>
        <w:t xml:space="preserve">לא מצאתי מקום לחרוג ממתחם העונש ההולם בשל שיקולי שיקום או הגנה על שלום הציבור לפי הוראות </w:t>
      </w:r>
      <w:hyperlink r:id="rId73" w:history="1">
        <w:r w:rsidR="0045437A" w:rsidRPr="0045437A">
          <w:rPr>
            <w:rStyle w:val="Hyperlink"/>
            <w:color w:val="0000FF"/>
            <w:sz w:val="20"/>
            <w:rtl/>
            <w:lang w:eastAsia="he-IL"/>
          </w:rPr>
          <w:t>סעיפים 40ד</w:t>
        </w:r>
      </w:hyperlink>
      <w:r>
        <w:rPr>
          <w:sz w:val="20"/>
          <w:rtl/>
          <w:lang w:eastAsia="he-IL"/>
        </w:rPr>
        <w:t xml:space="preserve"> ו-</w:t>
      </w:r>
      <w:hyperlink r:id="rId74" w:history="1">
        <w:r w:rsidR="0045437A" w:rsidRPr="0045437A">
          <w:rPr>
            <w:rStyle w:val="Hyperlink"/>
            <w:color w:val="0000FF"/>
            <w:sz w:val="20"/>
            <w:rtl/>
            <w:lang w:eastAsia="he-IL"/>
          </w:rPr>
          <w:t>40ה</w:t>
        </w:r>
      </w:hyperlink>
      <w:r>
        <w:rPr>
          <w:sz w:val="20"/>
          <w:rtl/>
          <w:lang w:eastAsia="he-IL"/>
        </w:rPr>
        <w:t xml:space="preserve"> ל</w:t>
      </w:r>
      <w:hyperlink r:id="rId75" w:history="1">
        <w:r w:rsidR="008D4222" w:rsidRPr="008D4222">
          <w:rPr>
            <w:rFonts w:ascii="Miriam" w:hAnsi="Miriam" w:cs="Miriam"/>
            <w:b/>
            <w:bCs/>
            <w:color w:val="0000FF"/>
            <w:sz w:val="18"/>
            <w:szCs w:val="22"/>
            <w:u w:val="single"/>
            <w:rtl/>
            <w:lang w:eastAsia="he-IL"/>
          </w:rPr>
          <w:t>חוק העונשין</w:t>
        </w:r>
      </w:hyperlink>
      <w:r>
        <w:rPr>
          <w:sz w:val="20"/>
          <w:rtl/>
          <w:lang w:eastAsia="he-IL"/>
        </w:rPr>
        <w:t>. הגם שהנאשם נעדר עבר פלילי, לא</w:t>
      </w:r>
      <w:r>
        <w:rPr>
          <w:rFonts w:hint="cs"/>
          <w:sz w:val="20"/>
          <w:lang w:eastAsia="he-IL"/>
        </w:rPr>
        <w:t xml:space="preserve"> </w:t>
      </w:r>
      <w:r>
        <w:rPr>
          <w:sz w:val="20"/>
          <w:rtl/>
          <w:lang w:eastAsia="he-IL"/>
        </w:rPr>
        <w:t>מדובר בעסקה בודדת או במספר מועט של עסקאות בפרק זמן קצר, היכולות להעיד על מעידה</w:t>
      </w:r>
      <w:r>
        <w:rPr>
          <w:rFonts w:hint="cs"/>
          <w:sz w:val="20"/>
          <w:lang w:eastAsia="he-IL"/>
        </w:rPr>
        <w:t xml:space="preserve"> </w:t>
      </w:r>
      <w:r>
        <w:rPr>
          <w:sz w:val="20"/>
          <w:rtl/>
          <w:lang w:eastAsia="he-IL"/>
        </w:rPr>
        <w:t xml:space="preserve">חד-פעמית - מדובר בביצוע עסקאות במשך זמן לא מבוטל, בתדירות גבוה, ללקוחות רבים, המלמדים על היקפה הנרחב של פעילותו העבריינית ועל ההזדמנויות הרבות שהיו לו לחדול ממעשיו. במהלך תקופה זו הנאשם לא נתן מספיק את הדעת לגבי השפעת מעשיו על משפחתו הגרעינית והמורחבת, ובעיקר להשלכות מעשיו על בנו, המשרת כשוטר במשטרת ישראל. שיתוף הפעולה של הנאשם עם רשויות החוק אכן מטה את הכף לקולא באופן משמעותי, אך אין בו כדי לאיין את הצורך בהרתעה אישית ובהרתעת הרבים, בהתאם </w:t>
      </w:r>
      <w:hyperlink r:id="rId76" w:history="1">
        <w:r w:rsidR="0045437A" w:rsidRPr="0045437A">
          <w:rPr>
            <w:rStyle w:val="Hyperlink"/>
            <w:color w:val="0000FF"/>
            <w:sz w:val="20"/>
            <w:rtl/>
            <w:lang w:eastAsia="he-IL"/>
          </w:rPr>
          <w:t>לסעיפים 40ו</w:t>
        </w:r>
      </w:hyperlink>
      <w:r>
        <w:rPr>
          <w:sz w:val="20"/>
          <w:rtl/>
          <w:lang w:eastAsia="he-IL"/>
        </w:rPr>
        <w:t xml:space="preserve"> ו-</w:t>
      </w:r>
      <w:hyperlink r:id="rId77" w:history="1">
        <w:r w:rsidR="0045437A" w:rsidRPr="0045437A">
          <w:rPr>
            <w:rStyle w:val="Hyperlink"/>
            <w:color w:val="0000FF"/>
            <w:sz w:val="20"/>
            <w:rtl/>
            <w:lang w:eastAsia="he-IL"/>
          </w:rPr>
          <w:t>40ז</w:t>
        </w:r>
      </w:hyperlink>
      <w:r>
        <w:rPr>
          <w:sz w:val="20"/>
          <w:rtl/>
          <w:lang w:eastAsia="he-IL"/>
        </w:rPr>
        <w:t xml:space="preserve"> ל-</w:t>
      </w:r>
      <w:hyperlink r:id="rId78" w:history="1">
        <w:r w:rsidR="008D4222" w:rsidRPr="008D4222">
          <w:rPr>
            <w:rFonts w:ascii="Miriam" w:hAnsi="Miriam" w:cs="Miriam"/>
            <w:b/>
            <w:bCs/>
            <w:color w:val="0000FF"/>
            <w:sz w:val="18"/>
            <w:szCs w:val="22"/>
            <w:u w:val="single"/>
            <w:rtl/>
            <w:lang w:eastAsia="he-IL"/>
          </w:rPr>
          <w:t>חוק העונשין</w:t>
        </w:r>
      </w:hyperlink>
      <w:r>
        <w:rPr>
          <w:sz w:val="20"/>
          <w:rtl/>
          <w:lang w:eastAsia="he-IL"/>
        </w:rPr>
        <w:t xml:space="preserve">. </w:t>
      </w:r>
    </w:p>
    <w:p w14:paraId="250948DB" w14:textId="77777777" w:rsidR="00813463" w:rsidRDefault="00813463" w:rsidP="00813463">
      <w:pPr>
        <w:numPr>
          <w:ilvl w:val="0"/>
          <w:numId w:val="2"/>
        </w:numPr>
        <w:snapToGrid w:val="0"/>
        <w:spacing w:before="240" w:line="360" w:lineRule="auto"/>
        <w:jc w:val="both"/>
        <w:rPr>
          <w:sz w:val="20"/>
          <w:lang w:eastAsia="he-IL"/>
        </w:rPr>
      </w:pPr>
      <w:r>
        <w:rPr>
          <w:sz w:val="20"/>
          <w:rtl/>
          <w:lang w:eastAsia="he-IL"/>
        </w:rPr>
        <w:t xml:space="preserve">נוכח כל האמור לעיל, מצאתי כי יש למקם את הנאשם בתחתית המתחם מהטעמים הבאים: ראשית, הנאשם הודה כבר בשלב מוקדם של ההליך. הודיית הנאשם סייעה כאמור למשטרה בחקירתה וראוי כי הנאשם יהנה מהקלה בעונש נוכח שיתוף הפעולה המלא עם רשויות החוק. הנאשם כבן 53, נשוי ואב לילדים, שאחד מהם משרת כשוטר במשטרת ישראל. נתתי דעתי גם לנסיבותיו האישיות הנוספות של הנאשם, ובכלל זה מצבו הכלכלי בשל המשבר שפרץ עקב התפרצות נגיף הקורונה, אשר השפיע על פרנסת נהגי המוניות בכלל ועל פרנסת הנאשם בפרט. זאת, מבלי שיהיה בכך כדי להצדיק את מעשיו. הנאשם נעדר עבר פלילי, זו למעשה הסתבכותו הראשונה עם החוק והוא צפוי לעונש מאסר ראשון בחייו לתקופה לא מבוטלת. לתקופת מעצרו יש השפעה מציבת גבול וכאמור לעיל, אף להתרשמות שירות המבחן סיכויי השיקום של הנאשם גבוהים מהסיכון להישנות עבירות. </w:t>
      </w:r>
    </w:p>
    <w:p w14:paraId="703CADC8" w14:textId="77777777" w:rsidR="00813463" w:rsidRDefault="00813463" w:rsidP="00813463">
      <w:pPr>
        <w:numPr>
          <w:ilvl w:val="0"/>
          <w:numId w:val="2"/>
        </w:numPr>
        <w:snapToGrid w:val="0"/>
        <w:spacing w:before="240" w:line="360" w:lineRule="auto"/>
        <w:jc w:val="both"/>
        <w:rPr>
          <w:sz w:val="20"/>
          <w:lang w:eastAsia="he-IL"/>
        </w:rPr>
      </w:pPr>
      <w:r>
        <w:rPr>
          <w:sz w:val="20"/>
          <w:rtl/>
          <w:lang w:eastAsia="he-IL"/>
        </w:rPr>
        <w:t xml:space="preserve">בהינתן כל המקובץ לעיל, </w:t>
      </w:r>
      <w:r>
        <w:rPr>
          <w:b/>
          <w:bCs/>
          <w:sz w:val="20"/>
          <w:rtl/>
          <w:lang w:eastAsia="he-IL"/>
        </w:rPr>
        <w:t xml:space="preserve">מצאתי כי יש למקם את הנאשם בתחתית מתחם העונש, ולגזור על הנאשם עונש כולל לכל העבירות, תוך התחשבות בתדירותן, בזיקה ביניהן ותוך שמירה על יחס הולם בין חומרת מכלול המעשים ומידת אשמו של הנאשם לבין תקופת המאסר שעליו לשאת, גובה הקנס ומשך הפסילה. </w:t>
      </w:r>
    </w:p>
    <w:p w14:paraId="62E3C2A5" w14:textId="77777777" w:rsidR="00813463" w:rsidRDefault="00813463" w:rsidP="00813463">
      <w:pPr>
        <w:numPr>
          <w:ilvl w:val="0"/>
          <w:numId w:val="2"/>
        </w:numPr>
        <w:snapToGrid w:val="0"/>
        <w:spacing w:before="240" w:line="360" w:lineRule="auto"/>
        <w:jc w:val="both"/>
        <w:rPr>
          <w:sz w:val="20"/>
          <w:lang w:eastAsia="he-IL"/>
        </w:rPr>
      </w:pPr>
      <w:r>
        <w:rPr>
          <w:b/>
          <w:bCs/>
          <w:sz w:val="20"/>
          <w:rtl/>
          <w:lang w:eastAsia="he-IL"/>
        </w:rPr>
        <w:t>אשר על כן, אני גוזרת על הנאשם את העונשים הבאים:</w:t>
      </w:r>
    </w:p>
    <w:p w14:paraId="56AF30D9" w14:textId="77777777" w:rsidR="00813463" w:rsidRDefault="00813463" w:rsidP="00813463">
      <w:pPr>
        <w:numPr>
          <w:ilvl w:val="1"/>
          <w:numId w:val="2"/>
        </w:numPr>
        <w:snapToGrid w:val="0"/>
        <w:spacing w:before="120" w:line="360" w:lineRule="auto"/>
        <w:ind w:left="851" w:hanging="397"/>
        <w:jc w:val="both"/>
        <w:rPr>
          <w:sz w:val="20"/>
          <w:lang w:eastAsia="he-IL"/>
        </w:rPr>
      </w:pPr>
      <w:r>
        <w:rPr>
          <w:b/>
          <w:bCs/>
          <w:sz w:val="20"/>
          <w:rtl/>
          <w:lang w:eastAsia="he-IL"/>
        </w:rPr>
        <w:t>36 חודשי מאסר בפועל</w:t>
      </w:r>
      <w:r>
        <w:rPr>
          <w:sz w:val="20"/>
          <w:rtl/>
          <w:lang w:eastAsia="he-IL"/>
        </w:rPr>
        <w:t>, בניכוי ימי מעצרו על פי רישומי שב"ס;</w:t>
      </w:r>
    </w:p>
    <w:p w14:paraId="19F1C6CE" w14:textId="77777777" w:rsidR="00813463" w:rsidRDefault="00813463" w:rsidP="00813463">
      <w:pPr>
        <w:numPr>
          <w:ilvl w:val="1"/>
          <w:numId w:val="2"/>
        </w:numPr>
        <w:snapToGrid w:val="0"/>
        <w:spacing w:before="120" w:line="360" w:lineRule="auto"/>
        <w:ind w:left="851" w:hanging="397"/>
        <w:jc w:val="both"/>
        <w:rPr>
          <w:sz w:val="20"/>
          <w:lang w:eastAsia="he-IL"/>
        </w:rPr>
      </w:pPr>
      <w:r>
        <w:rPr>
          <w:b/>
          <w:bCs/>
          <w:sz w:val="20"/>
          <w:rtl/>
          <w:lang w:eastAsia="he-IL"/>
        </w:rPr>
        <w:t>9 חודשי מאסר על תנאי</w:t>
      </w:r>
      <w:r>
        <w:rPr>
          <w:sz w:val="20"/>
          <w:rtl/>
          <w:lang w:eastAsia="he-IL"/>
        </w:rPr>
        <w:t xml:space="preserve">, למשך 3 שנים מתום ריצוי מאסרו, שלא יעבור כל עבירה על </w:t>
      </w:r>
      <w:r>
        <w:rPr>
          <w:rFonts w:ascii="Miriam" w:hAnsi="Miriam" w:cs="Miriam"/>
          <w:b/>
          <w:bCs/>
          <w:sz w:val="18"/>
          <w:szCs w:val="22"/>
          <w:rtl/>
          <w:lang w:eastAsia="he-IL"/>
        </w:rPr>
        <w:t>פקודת הסמים</w:t>
      </w:r>
      <w:r>
        <w:rPr>
          <w:sz w:val="18"/>
          <w:szCs w:val="22"/>
          <w:rtl/>
          <w:lang w:eastAsia="he-IL"/>
        </w:rPr>
        <w:t xml:space="preserve"> </w:t>
      </w:r>
      <w:r>
        <w:rPr>
          <w:sz w:val="20"/>
          <w:rtl/>
          <w:lang w:eastAsia="he-IL"/>
        </w:rPr>
        <w:t>מסוג פשע, או כל עבירה נגזרת שלהן;</w:t>
      </w:r>
    </w:p>
    <w:p w14:paraId="6B649BBC" w14:textId="77777777" w:rsidR="00813463" w:rsidRDefault="00813463" w:rsidP="00813463">
      <w:pPr>
        <w:numPr>
          <w:ilvl w:val="1"/>
          <w:numId w:val="2"/>
        </w:numPr>
        <w:snapToGrid w:val="0"/>
        <w:spacing w:before="120" w:line="360" w:lineRule="auto"/>
        <w:ind w:left="851" w:hanging="397"/>
        <w:jc w:val="both"/>
        <w:rPr>
          <w:sz w:val="20"/>
          <w:lang w:eastAsia="he-IL"/>
        </w:rPr>
      </w:pPr>
      <w:r>
        <w:rPr>
          <w:b/>
          <w:bCs/>
          <w:sz w:val="20"/>
          <w:rtl/>
          <w:lang w:eastAsia="he-IL"/>
        </w:rPr>
        <w:t>30,000 ₪ התחייבות</w:t>
      </w:r>
      <w:r>
        <w:rPr>
          <w:sz w:val="20"/>
          <w:rtl/>
          <w:lang w:eastAsia="he-IL"/>
        </w:rPr>
        <w:t xml:space="preserve">, למשך 3 שנים מתום ריצוי מאסרו, שלא יעבור כל עבירה על </w:t>
      </w:r>
      <w:r>
        <w:rPr>
          <w:rFonts w:ascii="Miriam" w:hAnsi="Miriam" w:cs="Miriam"/>
          <w:b/>
          <w:bCs/>
          <w:sz w:val="18"/>
          <w:szCs w:val="22"/>
          <w:rtl/>
          <w:lang w:eastAsia="he-IL"/>
        </w:rPr>
        <w:t>פקודת הסמים</w:t>
      </w:r>
      <w:r>
        <w:rPr>
          <w:sz w:val="18"/>
          <w:szCs w:val="22"/>
          <w:rtl/>
          <w:lang w:eastAsia="he-IL"/>
        </w:rPr>
        <w:t xml:space="preserve"> </w:t>
      </w:r>
      <w:r>
        <w:rPr>
          <w:sz w:val="20"/>
          <w:rtl/>
          <w:lang w:eastAsia="he-IL"/>
        </w:rPr>
        <w:t>מסוג פשע, או כל עבירה נגזרת שלהן;</w:t>
      </w:r>
    </w:p>
    <w:p w14:paraId="0DB75F68" w14:textId="77777777" w:rsidR="00813463" w:rsidRDefault="00813463" w:rsidP="00813463">
      <w:pPr>
        <w:snapToGrid w:val="0"/>
        <w:spacing w:before="60" w:line="360" w:lineRule="auto"/>
        <w:ind w:left="851"/>
        <w:jc w:val="both"/>
        <w:rPr>
          <w:sz w:val="20"/>
          <w:lang w:eastAsia="he-IL"/>
        </w:rPr>
      </w:pPr>
      <w:r>
        <w:rPr>
          <w:sz w:val="20"/>
          <w:rtl/>
          <w:lang w:eastAsia="he-IL"/>
        </w:rPr>
        <w:t xml:space="preserve">על הנאשם להצהיר על ההתחייבות היום. </w:t>
      </w:r>
    </w:p>
    <w:p w14:paraId="4ED3BFAB" w14:textId="77777777" w:rsidR="00813463" w:rsidRDefault="00813463" w:rsidP="00813463">
      <w:pPr>
        <w:snapToGrid w:val="0"/>
        <w:spacing w:before="60" w:line="360" w:lineRule="auto"/>
        <w:ind w:left="851"/>
        <w:jc w:val="both"/>
        <w:rPr>
          <w:sz w:val="20"/>
          <w:rtl/>
          <w:lang w:eastAsia="he-IL"/>
        </w:rPr>
      </w:pPr>
      <w:r>
        <w:rPr>
          <w:sz w:val="20"/>
          <w:rtl/>
          <w:lang w:eastAsia="he-IL"/>
        </w:rPr>
        <w:t>לא תיחתם יצהיר על ההתחייבות היום - יהיה על הנאשם לרצות 30 ימי מאסר בפועל, במצטבר לכל עונש אחר, על מנת לכפות אותו לעשות כן.</w:t>
      </w:r>
    </w:p>
    <w:p w14:paraId="2C6CE760" w14:textId="77777777" w:rsidR="00813463" w:rsidRDefault="00813463" w:rsidP="00813463">
      <w:pPr>
        <w:numPr>
          <w:ilvl w:val="1"/>
          <w:numId w:val="2"/>
        </w:numPr>
        <w:snapToGrid w:val="0"/>
        <w:spacing w:before="240" w:line="360" w:lineRule="auto"/>
        <w:ind w:left="851" w:hanging="397"/>
        <w:jc w:val="both"/>
        <w:rPr>
          <w:sz w:val="20"/>
          <w:lang w:eastAsia="he-IL"/>
        </w:rPr>
      </w:pPr>
      <w:r>
        <w:rPr>
          <w:b/>
          <w:bCs/>
          <w:rtl/>
          <w:lang w:eastAsia="he-IL"/>
        </w:rPr>
        <w:t>15,000 ₪ קנס</w:t>
      </w:r>
      <w:r>
        <w:rPr>
          <w:rtl/>
          <w:lang w:eastAsia="he-IL"/>
        </w:rPr>
        <w:t xml:space="preserve">, או 150 ימי מאסר תמורתו. </w:t>
      </w:r>
    </w:p>
    <w:p w14:paraId="68F52910" w14:textId="77777777" w:rsidR="00813463" w:rsidRDefault="00813463" w:rsidP="00813463">
      <w:pPr>
        <w:snapToGrid w:val="0"/>
        <w:spacing w:before="60" w:line="360" w:lineRule="auto"/>
        <w:ind w:left="851"/>
        <w:jc w:val="both"/>
        <w:rPr>
          <w:sz w:val="20"/>
          <w:lang w:eastAsia="he-IL"/>
        </w:rPr>
      </w:pPr>
      <w:r>
        <w:rPr>
          <w:sz w:val="20"/>
          <w:rtl/>
          <w:lang w:eastAsia="he-IL"/>
        </w:rPr>
        <w:t>הקנס ישולם ב-15 תשלומים שווים ורצופים, החל מיום 1.8.22 וכל 1 בחודש שלאחריו.</w:t>
      </w:r>
    </w:p>
    <w:p w14:paraId="203526D4" w14:textId="77777777" w:rsidR="00813463" w:rsidRDefault="00813463" w:rsidP="00813463">
      <w:pPr>
        <w:snapToGrid w:val="0"/>
        <w:spacing w:before="60" w:line="360" w:lineRule="auto"/>
        <w:ind w:left="851"/>
        <w:jc w:val="both"/>
        <w:rPr>
          <w:sz w:val="20"/>
          <w:lang w:eastAsia="he-IL"/>
        </w:rPr>
      </w:pPr>
      <w:r>
        <w:rPr>
          <w:sz w:val="20"/>
          <w:rtl/>
          <w:lang w:eastAsia="he-IL"/>
        </w:rPr>
        <w:t>אם לא יבוצע תשלום במועדו - תעמוד כל יתרת הקנס לפירעון מיידי.</w:t>
      </w:r>
    </w:p>
    <w:p w14:paraId="321F4897" w14:textId="77777777" w:rsidR="00813463" w:rsidRDefault="00813463" w:rsidP="00813463">
      <w:pPr>
        <w:snapToGrid w:val="0"/>
        <w:spacing w:before="60" w:line="360" w:lineRule="auto"/>
        <w:ind w:left="851"/>
        <w:jc w:val="both"/>
        <w:rPr>
          <w:sz w:val="20"/>
          <w:lang w:eastAsia="he-IL"/>
        </w:rPr>
      </w:pPr>
      <w:r>
        <w:rPr>
          <w:sz w:val="20"/>
          <w:u w:val="single"/>
          <w:rtl/>
          <w:lang w:eastAsia="he-IL"/>
        </w:rPr>
        <w:t>ניתן לשלם את הקנס באחת הדרכים הבאות</w:t>
      </w:r>
      <w:r>
        <w:rPr>
          <w:sz w:val="20"/>
          <w:u w:val="single"/>
          <w:lang w:eastAsia="he-IL"/>
        </w:rPr>
        <w:t>:</w:t>
      </w:r>
    </w:p>
    <w:p w14:paraId="75309DD2" w14:textId="77777777" w:rsidR="00813463" w:rsidRDefault="00813463" w:rsidP="00813463">
      <w:pPr>
        <w:numPr>
          <w:ilvl w:val="0"/>
          <w:numId w:val="4"/>
        </w:numPr>
        <w:tabs>
          <w:tab w:val="left" w:pos="368"/>
        </w:tabs>
        <w:snapToGrid w:val="0"/>
        <w:spacing w:before="60" w:line="360" w:lineRule="auto"/>
        <w:ind w:left="1211"/>
        <w:jc w:val="both"/>
        <w:rPr>
          <w:sz w:val="20"/>
          <w:rtl/>
          <w:lang w:eastAsia="he-IL"/>
        </w:rPr>
      </w:pPr>
      <w:r>
        <w:rPr>
          <w:sz w:val="20"/>
          <w:rtl/>
          <w:lang w:eastAsia="he-IL"/>
        </w:rPr>
        <w:t>בכרטיס</w:t>
      </w:r>
      <w:r>
        <w:rPr>
          <w:rFonts w:hint="cs"/>
          <w:sz w:val="20"/>
          <w:lang w:eastAsia="he-IL"/>
        </w:rPr>
        <w:t xml:space="preserve"> </w:t>
      </w:r>
      <w:r>
        <w:rPr>
          <w:sz w:val="20"/>
          <w:rtl/>
          <w:lang w:eastAsia="he-IL"/>
        </w:rPr>
        <w:t>אשראי - באתר</w:t>
      </w:r>
      <w:r>
        <w:rPr>
          <w:rFonts w:hint="cs"/>
          <w:sz w:val="20"/>
          <w:lang w:eastAsia="he-IL"/>
        </w:rPr>
        <w:t xml:space="preserve"> </w:t>
      </w:r>
      <w:r>
        <w:rPr>
          <w:sz w:val="20"/>
          <w:rtl/>
          <w:lang w:eastAsia="he-IL"/>
        </w:rPr>
        <w:t>המקוון</w:t>
      </w:r>
      <w:r>
        <w:rPr>
          <w:rFonts w:hint="cs"/>
          <w:sz w:val="20"/>
          <w:lang w:eastAsia="he-IL"/>
        </w:rPr>
        <w:t xml:space="preserve"> </w:t>
      </w:r>
      <w:r>
        <w:rPr>
          <w:sz w:val="20"/>
          <w:rtl/>
          <w:lang w:eastAsia="he-IL"/>
        </w:rPr>
        <w:t>של</w:t>
      </w:r>
      <w:r>
        <w:rPr>
          <w:rFonts w:hint="cs"/>
          <w:sz w:val="20"/>
          <w:lang w:eastAsia="he-IL"/>
        </w:rPr>
        <w:t xml:space="preserve"> </w:t>
      </w:r>
      <w:r>
        <w:rPr>
          <w:sz w:val="20"/>
          <w:rtl/>
          <w:lang w:eastAsia="he-IL"/>
        </w:rPr>
        <w:t>רשות</w:t>
      </w:r>
      <w:r>
        <w:rPr>
          <w:rFonts w:hint="cs"/>
          <w:sz w:val="20"/>
          <w:lang w:eastAsia="he-IL"/>
        </w:rPr>
        <w:t xml:space="preserve"> </w:t>
      </w:r>
      <w:r>
        <w:rPr>
          <w:sz w:val="20"/>
          <w:rtl/>
          <w:lang w:eastAsia="he-IL"/>
        </w:rPr>
        <w:t>האכיפה</w:t>
      </w:r>
      <w:r>
        <w:rPr>
          <w:rFonts w:hint="cs"/>
          <w:sz w:val="20"/>
          <w:lang w:eastAsia="he-IL"/>
        </w:rPr>
        <w:t xml:space="preserve"> </w:t>
      </w:r>
      <w:r>
        <w:rPr>
          <w:sz w:val="20"/>
          <w:rtl/>
          <w:lang w:eastAsia="he-IL"/>
        </w:rPr>
        <w:t>והגבייה</w:t>
      </w:r>
      <w:r>
        <w:rPr>
          <w:sz w:val="20"/>
          <w:lang w:eastAsia="he-IL"/>
        </w:rPr>
        <w:t xml:space="preserve">www.eca.gov.il </w:t>
      </w:r>
    </w:p>
    <w:p w14:paraId="652380BD" w14:textId="77777777" w:rsidR="00813463" w:rsidRDefault="00813463" w:rsidP="00813463">
      <w:pPr>
        <w:numPr>
          <w:ilvl w:val="0"/>
          <w:numId w:val="4"/>
        </w:numPr>
        <w:tabs>
          <w:tab w:val="left" w:pos="368"/>
        </w:tabs>
        <w:snapToGrid w:val="0"/>
        <w:spacing w:before="60" w:line="360" w:lineRule="auto"/>
        <w:ind w:left="1211"/>
        <w:jc w:val="both"/>
        <w:rPr>
          <w:sz w:val="20"/>
          <w:lang w:eastAsia="he-IL"/>
        </w:rPr>
      </w:pPr>
      <w:r>
        <w:rPr>
          <w:sz w:val="20"/>
          <w:rtl/>
          <w:lang w:eastAsia="he-IL"/>
        </w:rPr>
        <w:t>מוקד</w:t>
      </w:r>
      <w:r>
        <w:rPr>
          <w:rFonts w:hint="cs"/>
          <w:sz w:val="20"/>
          <w:lang w:eastAsia="he-IL"/>
        </w:rPr>
        <w:t xml:space="preserve"> </w:t>
      </w:r>
      <w:r>
        <w:rPr>
          <w:sz w:val="20"/>
          <w:rtl/>
          <w:lang w:eastAsia="he-IL"/>
        </w:rPr>
        <w:t>שירות</w:t>
      </w:r>
      <w:r>
        <w:rPr>
          <w:rFonts w:hint="cs"/>
          <w:sz w:val="20"/>
          <w:lang w:eastAsia="he-IL"/>
        </w:rPr>
        <w:t xml:space="preserve"> </w:t>
      </w:r>
      <w:r>
        <w:rPr>
          <w:sz w:val="20"/>
          <w:rtl/>
          <w:lang w:eastAsia="he-IL"/>
        </w:rPr>
        <w:t>טלפוני</w:t>
      </w:r>
      <w:r>
        <w:rPr>
          <w:rFonts w:hint="cs"/>
          <w:sz w:val="20"/>
          <w:lang w:eastAsia="he-IL"/>
        </w:rPr>
        <w:t xml:space="preserve"> </w:t>
      </w:r>
      <w:r>
        <w:rPr>
          <w:sz w:val="20"/>
          <w:rtl/>
          <w:lang w:eastAsia="he-IL"/>
        </w:rPr>
        <w:t>(בשרות</w:t>
      </w:r>
      <w:r>
        <w:rPr>
          <w:rFonts w:hint="cs"/>
          <w:sz w:val="20"/>
          <w:lang w:eastAsia="he-IL"/>
        </w:rPr>
        <w:t xml:space="preserve"> </w:t>
      </w:r>
      <w:r>
        <w:rPr>
          <w:sz w:val="20"/>
          <w:rtl/>
          <w:lang w:eastAsia="he-IL"/>
        </w:rPr>
        <w:t>עצמי) מרכז</w:t>
      </w:r>
      <w:r>
        <w:rPr>
          <w:rFonts w:hint="cs"/>
          <w:sz w:val="20"/>
          <w:lang w:eastAsia="he-IL"/>
        </w:rPr>
        <w:t xml:space="preserve"> </w:t>
      </w:r>
      <w:r>
        <w:rPr>
          <w:sz w:val="20"/>
          <w:rtl/>
          <w:lang w:eastAsia="he-IL"/>
        </w:rPr>
        <w:t>גבייה - במספר *</w:t>
      </w:r>
      <w:r>
        <w:rPr>
          <w:sz w:val="20"/>
          <w:lang w:eastAsia="he-IL"/>
        </w:rPr>
        <w:t>35592</w:t>
      </w:r>
      <w:r>
        <w:rPr>
          <w:sz w:val="20"/>
          <w:rtl/>
          <w:lang w:eastAsia="he-IL"/>
        </w:rPr>
        <w:t xml:space="preserve"> או </w:t>
      </w:r>
      <w:r>
        <w:rPr>
          <w:sz w:val="20"/>
          <w:lang w:eastAsia="he-IL"/>
        </w:rPr>
        <w:t>073-2055000</w:t>
      </w:r>
    </w:p>
    <w:p w14:paraId="1E0ED1D1" w14:textId="77777777" w:rsidR="00813463" w:rsidRDefault="00813463" w:rsidP="00813463">
      <w:pPr>
        <w:numPr>
          <w:ilvl w:val="0"/>
          <w:numId w:val="4"/>
        </w:numPr>
        <w:tabs>
          <w:tab w:val="left" w:pos="368"/>
        </w:tabs>
        <w:snapToGrid w:val="0"/>
        <w:spacing w:before="60" w:line="360" w:lineRule="auto"/>
        <w:ind w:left="1211"/>
        <w:jc w:val="both"/>
        <w:rPr>
          <w:sz w:val="20"/>
          <w:lang w:eastAsia="he-IL"/>
        </w:rPr>
      </w:pPr>
      <w:r>
        <w:rPr>
          <w:sz w:val="20"/>
          <w:rtl/>
          <w:lang w:eastAsia="he-IL"/>
        </w:rPr>
        <w:t>במזומן</w:t>
      </w:r>
      <w:r>
        <w:rPr>
          <w:rFonts w:hint="cs"/>
          <w:sz w:val="20"/>
          <w:lang w:eastAsia="he-IL"/>
        </w:rPr>
        <w:t xml:space="preserve"> </w:t>
      </w:r>
      <w:r>
        <w:rPr>
          <w:sz w:val="20"/>
          <w:rtl/>
          <w:lang w:eastAsia="he-IL"/>
        </w:rPr>
        <w:t>בכל</w:t>
      </w:r>
      <w:r>
        <w:rPr>
          <w:rFonts w:hint="cs"/>
          <w:sz w:val="20"/>
          <w:lang w:eastAsia="he-IL"/>
        </w:rPr>
        <w:t xml:space="preserve"> </w:t>
      </w:r>
      <w:r>
        <w:rPr>
          <w:sz w:val="20"/>
          <w:rtl/>
          <w:lang w:eastAsia="he-IL"/>
        </w:rPr>
        <w:t>סניף</w:t>
      </w:r>
      <w:r>
        <w:rPr>
          <w:rFonts w:hint="cs"/>
          <w:sz w:val="20"/>
          <w:lang w:eastAsia="he-IL"/>
        </w:rPr>
        <w:t xml:space="preserve"> </w:t>
      </w:r>
      <w:r>
        <w:rPr>
          <w:sz w:val="20"/>
          <w:rtl/>
          <w:lang w:eastAsia="he-IL"/>
        </w:rPr>
        <w:t>של</w:t>
      </w:r>
      <w:r>
        <w:rPr>
          <w:rFonts w:hint="cs"/>
          <w:sz w:val="20"/>
          <w:lang w:eastAsia="he-IL"/>
        </w:rPr>
        <w:t xml:space="preserve"> </w:t>
      </w:r>
      <w:r>
        <w:rPr>
          <w:sz w:val="20"/>
          <w:rtl/>
          <w:lang w:eastAsia="he-IL"/>
        </w:rPr>
        <w:t>בנק</w:t>
      </w:r>
      <w:r>
        <w:rPr>
          <w:rFonts w:hint="cs"/>
          <w:sz w:val="20"/>
          <w:lang w:eastAsia="he-IL"/>
        </w:rPr>
        <w:t xml:space="preserve"> </w:t>
      </w:r>
      <w:r>
        <w:rPr>
          <w:sz w:val="20"/>
          <w:rtl/>
          <w:lang w:eastAsia="he-IL"/>
        </w:rPr>
        <w:t>הדואר - בהצגת</w:t>
      </w:r>
      <w:r>
        <w:rPr>
          <w:rFonts w:hint="cs"/>
          <w:sz w:val="20"/>
          <w:lang w:eastAsia="he-IL"/>
        </w:rPr>
        <w:t xml:space="preserve"> </w:t>
      </w:r>
      <w:r>
        <w:rPr>
          <w:sz w:val="20"/>
          <w:rtl/>
          <w:lang w:eastAsia="he-IL"/>
        </w:rPr>
        <w:t>תעודת</w:t>
      </w:r>
      <w:r>
        <w:rPr>
          <w:rFonts w:hint="cs"/>
          <w:sz w:val="20"/>
          <w:lang w:eastAsia="he-IL"/>
        </w:rPr>
        <w:t xml:space="preserve"> </w:t>
      </w:r>
      <w:r>
        <w:rPr>
          <w:sz w:val="20"/>
          <w:rtl/>
          <w:lang w:eastAsia="he-IL"/>
        </w:rPr>
        <w:t>זהות</w:t>
      </w:r>
      <w:r>
        <w:rPr>
          <w:rFonts w:hint="cs"/>
          <w:sz w:val="20"/>
          <w:lang w:eastAsia="he-IL"/>
        </w:rPr>
        <w:t xml:space="preserve"> </w:t>
      </w:r>
      <w:r>
        <w:rPr>
          <w:sz w:val="20"/>
          <w:rtl/>
          <w:lang w:eastAsia="he-IL"/>
        </w:rPr>
        <w:t>בלבד (אין</w:t>
      </w:r>
      <w:r>
        <w:rPr>
          <w:rFonts w:hint="cs"/>
          <w:sz w:val="20"/>
          <w:lang w:eastAsia="he-IL"/>
        </w:rPr>
        <w:t xml:space="preserve"> </w:t>
      </w:r>
      <w:r>
        <w:rPr>
          <w:sz w:val="20"/>
          <w:rtl/>
          <w:lang w:eastAsia="he-IL"/>
        </w:rPr>
        <w:t>צורך</w:t>
      </w:r>
      <w:r>
        <w:rPr>
          <w:rFonts w:hint="cs"/>
          <w:sz w:val="20"/>
          <w:lang w:eastAsia="he-IL"/>
        </w:rPr>
        <w:t xml:space="preserve"> </w:t>
      </w:r>
      <w:r>
        <w:rPr>
          <w:sz w:val="20"/>
          <w:rtl/>
          <w:lang w:eastAsia="he-IL"/>
        </w:rPr>
        <w:t>בהצגת</w:t>
      </w:r>
      <w:r>
        <w:rPr>
          <w:rFonts w:hint="cs"/>
          <w:sz w:val="20"/>
          <w:lang w:eastAsia="he-IL"/>
        </w:rPr>
        <w:t xml:space="preserve"> </w:t>
      </w:r>
      <w:r>
        <w:rPr>
          <w:sz w:val="20"/>
          <w:rtl/>
          <w:lang w:eastAsia="he-IL"/>
        </w:rPr>
        <w:t>בשוברי</w:t>
      </w:r>
      <w:r>
        <w:rPr>
          <w:rFonts w:hint="cs"/>
          <w:sz w:val="20"/>
          <w:lang w:eastAsia="he-IL"/>
        </w:rPr>
        <w:t xml:space="preserve"> </w:t>
      </w:r>
      <w:r>
        <w:rPr>
          <w:sz w:val="20"/>
          <w:rtl/>
          <w:lang w:eastAsia="he-IL"/>
        </w:rPr>
        <w:t>תשלום).</w:t>
      </w:r>
    </w:p>
    <w:p w14:paraId="3993FBC5" w14:textId="77777777" w:rsidR="00813463" w:rsidRDefault="00813463" w:rsidP="00813463">
      <w:pPr>
        <w:snapToGrid w:val="0"/>
        <w:spacing w:before="60" w:line="360" w:lineRule="auto"/>
        <w:ind w:left="851"/>
        <w:jc w:val="both"/>
        <w:rPr>
          <w:b/>
          <w:bCs/>
          <w:sz w:val="20"/>
          <w:lang w:eastAsia="he-IL"/>
        </w:rPr>
      </w:pPr>
      <w:r>
        <w:rPr>
          <w:b/>
          <w:bCs/>
          <w:sz w:val="20"/>
          <w:rtl/>
          <w:lang w:eastAsia="he-IL"/>
        </w:rPr>
        <w:t>לא תשמע טענה שהנאשם לא קיבל שוברי תשלום בדואר;</w:t>
      </w:r>
    </w:p>
    <w:p w14:paraId="7D2E7AEC" w14:textId="77777777" w:rsidR="00813463" w:rsidRDefault="00813463" w:rsidP="00813463">
      <w:pPr>
        <w:numPr>
          <w:ilvl w:val="1"/>
          <w:numId w:val="2"/>
        </w:numPr>
        <w:snapToGrid w:val="0"/>
        <w:spacing w:before="240" w:line="360" w:lineRule="auto"/>
        <w:ind w:left="851" w:hanging="397"/>
        <w:jc w:val="both"/>
        <w:rPr>
          <w:sz w:val="20"/>
          <w:u w:val="single"/>
          <w:rtl/>
          <w:lang w:eastAsia="he-IL"/>
        </w:rPr>
      </w:pPr>
      <w:r>
        <w:rPr>
          <w:b/>
          <w:bCs/>
          <w:sz w:val="20"/>
          <w:rtl/>
          <w:lang w:eastAsia="he-IL"/>
        </w:rPr>
        <w:t>11 חודשי פסילה בפועל מקבל או מהחזיק רישיון נהיגה, אשר תחל מתום ריצוי מאסרו</w:t>
      </w:r>
      <w:r>
        <w:rPr>
          <w:sz w:val="20"/>
          <w:rtl/>
          <w:lang w:eastAsia="he-IL"/>
        </w:rPr>
        <w:t>;</w:t>
      </w:r>
    </w:p>
    <w:p w14:paraId="7B2E9F13" w14:textId="77777777" w:rsidR="00813463" w:rsidRDefault="00813463" w:rsidP="00813463">
      <w:pPr>
        <w:numPr>
          <w:ilvl w:val="1"/>
          <w:numId w:val="2"/>
        </w:numPr>
        <w:snapToGrid w:val="0"/>
        <w:spacing w:before="240" w:line="360" w:lineRule="auto"/>
        <w:ind w:left="851" w:hanging="397"/>
        <w:jc w:val="both"/>
        <w:rPr>
          <w:sz w:val="20"/>
          <w:u w:val="single"/>
          <w:lang w:eastAsia="he-IL"/>
        </w:rPr>
      </w:pPr>
      <w:r>
        <w:rPr>
          <w:rtl/>
          <w:lang w:eastAsia="he-IL"/>
        </w:rPr>
        <w:t>11</w:t>
      </w:r>
      <w:r>
        <w:rPr>
          <w:sz w:val="20"/>
          <w:rtl/>
          <w:lang w:eastAsia="he-IL"/>
        </w:rPr>
        <w:t xml:space="preserve"> חודשי פסילה מקבל או מהחזיק רישיון נהיגה על תנאי. התנאי הוא שבמשך 3 שנים מתום ריצוי מאסרו לא יעבור עבירה </w:t>
      </w:r>
      <w:r>
        <w:rPr>
          <w:rtl/>
          <w:lang w:eastAsia="he-IL"/>
        </w:rPr>
        <w:t xml:space="preserve">על </w:t>
      </w:r>
      <w:r>
        <w:rPr>
          <w:rFonts w:ascii="Miriam" w:hAnsi="Miriam" w:cs="Miriam"/>
          <w:b/>
          <w:bCs/>
          <w:sz w:val="22"/>
          <w:szCs w:val="22"/>
          <w:rtl/>
          <w:lang w:eastAsia="he-IL"/>
        </w:rPr>
        <w:t>פקודת הסמים</w:t>
      </w:r>
      <w:r>
        <w:rPr>
          <w:rtl/>
          <w:lang w:eastAsia="he-IL"/>
        </w:rPr>
        <w:t>;</w:t>
      </w:r>
    </w:p>
    <w:p w14:paraId="4699991C" w14:textId="77777777" w:rsidR="00813463" w:rsidRDefault="008D4222" w:rsidP="00813463">
      <w:pPr>
        <w:numPr>
          <w:ilvl w:val="1"/>
          <w:numId w:val="2"/>
        </w:numPr>
        <w:snapToGrid w:val="0"/>
        <w:spacing w:before="240" w:line="360" w:lineRule="auto"/>
        <w:ind w:left="851" w:hanging="397"/>
        <w:jc w:val="both"/>
        <w:rPr>
          <w:sz w:val="20"/>
          <w:u w:val="single"/>
          <w:lang w:eastAsia="he-IL"/>
        </w:rPr>
      </w:pPr>
      <w:r w:rsidRPr="008D4222">
        <w:rPr>
          <w:color w:val="FFFFFF"/>
          <w:sz w:val="2"/>
          <w:szCs w:val="2"/>
          <w:rtl/>
          <w:lang w:eastAsia="he-IL"/>
        </w:rPr>
        <w:t>5129371</w:t>
      </w:r>
      <w:r w:rsidR="00813463">
        <w:rPr>
          <w:sz w:val="20"/>
          <w:rtl/>
          <w:lang w:eastAsia="he-IL"/>
        </w:rPr>
        <w:t>אני מכריזה על הנאשם כסוחר סמים ומורה על חילוט סכומי הכסף שנתפסו, בסך 41,330 ₪ ו-200$.</w:t>
      </w:r>
    </w:p>
    <w:p w14:paraId="0D938EBB" w14:textId="77777777" w:rsidR="00813463" w:rsidRPr="008D4222" w:rsidRDefault="008D4222" w:rsidP="00813463">
      <w:pPr>
        <w:rPr>
          <w:rFonts w:ascii="Arial" w:hAnsi="Arial"/>
          <w:b/>
          <w:bCs/>
          <w:color w:val="FFFFFF"/>
          <w:sz w:val="2"/>
          <w:szCs w:val="2"/>
        </w:rPr>
      </w:pPr>
      <w:r w:rsidRPr="008D4222">
        <w:rPr>
          <w:rFonts w:ascii="Arial" w:hAnsi="Arial"/>
          <w:b/>
          <w:bCs/>
          <w:color w:val="FFFFFF"/>
          <w:sz w:val="2"/>
          <w:szCs w:val="2"/>
          <w:rtl/>
        </w:rPr>
        <w:t>54678313</w:t>
      </w:r>
    </w:p>
    <w:p w14:paraId="70D76151" w14:textId="77777777" w:rsidR="00813463" w:rsidRDefault="008D4222" w:rsidP="00813463">
      <w:pPr>
        <w:rPr>
          <w:rFonts w:ascii="Arial" w:hAnsi="Arial"/>
          <w:b/>
          <w:bCs/>
          <w:sz w:val="26"/>
          <w:szCs w:val="26"/>
        </w:rPr>
      </w:pPr>
      <w:bookmarkStart w:id="9" w:name="Nitan"/>
      <w:r>
        <w:rPr>
          <w:rFonts w:ascii="Arial" w:hAnsi="Arial"/>
          <w:b/>
          <w:bCs/>
          <w:sz w:val="26"/>
          <w:szCs w:val="26"/>
          <w:rtl/>
        </w:rPr>
        <w:t xml:space="preserve">ניתן והודע היום, כ"ח בסיוון התשפ"ב, 27 ביוני 2022, במעמד הנוכחים. </w:t>
      </w:r>
      <w:bookmarkEnd w:id="9"/>
    </w:p>
    <w:p w14:paraId="11BD41E9" w14:textId="77777777" w:rsidR="00813463" w:rsidRDefault="00813463" w:rsidP="008D4222">
      <w:pPr>
        <w:jc w:val="center"/>
      </w:pPr>
      <w:r>
        <w:rPr>
          <w:rFonts w:ascii="Arial" w:hAnsi="Arial"/>
          <w:b/>
          <w:bCs/>
          <w:sz w:val="26"/>
          <w:szCs w:val="26"/>
          <w:rtl/>
        </w:rPr>
        <w:t xml:space="preserve">   </w:t>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p>
    <w:p w14:paraId="24964743" w14:textId="77777777" w:rsidR="008D4222" w:rsidRDefault="008D4222" w:rsidP="008D4222">
      <w:pPr>
        <w:rPr>
          <w:rtl/>
        </w:rPr>
      </w:pPr>
    </w:p>
    <w:p w14:paraId="343890FC" w14:textId="77777777" w:rsidR="008D4222" w:rsidRDefault="008D4222" w:rsidP="008D4222">
      <w:pPr>
        <w:jc w:val="center"/>
        <w:rPr>
          <w:color w:val="0000FF"/>
          <w:u w:val="single"/>
        </w:rPr>
      </w:pPr>
      <w:hyperlink r:id="rId79" w:history="1">
        <w:r>
          <w:rPr>
            <w:color w:val="0000FF"/>
            <w:u w:val="single"/>
            <w:rtl/>
          </w:rPr>
          <w:t>בעניין עריכה ושינויים במסמכי פסיקה, חקיקה ועוד באתר נבו – הקש כאן</w:t>
        </w:r>
      </w:hyperlink>
    </w:p>
    <w:p w14:paraId="791EDD7F" w14:textId="77777777" w:rsidR="00BB19B9" w:rsidRPr="00BB19B9" w:rsidRDefault="00BB19B9" w:rsidP="00BB19B9">
      <w:pPr>
        <w:keepNext/>
        <w:rPr>
          <w:rFonts w:ascii="David" w:hAnsi="David"/>
          <w:color w:val="000000"/>
          <w:sz w:val="22"/>
          <w:szCs w:val="22"/>
          <w:rtl/>
        </w:rPr>
      </w:pPr>
    </w:p>
    <w:p w14:paraId="30245C0E" w14:textId="77777777" w:rsidR="00BB19B9" w:rsidRPr="00BB19B9" w:rsidRDefault="00BB19B9" w:rsidP="00BB19B9">
      <w:pPr>
        <w:keepNext/>
        <w:rPr>
          <w:rFonts w:ascii="David" w:hAnsi="David"/>
          <w:color w:val="000000"/>
          <w:sz w:val="22"/>
          <w:szCs w:val="22"/>
          <w:rtl/>
        </w:rPr>
      </w:pPr>
      <w:r w:rsidRPr="00BB19B9">
        <w:rPr>
          <w:rFonts w:ascii="David" w:hAnsi="David"/>
          <w:color w:val="000000"/>
          <w:sz w:val="22"/>
          <w:szCs w:val="22"/>
          <w:rtl/>
        </w:rPr>
        <w:t>זהר דולב להמן 54678313-/</w:t>
      </w:r>
    </w:p>
    <w:p w14:paraId="7DEC55EE" w14:textId="77777777" w:rsidR="008D4222" w:rsidRPr="008D4222" w:rsidRDefault="00BB19B9" w:rsidP="00BB19B9">
      <w:pPr>
        <w:rPr>
          <w:color w:val="0000FF"/>
          <w:u w:val="single"/>
        </w:rPr>
      </w:pPr>
      <w:r w:rsidRPr="00BB19B9">
        <w:rPr>
          <w:color w:val="000000"/>
          <w:u w:val="single"/>
          <w:rtl/>
        </w:rPr>
        <w:t>נוסח מסמך זה כפוף לשינויי ניסוח ועריכה</w:t>
      </w:r>
    </w:p>
    <w:sectPr w:rsidR="008D4222" w:rsidRPr="008D4222" w:rsidSect="00BB19B9">
      <w:headerReference w:type="even" r:id="rId80"/>
      <w:headerReference w:type="default" r:id="rId81"/>
      <w:footerReference w:type="even" r:id="rId82"/>
      <w:footerReference w:type="default" r:id="rId8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433AF" w14:textId="77777777" w:rsidR="00BE1E51" w:rsidRDefault="00BE1E51" w:rsidP="00104EDF">
      <w:r>
        <w:separator/>
      </w:r>
    </w:p>
  </w:endnote>
  <w:endnote w:type="continuationSeparator" w:id="0">
    <w:p w14:paraId="1CD45253" w14:textId="77777777" w:rsidR="00BE1E51" w:rsidRDefault="00BE1E51" w:rsidP="00104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2AF2B" w14:textId="77777777" w:rsidR="00BB19B9" w:rsidRDefault="00BB19B9" w:rsidP="00BB19B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8070652" w14:textId="77777777" w:rsidR="00F11FD9" w:rsidRPr="00BB19B9" w:rsidRDefault="00BB19B9" w:rsidP="00BB19B9">
    <w:pPr>
      <w:pStyle w:val="a5"/>
      <w:pBdr>
        <w:top w:val="single" w:sz="4" w:space="1" w:color="auto"/>
        <w:between w:val="single" w:sz="4" w:space="0" w:color="auto"/>
      </w:pBdr>
      <w:spacing w:after="60"/>
      <w:jc w:val="center"/>
      <w:rPr>
        <w:rFonts w:ascii="FrankRuehl" w:hAnsi="FrankRuehl" w:cs="FrankRuehl"/>
        <w:color w:val="000000"/>
      </w:rPr>
    </w:pPr>
    <w:r w:rsidRPr="00BB19B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74339" w14:textId="77777777" w:rsidR="00BB19B9" w:rsidRDefault="00BB19B9" w:rsidP="00BB19B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93A16">
      <w:rPr>
        <w:rFonts w:ascii="FrankRuehl" w:hAnsi="FrankRuehl" w:cs="FrankRuehl"/>
        <w:noProof/>
        <w:rtl/>
      </w:rPr>
      <w:t>1</w:t>
    </w:r>
    <w:r>
      <w:rPr>
        <w:rFonts w:ascii="FrankRuehl" w:hAnsi="FrankRuehl" w:cs="FrankRuehl"/>
        <w:rtl/>
      </w:rPr>
      <w:fldChar w:fldCharType="end"/>
    </w:r>
  </w:p>
  <w:p w14:paraId="483AD9AB" w14:textId="77777777" w:rsidR="00F11FD9" w:rsidRPr="00BB19B9" w:rsidRDefault="00BB19B9" w:rsidP="00BB19B9">
    <w:pPr>
      <w:pStyle w:val="a5"/>
      <w:pBdr>
        <w:top w:val="single" w:sz="4" w:space="1" w:color="auto"/>
        <w:between w:val="single" w:sz="4" w:space="0" w:color="auto"/>
      </w:pBdr>
      <w:spacing w:after="60"/>
      <w:jc w:val="center"/>
      <w:rPr>
        <w:rFonts w:ascii="FrankRuehl" w:hAnsi="FrankRuehl" w:cs="FrankRuehl"/>
        <w:color w:val="000000"/>
      </w:rPr>
    </w:pPr>
    <w:r w:rsidRPr="00BB19B9">
      <w:rPr>
        <w:rFonts w:ascii="FrankRuehl" w:hAnsi="FrankRuehl" w:cs="FrankRuehl"/>
        <w:color w:val="000000"/>
      </w:rPr>
      <w:pict w14:anchorId="741236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16B39" w14:textId="77777777" w:rsidR="00BE1E51" w:rsidRDefault="00BE1E51" w:rsidP="00104EDF">
      <w:r>
        <w:separator/>
      </w:r>
    </w:p>
  </w:footnote>
  <w:footnote w:type="continuationSeparator" w:id="0">
    <w:p w14:paraId="55C9E8A2" w14:textId="77777777" w:rsidR="00BE1E51" w:rsidRDefault="00BE1E51" w:rsidP="00104E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890DA" w14:textId="77777777" w:rsidR="008D4222" w:rsidRPr="00BB19B9" w:rsidRDefault="00BB19B9" w:rsidP="00BB19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21127-08-21</w:t>
    </w:r>
    <w:r>
      <w:rPr>
        <w:rFonts w:ascii="David" w:hAnsi="David"/>
        <w:color w:val="000000"/>
        <w:sz w:val="22"/>
        <w:szCs w:val="22"/>
        <w:rtl/>
      </w:rPr>
      <w:tab/>
      <w:t xml:space="preserve"> מדינת ישראל נ' יוסף בן חמו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ADED4" w14:textId="77777777" w:rsidR="008D4222" w:rsidRPr="00BB19B9" w:rsidRDefault="00BB19B9" w:rsidP="00BB19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21127-08-21</w:t>
    </w:r>
    <w:r>
      <w:rPr>
        <w:rFonts w:ascii="David" w:hAnsi="David"/>
        <w:color w:val="000000"/>
        <w:sz w:val="22"/>
        <w:szCs w:val="22"/>
        <w:rtl/>
      </w:rPr>
      <w:tab/>
      <w:t xml:space="preserve"> מדינת ישראל נ' יוסף בן חמו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1376C"/>
    <w:multiLevelType w:val="hybridMultilevel"/>
    <w:tmpl w:val="D8B8C080"/>
    <w:lvl w:ilvl="0" w:tplc="676C1620">
      <w:start w:val="1"/>
      <w:numFmt w:val="decimal"/>
      <w:lvlText w:val="%1."/>
      <w:lvlJc w:val="left"/>
      <w:pPr>
        <w:ind w:left="360" w:hanging="360"/>
      </w:pPr>
      <w:rPr>
        <w:rFonts w:ascii="David" w:hAnsi="David" w:cs="David" w:hint="default"/>
        <w:b w:val="0"/>
        <w:bCs w:val="0"/>
      </w:rPr>
    </w:lvl>
    <w:lvl w:ilvl="1" w:tplc="75B05EE0">
      <w:start w:val="1"/>
      <w:numFmt w:val="hebrew1"/>
      <w:lvlText w:val="%2."/>
      <w:lvlJc w:val="center"/>
      <w:pPr>
        <w:ind w:left="1080" w:hanging="360"/>
      </w:pPr>
      <w:rPr>
        <w:rFonts w:ascii="David" w:hAnsi="David" w:cs="David" w:hint="default"/>
      </w:rPr>
    </w:lvl>
    <w:lvl w:ilvl="2" w:tplc="A0240210">
      <w:start w:val="1"/>
      <w:numFmt w:val="decimal"/>
      <w:lvlText w:val="(%3)"/>
      <w:lvlJc w:val="left"/>
      <w:pPr>
        <w:ind w:left="1800" w:hanging="180"/>
      </w:pPr>
      <w:rPr>
        <w:rFonts w:ascii="David" w:hAnsi="David" w:cs="David" w:hint="default"/>
        <w:bCs w:val="0"/>
        <w:iCs w:val="0"/>
        <w:sz w:val="22"/>
        <w:szCs w:val="24"/>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 w15:restartNumberingAfterBreak="0">
    <w:nsid w:val="150B7ECE"/>
    <w:multiLevelType w:val="hybridMultilevel"/>
    <w:tmpl w:val="02B67A7A"/>
    <w:lvl w:ilvl="0" w:tplc="04090001">
      <w:start w:val="1"/>
      <w:numFmt w:val="bullet"/>
      <w:lvlText w:val=""/>
      <w:lvlJc w:val="left"/>
      <w:pPr>
        <w:ind w:left="1789" w:hanging="360"/>
      </w:pPr>
      <w:rPr>
        <w:rFonts w:ascii="Symbol" w:hAnsi="Symbol" w:hint="default"/>
      </w:rPr>
    </w:lvl>
    <w:lvl w:ilvl="1" w:tplc="04090003">
      <w:start w:val="1"/>
      <w:numFmt w:val="bullet"/>
      <w:lvlText w:val="o"/>
      <w:lvlJc w:val="left"/>
      <w:pPr>
        <w:ind w:left="2509" w:hanging="360"/>
      </w:pPr>
      <w:rPr>
        <w:rFonts w:ascii="Courier New" w:hAnsi="Courier New" w:cs="Courier New" w:hint="default"/>
      </w:rPr>
    </w:lvl>
    <w:lvl w:ilvl="2" w:tplc="04090005">
      <w:start w:val="1"/>
      <w:numFmt w:val="bullet"/>
      <w:lvlText w:val=""/>
      <w:lvlJc w:val="left"/>
      <w:pPr>
        <w:ind w:left="3229" w:hanging="360"/>
      </w:pPr>
      <w:rPr>
        <w:rFonts w:ascii="Wingdings" w:hAnsi="Wingdings" w:hint="default"/>
      </w:rPr>
    </w:lvl>
    <w:lvl w:ilvl="3" w:tplc="04090001">
      <w:start w:val="1"/>
      <w:numFmt w:val="bullet"/>
      <w:lvlText w:val=""/>
      <w:lvlJc w:val="left"/>
      <w:pPr>
        <w:ind w:left="3949" w:hanging="360"/>
      </w:pPr>
      <w:rPr>
        <w:rFonts w:ascii="Symbol" w:hAnsi="Symbol" w:hint="default"/>
      </w:rPr>
    </w:lvl>
    <w:lvl w:ilvl="4" w:tplc="04090003">
      <w:start w:val="1"/>
      <w:numFmt w:val="bullet"/>
      <w:lvlText w:val="o"/>
      <w:lvlJc w:val="left"/>
      <w:pPr>
        <w:ind w:left="4669" w:hanging="360"/>
      </w:pPr>
      <w:rPr>
        <w:rFonts w:ascii="Courier New" w:hAnsi="Courier New" w:cs="Courier New" w:hint="default"/>
      </w:rPr>
    </w:lvl>
    <w:lvl w:ilvl="5" w:tplc="04090005">
      <w:start w:val="1"/>
      <w:numFmt w:val="bullet"/>
      <w:lvlText w:val=""/>
      <w:lvlJc w:val="left"/>
      <w:pPr>
        <w:ind w:left="5389" w:hanging="360"/>
      </w:pPr>
      <w:rPr>
        <w:rFonts w:ascii="Wingdings" w:hAnsi="Wingdings" w:hint="default"/>
      </w:rPr>
    </w:lvl>
    <w:lvl w:ilvl="6" w:tplc="04090001">
      <w:start w:val="1"/>
      <w:numFmt w:val="bullet"/>
      <w:lvlText w:val=""/>
      <w:lvlJc w:val="left"/>
      <w:pPr>
        <w:ind w:left="6109" w:hanging="360"/>
      </w:pPr>
      <w:rPr>
        <w:rFonts w:ascii="Symbol" w:hAnsi="Symbol" w:hint="default"/>
      </w:rPr>
    </w:lvl>
    <w:lvl w:ilvl="7" w:tplc="04090003">
      <w:start w:val="1"/>
      <w:numFmt w:val="bullet"/>
      <w:lvlText w:val="o"/>
      <w:lvlJc w:val="left"/>
      <w:pPr>
        <w:ind w:left="6829" w:hanging="360"/>
      </w:pPr>
      <w:rPr>
        <w:rFonts w:ascii="Courier New" w:hAnsi="Courier New" w:cs="Courier New" w:hint="default"/>
      </w:rPr>
    </w:lvl>
    <w:lvl w:ilvl="8" w:tplc="04090005">
      <w:start w:val="1"/>
      <w:numFmt w:val="bullet"/>
      <w:lvlText w:val=""/>
      <w:lvlJc w:val="left"/>
      <w:pPr>
        <w:ind w:left="7549" w:hanging="360"/>
      </w:pPr>
      <w:rPr>
        <w:rFonts w:ascii="Wingdings" w:hAnsi="Wingdings" w:hint="default"/>
      </w:rPr>
    </w:lvl>
  </w:abstractNum>
  <w:abstractNum w:abstractNumId="2" w15:restartNumberingAfterBreak="0">
    <w:nsid w:val="6C693E3F"/>
    <w:multiLevelType w:val="hybridMultilevel"/>
    <w:tmpl w:val="D8F48586"/>
    <w:lvl w:ilvl="0" w:tplc="8A960514">
      <w:start w:val="1"/>
      <w:numFmt w:val="decimal"/>
      <w:lvlText w:val="%1."/>
      <w:lvlJc w:val="left"/>
      <w:pPr>
        <w:ind w:left="720" w:hanging="360"/>
      </w:pPr>
      <w:rPr>
        <w:rFonts w:cs="Times New Roman"/>
      </w:rPr>
    </w:lvl>
    <w:lvl w:ilvl="1" w:tplc="D0781124">
      <w:start w:val="1"/>
      <w:numFmt w:val="hebrew1"/>
      <w:lvlText w:val="%2."/>
      <w:lvlJc w:val="center"/>
      <w:pPr>
        <w:ind w:left="1440" w:hanging="360"/>
      </w:pPr>
      <w:rPr>
        <w:rFonts w:cs="Times New Roman"/>
        <w:b w:val="0"/>
        <w:bCs w:val="0"/>
      </w:rPr>
    </w:lvl>
    <w:lvl w:ilvl="2" w:tplc="8B3E43E0">
      <w:start w:val="1"/>
      <w:numFmt w:val="decimal"/>
      <w:lvlText w:val="(%3)"/>
      <w:lvlJc w:val="left"/>
      <w:pPr>
        <w:ind w:left="2160" w:hanging="180"/>
      </w:pPr>
      <w:rPr>
        <w:rFonts w:cs="David"/>
        <w:bCs w:val="0"/>
        <w:iCs w:val="0"/>
        <w:sz w:val="24"/>
        <w:szCs w:val="24"/>
      </w:rPr>
    </w:lvl>
    <w:lvl w:ilvl="3" w:tplc="77CE8DF0">
      <w:start w:val="1"/>
      <w:numFmt w:val="decimal"/>
      <w:lvlText w:val="%4."/>
      <w:lvlJc w:val="left"/>
      <w:pPr>
        <w:ind w:left="2880" w:hanging="360"/>
      </w:pPr>
      <w:rPr>
        <w:rFonts w:cs="Times New Roman"/>
      </w:rPr>
    </w:lvl>
    <w:lvl w:ilvl="4" w:tplc="CAFCAFF0">
      <w:start w:val="1"/>
      <w:numFmt w:val="lowerLetter"/>
      <w:lvlText w:val="%5."/>
      <w:lvlJc w:val="left"/>
      <w:pPr>
        <w:ind w:left="3600" w:hanging="360"/>
      </w:pPr>
      <w:rPr>
        <w:rFonts w:cs="Times New Roman"/>
      </w:rPr>
    </w:lvl>
    <w:lvl w:ilvl="5" w:tplc="1F44E07C">
      <w:start w:val="1"/>
      <w:numFmt w:val="lowerRoman"/>
      <w:lvlText w:val="%6."/>
      <w:lvlJc w:val="right"/>
      <w:pPr>
        <w:ind w:left="4320" w:hanging="180"/>
      </w:pPr>
      <w:rPr>
        <w:rFonts w:cs="Times New Roman"/>
      </w:rPr>
    </w:lvl>
    <w:lvl w:ilvl="6" w:tplc="7E342722">
      <w:start w:val="1"/>
      <w:numFmt w:val="decimal"/>
      <w:lvlText w:val="%7."/>
      <w:lvlJc w:val="left"/>
      <w:pPr>
        <w:ind w:left="5040" w:hanging="360"/>
      </w:pPr>
      <w:rPr>
        <w:rFonts w:cs="Times New Roman"/>
      </w:rPr>
    </w:lvl>
    <w:lvl w:ilvl="7" w:tplc="B46E9788">
      <w:start w:val="1"/>
      <w:numFmt w:val="lowerLetter"/>
      <w:lvlText w:val="%8."/>
      <w:lvlJc w:val="left"/>
      <w:pPr>
        <w:ind w:left="5760" w:hanging="360"/>
      </w:pPr>
      <w:rPr>
        <w:rFonts w:cs="Times New Roman"/>
      </w:rPr>
    </w:lvl>
    <w:lvl w:ilvl="8" w:tplc="D5361DCE">
      <w:start w:val="1"/>
      <w:numFmt w:val="lowerRoman"/>
      <w:lvlText w:val="%9."/>
      <w:lvlJc w:val="right"/>
      <w:pPr>
        <w:ind w:left="6480" w:hanging="180"/>
      </w:pPr>
      <w:rPr>
        <w:rFonts w:cs="Times New Roman"/>
      </w:rPr>
    </w:lvl>
  </w:abstractNum>
  <w:abstractNum w:abstractNumId="3" w15:restartNumberingAfterBreak="0">
    <w:nsid w:val="77530678"/>
    <w:multiLevelType w:val="hybridMultilevel"/>
    <w:tmpl w:val="99D4CCD4"/>
    <w:lvl w:ilvl="0" w:tplc="E514B4E0">
      <w:start w:val="1"/>
      <w:numFmt w:val="hebrew1"/>
      <w:lvlText w:val="%1)"/>
      <w:lvlJc w:val="center"/>
      <w:pPr>
        <w:ind w:left="1080" w:hanging="360"/>
      </w:pPr>
      <w:rPr>
        <w:rFonts w:ascii="David" w:hAnsi="David" w:cs="David" w:hint="default"/>
        <w:b w:val="0"/>
        <w:bCs w:val="0"/>
        <w:i w:val="0"/>
        <w:iCs w:val="0"/>
        <w:sz w:val="22"/>
        <w:szCs w:val="24"/>
      </w:rPr>
    </w:lvl>
    <w:lvl w:ilvl="1" w:tplc="925C6B16">
      <w:start w:val="1"/>
      <w:numFmt w:val="lowerLetter"/>
      <w:lvlText w:val="%2."/>
      <w:lvlJc w:val="left"/>
      <w:pPr>
        <w:ind w:left="1800" w:hanging="360"/>
      </w:pPr>
    </w:lvl>
    <w:lvl w:ilvl="2" w:tplc="9D60D402">
      <w:start w:val="1"/>
      <w:numFmt w:val="lowerRoman"/>
      <w:lvlText w:val="%3."/>
      <w:lvlJc w:val="right"/>
      <w:pPr>
        <w:ind w:left="2520" w:hanging="180"/>
      </w:pPr>
    </w:lvl>
    <w:lvl w:ilvl="3" w:tplc="F6A236EA">
      <w:start w:val="1"/>
      <w:numFmt w:val="decimal"/>
      <w:lvlText w:val="%4."/>
      <w:lvlJc w:val="left"/>
      <w:pPr>
        <w:ind w:left="3240" w:hanging="360"/>
      </w:pPr>
    </w:lvl>
    <w:lvl w:ilvl="4" w:tplc="FE0CBA7E">
      <w:start w:val="1"/>
      <w:numFmt w:val="lowerLetter"/>
      <w:lvlText w:val="%5."/>
      <w:lvlJc w:val="left"/>
      <w:pPr>
        <w:ind w:left="3960" w:hanging="360"/>
      </w:pPr>
    </w:lvl>
    <w:lvl w:ilvl="5" w:tplc="2A08E2D6">
      <w:start w:val="1"/>
      <w:numFmt w:val="lowerRoman"/>
      <w:lvlText w:val="%6."/>
      <w:lvlJc w:val="right"/>
      <w:pPr>
        <w:ind w:left="4680" w:hanging="180"/>
      </w:pPr>
    </w:lvl>
    <w:lvl w:ilvl="6" w:tplc="DEDE6A9C">
      <w:start w:val="1"/>
      <w:numFmt w:val="decimal"/>
      <w:lvlText w:val="%7."/>
      <w:lvlJc w:val="left"/>
      <w:pPr>
        <w:ind w:left="5400" w:hanging="360"/>
      </w:pPr>
    </w:lvl>
    <w:lvl w:ilvl="7" w:tplc="6D0CE116">
      <w:start w:val="1"/>
      <w:numFmt w:val="lowerLetter"/>
      <w:lvlText w:val="%8."/>
      <w:lvlJc w:val="left"/>
      <w:pPr>
        <w:ind w:left="6120" w:hanging="360"/>
      </w:pPr>
    </w:lvl>
    <w:lvl w:ilvl="8" w:tplc="8AAA08E8">
      <w:start w:val="1"/>
      <w:numFmt w:val="lowerRoman"/>
      <w:lvlText w:val="%9."/>
      <w:lvlJc w:val="right"/>
      <w:pPr>
        <w:ind w:left="6840" w:hanging="180"/>
      </w:pPr>
    </w:lvl>
  </w:abstractNum>
  <w:num w:numId="1" w16cid:durableId="20364179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3780524">
    <w:abstractNumId w:val="0"/>
  </w:num>
  <w:num w:numId="3" w16cid:durableId="10555926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3805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13463"/>
    <w:rsid w:val="00104EDF"/>
    <w:rsid w:val="001B5A3B"/>
    <w:rsid w:val="0045437A"/>
    <w:rsid w:val="007E0B88"/>
    <w:rsid w:val="00813463"/>
    <w:rsid w:val="008D4222"/>
    <w:rsid w:val="008F40DF"/>
    <w:rsid w:val="00BB19B9"/>
    <w:rsid w:val="00BE1E51"/>
    <w:rsid w:val="00E93A16"/>
    <w:rsid w:val="00F11F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337615"/>
  <w15:chartTrackingRefBased/>
  <w15:docId w15:val="{7E60D4B8-0A0B-460B-A10F-D32B271E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1346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13463"/>
    <w:pPr>
      <w:tabs>
        <w:tab w:val="center" w:pos="4153"/>
        <w:tab w:val="right" w:pos="8306"/>
      </w:tabs>
    </w:pPr>
  </w:style>
  <w:style w:type="character" w:customStyle="1" w:styleId="a4">
    <w:name w:val="כותרת עליונה תו"/>
    <w:link w:val="a3"/>
    <w:rsid w:val="00813463"/>
    <w:rPr>
      <w:rFonts w:ascii="Times New Roman" w:eastAsia="Times New Roman" w:hAnsi="Times New Roman" w:cs="David"/>
      <w:sz w:val="24"/>
      <w:szCs w:val="24"/>
    </w:rPr>
  </w:style>
  <w:style w:type="paragraph" w:styleId="a5">
    <w:name w:val="footer"/>
    <w:basedOn w:val="a"/>
    <w:link w:val="a6"/>
    <w:rsid w:val="00813463"/>
    <w:pPr>
      <w:tabs>
        <w:tab w:val="center" w:pos="4153"/>
        <w:tab w:val="right" w:pos="8306"/>
      </w:tabs>
    </w:pPr>
  </w:style>
  <w:style w:type="character" w:customStyle="1" w:styleId="a6">
    <w:name w:val="כותרת תחתונה תו"/>
    <w:link w:val="a5"/>
    <w:rsid w:val="00813463"/>
    <w:rPr>
      <w:rFonts w:ascii="Times New Roman" w:eastAsia="Times New Roman" w:hAnsi="Times New Roman" w:cs="David"/>
      <w:sz w:val="24"/>
      <w:szCs w:val="24"/>
    </w:rPr>
  </w:style>
  <w:style w:type="table" w:styleId="a7">
    <w:name w:val="Table Grid"/>
    <w:basedOn w:val="a1"/>
    <w:rsid w:val="0081346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13463"/>
  </w:style>
  <w:style w:type="paragraph" w:styleId="a9">
    <w:name w:val="List Paragraph"/>
    <w:basedOn w:val="a"/>
    <w:qFormat/>
    <w:rsid w:val="00813463"/>
    <w:pPr>
      <w:ind w:left="720"/>
      <w:contextualSpacing/>
    </w:pPr>
  </w:style>
  <w:style w:type="character" w:customStyle="1" w:styleId="default">
    <w:name w:val="default"/>
    <w:rsid w:val="00813463"/>
    <w:rPr>
      <w:rFonts w:ascii="Times New Roman" w:hAnsi="Times New Roman" w:cs="Times New Roman" w:hint="default"/>
      <w:sz w:val="26"/>
      <w:szCs w:val="26"/>
    </w:rPr>
  </w:style>
  <w:style w:type="character" w:customStyle="1" w:styleId="TimesNewRomanTimesNewRoman">
    <w:name w:val="סגנון (לטיני) Times New Roman (עברית ושפות אחרות) Times New Roman..."/>
    <w:rsid w:val="00813463"/>
    <w:rPr>
      <w:rFonts w:ascii="Times New Roman" w:hAnsi="Times New Roman" w:cs="David" w:hint="default"/>
      <w:b/>
      <w:bCs/>
      <w:sz w:val="26"/>
      <w:szCs w:val="26"/>
    </w:rPr>
  </w:style>
  <w:style w:type="character" w:styleId="Hyperlink">
    <w:name w:val="Hyperlink"/>
    <w:rsid w:val="008D422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37a" TargetMode="External"/><Relationship Id="rId21" Type="http://schemas.openxmlformats.org/officeDocument/2006/relationships/hyperlink" Target="http://www.nevo.co.il/law/4216"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20683594" TargetMode="External"/><Relationship Id="rId63" Type="http://schemas.openxmlformats.org/officeDocument/2006/relationships/hyperlink" Target="http://www.nevo.co.il/case/25492398" TargetMode="External"/><Relationship Id="rId68" Type="http://schemas.openxmlformats.org/officeDocument/2006/relationships/hyperlink" Target="http://www.nevo.co.il/law/70301" TargetMode="External"/><Relationship Id="rId84" Type="http://schemas.openxmlformats.org/officeDocument/2006/relationships/fontTable" Target="fontTable.xml"/><Relationship Id="rId16" Type="http://schemas.openxmlformats.org/officeDocument/2006/relationships/hyperlink" Target="http://www.nevo.co.il/law/70301/40j.b.2" TargetMode="External"/><Relationship Id="rId11" Type="http://schemas.openxmlformats.org/officeDocument/2006/relationships/hyperlink" Target="http://www.nevo.co.il/law/70301/40e" TargetMode="External"/><Relationship Id="rId32" Type="http://schemas.openxmlformats.org/officeDocument/2006/relationships/hyperlink" Target="http://www.nevo.co.il/law/4216/7.a" TargetMode="External"/><Relationship Id="rId37" Type="http://schemas.openxmlformats.org/officeDocument/2006/relationships/hyperlink" Target="http://www.nevo.co.il/law/70301/40j" TargetMode="External"/><Relationship Id="rId53" Type="http://schemas.openxmlformats.org/officeDocument/2006/relationships/hyperlink" Target="http://www.nevo.co.il/case/28400049" TargetMode="External"/><Relationship Id="rId58" Type="http://schemas.openxmlformats.org/officeDocument/2006/relationships/hyperlink" Target="http://www.nevo.co.il/case/10459115" TargetMode="External"/><Relationship Id="rId74" Type="http://schemas.openxmlformats.org/officeDocument/2006/relationships/hyperlink" Target="http://www.nevo.co.il/law/70301/40e" TargetMode="External"/><Relationship Id="rId79" Type="http://schemas.openxmlformats.org/officeDocument/2006/relationships/hyperlink" Target="http://www.nevo.co.il/advertisements/nevo-100.doc" TargetMode="External"/><Relationship Id="rId5" Type="http://schemas.openxmlformats.org/officeDocument/2006/relationships/footnotes" Target="footnotes.xml"/><Relationship Id="rId19" Type="http://schemas.openxmlformats.org/officeDocument/2006/relationships/hyperlink" Target="http://www.nevo.co.il/law/70301/40ji" TargetMode="External"/><Relationship Id="rId14" Type="http://schemas.openxmlformats.org/officeDocument/2006/relationships/hyperlink" Target="http://www.nevo.co.il/law/70301/40h"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4216/1TaPbS10a" TargetMode="External"/><Relationship Id="rId30" Type="http://schemas.openxmlformats.org/officeDocument/2006/relationships/hyperlink" Target="http://www.nevo.co.il/law/4216/13;19.a" TargetMode="External"/><Relationship Id="rId35" Type="http://schemas.openxmlformats.org/officeDocument/2006/relationships/hyperlink" Target="http://www.nevo.co.il/case/17954235" TargetMode="External"/><Relationship Id="rId43" Type="http://schemas.openxmlformats.org/officeDocument/2006/relationships/hyperlink" Target="http://www.nevo.co.il/case/20443128" TargetMode="External"/><Relationship Id="rId48" Type="http://schemas.openxmlformats.org/officeDocument/2006/relationships/hyperlink" Target="http://www.nevo.co.il/case/27651924" TargetMode="External"/><Relationship Id="rId56" Type="http://schemas.openxmlformats.org/officeDocument/2006/relationships/hyperlink" Target="http://www.nevo.co.il/case/20787902" TargetMode="External"/><Relationship Id="rId64" Type="http://schemas.openxmlformats.org/officeDocument/2006/relationships/hyperlink" Target="http://www.nevo.co.il/case/22954791" TargetMode="External"/><Relationship Id="rId69" Type="http://schemas.openxmlformats.org/officeDocument/2006/relationships/hyperlink" Target="http://www.nevo.co.il/law/4216/37a" TargetMode="External"/><Relationship Id="rId77" Type="http://schemas.openxmlformats.org/officeDocument/2006/relationships/hyperlink" Target="http://www.nevo.co.il/law/70301/40g" TargetMode="External"/><Relationship Id="rId8" Type="http://schemas.openxmlformats.org/officeDocument/2006/relationships/hyperlink" Target="http://www.nevo.co.il/law/70301/40c.a" TargetMode="External"/><Relationship Id="rId51" Type="http://schemas.openxmlformats.org/officeDocument/2006/relationships/hyperlink" Target="http://www.nevo.co.il/law/70301" TargetMode="External"/><Relationship Id="rId72" Type="http://schemas.openxmlformats.org/officeDocument/2006/relationships/hyperlink" Target="http://www.nevo.co.il/law/70301/40ja" TargetMode="External"/><Relationship Id="rId80" Type="http://schemas.openxmlformats.org/officeDocument/2006/relationships/header" Target="header1.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f" TargetMode="External"/><Relationship Id="rId17" Type="http://schemas.openxmlformats.org/officeDocument/2006/relationships/hyperlink" Target="http://www.nevo.co.il/law/70301/40j.c" TargetMode="External"/><Relationship Id="rId25" Type="http://schemas.openxmlformats.org/officeDocument/2006/relationships/hyperlink" Target="http://www.nevo.co.il/law/4216/19.a" TargetMode="External"/><Relationship Id="rId33" Type="http://schemas.openxmlformats.org/officeDocument/2006/relationships/hyperlink" Target="http://www.nevo.co.il/law/4216/7.c"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25708829" TargetMode="External"/><Relationship Id="rId67" Type="http://schemas.openxmlformats.org/officeDocument/2006/relationships/hyperlink" Target="http://www.nevo.co.il/law/70301/40h" TargetMode="External"/><Relationship Id="rId20" Type="http://schemas.openxmlformats.org/officeDocument/2006/relationships/hyperlink" Target="http://www.nevo.co.il/law/70301/499.a.1" TargetMode="External"/><Relationship Id="rId41" Type="http://schemas.openxmlformats.org/officeDocument/2006/relationships/hyperlink" Target="http://www.nevo.co.il/law/70301/40j.c" TargetMode="External"/><Relationship Id="rId54" Type="http://schemas.openxmlformats.org/officeDocument/2006/relationships/hyperlink" Target="http://www.nevo.co.il/case/27397210" TargetMode="External"/><Relationship Id="rId62" Type="http://schemas.openxmlformats.org/officeDocument/2006/relationships/hyperlink" Target="http://www.nevo.co.il/case/25547676" TargetMode="External"/><Relationship Id="rId70" Type="http://schemas.openxmlformats.org/officeDocument/2006/relationships/hyperlink" Target="http://www.nevo.co.il/law/70301/40c.b" TargetMode="External"/><Relationship Id="rId75" Type="http://schemas.openxmlformats.org/officeDocument/2006/relationships/hyperlink" Target="http://www.nevo.co.il/law/70301" TargetMode="External"/><Relationship Id="rId83"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70301/499.a.1" TargetMode="External"/><Relationship Id="rId36" Type="http://schemas.openxmlformats.org/officeDocument/2006/relationships/hyperlink" Target="http://www.nevo.co.il/law/4216/1TaPbS10a" TargetMode="External"/><Relationship Id="rId49" Type="http://schemas.openxmlformats.org/officeDocument/2006/relationships/hyperlink" Target="http://www.nevo.co.il/law/4216" TargetMode="External"/><Relationship Id="rId57" Type="http://schemas.openxmlformats.org/officeDocument/2006/relationships/hyperlink" Target="http://www.nevo.co.il/case/18793360" TargetMode="External"/><Relationship Id="rId10" Type="http://schemas.openxmlformats.org/officeDocument/2006/relationships/hyperlink" Target="http://www.nevo.co.il/law/70301/40d" TargetMode="External"/><Relationship Id="rId31" Type="http://schemas.openxmlformats.org/officeDocument/2006/relationships/hyperlink" Target="http://www.nevo.co.il/law/4216" TargetMode="External"/><Relationship Id="rId44" Type="http://schemas.openxmlformats.org/officeDocument/2006/relationships/hyperlink" Target="http://www.nevo.co.il/case/13022249" TargetMode="External"/><Relationship Id="rId52" Type="http://schemas.openxmlformats.org/officeDocument/2006/relationships/hyperlink" Target="http://www.nevo.co.il/case/25241468" TargetMode="External"/><Relationship Id="rId60" Type="http://schemas.openxmlformats.org/officeDocument/2006/relationships/hyperlink" Target="http://www.nevo.co.il/case/25543994" TargetMode="External"/><Relationship Id="rId65" Type="http://schemas.openxmlformats.org/officeDocument/2006/relationships/hyperlink" Target="http://www.nevo.co.il/case/25233358" TargetMode="External"/><Relationship Id="rId73" Type="http://schemas.openxmlformats.org/officeDocument/2006/relationships/hyperlink" Target="http://www.nevo.co.il/law/70301/40d" TargetMode="External"/><Relationship Id="rId78" Type="http://schemas.openxmlformats.org/officeDocument/2006/relationships/hyperlink" Target="http://www.nevo.co.il/law/70301" TargetMode="External"/><Relationship Id="rId8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c.b" TargetMode="External"/><Relationship Id="rId13" Type="http://schemas.openxmlformats.org/officeDocument/2006/relationships/hyperlink" Target="http://www.nevo.co.il/law/70301/40g" TargetMode="External"/><Relationship Id="rId18" Type="http://schemas.openxmlformats.org/officeDocument/2006/relationships/hyperlink" Target="http://www.nevo.co.il/law/70301/40ja" TargetMode="External"/><Relationship Id="rId39" Type="http://schemas.openxmlformats.org/officeDocument/2006/relationships/hyperlink" Target="http://www.nevo.co.il/law/70301/40j.b.2" TargetMode="External"/><Relationship Id="rId34" Type="http://schemas.openxmlformats.org/officeDocument/2006/relationships/hyperlink" Target="http://www.nevo.co.il/case/6223687" TargetMode="External"/><Relationship Id="rId50" Type="http://schemas.openxmlformats.org/officeDocument/2006/relationships/hyperlink" Target="http://www.nevo.co.il/law/70301/40ji" TargetMode="External"/><Relationship Id="rId55" Type="http://schemas.openxmlformats.org/officeDocument/2006/relationships/hyperlink" Target="http://www.nevo.co.il/case/26574841" TargetMode="External"/><Relationship Id="rId76" Type="http://schemas.openxmlformats.org/officeDocument/2006/relationships/hyperlink" Target="http://www.nevo.co.il/law/70301/40f"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4216/13"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40c.a" TargetMode="External"/><Relationship Id="rId66" Type="http://schemas.openxmlformats.org/officeDocument/2006/relationships/hyperlink" Target="http://www.nevo.co.il/case/5734189" TargetMode="External"/><Relationship Id="rId61" Type="http://schemas.openxmlformats.org/officeDocument/2006/relationships/hyperlink" Target="http://www.nevo.co.il/case/26335623" TargetMode="External"/><Relationship Id="rId8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7200</Words>
  <Characters>36000</Characters>
  <Application>Microsoft Office Word</Application>
  <DocSecurity>0</DocSecurity>
  <Lines>300</Lines>
  <Paragraphs>86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43114</CharactersWithSpaces>
  <SharedDoc>false</SharedDoc>
  <HLinks>
    <vt:vector size="438" baseType="variant">
      <vt:variant>
        <vt:i4>393283</vt:i4>
      </vt:variant>
      <vt:variant>
        <vt:i4>216</vt:i4>
      </vt:variant>
      <vt:variant>
        <vt:i4>0</vt:i4>
      </vt:variant>
      <vt:variant>
        <vt:i4>5</vt:i4>
      </vt:variant>
      <vt:variant>
        <vt:lpwstr>http://www.nevo.co.il/advertisements/nevo-100.doc</vt:lpwstr>
      </vt:variant>
      <vt:variant>
        <vt:lpwstr/>
      </vt:variant>
      <vt:variant>
        <vt:i4>7995492</vt:i4>
      </vt:variant>
      <vt:variant>
        <vt:i4>213</vt:i4>
      </vt:variant>
      <vt:variant>
        <vt:i4>0</vt:i4>
      </vt:variant>
      <vt:variant>
        <vt:i4>5</vt:i4>
      </vt:variant>
      <vt:variant>
        <vt:lpwstr>http://www.nevo.co.il/law/70301</vt:lpwstr>
      </vt:variant>
      <vt:variant>
        <vt:lpwstr/>
      </vt:variant>
      <vt:variant>
        <vt:i4>6619233</vt:i4>
      </vt:variant>
      <vt:variant>
        <vt:i4>210</vt:i4>
      </vt:variant>
      <vt:variant>
        <vt:i4>0</vt:i4>
      </vt:variant>
      <vt:variant>
        <vt:i4>5</vt:i4>
      </vt:variant>
      <vt:variant>
        <vt:lpwstr>http://www.nevo.co.il/law/70301/40g</vt:lpwstr>
      </vt:variant>
      <vt:variant>
        <vt:lpwstr/>
      </vt:variant>
      <vt:variant>
        <vt:i4>6619233</vt:i4>
      </vt:variant>
      <vt:variant>
        <vt:i4>207</vt:i4>
      </vt:variant>
      <vt:variant>
        <vt:i4>0</vt:i4>
      </vt:variant>
      <vt:variant>
        <vt:i4>5</vt:i4>
      </vt:variant>
      <vt:variant>
        <vt:lpwstr>http://www.nevo.co.il/law/70301/40f</vt:lpwstr>
      </vt:variant>
      <vt:variant>
        <vt:lpwstr/>
      </vt:variant>
      <vt:variant>
        <vt:i4>7995492</vt:i4>
      </vt:variant>
      <vt:variant>
        <vt:i4>204</vt:i4>
      </vt:variant>
      <vt:variant>
        <vt:i4>0</vt:i4>
      </vt:variant>
      <vt:variant>
        <vt:i4>5</vt:i4>
      </vt:variant>
      <vt:variant>
        <vt:lpwstr>http://www.nevo.co.il/law/70301</vt:lpwstr>
      </vt:variant>
      <vt:variant>
        <vt:lpwstr/>
      </vt:variant>
      <vt:variant>
        <vt:i4>6619233</vt:i4>
      </vt:variant>
      <vt:variant>
        <vt:i4>201</vt:i4>
      </vt:variant>
      <vt:variant>
        <vt:i4>0</vt:i4>
      </vt:variant>
      <vt:variant>
        <vt:i4>5</vt:i4>
      </vt:variant>
      <vt:variant>
        <vt:lpwstr>http://www.nevo.co.il/law/70301/40e</vt:lpwstr>
      </vt:variant>
      <vt:variant>
        <vt:lpwstr/>
      </vt:variant>
      <vt:variant>
        <vt:i4>6619233</vt:i4>
      </vt:variant>
      <vt:variant>
        <vt:i4>198</vt:i4>
      </vt:variant>
      <vt:variant>
        <vt:i4>0</vt:i4>
      </vt:variant>
      <vt:variant>
        <vt:i4>5</vt:i4>
      </vt:variant>
      <vt:variant>
        <vt:lpwstr>http://www.nevo.co.il/law/70301/40d</vt:lpwstr>
      </vt:variant>
      <vt:variant>
        <vt:lpwstr/>
      </vt:variant>
      <vt:variant>
        <vt:i4>262155</vt:i4>
      </vt:variant>
      <vt:variant>
        <vt:i4>195</vt:i4>
      </vt:variant>
      <vt:variant>
        <vt:i4>0</vt:i4>
      </vt:variant>
      <vt:variant>
        <vt:i4>5</vt:i4>
      </vt:variant>
      <vt:variant>
        <vt:lpwstr>http://www.nevo.co.il/law/70301/40ja</vt:lpwstr>
      </vt:variant>
      <vt:variant>
        <vt:lpwstr/>
      </vt:variant>
      <vt:variant>
        <vt:i4>7995492</vt:i4>
      </vt:variant>
      <vt:variant>
        <vt:i4>192</vt:i4>
      </vt:variant>
      <vt:variant>
        <vt:i4>0</vt:i4>
      </vt:variant>
      <vt:variant>
        <vt:i4>5</vt:i4>
      </vt:variant>
      <vt:variant>
        <vt:lpwstr>http://www.nevo.co.il/law/70301</vt:lpwstr>
      </vt:variant>
      <vt:variant>
        <vt:lpwstr/>
      </vt:variant>
      <vt:variant>
        <vt:i4>4915202</vt:i4>
      </vt:variant>
      <vt:variant>
        <vt:i4>189</vt:i4>
      </vt:variant>
      <vt:variant>
        <vt:i4>0</vt:i4>
      </vt:variant>
      <vt:variant>
        <vt:i4>5</vt:i4>
      </vt:variant>
      <vt:variant>
        <vt:lpwstr>http://www.nevo.co.il/law/70301/40c.b</vt:lpwstr>
      </vt:variant>
      <vt:variant>
        <vt:lpwstr/>
      </vt:variant>
      <vt:variant>
        <vt:i4>2883709</vt:i4>
      </vt:variant>
      <vt:variant>
        <vt:i4>186</vt:i4>
      </vt:variant>
      <vt:variant>
        <vt:i4>0</vt:i4>
      </vt:variant>
      <vt:variant>
        <vt:i4>5</vt:i4>
      </vt:variant>
      <vt:variant>
        <vt:lpwstr>http://www.nevo.co.il/law/4216/37a</vt:lpwstr>
      </vt:variant>
      <vt:variant>
        <vt:lpwstr/>
      </vt:variant>
      <vt:variant>
        <vt:i4>7995492</vt:i4>
      </vt:variant>
      <vt:variant>
        <vt:i4>183</vt:i4>
      </vt:variant>
      <vt:variant>
        <vt:i4>0</vt:i4>
      </vt:variant>
      <vt:variant>
        <vt:i4>5</vt:i4>
      </vt:variant>
      <vt:variant>
        <vt:lpwstr>http://www.nevo.co.il/law/70301</vt:lpwstr>
      </vt:variant>
      <vt:variant>
        <vt:lpwstr/>
      </vt:variant>
      <vt:variant>
        <vt:i4>6619233</vt:i4>
      </vt:variant>
      <vt:variant>
        <vt:i4>180</vt:i4>
      </vt:variant>
      <vt:variant>
        <vt:i4>0</vt:i4>
      </vt:variant>
      <vt:variant>
        <vt:i4>5</vt:i4>
      </vt:variant>
      <vt:variant>
        <vt:lpwstr>http://www.nevo.co.il/law/70301/40h</vt:lpwstr>
      </vt:variant>
      <vt:variant>
        <vt:lpwstr/>
      </vt:variant>
      <vt:variant>
        <vt:i4>4063359</vt:i4>
      </vt:variant>
      <vt:variant>
        <vt:i4>177</vt:i4>
      </vt:variant>
      <vt:variant>
        <vt:i4>0</vt:i4>
      </vt:variant>
      <vt:variant>
        <vt:i4>5</vt:i4>
      </vt:variant>
      <vt:variant>
        <vt:lpwstr>http://www.nevo.co.il/case/5734189</vt:lpwstr>
      </vt:variant>
      <vt:variant>
        <vt:lpwstr/>
      </vt:variant>
      <vt:variant>
        <vt:i4>3539057</vt:i4>
      </vt:variant>
      <vt:variant>
        <vt:i4>174</vt:i4>
      </vt:variant>
      <vt:variant>
        <vt:i4>0</vt:i4>
      </vt:variant>
      <vt:variant>
        <vt:i4>5</vt:i4>
      </vt:variant>
      <vt:variant>
        <vt:lpwstr>http://www.nevo.co.il/case/25233358</vt:lpwstr>
      </vt:variant>
      <vt:variant>
        <vt:lpwstr/>
      </vt:variant>
      <vt:variant>
        <vt:i4>3539060</vt:i4>
      </vt:variant>
      <vt:variant>
        <vt:i4>171</vt:i4>
      </vt:variant>
      <vt:variant>
        <vt:i4>0</vt:i4>
      </vt:variant>
      <vt:variant>
        <vt:i4>5</vt:i4>
      </vt:variant>
      <vt:variant>
        <vt:lpwstr>http://www.nevo.co.il/case/22954791</vt:lpwstr>
      </vt:variant>
      <vt:variant>
        <vt:lpwstr/>
      </vt:variant>
      <vt:variant>
        <vt:i4>3997819</vt:i4>
      </vt:variant>
      <vt:variant>
        <vt:i4>168</vt:i4>
      </vt:variant>
      <vt:variant>
        <vt:i4>0</vt:i4>
      </vt:variant>
      <vt:variant>
        <vt:i4>5</vt:i4>
      </vt:variant>
      <vt:variant>
        <vt:lpwstr>http://www.nevo.co.il/case/25492398</vt:lpwstr>
      </vt:variant>
      <vt:variant>
        <vt:lpwstr/>
      </vt:variant>
      <vt:variant>
        <vt:i4>3604595</vt:i4>
      </vt:variant>
      <vt:variant>
        <vt:i4>165</vt:i4>
      </vt:variant>
      <vt:variant>
        <vt:i4>0</vt:i4>
      </vt:variant>
      <vt:variant>
        <vt:i4>5</vt:i4>
      </vt:variant>
      <vt:variant>
        <vt:lpwstr>http://www.nevo.co.il/case/25547676</vt:lpwstr>
      </vt:variant>
      <vt:variant>
        <vt:lpwstr/>
      </vt:variant>
      <vt:variant>
        <vt:i4>3539063</vt:i4>
      </vt:variant>
      <vt:variant>
        <vt:i4>162</vt:i4>
      </vt:variant>
      <vt:variant>
        <vt:i4>0</vt:i4>
      </vt:variant>
      <vt:variant>
        <vt:i4>5</vt:i4>
      </vt:variant>
      <vt:variant>
        <vt:lpwstr>http://www.nevo.co.il/case/26335623</vt:lpwstr>
      </vt:variant>
      <vt:variant>
        <vt:lpwstr/>
      </vt:variant>
      <vt:variant>
        <vt:i4>3997820</vt:i4>
      </vt:variant>
      <vt:variant>
        <vt:i4>159</vt:i4>
      </vt:variant>
      <vt:variant>
        <vt:i4>0</vt:i4>
      </vt:variant>
      <vt:variant>
        <vt:i4>5</vt:i4>
      </vt:variant>
      <vt:variant>
        <vt:lpwstr>http://www.nevo.co.il/case/25543994</vt:lpwstr>
      </vt:variant>
      <vt:variant>
        <vt:lpwstr/>
      </vt:variant>
      <vt:variant>
        <vt:i4>4128889</vt:i4>
      </vt:variant>
      <vt:variant>
        <vt:i4>156</vt:i4>
      </vt:variant>
      <vt:variant>
        <vt:i4>0</vt:i4>
      </vt:variant>
      <vt:variant>
        <vt:i4>5</vt:i4>
      </vt:variant>
      <vt:variant>
        <vt:lpwstr>http://www.nevo.co.il/case/25708829</vt:lpwstr>
      </vt:variant>
      <vt:variant>
        <vt:lpwstr/>
      </vt:variant>
      <vt:variant>
        <vt:i4>3997808</vt:i4>
      </vt:variant>
      <vt:variant>
        <vt:i4>153</vt:i4>
      </vt:variant>
      <vt:variant>
        <vt:i4>0</vt:i4>
      </vt:variant>
      <vt:variant>
        <vt:i4>5</vt:i4>
      </vt:variant>
      <vt:variant>
        <vt:lpwstr>http://www.nevo.co.il/case/10459115</vt:lpwstr>
      </vt:variant>
      <vt:variant>
        <vt:lpwstr/>
      </vt:variant>
      <vt:variant>
        <vt:i4>3342454</vt:i4>
      </vt:variant>
      <vt:variant>
        <vt:i4>150</vt:i4>
      </vt:variant>
      <vt:variant>
        <vt:i4>0</vt:i4>
      </vt:variant>
      <vt:variant>
        <vt:i4>5</vt:i4>
      </vt:variant>
      <vt:variant>
        <vt:lpwstr>http://www.nevo.co.il/case/18793360</vt:lpwstr>
      </vt:variant>
      <vt:variant>
        <vt:lpwstr/>
      </vt:variant>
      <vt:variant>
        <vt:i4>3276917</vt:i4>
      </vt:variant>
      <vt:variant>
        <vt:i4>147</vt:i4>
      </vt:variant>
      <vt:variant>
        <vt:i4>0</vt:i4>
      </vt:variant>
      <vt:variant>
        <vt:i4>5</vt:i4>
      </vt:variant>
      <vt:variant>
        <vt:lpwstr>http://www.nevo.co.il/case/20787902</vt:lpwstr>
      </vt:variant>
      <vt:variant>
        <vt:lpwstr/>
      </vt:variant>
      <vt:variant>
        <vt:i4>3604605</vt:i4>
      </vt:variant>
      <vt:variant>
        <vt:i4>144</vt:i4>
      </vt:variant>
      <vt:variant>
        <vt:i4>0</vt:i4>
      </vt:variant>
      <vt:variant>
        <vt:i4>5</vt:i4>
      </vt:variant>
      <vt:variant>
        <vt:lpwstr>http://www.nevo.co.il/case/26574841</vt:lpwstr>
      </vt:variant>
      <vt:variant>
        <vt:lpwstr/>
      </vt:variant>
      <vt:variant>
        <vt:i4>3604600</vt:i4>
      </vt:variant>
      <vt:variant>
        <vt:i4>141</vt:i4>
      </vt:variant>
      <vt:variant>
        <vt:i4>0</vt:i4>
      </vt:variant>
      <vt:variant>
        <vt:i4>5</vt:i4>
      </vt:variant>
      <vt:variant>
        <vt:lpwstr>http://www.nevo.co.il/case/27397210</vt:lpwstr>
      </vt:variant>
      <vt:variant>
        <vt:lpwstr/>
      </vt:variant>
      <vt:variant>
        <vt:i4>3276924</vt:i4>
      </vt:variant>
      <vt:variant>
        <vt:i4>138</vt:i4>
      </vt:variant>
      <vt:variant>
        <vt:i4>0</vt:i4>
      </vt:variant>
      <vt:variant>
        <vt:i4>5</vt:i4>
      </vt:variant>
      <vt:variant>
        <vt:lpwstr>http://www.nevo.co.il/case/28400049</vt:lpwstr>
      </vt:variant>
      <vt:variant>
        <vt:lpwstr/>
      </vt:variant>
      <vt:variant>
        <vt:i4>3604593</vt:i4>
      </vt:variant>
      <vt:variant>
        <vt:i4>135</vt:i4>
      </vt:variant>
      <vt:variant>
        <vt:i4>0</vt:i4>
      </vt:variant>
      <vt:variant>
        <vt:i4>5</vt:i4>
      </vt:variant>
      <vt:variant>
        <vt:lpwstr>http://www.nevo.co.il/case/25241468</vt:lpwstr>
      </vt:variant>
      <vt:variant>
        <vt:lpwstr/>
      </vt:variant>
      <vt:variant>
        <vt:i4>7995492</vt:i4>
      </vt:variant>
      <vt:variant>
        <vt:i4>132</vt:i4>
      </vt:variant>
      <vt:variant>
        <vt:i4>0</vt:i4>
      </vt:variant>
      <vt:variant>
        <vt:i4>5</vt:i4>
      </vt:variant>
      <vt:variant>
        <vt:lpwstr>http://www.nevo.co.il/law/70301</vt:lpwstr>
      </vt:variant>
      <vt:variant>
        <vt:lpwstr/>
      </vt:variant>
      <vt:variant>
        <vt:i4>786443</vt:i4>
      </vt:variant>
      <vt:variant>
        <vt:i4>129</vt:i4>
      </vt:variant>
      <vt:variant>
        <vt:i4>0</vt:i4>
      </vt:variant>
      <vt:variant>
        <vt:i4>5</vt:i4>
      </vt:variant>
      <vt:variant>
        <vt:lpwstr>http://www.nevo.co.il/law/70301/40ji</vt:lpwstr>
      </vt:variant>
      <vt:variant>
        <vt:lpwstr/>
      </vt:variant>
      <vt:variant>
        <vt:i4>8257637</vt:i4>
      </vt:variant>
      <vt:variant>
        <vt:i4>126</vt:i4>
      </vt:variant>
      <vt:variant>
        <vt:i4>0</vt:i4>
      </vt:variant>
      <vt:variant>
        <vt:i4>5</vt:i4>
      </vt:variant>
      <vt:variant>
        <vt:lpwstr>http://www.nevo.co.il/law/4216</vt:lpwstr>
      </vt:variant>
      <vt:variant>
        <vt:lpwstr/>
      </vt:variant>
      <vt:variant>
        <vt:i4>3604607</vt:i4>
      </vt:variant>
      <vt:variant>
        <vt:i4>123</vt:i4>
      </vt:variant>
      <vt:variant>
        <vt:i4>0</vt:i4>
      </vt:variant>
      <vt:variant>
        <vt:i4>5</vt:i4>
      </vt:variant>
      <vt:variant>
        <vt:lpwstr>http://www.nevo.co.il/case/27651924</vt:lpwstr>
      </vt:variant>
      <vt:variant>
        <vt:lpwstr/>
      </vt:variant>
      <vt:variant>
        <vt:i4>4063353</vt:i4>
      </vt:variant>
      <vt:variant>
        <vt:i4>120</vt:i4>
      </vt:variant>
      <vt:variant>
        <vt:i4>0</vt:i4>
      </vt:variant>
      <vt:variant>
        <vt:i4>5</vt:i4>
      </vt:variant>
      <vt:variant>
        <vt:lpwstr>http://www.nevo.co.il/case/20683594</vt:lpwstr>
      </vt:variant>
      <vt:variant>
        <vt:lpwstr/>
      </vt:variant>
      <vt:variant>
        <vt:i4>7995492</vt:i4>
      </vt:variant>
      <vt:variant>
        <vt:i4>117</vt:i4>
      </vt:variant>
      <vt:variant>
        <vt:i4>0</vt:i4>
      </vt:variant>
      <vt:variant>
        <vt:i4>5</vt:i4>
      </vt:variant>
      <vt:variant>
        <vt:lpwstr>http://www.nevo.co.il/law/70301</vt:lpwstr>
      </vt:variant>
      <vt:variant>
        <vt:lpwstr/>
      </vt:variant>
      <vt:variant>
        <vt:i4>4915202</vt:i4>
      </vt:variant>
      <vt:variant>
        <vt:i4>114</vt:i4>
      </vt:variant>
      <vt:variant>
        <vt:i4>0</vt:i4>
      </vt:variant>
      <vt:variant>
        <vt:i4>5</vt:i4>
      </vt:variant>
      <vt:variant>
        <vt:lpwstr>http://www.nevo.co.il/law/70301/40c.a</vt:lpwstr>
      </vt:variant>
      <vt:variant>
        <vt:lpwstr/>
      </vt:variant>
      <vt:variant>
        <vt:i4>3604599</vt:i4>
      </vt:variant>
      <vt:variant>
        <vt:i4>111</vt:i4>
      </vt:variant>
      <vt:variant>
        <vt:i4>0</vt:i4>
      </vt:variant>
      <vt:variant>
        <vt:i4>5</vt:i4>
      </vt:variant>
      <vt:variant>
        <vt:lpwstr>http://www.nevo.co.il/case/13022249</vt:lpwstr>
      </vt:variant>
      <vt:variant>
        <vt:lpwstr/>
      </vt:variant>
      <vt:variant>
        <vt:i4>3604593</vt:i4>
      </vt:variant>
      <vt:variant>
        <vt:i4>108</vt:i4>
      </vt:variant>
      <vt:variant>
        <vt:i4>0</vt:i4>
      </vt:variant>
      <vt:variant>
        <vt:i4>5</vt:i4>
      </vt:variant>
      <vt:variant>
        <vt:lpwstr>http://www.nevo.co.il/case/20443128</vt:lpwstr>
      </vt:variant>
      <vt:variant>
        <vt:lpwstr/>
      </vt:variant>
      <vt:variant>
        <vt:i4>7995492</vt:i4>
      </vt:variant>
      <vt:variant>
        <vt:i4>105</vt:i4>
      </vt:variant>
      <vt:variant>
        <vt:i4>0</vt:i4>
      </vt:variant>
      <vt:variant>
        <vt:i4>5</vt:i4>
      </vt:variant>
      <vt:variant>
        <vt:lpwstr>http://www.nevo.co.il/law/70301</vt:lpwstr>
      </vt:variant>
      <vt:variant>
        <vt:lpwstr/>
      </vt:variant>
      <vt:variant>
        <vt:i4>4915211</vt:i4>
      </vt:variant>
      <vt:variant>
        <vt:i4>102</vt:i4>
      </vt:variant>
      <vt:variant>
        <vt:i4>0</vt:i4>
      </vt:variant>
      <vt:variant>
        <vt:i4>5</vt:i4>
      </vt:variant>
      <vt:variant>
        <vt:lpwstr>http://www.nevo.co.il/law/70301/40j.c</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6619241</vt:i4>
      </vt:variant>
      <vt:variant>
        <vt:i4>96</vt:i4>
      </vt:variant>
      <vt:variant>
        <vt:i4>0</vt:i4>
      </vt:variant>
      <vt:variant>
        <vt:i4>5</vt:i4>
      </vt:variant>
      <vt:variant>
        <vt:lpwstr>http://www.nevo.co.il/law/70301/40j.b.2</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http://www.nevo.co.il/law/70301/40j</vt:lpwstr>
      </vt:variant>
      <vt:variant>
        <vt:lpwstr/>
      </vt:variant>
      <vt:variant>
        <vt:i4>1835021</vt:i4>
      </vt:variant>
      <vt:variant>
        <vt:i4>87</vt:i4>
      </vt:variant>
      <vt:variant>
        <vt:i4>0</vt:i4>
      </vt:variant>
      <vt:variant>
        <vt:i4>5</vt:i4>
      </vt:variant>
      <vt:variant>
        <vt:lpwstr>http://www.nevo.co.il/law/4216/1TaPbS10a</vt:lpwstr>
      </vt:variant>
      <vt:variant>
        <vt:lpwstr/>
      </vt:variant>
      <vt:variant>
        <vt:i4>4128884</vt:i4>
      </vt:variant>
      <vt:variant>
        <vt:i4>84</vt:i4>
      </vt:variant>
      <vt:variant>
        <vt:i4>0</vt:i4>
      </vt:variant>
      <vt:variant>
        <vt:i4>5</vt:i4>
      </vt:variant>
      <vt:variant>
        <vt:lpwstr>http://www.nevo.co.il/case/17954235</vt:lpwstr>
      </vt:variant>
      <vt:variant>
        <vt:lpwstr/>
      </vt:variant>
      <vt:variant>
        <vt:i4>3473533</vt:i4>
      </vt:variant>
      <vt:variant>
        <vt:i4>81</vt:i4>
      </vt:variant>
      <vt:variant>
        <vt:i4>0</vt:i4>
      </vt:variant>
      <vt:variant>
        <vt:i4>5</vt:i4>
      </vt:variant>
      <vt:variant>
        <vt:lpwstr>http://www.nevo.co.il/case/6223687</vt:lpwstr>
      </vt:variant>
      <vt:variant>
        <vt:lpwstr/>
      </vt:variant>
      <vt:variant>
        <vt:i4>2752612</vt:i4>
      </vt:variant>
      <vt:variant>
        <vt:i4>78</vt:i4>
      </vt:variant>
      <vt:variant>
        <vt:i4>0</vt:i4>
      </vt:variant>
      <vt:variant>
        <vt:i4>5</vt:i4>
      </vt:variant>
      <vt:variant>
        <vt:lpwstr>http://www.nevo.co.il/law/4216/7.c</vt:lpwstr>
      </vt:variant>
      <vt:variant>
        <vt:lpwstr/>
      </vt:variant>
      <vt:variant>
        <vt:i4>2621540</vt:i4>
      </vt:variant>
      <vt:variant>
        <vt:i4>75</vt:i4>
      </vt:variant>
      <vt:variant>
        <vt:i4>0</vt:i4>
      </vt:variant>
      <vt:variant>
        <vt:i4>5</vt:i4>
      </vt:variant>
      <vt:variant>
        <vt:lpwstr>http://www.nevo.co.il/law/4216/7.a</vt:lpwstr>
      </vt:variant>
      <vt:variant>
        <vt:lpwstr/>
      </vt:variant>
      <vt:variant>
        <vt:i4>8257637</vt:i4>
      </vt:variant>
      <vt:variant>
        <vt:i4>72</vt:i4>
      </vt:variant>
      <vt:variant>
        <vt:i4>0</vt:i4>
      </vt:variant>
      <vt:variant>
        <vt:i4>5</vt:i4>
      </vt:variant>
      <vt:variant>
        <vt:lpwstr>http://www.nevo.co.il/law/4216</vt:lpwstr>
      </vt:variant>
      <vt:variant>
        <vt:lpwstr/>
      </vt:variant>
      <vt:variant>
        <vt:i4>2883686</vt:i4>
      </vt:variant>
      <vt:variant>
        <vt:i4>69</vt:i4>
      </vt:variant>
      <vt:variant>
        <vt:i4>0</vt:i4>
      </vt:variant>
      <vt:variant>
        <vt:i4>5</vt:i4>
      </vt:variant>
      <vt:variant>
        <vt:lpwstr>http://www.nevo.co.il/law/4216/13;19.a</vt:lpwstr>
      </vt:variant>
      <vt:variant>
        <vt:lpwstr/>
      </vt:variant>
      <vt:variant>
        <vt:i4>7995492</vt:i4>
      </vt:variant>
      <vt:variant>
        <vt:i4>66</vt:i4>
      </vt:variant>
      <vt:variant>
        <vt:i4>0</vt:i4>
      </vt:variant>
      <vt:variant>
        <vt:i4>5</vt:i4>
      </vt:variant>
      <vt:variant>
        <vt:lpwstr>http://www.nevo.co.il/law/70301</vt:lpwstr>
      </vt:variant>
      <vt:variant>
        <vt:lpwstr/>
      </vt:variant>
      <vt:variant>
        <vt:i4>7077945</vt:i4>
      </vt:variant>
      <vt:variant>
        <vt:i4>63</vt:i4>
      </vt:variant>
      <vt:variant>
        <vt:i4>0</vt:i4>
      </vt:variant>
      <vt:variant>
        <vt:i4>5</vt:i4>
      </vt:variant>
      <vt:variant>
        <vt:lpwstr>http://www.nevo.co.il/law/70301/499.a.1</vt:lpwstr>
      </vt:variant>
      <vt:variant>
        <vt:lpwstr/>
      </vt:variant>
      <vt:variant>
        <vt:i4>1835021</vt:i4>
      </vt:variant>
      <vt:variant>
        <vt:i4>60</vt:i4>
      </vt:variant>
      <vt:variant>
        <vt:i4>0</vt:i4>
      </vt:variant>
      <vt:variant>
        <vt:i4>5</vt:i4>
      </vt:variant>
      <vt:variant>
        <vt:lpwstr>http://www.nevo.co.il/law/4216/1TaPbS10a</vt:lpwstr>
      </vt:variant>
      <vt:variant>
        <vt:lpwstr/>
      </vt:variant>
      <vt:variant>
        <vt:i4>2883709</vt:i4>
      </vt:variant>
      <vt:variant>
        <vt:i4>57</vt:i4>
      </vt:variant>
      <vt:variant>
        <vt:i4>0</vt:i4>
      </vt:variant>
      <vt:variant>
        <vt:i4>5</vt:i4>
      </vt:variant>
      <vt:variant>
        <vt:lpwstr>http://www.nevo.co.il/law/4216/37a</vt:lpwstr>
      </vt:variant>
      <vt:variant>
        <vt:lpwstr/>
      </vt:variant>
      <vt:variant>
        <vt:i4>6357107</vt:i4>
      </vt:variant>
      <vt:variant>
        <vt:i4>54</vt:i4>
      </vt:variant>
      <vt:variant>
        <vt:i4>0</vt:i4>
      </vt:variant>
      <vt:variant>
        <vt:i4>5</vt:i4>
      </vt:variant>
      <vt:variant>
        <vt:lpwstr>http://www.nevo.co.il/law/4216/19.a</vt:lpwstr>
      </vt:variant>
      <vt:variant>
        <vt:lpwstr/>
      </vt:variant>
      <vt:variant>
        <vt:i4>5177418</vt:i4>
      </vt:variant>
      <vt:variant>
        <vt:i4>51</vt:i4>
      </vt:variant>
      <vt:variant>
        <vt:i4>0</vt:i4>
      </vt:variant>
      <vt:variant>
        <vt:i4>5</vt:i4>
      </vt:variant>
      <vt:variant>
        <vt:lpwstr>http://www.nevo.co.il/law/4216/13</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8257637</vt:i4>
      </vt:variant>
      <vt:variant>
        <vt:i4>42</vt:i4>
      </vt:variant>
      <vt:variant>
        <vt:i4>0</vt:i4>
      </vt:variant>
      <vt:variant>
        <vt:i4>5</vt:i4>
      </vt:variant>
      <vt:variant>
        <vt:lpwstr>http://www.nevo.co.il/law/4216</vt:lpwstr>
      </vt:variant>
      <vt:variant>
        <vt:lpwstr/>
      </vt:variant>
      <vt:variant>
        <vt:i4>7077945</vt:i4>
      </vt:variant>
      <vt:variant>
        <vt:i4>39</vt:i4>
      </vt:variant>
      <vt:variant>
        <vt:i4>0</vt:i4>
      </vt:variant>
      <vt:variant>
        <vt:i4>5</vt:i4>
      </vt:variant>
      <vt:variant>
        <vt:lpwstr>http://www.nevo.co.il/law/70301/499.a.1</vt:lpwstr>
      </vt:variant>
      <vt:variant>
        <vt:lpwstr/>
      </vt:variant>
      <vt:variant>
        <vt:i4>786443</vt:i4>
      </vt:variant>
      <vt:variant>
        <vt:i4>36</vt:i4>
      </vt:variant>
      <vt:variant>
        <vt:i4>0</vt:i4>
      </vt:variant>
      <vt:variant>
        <vt:i4>5</vt:i4>
      </vt:variant>
      <vt:variant>
        <vt:lpwstr>http://www.nevo.co.il/law/70301/40ji</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4915211</vt:i4>
      </vt:variant>
      <vt:variant>
        <vt:i4>30</vt:i4>
      </vt:variant>
      <vt:variant>
        <vt:i4>0</vt:i4>
      </vt:variant>
      <vt:variant>
        <vt:i4>5</vt:i4>
      </vt:variant>
      <vt:variant>
        <vt:lpwstr>http://www.nevo.co.il/law/70301/40j.c</vt:lpwstr>
      </vt:variant>
      <vt:variant>
        <vt:lpwstr/>
      </vt:variant>
      <vt:variant>
        <vt:i4>6619241</vt:i4>
      </vt:variant>
      <vt:variant>
        <vt:i4>27</vt:i4>
      </vt:variant>
      <vt:variant>
        <vt:i4>0</vt:i4>
      </vt:variant>
      <vt:variant>
        <vt:i4>5</vt:i4>
      </vt:variant>
      <vt:variant>
        <vt:lpwstr>http://www.nevo.co.il/law/70301/40j.b.2</vt:lpwstr>
      </vt:variant>
      <vt:variant>
        <vt:lpwstr/>
      </vt:variant>
      <vt:variant>
        <vt:i4>6619233</vt:i4>
      </vt:variant>
      <vt:variant>
        <vt:i4>24</vt:i4>
      </vt:variant>
      <vt:variant>
        <vt:i4>0</vt:i4>
      </vt:variant>
      <vt:variant>
        <vt:i4>5</vt:i4>
      </vt:variant>
      <vt:variant>
        <vt:lpwstr>http://www.nevo.co.il/law/70301/40j</vt:lpwstr>
      </vt:variant>
      <vt:variant>
        <vt:lpwstr/>
      </vt:variant>
      <vt:variant>
        <vt:i4>6619233</vt:i4>
      </vt:variant>
      <vt:variant>
        <vt:i4>21</vt:i4>
      </vt:variant>
      <vt:variant>
        <vt:i4>0</vt:i4>
      </vt:variant>
      <vt:variant>
        <vt:i4>5</vt:i4>
      </vt:variant>
      <vt:variant>
        <vt:lpwstr>http://www.nevo.co.il/law/70301/40h</vt:lpwstr>
      </vt:variant>
      <vt:variant>
        <vt:lpwstr/>
      </vt:variant>
      <vt:variant>
        <vt:i4>6619233</vt:i4>
      </vt:variant>
      <vt:variant>
        <vt:i4>18</vt:i4>
      </vt:variant>
      <vt:variant>
        <vt:i4>0</vt:i4>
      </vt:variant>
      <vt:variant>
        <vt:i4>5</vt:i4>
      </vt:variant>
      <vt:variant>
        <vt:lpwstr>http://www.nevo.co.il/law/70301/40g</vt:lpwstr>
      </vt:variant>
      <vt:variant>
        <vt:lpwstr/>
      </vt:variant>
      <vt:variant>
        <vt:i4>6619233</vt:i4>
      </vt:variant>
      <vt:variant>
        <vt:i4>15</vt:i4>
      </vt:variant>
      <vt:variant>
        <vt:i4>0</vt:i4>
      </vt:variant>
      <vt:variant>
        <vt:i4>5</vt:i4>
      </vt:variant>
      <vt:variant>
        <vt:lpwstr>http://www.nevo.co.il/law/70301/40f</vt:lpwstr>
      </vt:variant>
      <vt:variant>
        <vt:lpwstr/>
      </vt:variant>
      <vt:variant>
        <vt:i4>6619233</vt:i4>
      </vt:variant>
      <vt:variant>
        <vt:i4>12</vt:i4>
      </vt:variant>
      <vt:variant>
        <vt:i4>0</vt:i4>
      </vt:variant>
      <vt:variant>
        <vt:i4>5</vt:i4>
      </vt:variant>
      <vt:variant>
        <vt:lpwstr>http://www.nevo.co.il/law/70301/40e</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4915202</vt:i4>
      </vt:variant>
      <vt:variant>
        <vt:i4>6</vt:i4>
      </vt:variant>
      <vt:variant>
        <vt:i4>0</vt:i4>
      </vt:variant>
      <vt:variant>
        <vt:i4>5</vt:i4>
      </vt:variant>
      <vt:variant>
        <vt:lpwstr>http://www.nevo.co.il/law/70301/40c.b</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2025-04-23T01:08:00Z</dcterms:created>
  <dcterms:modified xsi:type="dcterms:W3CDTF">2025-04-23T01:08:00Z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21127</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יוסף בן חמו</vt:lpwstr>
  </property>
  <property fmtid="{D5CDD505-2E9C-101B-9397-08002B2CF9AE}" pid="10" name="LAWYER">
    <vt:lpwstr>גנית אטיאס;ליטל פרץ;רחמים דיין</vt:lpwstr>
  </property>
  <property fmtid="{D5CDD505-2E9C-101B-9397-08002B2CF9AE}" pid="11" name="JUDGE">
    <vt:lpwstr>זהר דולב להמן</vt:lpwstr>
  </property>
  <property fmtid="{D5CDD505-2E9C-101B-9397-08002B2CF9AE}" pid="12" name="CITY">
    <vt:lpwstr>ב"ש</vt:lpwstr>
  </property>
  <property fmtid="{D5CDD505-2E9C-101B-9397-08002B2CF9AE}" pid="13" name="DATE">
    <vt:lpwstr>20220627</vt:lpwstr>
  </property>
  <property fmtid="{D5CDD505-2E9C-101B-9397-08002B2CF9AE}" pid="14" name="TYPE_N_DATE">
    <vt:lpwstr>38020220627</vt:lpwstr>
  </property>
  <property fmtid="{D5CDD505-2E9C-101B-9397-08002B2CF9AE}" pid="15" name="CASESLISTTMP1">
    <vt:lpwstr>6223687;17954235;20443128;13022249;20683594;27651924;25241468;28400049;27397210;26574841;20787902;18793360;10459115;25708829;25543994;26335623;25547676;25492398;22954791;25233358;5734189</vt:lpwstr>
  </property>
  <property fmtid="{D5CDD505-2E9C-101B-9397-08002B2CF9AE}" pid="16" name="CASENOTES1">
    <vt:lpwstr>ProcID=135&amp;PartA=44065&amp;PartB=09&amp;PartC=21</vt:lpwstr>
  </property>
  <property fmtid="{D5CDD505-2E9C-101B-9397-08002B2CF9AE}" pid="17" name="CASENOTES2">
    <vt:lpwstr>ProcID=209&amp;PartA=44829&amp;PartB=06&amp;PartC=20</vt:lpwstr>
  </property>
  <property fmtid="{D5CDD505-2E9C-101B-9397-08002B2CF9AE}" pid="18" name="CASENOTES3">
    <vt:lpwstr>ProcID=133;209&amp;PartA=1282&amp;PartC=07</vt:lpwstr>
  </property>
  <property fmtid="{D5CDD505-2E9C-101B-9397-08002B2CF9AE}" pid="19" name="WORDNUMPAGES">
    <vt:lpwstr>1</vt:lpwstr>
  </property>
  <property fmtid="{D5CDD505-2E9C-101B-9397-08002B2CF9AE}" pid="20" name="TYPE_ABS_DATE">
    <vt:lpwstr>380020220627</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70301/499.a.1;040j;040j.b.2;040j.c;040c.a;40ji;040h;040c.b;40ja;040d;040e;040f;040g</vt:lpwstr>
  </property>
  <property fmtid="{D5CDD505-2E9C-101B-9397-08002B2CF9AE}" pid="40" name="LAWLISTTMP2">
    <vt:lpwstr>4216/013;019.a;007.a;007.c;1TaPbS10a;037a</vt:lpwstr>
  </property>
</Properties>
</file>