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0"/>
        <w:gridCol w:w="3573"/>
      </w:tblGrid>
      <w:tr w:rsidR="0082303F" w:rsidRPr="00314F6C" w14:paraId="42E7C6B9" w14:textId="77777777" w:rsidTr="00B92F7E">
        <w:trPr>
          <w:trHeight w:hRule="exact" w:val="418"/>
          <w:jc w:val="center"/>
        </w:trPr>
        <w:tc>
          <w:tcPr>
            <w:tcW w:w="8523" w:type="dxa"/>
            <w:gridSpan w:val="2"/>
          </w:tcPr>
          <w:p w14:paraId="1A6229BC" w14:textId="77777777" w:rsidR="0082303F" w:rsidRPr="00314F6C" w:rsidRDefault="0082303F" w:rsidP="00102814">
            <w:pPr>
              <w:pStyle w:val="a3"/>
              <w:jc w:val="center"/>
              <w:rPr>
                <w:rFonts w:ascii="Tahoma" w:hAnsi="Tahoma" w:cs="Tahoma"/>
                <w:color w:val="000080"/>
                <w:rtl/>
              </w:rPr>
            </w:pPr>
            <w:bookmarkStart w:id="0" w:name="LastJudge"/>
            <w:r w:rsidRPr="00314F6C">
              <w:rPr>
                <w:rFonts w:ascii="Tahoma" w:hAnsi="Tahoma" w:cs="Tahoma"/>
                <w:b/>
                <w:bCs/>
                <w:color w:val="000080"/>
                <w:rtl/>
              </w:rPr>
              <w:t>בית משפט השלום בנתניה</w:t>
            </w:r>
          </w:p>
        </w:tc>
      </w:tr>
      <w:tr w:rsidR="0082303F" w:rsidRPr="00314F6C" w14:paraId="0360E8BE" w14:textId="77777777" w:rsidTr="00B92F7E">
        <w:trPr>
          <w:trHeight w:val="337"/>
          <w:jc w:val="center"/>
        </w:trPr>
        <w:tc>
          <w:tcPr>
            <w:tcW w:w="4950" w:type="dxa"/>
          </w:tcPr>
          <w:p w14:paraId="50BF6E3D" w14:textId="77777777" w:rsidR="0082303F" w:rsidRPr="00314F6C" w:rsidRDefault="0082303F" w:rsidP="00102814">
            <w:pPr>
              <w:rPr>
                <w:rFonts w:cs="FrankRuehl"/>
                <w:sz w:val="28"/>
                <w:szCs w:val="28"/>
                <w:rtl/>
              </w:rPr>
            </w:pPr>
            <w:r w:rsidRPr="00314F6C">
              <w:rPr>
                <w:rFonts w:cs="FrankRuehl"/>
                <w:sz w:val="28"/>
                <w:szCs w:val="28"/>
                <w:rtl/>
              </w:rPr>
              <w:t>ת"פ</w:t>
            </w:r>
            <w:r w:rsidRPr="00314F6C">
              <w:rPr>
                <w:rFonts w:cs="FrankRuehl" w:hint="cs"/>
                <w:sz w:val="28"/>
                <w:szCs w:val="28"/>
                <w:rtl/>
              </w:rPr>
              <w:t xml:space="preserve"> </w:t>
            </w:r>
            <w:r w:rsidRPr="00314F6C">
              <w:rPr>
                <w:rFonts w:cs="FrankRuehl"/>
                <w:sz w:val="28"/>
                <w:szCs w:val="28"/>
                <w:rtl/>
              </w:rPr>
              <w:t>29602-08-21</w:t>
            </w:r>
            <w:r w:rsidRPr="00314F6C">
              <w:rPr>
                <w:rFonts w:cs="FrankRuehl" w:hint="cs"/>
                <w:sz w:val="28"/>
                <w:szCs w:val="28"/>
                <w:rtl/>
              </w:rPr>
              <w:t xml:space="preserve"> </w:t>
            </w:r>
            <w:r w:rsidRPr="00314F6C">
              <w:rPr>
                <w:rFonts w:cs="FrankRuehl"/>
                <w:sz w:val="28"/>
                <w:szCs w:val="28"/>
                <w:rtl/>
              </w:rPr>
              <w:t>מדינת ישראל נ' סיתאלכיל</w:t>
            </w:r>
          </w:p>
        </w:tc>
        <w:tc>
          <w:tcPr>
            <w:tcW w:w="3573" w:type="dxa"/>
          </w:tcPr>
          <w:p w14:paraId="5AF4FB7E" w14:textId="77777777" w:rsidR="0082303F" w:rsidRPr="00314F6C" w:rsidRDefault="0082303F" w:rsidP="00102814">
            <w:pPr>
              <w:pStyle w:val="a3"/>
              <w:jc w:val="right"/>
              <w:rPr>
                <w:rFonts w:cs="FrankRuehl"/>
                <w:sz w:val="28"/>
                <w:szCs w:val="28"/>
                <w:rtl/>
              </w:rPr>
            </w:pPr>
          </w:p>
        </w:tc>
      </w:tr>
    </w:tbl>
    <w:p w14:paraId="37CD7DF1" w14:textId="77777777" w:rsidR="0082303F" w:rsidRPr="00314F6C" w:rsidRDefault="0082303F" w:rsidP="0082303F">
      <w:pPr>
        <w:pStyle w:val="a3"/>
        <w:rPr>
          <w:rtl/>
        </w:rPr>
      </w:pPr>
      <w:r w:rsidRPr="00314F6C">
        <w:rPr>
          <w:rFonts w:hint="cs"/>
          <w:rtl/>
        </w:rPr>
        <w:t xml:space="preserve"> </w:t>
      </w:r>
    </w:p>
    <w:p w14:paraId="616553E0" w14:textId="77777777" w:rsidR="0082303F" w:rsidRPr="00314F6C" w:rsidRDefault="0082303F" w:rsidP="0082303F">
      <w:pPr>
        <w:rPr>
          <w:rFonts w:ascii="Arial (W1)" w:hAnsi="Arial (W1)"/>
          <w:b/>
          <w:bCs/>
          <w:sz w:val="28"/>
          <w:szCs w:val="28"/>
          <w:rtl/>
        </w:rPr>
      </w:pPr>
    </w:p>
    <w:p w14:paraId="074FA39A" w14:textId="77777777" w:rsidR="0082303F" w:rsidRPr="00314F6C" w:rsidRDefault="0082303F" w:rsidP="0082303F">
      <w:pPr>
        <w:rPr>
          <w:rFonts w:ascii="Arial (W1)" w:hAnsi="Arial (W1)"/>
          <w:b/>
          <w:bCs/>
          <w:sz w:val="28"/>
          <w:szCs w:val="28"/>
        </w:rPr>
      </w:pPr>
      <w:r w:rsidRPr="00314F6C">
        <w:rPr>
          <w:rFonts w:ascii="Arial (W1)" w:hAnsi="Arial (W1)"/>
          <w:b/>
          <w:bCs/>
          <w:sz w:val="28"/>
          <w:szCs w:val="28"/>
          <w:rtl/>
        </w:rPr>
        <w:softHyphen/>
      </w:r>
      <w:r w:rsidRPr="00314F6C">
        <w:rPr>
          <w:rFonts w:ascii="Arial (W1)" w:hAnsi="Arial (W1)"/>
          <w:b/>
          <w:bCs/>
          <w:sz w:val="28"/>
          <w:szCs w:val="28"/>
          <w:rtl/>
        </w:rPr>
        <w:softHyphen/>
        <w:t>לפני:</w:t>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t>כבוד השופט גיא אבנון</w:t>
      </w:r>
    </w:p>
    <w:p w14:paraId="1543FBA7" w14:textId="77777777" w:rsidR="0082303F" w:rsidRPr="00314F6C" w:rsidRDefault="0082303F" w:rsidP="0082303F">
      <w:pPr>
        <w:rPr>
          <w:rFonts w:ascii="Arial (W1)" w:hAnsi="Arial (W1)"/>
          <w:b/>
          <w:bCs/>
          <w:sz w:val="28"/>
          <w:szCs w:val="28"/>
          <w:rtl/>
        </w:rPr>
      </w:pPr>
    </w:p>
    <w:p w14:paraId="6C19EBB0" w14:textId="77777777" w:rsidR="0082303F" w:rsidRPr="00314F6C" w:rsidRDefault="0082303F" w:rsidP="0082303F">
      <w:pPr>
        <w:rPr>
          <w:rFonts w:ascii="Arial (W1)" w:hAnsi="Arial (W1)"/>
          <w:b/>
          <w:bCs/>
          <w:sz w:val="28"/>
          <w:szCs w:val="28"/>
          <w:rtl/>
        </w:rPr>
      </w:pPr>
      <w:r w:rsidRPr="00314F6C">
        <w:rPr>
          <w:rFonts w:ascii="Arial (W1)" w:hAnsi="Arial (W1)"/>
          <w:b/>
          <w:bCs/>
          <w:sz w:val="28"/>
          <w:szCs w:val="28"/>
          <w:rtl/>
        </w:rPr>
        <w:t>ה</w:t>
      </w:r>
      <w:bookmarkStart w:id="1" w:name="FirstAppellant"/>
      <w:r w:rsidRPr="00314F6C">
        <w:rPr>
          <w:rFonts w:ascii="Arial (W1)" w:hAnsi="Arial (W1)"/>
          <w:b/>
          <w:bCs/>
          <w:sz w:val="28"/>
          <w:szCs w:val="28"/>
          <w:rtl/>
        </w:rPr>
        <w:t>מאשימ</w:t>
      </w:r>
      <w:bookmarkEnd w:id="1"/>
      <w:r w:rsidRPr="00314F6C">
        <w:rPr>
          <w:rFonts w:ascii="Arial (W1)" w:hAnsi="Arial (W1)"/>
          <w:b/>
          <w:bCs/>
          <w:sz w:val="28"/>
          <w:szCs w:val="28"/>
          <w:rtl/>
        </w:rPr>
        <w:t>ה:</w:t>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t>מדינת ישראל</w:t>
      </w:r>
    </w:p>
    <w:p w14:paraId="3973BDB8" w14:textId="77777777" w:rsidR="0082303F" w:rsidRPr="00314F6C" w:rsidRDefault="0082303F" w:rsidP="0082303F">
      <w:pPr>
        <w:rPr>
          <w:rFonts w:ascii="Arial (W1)" w:hAnsi="Arial (W1)"/>
          <w:b/>
          <w:bCs/>
          <w:sz w:val="28"/>
          <w:szCs w:val="28"/>
          <w:rtl/>
        </w:rPr>
      </w:pP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t>באמצעות תביעות מרכז – שלוחת נתניה</w:t>
      </w:r>
    </w:p>
    <w:p w14:paraId="2841FC35" w14:textId="77777777" w:rsidR="0082303F" w:rsidRPr="00314F6C" w:rsidRDefault="0082303F" w:rsidP="0082303F">
      <w:pPr>
        <w:rPr>
          <w:rFonts w:ascii="Arial (W1)" w:hAnsi="Arial (W1)"/>
          <w:b/>
          <w:bCs/>
          <w:sz w:val="28"/>
          <w:szCs w:val="28"/>
          <w:rtl/>
        </w:rPr>
      </w:pPr>
    </w:p>
    <w:p w14:paraId="06755838" w14:textId="77777777" w:rsidR="0082303F" w:rsidRPr="00314F6C" w:rsidRDefault="0082303F" w:rsidP="0082303F">
      <w:pPr>
        <w:rPr>
          <w:rFonts w:ascii="Arial (W1)" w:hAnsi="Arial (W1)"/>
          <w:b/>
          <w:bCs/>
          <w:sz w:val="28"/>
          <w:szCs w:val="28"/>
          <w:rtl/>
        </w:rPr>
      </w:pP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t>נ ג ד</w:t>
      </w:r>
    </w:p>
    <w:p w14:paraId="5EC62373" w14:textId="77777777" w:rsidR="0082303F" w:rsidRPr="00314F6C" w:rsidRDefault="0082303F" w:rsidP="0082303F">
      <w:pPr>
        <w:rPr>
          <w:rFonts w:ascii="Arial (W1)" w:hAnsi="Arial (W1)"/>
          <w:b/>
          <w:bCs/>
          <w:sz w:val="28"/>
          <w:szCs w:val="28"/>
          <w:rtl/>
        </w:rPr>
      </w:pPr>
    </w:p>
    <w:p w14:paraId="724ADB13" w14:textId="77777777" w:rsidR="0082303F" w:rsidRPr="00314F6C" w:rsidRDefault="0082303F" w:rsidP="0082303F">
      <w:pPr>
        <w:rPr>
          <w:rFonts w:ascii="Arial (W1)" w:hAnsi="Arial (W1)"/>
          <w:b/>
          <w:bCs/>
          <w:sz w:val="28"/>
          <w:szCs w:val="28"/>
          <w:rtl/>
        </w:rPr>
      </w:pPr>
      <w:r w:rsidRPr="00314F6C">
        <w:rPr>
          <w:rFonts w:ascii="Arial (W1)" w:hAnsi="Arial (W1)"/>
          <w:b/>
          <w:bCs/>
          <w:sz w:val="28"/>
          <w:szCs w:val="28"/>
          <w:rtl/>
        </w:rPr>
        <w:t>הנאשם:</w:t>
      </w:r>
      <w:r w:rsidRPr="00314F6C">
        <w:rPr>
          <w:rFonts w:ascii="Arial (W1)" w:hAnsi="Arial (W1)"/>
          <w:b/>
          <w:bCs/>
          <w:sz w:val="28"/>
          <w:szCs w:val="28"/>
          <w:rtl/>
        </w:rPr>
        <w:tab/>
      </w:r>
      <w:r w:rsidRPr="00314F6C">
        <w:rPr>
          <w:rFonts w:ascii="Arial (W1)" w:hAnsi="Arial (W1)"/>
          <w:b/>
          <w:bCs/>
          <w:sz w:val="28"/>
          <w:szCs w:val="28"/>
          <w:rtl/>
        </w:rPr>
        <w:tab/>
      </w:r>
      <w:r w:rsidRPr="00314F6C">
        <w:rPr>
          <w:rFonts w:ascii="Arial (W1)" w:hAnsi="Arial (W1)"/>
          <w:b/>
          <w:bCs/>
          <w:sz w:val="28"/>
          <w:szCs w:val="28"/>
          <w:rtl/>
        </w:rPr>
        <w:tab/>
        <w:t xml:space="preserve">מור סיתאלכיל </w:t>
      </w:r>
    </w:p>
    <w:p w14:paraId="3CC3621C" w14:textId="77777777" w:rsidR="0082303F" w:rsidRPr="00314F6C" w:rsidRDefault="0082303F" w:rsidP="0082303F">
      <w:pPr>
        <w:rPr>
          <w:rFonts w:ascii="Arial (W1)" w:hAnsi="Arial (W1)"/>
          <w:b/>
          <w:bCs/>
          <w:sz w:val="28"/>
          <w:szCs w:val="28"/>
          <w:rtl/>
        </w:rPr>
      </w:pPr>
    </w:p>
    <w:p w14:paraId="2E97AFE7" w14:textId="77777777" w:rsidR="0082303F" w:rsidRPr="00314F6C" w:rsidRDefault="0082303F" w:rsidP="0082303F">
      <w:pPr>
        <w:rPr>
          <w:rFonts w:ascii="Arial (W1)" w:hAnsi="Arial (W1)"/>
          <w:sz w:val="28"/>
          <w:szCs w:val="28"/>
          <w:rtl/>
        </w:rPr>
      </w:pPr>
      <w:bookmarkStart w:id="2" w:name="FirstLawyer"/>
      <w:r w:rsidRPr="00314F6C">
        <w:rPr>
          <w:rFonts w:ascii="Arial (W1)" w:hAnsi="Arial (W1)"/>
          <w:sz w:val="28"/>
          <w:szCs w:val="28"/>
          <w:rtl/>
        </w:rPr>
        <w:t>בשם</w:t>
      </w:r>
      <w:bookmarkEnd w:id="2"/>
      <w:r w:rsidRPr="00314F6C">
        <w:rPr>
          <w:rFonts w:ascii="Arial (W1)" w:hAnsi="Arial (W1)"/>
          <w:sz w:val="28"/>
          <w:szCs w:val="28"/>
          <w:rtl/>
        </w:rPr>
        <w:t xml:space="preserve"> המאשימה:</w:t>
      </w:r>
      <w:r w:rsidRPr="00314F6C">
        <w:rPr>
          <w:rFonts w:ascii="Arial (W1)" w:hAnsi="Arial (W1)"/>
          <w:sz w:val="28"/>
          <w:szCs w:val="28"/>
          <w:rtl/>
        </w:rPr>
        <w:tab/>
      </w:r>
      <w:r w:rsidRPr="00314F6C">
        <w:rPr>
          <w:rFonts w:ascii="Arial (W1)" w:hAnsi="Arial (W1)"/>
          <w:sz w:val="28"/>
          <w:szCs w:val="28"/>
          <w:rtl/>
        </w:rPr>
        <w:tab/>
        <w:t>עו"ד שני מלול</w:t>
      </w:r>
      <w:r w:rsidRPr="00314F6C">
        <w:rPr>
          <w:rFonts w:ascii="Arial (W1)" w:hAnsi="Arial (W1)"/>
          <w:sz w:val="28"/>
          <w:szCs w:val="28"/>
          <w:rtl/>
        </w:rPr>
        <w:tab/>
      </w:r>
    </w:p>
    <w:p w14:paraId="0C4401B2" w14:textId="77777777" w:rsidR="0082303F" w:rsidRPr="00314F6C" w:rsidRDefault="0082303F" w:rsidP="0082303F">
      <w:pPr>
        <w:rPr>
          <w:rFonts w:ascii="Arial (W1)" w:hAnsi="Arial (W1)"/>
          <w:sz w:val="28"/>
          <w:szCs w:val="28"/>
          <w:rtl/>
        </w:rPr>
      </w:pPr>
      <w:r w:rsidRPr="00314F6C">
        <w:rPr>
          <w:rFonts w:ascii="Arial (W1)" w:hAnsi="Arial (W1)"/>
          <w:sz w:val="28"/>
          <w:szCs w:val="28"/>
          <w:rtl/>
        </w:rPr>
        <w:t>בשם הנאשם:</w:t>
      </w:r>
      <w:r w:rsidRPr="00314F6C">
        <w:rPr>
          <w:rFonts w:ascii="Arial (W1)" w:hAnsi="Arial (W1)"/>
          <w:sz w:val="28"/>
          <w:szCs w:val="28"/>
          <w:rtl/>
        </w:rPr>
        <w:tab/>
      </w:r>
      <w:r w:rsidRPr="00314F6C">
        <w:rPr>
          <w:rFonts w:ascii="Arial (W1)" w:hAnsi="Arial (W1)"/>
          <w:sz w:val="28"/>
          <w:szCs w:val="28"/>
          <w:rtl/>
        </w:rPr>
        <w:tab/>
      </w:r>
      <w:r w:rsidRPr="00314F6C">
        <w:rPr>
          <w:rFonts w:ascii="Arial (W1)" w:hAnsi="Arial (W1)"/>
          <w:sz w:val="28"/>
          <w:szCs w:val="28"/>
          <w:rtl/>
        </w:rPr>
        <w:tab/>
        <w:t>עו"ד גיל באיער</w:t>
      </w:r>
    </w:p>
    <w:p w14:paraId="2801B5CC" w14:textId="77777777" w:rsidR="0082303F" w:rsidRPr="00314F6C" w:rsidRDefault="0082303F" w:rsidP="0082303F">
      <w:pPr>
        <w:spacing w:line="360" w:lineRule="auto"/>
        <w:rPr>
          <w:rFonts w:ascii="Arial (W1)" w:hAnsi="Arial (W1)"/>
          <w:sz w:val="28"/>
          <w:szCs w:val="28"/>
          <w:rtl/>
        </w:rPr>
      </w:pPr>
    </w:p>
    <w:p w14:paraId="64A82C6C" w14:textId="77777777" w:rsidR="00314F6C" w:rsidRPr="00314F6C" w:rsidRDefault="00314F6C" w:rsidP="00314F6C">
      <w:pPr>
        <w:spacing w:before="120" w:after="120" w:line="240" w:lineRule="exact"/>
        <w:ind w:left="283" w:hanging="283"/>
        <w:jc w:val="both"/>
        <w:rPr>
          <w:rFonts w:ascii="FrankRuehl" w:hAnsi="FrankRuehl" w:cs="FrankRuehl"/>
          <w:rtl/>
        </w:rPr>
      </w:pPr>
      <w:bookmarkStart w:id="3" w:name="LawTable"/>
      <w:bookmarkEnd w:id="3"/>
    </w:p>
    <w:p w14:paraId="22BD18DB" w14:textId="77777777" w:rsidR="00314F6C" w:rsidRPr="00314F6C" w:rsidRDefault="00314F6C" w:rsidP="00314F6C">
      <w:pPr>
        <w:spacing w:before="120" w:after="120" w:line="240" w:lineRule="exact"/>
        <w:ind w:left="283" w:hanging="283"/>
        <w:jc w:val="both"/>
        <w:rPr>
          <w:rFonts w:ascii="FrankRuehl" w:hAnsi="FrankRuehl" w:cs="FrankRuehl"/>
          <w:rtl/>
        </w:rPr>
      </w:pPr>
      <w:r w:rsidRPr="00314F6C">
        <w:rPr>
          <w:rFonts w:ascii="FrankRuehl" w:hAnsi="FrankRuehl" w:cs="FrankRuehl" w:hint="eastAsia"/>
          <w:rtl/>
        </w:rPr>
        <w:t>חקיקה</w:t>
      </w:r>
      <w:r w:rsidRPr="00314F6C">
        <w:rPr>
          <w:rFonts w:ascii="FrankRuehl" w:hAnsi="FrankRuehl" w:cs="FrankRuehl"/>
          <w:rtl/>
        </w:rPr>
        <w:t xml:space="preserve"> </w:t>
      </w:r>
      <w:r w:rsidRPr="00314F6C">
        <w:rPr>
          <w:rFonts w:ascii="FrankRuehl" w:hAnsi="FrankRuehl" w:cs="FrankRuehl" w:hint="eastAsia"/>
          <w:rtl/>
        </w:rPr>
        <w:t>שאוזכרה</w:t>
      </w:r>
      <w:r w:rsidRPr="00314F6C">
        <w:rPr>
          <w:rFonts w:ascii="FrankRuehl" w:hAnsi="FrankRuehl" w:cs="FrankRuehl"/>
          <w:rtl/>
        </w:rPr>
        <w:t xml:space="preserve">: </w:t>
      </w:r>
    </w:p>
    <w:p w14:paraId="4B6F596F" w14:textId="77777777" w:rsidR="00314F6C" w:rsidRPr="00314F6C" w:rsidRDefault="00314F6C" w:rsidP="00314F6C">
      <w:pPr>
        <w:spacing w:before="120" w:after="120" w:line="240" w:lineRule="exact"/>
        <w:ind w:left="283" w:hanging="283"/>
        <w:jc w:val="both"/>
        <w:rPr>
          <w:rFonts w:ascii="FrankRuehl" w:hAnsi="FrankRuehl" w:cs="FrankRuehl"/>
          <w:rtl/>
        </w:rPr>
      </w:pPr>
      <w:hyperlink r:id="rId6" w:history="1">
        <w:r w:rsidRPr="00314F6C">
          <w:rPr>
            <w:rFonts w:ascii="FrankRuehl" w:hAnsi="FrankRuehl" w:cs="FrankRuehl" w:hint="eastAsia"/>
            <w:color w:val="0000FF"/>
            <w:rtl/>
          </w:rPr>
          <w:t>פקודת</w:t>
        </w:r>
        <w:r w:rsidRPr="00314F6C">
          <w:rPr>
            <w:rFonts w:ascii="FrankRuehl" w:hAnsi="FrankRuehl" w:cs="FrankRuehl"/>
            <w:color w:val="0000FF"/>
            <w:rtl/>
          </w:rPr>
          <w:t xml:space="preserve"> </w:t>
        </w:r>
        <w:r w:rsidRPr="00314F6C">
          <w:rPr>
            <w:rFonts w:ascii="FrankRuehl" w:hAnsi="FrankRuehl" w:cs="FrankRuehl" w:hint="eastAsia"/>
            <w:color w:val="0000FF"/>
            <w:rtl/>
          </w:rPr>
          <w:t>הסמים</w:t>
        </w:r>
        <w:r w:rsidRPr="00314F6C">
          <w:rPr>
            <w:rFonts w:ascii="FrankRuehl" w:hAnsi="FrankRuehl" w:cs="FrankRuehl"/>
            <w:color w:val="0000FF"/>
            <w:rtl/>
          </w:rPr>
          <w:t xml:space="preserve"> </w:t>
        </w:r>
        <w:r w:rsidRPr="00314F6C">
          <w:rPr>
            <w:rFonts w:ascii="FrankRuehl" w:hAnsi="FrankRuehl" w:cs="FrankRuehl" w:hint="eastAsia"/>
            <w:color w:val="0000FF"/>
            <w:rtl/>
          </w:rPr>
          <w:t>המסוכנים</w:t>
        </w:r>
        <w:r w:rsidRPr="00314F6C">
          <w:rPr>
            <w:rFonts w:ascii="FrankRuehl" w:hAnsi="FrankRuehl" w:cs="FrankRuehl"/>
            <w:color w:val="0000FF"/>
            <w:rtl/>
          </w:rPr>
          <w:t xml:space="preserve"> [</w:t>
        </w:r>
        <w:r w:rsidRPr="00314F6C">
          <w:rPr>
            <w:rFonts w:ascii="FrankRuehl" w:hAnsi="FrankRuehl" w:cs="FrankRuehl" w:hint="eastAsia"/>
            <w:color w:val="0000FF"/>
            <w:rtl/>
          </w:rPr>
          <w:t>נוסח</w:t>
        </w:r>
        <w:r w:rsidRPr="00314F6C">
          <w:rPr>
            <w:rFonts w:ascii="FrankRuehl" w:hAnsi="FrankRuehl" w:cs="FrankRuehl"/>
            <w:color w:val="0000FF"/>
            <w:rtl/>
          </w:rPr>
          <w:t xml:space="preserve"> </w:t>
        </w:r>
        <w:r w:rsidRPr="00314F6C">
          <w:rPr>
            <w:rFonts w:ascii="FrankRuehl" w:hAnsi="FrankRuehl" w:cs="FrankRuehl" w:hint="eastAsia"/>
            <w:color w:val="0000FF"/>
            <w:rtl/>
          </w:rPr>
          <w:t>חדש</w:t>
        </w:r>
        <w:r w:rsidRPr="00314F6C">
          <w:rPr>
            <w:rFonts w:ascii="FrankRuehl" w:hAnsi="FrankRuehl" w:cs="FrankRuehl"/>
            <w:color w:val="0000FF"/>
            <w:rtl/>
          </w:rPr>
          <w:t xml:space="preserve">], </w:t>
        </w:r>
        <w:r w:rsidRPr="00314F6C">
          <w:rPr>
            <w:rFonts w:ascii="FrankRuehl" w:hAnsi="FrankRuehl" w:cs="FrankRuehl" w:hint="eastAsia"/>
            <w:color w:val="0000FF"/>
            <w:rtl/>
          </w:rPr>
          <w:t>תשל</w:t>
        </w:r>
        <w:r w:rsidRPr="00314F6C">
          <w:rPr>
            <w:rFonts w:ascii="FrankRuehl" w:hAnsi="FrankRuehl" w:cs="FrankRuehl"/>
            <w:color w:val="0000FF"/>
            <w:rtl/>
          </w:rPr>
          <w:t>"</w:t>
        </w:r>
        <w:r w:rsidRPr="00314F6C">
          <w:rPr>
            <w:rFonts w:ascii="FrankRuehl" w:hAnsi="FrankRuehl" w:cs="FrankRuehl" w:hint="eastAsia"/>
            <w:color w:val="0000FF"/>
            <w:rtl/>
          </w:rPr>
          <w:t>ג</w:t>
        </w:r>
        <w:r w:rsidRPr="00314F6C">
          <w:rPr>
            <w:rFonts w:ascii="FrankRuehl" w:hAnsi="FrankRuehl" w:cs="FrankRuehl"/>
            <w:color w:val="0000FF"/>
            <w:rtl/>
          </w:rPr>
          <w:t>-1973</w:t>
        </w:r>
      </w:hyperlink>
    </w:p>
    <w:p w14:paraId="09C6C2EE" w14:textId="77777777" w:rsidR="00314F6C" w:rsidRPr="00314F6C" w:rsidRDefault="00314F6C" w:rsidP="00314F6C">
      <w:pPr>
        <w:spacing w:line="360" w:lineRule="auto"/>
        <w:jc w:val="center"/>
        <w:rPr>
          <w:rFonts w:ascii="Arial (W1)" w:hAnsi="Arial (W1)"/>
          <w:sz w:val="28"/>
          <w:szCs w:val="28"/>
          <w:rtl/>
        </w:rPr>
      </w:pPr>
      <w:bookmarkStart w:id="4" w:name="LawTable_End"/>
      <w:bookmarkEnd w:id="4"/>
    </w:p>
    <w:p w14:paraId="2930E281" w14:textId="77777777" w:rsidR="00314F6C" w:rsidRPr="00314F6C" w:rsidRDefault="00314F6C" w:rsidP="0082303F">
      <w:pPr>
        <w:spacing w:line="360" w:lineRule="auto"/>
        <w:jc w:val="center"/>
        <w:rPr>
          <w:rFonts w:ascii="Arial (W1)" w:hAnsi="Arial (W1)"/>
          <w:b/>
          <w:bCs/>
          <w:sz w:val="28"/>
          <w:szCs w:val="28"/>
          <w:rtl/>
        </w:rPr>
      </w:pPr>
    </w:p>
    <w:p w14:paraId="536E31A0" w14:textId="77777777" w:rsidR="00314F6C" w:rsidRPr="00314F6C" w:rsidRDefault="00314F6C" w:rsidP="00314F6C">
      <w:pPr>
        <w:spacing w:line="360" w:lineRule="auto"/>
        <w:jc w:val="center"/>
        <w:rPr>
          <w:rFonts w:ascii="Arial (W1)" w:hAnsi="Arial (W1)"/>
          <w:b/>
          <w:bCs/>
          <w:sz w:val="28"/>
          <w:szCs w:val="28"/>
          <w:u w:val="single"/>
          <w:rtl/>
        </w:rPr>
      </w:pPr>
      <w:bookmarkStart w:id="5" w:name="PsakDin"/>
      <w:bookmarkEnd w:id="0"/>
      <w:r w:rsidRPr="00314F6C">
        <w:rPr>
          <w:rFonts w:ascii="Arial (W1)" w:hAnsi="Arial (W1)" w:hint="eastAsia"/>
          <w:b/>
          <w:bCs/>
          <w:sz w:val="28"/>
          <w:szCs w:val="28"/>
          <w:u w:val="single"/>
          <w:rtl/>
        </w:rPr>
        <w:t>גזר</w:t>
      </w:r>
      <w:r w:rsidRPr="00314F6C">
        <w:rPr>
          <w:rFonts w:ascii="Arial (W1)" w:hAnsi="Arial (W1)"/>
          <w:b/>
          <w:bCs/>
          <w:sz w:val="28"/>
          <w:szCs w:val="28"/>
          <w:u w:val="single"/>
          <w:rtl/>
        </w:rPr>
        <w:t xml:space="preserve"> </w:t>
      </w:r>
      <w:r w:rsidRPr="00314F6C">
        <w:rPr>
          <w:rFonts w:ascii="Arial (W1)" w:hAnsi="Arial (W1)" w:hint="eastAsia"/>
          <w:b/>
          <w:bCs/>
          <w:sz w:val="28"/>
          <w:szCs w:val="28"/>
          <w:u w:val="single"/>
          <w:rtl/>
        </w:rPr>
        <w:t>דין</w:t>
      </w:r>
    </w:p>
    <w:bookmarkEnd w:id="5"/>
    <w:p w14:paraId="45729AE5" w14:textId="77777777" w:rsidR="0082303F" w:rsidRPr="008869A2" w:rsidRDefault="0082303F" w:rsidP="0082303F">
      <w:pPr>
        <w:spacing w:line="360" w:lineRule="auto"/>
        <w:jc w:val="both"/>
        <w:rPr>
          <w:rFonts w:ascii="FrankRuehl" w:eastAsia="Calibri" w:hAnsi="FrankRuehl" w:cs="FrankRuehl"/>
          <w:sz w:val="28"/>
          <w:szCs w:val="28"/>
          <w:rtl/>
        </w:rPr>
      </w:pPr>
    </w:p>
    <w:p w14:paraId="58AD1FE0" w14:textId="77777777" w:rsidR="0082303F" w:rsidRPr="008869A2" w:rsidRDefault="0082303F" w:rsidP="0082303F">
      <w:pPr>
        <w:spacing w:line="360" w:lineRule="auto"/>
        <w:jc w:val="both"/>
        <w:rPr>
          <w:rFonts w:ascii="FrankRuehl" w:eastAsia="Calibri" w:hAnsi="FrankRuehl" w:cs="FrankRuehl"/>
          <w:sz w:val="28"/>
          <w:szCs w:val="28"/>
          <w:rtl/>
        </w:rPr>
      </w:pPr>
      <w:r w:rsidRPr="008869A2">
        <w:rPr>
          <w:rFonts w:ascii="FrankRuehl" w:eastAsia="Calibri" w:hAnsi="FrankRuehl" w:cs="FrankRuehl"/>
          <w:sz w:val="28"/>
          <w:szCs w:val="28"/>
          <w:rtl/>
        </w:rPr>
        <w:tab/>
        <w:t xml:space="preserve">בהמשך להסדר טיעון בין הצדדים הורשע הנאשם בהתאם להודאתו בכתב אישום מתוקן בעבירת </w:t>
      </w:r>
      <w:r w:rsidRPr="008869A2">
        <w:rPr>
          <w:rFonts w:ascii="FrankRuehl" w:eastAsia="Calibri" w:hAnsi="FrankRuehl" w:cs="Miriam"/>
          <w:b/>
          <w:sz w:val="28"/>
          <w:rtl/>
        </w:rPr>
        <w:t>החזקת סמים שלא לצריכה עצמית</w:t>
      </w:r>
      <w:r w:rsidRPr="008869A2">
        <w:rPr>
          <w:rFonts w:ascii="FrankRuehl" w:eastAsia="Calibri" w:hAnsi="FrankRuehl" w:cs="FrankRuehl"/>
          <w:sz w:val="28"/>
          <w:szCs w:val="28"/>
          <w:rtl/>
        </w:rPr>
        <w:t>, לפי סעיפים 7(א) ו-7(ג) רישא ל</w:t>
      </w:r>
      <w:hyperlink r:id="rId7" w:history="1">
        <w:r w:rsidR="00314F6C" w:rsidRPr="00314F6C">
          <w:rPr>
            <w:rFonts w:ascii="FrankRuehl" w:eastAsia="Calibri" w:hAnsi="FrankRuehl" w:cs="FrankRuehl"/>
            <w:color w:val="0000FF"/>
            <w:sz w:val="28"/>
            <w:szCs w:val="28"/>
            <w:u w:val="single"/>
            <w:rtl/>
          </w:rPr>
          <w:t>פקודת הסמים המסוכנים</w:t>
        </w:r>
      </w:hyperlink>
      <w:r w:rsidRPr="008869A2">
        <w:rPr>
          <w:rFonts w:ascii="FrankRuehl" w:eastAsia="Calibri" w:hAnsi="FrankRuehl" w:cs="FrankRuehl"/>
          <w:sz w:val="28"/>
          <w:szCs w:val="28"/>
          <w:rtl/>
        </w:rPr>
        <w:t xml:space="preserve"> [נוסח חדש], תשל"ג-1973 (להלן: </w:t>
      </w:r>
      <w:r w:rsidRPr="008869A2">
        <w:rPr>
          <w:rFonts w:ascii="FrankRuehl" w:eastAsia="Calibri" w:hAnsi="FrankRuehl" w:cs="Miriam"/>
          <w:b/>
          <w:sz w:val="28"/>
          <w:rtl/>
        </w:rPr>
        <w:t>פקודת הסמים</w:t>
      </w:r>
      <w:r w:rsidRPr="008869A2">
        <w:rPr>
          <w:rFonts w:ascii="FrankRuehl" w:eastAsia="Calibri" w:hAnsi="FrankRuehl" w:cs="FrankRuehl"/>
          <w:sz w:val="28"/>
          <w:szCs w:val="28"/>
          <w:rtl/>
        </w:rPr>
        <w:t>). מכתב האישום המתוקן עולה כי ביום 29.8.18 יצא הנאשם את ביתו כשבכליו סם מסוכן מסוג קנאביס במשקל 100 גרם. שוטרים דלקו אחרי הנאשם, אשר השליך מחלון מכוניתו שקית ובה סם מסוג קנאביס במשקל 9.77 גרם. במכוניתו של הנאשם נתפס סם נוסף מסוג קנאביס במשקל 4.86 גרם, ובחיפוש בביתו נתפס סם מסוג קנאביס במשקל 0.57 גרם. עוד צוין כי במהלך החיפוש נקט הנאשם לשון מכפישה ומכוערת כלפי שוטר.</w:t>
      </w:r>
    </w:p>
    <w:p w14:paraId="04ACC8AB" w14:textId="77777777" w:rsidR="0082303F" w:rsidRPr="008869A2" w:rsidRDefault="0082303F" w:rsidP="0082303F">
      <w:pPr>
        <w:spacing w:line="360" w:lineRule="auto"/>
        <w:jc w:val="both"/>
        <w:rPr>
          <w:rFonts w:ascii="FrankRuehl" w:eastAsia="Calibri" w:hAnsi="FrankRuehl" w:cs="FrankRuehl"/>
          <w:sz w:val="28"/>
          <w:szCs w:val="28"/>
          <w:rtl/>
        </w:rPr>
      </w:pPr>
    </w:p>
    <w:p w14:paraId="739AF7FF" w14:textId="77777777" w:rsidR="0082303F" w:rsidRPr="008869A2" w:rsidRDefault="0082303F" w:rsidP="0082303F">
      <w:pPr>
        <w:spacing w:line="360" w:lineRule="auto"/>
        <w:jc w:val="both"/>
        <w:rPr>
          <w:rFonts w:ascii="FrankRuehl" w:eastAsia="Calibri" w:hAnsi="FrankRuehl" w:cs="FrankRuehl"/>
          <w:sz w:val="28"/>
          <w:szCs w:val="28"/>
          <w:rtl/>
        </w:rPr>
      </w:pPr>
      <w:r w:rsidRPr="008869A2">
        <w:rPr>
          <w:rFonts w:ascii="FrankRuehl" w:eastAsia="Calibri" w:hAnsi="FrankRuehl" w:cs="FrankRuehl"/>
          <w:sz w:val="28"/>
          <w:szCs w:val="28"/>
          <w:rtl/>
        </w:rPr>
        <w:tab/>
        <w:t>לאחר שנדחתה בקשתו של הנאשם לחזור בו מהודייתו</w:t>
      </w:r>
      <w:r>
        <w:rPr>
          <w:rFonts w:ascii="FrankRuehl" w:eastAsia="Calibri" w:hAnsi="FrankRuehl" w:cs="FrankRuehl" w:hint="cs"/>
          <w:sz w:val="28"/>
          <w:szCs w:val="28"/>
          <w:rtl/>
        </w:rPr>
        <w:t>,</w:t>
      </w:r>
      <w:r w:rsidRPr="008869A2">
        <w:rPr>
          <w:rFonts w:ascii="FrankRuehl" w:eastAsia="Calibri" w:hAnsi="FrankRuehl" w:cs="FrankRuehl"/>
          <w:sz w:val="28"/>
          <w:szCs w:val="28"/>
          <w:rtl/>
        </w:rPr>
        <w:t xml:space="preserve"> טענו הצדדים לעונש, וביקשו במשותף לגזור על הנאשם חודשיים מאסר בפועל לריצוי בעבודות שירות, מאסר על-תנאי, קנס וחילוט סך של 1,250 ₪ שנתפס מהנאשם. המאשימה הגישה את גיליון הרישום הפלילי של הנאשם (עת/1). ב"כ הנאשם טען כי מזה כשנתיים מחזיק הנאשם רישיון לצריכת קנאביס בשל בעיות רפואיות מהן הוא סובל. כן הגיש תלושי שכר ואסמכתאות בדבר תשלומי מזונות (ענ/1-</w:t>
      </w:r>
      <w:r w:rsidRPr="008869A2">
        <w:rPr>
          <w:rFonts w:ascii="FrankRuehl" w:eastAsia="Calibri" w:hAnsi="FrankRuehl" w:cs="FrankRuehl"/>
          <w:sz w:val="28"/>
          <w:szCs w:val="28"/>
          <w:rtl/>
        </w:rPr>
        <w:lastRenderedPageBreak/>
        <w:t>ענ/2), מהם ביקש ללמוד כי מצבו הכלכלי של הנאשם בכי רע, ומשכך ביקש לגזור את הקנס על הצד המתון, בפרט בשים לב לחילוט המוסכם. הנאשם הופנה לקבלת חוות דעת מאת הממונה על עבודות שירות, אשר מצא אותו כשיר (הפניה חוזרת, מאחר שההליך התמשך על רקע בקשת הנאשם לחזור בו מהודייתו).</w:t>
      </w:r>
    </w:p>
    <w:p w14:paraId="1B28F477" w14:textId="77777777" w:rsidR="0082303F" w:rsidRPr="008869A2" w:rsidRDefault="0082303F" w:rsidP="0082303F">
      <w:pPr>
        <w:spacing w:line="360" w:lineRule="auto"/>
        <w:jc w:val="both"/>
        <w:rPr>
          <w:rFonts w:ascii="FrankRuehl" w:eastAsia="Calibri" w:hAnsi="FrankRuehl" w:cs="FrankRuehl"/>
          <w:sz w:val="28"/>
          <w:szCs w:val="28"/>
          <w:rtl/>
        </w:rPr>
      </w:pPr>
    </w:p>
    <w:p w14:paraId="0D373267" w14:textId="77777777" w:rsidR="0082303F" w:rsidRPr="008869A2" w:rsidRDefault="0082303F" w:rsidP="0082303F">
      <w:pPr>
        <w:spacing w:line="360" w:lineRule="auto"/>
        <w:jc w:val="both"/>
        <w:rPr>
          <w:rFonts w:ascii="FrankRuehl" w:eastAsia="Calibri" w:hAnsi="FrankRuehl" w:cs="FrankRuehl"/>
          <w:sz w:val="28"/>
          <w:szCs w:val="28"/>
          <w:rtl/>
        </w:rPr>
      </w:pPr>
      <w:r w:rsidRPr="008869A2">
        <w:rPr>
          <w:rFonts w:ascii="FrankRuehl" w:eastAsia="Calibri" w:hAnsi="FrankRuehl" w:cs="FrankRuehl"/>
          <w:sz w:val="28"/>
          <w:szCs w:val="28"/>
          <w:rtl/>
        </w:rPr>
        <w:tab/>
        <w:t xml:space="preserve">גם בהתחשב בתיקון המהותי שנעשה בכתב האישום, ניכר כי עתירתם העונשית של הצדדים מקלה מאוד, לבטח בהינתן התנהגותו של הנאשם במהלך האירוע, ואופן תפיסת הסמים. בצד זאת, בית המשפט יוצא מנקודת הנחה כי הצדדים </w:t>
      </w:r>
      <w:r>
        <w:rPr>
          <w:rFonts w:ascii="FrankRuehl" w:eastAsia="Calibri" w:hAnsi="FrankRuehl" w:cs="FrankRuehl" w:hint="cs"/>
          <w:sz w:val="28"/>
          <w:szCs w:val="28"/>
          <w:rtl/>
        </w:rPr>
        <w:t>שקלו היטב את מלוא שיקולי הענישה בטרם הוצג ההסדר</w:t>
      </w:r>
      <w:r w:rsidRPr="008869A2">
        <w:rPr>
          <w:rFonts w:ascii="FrankRuehl" w:eastAsia="Calibri" w:hAnsi="FrankRuehl" w:cs="FrankRuehl"/>
          <w:sz w:val="28"/>
          <w:szCs w:val="28"/>
          <w:rtl/>
        </w:rPr>
        <w:t xml:space="preserve">, וממילא מצאתי כי התוצאה המבוקשת </w:t>
      </w:r>
      <w:r>
        <w:rPr>
          <w:rFonts w:ascii="FrankRuehl" w:eastAsia="Calibri" w:hAnsi="FrankRuehl" w:cs="FrankRuehl" w:hint="cs"/>
          <w:sz w:val="28"/>
          <w:szCs w:val="28"/>
          <w:rtl/>
        </w:rPr>
        <w:t>נתונה ב</w:t>
      </w:r>
      <w:r w:rsidRPr="008869A2">
        <w:rPr>
          <w:rFonts w:ascii="FrankRuehl" w:eastAsia="Calibri" w:hAnsi="FrankRuehl" w:cs="FrankRuehl"/>
          <w:sz w:val="28"/>
          <w:szCs w:val="28"/>
          <w:rtl/>
        </w:rPr>
        <w:t>מתחם שיקול הדעת הנתון להם. אשר להרשעותיו הקודמות של הנאשם, אלו מכבידות אמנם, אך ככל שמדובר בעבירות על פקודת הסמים, חלפו שנים רבות מאז הרשעתו האחרונה. בכל הנוגע למרכיב הקנס, התחשבתי בטיעוני ההגנה, אך ברי כי לא ניתן להתעלם מכך שהחזקת סם שלא לצריכה עצמית נעשית ככלל למטרת השאת רווח לעבריין על חשבון בריאותו של הציבור. התנהגותו של הנאשם במהלך האירוע מלמדת על היעדר עכבות או מורא מפני גורמי אכיפת החוק, וגם לכך יינתן משקל.</w:t>
      </w:r>
    </w:p>
    <w:p w14:paraId="1995639A" w14:textId="77777777" w:rsidR="0082303F" w:rsidRPr="008869A2" w:rsidRDefault="0082303F" w:rsidP="0082303F">
      <w:pPr>
        <w:spacing w:line="360" w:lineRule="auto"/>
        <w:jc w:val="both"/>
        <w:rPr>
          <w:rFonts w:ascii="FrankRuehl" w:eastAsia="Calibri" w:hAnsi="FrankRuehl" w:cs="FrankRuehl"/>
          <w:sz w:val="28"/>
          <w:szCs w:val="28"/>
          <w:rtl/>
        </w:rPr>
      </w:pPr>
    </w:p>
    <w:p w14:paraId="131AB7AE" w14:textId="77777777" w:rsidR="0082303F" w:rsidRPr="008869A2" w:rsidRDefault="0082303F" w:rsidP="0082303F">
      <w:pPr>
        <w:spacing w:line="360" w:lineRule="auto"/>
        <w:jc w:val="both"/>
        <w:rPr>
          <w:rFonts w:ascii="FrankRuehl" w:eastAsia="Calibri" w:hAnsi="FrankRuehl" w:cs="FrankRuehl"/>
          <w:sz w:val="28"/>
          <w:szCs w:val="28"/>
          <w:rtl/>
        </w:rPr>
      </w:pPr>
      <w:r w:rsidRPr="008869A2">
        <w:rPr>
          <w:rFonts w:ascii="FrankRuehl" w:eastAsia="Calibri" w:hAnsi="FrankRuehl" w:cs="FrankRuehl"/>
          <w:sz w:val="28"/>
          <w:szCs w:val="28"/>
          <w:rtl/>
        </w:rPr>
        <w:tab/>
        <w:t>החלטתי לכבד את הסדר הטיעון, ואני גוזר על הנאשם את העונשים הבאים:</w:t>
      </w:r>
    </w:p>
    <w:p w14:paraId="0305528D" w14:textId="77777777" w:rsidR="0082303F" w:rsidRPr="008869A2" w:rsidRDefault="0082303F" w:rsidP="0082303F">
      <w:pPr>
        <w:spacing w:line="360" w:lineRule="auto"/>
        <w:ind w:left="1440" w:hanging="720"/>
        <w:jc w:val="both"/>
        <w:rPr>
          <w:rFonts w:ascii="FrankRuehl" w:hAnsi="FrankRuehl" w:cs="FrankRuehl"/>
          <w:sz w:val="28"/>
          <w:szCs w:val="28"/>
          <w:rtl/>
        </w:rPr>
      </w:pPr>
      <w:r w:rsidRPr="008869A2">
        <w:rPr>
          <w:rFonts w:ascii="FrankRuehl" w:hAnsi="FrankRuehl" w:cs="FrankRuehl"/>
          <w:sz w:val="28"/>
          <w:szCs w:val="28"/>
          <w:rtl/>
        </w:rPr>
        <w:t>א.</w:t>
      </w:r>
      <w:r w:rsidRPr="008869A2">
        <w:rPr>
          <w:rFonts w:ascii="FrankRuehl" w:hAnsi="FrankRuehl" w:cs="FrankRuehl"/>
          <w:sz w:val="28"/>
          <w:szCs w:val="28"/>
          <w:rtl/>
        </w:rPr>
        <w:tab/>
        <w:t>2 חודשי מאסר בפועל.</w:t>
      </w:r>
    </w:p>
    <w:p w14:paraId="7E3C9182" w14:textId="77777777" w:rsidR="0082303F" w:rsidRPr="008869A2" w:rsidRDefault="0082303F" w:rsidP="0082303F">
      <w:pPr>
        <w:spacing w:line="360" w:lineRule="auto"/>
        <w:ind w:left="1440"/>
        <w:jc w:val="both"/>
        <w:rPr>
          <w:rFonts w:ascii="FrankRuehl" w:hAnsi="FrankRuehl" w:cs="FrankRuehl"/>
          <w:sz w:val="28"/>
          <w:szCs w:val="28"/>
          <w:rtl/>
        </w:rPr>
      </w:pPr>
      <w:r w:rsidRPr="008869A2">
        <w:rPr>
          <w:rFonts w:ascii="FrankRuehl" w:hAnsi="FrankRuehl" w:cs="FrankRuehl"/>
          <w:sz w:val="28"/>
          <w:szCs w:val="28"/>
          <w:rtl/>
        </w:rPr>
        <w:t>המאסר ירוצה בדרך של עבודות שירות ב</w:t>
      </w:r>
      <w:r>
        <w:rPr>
          <w:rFonts w:ascii="FrankRuehl" w:hAnsi="FrankRuehl" w:cs="FrankRuehl" w:hint="cs"/>
          <w:sz w:val="28"/>
          <w:szCs w:val="28"/>
          <w:rtl/>
        </w:rPr>
        <w:t>"המשקם" ברחוב שכטרמן נתניה</w:t>
      </w:r>
      <w:r w:rsidRPr="008869A2">
        <w:rPr>
          <w:rFonts w:ascii="FrankRuehl" w:hAnsi="FrankRuehl" w:cs="FrankRuehl"/>
          <w:sz w:val="28"/>
          <w:szCs w:val="28"/>
          <w:rtl/>
        </w:rPr>
        <w:t xml:space="preserve">, בהתאם לחוות דעת הממונה על עבודות שירות מיום </w:t>
      </w:r>
      <w:r>
        <w:rPr>
          <w:rFonts w:ascii="FrankRuehl" w:hAnsi="FrankRuehl" w:cs="FrankRuehl" w:hint="cs"/>
          <w:sz w:val="28"/>
          <w:szCs w:val="28"/>
          <w:rtl/>
        </w:rPr>
        <w:t>12.12.22</w:t>
      </w:r>
      <w:r w:rsidRPr="008869A2">
        <w:rPr>
          <w:rFonts w:ascii="FrankRuehl" w:hAnsi="FrankRuehl" w:cs="FrankRuehl"/>
          <w:sz w:val="28"/>
          <w:szCs w:val="28"/>
          <w:rtl/>
        </w:rPr>
        <w:t xml:space="preserve">. הנאשם יתייצב ביום </w:t>
      </w:r>
      <w:r>
        <w:rPr>
          <w:rFonts w:ascii="FrankRuehl" w:hAnsi="FrankRuehl" w:cs="FrankRuehl" w:hint="cs"/>
          <w:sz w:val="28"/>
          <w:szCs w:val="28"/>
          <w:rtl/>
        </w:rPr>
        <w:t>26.2.23</w:t>
      </w:r>
      <w:r w:rsidRPr="008869A2">
        <w:rPr>
          <w:rFonts w:ascii="FrankRuehl" w:hAnsi="FrankRuehl" w:cs="FrankRuehl"/>
          <w:sz w:val="28"/>
          <w:szCs w:val="28"/>
          <w:rtl/>
        </w:rPr>
        <w:t xml:space="preserve"> בשעה 8:00 במשרדי הממונה במפקדת מחוז מרכז של שב"ס.</w:t>
      </w:r>
    </w:p>
    <w:p w14:paraId="74A72176" w14:textId="77777777" w:rsidR="0082303F" w:rsidRPr="008869A2" w:rsidRDefault="0082303F" w:rsidP="0082303F">
      <w:pPr>
        <w:spacing w:line="360" w:lineRule="auto"/>
        <w:ind w:left="1440"/>
        <w:jc w:val="both"/>
        <w:rPr>
          <w:rFonts w:ascii="FrankRuehl" w:hAnsi="FrankRuehl" w:cs="FrankRuehl"/>
          <w:sz w:val="28"/>
          <w:szCs w:val="28"/>
          <w:rtl/>
        </w:rPr>
      </w:pPr>
      <w:r w:rsidRPr="008869A2">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4ABB98BD" w14:textId="77777777" w:rsidR="0082303F" w:rsidRPr="008869A2" w:rsidRDefault="0082303F" w:rsidP="0082303F">
      <w:pPr>
        <w:spacing w:line="360" w:lineRule="auto"/>
        <w:ind w:left="1440" w:hanging="720"/>
        <w:jc w:val="both"/>
        <w:rPr>
          <w:rFonts w:ascii="FrankRuehl" w:hAnsi="FrankRuehl" w:cs="FrankRuehl"/>
          <w:sz w:val="28"/>
          <w:szCs w:val="28"/>
          <w:rtl/>
        </w:rPr>
      </w:pPr>
      <w:r w:rsidRPr="008869A2">
        <w:rPr>
          <w:rFonts w:ascii="FrankRuehl" w:hAnsi="FrankRuehl" w:cs="FrankRuehl"/>
          <w:sz w:val="28"/>
          <w:szCs w:val="28"/>
          <w:rtl/>
        </w:rPr>
        <w:t>ב.</w:t>
      </w:r>
      <w:r w:rsidRPr="008869A2">
        <w:rPr>
          <w:rFonts w:ascii="FrankRuehl" w:hAnsi="FrankRuehl" w:cs="FrankRuehl"/>
          <w:sz w:val="28"/>
          <w:szCs w:val="28"/>
          <w:rtl/>
        </w:rPr>
        <w:tab/>
        <w:t>3 חודשי מאסר אותם לא ירצה הנאשם אלא אם יעבור תוך שלוש שנים עבירה על פקודת הסמים מסוג פשע או עוון, או הפרעה לשוטר במילוי תפקידו.</w:t>
      </w:r>
    </w:p>
    <w:p w14:paraId="19DF61A8" w14:textId="77777777" w:rsidR="0082303F" w:rsidRPr="008869A2" w:rsidRDefault="0082303F" w:rsidP="0082303F">
      <w:pPr>
        <w:spacing w:line="360" w:lineRule="auto"/>
        <w:ind w:left="1440" w:hanging="720"/>
        <w:jc w:val="both"/>
        <w:rPr>
          <w:rFonts w:ascii="FrankRuehl" w:hAnsi="FrankRuehl" w:cs="FrankRuehl"/>
          <w:sz w:val="28"/>
          <w:szCs w:val="28"/>
          <w:rtl/>
        </w:rPr>
      </w:pPr>
      <w:r w:rsidRPr="008869A2">
        <w:rPr>
          <w:rFonts w:ascii="FrankRuehl" w:hAnsi="FrankRuehl" w:cs="FrankRuehl"/>
          <w:sz w:val="28"/>
          <w:szCs w:val="28"/>
          <w:rtl/>
        </w:rPr>
        <w:t>ג.</w:t>
      </w:r>
      <w:r w:rsidRPr="008869A2">
        <w:rPr>
          <w:rFonts w:ascii="FrankRuehl" w:hAnsi="FrankRuehl" w:cs="FrankRuehl"/>
          <w:sz w:val="28"/>
          <w:szCs w:val="28"/>
          <w:rtl/>
        </w:rPr>
        <w:tab/>
        <w:t xml:space="preserve">קנס בסך 2,000 ₪ או 10 ימי מאסר תמורתו. הקנס ישולם ב-4 תשלומים חודשיים שווים ורצופים, החל מיום 10.2.23 ובכל 10 בחודש שלאחריו. לא ישולם איזה מהתשלומים במועדו, תעמוד יתרת הקנס לפירעון מידי. </w:t>
      </w:r>
    </w:p>
    <w:p w14:paraId="29B21917" w14:textId="77777777" w:rsidR="0082303F" w:rsidRPr="008869A2" w:rsidRDefault="0082303F" w:rsidP="0082303F">
      <w:pPr>
        <w:spacing w:line="360" w:lineRule="auto"/>
        <w:ind w:left="1440" w:hanging="720"/>
        <w:jc w:val="both"/>
        <w:rPr>
          <w:rFonts w:ascii="FrankRuehl" w:hAnsi="FrankRuehl" w:cs="FrankRuehl"/>
          <w:sz w:val="28"/>
          <w:szCs w:val="28"/>
          <w:rtl/>
        </w:rPr>
      </w:pPr>
      <w:r w:rsidRPr="008869A2">
        <w:rPr>
          <w:rFonts w:ascii="FrankRuehl" w:hAnsi="FrankRuehl" w:cs="FrankRuehl"/>
          <w:sz w:val="28"/>
          <w:szCs w:val="28"/>
          <w:rtl/>
        </w:rPr>
        <w:t>ד.</w:t>
      </w:r>
      <w:r w:rsidRPr="008869A2">
        <w:rPr>
          <w:rFonts w:ascii="FrankRuehl" w:hAnsi="FrankRuehl" w:cs="FrankRuehl"/>
          <w:sz w:val="28"/>
          <w:szCs w:val="28"/>
          <w:rtl/>
        </w:rPr>
        <w:tab/>
        <w:t>חילוט סך של 1,250 ₪ שנתפס מהנאשם.</w:t>
      </w:r>
    </w:p>
    <w:p w14:paraId="30793D88" w14:textId="77777777" w:rsidR="0082303F" w:rsidRPr="00314F6C" w:rsidRDefault="00314F6C" w:rsidP="0082303F">
      <w:pPr>
        <w:spacing w:line="360" w:lineRule="auto"/>
        <w:jc w:val="both"/>
        <w:rPr>
          <w:rFonts w:ascii="FrankRuehl" w:hAnsi="FrankRuehl" w:cs="FrankRuehl"/>
          <w:color w:val="FFFFFF"/>
          <w:sz w:val="2"/>
          <w:szCs w:val="2"/>
          <w:rtl/>
        </w:rPr>
      </w:pPr>
      <w:r w:rsidRPr="00314F6C">
        <w:rPr>
          <w:rFonts w:ascii="FrankRuehl" w:hAnsi="FrankRuehl" w:cs="FrankRuehl"/>
          <w:color w:val="FFFFFF"/>
          <w:sz w:val="2"/>
          <w:szCs w:val="2"/>
          <w:rtl/>
        </w:rPr>
        <w:t>5129371</w:t>
      </w:r>
    </w:p>
    <w:p w14:paraId="363A4A65" w14:textId="77777777" w:rsidR="0082303F" w:rsidRPr="008869A2" w:rsidRDefault="00314F6C" w:rsidP="0082303F">
      <w:pPr>
        <w:spacing w:line="360" w:lineRule="auto"/>
        <w:jc w:val="both"/>
        <w:rPr>
          <w:rFonts w:ascii="FrankRuehl" w:hAnsi="FrankRuehl" w:cs="Miriam"/>
          <w:b/>
          <w:sz w:val="28"/>
          <w:u w:val="single"/>
          <w:rtl/>
        </w:rPr>
      </w:pPr>
      <w:r w:rsidRPr="00314F6C">
        <w:rPr>
          <w:rFonts w:ascii="FrankRuehl" w:hAnsi="FrankRuehl" w:cs="Miriam"/>
          <w:b/>
          <w:color w:val="FFFFFF"/>
          <w:sz w:val="2"/>
          <w:szCs w:val="2"/>
          <w:u w:val="single"/>
          <w:rtl/>
        </w:rPr>
        <w:t>54678313</w:t>
      </w:r>
      <w:r w:rsidR="0082303F" w:rsidRPr="008869A2">
        <w:rPr>
          <w:rFonts w:ascii="FrankRuehl" w:hAnsi="FrankRuehl" w:cs="Miriam"/>
          <w:b/>
          <w:sz w:val="28"/>
          <w:u w:val="single"/>
          <w:rtl/>
        </w:rPr>
        <w:t>זכות ערעור לבית המשפט המחוזי תוך 45 ימים מהיום.</w:t>
      </w:r>
    </w:p>
    <w:p w14:paraId="7544E32C" w14:textId="77777777" w:rsidR="0082303F" w:rsidRDefault="0082303F" w:rsidP="0082303F">
      <w:pPr>
        <w:spacing w:line="360" w:lineRule="auto"/>
        <w:jc w:val="both"/>
        <w:rPr>
          <w:rFonts w:ascii="FrankRuehl" w:hAnsi="FrankRuehl" w:cs="FrankRuehl"/>
          <w:sz w:val="28"/>
          <w:szCs w:val="28"/>
          <w:rtl/>
        </w:rPr>
      </w:pPr>
    </w:p>
    <w:p w14:paraId="6ECC110F" w14:textId="77777777" w:rsidR="0082303F" w:rsidRPr="008869A2" w:rsidRDefault="00314F6C" w:rsidP="0082303F">
      <w:pPr>
        <w:spacing w:line="360" w:lineRule="auto"/>
        <w:jc w:val="both"/>
        <w:rPr>
          <w:rFonts w:ascii="FrankRuehl" w:eastAsia="Calibri" w:hAnsi="FrankRuehl" w:cs="FrankRuehl"/>
          <w:sz w:val="28"/>
          <w:szCs w:val="28"/>
          <w:rtl/>
        </w:rPr>
      </w:pPr>
      <w:bookmarkStart w:id="6" w:name="Nitan"/>
      <w:r>
        <w:rPr>
          <w:rFonts w:ascii="FrankRuehl" w:hAnsi="FrankRuehl" w:cs="FrankRuehl"/>
          <w:sz w:val="28"/>
          <w:szCs w:val="28"/>
          <w:rtl/>
        </w:rPr>
        <w:lastRenderedPageBreak/>
        <w:t xml:space="preserve">ניתן היום,  כ"ו כסלו תשפ"ג, 20 דצמבר 2022, במעמד הצדדים. </w:t>
      </w:r>
      <w:bookmarkEnd w:id="6"/>
      <w:r w:rsidR="0082303F" w:rsidRPr="008869A2">
        <w:rPr>
          <w:rFonts w:ascii="FrankRuehl" w:hAnsi="FrankRuehl" w:cs="FrankRuehl"/>
          <w:sz w:val="28"/>
          <w:szCs w:val="28"/>
          <w:rtl/>
        </w:rPr>
        <w:t>המזכירות תעביר עותק מגזר הדין לממונה על עבודות שירות.</w:t>
      </w:r>
    </w:p>
    <w:p w14:paraId="25B752E1" w14:textId="77777777" w:rsidR="0082303F" w:rsidRPr="000F2247" w:rsidRDefault="0082303F" w:rsidP="00314F6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F340E8" w14:textId="77777777" w:rsidR="0082303F" w:rsidRPr="000F2247" w:rsidRDefault="0082303F" w:rsidP="0082303F">
      <w:pPr>
        <w:jc w:val="center"/>
        <w:rPr>
          <w:rFonts w:ascii="Arial" w:hAnsi="Arial"/>
          <w:b/>
          <w:bCs/>
          <w:sz w:val="26"/>
          <w:szCs w:val="26"/>
          <w:rtl/>
        </w:rPr>
      </w:pPr>
    </w:p>
    <w:p w14:paraId="030DBC7B" w14:textId="77777777" w:rsidR="006D70C3" w:rsidRPr="00314F6C" w:rsidRDefault="006D70C3" w:rsidP="00314F6C">
      <w:pPr>
        <w:keepNext/>
        <w:rPr>
          <w:rFonts w:ascii="David" w:hAnsi="David"/>
          <w:color w:val="000000"/>
          <w:sz w:val="22"/>
          <w:szCs w:val="22"/>
          <w:rtl/>
        </w:rPr>
      </w:pPr>
    </w:p>
    <w:p w14:paraId="41047700" w14:textId="77777777" w:rsidR="00314F6C" w:rsidRPr="00314F6C" w:rsidRDefault="00314F6C" w:rsidP="00314F6C">
      <w:pPr>
        <w:keepNext/>
        <w:rPr>
          <w:rFonts w:ascii="David" w:hAnsi="David"/>
          <w:color w:val="000000"/>
          <w:sz w:val="22"/>
          <w:szCs w:val="22"/>
          <w:rtl/>
        </w:rPr>
      </w:pPr>
      <w:r w:rsidRPr="00314F6C">
        <w:rPr>
          <w:rFonts w:ascii="David" w:hAnsi="David"/>
          <w:color w:val="000000"/>
          <w:sz w:val="22"/>
          <w:szCs w:val="22"/>
          <w:rtl/>
        </w:rPr>
        <w:t>גיא אבנון 54678313</w:t>
      </w:r>
    </w:p>
    <w:p w14:paraId="63561D4E" w14:textId="77777777" w:rsidR="00314F6C" w:rsidRDefault="00314F6C" w:rsidP="00314F6C">
      <w:r w:rsidRPr="00314F6C">
        <w:rPr>
          <w:color w:val="000000"/>
          <w:rtl/>
        </w:rPr>
        <w:t>נוסח מסמך זה כפוף לשינויי ניסוח ועריכה</w:t>
      </w:r>
    </w:p>
    <w:p w14:paraId="79AF362A" w14:textId="77777777" w:rsidR="00314F6C" w:rsidRDefault="00314F6C" w:rsidP="00314F6C">
      <w:pPr>
        <w:rPr>
          <w:rtl/>
        </w:rPr>
      </w:pPr>
    </w:p>
    <w:p w14:paraId="51BDDAA0" w14:textId="77777777" w:rsidR="00314F6C" w:rsidRDefault="00314F6C" w:rsidP="00314F6C">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7B78FF38" w14:textId="77777777" w:rsidR="00314F6C" w:rsidRPr="00314F6C" w:rsidRDefault="00314F6C" w:rsidP="00314F6C">
      <w:pPr>
        <w:jc w:val="center"/>
        <w:rPr>
          <w:color w:val="0000FF"/>
          <w:u w:val="single"/>
        </w:rPr>
      </w:pPr>
    </w:p>
    <w:sectPr w:rsidR="00314F6C" w:rsidRPr="00314F6C" w:rsidSect="00314F6C">
      <w:headerReference w:type="even" r:id="rId9"/>
      <w:headerReference w:type="default" r:id="rId10"/>
      <w:footerReference w:type="even" r:id="rId11"/>
      <w:footerReference w:type="default" r:id="rId1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10FAB" w14:textId="77777777" w:rsidR="00914682" w:rsidRDefault="00914682" w:rsidP="007649D7">
      <w:r>
        <w:separator/>
      </w:r>
    </w:p>
  </w:endnote>
  <w:endnote w:type="continuationSeparator" w:id="0">
    <w:p w14:paraId="65CC65DD" w14:textId="77777777" w:rsidR="00914682" w:rsidRDefault="00914682" w:rsidP="0076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56062" w14:textId="77777777" w:rsidR="00314F6C" w:rsidRDefault="00314F6C" w:rsidP="00314F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FF6072" w14:textId="77777777" w:rsidR="00102814" w:rsidRPr="00314F6C" w:rsidRDefault="00314F6C" w:rsidP="00314F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420B9" w14:textId="77777777" w:rsidR="00314F6C" w:rsidRDefault="00314F6C" w:rsidP="00314F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47EA">
      <w:rPr>
        <w:rFonts w:ascii="FrankRuehl" w:hAnsi="FrankRuehl" w:cs="FrankRuehl"/>
        <w:noProof/>
        <w:rtl/>
      </w:rPr>
      <w:t>1</w:t>
    </w:r>
    <w:r>
      <w:rPr>
        <w:rFonts w:ascii="FrankRuehl" w:hAnsi="FrankRuehl" w:cs="FrankRuehl"/>
        <w:rtl/>
      </w:rPr>
      <w:fldChar w:fldCharType="end"/>
    </w:r>
  </w:p>
  <w:p w14:paraId="15E7FA7A" w14:textId="77777777" w:rsidR="00102814" w:rsidRPr="00314F6C" w:rsidRDefault="00314F6C" w:rsidP="00314F6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6B1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95CA6" w14:textId="77777777" w:rsidR="00914682" w:rsidRDefault="00914682" w:rsidP="007649D7">
      <w:r>
        <w:separator/>
      </w:r>
    </w:p>
  </w:footnote>
  <w:footnote w:type="continuationSeparator" w:id="0">
    <w:p w14:paraId="2D5FB703" w14:textId="77777777" w:rsidR="00914682" w:rsidRDefault="00914682" w:rsidP="00764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A9FFC" w14:textId="77777777" w:rsidR="00314F6C" w:rsidRPr="00314F6C" w:rsidRDefault="00314F6C" w:rsidP="00314F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29602-08-21</w:t>
    </w:r>
    <w:r>
      <w:rPr>
        <w:rFonts w:ascii="David" w:hAnsi="David"/>
        <w:color w:val="000000"/>
        <w:sz w:val="22"/>
        <w:szCs w:val="22"/>
        <w:rtl/>
      </w:rPr>
      <w:tab/>
      <w:t xml:space="preserve"> מדינת ישראל נ' מור סיתאלכיל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9A26" w14:textId="77777777" w:rsidR="00314F6C" w:rsidRPr="00314F6C" w:rsidRDefault="00314F6C" w:rsidP="00314F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29602-08-21</w:t>
    </w:r>
    <w:r>
      <w:rPr>
        <w:rFonts w:ascii="David" w:hAnsi="David"/>
        <w:color w:val="000000"/>
        <w:sz w:val="22"/>
        <w:szCs w:val="22"/>
        <w:rtl/>
      </w:rPr>
      <w:tab/>
      <w:t xml:space="preserve"> מדינת ישראל נ' מור סיתאלכיל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303F"/>
    <w:rsid w:val="000C47EA"/>
    <w:rsid w:val="00102814"/>
    <w:rsid w:val="001B5A3B"/>
    <w:rsid w:val="00235D29"/>
    <w:rsid w:val="00314F6C"/>
    <w:rsid w:val="006D70C3"/>
    <w:rsid w:val="007649D7"/>
    <w:rsid w:val="0082303F"/>
    <w:rsid w:val="00914682"/>
    <w:rsid w:val="00B92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ED8888"/>
  <w15:chartTrackingRefBased/>
  <w15:docId w15:val="{BA71F709-55EB-4463-897B-00AE7D9C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30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303F"/>
    <w:pPr>
      <w:tabs>
        <w:tab w:val="center" w:pos="4153"/>
        <w:tab w:val="right" w:pos="8306"/>
      </w:tabs>
    </w:pPr>
  </w:style>
  <w:style w:type="character" w:customStyle="1" w:styleId="a4">
    <w:name w:val="כותרת עליונה תו"/>
    <w:link w:val="a3"/>
    <w:rsid w:val="0082303F"/>
    <w:rPr>
      <w:rFonts w:ascii="Times New Roman" w:eastAsia="Times New Roman" w:hAnsi="Times New Roman" w:cs="David"/>
      <w:sz w:val="24"/>
      <w:szCs w:val="24"/>
    </w:rPr>
  </w:style>
  <w:style w:type="paragraph" w:styleId="a5">
    <w:name w:val="footer"/>
    <w:basedOn w:val="a"/>
    <w:link w:val="a6"/>
    <w:rsid w:val="0082303F"/>
    <w:pPr>
      <w:tabs>
        <w:tab w:val="center" w:pos="4153"/>
        <w:tab w:val="right" w:pos="8306"/>
      </w:tabs>
    </w:pPr>
  </w:style>
  <w:style w:type="character" w:customStyle="1" w:styleId="a6">
    <w:name w:val="כותרת תחתונה תו"/>
    <w:link w:val="a5"/>
    <w:rsid w:val="0082303F"/>
    <w:rPr>
      <w:rFonts w:ascii="Times New Roman" w:eastAsia="Times New Roman" w:hAnsi="Times New Roman" w:cs="David"/>
      <w:sz w:val="24"/>
      <w:szCs w:val="24"/>
    </w:rPr>
  </w:style>
  <w:style w:type="character" w:styleId="a7">
    <w:name w:val="page number"/>
    <w:rsid w:val="0082303F"/>
  </w:style>
  <w:style w:type="character" w:styleId="Hyperlink">
    <w:name w:val="Hyperlink"/>
    <w:rsid w:val="00314F6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2965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3551</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29602</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מור סיתאלכיל</vt:lpwstr>
  </property>
  <property fmtid="{D5CDD505-2E9C-101B-9397-08002B2CF9AE}" pid="10" name="LAWYER">
    <vt:lpwstr>שני מלול;גיל באיער</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20221220</vt:lpwstr>
  </property>
  <property fmtid="{D5CDD505-2E9C-101B-9397-08002B2CF9AE}" pid="14" name="TYPE_N_DATE">
    <vt:lpwstr>38020221220</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380020221220</vt:lpwstr>
  </property>
</Properties>
</file>