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B3434" w:rsidRPr="00483AB7" w14:paraId="465A7E8D" w14:textId="77777777" w:rsidTr="000C77D5">
        <w:trPr>
          <w:trHeight w:hRule="exact" w:val="418"/>
          <w:jc w:val="center"/>
        </w:trPr>
        <w:tc>
          <w:tcPr>
            <w:tcW w:w="8721" w:type="dxa"/>
            <w:gridSpan w:val="2"/>
          </w:tcPr>
          <w:p w14:paraId="2C1BECDC" w14:textId="77777777" w:rsidR="00BB3434" w:rsidRPr="00483AB7" w:rsidRDefault="00BB3434" w:rsidP="000C77D5">
            <w:pPr>
              <w:pStyle w:val="a3"/>
              <w:jc w:val="center"/>
              <w:rPr>
                <w:rFonts w:ascii="Tahoma" w:hAnsi="Tahoma" w:cs="Tahoma"/>
                <w:color w:val="000080"/>
                <w:rtl/>
              </w:rPr>
            </w:pPr>
            <w:bookmarkStart w:id="0" w:name="LastJudge"/>
            <w:r w:rsidRPr="00483AB7">
              <w:rPr>
                <w:rFonts w:ascii="Tahoma" w:hAnsi="Tahoma" w:cs="Tahoma"/>
                <w:b/>
                <w:bCs/>
                <w:color w:val="000080"/>
                <w:rtl/>
              </w:rPr>
              <w:t>בית משפט השלום בקריית גת</w:t>
            </w:r>
          </w:p>
        </w:tc>
      </w:tr>
      <w:tr w:rsidR="00BB3434" w:rsidRPr="00483AB7" w14:paraId="52E7BF3F" w14:textId="77777777" w:rsidTr="000C77D5">
        <w:trPr>
          <w:trHeight w:val="337"/>
          <w:jc w:val="center"/>
        </w:trPr>
        <w:tc>
          <w:tcPr>
            <w:tcW w:w="5047" w:type="dxa"/>
          </w:tcPr>
          <w:p w14:paraId="18B5BDC4" w14:textId="77777777" w:rsidR="00BB3434" w:rsidRPr="00483AB7" w:rsidRDefault="00BB3434" w:rsidP="000C77D5">
            <w:pPr>
              <w:rPr>
                <w:b/>
                <w:bCs/>
                <w:sz w:val="26"/>
                <w:szCs w:val="26"/>
                <w:rtl/>
              </w:rPr>
            </w:pPr>
          </w:p>
        </w:tc>
        <w:tc>
          <w:tcPr>
            <w:tcW w:w="3674" w:type="dxa"/>
          </w:tcPr>
          <w:p w14:paraId="0F3DDA2E" w14:textId="77777777" w:rsidR="00BB3434" w:rsidRPr="00483AB7" w:rsidRDefault="00BB3434" w:rsidP="000C77D5">
            <w:pPr>
              <w:pStyle w:val="a3"/>
              <w:jc w:val="right"/>
              <w:rPr>
                <w:b/>
                <w:bCs/>
                <w:sz w:val="26"/>
                <w:szCs w:val="26"/>
                <w:rtl/>
              </w:rPr>
            </w:pPr>
            <w:r w:rsidRPr="00483AB7">
              <w:rPr>
                <w:rFonts w:hint="cs"/>
                <w:b/>
                <w:bCs/>
                <w:sz w:val="26"/>
                <w:szCs w:val="26"/>
                <w:rtl/>
              </w:rPr>
              <w:t>18 דצמבר 2023</w:t>
            </w:r>
          </w:p>
        </w:tc>
      </w:tr>
      <w:tr w:rsidR="00BB3434" w:rsidRPr="00483AB7" w14:paraId="0EB3F0F0" w14:textId="77777777" w:rsidTr="000C77D5">
        <w:trPr>
          <w:trHeight w:val="337"/>
          <w:jc w:val="center"/>
        </w:trPr>
        <w:tc>
          <w:tcPr>
            <w:tcW w:w="8721" w:type="dxa"/>
            <w:gridSpan w:val="2"/>
          </w:tcPr>
          <w:p w14:paraId="1FA0B7FE" w14:textId="77777777" w:rsidR="00BB3434" w:rsidRPr="00483AB7" w:rsidRDefault="00BB3434" w:rsidP="000C77D5">
            <w:pPr>
              <w:rPr>
                <w:b/>
                <w:bCs/>
                <w:sz w:val="26"/>
                <w:szCs w:val="26"/>
                <w:rtl/>
              </w:rPr>
            </w:pPr>
            <w:r w:rsidRPr="00483AB7">
              <w:rPr>
                <w:b/>
                <w:bCs/>
                <w:sz w:val="26"/>
                <w:szCs w:val="26"/>
                <w:rtl/>
              </w:rPr>
              <w:t>ת"פ 31892-08-21 מדינת ישראל נ' תורג'מן</w:t>
            </w:r>
            <w:r w:rsidRPr="00483AB7">
              <w:rPr>
                <w:b/>
                <w:bCs/>
                <w:sz w:val="26"/>
                <w:szCs w:val="26"/>
                <w:rtl/>
              </w:rPr>
              <w:br/>
            </w:r>
            <w:r w:rsidRPr="00483AB7">
              <w:rPr>
                <w:rFonts w:hint="cs"/>
                <w:b/>
                <w:bCs/>
                <w:sz w:val="26"/>
                <w:szCs w:val="26"/>
                <w:rtl/>
              </w:rPr>
              <w:t>ת"פ 24628-01-21</w:t>
            </w:r>
            <w:r w:rsidRPr="00483AB7">
              <w:rPr>
                <w:b/>
                <w:bCs/>
                <w:sz w:val="26"/>
                <w:szCs w:val="26"/>
                <w:rtl/>
              </w:rPr>
              <w:t xml:space="preserve"> מדינת ישראל נ' תורג'מן</w:t>
            </w:r>
          </w:p>
          <w:p w14:paraId="73BF5886" w14:textId="77777777" w:rsidR="00BB3434" w:rsidRPr="00483AB7" w:rsidRDefault="00BB3434" w:rsidP="000C77D5">
            <w:pPr>
              <w:rPr>
                <w:rtl/>
              </w:rPr>
            </w:pPr>
          </w:p>
        </w:tc>
      </w:tr>
    </w:tbl>
    <w:p w14:paraId="282EDC2A" w14:textId="77777777" w:rsidR="00BB3434" w:rsidRPr="00483AB7" w:rsidRDefault="00BB3434" w:rsidP="00BB3434"/>
    <w:tbl>
      <w:tblPr>
        <w:bidiVisual/>
        <w:tblW w:w="8820" w:type="dxa"/>
        <w:jc w:val="center"/>
        <w:tblLook w:val="0000" w:firstRow="0" w:lastRow="0" w:firstColumn="0" w:lastColumn="0" w:noHBand="0" w:noVBand="0"/>
      </w:tblPr>
      <w:tblGrid>
        <w:gridCol w:w="873"/>
        <w:gridCol w:w="4730"/>
        <w:gridCol w:w="3118"/>
        <w:gridCol w:w="99"/>
      </w:tblGrid>
      <w:tr w:rsidR="00BB3434" w:rsidRPr="00483AB7" w14:paraId="67600CDD" w14:textId="77777777" w:rsidTr="00DE0546">
        <w:trPr>
          <w:gridAfter w:val="1"/>
          <w:wAfter w:w="99" w:type="dxa"/>
          <w:trHeight w:val="337"/>
          <w:jc w:val="center"/>
        </w:trPr>
        <w:tc>
          <w:tcPr>
            <w:tcW w:w="873" w:type="dxa"/>
          </w:tcPr>
          <w:p w14:paraId="28C0FAD8" w14:textId="77777777" w:rsidR="00BB3434" w:rsidRPr="00483AB7" w:rsidRDefault="00BB3434" w:rsidP="000C77D5">
            <w:pPr>
              <w:tabs>
                <w:tab w:val="left" w:pos="1710"/>
              </w:tabs>
              <w:rPr>
                <w:b/>
                <w:bCs/>
                <w:sz w:val="28"/>
                <w:szCs w:val="28"/>
                <w:rtl/>
              </w:rPr>
            </w:pPr>
            <w:r w:rsidRPr="00483AB7">
              <w:rPr>
                <w:rFonts w:hint="cs"/>
                <w:b/>
                <w:bCs/>
                <w:sz w:val="28"/>
                <w:szCs w:val="28"/>
                <w:rtl/>
              </w:rPr>
              <w:t>לפני</w:t>
            </w:r>
          </w:p>
        </w:tc>
        <w:tc>
          <w:tcPr>
            <w:tcW w:w="7848" w:type="dxa"/>
            <w:gridSpan w:val="2"/>
          </w:tcPr>
          <w:p w14:paraId="0E64042B" w14:textId="77777777" w:rsidR="00BB3434" w:rsidRPr="00483AB7" w:rsidRDefault="00BB3434" w:rsidP="000C77D5">
            <w:pPr>
              <w:rPr>
                <w:rFonts w:ascii="Arial" w:hAnsi="Arial"/>
                <w:b/>
                <w:bCs/>
                <w:sz w:val="28"/>
                <w:szCs w:val="28"/>
                <w:rtl/>
              </w:rPr>
            </w:pPr>
            <w:r w:rsidRPr="00483AB7">
              <w:rPr>
                <w:rFonts w:ascii="Arial" w:hAnsi="Arial" w:hint="cs"/>
                <w:b/>
                <w:bCs/>
                <w:sz w:val="28"/>
                <w:szCs w:val="28"/>
                <w:rtl/>
              </w:rPr>
              <w:t>כב' ה</w:t>
            </w:r>
            <w:r w:rsidRPr="00483AB7">
              <w:rPr>
                <w:rFonts w:ascii="Arial" w:hAnsi="Arial"/>
                <w:b/>
                <w:bCs/>
                <w:sz w:val="28"/>
                <w:szCs w:val="28"/>
                <w:rtl/>
              </w:rPr>
              <w:t>שופטת בכירה</w:t>
            </w:r>
            <w:r w:rsidRPr="00483AB7">
              <w:rPr>
                <w:rFonts w:ascii="Arial" w:hAnsi="Arial" w:hint="cs"/>
                <w:b/>
                <w:bCs/>
                <w:sz w:val="28"/>
                <w:szCs w:val="28"/>
                <w:rtl/>
              </w:rPr>
              <w:t xml:space="preserve">  </w:t>
            </w:r>
            <w:r w:rsidRPr="00483AB7">
              <w:rPr>
                <w:rFonts w:ascii="Arial" w:hAnsi="Arial"/>
                <w:b/>
                <w:bCs/>
                <w:sz w:val="28"/>
                <w:szCs w:val="28"/>
                <w:rtl/>
              </w:rPr>
              <w:t>נגה שמואלי-מאייר</w:t>
            </w:r>
          </w:p>
          <w:p w14:paraId="2E0094FA" w14:textId="77777777" w:rsidR="00BB3434" w:rsidRPr="00483AB7" w:rsidRDefault="00BB3434" w:rsidP="000C77D5">
            <w:pPr>
              <w:tabs>
                <w:tab w:val="left" w:pos="1710"/>
              </w:tabs>
              <w:rPr>
                <w:rtl/>
              </w:rPr>
            </w:pPr>
          </w:p>
        </w:tc>
      </w:tr>
      <w:tr w:rsidR="00BB3434" w:rsidRPr="00483AB7" w14:paraId="19146D16" w14:textId="77777777" w:rsidTr="00DE0546">
        <w:tblPrEx>
          <w:tblLook w:val="01E0" w:firstRow="1" w:lastRow="1" w:firstColumn="1" w:lastColumn="1" w:noHBand="0" w:noVBand="0"/>
        </w:tblPrEx>
        <w:trPr>
          <w:jc w:val="center"/>
        </w:trPr>
        <w:tc>
          <w:tcPr>
            <w:tcW w:w="5603" w:type="dxa"/>
            <w:gridSpan w:val="2"/>
            <w:shd w:val="clear" w:color="auto" w:fill="auto"/>
          </w:tcPr>
          <w:p w14:paraId="6ADA7684" w14:textId="77777777" w:rsidR="00BB3434" w:rsidRPr="00483AB7" w:rsidRDefault="00BB3434" w:rsidP="00BB3434">
            <w:pPr>
              <w:spacing w:line="360" w:lineRule="auto"/>
              <w:rPr>
                <w:rFonts w:ascii="David" w:hAnsi="David"/>
                <w:b/>
                <w:bCs/>
                <w:rtl/>
              </w:rPr>
            </w:pPr>
            <w:r w:rsidRPr="00483AB7">
              <w:rPr>
                <w:rtl/>
              </w:rPr>
              <w:t xml:space="preserve"> </w:t>
            </w:r>
            <w:bookmarkStart w:id="1" w:name="FirstAppellant"/>
            <w:bookmarkStart w:id="2" w:name="FirstLawyer"/>
            <w:r w:rsidRPr="00483AB7">
              <w:rPr>
                <w:rFonts w:ascii="David" w:hAnsi="David"/>
                <w:b/>
                <w:bCs/>
                <w:rtl/>
              </w:rPr>
              <w:t>מדינת ישראל</w:t>
            </w:r>
          </w:p>
          <w:p w14:paraId="5A0185EF" w14:textId="77777777" w:rsidR="00BB3434" w:rsidRPr="00483AB7" w:rsidRDefault="00BB3434" w:rsidP="00BB3434">
            <w:pPr>
              <w:spacing w:line="360" w:lineRule="auto"/>
              <w:rPr>
                <w:rFonts w:ascii="David" w:hAnsi="David"/>
                <w:b/>
                <w:bCs/>
                <w:rtl/>
              </w:rPr>
            </w:pPr>
            <w:r w:rsidRPr="00483AB7">
              <w:rPr>
                <w:rFonts w:ascii="David" w:hAnsi="David"/>
                <w:b/>
                <w:bCs/>
                <w:rtl/>
              </w:rPr>
              <w:t>ע"י ב"כ עו"ד</w:t>
            </w:r>
            <w:r w:rsidRPr="00483AB7">
              <w:rPr>
                <w:rFonts w:ascii="David" w:hAnsi="David" w:hint="cs"/>
                <w:b/>
                <w:bCs/>
                <w:rtl/>
              </w:rPr>
              <w:t xml:space="preserve"> הילה מלול </w:t>
            </w:r>
            <w:r w:rsidRPr="00483AB7">
              <w:rPr>
                <w:rFonts w:ascii="David" w:hAnsi="David"/>
                <w:b/>
                <w:bCs/>
                <w:rtl/>
              </w:rPr>
              <w:t>–</w:t>
            </w:r>
            <w:r w:rsidRPr="00483AB7">
              <w:rPr>
                <w:rFonts w:ascii="David" w:hAnsi="David" w:hint="cs"/>
                <w:b/>
                <w:bCs/>
                <w:rtl/>
              </w:rPr>
              <w:t xml:space="preserve"> </w:t>
            </w:r>
            <w:r w:rsidRPr="00483AB7">
              <w:rPr>
                <w:rFonts w:ascii="David" w:hAnsi="David" w:hint="cs"/>
                <w:rtl/>
              </w:rPr>
              <w:t>נוכחת</w:t>
            </w:r>
            <w:r w:rsidRPr="00483AB7">
              <w:rPr>
                <w:rFonts w:ascii="David" w:hAnsi="David" w:hint="cs"/>
                <w:b/>
                <w:bCs/>
                <w:rtl/>
              </w:rPr>
              <w:t xml:space="preserve"> </w:t>
            </w:r>
          </w:p>
        </w:tc>
        <w:tc>
          <w:tcPr>
            <w:tcW w:w="3217" w:type="dxa"/>
            <w:gridSpan w:val="2"/>
            <w:shd w:val="clear" w:color="auto" w:fill="auto"/>
          </w:tcPr>
          <w:p w14:paraId="077C15E4" w14:textId="77777777" w:rsidR="00BB3434" w:rsidRPr="00483AB7" w:rsidRDefault="00BB3434" w:rsidP="00BB3434">
            <w:pPr>
              <w:bidi w:val="0"/>
              <w:spacing w:line="360" w:lineRule="auto"/>
              <w:jc w:val="right"/>
              <w:rPr>
                <w:rFonts w:ascii="David" w:hAnsi="David"/>
                <w:b/>
                <w:bCs/>
                <w:rtl/>
              </w:rPr>
            </w:pPr>
            <w:r w:rsidRPr="00483AB7">
              <w:rPr>
                <w:rFonts w:ascii="David" w:hAnsi="David"/>
                <w:b/>
                <w:bCs/>
                <w:rtl/>
              </w:rPr>
              <w:t>המאשימה</w:t>
            </w:r>
          </w:p>
          <w:p w14:paraId="3E608D2B" w14:textId="77777777" w:rsidR="00BB3434" w:rsidRPr="00483AB7" w:rsidRDefault="00BB3434" w:rsidP="00BB3434">
            <w:pPr>
              <w:spacing w:line="360" w:lineRule="auto"/>
              <w:rPr>
                <w:rFonts w:ascii="David" w:hAnsi="David"/>
                <w:b/>
                <w:bCs/>
                <w:rtl/>
              </w:rPr>
            </w:pPr>
          </w:p>
        </w:tc>
      </w:tr>
      <w:bookmarkEnd w:id="1"/>
      <w:bookmarkEnd w:id="2"/>
      <w:tr w:rsidR="00BB3434" w:rsidRPr="00483AB7" w14:paraId="0B5042A5" w14:textId="77777777" w:rsidTr="00DE0546">
        <w:tblPrEx>
          <w:tblLook w:val="01E0" w:firstRow="1" w:lastRow="1" w:firstColumn="1" w:lastColumn="1" w:noHBand="0" w:noVBand="0"/>
        </w:tblPrEx>
        <w:trPr>
          <w:jc w:val="center"/>
        </w:trPr>
        <w:tc>
          <w:tcPr>
            <w:tcW w:w="8820" w:type="dxa"/>
            <w:gridSpan w:val="4"/>
            <w:shd w:val="clear" w:color="auto" w:fill="auto"/>
          </w:tcPr>
          <w:p w14:paraId="3FA99CE4" w14:textId="77777777" w:rsidR="00BB3434" w:rsidRPr="00483AB7" w:rsidRDefault="00BB3434" w:rsidP="00BB3434">
            <w:pPr>
              <w:spacing w:line="360" w:lineRule="auto"/>
              <w:jc w:val="center"/>
              <w:rPr>
                <w:rFonts w:ascii="David" w:hAnsi="David"/>
                <w:b/>
                <w:bCs/>
                <w:rtl/>
              </w:rPr>
            </w:pPr>
            <w:r w:rsidRPr="00483AB7">
              <w:rPr>
                <w:rFonts w:ascii="David" w:hAnsi="David"/>
                <w:b/>
                <w:bCs/>
                <w:rtl/>
              </w:rPr>
              <w:t>נ</w:t>
            </w:r>
            <w:r w:rsidRPr="00483AB7">
              <w:rPr>
                <w:rFonts w:ascii="David" w:hAnsi="David" w:hint="cs"/>
                <w:b/>
                <w:bCs/>
                <w:rtl/>
              </w:rPr>
              <w:t xml:space="preserve"> </w:t>
            </w:r>
            <w:r w:rsidRPr="00483AB7">
              <w:rPr>
                <w:rFonts w:ascii="David" w:hAnsi="David"/>
                <w:b/>
                <w:bCs/>
                <w:rtl/>
              </w:rPr>
              <w:t>ג</w:t>
            </w:r>
            <w:r w:rsidRPr="00483AB7">
              <w:rPr>
                <w:rFonts w:ascii="David" w:hAnsi="David" w:hint="cs"/>
                <w:b/>
                <w:bCs/>
                <w:rtl/>
              </w:rPr>
              <w:t xml:space="preserve"> </w:t>
            </w:r>
            <w:r w:rsidRPr="00483AB7">
              <w:rPr>
                <w:rFonts w:ascii="David" w:hAnsi="David"/>
                <w:b/>
                <w:bCs/>
                <w:rtl/>
              </w:rPr>
              <w:t>ד</w:t>
            </w:r>
          </w:p>
          <w:p w14:paraId="68F49DA2" w14:textId="77777777" w:rsidR="00BB3434" w:rsidRPr="00483AB7" w:rsidRDefault="00BB3434" w:rsidP="00BB3434">
            <w:pPr>
              <w:spacing w:line="360" w:lineRule="auto"/>
              <w:rPr>
                <w:rFonts w:ascii="David" w:hAnsi="David"/>
                <w:b/>
                <w:bCs/>
              </w:rPr>
            </w:pPr>
          </w:p>
        </w:tc>
      </w:tr>
      <w:tr w:rsidR="00BB3434" w:rsidRPr="00483AB7" w14:paraId="6364B513" w14:textId="77777777" w:rsidTr="00DE0546">
        <w:tblPrEx>
          <w:tblLook w:val="01E0" w:firstRow="1" w:lastRow="1" w:firstColumn="1" w:lastColumn="1" w:noHBand="0" w:noVBand="0"/>
        </w:tblPrEx>
        <w:trPr>
          <w:jc w:val="center"/>
        </w:trPr>
        <w:tc>
          <w:tcPr>
            <w:tcW w:w="5603" w:type="dxa"/>
            <w:gridSpan w:val="2"/>
            <w:shd w:val="clear" w:color="auto" w:fill="auto"/>
          </w:tcPr>
          <w:p w14:paraId="211971E9" w14:textId="77777777" w:rsidR="00BB3434" w:rsidRPr="00483AB7" w:rsidRDefault="00BB3434" w:rsidP="00BB3434">
            <w:pPr>
              <w:spacing w:line="360" w:lineRule="auto"/>
              <w:rPr>
                <w:rFonts w:ascii="David" w:hAnsi="David"/>
                <w:b/>
                <w:bCs/>
              </w:rPr>
            </w:pPr>
            <w:r w:rsidRPr="00483AB7">
              <w:rPr>
                <w:rFonts w:ascii="David" w:hAnsi="David"/>
                <w:b/>
                <w:bCs/>
                <w:rtl/>
              </w:rPr>
              <w:t>מיכאל תורג'מן</w:t>
            </w:r>
            <w:r w:rsidRPr="00483AB7">
              <w:rPr>
                <w:rFonts w:ascii="David" w:hAnsi="David" w:hint="cs"/>
                <w:b/>
                <w:bCs/>
                <w:rtl/>
              </w:rPr>
              <w:t xml:space="preserve"> </w:t>
            </w:r>
            <w:r w:rsidRPr="00483AB7">
              <w:rPr>
                <w:rFonts w:ascii="David" w:hAnsi="David"/>
                <w:b/>
                <w:bCs/>
                <w:rtl/>
              </w:rPr>
              <w:t>–</w:t>
            </w:r>
            <w:r w:rsidRPr="00483AB7">
              <w:rPr>
                <w:rFonts w:ascii="David" w:hAnsi="David" w:hint="cs"/>
                <w:b/>
                <w:bCs/>
                <w:rtl/>
              </w:rPr>
              <w:t xml:space="preserve"> </w:t>
            </w:r>
            <w:r w:rsidRPr="00483AB7">
              <w:rPr>
                <w:rFonts w:ascii="David" w:hAnsi="David"/>
                <w:b/>
                <w:bCs/>
                <w:rtl/>
              </w:rPr>
              <w:t>נוכ</w:t>
            </w:r>
            <w:r w:rsidRPr="00483AB7">
              <w:rPr>
                <w:rFonts w:ascii="David" w:hAnsi="David" w:hint="cs"/>
                <w:b/>
                <w:bCs/>
                <w:rtl/>
              </w:rPr>
              <w:t>ח</w:t>
            </w:r>
          </w:p>
          <w:p w14:paraId="6833B36F" w14:textId="77777777" w:rsidR="00BB3434" w:rsidRPr="00483AB7" w:rsidRDefault="00BB3434" w:rsidP="00BB3434">
            <w:pPr>
              <w:spacing w:line="360" w:lineRule="auto"/>
              <w:rPr>
                <w:rFonts w:ascii="David" w:hAnsi="David"/>
                <w:b/>
                <w:bCs/>
                <w:rtl/>
              </w:rPr>
            </w:pPr>
            <w:r w:rsidRPr="00483AB7">
              <w:rPr>
                <w:rFonts w:ascii="David" w:hAnsi="David"/>
                <w:b/>
                <w:bCs/>
                <w:rtl/>
              </w:rPr>
              <w:t>ע"י ב"כ עו"ד</w:t>
            </w:r>
            <w:r w:rsidRPr="00483AB7">
              <w:rPr>
                <w:rFonts w:ascii="David" w:hAnsi="David" w:hint="cs"/>
                <w:b/>
                <w:bCs/>
                <w:rtl/>
              </w:rPr>
              <w:t xml:space="preserve"> חן בן חיים </w:t>
            </w:r>
            <w:r w:rsidRPr="00483AB7">
              <w:rPr>
                <w:rFonts w:ascii="David" w:hAnsi="David"/>
                <w:b/>
                <w:bCs/>
                <w:rtl/>
              </w:rPr>
              <w:t>–</w:t>
            </w:r>
            <w:r w:rsidRPr="00483AB7">
              <w:rPr>
                <w:rFonts w:ascii="David" w:hAnsi="David" w:hint="cs"/>
                <w:b/>
                <w:bCs/>
                <w:rtl/>
              </w:rPr>
              <w:t xml:space="preserve"> </w:t>
            </w:r>
            <w:r w:rsidRPr="00483AB7">
              <w:rPr>
                <w:rFonts w:ascii="David" w:hAnsi="David" w:hint="cs"/>
                <w:rtl/>
              </w:rPr>
              <w:t>נוכחת</w:t>
            </w:r>
            <w:r w:rsidRPr="00483AB7">
              <w:rPr>
                <w:rFonts w:ascii="David" w:hAnsi="David" w:hint="cs"/>
                <w:b/>
                <w:bCs/>
                <w:rtl/>
              </w:rPr>
              <w:t xml:space="preserve"> </w:t>
            </w:r>
          </w:p>
        </w:tc>
        <w:tc>
          <w:tcPr>
            <w:tcW w:w="3217" w:type="dxa"/>
            <w:gridSpan w:val="2"/>
            <w:shd w:val="clear" w:color="auto" w:fill="auto"/>
          </w:tcPr>
          <w:p w14:paraId="2277A795" w14:textId="77777777" w:rsidR="00BB3434" w:rsidRPr="00483AB7" w:rsidRDefault="00BB3434" w:rsidP="00BB3434">
            <w:pPr>
              <w:spacing w:line="360" w:lineRule="auto"/>
              <w:rPr>
                <w:rFonts w:ascii="David" w:hAnsi="David"/>
                <w:b/>
                <w:bCs/>
                <w:rtl/>
              </w:rPr>
            </w:pPr>
            <w:r w:rsidRPr="00483AB7">
              <w:rPr>
                <w:rFonts w:ascii="David" w:hAnsi="David"/>
                <w:b/>
                <w:bCs/>
                <w:rtl/>
              </w:rPr>
              <w:t>הנאשם</w:t>
            </w:r>
          </w:p>
        </w:tc>
      </w:tr>
    </w:tbl>
    <w:p w14:paraId="298391B7" w14:textId="77777777" w:rsidR="00DE0546" w:rsidRPr="00DE0546" w:rsidRDefault="00DE0546" w:rsidP="00DE0546">
      <w:pPr>
        <w:pStyle w:val="1"/>
        <w:spacing w:before="120" w:after="120" w:line="240" w:lineRule="exact"/>
        <w:ind w:left="283" w:hanging="283"/>
        <w:jc w:val="both"/>
        <w:rPr>
          <w:rFonts w:ascii="FrankRuehl" w:hAnsi="FrankRuehl" w:cs="FrankRuehl"/>
          <w:color w:val="auto"/>
          <w:sz w:val="24"/>
          <w:szCs w:val="24"/>
          <w:rtl/>
        </w:rPr>
      </w:pPr>
    </w:p>
    <w:p w14:paraId="3779DDF7" w14:textId="77777777" w:rsidR="004C66F7" w:rsidRPr="004C66F7" w:rsidRDefault="004C66F7" w:rsidP="004C66F7">
      <w:pPr>
        <w:pStyle w:val="1"/>
        <w:spacing w:before="120" w:after="120" w:line="240" w:lineRule="exact"/>
        <w:ind w:left="283" w:hanging="283"/>
        <w:jc w:val="both"/>
        <w:rPr>
          <w:rFonts w:ascii="FrankRuehl" w:hAnsi="FrankRuehl" w:cs="FrankRuehl"/>
          <w:color w:val="auto"/>
          <w:sz w:val="24"/>
          <w:szCs w:val="24"/>
          <w:rtl/>
        </w:rPr>
      </w:pPr>
    </w:p>
    <w:p w14:paraId="59452751" w14:textId="77777777" w:rsidR="00C27F50" w:rsidRDefault="00C27F50" w:rsidP="00C27F50">
      <w:pPr>
        <w:pStyle w:val="1"/>
        <w:spacing w:before="120" w:after="120" w:line="240" w:lineRule="exact"/>
        <w:ind w:left="283" w:hanging="283"/>
        <w:jc w:val="both"/>
        <w:rPr>
          <w:rFonts w:ascii="FrankRuehl" w:hAnsi="FrankRuehl" w:cs="FrankRuehl"/>
          <w:color w:val="auto"/>
          <w:sz w:val="24"/>
          <w:szCs w:val="24"/>
          <w:rtl/>
        </w:rPr>
      </w:pPr>
      <w:bookmarkStart w:id="3" w:name="LawTable"/>
      <w:bookmarkEnd w:id="3"/>
    </w:p>
    <w:p w14:paraId="4D023F6B"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p>
    <w:p w14:paraId="6A47C269"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p>
    <w:p w14:paraId="5DFA2E7A"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r w:rsidRPr="00C27F50">
        <w:rPr>
          <w:rFonts w:ascii="FrankRuehl" w:hAnsi="FrankRuehl" w:cs="FrankRuehl"/>
          <w:color w:val="auto"/>
          <w:sz w:val="24"/>
          <w:szCs w:val="24"/>
          <w:rtl/>
        </w:rPr>
        <w:t xml:space="preserve">חקיקה שאוזכרה: </w:t>
      </w:r>
    </w:p>
    <w:p w14:paraId="61D5F395"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hyperlink r:id="rId7" w:history="1">
        <w:r w:rsidRPr="00C27F50">
          <w:rPr>
            <w:rFonts w:ascii="FrankRuehl" w:hAnsi="FrankRuehl" w:cs="FrankRuehl"/>
            <w:color w:val="0000FF"/>
            <w:sz w:val="24"/>
            <w:szCs w:val="24"/>
            <w:rtl/>
          </w:rPr>
          <w:t>פקודת הסמים המסוכנים [נוסח חדש], תשל"ג-1973</w:t>
        </w:r>
      </w:hyperlink>
      <w:r w:rsidRPr="00C27F50">
        <w:rPr>
          <w:rFonts w:ascii="FrankRuehl" w:hAnsi="FrankRuehl" w:cs="FrankRuehl"/>
          <w:color w:val="auto"/>
          <w:sz w:val="24"/>
          <w:szCs w:val="24"/>
          <w:rtl/>
        </w:rPr>
        <w:t xml:space="preserve">: סע'  </w:t>
      </w:r>
      <w:hyperlink r:id="rId8" w:history="1">
        <w:r w:rsidRPr="00C27F50">
          <w:rPr>
            <w:rFonts w:ascii="FrankRuehl" w:hAnsi="FrankRuehl" w:cs="FrankRuehl"/>
            <w:color w:val="0000FF"/>
            <w:sz w:val="24"/>
            <w:szCs w:val="24"/>
            <w:rtl/>
          </w:rPr>
          <w:t>7.א.</w:t>
        </w:r>
      </w:hyperlink>
      <w:r w:rsidRPr="00C27F50">
        <w:rPr>
          <w:rFonts w:ascii="FrankRuehl" w:hAnsi="FrankRuehl" w:cs="FrankRuehl"/>
          <w:color w:val="auto"/>
          <w:sz w:val="24"/>
          <w:szCs w:val="24"/>
          <w:rtl/>
        </w:rPr>
        <w:t xml:space="preserve">, </w:t>
      </w:r>
      <w:hyperlink r:id="rId9" w:history="1">
        <w:r w:rsidRPr="00C27F50">
          <w:rPr>
            <w:rFonts w:ascii="FrankRuehl" w:hAnsi="FrankRuehl" w:cs="FrankRuehl"/>
            <w:color w:val="0000FF"/>
            <w:sz w:val="24"/>
            <w:szCs w:val="24"/>
            <w:rtl/>
          </w:rPr>
          <w:t>7.ג</w:t>
        </w:r>
      </w:hyperlink>
    </w:p>
    <w:p w14:paraId="67EE7F3B"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hyperlink r:id="rId10" w:history="1">
        <w:r w:rsidRPr="00C27F50">
          <w:rPr>
            <w:rFonts w:ascii="FrankRuehl" w:hAnsi="FrankRuehl" w:cs="FrankRuehl"/>
            <w:color w:val="0000FF"/>
            <w:sz w:val="24"/>
            <w:szCs w:val="24"/>
            <w:rtl/>
          </w:rPr>
          <w:t>חוק העונשין, תשל"ז-1977</w:t>
        </w:r>
      </w:hyperlink>
      <w:r w:rsidRPr="00C27F50">
        <w:rPr>
          <w:rFonts w:ascii="FrankRuehl" w:hAnsi="FrankRuehl" w:cs="FrankRuehl"/>
          <w:color w:val="auto"/>
          <w:sz w:val="24"/>
          <w:szCs w:val="24"/>
          <w:rtl/>
        </w:rPr>
        <w:t xml:space="preserve">: סע'  </w:t>
      </w:r>
      <w:hyperlink r:id="rId11" w:history="1">
        <w:r w:rsidRPr="00C27F50">
          <w:rPr>
            <w:rFonts w:ascii="FrankRuehl" w:hAnsi="FrankRuehl" w:cs="FrankRuehl"/>
            <w:color w:val="0000FF"/>
            <w:sz w:val="24"/>
            <w:szCs w:val="24"/>
            <w:rtl/>
          </w:rPr>
          <w:t>40ג(א)</w:t>
        </w:r>
      </w:hyperlink>
      <w:r w:rsidRPr="00C27F50">
        <w:rPr>
          <w:rFonts w:ascii="FrankRuehl" w:hAnsi="FrankRuehl" w:cs="FrankRuehl"/>
          <w:color w:val="auto"/>
          <w:sz w:val="24"/>
          <w:szCs w:val="24"/>
          <w:rtl/>
        </w:rPr>
        <w:t xml:space="preserve">, </w:t>
      </w:r>
      <w:hyperlink r:id="rId12" w:history="1">
        <w:r w:rsidRPr="00C27F50">
          <w:rPr>
            <w:rFonts w:ascii="FrankRuehl" w:hAnsi="FrankRuehl" w:cs="FrankRuehl"/>
            <w:color w:val="0000FF"/>
            <w:sz w:val="24"/>
            <w:szCs w:val="24"/>
            <w:rtl/>
          </w:rPr>
          <w:t>71א(ד)</w:t>
        </w:r>
      </w:hyperlink>
      <w:r w:rsidRPr="00C27F50">
        <w:rPr>
          <w:rFonts w:ascii="FrankRuehl" w:hAnsi="FrankRuehl" w:cs="FrankRuehl"/>
          <w:color w:val="auto"/>
          <w:sz w:val="24"/>
          <w:szCs w:val="24"/>
          <w:rtl/>
        </w:rPr>
        <w:t xml:space="preserve">, </w:t>
      </w:r>
      <w:hyperlink r:id="rId13" w:history="1">
        <w:r w:rsidRPr="00C27F50">
          <w:rPr>
            <w:rFonts w:ascii="FrankRuehl" w:hAnsi="FrankRuehl" w:cs="FrankRuehl"/>
            <w:color w:val="0000FF"/>
            <w:sz w:val="24"/>
            <w:szCs w:val="24"/>
            <w:rtl/>
          </w:rPr>
          <w:t>186(א)</w:t>
        </w:r>
      </w:hyperlink>
    </w:p>
    <w:p w14:paraId="4393EE0C" w14:textId="77777777" w:rsidR="00C27F50" w:rsidRPr="00C27F50" w:rsidRDefault="00C27F50" w:rsidP="00C27F50">
      <w:pPr>
        <w:pStyle w:val="1"/>
        <w:spacing w:before="120" w:after="120" w:line="240" w:lineRule="exact"/>
        <w:ind w:left="283" w:hanging="283"/>
        <w:jc w:val="both"/>
        <w:rPr>
          <w:rFonts w:ascii="FrankRuehl" w:hAnsi="FrankRuehl" w:cs="FrankRuehl"/>
          <w:color w:val="auto"/>
          <w:sz w:val="24"/>
          <w:szCs w:val="24"/>
          <w:rtl/>
        </w:rPr>
      </w:pPr>
      <w:bookmarkStart w:id="4" w:name="LawTable_End"/>
      <w:bookmarkEnd w:id="4"/>
    </w:p>
    <w:p w14:paraId="1D20269E" w14:textId="77777777" w:rsidR="00483AB7" w:rsidRPr="004C66F7" w:rsidRDefault="00483AB7" w:rsidP="004C66F7">
      <w:pPr>
        <w:pStyle w:val="1"/>
        <w:spacing w:before="120" w:after="120" w:line="240" w:lineRule="exact"/>
        <w:ind w:left="283" w:hanging="283"/>
        <w:jc w:val="both"/>
        <w:rPr>
          <w:rFonts w:ascii="FrankRuehl" w:hAnsi="FrankRuehl" w:cs="FrankRuehl"/>
          <w:color w:val="auto"/>
          <w:sz w:val="24"/>
          <w:szCs w:val="24"/>
          <w:rtl/>
        </w:rPr>
      </w:pPr>
    </w:p>
    <w:p w14:paraId="75763038" w14:textId="77777777" w:rsidR="00DE0546" w:rsidRPr="00483AB7" w:rsidRDefault="00DE0546" w:rsidP="00483AB7">
      <w:pPr>
        <w:bidi w:val="0"/>
        <w:spacing w:line="360" w:lineRule="auto"/>
        <w:jc w:val="center"/>
        <w:rPr>
          <w:rFonts w:ascii="David" w:hAnsi="David"/>
          <w:b/>
          <w:bCs/>
          <w:i/>
          <w:iCs/>
          <w:sz w:val="40"/>
          <w:szCs w:val="40"/>
          <w:u w:val="single"/>
        </w:rPr>
      </w:pPr>
      <w:bookmarkStart w:id="5" w:name="PsakDin" w:colFirst="0" w:colLast="0"/>
      <w:bookmarkEnd w:id="0"/>
      <w:r w:rsidRPr="00483AB7">
        <w:rPr>
          <w:rFonts w:ascii="David" w:hAnsi="David"/>
          <w:b/>
          <w:bCs/>
          <w:i/>
          <w:iCs/>
          <w:sz w:val="40"/>
          <w:szCs w:val="40"/>
          <w:u w:val="single"/>
          <w:rtl/>
        </w:rPr>
        <w:t>גזר דין</w:t>
      </w:r>
    </w:p>
    <w:p w14:paraId="5224D6B8" w14:textId="77777777" w:rsidR="00DE0546" w:rsidRPr="00483AB7" w:rsidRDefault="00DE0546" w:rsidP="00483AB7">
      <w:pPr>
        <w:bidi w:val="0"/>
        <w:spacing w:line="360" w:lineRule="auto"/>
        <w:jc w:val="center"/>
        <w:rPr>
          <w:rFonts w:ascii="David" w:hAnsi="David"/>
          <w:b/>
          <w:bCs/>
          <w:i/>
          <w:iCs/>
          <w:sz w:val="40"/>
          <w:szCs w:val="40"/>
          <w:u w:val="single"/>
        </w:rPr>
      </w:pPr>
    </w:p>
    <w:bookmarkEnd w:id="5"/>
    <w:p w14:paraId="6A4E2CC7" w14:textId="77777777" w:rsidR="00BB3434" w:rsidRPr="0022034C" w:rsidRDefault="00BB3434" w:rsidP="00BB3434">
      <w:pPr>
        <w:pStyle w:val="1"/>
        <w:spacing w:after="160"/>
        <w:ind w:left="-384" w:hanging="425"/>
        <w:rPr>
          <w:rFonts w:ascii="David" w:hAnsi="David" w:cs="David"/>
          <w:b/>
          <w:bCs/>
          <w:color w:val="auto"/>
          <w:sz w:val="28"/>
          <w:szCs w:val="28"/>
          <w:u w:val="single"/>
          <w:rtl/>
        </w:rPr>
      </w:pPr>
      <w:r w:rsidRPr="0022034C">
        <w:rPr>
          <w:rFonts w:ascii="David" w:hAnsi="David" w:cs="David"/>
          <w:b/>
          <w:bCs/>
          <w:color w:val="auto"/>
          <w:sz w:val="28"/>
          <w:szCs w:val="28"/>
          <w:rtl/>
        </w:rPr>
        <w:t xml:space="preserve">א. </w:t>
      </w:r>
      <w:r w:rsidRPr="0022034C">
        <w:rPr>
          <w:rFonts w:ascii="David" w:hAnsi="David" w:cs="David"/>
          <w:b/>
          <w:bCs/>
          <w:color w:val="auto"/>
          <w:sz w:val="28"/>
          <w:szCs w:val="28"/>
          <w:u w:val="single"/>
          <w:rtl/>
        </w:rPr>
        <w:t>רקע עובדתי</w:t>
      </w:r>
    </w:p>
    <w:p w14:paraId="5418C9A0" w14:textId="77777777" w:rsidR="00BB3434" w:rsidRPr="002A748C" w:rsidRDefault="00BB3434" w:rsidP="00BB3434">
      <w:pPr>
        <w:pStyle w:val="aa"/>
        <w:numPr>
          <w:ilvl w:val="0"/>
          <w:numId w:val="1"/>
        </w:numPr>
        <w:spacing w:after="0"/>
        <w:ind w:left="-384" w:right="426" w:hanging="284"/>
        <w:rPr>
          <w:rtl/>
        </w:rPr>
      </w:pPr>
      <w:bookmarkStart w:id="6" w:name="ABSTRACT_START"/>
      <w:bookmarkEnd w:id="6"/>
      <w:r w:rsidRPr="002A748C">
        <w:rPr>
          <w:rtl/>
        </w:rPr>
        <w:t>כפי המתואר בכתב האישום (להלן: "</w:t>
      </w:r>
      <w:r w:rsidRPr="002A748C">
        <w:rPr>
          <w:b/>
          <w:bCs/>
          <w:rtl/>
        </w:rPr>
        <w:t>התיק העיקרי</w:t>
      </w:r>
      <w:r w:rsidRPr="002A748C">
        <w:rPr>
          <w:rtl/>
        </w:rPr>
        <w:t>", נ.ש.מ), ביום 11.09.2020 סמוך לשעה 23:31, שהה הנאשם ברכבו מסוג "סקודיה אוקטביה" בצבע לבן (להלן: "</w:t>
      </w:r>
      <w:r w:rsidRPr="002A748C">
        <w:rPr>
          <w:b/>
          <w:bCs/>
          <w:rtl/>
        </w:rPr>
        <w:t>הרכב</w:t>
      </w:r>
      <w:r w:rsidRPr="002A748C">
        <w:rPr>
          <w:rtl/>
        </w:rPr>
        <w:t>"), בחניית הבריכה במושב ערוגות (להלן: "</w:t>
      </w:r>
      <w:r w:rsidRPr="002A748C">
        <w:rPr>
          <w:b/>
          <w:bCs/>
          <w:rtl/>
        </w:rPr>
        <w:t>המקום</w:t>
      </w:r>
      <w:r w:rsidRPr="002A748C">
        <w:rPr>
          <w:rtl/>
        </w:rPr>
        <w:t xml:space="preserve">"). במעמד זה החזיק הנאשם ברכבו במקום בסם מסוכן מסוג קנבוס במשקל של 30.63 גר' נטו לצריכתו העצמית. </w:t>
      </w:r>
    </w:p>
    <w:p w14:paraId="55FBD837" w14:textId="77777777" w:rsidR="00BB3434" w:rsidRPr="002A748C" w:rsidRDefault="00BB3434" w:rsidP="00BB3434">
      <w:pPr>
        <w:pStyle w:val="aa"/>
        <w:numPr>
          <w:ilvl w:val="0"/>
          <w:numId w:val="1"/>
        </w:numPr>
        <w:spacing w:after="0"/>
        <w:ind w:left="-384" w:right="426" w:hanging="284"/>
      </w:pPr>
      <w:bookmarkStart w:id="7" w:name="ABSTRACT_END"/>
      <w:bookmarkEnd w:id="7"/>
      <w:r w:rsidRPr="002A748C">
        <w:rPr>
          <w:rtl/>
        </w:rPr>
        <w:t xml:space="preserve">עוד נטען כי במעמד זה, החזיק הנאשם במכנסיו בסכין בצבע שחור בעלת כיתוב </w:t>
      </w:r>
      <w:r w:rsidRPr="002A748C">
        <w:t>"GERBER"</w:t>
      </w:r>
      <w:r w:rsidRPr="002A748C">
        <w:rPr>
          <w:rtl/>
        </w:rPr>
        <w:t>שיש בכוחה לדקור או לחתוך מחוץ לתחום ביתו או חציריו ולא הוכיח כי החזיקה למטרה כשרה. עוד נטען כי הנאשם החזיק בתוך הרכב באלה מתקפלת וגז פלפל.</w:t>
      </w:r>
    </w:p>
    <w:p w14:paraId="39A28EB2" w14:textId="77777777" w:rsidR="00BB3434" w:rsidRPr="002A748C" w:rsidRDefault="00BB3434" w:rsidP="00BB3434">
      <w:pPr>
        <w:pStyle w:val="11"/>
        <w:numPr>
          <w:ilvl w:val="0"/>
          <w:numId w:val="1"/>
        </w:numPr>
        <w:spacing w:line="360" w:lineRule="auto"/>
        <w:ind w:left="-384" w:right="426" w:hanging="283"/>
        <w:jc w:val="both"/>
        <w:rPr>
          <w:rFonts w:ascii="David" w:hAnsi="David"/>
        </w:rPr>
      </w:pPr>
      <w:r w:rsidRPr="002A748C">
        <w:rPr>
          <w:rFonts w:ascii="David" w:hAnsi="David"/>
          <w:rtl/>
        </w:rPr>
        <w:t>הנאשם הודה במיוחס לו לעיל, ועל יסוד הודאתו זו הורשע בעבירות של</w:t>
      </w:r>
      <w:r w:rsidRPr="002A748C">
        <w:rPr>
          <w:rFonts w:ascii="David" w:hAnsi="David"/>
          <w:b/>
          <w:bCs/>
          <w:rtl/>
        </w:rPr>
        <w:t xml:space="preserve"> החזקת סם לצריכה עצמית</w:t>
      </w:r>
      <w:r w:rsidRPr="002A748C">
        <w:rPr>
          <w:rFonts w:ascii="David" w:hAnsi="David"/>
          <w:rtl/>
        </w:rPr>
        <w:t xml:space="preserve"> לפי </w:t>
      </w:r>
      <w:hyperlink r:id="rId14" w:history="1">
        <w:r w:rsidR="00DE0546" w:rsidRPr="00DE0546">
          <w:rPr>
            <w:rStyle w:val="Hyperlink"/>
            <w:rFonts w:ascii="David" w:hAnsi="David"/>
            <w:rtl/>
          </w:rPr>
          <w:t>סעיפים 7(א)+7(ג)</w:t>
        </w:r>
      </w:hyperlink>
      <w:r w:rsidRPr="002A748C">
        <w:rPr>
          <w:rFonts w:ascii="David" w:hAnsi="David"/>
          <w:rtl/>
        </w:rPr>
        <w:t xml:space="preserve"> סיפא </w:t>
      </w:r>
      <w:r w:rsidRPr="002A748C">
        <w:rPr>
          <w:rFonts w:ascii="David" w:hAnsi="David"/>
          <w:u w:val="single"/>
          <w:rtl/>
        </w:rPr>
        <w:t>ל</w:t>
      </w:r>
      <w:hyperlink r:id="rId15" w:history="1">
        <w:r w:rsidR="00483AB7" w:rsidRPr="00483AB7">
          <w:rPr>
            <w:rFonts w:ascii="David" w:hAnsi="David"/>
            <w:color w:val="0000FF"/>
            <w:u w:val="single"/>
            <w:rtl/>
          </w:rPr>
          <w:t>פקודת הסמים המסוכנים</w:t>
        </w:r>
      </w:hyperlink>
      <w:r w:rsidRPr="002A748C">
        <w:rPr>
          <w:rFonts w:ascii="David" w:hAnsi="David"/>
          <w:u w:val="single"/>
          <w:rtl/>
        </w:rPr>
        <w:t xml:space="preserve"> (נוסח חדש) התשל"ג – 1973</w:t>
      </w:r>
      <w:r w:rsidRPr="002A748C">
        <w:rPr>
          <w:rFonts w:ascii="David" w:hAnsi="David"/>
          <w:rtl/>
        </w:rPr>
        <w:t xml:space="preserve"> (להלן: </w:t>
      </w:r>
      <w:r w:rsidRPr="002A748C">
        <w:rPr>
          <w:rFonts w:ascii="David" w:hAnsi="David"/>
          <w:rtl/>
        </w:rPr>
        <w:lastRenderedPageBreak/>
        <w:t>"</w:t>
      </w:r>
      <w:r w:rsidRPr="002A748C">
        <w:rPr>
          <w:rFonts w:ascii="David" w:hAnsi="David"/>
          <w:b/>
          <w:bCs/>
          <w:rtl/>
        </w:rPr>
        <w:t>הפקודה"; "פקודת הסמים המסוכנים"</w:t>
      </w:r>
      <w:r w:rsidRPr="002A748C">
        <w:rPr>
          <w:rFonts w:ascii="David" w:hAnsi="David"/>
          <w:rtl/>
        </w:rPr>
        <w:t xml:space="preserve">) </w:t>
      </w:r>
      <w:r w:rsidRPr="002A748C">
        <w:rPr>
          <w:rFonts w:ascii="David" w:hAnsi="David"/>
          <w:b/>
          <w:bCs/>
          <w:rtl/>
        </w:rPr>
        <w:t>והחזקת אגרופן או סכין שלא כדין</w:t>
      </w:r>
      <w:r w:rsidRPr="002A748C">
        <w:rPr>
          <w:rFonts w:ascii="David" w:hAnsi="David"/>
          <w:rtl/>
        </w:rPr>
        <w:t xml:space="preserve"> לפי </w:t>
      </w:r>
      <w:hyperlink r:id="rId16" w:history="1">
        <w:r w:rsidR="00DE0546" w:rsidRPr="00DE0546">
          <w:rPr>
            <w:rStyle w:val="Hyperlink"/>
            <w:rFonts w:ascii="David" w:hAnsi="David"/>
            <w:rtl/>
          </w:rPr>
          <w:t>סעיף 186(א)</w:t>
        </w:r>
      </w:hyperlink>
      <w:r w:rsidRPr="002A748C">
        <w:rPr>
          <w:rFonts w:ascii="David" w:hAnsi="David"/>
          <w:rtl/>
        </w:rPr>
        <w:t xml:space="preserve"> </w:t>
      </w:r>
      <w:r w:rsidRPr="002A748C">
        <w:rPr>
          <w:rFonts w:ascii="David" w:hAnsi="David"/>
          <w:u w:val="single"/>
          <w:rtl/>
        </w:rPr>
        <w:t>ל</w:t>
      </w:r>
      <w:hyperlink r:id="rId17" w:history="1">
        <w:r w:rsidR="00483AB7" w:rsidRPr="00483AB7">
          <w:rPr>
            <w:rFonts w:ascii="David" w:hAnsi="David"/>
            <w:color w:val="0000FF"/>
            <w:u w:val="single"/>
            <w:rtl/>
          </w:rPr>
          <w:t>חוק העונשין</w:t>
        </w:r>
      </w:hyperlink>
      <w:r w:rsidRPr="002A748C">
        <w:rPr>
          <w:rFonts w:ascii="David" w:hAnsi="David"/>
          <w:u w:val="single"/>
          <w:rtl/>
        </w:rPr>
        <w:t>, תשל"ז- 1977</w:t>
      </w:r>
      <w:r w:rsidRPr="002A748C">
        <w:rPr>
          <w:rFonts w:ascii="David" w:hAnsi="David"/>
          <w:rtl/>
        </w:rPr>
        <w:t xml:space="preserve"> (להלן: "</w:t>
      </w:r>
      <w:r w:rsidRPr="002A748C">
        <w:rPr>
          <w:rFonts w:ascii="David" w:hAnsi="David"/>
          <w:b/>
          <w:bCs/>
          <w:rtl/>
        </w:rPr>
        <w:t>חוק העונשין</w:t>
      </w:r>
      <w:r w:rsidRPr="002A748C">
        <w:rPr>
          <w:rFonts w:ascii="David" w:hAnsi="David"/>
          <w:rtl/>
        </w:rPr>
        <w:t>").</w:t>
      </w:r>
    </w:p>
    <w:p w14:paraId="2C491EE7" w14:textId="77777777" w:rsidR="00BB3434" w:rsidRPr="002A748C" w:rsidRDefault="00BB3434" w:rsidP="00BB3434">
      <w:pPr>
        <w:pStyle w:val="11"/>
        <w:numPr>
          <w:ilvl w:val="0"/>
          <w:numId w:val="1"/>
        </w:numPr>
        <w:spacing w:line="360" w:lineRule="auto"/>
        <w:ind w:left="-384" w:right="426" w:hanging="283"/>
        <w:jc w:val="both"/>
        <w:rPr>
          <w:rFonts w:ascii="David" w:hAnsi="David"/>
        </w:rPr>
      </w:pPr>
      <w:r w:rsidRPr="002A748C">
        <w:rPr>
          <w:rFonts w:ascii="David" w:hAnsi="David"/>
          <w:rtl/>
        </w:rPr>
        <w:t xml:space="preserve">הנאשם צרף את </w:t>
      </w:r>
      <w:hyperlink r:id="rId18" w:history="1">
        <w:r w:rsidR="00483AB7" w:rsidRPr="00483AB7">
          <w:rPr>
            <w:rFonts w:ascii="David" w:hAnsi="David"/>
            <w:color w:val="0000FF"/>
            <w:u w:val="single"/>
            <w:rtl/>
          </w:rPr>
          <w:t>ת"פ 24628-01-21</w:t>
        </w:r>
      </w:hyperlink>
      <w:r w:rsidRPr="002A748C">
        <w:rPr>
          <w:rFonts w:ascii="David" w:hAnsi="David"/>
          <w:u w:val="single"/>
          <w:rtl/>
        </w:rPr>
        <w:t xml:space="preserve">  (שלום ת"א)</w:t>
      </w:r>
      <w:r w:rsidRPr="002A748C">
        <w:rPr>
          <w:rFonts w:ascii="David" w:hAnsi="David"/>
          <w:rtl/>
        </w:rPr>
        <w:t xml:space="preserve"> (להלן: "</w:t>
      </w:r>
      <w:r w:rsidRPr="002A748C">
        <w:rPr>
          <w:rFonts w:ascii="David" w:hAnsi="David"/>
          <w:b/>
          <w:bCs/>
          <w:rtl/>
        </w:rPr>
        <w:t>התיק המצורף</w:t>
      </w:r>
      <w:r w:rsidRPr="002A748C">
        <w:rPr>
          <w:rFonts w:ascii="David" w:hAnsi="David"/>
          <w:rtl/>
        </w:rPr>
        <w:t xml:space="preserve">", נ.ש.מ), במסגרתו הלה הודה והורשע בכתב האישום המייחס לו עבירה של </w:t>
      </w:r>
      <w:r w:rsidRPr="002A748C">
        <w:rPr>
          <w:rFonts w:ascii="David" w:hAnsi="David"/>
          <w:b/>
          <w:bCs/>
          <w:rtl/>
        </w:rPr>
        <w:t>החזקת אגרופן או סכין שלא כדין</w:t>
      </w:r>
      <w:r w:rsidRPr="002A748C">
        <w:rPr>
          <w:rFonts w:ascii="David" w:hAnsi="David"/>
          <w:rtl/>
        </w:rPr>
        <w:t xml:space="preserve"> לפי </w:t>
      </w:r>
      <w:hyperlink r:id="rId19" w:history="1">
        <w:r w:rsidR="00DE0546" w:rsidRPr="00DE0546">
          <w:rPr>
            <w:rStyle w:val="Hyperlink"/>
            <w:rFonts w:ascii="David" w:hAnsi="David"/>
            <w:rtl/>
          </w:rPr>
          <w:t>סעיף 186(א)</w:t>
        </w:r>
      </w:hyperlink>
      <w:r w:rsidRPr="002A748C">
        <w:rPr>
          <w:rFonts w:ascii="David" w:hAnsi="David"/>
          <w:rtl/>
        </w:rPr>
        <w:t xml:space="preserve"> </w:t>
      </w:r>
      <w:r w:rsidRPr="002A748C">
        <w:rPr>
          <w:rFonts w:ascii="David" w:hAnsi="David"/>
          <w:u w:val="single"/>
          <w:rtl/>
        </w:rPr>
        <w:t>ל</w:t>
      </w:r>
      <w:hyperlink r:id="rId20" w:history="1">
        <w:r w:rsidR="00483AB7" w:rsidRPr="00483AB7">
          <w:rPr>
            <w:rFonts w:ascii="David" w:hAnsi="David"/>
            <w:color w:val="0000FF"/>
            <w:u w:val="single"/>
            <w:rtl/>
          </w:rPr>
          <w:t>חוק העונשין</w:t>
        </w:r>
      </w:hyperlink>
      <w:r w:rsidRPr="002A748C">
        <w:rPr>
          <w:rFonts w:ascii="David" w:hAnsi="David"/>
          <w:rtl/>
        </w:rPr>
        <w:t>. על פי האמור בכתב האישום המצורף, ביום 05.09.2020 סמוך לשעה 02:19, בצומת הרחובות אמיר גלבוע ושטרייכמן בת"א (להלן: "</w:t>
      </w:r>
      <w:r w:rsidRPr="002A748C">
        <w:rPr>
          <w:rFonts w:ascii="David" w:hAnsi="David"/>
          <w:b/>
          <w:bCs/>
          <w:rtl/>
        </w:rPr>
        <w:t>המקום</w:t>
      </w:r>
      <w:r w:rsidRPr="002A748C">
        <w:rPr>
          <w:rFonts w:ascii="David" w:hAnsi="David"/>
          <w:rtl/>
        </w:rPr>
        <w:t>"), החזיק הנאשם בתא דלת הנהג ברכבו מסוג "סקודה" ל.ז 2882138 (להלן: "</w:t>
      </w:r>
      <w:r w:rsidRPr="002A748C">
        <w:rPr>
          <w:rFonts w:ascii="David" w:hAnsi="David"/>
          <w:b/>
          <w:bCs/>
          <w:rtl/>
        </w:rPr>
        <w:t>הרכב</w:t>
      </w:r>
      <w:r w:rsidRPr="002A748C">
        <w:rPr>
          <w:rFonts w:ascii="David" w:hAnsi="David"/>
          <w:rtl/>
        </w:rPr>
        <w:t xml:space="preserve">"), בסכין מתקפלת בצבע שחור. </w:t>
      </w:r>
    </w:p>
    <w:p w14:paraId="0C334E66" w14:textId="77777777" w:rsidR="00BB3434" w:rsidRPr="002A748C" w:rsidRDefault="00BB3434" w:rsidP="00BB3434">
      <w:pPr>
        <w:pStyle w:val="aa"/>
        <w:numPr>
          <w:ilvl w:val="0"/>
          <w:numId w:val="1"/>
        </w:numPr>
        <w:ind w:left="-384" w:right="426" w:hanging="283"/>
      </w:pPr>
      <w:r w:rsidRPr="002A748C">
        <w:rPr>
          <w:rtl/>
        </w:rPr>
        <w:t xml:space="preserve">הצדדים הסכימו ביניהם כי יתקבל תסקיר בעניינו של הנאשם שיבחן לבקשת ההגנה את שאלת ביטול ההרשעה. עוד הוצהר כי המאשימה תעמוד על הותרת ההרשעה על כנה ואולם הצדדים ישובו להידבר לאחר קבלת תסקיר. </w:t>
      </w:r>
    </w:p>
    <w:p w14:paraId="275367A9" w14:textId="77777777" w:rsidR="00BB3434" w:rsidRDefault="00BB3434" w:rsidP="00BB3434">
      <w:pPr>
        <w:pStyle w:val="aa"/>
        <w:numPr>
          <w:ilvl w:val="0"/>
          <w:numId w:val="1"/>
        </w:numPr>
        <w:spacing w:after="0"/>
        <w:ind w:left="-384" w:right="426" w:hanging="284"/>
      </w:pPr>
      <w:r w:rsidRPr="002A748C">
        <w:rPr>
          <w:rtl/>
        </w:rPr>
        <w:t xml:space="preserve">בעניינו של הנאשם התקבלו </w:t>
      </w:r>
      <w:r w:rsidRPr="002A748C">
        <w:rPr>
          <w:b/>
          <w:bCs/>
          <w:rtl/>
        </w:rPr>
        <w:t>שני תסקירים</w:t>
      </w:r>
      <w:r w:rsidRPr="002A748C">
        <w:rPr>
          <w:rtl/>
        </w:rPr>
        <w:t xml:space="preserve"> ובסופם המלצה לבכר בעניינו של הנאשם את </w:t>
      </w:r>
      <w:r w:rsidRPr="002A748C">
        <w:rPr>
          <w:b/>
          <w:bCs/>
          <w:rtl/>
        </w:rPr>
        <w:t>הפן השיקומי</w:t>
      </w:r>
      <w:r w:rsidRPr="002A748C">
        <w:rPr>
          <w:rtl/>
        </w:rPr>
        <w:t xml:space="preserve">, להורות על </w:t>
      </w:r>
      <w:r w:rsidRPr="002A748C">
        <w:rPr>
          <w:b/>
          <w:bCs/>
          <w:rtl/>
        </w:rPr>
        <w:t>ביטול הרשעתו</w:t>
      </w:r>
      <w:r w:rsidRPr="002A748C">
        <w:rPr>
          <w:rtl/>
        </w:rPr>
        <w:t xml:space="preserve"> ולהשית עליו ענישה בדמות</w:t>
      </w:r>
      <w:r>
        <w:rPr>
          <w:rtl/>
        </w:rPr>
        <w:t xml:space="preserve"> צו של"צ בהיקף נרחב של 220 שעות</w:t>
      </w:r>
      <w:r w:rsidRPr="002A748C">
        <w:rPr>
          <w:rtl/>
        </w:rPr>
        <w:t>. בגוף התסקירים, עומד שירות המבחן על קורות חייו וחיי משפחתו של הנאשם, על מאפייניו האישיותיים, יחסו לעבירות, ההליך הטיפולי שעבר ועודנו עובר הנאשם, ועוד. מטעמים של צנעת הפרט לא אעלה עלי גזר הדין את כל המפורט בתסקירים האמורים, מלבד אותם נתונים הרלוונטיים לשאלת העונש שאליהם אתייחס בהמשך.</w:t>
      </w:r>
    </w:p>
    <w:p w14:paraId="45BC989C" w14:textId="77777777" w:rsidR="00BB3434" w:rsidRPr="0022034C" w:rsidRDefault="00BB3434" w:rsidP="00BB3434">
      <w:pPr>
        <w:pStyle w:val="1"/>
        <w:numPr>
          <w:ilvl w:val="0"/>
          <w:numId w:val="2"/>
        </w:numPr>
        <w:spacing w:line="360" w:lineRule="auto"/>
        <w:ind w:left="-384"/>
        <w:jc w:val="both"/>
        <w:rPr>
          <w:rFonts w:ascii="David" w:hAnsi="David" w:cs="David"/>
          <w:b/>
          <w:bCs/>
          <w:color w:val="auto"/>
          <w:sz w:val="28"/>
          <w:szCs w:val="28"/>
          <w:u w:val="single"/>
        </w:rPr>
      </w:pPr>
      <w:r w:rsidRPr="0022034C">
        <w:rPr>
          <w:rFonts w:ascii="David" w:hAnsi="David" w:cs="David"/>
          <w:b/>
          <w:bCs/>
          <w:color w:val="auto"/>
          <w:sz w:val="28"/>
          <w:szCs w:val="28"/>
          <w:u w:val="single"/>
          <w:rtl/>
        </w:rPr>
        <w:t>טיעוני הצדדים (עיקרי הדברים)</w:t>
      </w:r>
    </w:p>
    <w:p w14:paraId="6F3766D2" w14:textId="77777777" w:rsidR="00BB3434" w:rsidRDefault="00BB3434" w:rsidP="00BB3434">
      <w:pPr>
        <w:pStyle w:val="aa"/>
        <w:numPr>
          <w:ilvl w:val="0"/>
          <w:numId w:val="1"/>
        </w:numPr>
        <w:spacing w:after="0"/>
        <w:ind w:left="-384" w:right="426" w:hanging="284"/>
      </w:pPr>
      <w:r w:rsidRPr="0022034C">
        <w:rPr>
          <w:rtl/>
        </w:rPr>
        <w:t xml:space="preserve">המאשימה עמדה על הערכים המוגנים שנפגעו כתוצאה ממכלול מעשיו של הנאשם, על חומרת מעשיו בדגש על העובדה כי נתפס סם ברכבו ועל כך שהלה החזיק ברכב בסכין שלא כחוק בשעות הערב המאוחרת במסגרת התיק העיקרי; וכן בסכין בתא דלת הנהג ברכבו במסגרת התיק המצורף. ברוח זו עתרה המאשימה לקבוע </w:t>
      </w:r>
      <w:r w:rsidRPr="0022034C">
        <w:rPr>
          <w:b/>
          <w:bCs/>
          <w:rtl/>
        </w:rPr>
        <w:t>שני מתחמי ענישה שונים ונבדלים</w:t>
      </w:r>
      <w:r w:rsidRPr="0022034C">
        <w:rPr>
          <w:rtl/>
        </w:rPr>
        <w:t xml:space="preserve"> בשל כל אחד ממעשיו של הנאשם בשני כתבי האישום. כך, ובכל הנוגע למעשיו של הנאשם </w:t>
      </w:r>
      <w:r w:rsidRPr="0022034C">
        <w:rPr>
          <w:b/>
          <w:bCs/>
          <w:rtl/>
        </w:rPr>
        <w:t>במסגרת התיק העיקרי,</w:t>
      </w:r>
      <w:r w:rsidRPr="0022034C">
        <w:rPr>
          <w:rtl/>
        </w:rPr>
        <w:t xml:space="preserve"> עתרה המאשימה לקבוע מתחם עונש הולם הנע בין מאסר מותנה לבין כמה  חודשים מאסר (שיכול וירוצו בעבודות שירות), וכך גם בגין מעשיו של הנאשם </w:t>
      </w:r>
      <w:r w:rsidRPr="0022034C">
        <w:rPr>
          <w:b/>
          <w:bCs/>
          <w:rtl/>
        </w:rPr>
        <w:t>במסגרת  התיק המצורף</w:t>
      </w:r>
      <w:r w:rsidRPr="0022034C">
        <w:rPr>
          <w:rtl/>
        </w:rPr>
        <w:t xml:space="preserve">, עתרה המאשימה לקבוע מתחם עונש ראוי הנע בין מאסר מותנה לבין כמה חודשים מאסר (שיכול וירוצו בעבודות שירות). משסברה המאשימה כי בעניינו של הנאשם אין מקום לסטות לקולה בשל שיקולי שיקום, וכי עניינו אינו נכנס לגדרי המקרים המצדיקים ביטול ההרשעה כעולה </w:t>
      </w:r>
      <w:r w:rsidRPr="0022034C">
        <w:rPr>
          <w:b/>
          <w:bCs/>
          <w:rtl/>
        </w:rPr>
        <w:t>מפרשת כתב</w:t>
      </w:r>
      <w:r w:rsidRPr="0022034C">
        <w:rPr>
          <w:rtl/>
        </w:rPr>
        <w:t xml:space="preserve">, הלה עתרה למקם את עונשו של הנאשם ברף הבינוני – נמוך למתחמים ולהשית עליו עונש כולל אחד בדמות כמה חודשים מאסר שיכול וירוצו בעבודות שירות וענישה נלוות בדמות מאסר מותנה, קנס, התחייבות, פסילה בפועל, ופסילה מותנית. </w:t>
      </w:r>
    </w:p>
    <w:p w14:paraId="3B707170" w14:textId="77777777" w:rsidR="00BB3434" w:rsidRDefault="00BB3434" w:rsidP="00BB3434">
      <w:pPr>
        <w:pStyle w:val="aa"/>
        <w:numPr>
          <w:ilvl w:val="0"/>
          <w:numId w:val="1"/>
        </w:numPr>
        <w:spacing w:after="0"/>
        <w:ind w:left="-384" w:right="426" w:hanging="284"/>
      </w:pPr>
      <w:r w:rsidRPr="0022034C">
        <w:rPr>
          <w:b/>
          <w:bCs/>
          <w:rtl/>
        </w:rPr>
        <w:t>מנגד,</w:t>
      </w:r>
      <w:r w:rsidRPr="002A748C">
        <w:rPr>
          <w:rtl/>
        </w:rPr>
        <w:t xml:space="preserve"> באת כוח הנאשם הפנתה לרף החומרה הנמוך הטמון במעשיו של הנאשם בשני כתבי האישום. בכל הנוגע לנסיבות שאינן קשורות לביצוע העבירות הפנתה הסנגורית לנסיבותיו האישיות של הנאשם, ובכלל זה להיותו של הנאשם אדם נורמטיבי ויצרני, לגילו הצעיר, להיותו חף מהרשעות קודמות, לטיפול שהלה עבר במסגרת שירות המבחן ולחלוף הזמן. מכל האמור </w:t>
      </w:r>
      <w:r w:rsidRPr="002552B0">
        <w:rPr>
          <w:b/>
          <w:bCs/>
          <w:rtl/>
        </w:rPr>
        <w:t>עתרה ההגנה לקבוע מתחם עונש הולם אחד בגין מכלול מעשיו של הנאשם ולבכר בעניינו את הפן השיקומי.</w:t>
      </w:r>
      <w:r w:rsidRPr="002A748C">
        <w:rPr>
          <w:rtl/>
        </w:rPr>
        <w:t xml:space="preserve"> לעניין העונש</w:t>
      </w:r>
      <w:r>
        <w:rPr>
          <w:rFonts w:hint="cs"/>
          <w:rtl/>
        </w:rPr>
        <w:t>,</w:t>
      </w:r>
      <w:r w:rsidRPr="002A748C">
        <w:rPr>
          <w:rtl/>
        </w:rPr>
        <w:t xml:space="preserve"> הפנתה ההגנה להליך הטיפולי הממושך שעבר הנאשם במסגרת הטיפול הפרטי שבו היה ועודנו משולב הנאשם ולכך שהרשעה עלולה לפגוע בסיכויי שיקומו. מכל האמור עתרה ההגנה להורות על ביטול הרשעתו של הנאשם ולהשית עליו את הענישה שהומלצה ע"י שירות המבחן.</w:t>
      </w:r>
    </w:p>
    <w:p w14:paraId="63BCA5EF" w14:textId="77777777" w:rsidR="00BB3434" w:rsidRDefault="00BB3434" w:rsidP="00BB3434">
      <w:pPr>
        <w:pStyle w:val="aa"/>
        <w:numPr>
          <w:ilvl w:val="0"/>
          <w:numId w:val="1"/>
        </w:numPr>
        <w:spacing w:after="0"/>
        <w:ind w:left="-384" w:right="426" w:hanging="284"/>
      </w:pPr>
      <w:r w:rsidRPr="002A748C">
        <w:rPr>
          <w:rtl/>
        </w:rPr>
        <w:lastRenderedPageBreak/>
        <w:t xml:space="preserve">הנאשם אשר קיבל את "זכות המילה האחרונה", הביע חרטה על מעשיו, והצהיר כי מעשים מעין אלו לא יישנו. בסוף דבריו ביקש הנאשם כי בית המשפט יתחשב בו לעניין העונש וימנע מהרשעתו על מנת שלא לפגוע בסיכויי שיקומו. </w:t>
      </w:r>
    </w:p>
    <w:p w14:paraId="5736B044" w14:textId="77777777" w:rsidR="00BB3434" w:rsidRDefault="00BB3434" w:rsidP="00BB3434">
      <w:pPr>
        <w:pStyle w:val="aa"/>
        <w:spacing w:after="0"/>
        <w:ind w:left="-384" w:right="426" w:firstLine="0"/>
      </w:pPr>
    </w:p>
    <w:p w14:paraId="681516DD" w14:textId="77777777" w:rsidR="00BB3434" w:rsidRPr="0022034C" w:rsidRDefault="00BB3434" w:rsidP="00BB3434">
      <w:pPr>
        <w:pStyle w:val="1"/>
        <w:spacing w:line="360" w:lineRule="auto"/>
        <w:jc w:val="center"/>
        <w:rPr>
          <w:rFonts w:ascii="David" w:hAnsi="David" w:cs="David"/>
          <w:b/>
          <w:bCs/>
          <w:color w:val="auto"/>
          <w:u w:val="single"/>
        </w:rPr>
      </w:pPr>
      <w:r w:rsidRPr="0022034C">
        <w:rPr>
          <w:rFonts w:ascii="David" w:hAnsi="David" w:cs="David"/>
          <w:b/>
          <w:bCs/>
          <w:color w:val="auto"/>
          <w:u w:val="single"/>
          <w:rtl/>
        </w:rPr>
        <w:t>דיון והכרעה</w:t>
      </w:r>
    </w:p>
    <w:p w14:paraId="0C1B0749" w14:textId="77777777" w:rsidR="00BB3434" w:rsidRPr="0022034C" w:rsidRDefault="00BB3434" w:rsidP="00BB3434">
      <w:pPr>
        <w:pStyle w:val="1"/>
        <w:spacing w:after="160"/>
        <w:ind w:left="-384" w:hanging="283"/>
        <w:rPr>
          <w:rFonts w:ascii="David" w:hAnsi="David" w:cs="David"/>
          <w:b/>
          <w:bCs/>
          <w:color w:val="auto"/>
          <w:sz w:val="28"/>
          <w:szCs w:val="28"/>
          <w:u w:val="single"/>
          <w:rtl/>
        </w:rPr>
      </w:pPr>
      <w:r w:rsidRPr="0022034C">
        <w:rPr>
          <w:rFonts w:ascii="David" w:hAnsi="David" w:cs="David"/>
          <w:b/>
          <w:bCs/>
          <w:color w:val="auto"/>
          <w:sz w:val="28"/>
          <w:szCs w:val="28"/>
          <w:rtl/>
        </w:rPr>
        <w:t xml:space="preserve">ג.  </w:t>
      </w:r>
      <w:r w:rsidRPr="0022034C">
        <w:rPr>
          <w:rFonts w:ascii="David" w:hAnsi="David" w:cs="David"/>
          <w:b/>
          <w:bCs/>
          <w:color w:val="auto"/>
          <w:sz w:val="28"/>
          <w:szCs w:val="28"/>
          <w:u w:val="single"/>
          <w:rtl/>
        </w:rPr>
        <w:t>קביעת מתחם העונש ההולם</w:t>
      </w:r>
    </w:p>
    <w:p w14:paraId="03F33DAF" w14:textId="77777777" w:rsidR="00BB3434" w:rsidRDefault="00BB3434" w:rsidP="00BB3434">
      <w:pPr>
        <w:pStyle w:val="aa"/>
        <w:numPr>
          <w:ilvl w:val="0"/>
          <w:numId w:val="1"/>
        </w:numPr>
        <w:spacing w:after="0"/>
        <w:ind w:left="-384" w:right="426" w:hanging="284"/>
      </w:pPr>
      <w:r w:rsidRPr="002A748C">
        <w:rPr>
          <w:rtl/>
        </w:rPr>
        <w:t xml:space="preserve">נדמה כי בגין המעשים המיוחסים לנאשם בשני כתבי האישום יש לקבוע מתחם עונש כולל אחד כשהדברים אמורים בשים לב לכך שהעבירות בשני האירועים דומות באופיין ובוצעו בסמיכות זמנים. הדברים אמורים אף בשים לב ל"מבחן הקשר ההדוק" וליתר מבחני העזר אשר נקבעו לעניין זה בפסיקתו של בית המשפט העליון (ראו למשל, דעת הרוב </w:t>
      </w:r>
      <w:r w:rsidRPr="0022034C">
        <w:rPr>
          <w:u w:val="single"/>
          <w:rtl/>
        </w:rPr>
        <w:t>ב</w:t>
      </w:r>
      <w:hyperlink r:id="rId21" w:history="1">
        <w:r w:rsidR="00483AB7" w:rsidRPr="00483AB7">
          <w:rPr>
            <w:color w:val="0000FF"/>
            <w:u w:val="single"/>
            <w:rtl/>
          </w:rPr>
          <w:t>ע"פ 4910/13</w:t>
        </w:r>
      </w:hyperlink>
      <w:r w:rsidRPr="002A748C">
        <w:rPr>
          <w:rtl/>
        </w:rPr>
        <w:t xml:space="preserve"> </w:t>
      </w:r>
      <w:r w:rsidRPr="0022034C">
        <w:rPr>
          <w:b/>
          <w:bCs/>
          <w:rtl/>
        </w:rPr>
        <w:t>‏ ג'אבר נ' מדינת ישראל</w:t>
      </w:r>
      <w:r w:rsidRPr="002A748C">
        <w:rPr>
          <w:rtl/>
        </w:rPr>
        <w:t xml:space="preserve"> [פורסם בנבו] (29.10.2014)</w:t>
      </w:r>
      <w:r w:rsidRPr="002A748C">
        <w:t xml:space="preserve"> </w:t>
      </w:r>
      <w:r w:rsidRPr="0022034C">
        <w:rPr>
          <w:u w:val="single"/>
          <w:rtl/>
        </w:rPr>
        <w:t>ו</w:t>
      </w:r>
      <w:hyperlink r:id="rId22" w:history="1">
        <w:r w:rsidR="00483AB7" w:rsidRPr="00483AB7">
          <w:rPr>
            <w:color w:val="0000FF"/>
            <w:u w:val="single"/>
            <w:rtl/>
          </w:rPr>
          <w:t>ע"פ 1261/15</w:t>
        </w:r>
      </w:hyperlink>
      <w:r w:rsidRPr="002A748C">
        <w:rPr>
          <w:rtl/>
        </w:rPr>
        <w:t xml:space="preserve"> </w:t>
      </w:r>
      <w:r w:rsidRPr="0022034C">
        <w:rPr>
          <w:b/>
          <w:bCs/>
          <w:rtl/>
        </w:rPr>
        <w:t>דלאל נ' מדינת ישראל</w:t>
      </w:r>
      <w:r w:rsidRPr="002A748C">
        <w:rPr>
          <w:rtl/>
        </w:rPr>
        <w:t xml:space="preserve"> [פורסם בנבו]  (03.09.2015)). </w:t>
      </w:r>
    </w:p>
    <w:p w14:paraId="259224F6" w14:textId="77777777" w:rsidR="00BB3434" w:rsidRDefault="00BB3434" w:rsidP="00BB3434">
      <w:pPr>
        <w:pStyle w:val="aa"/>
        <w:numPr>
          <w:ilvl w:val="0"/>
          <w:numId w:val="1"/>
        </w:numPr>
        <w:spacing w:after="0"/>
        <w:ind w:left="-384" w:right="426" w:hanging="284"/>
      </w:pPr>
      <w:r w:rsidRPr="002A748C">
        <w:rPr>
          <w:rtl/>
        </w:rPr>
        <w:t xml:space="preserve">משאמרנו כל זאת, אזי, בהתאם למתווה שקבע המחוקק בתיקון 113 </w:t>
      </w:r>
      <w:r w:rsidRPr="0022034C">
        <w:rPr>
          <w:u w:val="single"/>
          <w:rtl/>
        </w:rPr>
        <w:t>ל</w:t>
      </w:r>
      <w:hyperlink r:id="rId23" w:history="1">
        <w:r w:rsidR="00483AB7" w:rsidRPr="00483AB7">
          <w:rPr>
            <w:color w:val="0000FF"/>
            <w:u w:val="single"/>
            <w:rtl/>
          </w:rPr>
          <w:t>חוק העונשין</w:t>
        </w:r>
      </w:hyperlink>
      <w:r w:rsidRPr="0022034C">
        <w:rPr>
          <w:u w:val="single"/>
          <w:rtl/>
        </w:rPr>
        <w:t>,</w:t>
      </w:r>
      <w:r w:rsidRPr="002A748C">
        <w:rPr>
          <w:rtl/>
        </w:rPr>
        <w:t xml:space="preserve"> ופורש לאחר מכן בפסיקתו של בית המשפט העליון, בשלב הראשון יקבע בית המשפט את מתחם העונש ההולם בגין מכלול מעשיו של הנאשם ולאחר מכן ישית על הנאשם עונש כולל אחד תוך בחינה אם יש מקום לסטות בעניינו מהמתחם שנקבע או שמא יש לקבוע את העונש בגדרו (על אודות המתווה לגזירת העונש, ראו למשל, </w:t>
      </w:r>
      <w:hyperlink r:id="rId24" w:history="1">
        <w:r w:rsidR="00483AB7" w:rsidRPr="00483AB7">
          <w:rPr>
            <w:color w:val="0000FF"/>
            <w:u w:val="single"/>
            <w:rtl/>
          </w:rPr>
          <w:t>ע"פ 8641/12</w:t>
        </w:r>
      </w:hyperlink>
      <w:r w:rsidRPr="002A748C">
        <w:rPr>
          <w:rtl/>
        </w:rPr>
        <w:t xml:space="preserve"> </w:t>
      </w:r>
      <w:r w:rsidRPr="0022034C">
        <w:rPr>
          <w:b/>
          <w:bCs/>
          <w:rtl/>
        </w:rPr>
        <w:t>סעד נ' מדינת ישראל</w:t>
      </w:r>
      <w:r w:rsidRPr="002A748C">
        <w:rPr>
          <w:rtl/>
        </w:rPr>
        <w:t xml:space="preserve"> [פורסם בנבו] (05.08.2013)). </w:t>
      </w:r>
    </w:p>
    <w:p w14:paraId="72A0C8A8" w14:textId="77777777" w:rsidR="00BB3434" w:rsidRPr="0022034C" w:rsidRDefault="00BB3434" w:rsidP="00BB3434">
      <w:pPr>
        <w:pStyle w:val="aa"/>
        <w:numPr>
          <w:ilvl w:val="0"/>
          <w:numId w:val="1"/>
        </w:numPr>
        <w:spacing w:after="0"/>
        <w:ind w:left="-384" w:right="426" w:hanging="284"/>
      </w:pPr>
      <w:r w:rsidRPr="002A748C">
        <w:rPr>
          <w:rtl/>
        </w:rPr>
        <w:t xml:space="preserve">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והכל כאמור </w:t>
      </w:r>
      <w:hyperlink r:id="rId25" w:history="1">
        <w:r w:rsidR="00DE0546" w:rsidRPr="00DE0546">
          <w:rPr>
            <w:rStyle w:val="Hyperlink"/>
            <w:rtl/>
          </w:rPr>
          <w:t>בסעיף 40ג(א)</w:t>
        </w:r>
      </w:hyperlink>
      <w:r w:rsidRPr="002A748C">
        <w:rPr>
          <w:rtl/>
        </w:rPr>
        <w:t xml:space="preserve"> </w:t>
      </w:r>
      <w:r w:rsidRPr="0022034C">
        <w:rPr>
          <w:u w:val="single"/>
          <w:rtl/>
        </w:rPr>
        <w:t>ל</w:t>
      </w:r>
      <w:hyperlink r:id="rId26" w:history="1">
        <w:r w:rsidR="00483AB7" w:rsidRPr="00483AB7">
          <w:rPr>
            <w:color w:val="0000FF"/>
            <w:u w:val="single"/>
            <w:rtl/>
          </w:rPr>
          <w:t>חוק העונשין</w:t>
        </w:r>
      </w:hyperlink>
      <w:r w:rsidRPr="0022034C">
        <w:rPr>
          <w:u w:val="single"/>
          <w:rtl/>
        </w:rPr>
        <w:t>.</w:t>
      </w:r>
    </w:p>
    <w:p w14:paraId="1D3EC653" w14:textId="77777777" w:rsidR="00BB3434" w:rsidRDefault="00BB3434" w:rsidP="00BB3434">
      <w:pPr>
        <w:pStyle w:val="aa"/>
        <w:numPr>
          <w:ilvl w:val="0"/>
          <w:numId w:val="1"/>
        </w:numPr>
        <w:spacing w:after="0"/>
        <w:ind w:left="-384" w:right="426" w:hanging="284"/>
      </w:pPr>
      <w:r w:rsidRPr="002A748C">
        <w:rPr>
          <w:rtl/>
        </w:rPr>
        <w:t xml:space="preserve">בכל הנוגע </w:t>
      </w:r>
      <w:r w:rsidRPr="0022034C">
        <w:rPr>
          <w:b/>
          <w:bCs/>
          <w:rtl/>
        </w:rPr>
        <w:t>לפגיעה בערכים המוגנים בעבירות שבמוקד כתבי האישום, הרי שבכל הנוגע לעבירת החזקת הסם לצריכה עצמית</w:t>
      </w:r>
      <w:r w:rsidRPr="002A748C">
        <w:rPr>
          <w:rtl/>
        </w:rPr>
        <w:t xml:space="preserve">, נדמה כי אין צורך להכביר מילים על אודות החומרה הרבה הכרוכה בעבירות אלה. </w:t>
      </w:r>
      <w:hyperlink r:id="rId27" w:history="1">
        <w:r w:rsidR="00483AB7" w:rsidRPr="00483AB7">
          <w:rPr>
            <w:color w:val="0000FF"/>
            <w:u w:val="single"/>
            <w:rtl/>
          </w:rPr>
          <w:t>פקודת הסמים המסוכנים</w:t>
        </w:r>
      </w:hyperlink>
      <w:r w:rsidRPr="002A748C">
        <w:rPr>
          <w:rtl/>
        </w:rPr>
        <w:t xml:space="preserve"> נחקקה על מנת להגן על ערכים חברתיים מרכזיים ובראשם החובה להגן על שלומו של הציבור, בריאותו, על בטחונו האישי ועל רכושו. </w:t>
      </w:r>
    </w:p>
    <w:p w14:paraId="0C4B2A35" w14:textId="77777777" w:rsidR="00BB3434" w:rsidRDefault="00BB3434" w:rsidP="00BB3434">
      <w:pPr>
        <w:pStyle w:val="aa"/>
        <w:numPr>
          <w:ilvl w:val="0"/>
          <w:numId w:val="1"/>
        </w:numPr>
        <w:spacing w:after="0"/>
        <w:ind w:left="-384" w:right="426" w:hanging="284"/>
      </w:pPr>
      <w:r w:rsidRPr="002A748C">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8" w:history="1">
        <w:r w:rsidR="00483AB7" w:rsidRPr="00483AB7">
          <w:rPr>
            <w:color w:val="0000FF"/>
            <w:u w:val="single"/>
            <w:rtl/>
          </w:rPr>
          <w:t>ע"פ 575/88</w:t>
        </w:r>
      </w:hyperlink>
      <w:r w:rsidRPr="002A748C">
        <w:rPr>
          <w:rtl/>
        </w:rPr>
        <w:t xml:space="preserve"> </w:t>
      </w:r>
      <w:r w:rsidRPr="0022034C">
        <w:rPr>
          <w:b/>
          <w:bCs/>
          <w:rtl/>
        </w:rPr>
        <w:t>עודה נגד מדינת ישראל</w:t>
      </w:r>
      <w:r w:rsidRPr="002A748C">
        <w:rPr>
          <w:rtl/>
        </w:rPr>
        <w:t xml:space="preserve"> [פורסם בנבו] (11.12.1988);</w:t>
      </w:r>
      <w:r w:rsidRPr="0022034C">
        <w:rPr>
          <w:u w:val="single"/>
          <w:rtl/>
        </w:rPr>
        <w:t xml:space="preserve"> </w:t>
      </w:r>
      <w:hyperlink r:id="rId29" w:history="1">
        <w:r w:rsidR="00483AB7" w:rsidRPr="00483AB7">
          <w:rPr>
            <w:color w:val="0000FF"/>
            <w:u w:val="single"/>
            <w:rtl/>
          </w:rPr>
          <w:t>ע"פ 972/11</w:t>
        </w:r>
      </w:hyperlink>
      <w:r w:rsidRPr="002A748C">
        <w:rPr>
          <w:rtl/>
        </w:rPr>
        <w:t xml:space="preserve"> </w:t>
      </w:r>
      <w:r w:rsidRPr="0022034C">
        <w:rPr>
          <w:b/>
          <w:bCs/>
          <w:rtl/>
        </w:rPr>
        <w:t>מדינת ישראל נגד יניב יונה</w:t>
      </w:r>
      <w:r w:rsidRPr="002A748C">
        <w:rPr>
          <w:rtl/>
        </w:rPr>
        <w:t xml:space="preserve"> [פורסם בנבו] (04.07.2012); </w:t>
      </w:r>
      <w:hyperlink r:id="rId30" w:history="1">
        <w:r w:rsidR="00483AB7" w:rsidRPr="00483AB7">
          <w:rPr>
            <w:color w:val="0000FF"/>
            <w:u w:val="single"/>
            <w:rtl/>
          </w:rPr>
          <w:t>ע"פ 3117/12</w:t>
        </w:r>
      </w:hyperlink>
      <w:r w:rsidRPr="0022034C">
        <w:rPr>
          <w:u w:val="single"/>
          <w:rtl/>
        </w:rPr>
        <w:t xml:space="preserve"> </w:t>
      </w:r>
      <w:r w:rsidRPr="0022034C">
        <w:rPr>
          <w:b/>
          <w:bCs/>
          <w:rtl/>
        </w:rPr>
        <w:t>ארביב נ' מדינת ישראל</w:t>
      </w:r>
      <w:r w:rsidRPr="002A748C">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3A9EF4BE" w14:textId="77777777" w:rsidR="00BB3434" w:rsidRPr="0022034C" w:rsidRDefault="00BB3434" w:rsidP="00BB3434">
      <w:pPr>
        <w:pStyle w:val="aa"/>
        <w:numPr>
          <w:ilvl w:val="0"/>
          <w:numId w:val="1"/>
        </w:numPr>
        <w:spacing w:after="0"/>
        <w:ind w:left="-384" w:right="426" w:hanging="284"/>
      </w:pPr>
      <w:r w:rsidRPr="002A748C">
        <w:rPr>
          <w:rtl/>
        </w:rPr>
        <w:t xml:space="preserve">בשים לב לכמות הסם אותה החזיק הנאשם לצריכתו העצמית, ולשינוי מדיניות הענישה בעבירה זו ולאור יתר הנסיבות הקשורות בביצוע העבירה, נדמה כי </w:t>
      </w:r>
      <w:r w:rsidRPr="0022034C">
        <w:rPr>
          <w:b/>
          <w:bCs/>
          <w:rtl/>
        </w:rPr>
        <w:t>מידת הפגיעה בערכים המוגנים במקרה הנדון אינה מצויה ברף גבוה</w:t>
      </w:r>
      <w:r w:rsidRPr="002A748C">
        <w:rPr>
          <w:rtl/>
        </w:rPr>
        <w:t>.</w:t>
      </w:r>
      <w:r w:rsidRPr="0022034C">
        <w:rPr>
          <w:b/>
          <w:bCs/>
          <w:rtl/>
        </w:rPr>
        <w:t xml:space="preserve"> </w:t>
      </w:r>
    </w:p>
    <w:p w14:paraId="7F1FED6B" w14:textId="77777777" w:rsidR="00BB3434" w:rsidRDefault="00BB3434" w:rsidP="00BB3434">
      <w:pPr>
        <w:pStyle w:val="aa"/>
        <w:numPr>
          <w:ilvl w:val="0"/>
          <w:numId w:val="1"/>
        </w:numPr>
        <w:spacing w:after="0"/>
        <w:ind w:left="-384" w:right="426" w:hanging="284"/>
      </w:pPr>
      <w:r w:rsidRPr="0022034C">
        <w:rPr>
          <w:b/>
          <w:bCs/>
          <w:rtl/>
        </w:rPr>
        <w:t>בכל הנוגע</w:t>
      </w:r>
      <w:r w:rsidRPr="002A748C">
        <w:rPr>
          <w:rtl/>
        </w:rPr>
        <w:t xml:space="preserve"> </w:t>
      </w:r>
      <w:r w:rsidRPr="0022034C">
        <w:rPr>
          <w:b/>
          <w:bCs/>
          <w:rtl/>
        </w:rPr>
        <w:t>לפגיעה בערכים המוגנים בעבירה של החזקת סכין שלא למטרה כשרה</w:t>
      </w:r>
      <w:r w:rsidRPr="002A748C">
        <w:rPr>
          <w:rtl/>
        </w:rPr>
        <w:t xml:space="preserve">, פגע הנאשם בתחושת הביטחון של הציבור ובזכותו להיות מוגן מפני תופעת האלימות, לרבות זו הכרוכה בשימוש בנשק חם או קר. חומרתה של עבירה זו טמונה דווקא בהיתכנותו של אירוע אלים ומסוכן, אף מבלי שנעשה בה שימוש בפועל, ומכאן שקיים הצורך למנוע את החזקתה, שכן הדבר עלול להוביל לאסון במקרים של מחלוקות, קטנות כגדולות, עת המרחק בין סכין המצויה ברשות הנאשם לבין השימוש בה הוא, לדאבון לב, קצר ביותר (ראו והשוו, למשל, </w:t>
      </w:r>
      <w:hyperlink r:id="rId31" w:history="1">
        <w:r w:rsidR="00483AB7" w:rsidRPr="00483AB7">
          <w:rPr>
            <w:color w:val="0000FF"/>
            <w:u w:val="single"/>
            <w:rtl/>
          </w:rPr>
          <w:t>ע"פ 8314/03</w:t>
        </w:r>
      </w:hyperlink>
      <w:r w:rsidRPr="002A748C">
        <w:rPr>
          <w:rtl/>
        </w:rPr>
        <w:t xml:space="preserve"> </w:t>
      </w:r>
      <w:r w:rsidRPr="0022034C">
        <w:rPr>
          <w:b/>
          <w:bCs/>
          <w:rtl/>
        </w:rPr>
        <w:t xml:space="preserve">רג'אח נ' מדינת ישראל </w:t>
      </w:r>
      <w:r w:rsidRPr="002A748C">
        <w:rPr>
          <w:rtl/>
        </w:rPr>
        <w:t xml:space="preserve">[פורסם בנבו] (07.06.2005); </w:t>
      </w:r>
      <w:hyperlink r:id="rId32" w:history="1">
        <w:r w:rsidR="00483AB7" w:rsidRPr="00483AB7">
          <w:rPr>
            <w:color w:val="0000FF"/>
            <w:u w:val="single"/>
            <w:rtl/>
          </w:rPr>
          <w:t>ע"פ 3573/08</w:t>
        </w:r>
      </w:hyperlink>
      <w:r w:rsidRPr="002A748C">
        <w:rPr>
          <w:rtl/>
        </w:rPr>
        <w:t xml:space="preserve"> </w:t>
      </w:r>
      <w:r w:rsidRPr="0022034C">
        <w:rPr>
          <w:b/>
          <w:bCs/>
          <w:rtl/>
        </w:rPr>
        <w:t>עודה נ' מדינת ישראל,</w:t>
      </w:r>
      <w:r w:rsidRPr="002A748C">
        <w:rPr>
          <w:rtl/>
        </w:rPr>
        <w:t xml:space="preserve"> [פורסם בנבו] (13.04.2010); </w:t>
      </w:r>
      <w:r w:rsidRPr="0022034C">
        <w:rPr>
          <w:u w:val="single"/>
          <w:rtl/>
        </w:rPr>
        <w:t>ורע"פ 2047/07</w:t>
      </w:r>
      <w:r w:rsidRPr="002A748C">
        <w:rPr>
          <w:rtl/>
        </w:rPr>
        <w:t xml:space="preserve"> </w:t>
      </w:r>
      <w:r w:rsidRPr="0022034C">
        <w:rPr>
          <w:b/>
          <w:bCs/>
          <w:rtl/>
        </w:rPr>
        <w:t>הנוק נ' מדינת ישראל</w:t>
      </w:r>
      <w:r w:rsidRPr="002A748C">
        <w:rPr>
          <w:rtl/>
        </w:rPr>
        <w:t xml:space="preserve"> [פורסם בנבו] (14.05.2007)). </w:t>
      </w:r>
    </w:p>
    <w:p w14:paraId="06E41E42" w14:textId="77777777" w:rsidR="00BB3434" w:rsidRDefault="00BB3434" w:rsidP="00BB3434">
      <w:pPr>
        <w:pStyle w:val="aa"/>
        <w:numPr>
          <w:ilvl w:val="0"/>
          <w:numId w:val="1"/>
        </w:numPr>
        <w:spacing w:after="0"/>
        <w:ind w:left="-384" w:right="426" w:hanging="284"/>
      </w:pPr>
      <w:r w:rsidRPr="002A748C">
        <w:rPr>
          <w:rtl/>
        </w:rPr>
        <w:t xml:space="preserve">בשים לב </w:t>
      </w:r>
      <w:r w:rsidRPr="0022034C">
        <w:rPr>
          <w:b/>
          <w:bCs/>
          <w:rtl/>
        </w:rPr>
        <w:t>לנסיבות הקשורות בביצוע העבירה,</w:t>
      </w:r>
      <w:r w:rsidRPr="002A748C">
        <w:rPr>
          <w:rtl/>
        </w:rPr>
        <w:t xml:space="preserve"> סבורתני כי מעשיו של הנאשם מצויים ברף חומרה </w:t>
      </w:r>
      <w:r w:rsidRPr="0022034C">
        <w:rPr>
          <w:b/>
          <w:bCs/>
          <w:rtl/>
        </w:rPr>
        <w:t>שאיננו נמוך כלל ועיקר, ואולם, איננו גבוה באופן מיוחד</w:t>
      </w:r>
      <w:r w:rsidRPr="002A748C">
        <w:rPr>
          <w:rtl/>
        </w:rPr>
        <w:t xml:space="preserve">. </w:t>
      </w:r>
    </w:p>
    <w:p w14:paraId="78696B2B" w14:textId="77777777" w:rsidR="00BB3434" w:rsidRDefault="00BB3434" w:rsidP="00BB3434">
      <w:pPr>
        <w:pStyle w:val="aa"/>
        <w:numPr>
          <w:ilvl w:val="0"/>
          <w:numId w:val="1"/>
        </w:numPr>
        <w:spacing w:after="0"/>
        <w:ind w:left="-384" w:right="426" w:hanging="284"/>
      </w:pPr>
      <w:r w:rsidRPr="002A748C">
        <w:rPr>
          <w:rtl/>
        </w:rPr>
        <w:t xml:space="preserve">כידוע, במסגרת בחינת </w:t>
      </w:r>
      <w:r w:rsidRPr="0022034C">
        <w:rPr>
          <w:b/>
          <w:bCs/>
          <w:rtl/>
        </w:rPr>
        <w:t xml:space="preserve">הנסיבות הקשורות בביצוע עבירת החזקת הסכין, </w:t>
      </w:r>
      <w:r w:rsidRPr="002A748C">
        <w:rPr>
          <w:rtl/>
        </w:rPr>
        <w:t>יש מקום להתייחס הן לנסיבות החזקת הסכין והן לפוטנציאל הנזק הטמון בהחזקת הסכין כגון הצטיידות בסכין לצורך השתתפות בריב כזה או אחר, או הגעה באמצעות סכין למקום ציבורי או למועדון הומה אדם (ראו לעניין זה, אמירתו של בית המשפט העליון: "</w:t>
      </w:r>
      <w:r w:rsidRPr="0022034C">
        <w:rPr>
          <w:b/>
          <w:bCs/>
          <w:rtl/>
        </w:rPr>
        <w:t>סכין הנישאת על גוף במערכה הראשונה, סופה שהיא נשלפת וננעצת בגופו של הזולת במערכה השנייה</w:t>
      </w:r>
      <w:r w:rsidRPr="002A748C">
        <w:rPr>
          <w:rtl/>
        </w:rPr>
        <w:t>" –</w:t>
      </w:r>
      <w:r w:rsidRPr="0022034C">
        <w:rPr>
          <w:u w:val="single"/>
          <w:rtl/>
        </w:rPr>
        <w:t xml:space="preserve"> </w:t>
      </w:r>
      <w:hyperlink r:id="rId33" w:history="1">
        <w:r w:rsidR="00483AB7" w:rsidRPr="00483AB7">
          <w:rPr>
            <w:color w:val="0000FF"/>
            <w:u w:val="single"/>
            <w:rtl/>
          </w:rPr>
          <w:t>ע"פ 9133/04</w:t>
        </w:r>
      </w:hyperlink>
      <w:r w:rsidRPr="002A748C">
        <w:rPr>
          <w:rtl/>
        </w:rPr>
        <w:t xml:space="preserve"> </w:t>
      </w:r>
      <w:r w:rsidRPr="0022034C">
        <w:rPr>
          <w:b/>
          <w:bCs/>
          <w:rtl/>
        </w:rPr>
        <w:t>גורדון נ' מדינת ישראל</w:t>
      </w:r>
      <w:r w:rsidRPr="002A748C">
        <w:rPr>
          <w:rtl/>
        </w:rPr>
        <w:t xml:space="preserve"> [פורסם בנבו] (20.12.2004)). </w:t>
      </w:r>
    </w:p>
    <w:p w14:paraId="7F413C5D" w14:textId="77777777" w:rsidR="00BB3434" w:rsidRPr="0022034C" w:rsidRDefault="00BB3434" w:rsidP="00BB3434">
      <w:pPr>
        <w:pStyle w:val="aa"/>
        <w:numPr>
          <w:ilvl w:val="0"/>
          <w:numId w:val="1"/>
        </w:numPr>
        <w:spacing w:after="0"/>
        <w:ind w:left="-384" w:right="426" w:hanging="284"/>
      </w:pPr>
      <w:r w:rsidRPr="002A748C">
        <w:rPr>
          <w:rtl/>
        </w:rPr>
        <w:t>במסגרת התיק העיקרי, נתתי דעתי בראש ובראשונה לפוטנציאל הנזק הנשקף ממעשיו של הנאשם עת הלה נמצא ברכבו בשעות הערב המאוחרות כשהוא מחזיק סכין במכנסיו, ואילו במסגרת התיק המצורף החזיק הנאשם בסכין מתקפלת שלא כדין בתא דלת הנהג ברכבו לפנות בוקר. עם זאת, לא נטען כי נלוו למעשיו של הנאשם נסיבות מיוחדות או כי הלה החזיק את הסכין לצורך ביצוע עבירה או במקום ציבורי או במוסד לימודי או בסמוך למקום בילויים או מועדון הומה אדם. מה עוד, שהנאשם לא עשה שימוש בסכין ולא נלוותה למעשיו עבירה פלילית נוספת.</w:t>
      </w:r>
      <w:r w:rsidRPr="0022034C">
        <w:rPr>
          <w:b/>
          <w:bCs/>
          <w:u w:val="single"/>
          <w:rtl/>
        </w:rPr>
        <w:t xml:space="preserve"> </w:t>
      </w:r>
    </w:p>
    <w:p w14:paraId="04B5C3C9" w14:textId="77777777" w:rsidR="00BB3434" w:rsidRDefault="00BB3434" w:rsidP="00BB3434">
      <w:pPr>
        <w:pStyle w:val="aa"/>
        <w:numPr>
          <w:ilvl w:val="0"/>
          <w:numId w:val="1"/>
        </w:numPr>
        <w:spacing w:after="0"/>
        <w:ind w:left="-384" w:right="426" w:hanging="284"/>
      </w:pPr>
      <w:r w:rsidRPr="0022034C">
        <w:rPr>
          <w:rtl/>
        </w:rPr>
        <w:t xml:space="preserve">אשר </w:t>
      </w:r>
      <w:r w:rsidRPr="0022034C">
        <w:rPr>
          <w:b/>
          <w:bCs/>
          <w:rtl/>
        </w:rPr>
        <w:t>לסיבות אשר הביאו את הנאשם לביצוע העבירות</w:t>
      </w:r>
      <w:r w:rsidRPr="0022034C">
        <w:rPr>
          <w:rtl/>
        </w:rPr>
        <w:t xml:space="preserve">, הרי </w:t>
      </w:r>
      <w:r w:rsidRPr="0022034C">
        <w:rPr>
          <w:b/>
          <w:bCs/>
          <w:rtl/>
        </w:rPr>
        <w:t>שמתסקירי שירות המבחן</w:t>
      </w:r>
      <w:r w:rsidRPr="0022034C">
        <w:rPr>
          <w:rtl/>
        </w:rPr>
        <w:t xml:space="preserve"> עולה כי לדברי הנאשם, הוא החזיק בסכין במכנסיו ובתא דלת הנהג ברכבו לצורכי התגוננות מפני החבר לשעבר של מי שהייתה בת זוגו אותה עת וכי הוא החזיק את הסמים לצורך שימושו העצמי בלבד. בהקשר זה יצוין, כי הגם אם הייתי מקבלת את טענתו זו של הנאשם (ואינני קובעת זאת), הרי שעדיין אין בכך כדי להצדיק במאומה את ביצוע העבירות שבוצעו על ידו עת הלה בחר לעשות דין לעצמו, וחלף נקיטה באמצעים לגיטימיים כגון שיח תרבותי עם אותו חבר לשעבר של בת זוגו או פנייה לאנשי אכיפת החוק, הלה החזיק ברשותו סכין בשתי הזדמנויות שונות שלא כדין. לצד האמור, יש לשקול לקולה את העובדה כי מעשיו של הנאשם בוצעו בפרק זמן קצר, ומבלי שנלווה להם תכנון מוקדם (ובוודאי שלא ממשי), וכי בסופו של יום הלה קיבל רישיון לעשיית שימוש רפואי בקנבוס לצורך הקלת כאביו כתוצאה מתאונת העבודה שאותה הוא עבר. </w:t>
      </w:r>
    </w:p>
    <w:p w14:paraId="4C249D35" w14:textId="77777777" w:rsidR="00BB3434" w:rsidRDefault="00BB3434" w:rsidP="00BB3434">
      <w:pPr>
        <w:pStyle w:val="aa"/>
        <w:numPr>
          <w:ilvl w:val="0"/>
          <w:numId w:val="1"/>
        </w:numPr>
        <w:spacing w:after="0"/>
        <w:ind w:left="-384" w:right="426" w:hanging="284"/>
      </w:pPr>
      <w:r w:rsidRPr="002A748C">
        <w:rPr>
          <w:rtl/>
        </w:rPr>
        <w:t xml:space="preserve">באשר לשאלת </w:t>
      </w:r>
      <w:r w:rsidRPr="0022034C">
        <w:rPr>
          <w:b/>
          <w:bCs/>
          <w:rtl/>
        </w:rPr>
        <w:t>מדיניות הענישה הנוהגת</w:t>
      </w:r>
      <w:r w:rsidRPr="002A748C">
        <w:rPr>
          <w:rtl/>
        </w:rPr>
        <w:t xml:space="preserve">, יוצא אפוא, כי הנאשם הורשע </w:t>
      </w:r>
      <w:r w:rsidRPr="0022034C">
        <w:rPr>
          <w:b/>
          <w:bCs/>
          <w:rtl/>
        </w:rPr>
        <w:t xml:space="preserve">בשתי עבירות שונות, </w:t>
      </w:r>
      <w:r w:rsidRPr="002A748C">
        <w:rPr>
          <w:rtl/>
        </w:rPr>
        <w:t xml:space="preserve">כשמטבע הדברים, יקשה על בית המשפט למצוא פסיקה שבה נדונו מקרים זהים לזה שלפניי, ככל שהדבר נוגע לשילוב העבירות והמעשים. </w:t>
      </w:r>
      <w:r w:rsidRPr="0022034C">
        <w:rPr>
          <w:rtl/>
        </w:rPr>
        <w:t xml:space="preserve">עם זאת, סקירת הפסיקה מלמדת, כי </w:t>
      </w:r>
      <w:r w:rsidRPr="0022034C">
        <w:rPr>
          <w:b/>
          <w:bCs/>
          <w:rtl/>
        </w:rPr>
        <w:t>בדרך כלל</w:t>
      </w:r>
      <w:r w:rsidRPr="0022034C">
        <w:rPr>
          <w:rtl/>
        </w:rPr>
        <w:t xml:space="preserve">, נקבעו בשילובן של שתי העבירות מתחמי ענישה שברף התחתון שלהם עונשים בדמות מאסר מותנה וברף העליון מאסר בפועל הנע סביב 10 חודשים </w:t>
      </w:r>
      <w:r w:rsidRPr="002A748C">
        <w:rPr>
          <w:rtl/>
        </w:rPr>
        <w:t xml:space="preserve">(ראו לעניין זה,  </w:t>
      </w:r>
      <w:hyperlink r:id="rId34" w:history="1">
        <w:r w:rsidR="00483AB7" w:rsidRPr="00483AB7">
          <w:rPr>
            <w:color w:val="0000FF"/>
            <w:u w:val="single"/>
            <w:rtl/>
          </w:rPr>
          <w:t>רע"פ 8759/21</w:t>
        </w:r>
      </w:hyperlink>
      <w:r w:rsidRPr="002A748C">
        <w:rPr>
          <w:rtl/>
        </w:rPr>
        <w:t xml:space="preserve"> </w:t>
      </w:r>
      <w:r w:rsidRPr="0022034C">
        <w:rPr>
          <w:b/>
          <w:bCs/>
          <w:rtl/>
        </w:rPr>
        <w:t>קסלר נ' מדינת ישראל</w:t>
      </w:r>
      <w:r w:rsidRPr="002A748C">
        <w:rPr>
          <w:rtl/>
        </w:rPr>
        <w:t xml:space="preserve"> [פורסם בנבו] (23.12.2021); </w:t>
      </w:r>
      <w:hyperlink r:id="rId35" w:history="1">
        <w:r w:rsidR="00483AB7" w:rsidRPr="00483AB7">
          <w:rPr>
            <w:color w:val="0000FF"/>
            <w:u w:val="single"/>
            <w:rtl/>
          </w:rPr>
          <w:t>ת"פ (שלום ב"ש) 27506-03-21</w:t>
        </w:r>
      </w:hyperlink>
      <w:r w:rsidR="00483AB7">
        <w:rPr>
          <w:rtl/>
        </w:rPr>
        <w:t xml:space="preserve"> </w:t>
      </w:r>
      <w:r w:rsidRPr="002A748C">
        <w:rPr>
          <w:rtl/>
        </w:rPr>
        <w:t xml:space="preserve"> </w:t>
      </w:r>
      <w:r w:rsidRPr="0022034C">
        <w:rPr>
          <w:b/>
          <w:bCs/>
          <w:rtl/>
        </w:rPr>
        <w:t>מדינת ישראל נ' זמירו</w:t>
      </w:r>
      <w:r w:rsidRPr="002A748C">
        <w:rPr>
          <w:rtl/>
        </w:rPr>
        <w:t xml:space="preserve"> [פורסם בנבו] (21.03.2023); </w:t>
      </w:r>
      <w:hyperlink r:id="rId36" w:history="1">
        <w:r w:rsidR="00483AB7" w:rsidRPr="00483AB7">
          <w:rPr>
            <w:color w:val="0000FF"/>
            <w:u w:val="single"/>
            <w:rtl/>
          </w:rPr>
          <w:t>ת"פ (שלום י-ם) 4032-09-17</w:t>
        </w:r>
      </w:hyperlink>
      <w:r w:rsidR="00483AB7">
        <w:rPr>
          <w:rtl/>
        </w:rPr>
        <w:t xml:space="preserve"> </w:t>
      </w:r>
      <w:r w:rsidRPr="0022034C">
        <w:rPr>
          <w:b/>
          <w:bCs/>
          <w:rtl/>
        </w:rPr>
        <w:t>מדינת ישראל</w:t>
      </w:r>
      <w:r w:rsidR="00483AB7">
        <w:rPr>
          <w:b/>
          <w:bCs/>
          <w:rtl/>
        </w:rPr>
        <w:t xml:space="preserve"> </w:t>
      </w:r>
      <w:r w:rsidRPr="0022034C">
        <w:rPr>
          <w:b/>
          <w:bCs/>
          <w:rtl/>
        </w:rPr>
        <w:t>נ' נעים</w:t>
      </w:r>
      <w:r w:rsidRPr="002A748C">
        <w:rPr>
          <w:rtl/>
        </w:rPr>
        <w:t xml:space="preserve"> [פורסם בנבו] (13.10.2021);</w:t>
      </w:r>
      <w:r w:rsidRPr="0022034C">
        <w:rPr>
          <w:b/>
          <w:bCs/>
          <w:rtl/>
        </w:rPr>
        <w:t xml:space="preserve"> </w:t>
      </w:r>
      <w:r w:rsidRPr="0022034C">
        <w:rPr>
          <w:u w:val="single"/>
          <w:rtl/>
        </w:rPr>
        <w:t>ו</w:t>
      </w:r>
      <w:hyperlink r:id="rId37" w:history="1">
        <w:r w:rsidR="00483AB7" w:rsidRPr="00483AB7">
          <w:rPr>
            <w:color w:val="0000FF"/>
            <w:u w:val="single"/>
            <w:rtl/>
          </w:rPr>
          <w:t>ת"פ (שלום רמ') 27890-10-18</w:t>
        </w:r>
      </w:hyperlink>
      <w:r w:rsidR="00483AB7">
        <w:rPr>
          <w:b/>
          <w:bCs/>
          <w:rtl/>
        </w:rPr>
        <w:t xml:space="preserve"> </w:t>
      </w:r>
      <w:r w:rsidRPr="0022034C">
        <w:rPr>
          <w:b/>
          <w:bCs/>
          <w:rtl/>
        </w:rPr>
        <w:t xml:space="preserve"> מדינת ישראל נ' רייגאן </w:t>
      </w:r>
      <w:r w:rsidRPr="002A748C">
        <w:rPr>
          <w:rtl/>
        </w:rPr>
        <w:t>[פורסם בנבו] (30.10.2019)).</w:t>
      </w:r>
    </w:p>
    <w:p w14:paraId="33AFD405" w14:textId="77777777" w:rsidR="00BB3434" w:rsidRDefault="00BB3434" w:rsidP="00BB3434">
      <w:pPr>
        <w:pStyle w:val="aa"/>
        <w:numPr>
          <w:ilvl w:val="0"/>
          <w:numId w:val="1"/>
        </w:numPr>
        <w:spacing w:after="0"/>
        <w:ind w:left="-384" w:right="426" w:hanging="284"/>
      </w:pPr>
      <w:r w:rsidRPr="002A748C">
        <w:rPr>
          <w:rtl/>
        </w:rPr>
        <w:t xml:space="preserve">למען שלמות התמונה, בית המשפט מוצא אף ללמוד על אודות מדיניות הענישה הנוהגת בשני התיקים שבכותרת על דרך ההיקש בלבד תוך בחינת מדיניות העונש הראוי בכל אחת מן העבירות שבהן הנאשם הורשע בנפרד. </w:t>
      </w:r>
    </w:p>
    <w:p w14:paraId="7B658E84" w14:textId="77777777" w:rsidR="00BB3434" w:rsidRDefault="00BB3434" w:rsidP="00BB3434">
      <w:pPr>
        <w:pStyle w:val="aa"/>
        <w:numPr>
          <w:ilvl w:val="0"/>
          <w:numId w:val="1"/>
        </w:numPr>
        <w:spacing w:after="0"/>
        <w:ind w:left="-384" w:right="426" w:hanging="284"/>
      </w:pPr>
      <w:r w:rsidRPr="002A748C">
        <w:rPr>
          <w:rtl/>
        </w:rPr>
        <w:t>כך, ובאשר למדיניות הענישה הנוהגת</w:t>
      </w:r>
      <w:r w:rsidRPr="0022034C">
        <w:rPr>
          <w:b/>
          <w:bCs/>
          <w:rtl/>
        </w:rPr>
        <w:t xml:space="preserve"> בעבירה של החזקת סם הקנבוס (או החשיש), לצריכה עצמית בכמויות דומות לאלו שבעניינינו</w:t>
      </w:r>
      <w:r w:rsidRPr="002A748C">
        <w:rPr>
          <w:rtl/>
        </w:rPr>
        <w:t xml:space="preserve">, הרי שסקירת הפסיקה מלמדת כי קיים מנעד רחב של עונשים, הכול בהתאם לכמות הסם ונסיבות החזקתו, ואולם, </w:t>
      </w:r>
      <w:r w:rsidRPr="0022034C">
        <w:rPr>
          <w:b/>
          <w:bCs/>
          <w:rtl/>
        </w:rPr>
        <w:t>בדרך כלל,</w:t>
      </w:r>
      <w:r w:rsidRPr="002A748C">
        <w:rPr>
          <w:rtl/>
        </w:rPr>
        <w:t xml:space="preserve"> העונש הדומיננטי הוא, עונש הנע </w:t>
      </w:r>
      <w:r w:rsidRPr="0022034C">
        <w:rPr>
          <w:b/>
          <w:bCs/>
          <w:rtl/>
        </w:rPr>
        <w:t xml:space="preserve">ממאסר מותנה וקנס, ועד כמה חודשים מצומצם של עבודות שירות במקרים החמורים יותר </w:t>
      </w:r>
      <w:r w:rsidRPr="002A748C">
        <w:rPr>
          <w:rtl/>
        </w:rPr>
        <w:t xml:space="preserve">(ראו לעניין זה, </w:t>
      </w:r>
      <w:hyperlink r:id="rId38" w:history="1">
        <w:r w:rsidR="00483AB7" w:rsidRPr="00483AB7">
          <w:rPr>
            <w:color w:val="0000FF"/>
            <w:u w:val="single"/>
            <w:rtl/>
          </w:rPr>
          <w:t>ת"פ (שלום י-ם) 32879-04-19</w:t>
        </w:r>
      </w:hyperlink>
      <w:r w:rsidRPr="002A748C">
        <w:rPr>
          <w:rtl/>
        </w:rPr>
        <w:t xml:space="preserve"> </w:t>
      </w:r>
      <w:r w:rsidRPr="0022034C">
        <w:rPr>
          <w:b/>
          <w:bCs/>
          <w:rtl/>
        </w:rPr>
        <w:t>מדינת ישראל נ' חיזגילוב</w:t>
      </w:r>
      <w:r w:rsidRPr="002A748C">
        <w:rPr>
          <w:rtl/>
        </w:rPr>
        <w:t xml:space="preserve"> [פורסם בנבו] (08.03.2020); </w:t>
      </w:r>
      <w:hyperlink r:id="rId39" w:history="1">
        <w:r w:rsidR="00483AB7" w:rsidRPr="00483AB7">
          <w:rPr>
            <w:color w:val="0000FF"/>
            <w:u w:val="single"/>
            <w:rtl/>
          </w:rPr>
          <w:t>ת"פ (שלום אש') 22715-06-17</w:t>
        </w:r>
      </w:hyperlink>
      <w:r w:rsidRPr="002A748C">
        <w:rPr>
          <w:rtl/>
        </w:rPr>
        <w:t xml:space="preserve"> </w:t>
      </w:r>
      <w:r w:rsidRPr="0022034C">
        <w:rPr>
          <w:b/>
          <w:bCs/>
          <w:rtl/>
        </w:rPr>
        <w:t>מדינת ישראל נ'  אחלאקי</w:t>
      </w:r>
      <w:r w:rsidRPr="002A748C">
        <w:rPr>
          <w:rtl/>
        </w:rPr>
        <w:t xml:space="preserve"> [פורסם בנבו] (13.01.2019); ו</w:t>
      </w:r>
      <w:hyperlink r:id="rId40" w:history="1">
        <w:r w:rsidR="00483AB7" w:rsidRPr="00483AB7">
          <w:rPr>
            <w:color w:val="0000FF"/>
            <w:u w:val="single"/>
            <w:rtl/>
          </w:rPr>
          <w:t>ת"פ (שלום ת"א) 26341-09-17</w:t>
        </w:r>
      </w:hyperlink>
      <w:r w:rsidRPr="002A748C">
        <w:rPr>
          <w:rtl/>
        </w:rPr>
        <w:t xml:space="preserve"> </w:t>
      </w:r>
      <w:r w:rsidRPr="0022034C">
        <w:rPr>
          <w:b/>
          <w:bCs/>
          <w:rtl/>
        </w:rPr>
        <w:t>מדינת ישראל נ'  וקנין</w:t>
      </w:r>
      <w:r w:rsidRPr="002A748C">
        <w:rPr>
          <w:rtl/>
        </w:rPr>
        <w:t xml:space="preserve"> [פורסם בנבו] (10.11.2019)). </w:t>
      </w:r>
    </w:p>
    <w:p w14:paraId="021961D5" w14:textId="77777777" w:rsidR="00BB3434" w:rsidRDefault="00BB3434" w:rsidP="00BB3434">
      <w:pPr>
        <w:pStyle w:val="aa"/>
        <w:numPr>
          <w:ilvl w:val="0"/>
          <w:numId w:val="1"/>
        </w:numPr>
        <w:spacing w:after="0"/>
        <w:ind w:left="-384" w:right="426" w:hanging="284"/>
      </w:pPr>
      <w:r w:rsidRPr="002A748C">
        <w:rPr>
          <w:rtl/>
        </w:rPr>
        <w:t>וכך, ובאשר למדיניות הענישה הנוהגת</w:t>
      </w:r>
      <w:r w:rsidRPr="0022034C">
        <w:rPr>
          <w:b/>
          <w:bCs/>
          <w:rtl/>
        </w:rPr>
        <w:t xml:space="preserve"> בעבירה של החזקת סכין שלא למטרה כשרה</w:t>
      </w:r>
      <w:r w:rsidRPr="002A748C">
        <w:rPr>
          <w:rtl/>
        </w:rPr>
        <w:t xml:space="preserve">, בחינת הפסיקה מעלה כי במקרים דומים, </w:t>
      </w:r>
      <w:r w:rsidRPr="0022034C">
        <w:rPr>
          <w:b/>
          <w:bCs/>
          <w:rtl/>
        </w:rPr>
        <w:t>על דרך הכלל</w:t>
      </w:r>
      <w:r w:rsidRPr="002A748C">
        <w:rPr>
          <w:rtl/>
        </w:rPr>
        <w:t xml:space="preserve">, מוטלים על נאשמים עונשים במנעד רחב החל ממאסר מותנה ועד לכמה חודשים מאסר בפועל לריצוי בעבודות שירות ובמקרים חמורים עד לתקופות מאסר ממושכות. ברי כי לא אחת, במקרים חריגים, הושתו על נאשמים גם עונשים קלים יותר בדמות צווי של"צ אף ללא הרשעה, או לחילופין עונשי מאסר מאחורי סורג ובריח לתקופות ארוכות של חודשים רבים. מטבע הדברים העונש המושת על הנאשמים השונים מושפע מסוג הסכין, מטרת ההחזקה, המיקום שבו נמצאה הסכין, זירת העבירה, נסיבותיו האישיות של הנאשם, ועוד. להלן כמה גזרי דין שיש בהם כדי ללמד על אודות קו הפסיקה הדומיננטי בגין ביצוע מעשים דומים לאלו שבהם הורשע הנאשם (כך ראו לעניין זה, </w:t>
      </w:r>
      <w:hyperlink r:id="rId41" w:history="1">
        <w:r w:rsidR="00483AB7" w:rsidRPr="00483AB7">
          <w:rPr>
            <w:color w:val="0000FF"/>
            <w:u w:val="single"/>
            <w:rtl/>
          </w:rPr>
          <w:t>רע"פ 322/15</w:t>
        </w:r>
      </w:hyperlink>
      <w:r w:rsidRPr="0022034C">
        <w:rPr>
          <w:b/>
          <w:bCs/>
          <w:rtl/>
        </w:rPr>
        <w:t xml:space="preserve"> ג'אנח נ' מדינת ישראל </w:t>
      </w:r>
      <w:r w:rsidRPr="002A748C">
        <w:rPr>
          <w:rtl/>
        </w:rPr>
        <w:t xml:space="preserve">[פורסם בנבו] (22.01.2015); </w:t>
      </w:r>
      <w:hyperlink r:id="rId42" w:history="1">
        <w:r w:rsidR="00483AB7" w:rsidRPr="00483AB7">
          <w:rPr>
            <w:color w:val="0000FF"/>
            <w:u w:val="single"/>
            <w:rtl/>
          </w:rPr>
          <w:t>ת"פ (רחובות) 35662-03-17</w:t>
        </w:r>
      </w:hyperlink>
      <w:r w:rsidRPr="002A748C">
        <w:rPr>
          <w:rtl/>
        </w:rPr>
        <w:t xml:space="preserve"> </w:t>
      </w:r>
      <w:r w:rsidRPr="0022034C">
        <w:rPr>
          <w:b/>
          <w:bCs/>
          <w:rtl/>
        </w:rPr>
        <w:t xml:space="preserve">מדינת ישראל נ' מלכה </w:t>
      </w:r>
      <w:r w:rsidRPr="002A748C">
        <w:rPr>
          <w:rtl/>
        </w:rPr>
        <w:t xml:space="preserve">[פורסם בנבו] (15.03.2018); </w:t>
      </w:r>
      <w:hyperlink r:id="rId43" w:history="1">
        <w:r w:rsidR="00483AB7" w:rsidRPr="00483AB7">
          <w:rPr>
            <w:color w:val="0000FF"/>
            <w:u w:val="single"/>
            <w:rtl/>
          </w:rPr>
          <w:t>ת"פ (תל-אביב) 18482-06-14</w:t>
        </w:r>
      </w:hyperlink>
      <w:r w:rsidRPr="002A748C">
        <w:rPr>
          <w:rtl/>
        </w:rPr>
        <w:t xml:space="preserve"> </w:t>
      </w:r>
      <w:r w:rsidRPr="0022034C">
        <w:rPr>
          <w:b/>
          <w:bCs/>
          <w:rtl/>
        </w:rPr>
        <w:t xml:space="preserve">מדינת ישראל נ' רבאעה </w:t>
      </w:r>
      <w:r w:rsidRPr="002A748C">
        <w:rPr>
          <w:rtl/>
        </w:rPr>
        <w:t xml:space="preserve">[טרם פורסם במאגרים המשפטיים] (25.10.2017); </w:t>
      </w:r>
      <w:hyperlink r:id="rId44" w:history="1">
        <w:r w:rsidR="00483AB7" w:rsidRPr="00483AB7">
          <w:rPr>
            <w:color w:val="0000FF"/>
            <w:u w:val="single"/>
            <w:rtl/>
          </w:rPr>
          <w:t>ת"פ (רמלה) 6440-05-15</w:t>
        </w:r>
      </w:hyperlink>
      <w:r w:rsidRPr="002A748C">
        <w:rPr>
          <w:rtl/>
        </w:rPr>
        <w:t xml:space="preserve"> </w:t>
      </w:r>
      <w:r w:rsidRPr="0022034C">
        <w:rPr>
          <w:b/>
          <w:bCs/>
          <w:rtl/>
        </w:rPr>
        <w:t xml:space="preserve">משטרת ישראל תביעות- שלוחת רמלה נ' אפראימוב </w:t>
      </w:r>
      <w:r w:rsidRPr="002A748C">
        <w:rPr>
          <w:rtl/>
        </w:rPr>
        <w:t xml:space="preserve">[פורסם בנבו] (17.07.2016); </w:t>
      </w:r>
      <w:hyperlink r:id="rId45" w:history="1">
        <w:r w:rsidR="00483AB7" w:rsidRPr="00483AB7">
          <w:rPr>
            <w:color w:val="0000FF"/>
            <w:u w:val="single"/>
            <w:rtl/>
          </w:rPr>
          <w:t>עפ"ג (תל-אביב) 14786-09-19</w:t>
        </w:r>
      </w:hyperlink>
      <w:r w:rsidRPr="002A748C">
        <w:rPr>
          <w:rtl/>
        </w:rPr>
        <w:t xml:space="preserve"> </w:t>
      </w:r>
      <w:r w:rsidRPr="0022034C">
        <w:rPr>
          <w:b/>
          <w:bCs/>
        </w:rPr>
        <w:t>DIMAYUGA</w:t>
      </w:r>
      <w:r w:rsidRPr="0022034C">
        <w:rPr>
          <w:b/>
          <w:bCs/>
          <w:rtl/>
        </w:rPr>
        <w:t xml:space="preserve"> נ' מדינת ישראל </w:t>
      </w:r>
      <w:r w:rsidRPr="002A748C">
        <w:rPr>
          <w:rtl/>
        </w:rPr>
        <w:t xml:space="preserve">[טרם פורסם במאגרים המשפטיים] (25.11.2019); </w:t>
      </w:r>
      <w:hyperlink r:id="rId46" w:history="1">
        <w:r w:rsidR="00483AB7" w:rsidRPr="00483AB7">
          <w:rPr>
            <w:color w:val="0000FF"/>
            <w:u w:val="single"/>
            <w:rtl/>
          </w:rPr>
          <w:t>ת"פ (תל-אביב) 2828-03-17</w:t>
        </w:r>
      </w:hyperlink>
      <w:r w:rsidRPr="0022034C">
        <w:rPr>
          <w:u w:val="single"/>
          <w:rtl/>
        </w:rPr>
        <w:t xml:space="preserve"> </w:t>
      </w:r>
      <w:r w:rsidRPr="0022034C">
        <w:rPr>
          <w:b/>
          <w:bCs/>
          <w:rtl/>
        </w:rPr>
        <w:t xml:space="preserve">מדינת ישראל נ' מלסה </w:t>
      </w:r>
      <w:r w:rsidRPr="002A748C">
        <w:rPr>
          <w:rtl/>
        </w:rPr>
        <w:t xml:space="preserve">[טרם פורסם במאגרים המשפטיים] (27.10.2019); </w:t>
      </w:r>
      <w:hyperlink r:id="rId47" w:history="1">
        <w:r w:rsidR="00483AB7" w:rsidRPr="00483AB7">
          <w:rPr>
            <w:color w:val="0000FF"/>
            <w:u w:val="single"/>
            <w:rtl/>
          </w:rPr>
          <w:t>ת"פ 44656-01-18</w:t>
        </w:r>
      </w:hyperlink>
      <w:r w:rsidRPr="002A748C">
        <w:rPr>
          <w:rtl/>
        </w:rPr>
        <w:t xml:space="preserve"> </w:t>
      </w:r>
      <w:r w:rsidRPr="0022034C">
        <w:rPr>
          <w:b/>
          <w:bCs/>
          <w:rtl/>
        </w:rPr>
        <w:t xml:space="preserve">מדינת ישראל נ' קאסטלאנו </w:t>
      </w:r>
      <w:r w:rsidRPr="002A748C">
        <w:rPr>
          <w:rtl/>
        </w:rPr>
        <w:t xml:space="preserve">[טרם פורסם במאגרים המשפטיים] (30.12.2019) ; </w:t>
      </w:r>
      <w:hyperlink r:id="rId48" w:history="1">
        <w:r w:rsidR="00483AB7" w:rsidRPr="00483AB7">
          <w:rPr>
            <w:color w:val="0000FF"/>
            <w:u w:val="single"/>
            <w:rtl/>
          </w:rPr>
          <w:t>ת"פ 29759-11-17</w:t>
        </w:r>
      </w:hyperlink>
      <w:r w:rsidRPr="002A748C">
        <w:rPr>
          <w:rtl/>
        </w:rPr>
        <w:t xml:space="preserve"> </w:t>
      </w:r>
      <w:r w:rsidRPr="0022034C">
        <w:rPr>
          <w:b/>
          <w:bCs/>
          <w:rtl/>
        </w:rPr>
        <w:t xml:space="preserve">מדינת ישראל נ' עבדו </w:t>
      </w:r>
      <w:r w:rsidRPr="002A748C">
        <w:rPr>
          <w:rtl/>
        </w:rPr>
        <w:t xml:space="preserve">[טרם פורסם במאגרים המשפטיים] (2.02.2020); </w:t>
      </w:r>
      <w:hyperlink r:id="rId49" w:history="1">
        <w:r w:rsidR="00483AB7" w:rsidRPr="00483AB7">
          <w:rPr>
            <w:color w:val="0000FF"/>
            <w:u w:val="single"/>
            <w:rtl/>
          </w:rPr>
          <w:t>עפ"ג (תל-אביב) 1597-07-20</w:t>
        </w:r>
      </w:hyperlink>
      <w:r w:rsidRPr="002A748C">
        <w:rPr>
          <w:rtl/>
        </w:rPr>
        <w:t xml:space="preserve"> </w:t>
      </w:r>
      <w:r w:rsidRPr="0022034C">
        <w:rPr>
          <w:b/>
          <w:bCs/>
          <w:rtl/>
        </w:rPr>
        <w:t xml:space="preserve">אסרף נ' מדינת ישראל </w:t>
      </w:r>
      <w:r w:rsidRPr="002A748C">
        <w:rPr>
          <w:rtl/>
        </w:rPr>
        <w:t xml:space="preserve">[טרם פורסם במאגרים המשפטיים] (10.11.2020); </w:t>
      </w:r>
      <w:hyperlink r:id="rId50" w:history="1">
        <w:r w:rsidR="00483AB7" w:rsidRPr="00483AB7">
          <w:rPr>
            <w:color w:val="0000FF"/>
            <w:u w:val="single"/>
            <w:rtl/>
          </w:rPr>
          <w:t>עפ"ג (תל-אביב) 68766-06-20</w:t>
        </w:r>
      </w:hyperlink>
      <w:r w:rsidRPr="0022034C">
        <w:rPr>
          <w:b/>
          <w:bCs/>
          <w:rtl/>
        </w:rPr>
        <w:t xml:space="preserve"> סיזוב נ'</w:t>
      </w:r>
      <w:r>
        <w:rPr>
          <w:rFonts w:hint="cs"/>
          <w:b/>
          <w:bCs/>
          <w:rtl/>
        </w:rPr>
        <w:t xml:space="preserve"> </w:t>
      </w:r>
      <w:r w:rsidRPr="0022034C">
        <w:rPr>
          <w:b/>
          <w:bCs/>
          <w:rtl/>
        </w:rPr>
        <w:t xml:space="preserve">מדינת ישראל </w:t>
      </w:r>
      <w:r w:rsidRPr="002A748C">
        <w:rPr>
          <w:rtl/>
        </w:rPr>
        <w:t xml:space="preserve">[טרם פורסם במאגרים המשפטיים] (20.12.2020);  </w:t>
      </w:r>
      <w:hyperlink r:id="rId51" w:history="1">
        <w:r w:rsidR="00483AB7" w:rsidRPr="00483AB7">
          <w:rPr>
            <w:color w:val="0000FF"/>
            <w:u w:val="single"/>
            <w:rtl/>
          </w:rPr>
          <w:t>ת"פ (תל-אביב) 9299-08-16</w:t>
        </w:r>
      </w:hyperlink>
      <w:r w:rsidRPr="002A748C">
        <w:rPr>
          <w:rtl/>
        </w:rPr>
        <w:t xml:space="preserve"> </w:t>
      </w:r>
      <w:r w:rsidRPr="0022034C">
        <w:rPr>
          <w:b/>
          <w:bCs/>
          <w:rtl/>
        </w:rPr>
        <w:t xml:space="preserve">מדינת ישראל נ' קריחלי </w:t>
      </w:r>
      <w:r w:rsidRPr="002A748C">
        <w:rPr>
          <w:rtl/>
        </w:rPr>
        <w:t xml:space="preserve">[טרם פורסם במאגרים המשפטיים] (20.8.2020); </w:t>
      </w:r>
      <w:hyperlink r:id="rId52" w:history="1">
        <w:r w:rsidR="00483AB7" w:rsidRPr="00483AB7">
          <w:rPr>
            <w:color w:val="0000FF"/>
            <w:u w:val="single"/>
            <w:rtl/>
          </w:rPr>
          <w:t>ת"פ (תל-אביב) 43881-09-20</w:t>
        </w:r>
      </w:hyperlink>
      <w:r w:rsidRPr="002A748C">
        <w:rPr>
          <w:rtl/>
        </w:rPr>
        <w:t xml:space="preserve"> </w:t>
      </w:r>
      <w:r w:rsidRPr="0022034C">
        <w:rPr>
          <w:b/>
          <w:bCs/>
          <w:rtl/>
        </w:rPr>
        <w:t xml:space="preserve">מדינת ישראל נ' שרפא </w:t>
      </w:r>
      <w:r w:rsidRPr="002A748C">
        <w:rPr>
          <w:rtl/>
        </w:rPr>
        <w:t xml:space="preserve">[טרם פורסם במאגרים המשפטיים] (17.01.2022); </w:t>
      </w:r>
      <w:r w:rsidRPr="0022034C">
        <w:rPr>
          <w:u w:val="single"/>
          <w:rtl/>
        </w:rPr>
        <w:t>ו</w:t>
      </w:r>
      <w:hyperlink r:id="rId53" w:history="1">
        <w:r w:rsidR="00483AB7" w:rsidRPr="00483AB7">
          <w:rPr>
            <w:color w:val="0000FF"/>
            <w:u w:val="single"/>
            <w:rtl/>
          </w:rPr>
          <w:t>ת"פ (תל-אביב) 20643-12-20</w:t>
        </w:r>
      </w:hyperlink>
      <w:r w:rsidRPr="002A748C">
        <w:rPr>
          <w:rtl/>
        </w:rPr>
        <w:t xml:space="preserve"> </w:t>
      </w:r>
      <w:r w:rsidRPr="0022034C">
        <w:rPr>
          <w:b/>
          <w:bCs/>
          <w:rtl/>
        </w:rPr>
        <w:t xml:space="preserve">מדינת ישראל נ' כהן </w:t>
      </w:r>
      <w:r w:rsidRPr="002A748C">
        <w:rPr>
          <w:rtl/>
        </w:rPr>
        <w:t xml:space="preserve">[טרם פורסם במאגרים המשפטיים] (2.02.2022)). </w:t>
      </w:r>
    </w:p>
    <w:p w14:paraId="22CACFDE" w14:textId="77777777" w:rsidR="00BB3434" w:rsidRDefault="00BB3434" w:rsidP="00BB3434">
      <w:pPr>
        <w:pStyle w:val="aa"/>
        <w:numPr>
          <w:ilvl w:val="0"/>
          <w:numId w:val="1"/>
        </w:numPr>
        <w:spacing w:before="160" w:after="0"/>
        <w:ind w:left="-384" w:right="426" w:hanging="284"/>
      </w:pPr>
      <w:r w:rsidRPr="002A748C">
        <w:rPr>
          <w:rtl/>
        </w:rPr>
        <w:t xml:space="preserve">ויוער, כי בחינת הפסיקה מלמדת כי במקרים שבהם הוחזקה הסכין ברכב, שלא במקום המועד לפורענות בקרבת מועדון או בתוכו, כאשר אין אינדיקציה לכך שהחזקת הסכין באה לקדם פני אלימות כזו או אחרת, מתחם העונש ההולם נע בין מאסר מותנה לצד ענישה נלווית לבין 9 חודשים מאסר בפועל (ראו לעניין זה, </w:t>
      </w:r>
      <w:hyperlink r:id="rId54" w:history="1">
        <w:r w:rsidR="00483AB7" w:rsidRPr="00483AB7">
          <w:rPr>
            <w:color w:val="0000FF"/>
            <w:u w:val="single"/>
            <w:rtl/>
          </w:rPr>
          <w:t>ע"פ (תל-אביב) 59830-01-16</w:t>
        </w:r>
      </w:hyperlink>
      <w:r w:rsidRPr="002A748C">
        <w:rPr>
          <w:rtl/>
        </w:rPr>
        <w:t xml:space="preserve"> </w:t>
      </w:r>
      <w:r w:rsidRPr="00D42E29">
        <w:rPr>
          <w:b/>
          <w:bCs/>
          <w:rtl/>
        </w:rPr>
        <w:t xml:space="preserve">כהן נ' מדינת ישראל </w:t>
      </w:r>
      <w:r w:rsidRPr="002A748C">
        <w:rPr>
          <w:rtl/>
        </w:rPr>
        <w:t xml:space="preserve">[טרם פורסם במאגרים המשפטיים] (20.04.2016); </w:t>
      </w:r>
      <w:hyperlink r:id="rId55" w:history="1">
        <w:r w:rsidR="00483AB7" w:rsidRPr="00483AB7">
          <w:rPr>
            <w:color w:val="0000FF"/>
            <w:u w:val="single"/>
            <w:rtl/>
          </w:rPr>
          <w:t>ת"פ (תל-אביב) 49157-08-17</w:t>
        </w:r>
      </w:hyperlink>
      <w:r w:rsidRPr="002A748C">
        <w:rPr>
          <w:rtl/>
        </w:rPr>
        <w:t xml:space="preserve"> </w:t>
      </w:r>
      <w:r w:rsidRPr="00D42E29">
        <w:rPr>
          <w:b/>
          <w:bCs/>
          <w:rtl/>
        </w:rPr>
        <w:t xml:space="preserve">מדינת ישראל נ' שגב </w:t>
      </w:r>
      <w:r w:rsidRPr="002A748C">
        <w:rPr>
          <w:rtl/>
        </w:rPr>
        <w:t xml:space="preserve">[טרם פורסם במאגרים המשפטיים] (22.05.2019) </w:t>
      </w:r>
      <w:hyperlink r:id="rId56" w:history="1">
        <w:r w:rsidR="00483AB7" w:rsidRPr="00483AB7">
          <w:rPr>
            <w:color w:val="0000FF"/>
            <w:u w:val="single"/>
            <w:rtl/>
          </w:rPr>
          <w:t>ת"פ (ת"א) 65308-12-17</w:t>
        </w:r>
      </w:hyperlink>
      <w:r w:rsidRPr="002A748C">
        <w:rPr>
          <w:rtl/>
        </w:rPr>
        <w:t xml:space="preserve"> </w:t>
      </w:r>
      <w:r w:rsidRPr="00D42E29">
        <w:rPr>
          <w:b/>
          <w:bCs/>
          <w:rtl/>
        </w:rPr>
        <w:t xml:space="preserve">מדינת ישראל נ' מלדו </w:t>
      </w:r>
      <w:r w:rsidRPr="002A748C">
        <w:rPr>
          <w:rtl/>
        </w:rPr>
        <w:t xml:space="preserve">[טרם פורסם במאגרים המשפטיים] (04.03.2020; </w:t>
      </w:r>
      <w:hyperlink r:id="rId57" w:history="1">
        <w:r w:rsidR="00483AB7" w:rsidRPr="00483AB7">
          <w:rPr>
            <w:color w:val="0000FF"/>
            <w:u w:val="single"/>
            <w:rtl/>
          </w:rPr>
          <w:t>ת"פ 28218-04-19</w:t>
        </w:r>
      </w:hyperlink>
      <w:r w:rsidRPr="002A748C">
        <w:rPr>
          <w:rtl/>
        </w:rPr>
        <w:t xml:space="preserve"> </w:t>
      </w:r>
      <w:r w:rsidRPr="00D42E29">
        <w:rPr>
          <w:b/>
          <w:bCs/>
          <w:rtl/>
        </w:rPr>
        <w:t xml:space="preserve">מדינת ישראל נ' אמן </w:t>
      </w:r>
      <w:r w:rsidRPr="002A748C">
        <w:rPr>
          <w:rtl/>
        </w:rPr>
        <w:t xml:space="preserve">[טרם פורסם במאגרים המשפטיים] (23.06.2020); </w:t>
      </w:r>
      <w:hyperlink r:id="rId58" w:history="1">
        <w:r w:rsidR="00483AB7" w:rsidRPr="00483AB7">
          <w:rPr>
            <w:color w:val="0000FF"/>
            <w:u w:val="single"/>
            <w:rtl/>
          </w:rPr>
          <w:t>ת"פ (תל-אביב) 64911-09-19</w:t>
        </w:r>
      </w:hyperlink>
      <w:r w:rsidRPr="002A748C">
        <w:rPr>
          <w:rtl/>
        </w:rPr>
        <w:t xml:space="preserve"> </w:t>
      </w:r>
      <w:r w:rsidRPr="00D42E29">
        <w:rPr>
          <w:b/>
          <w:bCs/>
          <w:rtl/>
        </w:rPr>
        <w:t xml:space="preserve">מדינת ישראל נ' ברדוגו </w:t>
      </w:r>
      <w:r w:rsidRPr="002A748C">
        <w:rPr>
          <w:rtl/>
        </w:rPr>
        <w:t xml:space="preserve">[טרם פורסם במאגרים המשפטיים] (14.12.2020); </w:t>
      </w:r>
      <w:hyperlink r:id="rId59" w:history="1">
        <w:r w:rsidR="00483AB7" w:rsidRPr="00483AB7">
          <w:rPr>
            <w:color w:val="0000FF"/>
            <w:u w:val="single"/>
            <w:rtl/>
          </w:rPr>
          <w:t>ת"פ (רמלה) 27890-10-18</w:t>
        </w:r>
      </w:hyperlink>
      <w:r w:rsidRPr="00D42E29">
        <w:rPr>
          <w:u w:val="single"/>
          <w:rtl/>
        </w:rPr>
        <w:t xml:space="preserve"> </w:t>
      </w:r>
      <w:r w:rsidRPr="00D42E29">
        <w:rPr>
          <w:b/>
          <w:bCs/>
          <w:rtl/>
        </w:rPr>
        <w:t xml:space="preserve">מדינת ישראל נ' רייגאן </w:t>
      </w:r>
      <w:r w:rsidRPr="002A748C">
        <w:rPr>
          <w:rtl/>
        </w:rPr>
        <w:t>[פורסם בנבו] (30.10.2019);</w:t>
      </w:r>
      <w:r w:rsidRPr="00D42E29">
        <w:rPr>
          <w:u w:val="single"/>
          <w:rtl/>
        </w:rPr>
        <w:t xml:space="preserve"> </w:t>
      </w:r>
      <w:hyperlink r:id="rId60" w:history="1">
        <w:r w:rsidR="00483AB7" w:rsidRPr="00483AB7">
          <w:rPr>
            <w:color w:val="0000FF"/>
            <w:u w:val="single"/>
            <w:rtl/>
          </w:rPr>
          <w:t>עפ"ג (תל-אביב) 8118-05-21</w:t>
        </w:r>
      </w:hyperlink>
      <w:r w:rsidRPr="00D42E29">
        <w:rPr>
          <w:u w:val="single"/>
          <w:rtl/>
        </w:rPr>
        <w:t xml:space="preserve"> </w:t>
      </w:r>
      <w:r w:rsidRPr="00D42E29">
        <w:rPr>
          <w:b/>
          <w:bCs/>
          <w:rtl/>
        </w:rPr>
        <w:t xml:space="preserve">מדינת ישראל נ' קונצ'סטר </w:t>
      </w:r>
      <w:r w:rsidRPr="002A748C">
        <w:rPr>
          <w:rtl/>
        </w:rPr>
        <w:t xml:space="preserve">[טרם פורסם במאגרים המשפטיים] (27.10.2021)). </w:t>
      </w:r>
    </w:p>
    <w:p w14:paraId="599546EC" w14:textId="77777777" w:rsidR="00BB3434" w:rsidRDefault="00BB3434" w:rsidP="00BB3434">
      <w:pPr>
        <w:pStyle w:val="aa"/>
        <w:numPr>
          <w:ilvl w:val="0"/>
          <w:numId w:val="1"/>
        </w:numPr>
        <w:spacing w:before="160" w:after="0"/>
        <w:ind w:left="-384" w:right="426" w:hanging="284"/>
      </w:pPr>
      <w:r>
        <w:rPr>
          <w:rFonts w:hint="cs"/>
          <w:rtl/>
        </w:rPr>
        <w:t>כ</w:t>
      </w:r>
      <w:r w:rsidRPr="00D42E29">
        <w:rPr>
          <w:rtl/>
        </w:rPr>
        <w:t>אן אף אציין, כי לא התעלמתי מהפסיקה אליה הפנתה המאשימה (</w:t>
      </w:r>
      <w:hyperlink r:id="rId61" w:history="1">
        <w:r w:rsidR="00483AB7" w:rsidRPr="00483AB7">
          <w:rPr>
            <w:color w:val="0000FF"/>
            <w:u w:val="single"/>
            <w:rtl/>
          </w:rPr>
          <w:t>רע"פ 1297/11</w:t>
        </w:r>
      </w:hyperlink>
      <w:r w:rsidRPr="00D42E29">
        <w:rPr>
          <w:u w:val="single"/>
          <w:rtl/>
        </w:rPr>
        <w:t xml:space="preserve"> </w:t>
      </w:r>
      <w:r w:rsidRPr="00D42E29">
        <w:rPr>
          <w:b/>
          <w:bCs/>
          <w:rtl/>
        </w:rPr>
        <w:t>דניאל ממן נ' מדינת ישראל</w:t>
      </w:r>
      <w:r w:rsidRPr="00D42E29">
        <w:rPr>
          <w:rtl/>
        </w:rPr>
        <w:t xml:space="preserve"> [פורסם בנבו] (01.03.2022) אולם הדבר נעשה תוך ביצוע האבחנות המתבקשות. שם דובר בנאשם בעל עבר פלילי (2 רישומים קודמים) בעבירות של פציעה בנשק, גרימת חבלה חמורה, התפרצות, גניבה וקשירת קשר לפשע. הנאשם הורשע בבית משפט השלום לאחר שכפר בעובדות כתב האישום וניהל הוכחות. כתב האישום ייחס לנאשם החזקת </w:t>
      </w:r>
      <w:r w:rsidRPr="00D42E29">
        <w:rPr>
          <w:u w:val="single"/>
          <w:rtl/>
        </w:rPr>
        <w:t>סכין קומנדו שאורכה למעלה מ-15 ס"מ.</w:t>
      </w:r>
      <w:r w:rsidRPr="00D42E29">
        <w:rPr>
          <w:rtl/>
        </w:rPr>
        <w:t xml:space="preserve"> בית משפט השלום גזר על הנאשם 7 חודשים מאסר שירוצו על דרך של עבודות שירות וענישה נלווית. בית המשפט העליון קבע כי בהינתן חומרת מעשיו של הנאשם כמו גם העובדה כי הלה אוחז בעבר פלילי כשאחת מהרשעותיו עניינה דקירת אדם במהלך תגרה, ונוכח </w:t>
      </w:r>
      <w:r w:rsidRPr="00D42E29">
        <w:rPr>
          <w:u w:val="single"/>
          <w:rtl/>
        </w:rPr>
        <w:t>המלצתו השלילית של שירות המבחן</w:t>
      </w:r>
      <w:r w:rsidRPr="00D42E29">
        <w:rPr>
          <w:rtl/>
        </w:rPr>
        <w:t xml:space="preserve"> אין מקום להתערבות בגזר הדין. ברי, כי המדובר בנסיבות שונות תכלית השוני מאלו שבעניינינו הן באשר למיהות העושה והן באשר למהות המעשה, כך שיקשה לגזור מפסיקה זו תובנות לעניינינו. </w:t>
      </w:r>
    </w:p>
    <w:p w14:paraId="4ECEC352" w14:textId="77777777" w:rsidR="00BB3434" w:rsidRDefault="00BB3434" w:rsidP="00BB3434">
      <w:pPr>
        <w:pStyle w:val="aa"/>
        <w:numPr>
          <w:ilvl w:val="0"/>
          <w:numId w:val="1"/>
        </w:numPr>
        <w:spacing w:before="160" w:after="0"/>
        <w:ind w:left="-384" w:right="426" w:hanging="284"/>
      </w:pPr>
      <w:r w:rsidRPr="002A748C">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D42E29">
        <w:rPr>
          <w:b/>
          <w:bCs/>
          <w:rtl/>
        </w:rPr>
        <w:t>ו"אין עסקינן בשיטת ניקוד, או באריתמטיקה. ענישה היא מלאכת מחשבת – ולא מלאכת מחשב"</w:t>
      </w:r>
      <w:r w:rsidRPr="002A748C">
        <w:rPr>
          <w:rtl/>
        </w:rPr>
        <w:t xml:space="preserve"> (ראו לעניין זה, </w:t>
      </w:r>
      <w:hyperlink r:id="rId62" w:history="1">
        <w:r w:rsidR="00483AB7" w:rsidRPr="00483AB7">
          <w:rPr>
            <w:color w:val="0000FF"/>
            <w:u w:val="single"/>
            <w:rtl/>
          </w:rPr>
          <w:t>ע"פ 5768/10</w:t>
        </w:r>
      </w:hyperlink>
      <w:r w:rsidRPr="002A748C">
        <w:rPr>
          <w:rtl/>
        </w:rPr>
        <w:t xml:space="preserve"> </w:t>
      </w:r>
      <w:r w:rsidRPr="00D42E29">
        <w:rPr>
          <w:b/>
          <w:bCs/>
          <w:rtl/>
        </w:rPr>
        <w:t>פלוני נ' מדינת ישראל</w:t>
      </w:r>
      <w:r w:rsidRPr="002A748C">
        <w:rPr>
          <w:rtl/>
        </w:rPr>
        <w:t xml:space="preserve">, </w:t>
      </w:r>
      <w:r w:rsidRPr="00D42E29">
        <w:rPr>
          <w:shd w:val="clear" w:color="auto" w:fill="FAFAFA"/>
          <w:rtl/>
        </w:rPr>
        <w:t>[פורסם בנבו] (</w:t>
      </w:r>
      <w:r w:rsidRPr="002A748C">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63" w:history="1">
        <w:r w:rsidR="00483AB7" w:rsidRPr="00483AB7">
          <w:rPr>
            <w:color w:val="0000FF"/>
            <w:u w:val="single"/>
            <w:rtl/>
          </w:rPr>
          <w:t>ע"פ 433/89</w:t>
        </w:r>
      </w:hyperlink>
      <w:r w:rsidRPr="002A748C">
        <w:rPr>
          <w:rtl/>
        </w:rPr>
        <w:t xml:space="preserve"> </w:t>
      </w:r>
      <w:r w:rsidRPr="00D42E29">
        <w:rPr>
          <w:b/>
          <w:bCs/>
          <w:rtl/>
        </w:rPr>
        <w:t>ג'ורג' אטיאס נ' מדינת ישראל</w:t>
      </w:r>
      <w:r w:rsidRPr="002A748C">
        <w:rPr>
          <w:rtl/>
        </w:rPr>
        <w:t xml:space="preserve">, פ"ד מג(4) 170, (1989); </w:t>
      </w:r>
      <w:r w:rsidRPr="00D42E29">
        <w:rPr>
          <w:u w:val="single"/>
          <w:rtl/>
        </w:rPr>
        <w:t>ו</w:t>
      </w:r>
      <w:hyperlink r:id="rId64" w:history="1">
        <w:r w:rsidR="00483AB7" w:rsidRPr="00483AB7">
          <w:rPr>
            <w:color w:val="0000FF"/>
            <w:u w:val="single"/>
            <w:rtl/>
          </w:rPr>
          <w:t>רע"פ 3173/09</w:t>
        </w:r>
      </w:hyperlink>
      <w:r w:rsidRPr="002A748C">
        <w:rPr>
          <w:rtl/>
        </w:rPr>
        <w:t xml:space="preserve"> </w:t>
      </w:r>
      <w:r w:rsidRPr="00D42E29">
        <w:rPr>
          <w:b/>
          <w:bCs/>
          <w:rtl/>
        </w:rPr>
        <w:t>פראגין נ' מדינת ישראל</w:t>
      </w:r>
      <w:r w:rsidRPr="002A748C">
        <w:rPr>
          <w:rtl/>
        </w:rPr>
        <w:t xml:space="preserve">, </w:t>
      </w:r>
      <w:r w:rsidRPr="00D42E29">
        <w:rPr>
          <w:shd w:val="clear" w:color="auto" w:fill="FAFAFA"/>
          <w:rtl/>
        </w:rPr>
        <w:t>[פורסם בנבו] (</w:t>
      </w:r>
      <w:r w:rsidRPr="002A748C">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65" w:history="1">
        <w:r w:rsidR="00483AB7" w:rsidRPr="00483AB7">
          <w:rPr>
            <w:color w:val="0000FF"/>
            <w:u w:val="single"/>
            <w:rtl/>
          </w:rPr>
          <w:t>ע"פ 1903/13</w:t>
        </w:r>
      </w:hyperlink>
      <w:r w:rsidRPr="002A748C">
        <w:rPr>
          <w:rtl/>
        </w:rPr>
        <w:t xml:space="preserve"> </w:t>
      </w:r>
      <w:r w:rsidRPr="00D42E29">
        <w:rPr>
          <w:b/>
          <w:bCs/>
          <w:rtl/>
        </w:rPr>
        <w:t>חמודה עיאשה נ' מדינת ישראל</w:t>
      </w:r>
      <w:r w:rsidRPr="002A748C">
        <w:rPr>
          <w:rtl/>
        </w:rPr>
        <w:t xml:space="preserve">, </w:t>
      </w:r>
      <w:r w:rsidRPr="00D42E29">
        <w:rPr>
          <w:shd w:val="clear" w:color="auto" w:fill="FAFAFA"/>
          <w:rtl/>
        </w:rPr>
        <w:t>[פורסם בנבו] (</w:t>
      </w:r>
      <w:r w:rsidRPr="002A748C">
        <w:rPr>
          <w:rtl/>
        </w:rPr>
        <w:t>25.06.2013)).</w:t>
      </w:r>
    </w:p>
    <w:p w14:paraId="6D27F6BB" w14:textId="77777777" w:rsidR="00BB3434" w:rsidRPr="0024272C" w:rsidRDefault="00BB3434" w:rsidP="00BB3434">
      <w:pPr>
        <w:pStyle w:val="aa"/>
        <w:numPr>
          <w:ilvl w:val="0"/>
          <w:numId w:val="1"/>
        </w:numPr>
        <w:spacing w:before="160" w:after="0"/>
        <w:ind w:left="-384" w:right="426" w:hanging="284"/>
      </w:pPr>
      <w:r w:rsidRPr="002A748C">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העבירות, כפי שפורט בהרחבה לעיל, הריני לקבוע כי </w:t>
      </w:r>
      <w:r w:rsidRPr="00D42E29">
        <w:rPr>
          <w:b/>
          <w:bCs/>
          <w:rtl/>
        </w:rPr>
        <w:t xml:space="preserve">בגין מכלול מעשיו של הנאשם על מתחם העונש ההולם לנוע בין מאסר מותנה לבין 10 חודשים מאסר בפועל.  </w:t>
      </w:r>
    </w:p>
    <w:p w14:paraId="31314AE3" w14:textId="77777777" w:rsidR="00BB3434" w:rsidRPr="0024272C" w:rsidRDefault="00BB3434" w:rsidP="00BB3434">
      <w:pPr>
        <w:pStyle w:val="1"/>
        <w:spacing w:after="160"/>
        <w:ind w:left="-384" w:hanging="283"/>
        <w:rPr>
          <w:rFonts w:ascii="David" w:hAnsi="David" w:cs="David"/>
          <w:b/>
          <w:bCs/>
          <w:color w:val="auto"/>
          <w:sz w:val="28"/>
          <w:szCs w:val="28"/>
          <w:u w:val="single"/>
        </w:rPr>
      </w:pPr>
      <w:r w:rsidRPr="0024272C">
        <w:rPr>
          <w:rFonts w:ascii="David" w:hAnsi="David" w:cs="David" w:hint="cs"/>
          <w:b/>
          <w:bCs/>
          <w:color w:val="auto"/>
          <w:sz w:val="28"/>
          <w:szCs w:val="28"/>
          <w:rtl/>
        </w:rPr>
        <w:t>ד.</w:t>
      </w:r>
      <w:r w:rsidRPr="0024272C">
        <w:rPr>
          <w:rFonts w:ascii="David" w:hAnsi="David" w:cs="David"/>
          <w:b/>
          <w:bCs/>
          <w:color w:val="auto"/>
          <w:sz w:val="28"/>
          <w:szCs w:val="28"/>
          <w:rtl/>
        </w:rPr>
        <w:tab/>
      </w:r>
      <w:r w:rsidRPr="0024272C">
        <w:rPr>
          <w:rFonts w:ascii="David" w:hAnsi="David" w:cs="David"/>
          <w:b/>
          <w:bCs/>
          <w:color w:val="auto"/>
          <w:sz w:val="28"/>
          <w:szCs w:val="28"/>
          <w:u w:val="single"/>
          <w:rtl/>
        </w:rPr>
        <w:t>שאלת ביטול ההרשעה והעונש שיש להטיל על הנאשם</w:t>
      </w:r>
    </w:p>
    <w:p w14:paraId="4B12B01E" w14:textId="77777777" w:rsidR="00BB3434" w:rsidRDefault="00BB3434" w:rsidP="00BB3434">
      <w:pPr>
        <w:pStyle w:val="aa"/>
        <w:numPr>
          <w:ilvl w:val="0"/>
          <w:numId w:val="1"/>
        </w:numPr>
        <w:spacing w:before="160" w:after="0"/>
        <w:ind w:left="-384" w:right="426" w:hanging="284"/>
      </w:pPr>
      <w:r w:rsidRPr="002A748C">
        <w:rPr>
          <w:rtl/>
        </w:rPr>
        <w:t xml:space="preserve">על פי ההלכה הפסוקה, אשר לא שונתה בעקבות תיקון 113 </w:t>
      </w:r>
      <w:r w:rsidRPr="00D42E29">
        <w:rPr>
          <w:u w:val="single"/>
          <w:rtl/>
        </w:rPr>
        <w:t>ל</w:t>
      </w:r>
      <w:hyperlink r:id="rId66" w:history="1">
        <w:r w:rsidR="00483AB7" w:rsidRPr="00483AB7">
          <w:rPr>
            <w:color w:val="0000FF"/>
            <w:u w:val="single"/>
            <w:rtl/>
          </w:rPr>
          <w:t>חוק העונשין</w:t>
        </w:r>
      </w:hyperlink>
      <w:r w:rsidRPr="00D42E29">
        <w:rPr>
          <w:u w:val="single"/>
          <w:rtl/>
        </w:rPr>
        <w:t>,</w:t>
      </w:r>
      <w:r w:rsidRPr="002A748C">
        <w:rPr>
          <w:rtl/>
        </w:rPr>
        <w:t xml:space="preserve"> משהוכח ביצועה של עבירה יש להרשיע את הנאשם, וסיום ההליך המשפטי ללא הרשעה ייעשה </w:t>
      </w:r>
      <w:r w:rsidRPr="00D42E29">
        <w:rPr>
          <w:b/>
          <w:bCs/>
          <w:rtl/>
        </w:rPr>
        <w:t>רק במקרים חריגים שבחריגים</w:t>
      </w:r>
      <w:r w:rsidRPr="002A748C">
        <w:rPr>
          <w:rtl/>
        </w:rPr>
        <w:t xml:space="preserve">, בהם קיים יחס שאיננו סביר בין חומרת העבירה לבין הנזק הצפוי לנאשם מן ההרשעה (ראו בעניין זה, למשל, </w:t>
      </w:r>
      <w:hyperlink r:id="rId67" w:history="1">
        <w:r w:rsidR="00483AB7" w:rsidRPr="00483AB7">
          <w:rPr>
            <w:color w:val="0000FF"/>
            <w:u w:val="single"/>
            <w:rtl/>
          </w:rPr>
          <w:t>רע"פ 11476/04</w:t>
        </w:r>
      </w:hyperlink>
      <w:r w:rsidRPr="002A748C">
        <w:rPr>
          <w:rtl/>
        </w:rPr>
        <w:t xml:space="preserve"> </w:t>
      </w:r>
      <w:r w:rsidRPr="00D42E29">
        <w:rPr>
          <w:b/>
          <w:bCs/>
          <w:rtl/>
        </w:rPr>
        <w:t>מדינת ישראל נ' חברת השקעות דיסקונט בע"מ</w:t>
      </w:r>
      <w:r w:rsidRPr="002A748C">
        <w:rPr>
          <w:rtl/>
        </w:rPr>
        <w:t xml:space="preserve">, [פורסם בנבו] (14.04.2010); </w:t>
      </w:r>
      <w:hyperlink r:id="rId68" w:history="1">
        <w:r w:rsidR="00483AB7" w:rsidRPr="00483AB7">
          <w:rPr>
            <w:color w:val="0000FF"/>
            <w:u w:val="single"/>
            <w:rtl/>
          </w:rPr>
          <w:t>רע"פ 5100/14</w:t>
        </w:r>
      </w:hyperlink>
      <w:r w:rsidRPr="002A748C">
        <w:rPr>
          <w:rtl/>
        </w:rPr>
        <w:t xml:space="preserve"> </w:t>
      </w:r>
      <w:r w:rsidRPr="00D42E29">
        <w:rPr>
          <w:b/>
          <w:bCs/>
          <w:rtl/>
        </w:rPr>
        <w:t>מסארווה נ' מדינת ישראל</w:t>
      </w:r>
      <w:r w:rsidRPr="002A748C">
        <w:rPr>
          <w:rtl/>
        </w:rPr>
        <w:t xml:space="preserve">, [פורסם בנבו] (28.07.2014); </w:t>
      </w:r>
      <w:r w:rsidRPr="00D42E29">
        <w:rPr>
          <w:u w:val="single"/>
          <w:rtl/>
        </w:rPr>
        <w:t>ו</w:t>
      </w:r>
      <w:hyperlink r:id="rId69" w:history="1">
        <w:r w:rsidR="00483AB7" w:rsidRPr="00483AB7">
          <w:rPr>
            <w:color w:val="0000FF"/>
            <w:u w:val="single"/>
            <w:rtl/>
          </w:rPr>
          <w:t>רע"פ 7224/14</w:t>
        </w:r>
      </w:hyperlink>
      <w:r w:rsidRPr="002A748C">
        <w:rPr>
          <w:rtl/>
        </w:rPr>
        <w:t xml:space="preserve"> </w:t>
      </w:r>
      <w:r w:rsidRPr="00D42E29">
        <w:rPr>
          <w:b/>
          <w:bCs/>
          <w:rtl/>
        </w:rPr>
        <w:t>פרנסקי נ' מדינת ישראל</w:t>
      </w:r>
      <w:r w:rsidRPr="002A748C">
        <w:rPr>
          <w:rtl/>
        </w:rPr>
        <w:t xml:space="preserve">, [פורסם בנבו] (10.11.2014)).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70" w:history="1">
        <w:r w:rsidR="00483AB7" w:rsidRPr="00483AB7">
          <w:rPr>
            <w:color w:val="0000FF"/>
            <w:u w:val="single"/>
            <w:rtl/>
          </w:rPr>
          <w:t>ע"פ 2083/96</w:t>
        </w:r>
      </w:hyperlink>
      <w:r w:rsidRPr="002A748C">
        <w:rPr>
          <w:rtl/>
        </w:rPr>
        <w:t xml:space="preserve"> </w:t>
      </w:r>
      <w:r w:rsidRPr="00D42E29">
        <w:rPr>
          <w:b/>
          <w:bCs/>
          <w:rtl/>
        </w:rPr>
        <w:t>תמר כתב נ' מדינת ישראל</w:t>
      </w:r>
      <w:r w:rsidRPr="002A748C">
        <w:rPr>
          <w:rtl/>
        </w:rPr>
        <w:t xml:space="preserve">, פ"ד נב(3) 337 (1997) (להלן: </w:t>
      </w:r>
      <w:r w:rsidRPr="00D42E29">
        <w:rPr>
          <w:b/>
          <w:bCs/>
          <w:rtl/>
        </w:rPr>
        <w:t>"הלכת כתב"</w:t>
      </w:r>
      <w:r w:rsidRPr="002A748C">
        <w:rPr>
          <w:rtl/>
        </w:rPr>
        <w:t xml:space="preserve"> או </w:t>
      </w:r>
      <w:r w:rsidRPr="00D42E29">
        <w:rPr>
          <w:b/>
          <w:bCs/>
          <w:rtl/>
        </w:rPr>
        <w:t>"פרשת כתב"</w:t>
      </w:r>
      <w:r w:rsidRPr="002A748C">
        <w:rPr>
          <w:rtl/>
        </w:rPr>
        <w:t xml:space="preserve">); </w:t>
      </w:r>
      <w:hyperlink r:id="rId71" w:history="1">
        <w:r w:rsidR="00483AB7" w:rsidRPr="00483AB7">
          <w:rPr>
            <w:color w:val="0000FF"/>
            <w:u w:val="single"/>
            <w:rtl/>
          </w:rPr>
          <w:t>ע"פ 2513/96</w:t>
        </w:r>
      </w:hyperlink>
      <w:r w:rsidRPr="002A748C">
        <w:rPr>
          <w:rtl/>
        </w:rPr>
        <w:t xml:space="preserve"> </w:t>
      </w:r>
      <w:r w:rsidRPr="00D42E29">
        <w:rPr>
          <w:b/>
          <w:bCs/>
          <w:rtl/>
        </w:rPr>
        <w:t>מדינת ישראל נ' ויקטור שמש</w:t>
      </w:r>
      <w:r w:rsidRPr="002A748C">
        <w:rPr>
          <w:rtl/>
        </w:rPr>
        <w:t xml:space="preserve">, פ"ד נ(3) 682 (1996); </w:t>
      </w:r>
      <w:r w:rsidRPr="00D42E29">
        <w:rPr>
          <w:u w:val="single"/>
          <w:rtl/>
        </w:rPr>
        <w:t>ו</w:t>
      </w:r>
      <w:hyperlink r:id="rId72" w:history="1">
        <w:r w:rsidR="00483AB7" w:rsidRPr="00483AB7">
          <w:rPr>
            <w:color w:val="0000FF"/>
            <w:u w:val="single"/>
            <w:rtl/>
          </w:rPr>
          <w:t>ע"פ 2669/00</w:t>
        </w:r>
      </w:hyperlink>
      <w:r w:rsidRPr="002A748C">
        <w:rPr>
          <w:rtl/>
        </w:rPr>
        <w:t xml:space="preserve"> </w:t>
      </w:r>
      <w:r w:rsidRPr="00D42E29">
        <w:rPr>
          <w:b/>
          <w:bCs/>
          <w:rtl/>
        </w:rPr>
        <w:t>מדינת ישראל נ' פלוני</w:t>
      </w:r>
      <w:r w:rsidRPr="002A748C">
        <w:rPr>
          <w:rtl/>
        </w:rPr>
        <w:t xml:space="preserve">, פ"ד נד(3) 685, 690 (2000)). כן ראו את מבחני העזר בעניין זה, כפי שאלו פורטו </w:t>
      </w:r>
      <w:r w:rsidRPr="00D42E29">
        <w:rPr>
          <w:b/>
          <w:bCs/>
          <w:rtl/>
        </w:rPr>
        <w:t>בפרשת כתב</w:t>
      </w:r>
      <w:r w:rsidRPr="002A748C">
        <w:rPr>
          <w:rtl/>
        </w:rPr>
        <w:t xml:space="preserve"> (בפסק דינו של כב' השו' ש' לוין) </w:t>
      </w:r>
      <w:r w:rsidRPr="00D42E29">
        <w:rPr>
          <w:u w:val="single"/>
          <w:rtl/>
        </w:rPr>
        <w:t>וב</w:t>
      </w:r>
      <w:hyperlink r:id="rId73" w:history="1">
        <w:r w:rsidR="00483AB7" w:rsidRPr="00483AB7">
          <w:rPr>
            <w:color w:val="0000FF"/>
            <w:u w:val="single"/>
            <w:rtl/>
          </w:rPr>
          <w:t>ע"פ 2669/00</w:t>
        </w:r>
      </w:hyperlink>
      <w:r w:rsidRPr="002A748C">
        <w:rPr>
          <w:rtl/>
        </w:rPr>
        <w:t xml:space="preserve"> </w:t>
      </w:r>
      <w:r w:rsidRPr="00D42E29">
        <w:rPr>
          <w:b/>
          <w:bCs/>
          <w:rtl/>
        </w:rPr>
        <w:t>מדינת ישראל נ' פלוני</w:t>
      </w:r>
      <w:r w:rsidRPr="002A748C">
        <w:rPr>
          <w:rtl/>
        </w:rPr>
        <w:t>, פ"ד נד(3) 685, 690 (2000).</w:t>
      </w:r>
    </w:p>
    <w:p w14:paraId="26FB5DF2" w14:textId="77777777" w:rsidR="00BB3434" w:rsidRDefault="00BB3434" w:rsidP="00BB3434">
      <w:pPr>
        <w:pStyle w:val="aa"/>
        <w:numPr>
          <w:ilvl w:val="0"/>
          <w:numId w:val="1"/>
        </w:numPr>
        <w:spacing w:before="160" w:after="0"/>
        <w:ind w:left="-384" w:right="426" w:hanging="284"/>
      </w:pPr>
      <w:r w:rsidRPr="002A748C">
        <w:rPr>
          <w:rtl/>
        </w:rPr>
        <w:t xml:space="preserve">לאחר ששמעתי את טיעוני הצדדים ועיינתי בתסקירי שירות המבחן אשר הוגשו בעניינו של הנאשם שוכנעתי, לא בלי התלבטות, כי מקרה זה נמנה בגדר אותם מקרים חריגים עליהם מדברת </w:t>
      </w:r>
      <w:r w:rsidRPr="00D42E29">
        <w:rPr>
          <w:b/>
          <w:bCs/>
          <w:rtl/>
        </w:rPr>
        <w:t>הלכת כתב</w:t>
      </w:r>
      <w:r w:rsidRPr="002A748C">
        <w:rPr>
          <w:rtl/>
        </w:rPr>
        <w:t xml:space="preserve"> כמצדיקים סטייה מן הכלל, לפיו נאשם שעבר עבירה יורשע בדינו. מצאתי כי עניינו של הנאשם נופל לגדר אותם "חריגים שבחריגים" וכי מתקיימות בו אותן נסיבות מיוחדות המצדיקות הימנעות מהרשעתו, ואנמק. </w:t>
      </w:r>
    </w:p>
    <w:p w14:paraId="144FC7BC" w14:textId="77777777" w:rsidR="00BB3434" w:rsidRDefault="00BB3434" w:rsidP="00BB3434">
      <w:pPr>
        <w:pStyle w:val="aa"/>
        <w:numPr>
          <w:ilvl w:val="0"/>
          <w:numId w:val="1"/>
        </w:numPr>
        <w:spacing w:before="160" w:after="0"/>
        <w:ind w:left="-384" w:right="426" w:hanging="284"/>
      </w:pPr>
      <w:r w:rsidRPr="00D42E29">
        <w:rPr>
          <w:b/>
          <w:bCs/>
          <w:rtl/>
        </w:rPr>
        <w:t>ראשית,</w:t>
      </w:r>
      <w:r w:rsidRPr="002A748C">
        <w:rPr>
          <w:rtl/>
        </w:rPr>
        <w:t xml:space="preserve"> חלק ניכר ממסקנתי, לפיה יש מקום בזו הפעם לחרוג מהכלל ולהורות על ביטול הרשעת הנאשם נשען על </w:t>
      </w:r>
      <w:r w:rsidRPr="00D42E29">
        <w:rPr>
          <w:b/>
          <w:bCs/>
          <w:rtl/>
        </w:rPr>
        <w:t>הליך השיקום המשמעותי</w:t>
      </w:r>
      <w:r w:rsidRPr="002A748C">
        <w:rPr>
          <w:rtl/>
        </w:rPr>
        <w:t xml:space="preserve"> שעבר ועודנו עובר האחרון. </w:t>
      </w:r>
    </w:p>
    <w:p w14:paraId="53AE4153" w14:textId="77777777" w:rsidR="00BB3434" w:rsidRDefault="00BB3434" w:rsidP="00BB3434">
      <w:pPr>
        <w:pStyle w:val="aa"/>
        <w:numPr>
          <w:ilvl w:val="0"/>
          <w:numId w:val="1"/>
        </w:numPr>
        <w:spacing w:before="160" w:after="0"/>
        <w:ind w:left="-384" w:right="426" w:hanging="284"/>
      </w:pPr>
      <w:r w:rsidRPr="002A748C">
        <w:rPr>
          <w:rtl/>
        </w:rPr>
        <w:t xml:space="preserve">הדברים אמורים בשים לב בעיקר לאמור </w:t>
      </w:r>
      <w:r w:rsidRPr="00D42E29">
        <w:rPr>
          <w:b/>
          <w:bCs/>
          <w:rtl/>
        </w:rPr>
        <w:t>בתסקירי שירות המבחן</w:t>
      </w:r>
      <w:r w:rsidRPr="002A748C">
        <w:rPr>
          <w:rtl/>
        </w:rPr>
        <w:t xml:space="preserve"> </w:t>
      </w:r>
      <w:r w:rsidRPr="00D42E29">
        <w:rPr>
          <w:b/>
          <w:bCs/>
          <w:rtl/>
        </w:rPr>
        <w:t>ובחוות הדעת הפרטית</w:t>
      </w:r>
      <w:r w:rsidRPr="002A748C">
        <w:rPr>
          <w:rtl/>
        </w:rPr>
        <w:t xml:space="preserve"> (</w:t>
      </w:r>
      <w:r w:rsidRPr="00D42E29">
        <w:rPr>
          <w:b/>
          <w:bCs/>
          <w:rtl/>
        </w:rPr>
        <w:t>נ/1</w:t>
      </w:r>
      <w:r w:rsidRPr="002A748C">
        <w:rPr>
          <w:rtl/>
        </w:rPr>
        <w:t xml:space="preserve">) אשר הוגשו בענייו של הנאשם. וכך, כעולה מהתסקירים, עם פתיחת ההליכים הפליליים כנגדו פנה הנאשם לטיפול רגשי באופן פרטי וכי מאז ועד היום ובמהלך </w:t>
      </w:r>
      <w:r w:rsidRPr="00D42E29">
        <w:rPr>
          <w:b/>
          <w:bCs/>
          <w:rtl/>
        </w:rPr>
        <w:t>כשלוש שנים</w:t>
      </w:r>
      <w:r w:rsidRPr="002A748C">
        <w:rPr>
          <w:rtl/>
        </w:rPr>
        <w:t xml:space="preserve"> הלה משולב בטיפול. עוד ציין השירות כי מהמטפל הפרטי נמסר כי הנאשם ממשיך לשמור עמו על קשר טיפולי וכי הלה נמצא בתהליך של שינוי חיובי ומשמעותי; ומביע שאיפות נורמטיביות ביחס לעתידו, דבר המעיד על כוחותיו הרבים לנוכח עברו המורכב. המטפל מסר כי לאור מאמציו של הנאשם בשנים האחרונות לעריכת שינוי משמעותי ועמוק באורחות חייו, להערכתו ישנה חשיבות גבוהה במתן הזדמנות לנאשם לפתוח פרק חדש בחייו, ובכלל זה להשית עליו ענישה בעלת אופי שיקומי אשר תצמצם את הפגיעה בעתידו.</w:t>
      </w:r>
    </w:p>
    <w:p w14:paraId="5F0CF8AC" w14:textId="77777777" w:rsidR="00BB3434" w:rsidRDefault="00BB3434" w:rsidP="00BB3434">
      <w:pPr>
        <w:pStyle w:val="aa"/>
        <w:numPr>
          <w:ilvl w:val="0"/>
          <w:numId w:val="1"/>
        </w:numPr>
        <w:spacing w:before="160" w:after="0"/>
        <w:ind w:left="-384" w:right="426" w:hanging="284"/>
      </w:pPr>
      <w:r w:rsidRPr="002A748C">
        <w:rPr>
          <w:rtl/>
        </w:rPr>
        <w:t xml:space="preserve">שירות המבחן התרשם כי הנאשם עורך </w:t>
      </w:r>
      <w:r w:rsidRPr="00D42E29">
        <w:rPr>
          <w:b/>
          <w:bCs/>
          <w:rtl/>
        </w:rPr>
        <w:t>פעולות ממשיות</w:t>
      </w:r>
      <w:r w:rsidRPr="002A748C">
        <w:rPr>
          <w:rtl/>
        </w:rPr>
        <w:t xml:space="preserve"> לשם קידום והתפתחות עצמית, משתף פעולה לאורך תקופה ארוכה עם שירות המבחן, נרתם במסגרת התכנית הטיפולית הפרטית,  במצבים שבהם הוא מקבל את הסיוע המתאים לקשייו, הנאשם מצליח להיעזר, משתף פעולה ומצליח לתפקד בהתאם לציפיות המסגרת וכי </w:t>
      </w:r>
      <w:r w:rsidRPr="00D42E29">
        <w:rPr>
          <w:b/>
          <w:bCs/>
          <w:rtl/>
        </w:rPr>
        <w:t>ההליך הטיפולי מהווה עבורו גורם מפחית סיכון לביצוע עבירות בעתיד</w:t>
      </w:r>
      <w:r w:rsidRPr="002A748C">
        <w:rPr>
          <w:rtl/>
        </w:rPr>
        <w:t xml:space="preserve">. בסופו של יום, מצא שירות המבחן כי </w:t>
      </w:r>
      <w:r w:rsidRPr="00D42E29">
        <w:rPr>
          <w:b/>
          <w:bCs/>
          <w:rtl/>
        </w:rPr>
        <w:t>גילו הצעיר; היותו חף מהרשעות קודמות; שאיפותיו הנורמטיביות להתקדם ולהתפתח; מחויבותו לקשר עם שירות המבחן; המאמצים שהלה עורך והפעולות הממשיות שבהן הוא נוקט לעבר שיקומו</w:t>
      </w:r>
      <w:r w:rsidRPr="00D42E29">
        <w:rPr>
          <w:b/>
          <w:bCs/>
          <w:rtl/>
        </w:rPr>
        <w:softHyphen/>
        <w:t xml:space="preserve"> –  מטים את הכף לעבר השתת ענישה שיקומית בעניינו. מה עוד שלהערכת שירות המבחן, הרשעה בדין עלולה להיות לו לרועץ לבניית עתידו המקצועי. </w:t>
      </w:r>
      <w:r w:rsidRPr="002A748C">
        <w:rPr>
          <w:rtl/>
        </w:rPr>
        <w:t xml:space="preserve">משכך, וכאמור, המליץ השירות על ביטול הרשעתו של הנאשם. </w:t>
      </w:r>
    </w:p>
    <w:p w14:paraId="0FACD16D" w14:textId="77777777" w:rsidR="00BB3434" w:rsidRDefault="00BB3434" w:rsidP="00BB3434">
      <w:pPr>
        <w:pStyle w:val="aa"/>
        <w:numPr>
          <w:ilvl w:val="0"/>
          <w:numId w:val="1"/>
        </w:numPr>
        <w:spacing w:before="160" w:after="0"/>
        <w:ind w:left="-384" w:right="426" w:hanging="284"/>
      </w:pPr>
      <w:r w:rsidRPr="00D42E29">
        <w:rPr>
          <w:b/>
          <w:bCs/>
          <w:rtl/>
        </w:rPr>
        <w:t>כעולה מחוות הדעת הפרטית שנרשמה ע"י המטפל הרגשי מר דורון מרגלית מיום 16.07.2023 (נ/1)</w:t>
      </w:r>
      <w:r w:rsidRPr="002A748C">
        <w:rPr>
          <w:rtl/>
        </w:rPr>
        <w:t xml:space="preserve">, הנאשם נמצא בתוכנית טיפול רגשית-התנהגותית בשילוב תכנית לחיזוק המודעות העצמית מזה כשלוש שנים. להערכת רושם חוות הדעת, הנאשם עבר שינוי של ממש במהלך הטיפול וכי על אף ילדותו המורכבת והחסכים הרבים שספג מהוריו, הלה הצליח לשקם את עצמו תוך הפחתת רמת החרדה והגדלת כישורי ההסתגלות והפך לאדם חיובי השואף להשתלב בחברה ולהצליח בה. כיום הנאשם פיתח מודעות עצמית ויכולת הבעה גבוהה, לקח אחריות על מעשיו והחל לתכנן את עתידו. עוד מצוין בחוות הדעת כי הנאשם ניגש למבחן הפסיכומטרי על מנת שבהמשך הדרך הוא יוכל להשתלב באקדמיה ולרכוש השכלה ומקצוע. </w:t>
      </w:r>
    </w:p>
    <w:p w14:paraId="73EB0E7F" w14:textId="77777777" w:rsidR="00BB3434" w:rsidRDefault="00BB3434" w:rsidP="00BB3434">
      <w:pPr>
        <w:pStyle w:val="aa"/>
        <w:numPr>
          <w:ilvl w:val="0"/>
          <w:numId w:val="1"/>
        </w:numPr>
        <w:spacing w:before="160" w:after="0"/>
        <w:ind w:left="-384" w:right="426" w:hanging="284"/>
      </w:pPr>
      <w:r w:rsidRPr="002A748C">
        <w:rPr>
          <w:rtl/>
        </w:rPr>
        <w:t xml:space="preserve">הנה כי כן, יוצא כי הנאשם עורך ניסיונות כנים ואמתיים להשתקם ומצוי בעיצומו של  הליך שיקום מעורר רושם. אכן ייתכן כי עוד מצפה לנאשם דרך ארוכה עד לשיקומו באופן מלא. אולם, כבר בשלב הזה בהחלט ניתן לומר כי אין עסקינן ב"ניצני שיקום" או בשיקום ראשוני בלבד, אלא שהנאשם עבר זה מכבר כברת דרך ארוכה ומקפיד לשתף פעולה עם שירות המבחן ועם המטפל הרגשי הפרטי. למעשה, התרשמתי כי כיום עומד לפניי נאשם בדרכו להיות אדם "חדש", אשר מבקש לחזור ולנהל אורח חיים נורמטיבי כך שבשלב זה ניתן לומר, לכל הפחות, כי הנאשם ישתקם בצורה מלאה בעתיד, וכי יש בכך כדי להצדיק סטייה לקולה ממתחם העונש אשר קבעתי בעניינו. על חשיבותם של שיקולי השיקום ועל יכולתם לגבור על שיקולים של הרתעה וגמול, ראו, </w:t>
      </w:r>
      <w:hyperlink r:id="rId74" w:history="1">
        <w:r w:rsidR="00483AB7" w:rsidRPr="00483AB7">
          <w:rPr>
            <w:color w:val="0000FF"/>
            <w:u w:val="single"/>
            <w:rtl/>
          </w:rPr>
          <w:t>רע"פ 262/14</w:t>
        </w:r>
      </w:hyperlink>
      <w:r w:rsidRPr="002A748C">
        <w:rPr>
          <w:rtl/>
        </w:rPr>
        <w:t xml:space="preserve"> </w:t>
      </w:r>
      <w:r w:rsidRPr="00D42E29">
        <w:rPr>
          <w:b/>
          <w:bCs/>
          <w:rtl/>
        </w:rPr>
        <w:t>נאשף נגד מדינת ישראל</w:t>
      </w:r>
      <w:r w:rsidRPr="002A748C">
        <w:rPr>
          <w:rtl/>
        </w:rPr>
        <w:t xml:space="preserve">, [פורסם בנבו] (22.01.2014). </w:t>
      </w:r>
    </w:p>
    <w:p w14:paraId="1B981E6B" w14:textId="77777777" w:rsidR="00BB3434" w:rsidRDefault="00BB3434" w:rsidP="00BB3434">
      <w:pPr>
        <w:pStyle w:val="aa"/>
        <w:numPr>
          <w:ilvl w:val="0"/>
          <w:numId w:val="1"/>
        </w:numPr>
        <w:spacing w:before="160" w:after="0"/>
        <w:ind w:left="-384" w:right="426" w:hanging="284"/>
      </w:pPr>
      <w:r w:rsidRPr="002A748C">
        <w:rPr>
          <w:rtl/>
        </w:rPr>
        <w:t>במצב דברים כגון דא, השתכנעתי כי הרשעתו של הנאשם בדין עלולה לפגוע פגיעה חמורה בהליך שיקומו, לרפות את ידיו, ולפגוע במוטיבציה אותה הוא מביע להמשיך ולהתמיד במאמציו לשקם את חייו. מה עוד, שאם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35D3A126" w14:textId="77777777" w:rsidR="00BB3434" w:rsidRDefault="00BB3434" w:rsidP="00BB3434">
      <w:pPr>
        <w:pStyle w:val="aa"/>
        <w:numPr>
          <w:ilvl w:val="0"/>
          <w:numId w:val="1"/>
        </w:numPr>
        <w:spacing w:before="160" w:after="0"/>
        <w:ind w:left="-384" w:right="426" w:hanging="284"/>
      </w:pPr>
      <w:r w:rsidRPr="002A748C">
        <w:rPr>
          <w:rtl/>
        </w:rPr>
        <w:t xml:space="preserve">לא יהיה זה מיותר להוסיף, כי אף מעבר לאמור בתסקירי שירות המבחן, הרי שגם התרשמתי באופן בלתי אמצעי מהנאשם ומדבריו במעמד הטיעונים לעונש. שוכנעתי כי הוא מביע מוטיבציה כנה ואמתית לצלוח את ההליך הטיפולי וכי הוא משקיע בכך מאמצים ומשאבים רבים. </w:t>
      </w:r>
    </w:p>
    <w:p w14:paraId="12DA0413" w14:textId="77777777" w:rsidR="00BB3434" w:rsidRDefault="00BB3434" w:rsidP="00BB3434">
      <w:pPr>
        <w:pStyle w:val="aa"/>
        <w:numPr>
          <w:ilvl w:val="0"/>
          <w:numId w:val="1"/>
        </w:numPr>
        <w:spacing w:before="160" w:after="0"/>
        <w:ind w:left="-384" w:right="426" w:hanging="284"/>
      </w:pPr>
      <w:r w:rsidRPr="005704EC">
        <w:rPr>
          <w:b/>
          <w:bCs/>
          <w:rtl/>
        </w:rPr>
        <w:t>שנית,</w:t>
      </w:r>
      <w:r w:rsidRPr="002A748C">
        <w:rPr>
          <w:rtl/>
        </w:rPr>
        <w:t xml:space="preserve"> ובשים לב לאמור עד כה, שוכנעתי כי ניתן במקרה הנדון להימנע מהרשעתו של הנאשם גם מבלי לפגוע באופן מהותי בשיקולי ענישה אחרים. בית המשפט אינו מקל ראש בחומרת מעשיו של הנאשם, כאשר ברי כי המדובר בהתנהגות שיש להוקיעה ולגנותה. דא עקא, עם כל הסלידה מהתנהגותו של הנאשם, אין המדובר בעבירות שהינן מהחמורות ביותר שב</w:t>
      </w:r>
      <w:hyperlink r:id="rId75" w:history="1">
        <w:r w:rsidR="00483AB7" w:rsidRPr="00483AB7">
          <w:rPr>
            <w:color w:val="0000FF"/>
            <w:u w:val="single"/>
            <w:rtl/>
          </w:rPr>
          <w:t>חוק העונשין</w:t>
        </w:r>
      </w:hyperlink>
      <w:r w:rsidRPr="002A748C">
        <w:rPr>
          <w:rtl/>
        </w:rPr>
        <w:t xml:space="preserve">, ולא השתכנעתי כי מדובר בעבירות מהסוג ומהנסיבות ששוללות מניה וביה את האפשרות להימנע מהרשעתו של מבצען מבלי לפגוע באינטרס הציבורי. ואכן, </w:t>
      </w:r>
      <w:r w:rsidRPr="005704EC">
        <w:rPr>
          <w:b/>
          <w:bCs/>
          <w:rtl/>
        </w:rPr>
        <w:t xml:space="preserve">לא אחת נמנעו בתי המשפט במקרים דומים ואף חמורים יותר מלהרשיע את הנאשמים שבפניהם בעבירת החזקת סכין; החזקת סם לצריכה עצמית; ואף בשילובן של שתי העבירות. </w:t>
      </w:r>
      <w:r w:rsidRPr="002A748C">
        <w:rPr>
          <w:rtl/>
        </w:rPr>
        <w:t xml:space="preserve">ראו בעניין זה, למשל, </w:t>
      </w:r>
      <w:hyperlink r:id="rId76" w:history="1">
        <w:r w:rsidR="00483AB7" w:rsidRPr="00483AB7">
          <w:rPr>
            <w:color w:val="0000FF"/>
            <w:u w:val="single"/>
            <w:rtl/>
          </w:rPr>
          <w:t>ת"פ (ירושלים) 24348-01-19</w:t>
        </w:r>
      </w:hyperlink>
      <w:r w:rsidR="00483AB7">
        <w:rPr>
          <w:u w:val="single"/>
          <w:rtl/>
        </w:rPr>
        <w:t xml:space="preserve"> </w:t>
      </w:r>
      <w:r w:rsidRPr="005704EC">
        <w:rPr>
          <w:b/>
          <w:bCs/>
          <w:rtl/>
        </w:rPr>
        <w:t>מדינת ישראל</w:t>
      </w:r>
      <w:r w:rsidR="00483AB7">
        <w:rPr>
          <w:b/>
          <w:bCs/>
          <w:rtl/>
        </w:rPr>
        <w:t xml:space="preserve"> </w:t>
      </w:r>
      <w:r w:rsidRPr="005704EC">
        <w:rPr>
          <w:b/>
          <w:bCs/>
          <w:rtl/>
        </w:rPr>
        <w:t>נ' אמיתי</w:t>
      </w:r>
      <w:r w:rsidRPr="002A748C">
        <w:rPr>
          <w:rtl/>
        </w:rPr>
        <w:t xml:space="preserve"> [פורסם בנבו] (06.12.2020); </w:t>
      </w:r>
      <w:r w:rsidR="00483AB7">
        <w:rPr>
          <w:u w:val="single"/>
        </w:rPr>
        <w:t xml:space="preserve"> </w:t>
      </w:r>
      <w:hyperlink r:id="rId77" w:history="1">
        <w:r w:rsidR="00483AB7" w:rsidRPr="00483AB7">
          <w:rPr>
            <w:color w:val="0000FF"/>
            <w:u w:val="single"/>
            <w:rtl/>
          </w:rPr>
          <w:t>ת"פ (ירושלים) 47098-12-15</w:t>
        </w:r>
      </w:hyperlink>
      <w:r w:rsidR="00483AB7">
        <w:rPr>
          <w:u w:val="single"/>
          <w:rtl/>
        </w:rPr>
        <w:t xml:space="preserve"> </w:t>
      </w:r>
      <w:r w:rsidRPr="005704EC">
        <w:rPr>
          <w:b/>
          <w:bCs/>
          <w:rtl/>
        </w:rPr>
        <w:t>מדינת ישראל</w:t>
      </w:r>
      <w:r w:rsidR="00483AB7">
        <w:rPr>
          <w:b/>
          <w:bCs/>
          <w:rtl/>
        </w:rPr>
        <w:t xml:space="preserve"> </w:t>
      </w:r>
      <w:r w:rsidRPr="005704EC">
        <w:rPr>
          <w:b/>
          <w:bCs/>
          <w:rtl/>
        </w:rPr>
        <w:t>נ' מרש</w:t>
      </w:r>
      <w:r w:rsidRPr="002A748C">
        <w:t xml:space="preserve"> </w:t>
      </w:r>
      <w:r w:rsidRPr="002A748C">
        <w:rPr>
          <w:rtl/>
        </w:rPr>
        <w:t xml:space="preserve">[פורסם בנבו] (26.02.2020); </w:t>
      </w:r>
      <w:hyperlink r:id="rId78" w:history="1">
        <w:r w:rsidR="00483AB7" w:rsidRPr="00483AB7">
          <w:rPr>
            <w:color w:val="0000FF"/>
            <w:u w:val="single"/>
            <w:rtl/>
          </w:rPr>
          <w:t>ת"פ (ירושלים) 71160-03-19</w:t>
        </w:r>
      </w:hyperlink>
      <w:r w:rsidR="00483AB7">
        <w:rPr>
          <w:u w:val="single"/>
          <w:rtl/>
        </w:rPr>
        <w:t xml:space="preserve"> </w:t>
      </w:r>
      <w:r w:rsidRPr="005704EC">
        <w:rPr>
          <w:b/>
          <w:bCs/>
          <w:rtl/>
        </w:rPr>
        <w:t>מדינת ישראל</w:t>
      </w:r>
      <w:r w:rsidR="00483AB7">
        <w:rPr>
          <w:b/>
          <w:bCs/>
          <w:rtl/>
        </w:rPr>
        <w:t xml:space="preserve"> </w:t>
      </w:r>
      <w:r w:rsidRPr="005704EC">
        <w:rPr>
          <w:b/>
          <w:bCs/>
          <w:rtl/>
        </w:rPr>
        <w:t>נ' טיטונוביץ</w:t>
      </w:r>
      <w:r w:rsidRPr="002A748C">
        <w:rPr>
          <w:rtl/>
        </w:rPr>
        <w:t xml:space="preserve"> [פורסם בנבו] (14.01.2021); </w:t>
      </w:r>
      <w:hyperlink r:id="rId79" w:history="1">
        <w:r w:rsidR="00483AB7" w:rsidRPr="00483AB7">
          <w:rPr>
            <w:color w:val="0000FF"/>
            <w:u w:val="single"/>
            <w:rtl/>
          </w:rPr>
          <w:t>ת"פ (ירושלים) 30618-02-18</w:t>
        </w:r>
      </w:hyperlink>
      <w:r w:rsidR="00483AB7">
        <w:rPr>
          <w:rtl/>
        </w:rPr>
        <w:t xml:space="preserve"> </w:t>
      </w:r>
      <w:r w:rsidRPr="005704EC">
        <w:rPr>
          <w:b/>
          <w:bCs/>
          <w:rtl/>
        </w:rPr>
        <w:t>מדינת ישראל</w:t>
      </w:r>
      <w:r w:rsidR="00483AB7">
        <w:rPr>
          <w:b/>
          <w:bCs/>
          <w:rtl/>
        </w:rPr>
        <w:t xml:space="preserve"> </w:t>
      </w:r>
      <w:r w:rsidRPr="005704EC">
        <w:rPr>
          <w:b/>
          <w:bCs/>
          <w:rtl/>
        </w:rPr>
        <w:t>נ' לוין</w:t>
      </w:r>
      <w:r w:rsidRPr="002A748C">
        <w:rPr>
          <w:rtl/>
        </w:rPr>
        <w:t xml:space="preserve"> [פורסם בנבו] (07.09.2020); </w:t>
      </w:r>
      <w:hyperlink r:id="rId80" w:history="1">
        <w:r w:rsidR="00483AB7" w:rsidRPr="00483AB7">
          <w:rPr>
            <w:color w:val="0000FF"/>
            <w:u w:val="single"/>
            <w:rtl/>
          </w:rPr>
          <w:t>ת"פ (ירושלים) 29899-03-17</w:t>
        </w:r>
      </w:hyperlink>
      <w:r w:rsidRPr="005704EC">
        <w:rPr>
          <w:u w:val="single"/>
          <w:rtl/>
        </w:rPr>
        <w:t>‏</w:t>
      </w:r>
      <w:r w:rsidR="00483AB7">
        <w:rPr>
          <w:u w:val="single"/>
          <w:rtl/>
        </w:rPr>
        <w:t xml:space="preserve"> </w:t>
      </w:r>
      <w:r w:rsidRPr="002A748C">
        <w:rPr>
          <w:rtl/>
        </w:rPr>
        <w:t xml:space="preserve"> ‏ </w:t>
      </w:r>
      <w:r w:rsidRPr="005704EC">
        <w:rPr>
          <w:b/>
          <w:bCs/>
          <w:rtl/>
        </w:rPr>
        <w:t>מדינת ישראל נ' בוזגלו</w:t>
      </w:r>
      <w:r w:rsidRPr="002A748C">
        <w:rPr>
          <w:rtl/>
        </w:rPr>
        <w:t xml:space="preserve"> [פורסם בנבו] (14.11.2018);</w:t>
      </w:r>
      <w:r w:rsidRPr="005704EC">
        <w:rPr>
          <w:b/>
          <w:bCs/>
          <w:rtl/>
        </w:rPr>
        <w:t xml:space="preserve"> </w:t>
      </w:r>
      <w:hyperlink r:id="rId81" w:history="1">
        <w:r w:rsidR="00483AB7" w:rsidRPr="00483AB7">
          <w:rPr>
            <w:color w:val="0000FF"/>
            <w:u w:val="single"/>
            <w:rtl/>
          </w:rPr>
          <w:t>ע"פ (נצ') 11770-11-17</w:t>
        </w:r>
      </w:hyperlink>
      <w:r w:rsidRPr="005704EC">
        <w:rPr>
          <w:b/>
          <w:bCs/>
          <w:rtl/>
        </w:rPr>
        <w:t>‏ ‏ הלוי נ' מדינת ישראל</w:t>
      </w:r>
      <w:r w:rsidRPr="002A748C">
        <w:rPr>
          <w:rtl/>
        </w:rPr>
        <w:t xml:space="preserve"> [פורסם בנבו] (19.06.2018); </w:t>
      </w:r>
      <w:hyperlink r:id="rId82" w:history="1">
        <w:r w:rsidR="00483AB7" w:rsidRPr="00483AB7">
          <w:rPr>
            <w:color w:val="0000FF"/>
            <w:u w:val="single"/>
            <w:rtl/>
          </w:rPr>
          <w:t>ת"פ (קריות) 33947-10-15</w:t>
        </w:r>
      </w:hyperlink>
      <w:r w:rsidR="00483AB7">
        <w:rPr>
          <w:rtl/>
        </w:rPr>
        <w:t xml:space="preserve"> </w:t>
      </w:r>
      <w:r w:rsidRPr="005704EC">
        <w:rPr>
          <w:b/>
          <w:bCs/>
          <w:rtl/>
        </w:rPr>
        <w:t>מדינת ישראל</w:t>
      </w:r>
      <w:r w:rsidR="00483AB7">
        <w:rPr>
          <w:b/>
          <w:bCs/>
          <w:rtl/>
        </w:rPr>
        <w:t xml:space="preserve"> </w:t>
      </w:r>
      <w:r w:rsidRPr="005704EC">
        <w:rPr>
          <w:b/>
          <w:bCs/>
          <w:rtl/>
        </w:rPr>
        <w:t xml:space="preserve">נ' סבג </w:t>
      </w:r>
      <w:r w:rsidRPr="002A748C">
        <w:rPr>
          <w:rtl/>
        </w:rPr>
        <w:t xml:space="preserve">[פורסם בנבו] (14.06.2016); </w:t>
      </w:r>
      <w:hyperlink r:id="rId83" w:history="1">
        <w:r w:rsidR="00483AB7" w:rsidRPr="00483AB7">
          <w:rPr>
            <w:color w:val="0000FF"/>
            <w:u w:val="single"/>
            <w:rtl/>
          </w:rPr>
          <w:t>ת"פ (תל אביב-יפו) 42331-06-18</w:t>
        </w:r>
      </w:hyperlink>
      <w:r w:rsidR="00483AB7">
        <w:rPr>
          <w:rtl/>
        </w:rPr>
        <w:t xml:space="preserve"> </w:t>
      </w:r>
      <w:r w:rsidRPr="005704EC">
        <w:rPr>
          <w:b/>
          <w:bCs/>
          <w:rtl/>
        </w:rPr>
        <w:t>מדינת ישראל</w:t>
      </w:r>
      <w:r w:rsidR="00483AB7">
        <w:rPr>
          <w:rtl/>
        </w:rPr>
        <w:t xml:space="preserve"> </w:t>
      </w:r>
      <w:r w:rsidRPr="002A748C">
        <w:rPr>
          <w:rtl/>
        </w:rPr>
        <w:t>נ'</w:t>
      </w:r>
      <w:r w:rsidRPr="005704EC">
        <w:rPr>
          <w:b/>
          <w:bCs/>
          <w:rtl/>
        </w:rPr>
        <w:t xml:space="preserve"> סייג </w:t>
      </w:r>
      <w:r w:rsidRPr="002A748C">
        <w:rPr>
          <w:rtl/>
        </w:rPr>
        <w:t xml:space="preserve">[פורסם בנבו] (18.12.2020); </w:t>
      </w:r>
      <w:hyperlink r:id="rId84" w:history="1">
        <w:r w:rsidR="00483AB7" w:rsidRPr="00483AB7">
          <w:rPr>
            <w:color w:val="0000FF"/>
            <w:u w:val="single"/>
            <w:rtl/>
          </w:rPr>
          <w:t>ת"פ (ירושלים) 68509-12-18</w:t>
        </w:r>
      </w:hyperlink>
      <w:r w:rsidR="00483AB7">
        <w:rPr>
          <w:u w:val="single"/>
          <w:rtl/>
        </w:rPr>
        <w:t xml:space="preserve"> </w:t>
      </w:r>
      <w:r w:rsidRPr="005704EC">
        <w:rPr>
          <w:b/>
          <w:bCs/>
          <w:rtl/>
        </w:rPr>
        <w:t>מדינת ישראל נ' עובדיה</w:t>
      </w:r>
      <w:r w:rsidRPr="005704EC">
        <w:rPr>
          <w:b/>
          <w:bCs/>
        </w:rPr>
        <w:t xml:space="preserve"> </w:t>
      </w:r>
      <w:r w:rsidRPr="002A748C">
        <w:rPr>
          <w:rtl/>
        </w:rPr>
        <w:t xml:space="preserve">[פורסם בנבו] (12.09.2021); </w:t>
      </w:r>
      <w:hyperlink r:id="rId85" w:history="1">
        <w:r w:rsidR="00483AB7" w:rsidRPr="00483AB7">
          <w:rPr>
            <w:color w:val="0000FF"/>
            <w:u w:val="single"/>
            <w:rtl/>
          </w:rPr>
          <w:t>ת"פ (ירושלים) 20329-08-21</w:t>
        </w:r>
      </w:hyperlink>
      <w:r w:rsidR="00483AB7">
        <w:rPr>
          <w:rtl/>
        </w:rPr>
        <w:t xml:space="preserve"> </w:t>
      </w:r>
      <w:r w:rsidRPr="005704EC">
        <w:rPr>
          <w:b/>
          <w:bCs/>
          <w:rtl/>
        </w:rPr>
        <w:t>מדינת ישראל</w:t>
      </w:r>
      <w:r w:rsidR="00483AB7">
        <w:rPr>
          <w:b/>
          <w:bCs/>
          <w:rtl/>
        </w:rPr>
        <w:t xml:space="preserve"> </w:t>
      </w:r>
      <w:r w:rsidRPr="005704EC">
        <w:rPr>
          <w:b/>
          <w:bCs/>
          <w:rtl/>
        </w:rPr>
        <w:t xml:space="preserve"> נ' ג'ועבה</w:t>
      </w:r>
      <w:r w:rsidRPr="002A748C">
        <w:rPr>
          <w:rtl/>
        </w:rPr>
        <w:t xml:space="preserve"> [פורסם בנבו] (12.09.2021); </w:t>
      </w:r>
      <w:r w:rsidRPr="005704EC">
        <w:rPr>
          <w:u w:val="single"/>
          <w:rtl/>
        </w:rPr>
        <w:t>ו</w:t>
      </w:r>
      <w:hyperlink r:id="rId86" w:history="1">
        <w:r w:rsidR="00483AB7" w:rsidRPr="00483AB7">
          <w:rPr>
            <w:color w:val="0000FF"/>
            <w:u w:val="single"/>
            <w:rtl/>
          </w:rPr>
          <w:t>ת"פ (באר שבע) 25651-04-19</w:t>
        </w:r>
      </w:hyperlink>
      <w:r w:rsidR="00483AB7">
        <w:rPr>
          <w:u w:val="single"/>
        </w:rPr>
        <w:t xml:space="preserve"> </w:t>
      </w:r>
      <w:r w:rsidRPr="005704EC">
        <w:rPr>
          <w:b/>
          <w:bCs/>
          <w:rtl/>
        </w:rPr>
        <w:t xml:space="preserve">מדינת ישראל נ' בן אריה </w:t>
      </w:r>
      <w:r w:rsidRPr="002A748C">
        <w:rPr>
          <w:rtl/>
        </w:rPr>
        <w:t>[פורסם בנבו]</w:t>
      </w:r>
      <w:r w:rsidR="00483AB7">
        <w:rPr>
          <w:rtl/>
        </w:rPr>
        <w:t xml:space="preserve"> </w:t>
      </w:r>
      <w:r w:rsidRPr="002A748C">
        <w:rPr>
          <w:rtl/>
        </w:rPr>
        <w:t>(</w:t>
      </w:r>
      <w:r w:rsidRPr="002A748C">
        <w:t>(04.04.2022</w:t>
      </w:r>
      <w:r w:rsidRPr="002A748C">
        <w:rPr>
          <w:rtl/>
        </w:rPr>
        <w:t>.</w:t>
      </w:r>
    </w:p>
    <w:p w14:paraId="50DB1B80" w14:textId="77777777" w:rsidR="00BB3434" w:rsidRDefault="00BB3434" w:rsidP="00BB3434">
      <w:pPr>
        <w:pStyle w:val="aa"/>
        <w:numPr>
          <w:ilvl w:val="0"/>
          <w:numId w:val="1"/>
        </w:numPr>
        <w:spacing w:before="160" w:after="0"/>
        <w:ind w:left="-384" w:right="426" w:hanging="284"/>
      </w:pPr>
      <w:r w:rsidRPr="002A748C">
        <w:rPr>
          <w:rtl/>
        </w:rPr>
        <w:t>למען שלמות התמונה אציין כי לא התעלמתי מהפסיקה שהגישה המאשימה בעניין זה (</w:t>
      </w:r>
      <w:hyperlink r:id="rId87" w:history="1">
        <w:r w:rsidR="00483AB7" w:rsidRPr="00483AB7">
          <w:rPr>
            <w:color w:val="0000FF"/>
            <w:u w:val="single"/>
            <w:rtl/>
          </w:rPr>
          <w:t>עפ"ג (מחוזי חיפה) 41658-10-22</w:t>
        </w:r>
      </w:hyperlink>
      <w:r w:rsidRPr="005704EC">
        <w:rPr>
          <w:u w:val="single"/>
          <w:rtl/>
        </w:rPr>
        <w:t xml:space="preserve"> </w:t>
      </w:r>
      <w:r w:rsidRPr="005704EC">
        <w:rPr>
          <w:b/>
          <w:bCs/>
          <w:rtl/>
        </w:rPr>
        <w:t>מדינת ישראל נ' חרפוש</w:t>
      </w:r>
      <w:r w:rsidRPr="002A748C">
        <w:rPr>
          <w:rtl/>
        </w:rPr>
        <w:t xml:space="preserve"> [פורסם בנבו] (02.03.2023), תוך ביצוע האבחנות המתבקשות. כך, הנאשם שם נמצא ע"י שוטרים </w:t>
      </w:r>
      <w:r w:rsidRPr="005704EC">
        <w:rPr>
          <w:u w:val="single"/>
          <w:rtl/>
        </w:rPr>
        <w:t>מחוץ לביתו כשהוא מחזיק בכיסו</w:t>
      </w:r>
      <w:r w:rsidRPr="002A748C">
        <w:rPr>
          <w:rtl/>
        </w:rPr>
        <w:t xml:space="preserve"> </w:t>
      </w:r>
      <w:r w:rsidRPr="005704EC">
        <w:rPr>
          <w:u w:val="single"/>
          <w:rtl/>
        </w:rPr>
        <w:t>סכין מתקבעת שאורך להבה כ-9 ס"מ</w:t>
      </w:r>
      <w:r w:rsidRPr="002A748C">
        <w:rPr>
          <w:rtl/>
        </w:rPr>
        <w:t xml:space="preserve">, ואילו בעניינינו כל שנטען במסגרת התיק העיקרי הוא כי הנאשם החזיק בסכין בצבע שחור ואילו בתיק המצורף נטען כי הנאשם החזיק בסכין מתקפלת בצבע שחור, תוך שלא פורש בכתבי האישום מה היה אורך הלהב של כל אחת מסכינים שאותן החזיק הנאשם. הנה כי כן, במצב דברים כגון דא ניתן להניח לטובת הנאשם כי להבן </w:t>
      </w:r>
      <w:r>
        <w:rPr>
          <w:rFonts w:hint="cs"/>
          <w:rtl/>
        </w:rPr>
        <w:t>של כל אחת מהסכינים /</w:t>
      </w:r>
      <w:r w:rsidRPr="002A748C">
        <w:rPr>
          <w:rtl/>
        </w:rPr>
        <w:t xml:space="preserve">לא היה ארוך. מה עוד, שבניגוד לעניינינו הנאשם שם לא עבר הליך שיקומי ארוך טווח של למעלה משלוש שנים, כך שלא קמה בעניינו הצטברות נסיבות חריגות כבעניינינו. כך או כך (וכאמור זה מכבר) הענישה היא לעולם אינדיווידואלית כאשר כל מקרה נבחן לגופו ובהתאם לנסיבותיו הקונקרטיות. </w:t>
      </w:r>
    </w:p>
    <w:p w14:paraId="00BAEC19" w14:textId="77777777" w:rsidR="00BB3434" w:rsidRDefault="00BB3434" w:rsidP="00BB3434">
      <w:pPr>
        <w:pStyle w:val="aa"/>
        <w:numPr>
          <w:ilvl w:val="0"/>
          <w:numId w:val="1"/>
        </w:numPr>
        <w:spacing w:before="160" w:after="0"/>
        <w:ind w:left="-384" w:right="426" w:hanging="284"/>
      </w:pPr>
      <w:r w:rsidRPr="005704EC">
        <w:rPr>
          <w:b/>
          <w:bCs/>
          <w:rtl/>
        </w:rPr>
        <w:t>ושלישית,</w:t>
      </w:r>
      <w:r w:rsidRPr="002A748C">
        <w:rPr>
          <w:rtl/>
        </w:rPr>
        <w:t xml:space="preserve"> גם בחינת הפרמטרים שהותוו </w:t>
      </w:r>
      <w:r w:rsidRPr="005704EC">
        <w:rPr>
          <w:b/>
          <w:bCs/>
          <w:rtl/>
        </w:rPr>
        <w:t>בפרשת כתב</w:t>
      </w:r>
      <w:r w:rsidRPr="002A748C">
        <w:rPr>
          <w:rtl/>
        </w:rPr>
        <w:t xml:space="preserve"> על ידי המשנה לנשיא, כב' השו' ש' לוין (ככל שהם רלוונטיים לעניינו של הנאשם), מלמדת כי הוא עומד ברובם. כך למשל, לא ניתן להתעלם מכך שזו הסתבכותו הראשונה של הנאשם עם החוק ומכך שהתנהגות כגון זו אינה מאפיינת את אורחות חייו ואינה מהווה דפוס פעולה כרוני; כנלמד מהאמור בתסקירי שירות המבחן הסיכון שהנאשם ישוב ויבצע עבירות הוא נמוך; הנאשם קיבל אחריות על מעשיו, הביע עליהם חרטה כנה וצער, ואף ביטא מוטיבציה להשתלב בהליך טיפולי, כפי שאכן הוא עשה בסופו של יום. לכל אלו אף יש להוסיף את התרשמותו של שירות המבחן ואת המלצתו להורות על ביטול הרשעתו של הנאשם, כאשר הנימוקים להמלצה זו נטועים בנכונותו של הנאשם להמשיך בהליך הטיפולי, בהשלכות שעלולות להיות להרשעה על הנאשם לנוכח גילו הצעיר ובדגש על המישור התעסוקתי והלימודי.</w:t>
      </w:r>
    </w:p>
    <w:p w14:paraId="1E003275" w14:textId="77777777" w:rsidR="00BB3434" w:rsidRDefault="00BB3434" w:rsidP="00BB3434">
      <w:pPr>
        <w:pStyle w:val="aa"/>
        <w:numPr>
          <w:ilvl w:val="0"/>
          <w:numId w:val="1"/>
        </w:numPr>
        <w:spacing w:before="160" w:after="0"/>
        <w:ind w:left="-384" w:right="426" w:hanging="284"/>
      </w:pPr>
      <w:r w:rsidRPr="002A748C">
        <w:rPr>
          <w:rtl/>
        </w:rPr>
        <w:t xml:space="preserve">אכן, לא נעלמה מעיניי העובדה כי הנאשם לא הוכיח ברמת ההוכחה הנדרשת קיומו של נזק קונקרטי אשר עלול להיגרם לו אם יורשעו בדינו, עת כל שנטען בעניין זה הוא כי בכוונת הנאשם להתפתח ולהשתלב בלימודים אקדמאיים בהמשך דרכו. על פניו, בשלב זה היה על בית המשפט לעצור הילוכו ולקבוע כי אין מקום להורות על ביטול הרשעתו. ואולם, וכידוע, פרמטר זה שעניינו, הוכחת נזק קונקרטי, אינו נבחן בתוך ואקום אלא מושפע פעמים רבות מיתר הנסיבות שאופפות את המקרה. וכאן אפנה לאותה </w:t>
      </w:r>
      <w:r w:rsidRPr="005704EC">
        <w:rPr>
          <w:b/>
          <w:bCs/>
          <w:rtl/>
        </w:rPr>
        <w:t>"מקבילית כוחות"</w:t>
      </w:r>
      <w:r w:rsidRPr="002A748C">
        <w:rPr>
          <w:rtl/>
        </w:rPr>
        <w:t xml:space="preserve"> שבין הדרישה להוכחת קיומה של פגיעה קונקרטית לבין חומרת העבירות, עליה עמד בית המשפט המחוזי </w:t>
      </w:r>
      <w:r w:rsidRPr="005704EC">
        <w:rPr>
          <w:u w:val="single"/>
          <w:rtl/>
        </w:rPr>
        <w:t>ב</w:t>
      </w:r>
      <w:hyperlink r:id="rId88" w:history="1">
        <w:r w:rsidR="00483AB7" w:rsidRPr="00483AB7">
          <w:rPr>
            <w:color w:val="0000FF"/>
            <w:u w:val="single"/>
            <w:rtl/>
          </w:rPr>
          <w:t>ע"פ (מחוזי מרכז) 24457-03-15</w:t>
        </w:r>
      </w:hyperlink>
      <w:r w:rsidRPr="002A748C">
        <w:rPr>
          <w:rtl/>
        </w:rPr>
        <w:t xml:space="preserve"> </w:t>
      </w:r>
      <w:r w:rsidRPr="005704EC">
        <w:rPr>
          <w:b/>
          <w:bCs/>
          <w:rtl/>
        </w:rPr>
        <w:t>פבל גוטרמן נ' מדינת ישראל</w:t>
      </w:r>
      <w:r w:rsidRPr="002A748C">
        <w:rPr>
          <w:rtl/>
        </w:rPr>
        <w:t xml:space="preserve">, [פורסם בנבו] (30.08.2015); </w:t>
      </w:r>
      <w:r w:rsidRPr="005704EC">
        <w:rPr>
          <w:u w:val="single"/>
          <w:rtl/>
        </w:rPr>
        <w:t>ב</w:t>
      </w:r>
      <w:hyperlink r:id="rId89" w:history="1">
        <w:r w:rsidR="00483AB7" w:rsidRPr="00483AB7">
          <w:rPr>
            <w:color w:val="0000FF"/>
            <w:u w:val="single"/>
            <w:rtl/>
          </w:rPr>
          <w:t>ת"פ (מחוזי ירושלים) 36771-11-15</w:t>
        </w:r>
      </w:hyperlink>
      <w:r w:rsidRPr="002A748C">
        <w:rPr>
          <w:rtl/>
        </w:rPr>
        <w:t xml:space="preserve"> </w:t>
      </w:r>
      <w:r w:rsidRPr="005704EC">
        <w:rPr>
          <w:b/>
          <w:bCs/>
          <w:rtl/>
        </w:rPr>
        <w:t>מדינת ישראל נ' פנש ואח'</w:t>
      </w:r>
      <w:r w:rsidRPr="002A748C">
        <w:rPr>
          <w:rtl/>
        </w:rPr>
        <w:t xml:space="preserve">, [פורסם במבו] (14.06.2016, טרם פורסם במאגרים המשפטיים). </w:t>
      </w:r>
    </w:p>
    <w:p w14:paraId="089C6EE7" w14:textId="77777777" w:rsidR="00BB3434" w:rsidRDefault="00BB3434" w:rsidP="00BB3434">
      <w:pPr>
        <w:pStyle w:val="aa"/>
        <w:numPr>
          <w:ilvl w:val="0"/>
          <w:numId w:val="1"/>
        </w:numPr>
        <w:spacing w:before="160" w:after="0"/>
        <w:ind w:left="-384" w:right="426" w:hanging="284"/>
      </w:pPr>
      <w:r w:rsidRPr="002A748C">
        <w:rPr>
          <w:rtl/>
        </w:rPr>
        <w:t xml:space="preserve">ברוח זו ראו והשוו את דעת המיעוט שהובעה על ידי שופט בית המשפט המחוזי (כתוארו אז) כב' השו' ע' גרוסקופף </w:t>
      </w:r>
      <w:r w:rsidRPr="005704EC">
        <w:rPr>
          <w:u w:val="single"/>
          <w:rtl/>
        </w:rPr>
        <w:t>ב</w:t>
      </w:r>
      <w:hyperlink r:id="rId90" w:history="1">
        <w:r w:rsidR="00483AB7" w:rsidRPr="00483AB7">
          <w:rPr>
            <w:color w:val="0000FF"/>
            <w:u w:val="single"/>
            <w:rtl/>
          </w:rPr>
          <w:t>עפ"ג (מחוזי מרכז) 44406-12-11</w:t>
        </w:r>
      </w:hyperlink>
      <w:r w:rsidRPr="002A748C">
        <w:rPr>
          <w:rtl/>
        </w:rPr>
        <w:t xml:space="preserve"> </w:t>
      </w:r>
      <w:r w:rsidRPr="005704EC">
        <w:rPr>
          <w:b/>
          <w:bCs/>
          <w:rtl/>
        </w:rPr>
        <w:t>שואהנה נ' מדינת ישראל</w:t>
      </w:r>
      <w:r w:rsidRPr="002A748C">
        <w:rPr>
          <w:rtl/>
        </w:rPr>
        <w:t xml:space="preserve"> [פורסם בנבו] (16.02.2012), המטעים כי יש ליתן פרשנות מרחיבה לתנאי הראשון </w:t>
      </w:r>
      <w:r w:rsidRPr="005704EC">
        <w:rPr>
          <w:b/>
          <w:bCs/>
          <w:rtl/>
        </w:rPr>
        <w:t>בהלכת כתב</w:t>
      </w:r>
      <w:r w:rsidRPr="002A748C">
        <w:rPr>
          <w:rtl/>
        </w:rPr>
        <w:t xml:space="preserve"> בשעה שיוכח כי לנאשם תגרם פגיעה חמורה וברורה </w:t>
      </w:r>
      <w:r w:rsidRPr="005704EC">
        <w:rPr>
          <w:b/>
          <w:bCs/>
          <w:rtl/>
        </w:rPr>
        <w:t>מעצם הטלת הסטיגמה של הרשעה פלילית.</w:t>
      </w:r>
      <w:r w:rsidRPr="002A748C">
        <w:rPr>
          <w:rtl/>
        </w:rPr>
        <w:t xml:space="preserve"> עוד ובהמשך לכך לדידו, פרשנות דווקנית לתנאי זה עלול ליצור חוסר שוויון מובנה בין נאשמים, בהתלותו את האפשרות לפטור אדם נורמטיבי מהסטיגמה של הרשעה פלילית ביכולתו של הלה להוכיח פגיעה קונקרטית בתעסוקתו – פגיעה אותה ניתן להוכיח הלכה למעשה רק ביחס למספר מוגדר ומצומצם של עיסוקים והיוצר אבחנה בלתי מוצדקת בין העוסקים במקצועות טעוני רישוי (שיעלה בידם לשכנע כי הרשעה תפגע פגיעה קונקרטית בתעסוקתם) למי שעוסקים במקצועות שאינם טעוני רישוי (שיתקשו לעשות כן) - דבר שעלול להגביר את עשיית בתי המשפט בפיקציות מיותרות על מנת להתגבר על הפער בין הרטוריקה המשפטית לפרקטיקה השיפוטית. ברוח הדברים האמורים ראו והשוו, </w:t>
      </w:r>
      <w:r w:rsidRPr="005704EC">
        <w:rPr>
          <w:b/>
          <w:bCs/>
          <w:rtl/>
        </w:rPr>
        <w:t>"החלטה על ביטול הרשעה לאור תיקון 113 ל</w:t>
      </w:r>
      <w:hyperlink r:id="rId91" w:history="1">
        <w:r w:rsidR="00483AB7" w:rsidRPr="00483AB7">
          <w:rPr>
            <w:b/>
            <w:bCs/>
            <w:color w:val="0000FF"/>
            <w:u w:val="single"/>
            <w:rtl/>
          </w:rPr>
          <w:t>חוק העונשין</w:t>
        </w:r>
      </w:hyperlink>
      <w:r w:rsidRPr="005704EC">
        <w:rPr>
          <w:b/>
          <w:bCs/>
          <w:rtl/>
        </w:rPr>
        <w:t xml:space="preserve"> – משיח חסד לשיח של מידתיות", </w:t>
      </w:r>
      <w:r w:rsidRPr="002A748C">
        <w:rPr>
          <w:rtl/>
        </w:rPr>
        <w:t>ד"ר שי ווזנר ועו"ד משה קשלס ("הסנגור" גיליון 257, אוג' 2018, עמ' 4), וכן ראו,</w:t>
      </w:r>
      <w:r w:rsidRPr="005704EC">
        <w:rPr>
          <w:u w:val="single"/>
          <w:rtl/>
        </w:rPr>
        <w:t xml:space="preserve"> </w:t>
      </w:r>
      <w:hyperlink r:id="rId92" w:history="1">
        <w:r w:rsidR="00483AB7" w:rsidRPr="00483AB7">
          <w:rPr>
            <w:color w:val="0000FF"/>
            <w:u w:val="single"/>
            <w:rtl/>
          </w:rPr>
          <w:t>ע"פ 8173/18</w:t>
        </w:r>
      </w:hyperlink>
      <w:r w:rsidRPr="005704EC">
        <w:rPr>
          <w:u w:val="single"/>
          <w:rtl/>
        </w:rPr>
        <w:t xml:space="preserve"> </w:t>
      </w:r>
      <w:r w:rsidRPr="002A748C">
        <w:rPr>
          <w:rtl/>
        </w:rPr>
        <w:t xml:space="preserve">באיחוד דיון עם </w:t>
      </w:r>
      <w:hyperlink r:id="rId93" w:history="1">
        <w:r w:rsidR="00483AB7" w:rsidRPr="00483AB7">
          <w:rPr>
            <w:color w:val="0000FF"/>
            <w:u w:val="single"/>
            <w:rtl/>
          </w:rPr>
          <w:t>ע"פ 8242/18</w:t>
        </w:r>
      </w:hyperlink>
      <w:r w:rsidRPr="002A748C">
        <w:rPr>
          <w:rtl/>
        </w:rPr>
        <w:t xml:space="preserve"> </w:t>
      </w:r>
      <w:r w:rsidRPr="005704EC">
        <w:rPr>
          <w:b/>
          <w:bCs/>
          <w:rtl/>
        </w:rPr>
        <w:t>פלוני נ' מדינת ישראל</w:t>
      </w:r>
      <w:r w:rsidRPr="002A748C">
        <w:rPr>
          <w:rtl/>
        </w:rPr>
        <w:t xml:space="preserve"> [פורסם בנבו] (06.06.2019), שם, </w:t>
      </w:r>
      <w:r w:rsidRPr="005704EC">
        <w:rPr>
          <w:b/>
          <w:bCs/>
          <w:rtl/>
        </w:rPr>
        <w:t>בית המשפט העליון הורה על ביטול הרשעת הנאשמים בעבירת שוד בנסיבות מחמירות, על אף שלא הוכח קיומו של נזק קונקרטי וזאת לאור התסקירים החיוביים שהוגשו בעניינם של הנאשמים</w:t>
      </w:r>
      <w:r w:rsidRPr="002A748C">
        <w:rPr>
          <w:rtl/>
        </w:rPr>
        <w:t>).</w:t>
      </w:r>
    </w:p>
    <w:p w14:paraId="74573BF7" w14:textId="77777777" w:rsidR="00BB3434" w:rsidRDefault="00BB3434" w:rsidP="00BB3434">
      <w:pPr>
        <w:pStyle w:val="aa"/>
        <w:numPr>
          <w:ilvl w:val="0"/>
          <w:numId w:val="1"/>
        </w:numPr>
        <w:spacing w:before="160" w:after="0"/>
        <w:ind w:left="-384" w:right="426" w:hanging="284"/>
      </w:pPr>
      <w:r w:rsidRPr="002A748C">
        <w:rPr>
          <w:rtl/>
        </w:rPr>
        <w:t xml:space="preserve">יוצא אפוא, כי גילו הצעיר של הנאשם שלפניי והעובדה כי הלה טרם הספיק לטעת שורשים כדבעי בשוק העבודה והתעסוקה הוא שמונע הימנו להצביע על פגיעה קונקרטית שיכול ותגרם לו ככל שהרשעתו תיוותר על כנה. הנה כי כן, קבלת עמדת המאשימה בעניין זה תביא לפגיעה שאינה מידתית בנאשם, ועם זאת לא ניתן להסכין. </w:t>
      </w:r>
    </w:p>
    <w:p w14:paraId="51A46316" w14:textId="77777777" w:rsidR="00BB3434" w:rsidRDefault="00BB3434" w:rsidP="00BB3434">
      <w:pPr>
        <w:pStyle w:val="aa"/>
        <w:numPr>
          <w:ilvl w:val="0"/>
          <w:numId w:val="1"/>
        </w:numPr>
        <w:spacing w:before="160" w:after="0"/>
        <w:ind w:left="-384" w:right="426" w:hanging="284"/>
      </w:pPr>
      <w:r w:rsidRPr="002A748C">
        <w:rPr>
          <w:rtl/>
        </w:rPr>
        <w:t xml:space="preserve">בהמשך לאלו ובמסגרת מכלול השיקולים, הבאתי בחשבון את </w:t>
      </w:r>
      <w:r w:rsidRPr="005704EC">
        <w:rPr>
          <w:b/>
          <w:bCs/>
          <w:rtl/>
        </w:rPr>
        <w:t xml:space="preserve">גילו הצעיר של הנאשם, </w:t>
      </w:r>
      <w:r w:rsidRPr="002A748C">
        <w:rPr>
          <w:rtl/>
        </w:rPr>
        <w:t xml:space="preserve">הן בעת ביצוע העבירות והן כיום. כזכור, הנאשם ביצע את העבירה מושא התיק המצורף עת היה בן 23 ואת המיוחס לו במסגרת התיק העיקרי בהיותו כבן 24. כיום הנאשם כבן 25 (יליד 1999)  ואין חולק שהוא משתייך לקבוצת </w:t>
      </w:r>
      <w:r w:rsidRPr="005704EC">
        <w:rPr>
          <w:b/>
          <w:bCs/>
          <w:rtl/>
        </w:rPr>
        <w:t>"הבגירים צעירים"</w:t>
      </w:r>
      <w:r w:rsidRPr="002A748C">
        <w:rPr>
          <w:rtl/>
        </w:rPr>
        <w:t xml:space="preserve"> (והדבר אף עולה בקנה אחד עם התרשמותי הנלמדת מהאמור בתסקירי שירות המבחן, לפיה ביצוע העבירות על ידו קשור לקשייו בהצבת גבולות ולתהליך גיבוש זהותו אשר טרם הסתיים).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(ראו והשוו, </w:t>
      </w:r>
      <w:hyperlink r:id="rId94" w:history="1">
        <w:r w:rsidR="00483AB7" w:rsidRPr="00483AB7">
          <w:rPr>
            <w:color w:val="0000FF"/>
            <w:u w:val="single"/>
            <w:rtl/>
          </w:rPr>
          <w:t>ע"פ 2669/00</w:t>
        </w:r>
      </w:hyperlink>
      <w:r w:rsidRPr="002A748C">
        <w:rPr>
          <w:rtl/>
        </w:rPr>
        <w:t xml:space="preserve"> </w:t>
      </w:r>
      <w:r w:rsidRPr="005704EC">
        <w:rPr>
          <w:b/>
          <w:bCs/>
          <w:rtl/>
        </w:rPr>
        <w:t>מדינת ישראל נ' פלוני</w:t>
      </w:r>
      <w:r w:rsidRPr="002A748C">
        <w:rPr>
          <w:rtl/>
        </w:rPr>
        <w:t xml:space="preserve">, נד(3) 685 (2000)). לכל אלה, אף מצאתי להוסיף כי כעולה מהאמור בתסקירי שירות המבחן הנאשם עבר ילדות קשה ומורכבת שבה הוריו התגרשו והוא ספג אלימות מילולית ופיזית מצד אמו לאורך השנים. שירות המבחן התרשם כי העבירות שבמוקד כתבי האישום התרחשו במהלך תקופה קשה שבה מצבו הרגשי-נפשי של הנאשם התערער תוך שצפו ועלו אצלו כל חוויות העבר המורכבות שבעקבותיהן הוא פנה לטיפול. עם זאת וחרף הקשיים האמורים, הנאשם לא הרים ידיים (כאמור זה מכבר) הוא השתלב בטיפול פרטי, שיתף פעולה עם שירות המבחן תוך שזכה למסגרת עוטפת מצד אביו. </w:t>
      </w:r>
    </w:p>
    <w:p w14:paraId="2A7A17E3" w14:textId="77777777" w:rsidR="00BB3434" w:rsidRDefault="00BB3434" w:rsidP="00BB3434">
      <w:pPr>
        <w:pStyle w:val="aa"/>
        <w:numPr>
          <w:ilvl w:val="0"/>
          <w:numId w:val="1"/>
        </w:numPr>
        <w:spacing w:before="160" w:after="0"/>
        <w:ind w:left="-384" w:right="426" w:hanging="284"/>
      </w:pPr>
      <w:r w:rsidRPr="005704EC">
        <w:rPr>
          <w:rtl/>
        </w:rPr>
        <w:t xml:space="preserve">לסיום, לא אוכל להתעלם מכך </w:t>
      </w:r>
      <w:r w:rsidRPr="005704EC">
        <w:rPr>
          <w:b/>
          <w:bCs/>
          <w:rtl/>
        </w:rPr>
        <w:t>שהעבירות שבמוקד כתבי האישום המתוקן בוצעו לפני למעלה משלוש שנים.</w:t>
      </w:r>
      <w:r w:rsidRPr="005704EC">
        <w:rPr>
          <w:rtl/>
        </w:rPr>
        <w:t xml:space="preserve"> אם כי, את מירב המשקל בנקודה זו יש להעניק לא לאותה ספירת זמן "טכנית" –אלא לכך שבפרק הזמן שחלף מאז, הנאשם התמסר להליך הטיפולי, שיתף פעולה באופן מלא עם שירות המבחן והמטפל הרגשי, וכמובן נמנע מלהסתבך עוד בפלילים. </w:t>
      </w:r>
    </w:p>
    <w:p w14:paraId="28F33197" w14:textId="77777777" w:rsidR="00BB3434" w:rsidRDefault="00BB3434" w:rsidP="00BB3434">
      <w:pPr>
        <w:pStyle w:val="aa"/>
        <w:numPr>
          <w:ilvl w:val="0"/>
          <w:numId w:val="1"/>
        </w:numPr>
        <w:spacing w:before="160" w:after="0"/>
        <w:ind w:left="-384" w:right="426" w:hanging="284"/>
      </w:pPr>
      <w:r w:rsidRPr="002A748C">
        <w:rPr>
          <w:rtl/>
        </w:rPr>
        <w:t xml:space="preserve">בהתאם לכל האמור לעיל, השתכנעתי כי בעניינו של הנאשם קיימת </w:t>
      </w:r>
      <w:r w:rsidRPr="005704EC">
        <w:rPr>
          <w:b/>
          <w:bCs/>
          <w:rtl/>
        </w:rPr>
        <w:t>הצטברות של נסיבות ייחודיות וחריגות</w:t>
      </w:r>
      <w:r w:rsidRPr="002A748C">
        <w:rPr>
          <w:rtl/>
        </w:rPr>
        <w:t xml:space="preserve">, אשר יהיה בהן כדי להטות את הכף לכיוון הימנעות מהרשעתו הגם שלא עלה בידו  להוכיח ברמת ההוכחה הנדרשת קיומה של פגיעה ממשית וקונקרטית שעלולה להיגרם, במקרה שההרשעה תיוותר על כנה. </w:t>
      </w:r>
    </w:p>
    <w:p w14:paraId="14C22455" w14:textId="77777777" w:rsidR="00BB3434" w:rsidRDefault="00BB3434" w:rsidP="00BB3434">
      <w:pPr>
        <w:pStyle w:val="aa"/>
        <w:numPr>
          <w:ilvl w:val="0"/>
          <w:numId w:val="1"/>
        </w:numPr>
        <w:spacing w:before="160" w:after="0"/>
        <w:ind w:left="-384" w:right="426" w:hanging="284"/>
      </w:pPr>
      <w:r w:rsidRPr="002A748C">
        <w:rPr>
          <w:rtl/>
        </w:rPr>
        <w:t xml:space="preserve">אכן, עריכת האיזון בין האינטרס הציבורי בהרתעה, הגנה על בטחון הציבור וההכרח להילחם ביד קשה בעבירות שאותן עבר הנאשם לבין האינטרס הציבורי והאישי בשיקומו של הנאשם איננה מלאכה קלה כלל ועיקר. עם זאת, בנסיבות הייחודיות של המקרה המונח לפתחי, לאור הליך השיקום המשמעותי אשר בעיצומו מצוי הנאשם, בהתחשב בעובדה כי עסקינן בנאשם צעיר הנמצא בתחילת דרכו המקצועית, אשר לוקח אחריות מלאה על מעשיו ומביע עליהם חרטה כנה ועמוקה, ולאור התסקירים ה"חיוביים" ביותר אשר הוגשו בעניינו– אני סבורה כי יש מקום בזו הפעם לתת לנאשם הזדמנות אמתית לחזור למוטב ולערוך שינוי בחייו לעבר שיקומו, ולהסתפק בקביעה כי הלה ביצע את המיוחס לו בכתבי האישום ולהורות על ביטול הרשעתו – בכך יהיה כדי למנוע צמצום אפשרויותיו להשתלב בשוק העבודה והאקדמיה, וליתן לו כוח נוסף להמשיך בדרכו השיקומית. </w:t>
      </w:r>
    </w:p>
    <w:p w14:paraId="76F88660" w14:textId="77777777" w:rsidR="00BB3434" w:rsidRDefault="00BB3434" w:rsidP="00BB3434">
      <w:pPr>
        <w:pStyle w:val="aa"/>
        <w:numPr>
          <w:ilvl w:val="0"/>
          <w:numId w:val="1"/>
        </w:numPr>
        <w:spacing w:before="160" w:after="0"/>
        <w:ind w:left="-384" w:right="426" w:hanging="284"/>
      </w:pPr>
      <w:r w:rsidRPr="002A748C">
        <w:rPr>
          <w:rtl/>
        </w:rPr>
        <w:t>בהקשר זה יצוין כי נתתי דעתי להמלצת שירות המבחן לעניין ההימנעות מהרשעה,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3748053D" w14:textId="77777777" w:rsidR="00BB3434" w:rsidRPr="005704EC" w:rsidRDefault="00BB3434" w:rsidP="00BB3434">
      <w:pPr>
        <w:pStyle w:val="aa"/>
        <w:numPr>
          <w:ilvl w:val="0"/>
          <w:numId w:val="1"/>
        </w:numPr>
        <w:spacing w:before="160" w:after="0"/>
        <w:ind w:left="-384" w:right="426" w:hanging="284"/>
      </w:pPr>
      <w:r w:rsidRPr="005704EC">
        <w:rPr>
          <w:b/>
          <w:bCs/>
          <w:rtl/>
        </w:rPr>
        <w:t xml:space="preserve">לאור כל האמור לעיל אני מורה על ביטול ההרשעה וגוזרת על הנאשם את העונשים הבאים: </w:t>
      </w:r>
    </w:p>
    <w:p w14:paraId="60FDD272" w14:textId="77777777" w:rsidR="00BB3434" w:rsidRDefault="00BB3434" w:rsidP="00BB3434">
      <w:pPr>
        <w:pStyle w:val="aa"/>
        <w:numPr>
          <w:ilvl w:val="0"/>
          <w:numId w:val="3"/>
        </w:numPr>
        <w:spacing w:before="160"/>
        <w:ind w:left="360" w:right="426"/>
        <w:rPr>
          <w:rtl/>
        </w:rPr>
      </w:pPr>
      <w:r w:rsidRPr="005704EC">
        <w:rPr>
          <w:b/>
          <w:bCs/>
          <w:rtl/>
        </w:rPr>
        <w:t>צו של"צ בהיקף של 250 שעות.</w:t>
      </w:r>
    </w:p>
    <w:p w14:paraId="047F3EBA" w14:textId="77777777" w:rsidR="00BB3434" w:rsidRPr="005704EC" w:rsidRDefault="00BB3434" w:rsidP="00BB3434">
      <w:pPr>
        <w:pStyle w:val="aa"/>
        <w:spacing w:before="160"/>
        <w:ind w:left="360" w:right="426" w:firstLine="0"/>
        <w:rPr>
          <w:b/>
          <w:bCs/>
          <w:rtl/>
        </w:rPr>
      </w:pPr>
      <w:r w:rsidRPr="002A748C">
        <w:rPr>
          <w:rtl/>
        </w:rPr>
        <w:t xml:space="preserve">העבודות תבוצענה במסגרת מתנ"ס שפירא- בורטון באשקלון בתפקיד של עוזר אב בית וסיוע לצוות במקום. </w:t>
      </w:r>
    </w:p>
    <w:p w14:paraId="20961AD9" w14:textId="77777777" w:rsidR="00BB3434" w:rsidRDefault="00BB3434" w:rsidP="00BB3434">
      <w:pPr>
        <w:pStyle w:val="aa"/>
        <w:spacing w:before="160"/>
        <w:ind w:left="360" w:right="426" w:firstLine="0"/>
        <w:rPr>
          <w:rtl/>
        </w:rPr>
      </w:pPr>
      <w:r w:rsidRPr="002A748C">
        <w:rPr>
          <w:rtl/>
        </w:rPr>
        <w:t>הובהרה לנאשם חשיבות שיתוף הפעולה עם שירות המבחן בביצוע עבודות השל"צ ומשמעות היעדר שיתוף הפעולה.</w:t>
      </w:r>
    </w:p>
    <w:p w14:paraId="3990AFEE" w14:textId="77777777" w:rsidR="00BB3434" w:rsidRDefault="00BB3434" w:rsidP="00BB3434">
      <w:pPr>
        <w:pStyle w:val="aa"/>
        <w:spacing w:before="160"/>
        <w:ind w:left="360" w:right="426" w:firstLine="0"/>
        <w:rPr>
          <w:rtl/>
        </w:rPr>
      </w:pPr>
      <w:r>
        <w:rPr>
          <w:rFonts w:hint="cs"/>
          <w:rtl/>
        </w:rPr>
        <w:t xml:space="preserve">ניתן בזאת צו למסירת בדיקות שתן על פי </w:t>
      </w:r>
      <w:hyperlink r:id="rId95" w:history="1">
        <w:r w:rsidR="00DE0546" w:rsidRPr="00DE0546">
          <w:rPr>
            <w:rStyle w:val="Hyperlink"/>
            <w:rFonts w:hint="eastAsia"/>
            <w:rtl/>
          </w:rPr>
          <w:t>סעיף</w:t>
        </w:r>
        <w:r w:rsidR="00DE0546" w:rsidRPr="00DE0546">
          <w:rPr>
            <w:rStyle w:val="Hyperlink"/>
            <w:rtl/>
          </w:rPr>
          <w:t xml:space="preserve"> 71א(ד)</w:t>
        </w:r>
      </w:hyperlink>
      <w:r>
        <w:rPr>
          <w:rFonts w:hint="cs"/>
          <w:rtl/>
        </w:rPr>
        <w:t xml:space="preserve"> סימן ד/1 ל</w:t>
      </w:r>
      <w:hyperlink r:id="rId96" w:history="1">
        <w:r w:rsidR="00483AB7" w:rsidRPr="00483AB7">
          <w:rPr>
            <w:color w:val="0000FF"/>
            <w:u w:val="single"/>
            <w:rtl/>
          </w:rPr>
          <w:t>חוק העונשין</w:t>
        </w:r>
      </w:hyperlink>
      <w:r>
        <w:rPr>
          <w:rFonts w:hint="cs"/>
          <w:rtl/>
        </w:rPr>
        <w:t xml:space="preserve">, שירות לתועלת הציבור. </w:t>
      </w:r>
    </w:p>
    <w:p w14:paraId="7EBA00AB" w14:textId="77777777" w:rsidR="00BB3434" w:rsidRPr="005704EC" w:rsidRDefault="00BB3434" w:rsidP="00BB3434">
      <w:pPr>
        <w:pStyle w:val="aa"/>
        <w:spacing w:before="160"/>
        <w:ind w:left="360" w:right="426" w:firstLine="0"/>
        <w:rPr>
          <w:b/>
          <w:bCs/>
          <w:rtl/>
        </w:rPr>
      </w:pPr>
      <w:r w:rsidRPr="002A748C">
        <w:rPr>
          <w:rtl/>
        </w:rPr>
        <w:t>העתק מגזר הדין בדחיפות לשירות המבחן.</w:t>
      </w:r>
    </w:p>
    <w:p w14:paraId="40B89DB4" w14:textId="77777777" w:rsidR="00BB3434" w:rsidRPr="005704EC" w:rsidRDefault="00BB3434" w:rsidP="00BB3434">
      <w:pPr>
        <w:pStyle w:val="aa"/>
        <w:numPr>
          <w:ilvl w:val="0"/>
          <w:numId w:val="3"/>
        </w:numPr>
        <w:spacing w:before="160"/>
        <w:ind w:left="360" w:right="426"/>
        <w:rPr>
          <w:b/>
          <w:bCs/>
          <w:u w:val="single"/>
          <w:rtl/>
        </w:rPr>
      </w:pPr>
      <w:r w:rsidRPr="005704EC">
        <w:rPr>
          <w:b/>
          <w:bCs/>
          <w:rtl/>
        </w:rPr>
        <w:t xml:space="preserve">הנאשם יצהיר על התחייבות כספית על סך 7,500 ₪ שלא לעבור עבירה מן העבירות שבהן הודה וזאת לתקופה של שנה מהיום. </w:t>
      </w:r>
    </w:p>
    <w:p w14:paraId="0586C65B" w14:textId="77777777" w:rsidR="00BB3434" w:rsidRDefault="00BB3434" w:rsidP="00BB3434">
      <w:pPr>
        <w:pStyle w:val="aa"/>
        <w:spacing w:before="160" w:after="0"/>
        <w:ind w:left="0" w:right="426" w:firstLine="0"/>
        <w:rPr>
          <w:b/>
          <w:bCs/>
          <w:rtl/>
        </w:rPr>
      </w:pPr>
    </w:p>
    <w:p w14:paraId="1E743ADF" w14:textId="77777777" w:rsidR="00BB3434" w:rsidRDefault="00BB3434" w:rsidP="00BB3434">
      <w:pPr>
        <w:pStyle w:val="aa"/>
        <w:numPr>
          <w:ilvl w:val="0"/>
          <w:numId w:val="1"/>
        </w:numPr>
        <w:spacing w:before="160" w:after="0"/>
        <w:ind w:left="-384" w:right="426" w:hanging="284"/>
      </w:pPr>
      <w:r w:rsidRPr="005704EC">
        <w:rPr>
          <w:rtl/>
        </w:rPr>
        <w:t>ניתן בזאת צו להשמדת המוצגים</w:t>
      </w:r>
      <w:r>
        <w:rPr>
          <w:rFonts w:hint="cs"/>
          <w:rtl/>
        </w:rPr>
        <w:t xml:space="preserve"> </w:t>
      </w:r>
      <w:r>
        <w:rPr>
          <w:rtl/>
        </w:rPr>
        <w:t>–</w:t>
      </w:r>
      <w:r>
        <w:rPr>
          <w:rFonts w:hint="cs"/>
          <w:rtl/>
        </w:rPr>
        <w:t xml:space="preserve"> אלה, גז מדמיע, סמים וסכין, </w:t>
      </w:r>
      <w:r w:rsidRPr="005704EC">
        <w:rPr>
          <w:rtl/>
        </w:rPr>
        <w:t xml:space="preserve">בכפוף לחלוף תקופת הערעור. </w:t>
      </w:r>
    </w:p>
    <w:p w14:paraId="6C033E1F" w14:textId="77777777" w:rsidR="00BB3434" w:rsidRDefault="00BB3434" w:rsidP="00BB3434">
      <w:pPr>
        <w:pStyle w:val="aa"/>
        <w:numPr>
          <w:ilvl w:val="0"/>
          <w:numId w:val="1"/>
        </w:numPr>
        <w:spacing w:before="160" w:after="0"/>
        <w:ind w:left="-384" w:right="426" w:hanging="284"/>
      </w:pPr>
      <w:r>
        <w:rPr>
          <w:rFonts w:hint="cs"/>
          <w:rtl/>
        </w:rPr>
        <w:t xml:space="preserve">ניתן בזאת צו להשבת המוצג </w:t>
      </w:r>
      <w:r>
        <w:rPr>
          <w:rtl/>
        </w:rPr>
        <w:t>–</w:t>
      </w:r>
      <w:r>
        <w:rPr>
          <w:rFonts w:hint="cs"/>
          <w:rtl/>
        </w:rPr>
        <w:t xml:space="preserve"> פלאפון </w:t>
      </w:r>
      <w:r>
        <w:rPr>
          <w:rtl/>
        </w:rPr>
        <w:t>–</w:t>
      </w:r>
      <w:r>
        <w:rPr>
          <w:rFonts w:hint="cs"/>
          <w:rtl/>
        </w:rPr>
        <w:t xml:space="preserve"> לבעלים. </w:t>
      </w:r>
    </w:p>
    <w:p w14:paraId="5373258B" w14:textId="77777777" w:rsidR="00BB3434" w:rsidRDefault="00BB3434" w:rsidP="00BB3434">
      <w:pPr>
        <w:pStyle w:val="aa"/>
        <w:spacing w:before="160" w:after="0"/>
        <w:ind w:left="-384" w:right="426" w:firstLine="0"/>
        <w:rPr>
          <w:b/>
          <w:bCs/>
          <w:rtl/>
        </w:rPr>
      </w:pPr>
    </w:p>
    <w:p w14:paraId="03743020" w14:textId="77777777" w:rsidR="00BB3434" w:rsidRPr="0024272C" w:rsidRDefault="00BB3434" w:rsidP="00BB3434">
      <w:pPr>
        <w:pStyle w:val="aa"/>
        <w:spacing w:before="160" w:after="0"/>
        <w:ind w:left="-384" w:right="426" w:firstLine="0"/>
        <w:rPr>
          <w:rtl/>
        </w:rPr>
      </w:pPr>
      <w:r w:rsidRPr="0024272C">
        <w:rPr>
          <w:b/>
          <w:bCs/>
          <w:rtl/>
        </w:rPr>
        <w:t>זכות ערעור כחוק</w:t>
      </w:r>
      <w:r w:rsidRPr="0024272C">
        <w:rPr>
          <w:rFonts w:hint="cs"/>
          <w:b/>
          <w:bCs/>
          <w:rtl/>
        </w:rPr>
        <w:t>.</w:t>
      </w:r>
      <w:r w:rsidRPr="0024272C">
        <w:rPr>
          <w:b/>
          <w:bCs/>
          <w:rtl/>
        </w:rPr>
        <w:t xml:space="preserve"> </w:t>
      </w:r>
    </w:p>
    <w:p w14:paraId="1B66DAF3" w14:textId="77777777" w:rsidR="00BB3434" w:rsidRDefault="00BB3434" w:rsidP="00BB3434">
      <w:pPr>
        <w:pStyle w:val="aa"/>
        <w:spacing w:before="160" w:after="0" w:line="240" w:lineRule="auto"/>
        <w:ind w:left="-384" w:right="426" w:firstLine="0"/>
        <w:rPr>
          <w:b/>
          <w:bCs/>
          <w:rtl/>
        </w:rPr>
      </w:pPr>
    </w:p>
    <w:p w14:paraId="53EA4CE8" w14:textId="77777777" w:rsidR="00BB3434" w:rsidRDefault="00BB3434" w:rsidP="00BB3434">
      <w:pPr>
        <w:pStyle w:val="aa"/>
        <w:spacing w:before="160" w:after="0"/>
        <w:ind w:left="-384" w:right="426" w:firstLine="0"/>
        <w:rPr>
          <w:rtl/>
        </w:rPr>
      </w:pPr>
      <w:r>
        <w:rPr>
          <w:rFonts w:hint="cs"/>
          <w:b/>
          <w:bCs/>
          <w:rtl/>
        </w:rPr>
        <w:t xml:space="preserve">ניתן והודע היום כ"ז כסלו תשפ"ד, </w:t>
      </w:r>
      <w:r>
        <w:rPr>
          <w:rFonts w:hint="cs"/>
          <w:b/>
          <w:bCs/>
        </w:rPr>
        <w:t>10/12/2023</w:t>
      </w:r>
      <w:r>
        <w:rPr>
          <w:rFonts w:hint="cs"/>
          <w:b/>
          <w:bCs/>
          <w:rtl/>
        </w:rPr>
        <w:t xml:space="preserve"> במעמד הנוכחים.</w:t>
      </w:r>
    </w:p>
    <w:p w14:paraId="5E9535B3" w14:textId="77777777" w:rsidR="00BB3434" w:rsidRDefault="00BB3434" w:rsidP="00BB3434">
      <w:pPr>
        <w:pStyle w:val="aa"/>
        <w:spacing w:before="160" w:after="0" w:line="240" w:lineRule="auto"/>
        <w:ind w:left="-384" w:right="426" w:firstLine="0"/>
        <w:rPr>
          <w:b/>
          <w:bCs/>
          <w:rtl/>
        </w:rPr>
      </w:pPr>
    </w:p>
    <w:p w14:paraId="1D39F091" w14:textId="77777777" w:rsidR="00BB3434" w:rsidRPr="002A748C" w:rsidRDefault="00BB3434" w:rsidP="00BB3434">
      <w:pPr>
        <w:jc w:val="both"/>
        <w:rPr>
          <w:rFonts w:ascii="David" w:hAnsi="David"/>
          <w:rtl/>
        </w:rPr>
      </w:pPr>
    </w:p>
    <w:p w14:paraId="52CEAAAA" w14:textId="77777777" w:rsidR="00BB3434" w:rsidRPr="002A748C" w:rsidRDefault="00C75BE7" w:rsidP="00BB3434">
      <w:pPr>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97" o:title=""/>
          </v:shape>
        </w:pict>
      </w:r>
    </w:p>
    <w:p w14:paraId="5D761A3E" w14:textId="77777777" w:rsidR="00BB3434" w:rsidRPr="002A748C" w:rsidRDefault="00BB3434" w:rsidP="00BB3434">
      <w:pPr>
        <w:ind w:left="3600" w:firstLine="720"/>
        <w:jc w:val="both"/>
        <w:rPr>
          <w:rFonts w:ascii="David" w:hAnsi="David"/>
          <w:rtl/>
        </w:rPr>
      </w:pPr>
    </w:p>
    <w:p w14:paraId="16D9983D" w14:textId="77777777" w:rsidR="00BB3434" w:rsidRPr="002A748C" w:rsidRDefault="00BB3434" w:rsidP="00BB3434">
      <w:pPr>
        <w:spacing w:line="360" w:lineRule="auto"/>
        <w:jc w:val="both"/>
        <w:rPr>
          <w:rFonts w:ascii="David" w:hAnsi="David"/>
          <w:rtl/>
        </w:rPr>
      </w:pPr>
    </w:p>
    <w:p w14:paraId="34B21C3A" w14:textId="77777777" w:rsidR="00BB3434" w:rsidRDefault="00BB3434" w:rsidP="00BB3434">
      <w:pPr>
        <w:spacing w:line="360" w:lineRule="auto"/>
        <w:jc w:val="both"/>
        <w:rPr>
          <w:rFonts w:ascii="David" w:hAnsi="David"/>
          <w:rtl/>
        </w:rPr>
      </w:pPr>
    </w:p>
    <w:p w14:paraId="2FF19C29" w14:textId="77777777" w:rsidR="00BB3434" w:rsidRDefault="00BB3434" w:rsidP="00BB3434">
      <w:pPr>
        <w:spacing w:line="360" w:lineRule="auto"/>
        <w:jc w:val="both"/>
        <w:rPr>
          <w:rFonts w:ascii="David" w:hAnsi="David"/>
          <w:rtl/>
        </w:rPr>
      </w:pPr>
    </w:p>
    <w:p w14:paraId="6300A87C" w14:textId="77777777" w:rsidR="00BB3434" w:rsidRPr="002A748C" w:rsidRDefault="00BB3434" w:rsidP="00BB3434">
      <w:pPr>
        <w:spacing w:line="360" w:lineRule="auto"/>
        <w:jc w:val="both"/>
        <w:rPr>
          <w:rFonts w:ascii="David" w:hAnsi="David"/>
          <w:rtl/>
        </w:rPr>
      </w:pPr>
    </w:p>
    <w:p w14:paraId="2B4C83DA" w14:textId="77777777" w:rsidR="00BB3434" w:rsidRDefault="00BB3434" w:rsidP="00BB3434">
      <w:pPr>
        <w:spacing w:before="160" w:line="360" w:lineRule="auto"/>
        <w:ind w:right="426"/>
        <w:rPr>
          <w:rtl/>
        </w:rPr>
      </w:pPr>
      <w:r w:rsidRPr="00733410">
        <w:rPr>
          <w:b/>
          <w:bCs/>
          <w:u w:val="single"/>
          <w:rtl/>
        </w:rPr>
        <w:t xml:space="preserve">הנאשם: </w:t>
      </w:r>
    </w:p>
    <w:p w14:paraId="316AFDC4" w14:textId="77777777" w:rsidR="00BB3434" w:rsidRPr="00733410" w:rsidRDefault="00BB3434" w:rsidP="00BB3434">
      <w:pPr>
        <w:spacing w:before="160" w:line="360" w:lineRule="auto"/>
        <w:ind w:right="426"/>
        <w:rPr>
          <w:b/>
          <w:bCs/>
          <w:rtl/>
        </w:rPr>
      </w:pPr>
      <w:r w:rsidRPr="002A748C">
        <w:rPr>
          <w:rtl/>
        </w:rPr>
        <w:t xml:space="preserve">כמפורט בגזר הדין, אני מתחייב להימנע במשך שנה מהיום מביצוע כל עבירה מן העבירות שבהן הודיתי. הובהר לי כי ככל שאבצע כל עבירה מן העבירות שבהן הודיתי במשך שנה מהיום, יושת עלי סך של 7,500 ₪ במזומן. </w:t>
      </w:r>
    </w:p>
    <w:p w14:paraId="70960B30" w14:textId="77777777" w:rsidR="00BB3434" w:rsidRPr="005704EC" w:rsidRDefault="00BB3434" w:rsidP="00BB3434">
      <w:pPr>
        <w:pStyle w:val="aa"/>
        <w:spacing w:before="160" w:after="0"/>
        <w:ind w:left="-384" w:right="426" w:firstLine="0"/>
        <w:jc w:val="center"/>
        <w:rPr>
          <w:b/>
          <w:bCs/>
          <w:sz w:val="28"/>
          <w:szCs w:val="28"/>
          <w:u w:val="single"/>
          <w:rtl/>
        </w:rPr>
      </w:pPr>
      <w:r w:rsidRPr="005704EC">
        <w:rPr>
          <w:rFonts w:hint="cs"/>
          <w:b/>
          <w:bCs/>
          <w:sz w:val="28"/>
          <w:szCs w:val="28"/>
          <w:u w:val="single"/>
          <w:rtl/>
        </w:rPr>
        <w:t>החלטה</w:t>
      </w:r>
    </w:p>
    <w:p w14:paraId="4738191D" w14:textId="77777777" w:rsidR="00BB3434" w:rsidRDefault="00BB3434" w:rsidP="00BB3434">
      <w:pPr>
        <w:spacing w:before="160" w:line="360" w:lineRule="auto"/>
        <w:ind w:right="426"/>
        <w:rPr>
          <w:rtl/>
        </w:rPr>
      </w:pPr>
      <w:r w:rsidRPr="005704EC">
        <w:rPr>
          <w:rtl/>
        </w:rPr>
        <w:t xml:space="preserve">נרשמה לפניי התחייבות הנאשם כמפורט בגזר הדין. </w:t>
      </w:r>
    </w:p>
    <w:p w14:paraId="4E283DEF" w14:textId="77777777" w:rsidR="00BB3434" w:rsidRPr="00C40C67" w:rsidRDefault="00BB3434" w:rsidP="00BB3434">
      <w:pPr>
        <w:spacing w:line="360" w:lineRule="auto"/>
        <w:rPr>
          <w:sz w:val="6"/>
          <w:szCs w:val="6"/>
          <w:rtl/>
        </w:rPr>
      </w:pPr>
      <w:r>
        <w:rPr>
          <w:rFonts w:hint="cs"/>
          <w:b/>
          <w:bCs/>
          <w:rtl/>
        </w:rPr>
        <w:t xml:space="preserve">ניתנה והודעה היום ו' טבת תשפ"ד, </w:t>
      </w:r>
      <w:r>
        <w:rPr>
          <w:rFonts w:hint="cs"/>
          <w:b/>
          <w:bCs/>
        </w:rPr>
        <w:t>18/12/2023</w:t>
      </w:r>
      <w:r>
        <w:rPr>
          <w:rFonts w:hint="cs"/>
          <w:b/>
          <w:bCs/>
          <w:rtl/>
        </w:rPr>
        <w:t xml:space="preserve"> במעמד הנוכחים.</w:t>
      </w:r>
      <w:r w:rsidRPr="00C40C67">
        <w:rPr>
          <w:rFonts w:hint="cs"/>
          <w:sz w:val="6"/>
          <w:szCs w:val="6"/>
          <w:rtl/>
        </w:rPr>
        <w:t>&lt;#3#&gt;</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BB3434" w14:paraId="4A1E5906" w14:textId="77777777" w:rsidTr="00BB3434">
        <w:trPr>
          <w:trHeight w:val="316"/>
        </w:trPr>
        <w:tc>
          <w:tcPr>
            <w:tcW w:w="3936" w:type="dxa"/>
            <w:tcBorders>
              <w:top w:val="nil"/>
              <w:left w:val="nil"/>
              <w:bottom w:val="single" w:sz="4" w:space="0" w:color="auto"/>
              <w:right w:val="nil"/>
            </w:tcBorders>
            <w:shd w:val="clear" w:color="auto" w:fill="auto"/>
          </w:tcPr>
          <w:p w14:paraId="78DCCFD7" w14:textId="77777777" w:rsidR="00BB3434" w:rsidRDefault="00C75BE7" w:rsidP="00BB3434">
            <w:pPr>
              <w:spacing w:line="360" w:lineRule="auto"/>
              <w:jc w:val="center"/>
            </w:pPr>
            <w:r>
              <w:rPr>
                <w:noProof/>
              </w:rPr>
              <w:pict w14:anchorId="2557D232">
                <v:shape id="תמונה 2" o:spid="_x0000_i1027" type="#_x0000_t75" style="width:101.25pt;height:48.75pt;visibility:visible">
                  <v:imagedata r:id="rId98" o:title=""/>
                </v:shape>
              </w:pict>
            </w:r>
          </w:p>
        </w:tc>
      </w:tr>
      <w:tr w:rsidR="00BB3434" w14:paraId="7CC71372" w14:textId="77777777" w:rsidTr="00BB3434">
        <w:trPr>
          <w:trHeight w:val="361"/>
        </w:trPr>
        <w:tc>
          <w:tcPr>
            <w:tcW w:w="3936" w:type="dxa"/>
            <w:tcBorders>
              <w:top w:val="single" w:sz="4" w:space="0" w:color="auto"/>
              <w:left w:val="nil"/>
              <w:bottom w:val="nil"/>
              <w:right w:val="nil"/>
            </w:tcBorders>
            <w:shd w:val="clear" w:color="auto" w:fill="auto"/>
          </w:tcPr>
          <w:p w14:paraId="094A2701" w14:textId="77777777" w:rsidR="00BB3434" w:rsidRPr="00BB3434" w:rsidRDefault="00BB3434" w:rsidP="00BB3434">
            <w:pPr>
              <w:spacing w:line="360" w:lineRule="auto"/>
              <w:jc w:val="center"/>
              <w:rPr>
                <w:b/>
                <w:bCs/>
                <w:rtl/>
              </w:rPr>
            </w:pPr>
            <w:r w:rsidRPr="00BB3434">
              <w:rPr>
                <w:rFonts w:hint="cs"/>
                <w:b/>
                <w:bCs/>
                <w:rtl/>
              </w:rPr>
              <w:t xml:space="preserve">נגה שמואלי </w:t>
            </w:r>
            <w:r w:rsidRPr="00BB3434">
              <w:rPr>
                <w:rFonts w:hint="cs"/>
                <w:b/>
                <w:bCs/>
                <w:vertAlign w:val="superscript"/>
                <w:rtl/>
              </w:rPr>
              <w:t>–</w:t>
            </w:r>
            <w:r w:rsidRPr="00BB3434">
              <w:rPr>
                <w:rFonts w:hint="cs"/>
                <w:b/>
                <w:bCs/>
                <w:rtl/>
              </w:rPr>
              <w:t xml:space="preserve"> מאייר, שופטת בכירה</w:t>
            </w:r>
          </w:p>
        </w:tc>
      </w:tr>
    </w:tbl>
    <w:p w14:paraId="7C42048E" w14:textId="77777777" w:rsidR="00BB3434" w:rsidRPr="00733410" w:rsidRDefault="00BB3434" w:rsidP="00BB3434">
      <w:pPr>
        <w:spacing w:line="360" w:lineRule="auto"/>
        <w:jc w:val="both"/>
        <w:rPr>
          <w:rFonts w:ascii="David" w:hAnsi="David"/>
          <w:b/>
          <w:bCs/>
          <w:sz w:val="22"/>
          <w:u w:val="single"/>
          <w:rtl/>
        </w:rPr>
      </w:pPr>
      <w:r w:rsidRPr="00733410">
        <w:rPr>
          <w:rFonts w:ascii="David" w:hAnsi="David" w:hint="eastAsia"/>
          <w:b/>
          <w:bCs/>
          <w:sz w:val="22"/>
          <w:u w:val="single"/>
          <w:rtl/>
        </w:rPr>
        <w:t>ב</w:t>
      </w:r>
      <w:r>
        <w:rPr>
          <w:rFonts w:ascii="David" w:hAnsi="David" w:hint="cs"/>
          <w:b/>
          <w:bCs/>
          <w:sz w:val="22"/>
          <w:u w:val="single"/>
          <w:rtl/>
        </w:rPr>
        <w:t>את כח</w:t>
      </w:r>
      <w:r w:rsidRPr="00733410">
        <w:rPr>
          <w:rFonts w:ascii="David" w:hAnsi="David"/>
          <w:b/>
          <w:bCs/>
          <w:sz w:val="22"/>
          <w:u w:val="single"/>
          <w:rtl/>
        </w:rPr>
        <w:t xml:space="preserve"> </w:t>
      </w:r>
      <w:r w:rsidRPr="00733410">
        <w:rPr>
          <w:rFonts w:ascii="David" w:hAnsi="David" w:hint="eastAsia"/>
          <w:b/>
          <w:bCs/>
          <w:sz w:val="22"/>
          <w:u w:val="single"/>
          <w:rtl/>
        </w:rPr>
        <w:t>המאשימה</w:t>
      </w:r>
      <w:r w:rsidRPr="00733410">
        <w:rPr>
          <w:rFonts w:ascii="David" w:hAnsi="David"/>
          <w:b/>
          <w:bCs/>
          <w:sz w:val="22"/>
          <w:u w:val="single"/>
          <w:rtl/>
        </w:rPr>
        <w:t>:</w:t>
      </w:r>
    </w:p>
    <w:p w14:paraId="0BB5BD71" w14:textId="77777777" w:rsidR="00BB3434" w:rsidRPr="00733410" w:rsidRDefault="00BB3434" w:rsidP="00BB3434">
      <w:pPr>
        <w:spacing w:line="360" w:lineRule="auto"/>
        <w:jc w:val="both"/>
        <w:rPr>
          <w:rFonts w:ascii="David" w:hAnsi="David"/>
          <w:sz w:val="22"/>
          <w:rtl/>
        </w:rPr>
      </w:pPr>
      <w:r w:rsidRPr="00733410">
        <w:rPr>
          <w:rFonts w:ascii="David" w:hAnsi="David" w:hint="eastAsia"/>
          <w:sz w:val="22"/>
          <w:rtl/>
        </w:rPr>
        <w:t>אבקש</w:t>
      </w:r>
      <w:r w:rsidRPr="00733410">
        <w:rPr>
          <w:rFonts w:ascii="David" w:hAnsi="David"/>
          <w:sz w:val="22"/>
          <w:rtl/>
        </w:rPr>
        <w:t xml:space="preserve"> </w:t>
      </w:r>
      <w:r w:rsidRPr="00733410">
        <w:rPr>
          <w:rFonts w:ascii="David" w:hAnsi="David" w:hint="eastAsia"/>
          <w:sz w:val="22"/>
          <w:rtl/>
        </w:rPr>
        <w:t>עיכוב</w:t>
      </w:r>
      <w:r w:rsidRPr="00733410">
        <w:rPr>
          <w:rFonts w:ascii="David" w:hAnsi="David"/>
          <w:sz w:val="22"/>
          <w:rtl/>
        </w:rPr>
        <w:t xml:space="preserve"> </w:t>
      </w:r>
      <w:r w:rsidRPr="00733410">
        <w:rPr>
          <w:rFonts w:ascii="David" w:hAnsi="David" w:hint="eastAsia"/>
          <w:sz w:val="22"/>
          <w:rtl/>
        </w:rPr>
        <w:t>ביצוע</w:t>
      </w:r>
      <w:r w:rsidRPr="00733410">
        <w:rPr>
          <w:rFonts w:ascii="David" w:hAnsi="David"/>
          <w:sz w:val="22"/>
          <w:rtl/>
        </w:rPr>
        <w:t xml:space="preserve"> </w:t>
      </w:r>
      <w:r w:rsidRPr="00733410">
        <w:rPr>
          <w:rFonts w:ascii="David" w:hAnsi="David" w:hint="cs"/>
          <w:sz w:val="22"/>
          <w:rtl/>
        </w:rPr>
        <w:t>על רכיב עבודות השל"צ בגזר הדין</w:t>
      </w:r>
      <w:r w:rsidRPr="00733410">
        <w:rPr>
          <w:rFonts w:ascii="David" w:hAnsi="David"/>
          <w:sz w:val="22"/>
          <w:rtl/>
        </w:rPr>
        <w:t xml:space="preserve"> </w:t>
      </w:r>
      <w:r w:rsidRPr="00733410">
        <w:rPr>
          <w:rFonts w:ascii="David" w:hAnsi="David" w:hint="eastAsia"/>
          <w:sz w:val="22"/>
          <w:rtl/>
        </w:rPr>
        <w:t>למשך</w:t>
      </w:r>
      <w:r w:rsidRPr="00733410">
        <w:rPr>
          <w:rFonts w:ascii="David" w:hAnsi="David"/>
          <w:sz w:val="22"/>
          <w:rtl/>
        </w:rPr>
        <w:t xml:space="preserve"> 45 </w:t>
      </w:r>
      <w:r w:rsidRPr="00733410">
        <w:rPr>
          <w:rFonts w:ascii="David" w:hAnsi="David" w:hint="eastAsia"/>
          <w:sz w:val="22"/>
          <w:rtl/>
        </w:rPr>
        <w:t>ימים</w:t>
      </w:r>
      <w:r w:rsidRPr="00733410">
        <w:rPr>
          <w:rFonts w:ascii="David" w:hAnsi="David"/>
          <w:sz w:val="22"/>
          <w:rtl/>
        </w:rPr>
        <w:t xml:space="preserve">, </w:t>
      </w:r>
      <w:r w:rsidRPr="00733410">
        <w:rPr>
          <w:rFonts w:ascii="David" w:hAnsi="David" w:hint="eastAsia"/>
          <w:sz w:val="22"/>
          <w:rtl/>
        </w:rPr>
        <w:t>לצורך</w:t>
      </w:r>
      <w:r w:rsidRPr="00733410">
        <w:rPr>
          <w:rFonts w:ascii="David" w:hAnsi="David"/>
          <w:sz w:val="22"/>
          <w:rtl/>
        </w:rPr>
        <w:t xml:space="preserve"> </w:t>
      </w:r>
      <w:r w:rsidRPr="00733410">
        <w:rPr>
          <w:rFonts w:ascii="David" w:hAnsi="David" w:hint="eastAsia"/>
          <w:sz w:val="22"/>
          <w:rtl/>
        </w:rPr>
        <w:t>שקילת</w:t>
      </w:r>
      <w:r w:rsidRPr="00733410">
        <w:rPr>
          <w:rFonts w:ascii="David" w:hAnsi="David"/>
          <w:sz w:val="22"/>
          <w:rtl/>
        </w:rPr>
        <w:t xml:space="preserve"> </w:t>
      </w:r>
      <w:r w:rsidRPr="00733410">
        <w:rPr>
          <w:rFonts w:ascii="David" w:hAnsi="David" w:hint="eastAsia"/>
          <w:sz w:val="22"/>
          <w:rtl/>
        </w:rPr>
        <w:t>הגשת</w:t>
      </w:r>
      <w:r w:rsidRPr="00733410">
        <w:rPr>
          <w:rFonts w:ascii="David" w:hAnsi="David"/>
          <w:sz w:val="22"/>
          <w:rtl/>
        </w:rPr>
        <w:t xml:space="preserve"> </w:t>
      </w:r>
      <w:r w:rsidRPr="00733410">
        <w:rPr>
          <w:rFonts w:ascii="David" w:hAnsi="David" w:hint="eastAsia"/>
          <w:sz w:val="22"/>
          <w:rtl/>
        </w:rPr>
        <w:t>ערעור</w:t>
      </w:r>
      <w:r w:rsidRPr="00733410">
        <w:rPr>
          <w:rFonts w:ascii="David" w:hAnsi="David"/>
          <w:sz w:val="22"/>
          <w:rtl/>
        </w:rPr>
        <w:t xml:space="preserve"> </w:t>
      </w:r>
      <w:r w:rsidRPr="00733410">
        <w:rPr>
          <w:rFonts w:ascii="David" w:hAnsi="David" w:hint="eastAsia"/>
          <w:sz w:val="22"/>
          <w:rtl/>
        </w:rPr>
        <w:t>לביהמ</w:t>
      </w:r>
      <w:r w:rsidRPr="00733410">
        <w:rPr>
          <w:rFonts w:ascii="David" w:hAnsi="David"/>
          <w:sz w:val="22"/>
          <w:rtl/>
        </w:rPr>
        <w:t>"</w:t>
      </w:r>
      <w:r w:rsidRPr="00733410">
        <w:rPr>
          <w:rFonts w:ascii="David" w:hAnsi="David" w:hint="eastAsia"/>
          <w:sz w:val="22"/>
          <w:rtl/>
        </w:rPr>
        <w:t>ש</w:t>
      </w:r>
      <w:r w:rsidRPr="00733410">
        <w:rPr>
          <w:rFonts w:ascii="David" w:hAnsi="David"/>
          <w:sz w:val="22"/>
          <w:rtl/>
        </w:rPr>
        <w:t xml:space="preserve"> </w:t>
      </w:r>
      <w:r w:rsidRPr="00733410">
        <w:rPr>
          <w:rFonts w:ascii="David" w:hAnsi="David" w:hint="eastAsia"/>
          <w:sz w:val="22"/>
          <w:rtl/>
        </w:rPr>
        <w:t>המחוזי</w:t>
      </w:r>
      <w:r w:rsidRPr="00733410">
        <w:rPr>
          <w:rFonts w:ascii="David" w:hAnsi="David"/>
          <w:sz w:val="22"/>
          <w:rtl/>
        </w:rPr>
        <w:t xml:space="preserve">. </w:t>
      </w:r>
      <w:r w:rsidRPr="00733410">
        <w:rPr>
          <w:rFonts w:ascii="David" w:hAnsi="David" w:hint="eastAsia"/>
          <w:sz w:val="22"/>
          <w:rtl/>
        </w:rPr>
        <w:t>ככל</w:t>
      </w:r>
      <w:r w:rsidRPr="00733410">
        <w:rPr>
          <w:rFonts w:ascii="David" w:hAnsi="David"/>
          <w:sz w:val="22"/>
          <w:rtl/>
        </w:rPr>
        <w:t xml:space="preserve"> </w:t>
      </w:r>
      <w:r w:rsidRPr="00733410">
        <w:rPr>
          <w:rFonts w:ascii="David" w:hAnsi="David" w:hint="eastAsia"/>
          <w:sz w:val="22"/>
          <w:rtl/>
        </w:rPr>
        <w:t>שתתקבל</w:t>
      </w:r>
      <w:r w:rsidRPr="00733410">
        <w:rPr>
          <w:rFonts w:ascii="David" w:hAnsi="David"/>
          <w:sz w:val="22"/>
          <w:rtl/>
        </w:rPr>
        <w:t xml:space="preserve"> </w:t>
      </w:r>
      <w:r w:rsidRPr="00733410">
        <w:rPr>
          <w:rFonts w:ascii="David" w:hAnsi="David" w:hint="eastAsia"/>
          <w:sz w:val="22"/>
          <w:rtl/>
        </w:rPr>
        <w:t>החלטה</w:t>
      </w:r>
      <w:r w:rsidRPr="00733410">
        <w:rPr>
          <w:rFonts w:ascii="David" w:hAnsi="David"/>
          <w:sz w:val="22"/>
          <w:rtl/>
        </w:rPr>
        <w:t xml:space="preserve"> </w:t>
      </w:r>
      <w:r w:rsidRPr="00733410">
        <w:rPr>
          <w:rFonts w:ascii="David" w:hAnsi="David" w:hint="eastAsia"/>
          <w:sz w:val="22"/>
          <w:rtl/>
        </w:rPr>
        <w:t>כי</w:t>
      </w:r>
      <w:r w:rsidRPr="00733410">
        <w:rPr>
          <w:rFonts w:ascii="David" w:hAnsi="David"/>
          <w:sz w:val="22"/>
          <w:rtl/>
        </w:rPr>
        <w:t xml:space="preserve"> </w:t>
      </w:r>
      <w:r w:rsidRPr="00733410">
        <w:rPr>
          <w:rFonts w:ascii="David" w:hAnsi="David" w:hint="eastAsia"/>
          <w:sz w:val="22"/>
          <w:rtl/>
        </w:rPr>
        <w:t>לא</w:t>
      </w:r>
      <w:r w:rsidRPr="00733410">
        <w:rPr>
          <w:rFonts w:ascii="David" w:hAnsi="David"/>
          <w:sz w:val="22"/>
          <w:rtl/>
        </w:rPr>
        <w:t xml:space="preserve"> </w:t>
      </w:r>
      <w:r w:rsidRPr="00733410">
        <w:rPr>
          <w:rFonts w:ascii="David" w:hAnsi="David" w:hint="eastAsia"/>
          <w:sz w:val="22"/>
          <w:rtl/>
        </w:rPr>
        <w:t>יוגש</w:t>
      </w:r>
      <w:r w:rsidRPr="00733410">
        <w:rPr>
          <w:rFonts w:ascii="David" w:hAnsi="David"/>
          <w:sz w:val="22"/>
          <w:rtl/>
        </w:rPr>
        <w:t xml:space="preserve"> </w:t>
      </w:r>
      <w:r w:rsidRPr="00733410">
        <w:rPr>
          <w:rFonts w:ascii="David" w:hAnsi="David" w:hint="eastAsia"/>
          <w:sz w:val="22"/>
          <w:rtl/>
        </w:rPr>
        <w:t>ערעור</w:t>
      </w:r>
      <w:r w:rsidRPr="00733410">
        <w:rPr>
          <w:rFonts w:ascii="David" w:hAnsi="David"/>
          <w:sz w:val="22"/>
          <w:rtl/>
        </w:rPr>
        <w:t xml:space="preserve">, </w:t>
      </w:r>
      <w:r w:rsidRPr="00733410">
        <w:rPr>
          <w:rFonts w:ascii="David" w:hAnsi="David" w:hint="eastAsia"/>
          <w:sz w:val="22"/>
          <w:rtl/>
        </w:rPr>
        <w:t>אודיע</w:t>
      </w:r>
      <w:r w:rsidRPr="00733410">
        <w:rPr>
          <w:rFonts w:ascii="David" w:hAnsi="David"/>
          <w:sz w:val="22"/>
          <w:rtl/>
        </w:rPr>
        <w:t xml:space="preserve"> </w:t>
      </w:r>
      <w:r w:rsidRPr="00733410">
        <w:rPr>
          <w:rFonts w:ascii="David" w:hAnsi="David" w:hint="eastAsia"/>
          <w:sz w:val="22"/>
          <w:rtl/>
        </w:rPr>
        <w:t>לביהמ</w:t>
      </w:r>
      <w:r w:rsidRPr="00733410">
        <w:rPr>
          <w:rFonts w:ascii="David" w:hAnsi="David"/>
          <w:sz w:val="22"/>
          <w:rtl/>
        </w:rPr>
        <w:t>"</w:t>
      </w:r>
      <w:r w:rsidRPr="00733410">
        <w:rPr>
          <w:rFonts w:ascii="David" w:hAnsi="David" w:hint="eastAsia"/>
          <w:sz w:val="22"/>
          <w:rtl/>
        </w:rPr>
        <w:t>ש</w:t>
      </w:r>
      <w:r w:rsidRPr="00733410">
        <w:rPr>
          <w:rFonts w:ascii="David" w:hAnsi="David"/>
          <w:sz w:val="22"/>
          <w:rtl/>
        </w:rPr>
        <w:t>.</w:t>
      </w:r>
    </w:p>
    <w:p w14:paraId="56314349" w14:textId="77777777" w:rsidR="00BB3434" w:rsidRPr="00733410" w:rsidRDefault="00BB3434" w:rsidP="00BB3434">
      <w:pPr>
        <w:spacing w:line="360" w:lineRule="auto"/>
        <w:jc w:val="both"/>
        <w:rPr>
          <w:rFonts w:ascii="David" w:hAnsi="David"/>
          <w:sz w:val="22"/>
          <w:rtl/>
        </w:rPr>
      </w:pPr>
    </w:p>
    <w:p w14:paraId="3AEF19F1" w14:textId="77777777" w:rsidR="00BB3434" w:rsidRPr="00733410" w:rsidRDefault="00BB3434" w:rsidP="00BB3434">
      <w:pPr>
        <w:spacing w:line="360" w:lineRule="auto"/>
        <w:jc w:val="both"/>
        <w:rPr>
          <w:rFonts w:ascii="David" w:hAnsi="David"/>
          <w:b/>
          <w:bCs/>
          <w:sz w:val="22"/>
          <w:u w:val="single"/>
          <w:rtl/>
        </w:rPr>
      </w:pPr>
      <w:r w:rsidRPr="00733410">
        <w:rPr>
          <w:rFonts w:ascii="David" w:hAnsi="David" w:hint="eastAsia"/>
          <w:b/>
          <w:bCs/>
          <w:sz w:val="22"/>
          <w:u w:val="single"/>
          <w:rtl/>
        </w:rPr>
        <w:t>ב</w:t>
      </w:r>
      <w:r w:rsidRPr="00733410">
        <w:rPr>
          <w:rFonts w:ascii="David" w:hAnsi="David" w:hint="cs"/>
          <w:b/>
          <w:bCs/>
          <w:sz w:val="22"/>
          <w:u w:val="single"/>
          <w:rtl/>
        </w:rPr>
        <w:t>את כח</w:t>
      </w:r>
      <w:r w:rsidRPr="00733410">
        <w:rPr>
          <w:rFonts w:ascii="David" w:hAnsi="David"/>
          <w:b/>
          <w:bCs/>
          <w:sz w:val="22"/>
          <w:u w:val="single"/>
          <w:rtl/>
        </w:rPr>
        <w:t xml:space="preserve"> </w:t>
      </w:r>
      <w:r w:rsidRPr="00733410">
        <w:rPr>
          <w:rFonts w:ascii="David" w:hAnsi="David" w:hint="eastAsia"/>
          <w:b/>
          <w:bCs/>
          <w:sz w:val="22"/>
          <w:u w:val="single"/>
          <w:rtl/>
        </w:rPr>
        <w:t>הנאשם</w:t>
      </w:r>
      <w:r w:rsidRPr="00733410">
        <w:rPr>
          <w:rFonts w:ascii="David" w:hAnsi="David"/>
          <w:b/>
          <w:bCs/>
          <w:sz w:val="22"/>
          <w:u w:val="single"/>
          <w:rtl/>
        </w:rPr>
        <w:t>:</w:t>
      </w:r>
    </w:p>
    <w:p w14:paraId="01C304E7" w14:textId="77777777" w:rsidR="00BB3434" w:rsidRPr="00733410" w:rsidRDefault="00BB3434" w:rsidP="00BB3434">
      <w:pPr>
        <w:suppressLineNumbers/>
        <w:spacing w:line="360" w:lineRule="auto"/>
        <w:jc w:val="both"/>
        <w:rPr>
          <w:rFonts w:ascii="David" w:hAnsi="David"/>
          <w:sz w:val="22"/>
          <w:rtl/>
        </w:rPr>
      </w:pPr>
      <w:r w:rsidRPr="00733410">
        <w:rPr>
          <w:rFonts w:ascii="David" w:hAnsi="David" w:hint="cs"/>
          <w:sz w:val="22"/>
          <w:rtl/>
        </w:rPr>
        <w:t xml:space="preserve">מדובר בתיקים ישנים נושנים. ביהמ"ש שנותן עיכוב ביצוע אומד את סיכויי הערעור. לא שמעתי נימוק אחד ואין הצדקה לעיכוב ביצוע. תיק זה עוכב לאחר שכתב האישום ניתן בשיהוי של למעלה משנה. הנאשם מתגורר בארה"ב והגיע לארץ רק בשל תיק זה. אבקש לאפשר לו לסיים את עבודות השל"צ ולהתפנות לחייו. </w:t>
      </w:r>
    </w:p>
    <w:p w14:paraId="319FB6EF" w14:textId="77777777" w:rsidR="00BB3434" w:rsidRPr="00D16DCD" w:rsidRDefault="00BB3434" w:rsidP="00BB3434">
      <w:pPr>
        <w:suppressLineNumbers/>
        <w:spacing w:line="360" w:lineRule="auto"/>
        <w:jc w:val="both"/>
        <w:rPr>
          <w:rFonts w:ascii="David" w:hAnsi="David"/>
          <w:b/>
          <w:bCs/>
          <w:sz w:val="6"/>
          <w:szCs w:val="6"/>
          <w:rtl/>
        </w:rPr>
      </w:pPr>
      <w:r w:rsidRPr="00D16DCD">
        <w:rPr>
          <w:rFonts w:ascii="David" w:hAnsi="David"/>
          <w:b/>
          <w:bCs/>
          <w:sz w:val="6"/>
          <w:szCs w:val="6"/>
          <w:rtl/>
        </w:rPr>
        <w:t>&lt;#7#&gt;</w:t>
      </w:r>
    </w:p>
    <w:p w14:paraId="5739BE53" w14:textId="77777777" w:rsidR="00BB3434" w:rsidRPr="00D16DCD" w:rsidRDefault="00BB3434" w:rsidP="00BB3434">
      <w:pPr>
        <w:spacing w:line="360" w:lineRule="auto"/>
        <w:jc w:val="center"/>
        <w:rPr>
          <w:rFonts w:ascii="Arial" w:hAnsi="Arial"/>
          <w:b/>
          <w:bCs/>
          <w:sz w:val="28"/>
          <w:szCs w:val="28"/>
          <w:u w:val="single"/>
          <w:rtl/>
        </w:rPr>
      </w:pPr>
      <w:r w:rsidRPr="00D16DCD">
        <w:rPr>
          <w:rFonts w:ascii="Arial" w:hAnsi="Arial"/>
          <w:b/>
          <w:bCs/>
          <w:sz w:val="28"/>
          <w:szCs w:val="28"/>
          <w:u w:val="single"/>
          <w:rtl/>
        </w:rPr>
        <w:t>החלטה</w:t>
      </w:r>
    </w:p>
    <w:p w14:paraId="5D475C47" w14:textId="77777777" w:rsidR="00BB3434" w:rsidRPr="00D16DCD" w:rsidRDefault="00BB3434" w:rsidP="00BB3434">
      <w:pPr>
        <w:suppressLineNumbers/>
        <w:spacing w:line="360" w:lineRule="auto"/>
        <w:jc w:val="both"/>
        <w:rPr>
          <w:rFonts w:ascii="David" w:hAnsi="David"/>
          <w:rtl/>
        </w:rPr>
      </w:pPr>
    </w:p>
    <w:p w14:paraId="15ABFFBD" w14:textId="77777777" w:rsidR="00BB3434" w:rsidRPr="00733410" w:rsidRDefault="00BB3434" w:rsidP="00BB3434">
      <w:pPr>
        <w:suppressLineNumbers/>
        <w:spacing w:line="360" w:lineRule="auto"/>
        <w:jc w:val="both"/>
        <w:rPr>
          <w:rFonts w:ascii="David" w:hAnsi="David"/>
          <w:sz w:val="22"/>
          <w:rtl/>
        </w:rPr>
      </w:pPr>
      <w:r w:rsidRPr="00733410">
        <w:rPr>
          <w:rFonts w:ascii="David" w:hAnsi="David" w:hint="eastAsia"/>
          <w:sz w:val="22"/>
          <w:rtl/>
        </w:rPr>
        <w:t>על</w:t>
      </w:r>
      <w:r w:rsidRPr="00733410">
        <w:rPr>
          <w:rFonts w:ascii="David" w:hAnsi="David"/>
          <w:sz w:val="22"/>
          <w:rtl/>
        </w:rPr>
        <w:t xml:space="preserve"> </w:t>
      </w:r>
      <w:r w:rsidRPr="00733410">
        <w:rPr>
          <w:rFonts w:ascii="David" w:hAnsi="David" w:hint="eastAsia"/>
          <w:sz w:val="22"/>
          <w:rtl/>
        </w:rPr>
        <w:t>מנת</w:t>
      </w:r>
      <w:r w:rsidRPr="00733410">
        <w:rPr>
          <w:rFonts w:ascii="David" w:hAnsi="David"/>
          <w:sz w:val="22"/>
          <w:rtl/>
        </w:rPr>
        <w:t xml:space="preserve"> </w:t>
      </w:r>
      <w:r w:rsidRPr="00733410">
        <w:rPr>
          <w:rFonts w:ascii="David" w:hAnsi="David" w:hint="eastAsia"/>
          <w:sz w:val="22"/>
          <w:rtl/>
        </w:rPr>
        <w:t>לאפשר</w:t>
      </w:r>
      <w:r w:rsidRPr="00733410">
        <w:rPr>
          <w:rFonts w:ascii="David" w:hAnsi="David"/>
          <w:sz w:val="22"/>
          <w:rtl/>
        </w:rPr>
        <w:t xml:space="preserve"> </w:t>
      </w:r>
      <w:r w:rsidRPr="00733410">
        <w:rPr>
          <w:rFonts w:ascii="David" w:hAnsi="David" w:hint="eastAsia"/>
          <w:sz w:val="22"/>
          <w:rtl/>
        </w:rPr>
        <w:t>למאשימה</w:t>
      </w:r>
      <w:r w:rsidRPr="00733410">
        <w:rPr>
          <w:rFonts w:ascii="David" w:hAnsi="David"/>
          <w:sz w:val="22"/>
          <w:rtl/>
        </w:rPr>
        <w:t xml:space="preserve"> </w:t>
      </w:r>
      <w:r>
        <w:rPr>
          <w:rFonts w:ascii="David" w:hAnsi="David" w:hint="cs"/>
          <w:sz w:val="22"/>
          <w:rtl/>
        </w:rPr>
        <w:t xml:space="preserve">לשקול </w:t>
      </w:r>
      <w:r w:rsidRPr="00733410">
        <w:rPr>
          <w:rFonts w:ascii="David" w:hAnsi="David" w:hint="eastAsia"/>
          <w:sz w:val="22"/>
          <w:rtl/>
        </w:rPr>
        <w:t>להגיש</w:t>
      </w:r>
      <w:r w:rsidRPr="00733410">
        <w:rPr>
          <w:rFonts w:ascii="David" w:hAnsi="David"/>
          <w:sz w:val="22"/>
          <w:rtl/>
        </w:rPr>
        <w:t xml:space="preserve"> </w:t>
      </w:r>
      <w:r w:rsidRPr="00733410">
        <w:rPr>
          <w:rFonts w:ascii="David" w:hAnsi="David" w:hint="eastAsia"/>
          <w:sz w:val="22"/>
          <w:rtl/>
        </w:rPr>
        <w:t>ערעור</w:t>
      </w:r>
      <w:r w:rsidRPr="00733410">
        <w:rPr>
          <w:rFonts w:ascii="David" w:hAnsi="David"/>
          <w:sz w:val="22"/>
          <w:rtl/>
        </w:rPr>
        <w:t xml:space="preserve"> </w:t>
      </w:r>
      <w:r w:rsidRPr="00733410">
        <w:rPr>
          <w:rFonts w:ascii="David" w:hAnsi="David" w:hint="eastAsia"/>
          <w:sz w:val="22"/>
          <w:rtl/>
        </w:rPr>
        <w:t>על</w:t>
      </w:r>
      <w:r w:rsidRPr="00733410">
        <w:rPr>
          <w:rFonts w:ascii="David" w:hAnsi="David" w:hint="cs"/>
          <w:sz w:val="22"/>
          <w:rtl/>
        </w:rPr>
        <w:t xml:space="preserve"> רכיב עבודות השל"צ ב</w:t>
      </w:r>
      <w:r w:rsidRPr="00733410">
        <w:rPr>
          <w:rFonts w:ascii="David" w:hAnsi="David" w:hint="eastAsia"/>
          <w:sz w:val="22"/>
          <w:rtl/>
        </w:rPr>
        <w:t>גזר</w:t>
      </w:r>
      <w:r w:rsidRPr="00733410">
        <w:rPr>
          <w:rFonts w:ascii="David" w:hAnsi="David"/>
          <w:sz w:val="22"/>
          <w:rtl/>
        </w:rPr>
        <w:t xml:space="preserve"> </w:t>
      </w:r>
      <w:r w:rsidRPr="00733410">
        <w:rPr>
          <w:rFonts w:ascii="David" w:hAnsi="David" w:hint="eastAsia"/>
          <w:sz w:val="22"/>
          <w:rtl/>
        </w:rPr>
        <w:t>הדין</w:t>
      </w:r>
      <w:r w:rsidRPr="00733410">
        <w:rPr>
          <w:rFonts w:ascii="David" w:hAnsi="David"/>
          <w:sz w:val="22"/>
          <w:rtl/>
        </w:rPr>
        <w:t xml:space="preserve">, </w:t>
      </w:r>
      <w:r w:rsidRPr="00733410">
        <w:rPr>
          <w:rFonts w:ascii="David" w:hAnsi="David" w:hint="eastAsia"/>
          <w:sz w:val="22"/>
          <w:rtl/>
        </w:rPr>
        <w:t>ועל</w:t>
      </w:r>
      <w:r w:rsidRPr="00733410">
        <w:rPr>
          <w:rFonts w:ascii="David" w:hAnsi="David"/>
          <w:sz w:val="22"/>
          <w:rtl/>
        </w:rPr>
        <w:t xml:space="preserve"> </w:t>
      </w:r>
      <w:r w:rsidRPr="00733410">
        <w:rPr>
          <w:rFonts w:ascii="David" w:hAnsi="David" w:hint="eastAsia"/>
          <w:sz w:val="22"/>
          <w:rtl/>
        </w:rPr>
        <w:t>מנת</w:t>
      </w:r>
      <w:r w:rsidRPr="00733410">
        <w:rPr>
          <w:rFonts w:ascii="David" w:hAnsi="David"/>
          <w:sz w:val="22"/>
          <w:rtl/>
        </w:rPr>
        <w:t xml:space="preserve"> </w:t>
      </w:r>
      <w:r w:rsidRPr="00733410">
        <w:rPr>
          <w:rFonts w:ascii="David" w:hAnsi="David" w:hint="eastAsia"/>
          <w:sz w:val="22"/>
          <w:rtl/>
        </w:rPr>
        <w:t>שלא</w:t>
      </w:r>
      <w:r w:rsidRPr="00733410">
        <w:rPr>
          <w:rFonts w:ascii="David" w:hAnsi="David"/>
          <w:sz w:val="22"/>
          <w:rtl/>
        </w:rPr>
        <w:t xml:space="preserve"> </w:t>
      </w:r>
      <w:r w:rsidRPr="00733410">
        <w:rPr>
          <w:rFonts w:ascii="David" w:hAnsi="David" w:hint="eastAsia"/>
          <w:sz w:val="22"/>
          <w:rtl/>
        </w:rPr>
        <w:t>להעמיד</w:t>
      </w:r>
      <w:r w:rsidRPr="00733410">
        <w:rPr>
          <w:rFonts w:ascii="David" w:hAnsi="David"/>
          <w:sz w:val="22"/>
          <w:rtl/>
        </w:rPr>
        <w:t xml:space="preserve"> </w:t>
      </w:r>
      <w:r w:rsidRPr="00733410">
        <w:rPr>
          <w:rFonts w:ascii="David" w:hAnsi="David" w:hint="eastAsia"/>
          <w:sz w:val="22"/>
          <w:rtl/>
        </w:rPr>
        <w:t>את</w:t>
      </w:r>
      <w:r w:rsidRPr="00733410">
        <w:rPr>
          <w:rFonts w:ascii="David" w:hAnsi="David"/>
          <w:sz w:val="22"/>
          <w:rtl/>
        </w:rPr>
        <w:t xml:space="preserve"> </w:t>
      </w:r>
      <w:r w:rsidRPr="00733410">
        <w:rPr>
          <w:rFonts w:ascii="David" w:hAnsi="David" w:hint="eastAsia"/>
          <w:sz w:val="22"/>
          <w:rtl/>
        </w:rPr>
        <w:t>ערכאת</w:t>
      </w:r>
      <w:r w:rsidRPr="00733410">
        <w:rPr>
          <w:rFonts w:ascii="David" w:hAnsi="David"/>
          <w:sz w:val="22"/>
          <w:rtl/>
        </w:rPr>
        <w:t xml:space="preserve"> </w:t>
      </w:r>
      <w:r w:rsidRPr="00733410">
        <w:rPr>
          <w:rFonts w:ascii="David" w:hAnsi="David" w:hint="eastAsia"/>
          <w:sz w:val="22"/>
          <w:rtl/>
        </w:rPr>
        <w:t>הערעור</w:t>
      </w:r>
      <w:r w:rsidRPr="00733410">
        <w:rPr>
          <w:rFonts w:ascii="David" w:hAnsi="David"/>
          <w:sz w:val="22"/>
          <w:rtl/>
        </w:rPr>
        <w:t xml:space="preserve"> </w:t>
      </w:r>
      <w:r w:rsidRPr="00733410">
        <w:rPr>
          <w:rFonts w:ascii="David" w:hAnsi="David" w:hint="eastAsia"/>
          <w:sz w:val="22"/>
          <w:rtl/>
        </w:rPr>
        <w:t>בפני</w:t>
      </w:r>
      <w:r w:rsidRPr="00733410">
        <w:rPr>
          <w:rFonts w:ascii="David" w:hAnsi="David"/>
          <w:sz w:val="22"/>
          <w:rtl/>
        </w:rPr>
        <w:t xml:space="preserve"> </w:t>
      </w:r>
      <w:r w:rsidRPr="00733410">
        <w:rPr>
          <w:rFonts w:ascii="David" w:hAnsi="David" w:hint="eastAsia"/>
          <w:sz w:val="22"/>
          <w:rtl/>
        </w:rPr>
        <w:t>עובדה</w:t>
      </w:r>
      <w:r w:rsidRPr="00733410">
        <w:rPr>
          <w:rFonts w:ascii="David" w:hAnsi="David"/>
          <w:sz w:val="22"/>
          <w:rtl/>
        </w:rPr>
        <w:t xml:space="preserve"> </w:t>
      </w:r>
      <w:r w:rsidRPr="00733410">
        <w:rPr>
          <w:rFonts w:ascii="David" w:hAnsi="David" w:hint="eastAsia"/>
          <w:sz w:val="22"/>
          <w:rtl/>
        </w:rPr>
        <w:t>מוגמרת</w:t>
      </w:r>
      <w:r w:rsidRPr="00733410">
        <w:rPr>
          <w:rFonts w:ascii="David" w:hAnsi="David"/>
          <w:sz w:val="22"/>
          <w:rtl/>
        </w:rPr>
        <w:t xml:space="preserve">, </w:t>
      </w:r>
      <w:r w:rsidRPr="00733410">
        <w:rPr>
          <w:rFonts w:ascii="David" w:hAnsi="David" w:hint="eastAsia"/>
          <w:sz w:val="22"/>
          <w:rtl/>
        </w:rPr>
        <w:t>הנני</w:t>
      </w:r>
      <w:r w:rsidRPr="00733410">
        <w:rPr>
          <w:rFonts w:ascii="David" w:hAnsi="David"/>
          <w:sz w:val="22"/>
          <w:rtl/>
        </w:rPr>
        <w:t xml:space="preserve"> </w:t>
      </w:r>
      <w:r w:rsidRPr="00733410">
        <w:rPr>
          <w:rFonts w:ascii="David" w:hAnsi="David" w:hint="eastAsia"/>
          <w:sz w:val="22"/>
          <w:rtl/>
        </w:rPr>
        <w:t>מורה</w:t>
      </w:r>
      <w:r w:rsidRPr="00733410">
        <w:rPr>
          <w:rFonts w:ascii="David" w:hAnsi="David"/>
          <w:sz w:val="22"/>
          <w:rtl/>
        </w:rPr>
        <w:t xml:space="preserve"> </w:t>
      </w:r>
      <w:r w:rsidRPr="00733410">
        <w:rPr>
          <w:rFonts w:ascii="David" w:hAnsi="David" w:hint="eastAsia"/>
          <w:sz w:val="22"/>
          <w:rtl/>
        </w:rPr>
        <w:t>על</w:t>
      </w:r>
      <w:r w:rsidRPr="00733410">
        <w:rPr>
          <w:rFonts w:ascii="David" w:hAnsi="David"/>
          <w:sz w:val="22"/>
          <w:rtl/>
        </w:rPr>
        <w:t xml:space="preserve"> </w:t>
      </w:r>
      <w:r w:rsidRPr="00733410">
        <w:rPr>
          <w:rFonts w:ascii="David" w:hAnsi="David" w:hint="eastAsia"/>
          <w:sz w:val="22"/>
          <w:rtl/>
        </w:rPr>
        <w:t>עיכוב</w:t>
      </w:r>
      <w:r w:rsidRPr="00733410">
        <w:rPr>
          <w:rFonts w:ascii="David" w:hAnsi="David"/>
          <w:sz w:val="22"/>
          <w:rtl/>
        </w:rPr>
        <w:t xml:space="preserve"> </w:t>
      </w:r>
      <w:r w:rsidRPr="00733410">
        <w:rPr>
          <w:rFonts w:ascii="David" w:hAnsi="David" w:hint="eastAsia"/>
          <w:sz w:val="22"/>
          <w:rtl/>
        </w:rPr>
        <w:t>ביצוע</w:t>
      </w:r>
      <w:r w:rsidRPr="00733410">
        <w:rPr>
          <w:rFonts w:ascii="David" w:hAnsi="David"/>
          <w:sz w:val="22"/>
          <w:rtl/>
        </w:rPr>
        <w:t xml:space="preserve"> </w:t>
      </w:r>
      <w:r w:rsidRPr="00733410">
        <w:rPr>
          <w:rFonts w:ascii="David" w:hAnsi="David" w:hint="cs"/>
          <w:sz w:val="22"/>
          <w:rtl/>
        </w:rPr>
        <w:t>רכיב</w:t>
      </w:r>
      <w:r w:rsidRPr="00733410">
        <w:rPr>
          <w:rFonts w:ascii="David" w:hAnsi="David"/>
          <w:sz w:val="22"/>
          <w:rtl/>
        </w:rPr>
        <w:t xml:space="preserve"> </w:t>
      </w:r>
      <w:r w:rsidRPr="00733410">
        <w:rPr>
          <w:rFonts w:ascii="David" w:hAnsi="David" w:hint="eastAsia"/>
          <w:sz w:val="22"/>
          <w:rtl/>
        </w:rPr>
        <w:t>עבודות</w:t>
      </w:r>
      <w:r w:rsidRPr="00733410">
        <w:rPr>
          <w:rFonts w:ascii="David" w:hAnsi="David"/>
          <w:sz w:val="22"/>
          <w:rtl/>
        </w:rPr>
        <w:t xml:space="preserve"> </w:t>
      </w:r>
      <w:r w:rsidRPr="00733410">
        <w:rPr>
          <w:rFonts w:ascii="David" w:hAnsi="David" w:hint="eastAsia"/>
          <w:sz w:val="22"/>
          <w:rtl/>
        </w:rPr>
        <w:t>ה</w:t>
      </w:r>
      <w:r>
        <w:rPr>
          <w:rFonts w:ascii="David" w:hAnsi="David" w:hint="cs"/>
          <w:sz w:val="22"/>
          <w:rtl/>
        </w:rPr>
        <w:t>של"צ</w:t>
      </w:r>
      <w:r w:rsidRPr="00733410">
        <w:rPr>
          <w:rFonts w:ascii="David" w:hAnsi="David"/>
          <w:sz w:val="22"/>
          <w:rtl/>
        </w:rPr>
        <w:t xml:space="preserve"> </w:t>
      </w:r>
      <w:r w:rsidRPr="00733410">
        <w:rPr>
          <w:rFonts w:ascii="David" w:hAnsi="David" w:hint="eastAsia"/>
          <w:sz w:val="22"/>
          <w:rtl/>
        </w:rPr>
        <w:t>למשך</w:t>
      </w:r>
      <w:r w:rsidRPr="00733410">
        <w:rPr>
          <w:rFonts w:ascii="David" w:hAnsi="David"/>
          <w:sz w:val="22"/>
          <w:rtl/>
        </w:rPr>
        <w:t xml:space="preserve"> 45 </w:t>
      </w:r>
      <w:r w:rsidRPr="00733410">
        <w:rPr>
          <w:rFonts w:ascii="David" w:hAnsi="David" w:hint="eastAsia"/>
          <w:sz w:val="22"/>
          <w:rtl/>
        </w:rPr>
        <w:t>יום</w:t>
      </w:r>
      <w:r w:rsidRPr="00733410">
        <w:rPr>
          <w:rFonts w:ascii="David" w:hAnsi="David"/>
          <w:sz w:val="22"/>
          <w:rtl/>
        </w:rPr>
        <w:t xml:space="preserve">. </w:t>
      </w:r>
    </w:p>
    <w:p w14:paraId="027EB760" w14:textId="77777777" w:rsidR="00BB3434" w:rsidRDefault="00BB3434" w:rsidP="00BB3434">
      <w:pPr>
        <w:suppressLineNumbers/>
        <w:spacing w:line="360" w:lineRule="auto"/>
        <w:jc w:val="both"/>
        <w:rPr>
          <w:rFonts w:ascii="David" w:hAnsi="David"/>
          <w:sz w:val="22"/>
          <w:rtl/>
        </w:rPr>
      </w:pPr>
    </w:p>
    <w:p w14:paraId="524D9CD0" w14:textId="77777777" w:rsidR="00BB3434" w:rsidRDefault="00BB3434" w:rsidP="00BB3434">
      <w:pPr>
        <w:suppressLineNumbers/>
        <w:spacing w:line="360" w:lineRule="auto"/>
        <w:jc w:val="both"/>
        <w:rPr>
          <w:rFonts w:ascii="David" w:hAnsi="David"/>
          <w:sz w:val="22"/>
          <w:rtl/>
        </w:rPr>
      </w:pPr>
    </w:p>
    <w:p w14:paraId="0685C796" w14:textId="77777777" w:rsidR="00BB3434" w:rsidRDefault="00BB3434" w:rsidP="00BB3434">
      <w:pPr>
        <w:suppressLineNumbers/>
        <w:spacing w:line="360" w:lineRule="auto"/>
        <w:jc w:val="both"/>
        <w:rPr>
          <w:rFonts w:ascii="David" w:hAnsi="David"/>
          <w:sz w:val="22"/>
          <w:rtl/>
        </w:rPr>
      </w:pPr>
    </w:p>
    <w:p w14:paraId="55467ED0" w14:textId="77777777" w:rsidR="00BB3434" w:rsidRDefault="00BB3434" w:rsidP="00BB3434">
      <w:pPr>
        <w:suppressLineNumbers/>
        <w:spacing w:line="360" w:lineRule="auto"/>
        <w:jc w:val="both"/>
        <w:rPr>
          <w:b/>
          <w:bCs/>
          <w:rtl/>
        </w:rPr>
      </w:pPr>
      <w:r>
        <w:rPr>
          <w:rFonts w:ascii="David" w:hAnsi="David" w:hint="cs"/>
          <w:sz w:val="22"/>
          <w:rtl/>
        </w:rPr>
        <w:t xml:space="preserve">המאשימה תודיע עד ליום 25.12.23 בשעה 12:30 האם בכוונתה להגיש ערעור על רכיב השל"צב גזר הדין. </w:t>
      </w:r>
    </w:p>
    <w:p w14:paraId="0C7BC9AF" w14:textId="77777777" w:rsidR="00BB3434" w:rsidRDefault="00483AB7" w:rsidP="00BB3434">
      <w:pPr>
        <w:spacing w:line="360" w:lineRule="auto"/>
        <w:ind w:left="5040"/>
        <w:jc w:val="center"/>
        <w:rPr>
          <w:rtl/>
        </w:rPr>
      </w:pPr>
      <w:bookmarkStart w:id="8" w:name="Nitan"/>
      <w:r w:rsidRPr="00483AB7">
        <w:rPr>
          <w:b/>
          <w:bCs/>
          <w:color w:val="FFFFFF"/>
          <w:sz w:val="2"/>
          <w:szCs w:val="2"/>
          <w:rtl/>
        </w:rPr>
        <w:t>5129371</w:t>
      </w:r>
      <w:r>
        <w:rPr>
          <w:b/>
          <w:bCs/>
          <w:rtl/>
        </w:rPr>
        <w:t xml:space="preserve">ניתנה והודעה היום כ"ז כסלו תשפ"ד, 10/12/2023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BB3434" w14:paraId="64B7C842" w14:textId="77777777" w:rsidTr="00BB3434">
        <w:trPr>
          <w:trHeight w:val="316"/>
        </w:trPr>
        <w:tc>
          <w:tcPr>
            <w:tcW w:w="3936" w:type="dxa"/>
            <w:tcBorders>
              <w:top w:val="nil"/>
              <w:left w:val="nil"/>
              <w:bottom w:val="single" w:sz="4" w:space="0" w:color="auto"/>
              <w:right w:val="nil"/>
            </w:tcBorders>
            <w:shd w:val="clear" w:color="auto" w:fill="auto"/>
          </w:tcPr>
          <w:p w14:paraId="03F4E311" w14:textId="77777777" w:rsidR="00BB3434" w:rsidRPr="00483AB7" w:rsidRDefault="00483AB7" w:rsidP="00BB3434">
            <w:pPr>
              <w:spacing w:line="360" w:lineRule="auto"/>
              <w:jc w:val="center"/>
              <w:rPr>
                <w:color w:val="FFFFFF"/>
                <w:sz w:val="2"/>
                <w:szCs w:val="2"/>
              </w:rPr>
            </w:pPr>
            <w:r w:rsidRPr="00483AB7">
              <w:rPr>
                <w:color w:val="FFFFFF"/>
                <w:sz w:val="2"/>
                <w:szCs w:val="2"/>
                <w:rtl/>
              </w:rPr>
              <w:t>54678313</w:t>
            </w:r>
          </w:p>
        </w:tc>
      </w:tr>
      <w:tr w:rsidR="00BB3434" w14:paraId="5028754D" w14:textId="77777777" w:rsidTr="00BB3434">
        <w:trPr>
          <w:trHeight w:val="361"/>
        </w:trPr>
        <w:tc>
          <w:tcPr>
            <w:tcW w:w="3936" w:type="dxa"/>
            <w:tcBorders>
              <w:top w:val="single" w:sz="4" w:space="0" w:color="auto"/>
              <w:left w:val="nil"/>
              <w:bottom w:val="nil"/>
              <w:right w:val="nil"/>
            </w:tcBorders>
            <w:shd w:val="clear" w:color="auto" w:fill="auto"/>
          </w:tcPr>
          <w:p w14:paraId="798A77F2" w14:textId="77777777" w:rsidR="00BB3434" w:rsidRPr="00BB3434" w:rsidRDefault="00BB3434" w:rsidP="00BB3434">
            <w:pPr>
              <w:spacing w:line="360" w:lineRule="auto"/>
              <w:jc w:val="center"/>
              <w:rPr>
                <w:b/>
                <w:bCs/>
                <w:rtl/>
              </w:rPr>
            </w:pPr>
            <w:r w:rsidRPr="00BB3434">
              <w:rPr>
                <w:rFonts w:hint="cs"/>
                <w:b/>
                <w:bCs/>
                <w:rtl/>
              </w:rPr>
              <w:t xml:space="preserve">נגה שמואלי </w:t>
            </w:r>
            <w:r w:rsidRPr="00BB3434">
              <w:rPr>
                <w:rFonts w:hint="cs"/>
                <w:b/>
                <w:bCs/>
                <w:vertAlign w:val="superscript"/>
                <w:rtl/>
              </w:rPr>
              <w:t>–</w:t>
            </w:r>
            <w:r w:rsidRPr="00BB3434">
              <w:rPr>
                <w:rFonts w:hint="cs"/>
                <w:b/>
                <w:bCs/>
                <w:rtl/>
              </w:rPr>
              <w:t xml:space="preserve"> מאייר, שופטת בכירה</w:t>
            </w:r>
          </w:p>
        </w:tc>
      </w:tr>
    </w:tbl>
    <w:p w14:paraId="3B28E483" w14:textId="77777777" w:rsidR="00BB3434" w:rsidRPr="002A748C" w:rsidRDefault="00BB3434" w:rsidP="00BB3434">
      <w:pPr>
        <w:spacing w:line="360" w:lineRule="auto"/>
        <w:jc w:val="both"/>
        <w:rPr>
          <w:rFonts w:ascii="David" w:hAnsi="David"/>
          <w:rtl/>
        </w:rPr>
      </w:pPr>
    </w:p>
    <w:p w14:paraId="2AD351C1" w14:textId="77777777" w:rsidR="00C61889" w:rsidRPr="00483AB7" w:rsidRDefault="00C61889" w:rsidP="00483AB7">
      <w:pPr>
        <w:keepNext/>
        <w:rPr>
          <w:rFonts w:ascii="David" w:hAnsi="David" w:hint="cs"/>
          <w:color w:val="000000"/>
          <w:sz w:val="22"/>
          <w:szCs w:val="22"/>
          <w:rtl/>
        </w:rPr>
      </w:pPr>
    </w:p>
    <w:p w14:paraId="07F41CA1" w14:textId="77777777" w:rsidR="00483AB7" w:rsidRPr="00483AB7" w:rsidRDefault="00483AB7" w:rsidP="00483AB7">
      <w:pPr>
        <w:keepNext/>
        <w:rPr>
          <w:rFonts w:ascii="David" w:hAnsi="David"/>
          <w:color w:val="000000"/>
          <w:sz w:val="22"/>
          <w:szCs w:val="22"/>
          <w:rtl/>
        </w:rPr>
      </w:pPr>
      <w:r w:rsidRPr="00483AB7">
        <w:rPr>
          <w:rFonts w:ascii="David" w:hAnsi="David"/>
          <w:color w:val="000000"/>
          <w:sz w:val="22"/>
          <w:szCs w:val="22"/>
          <w:rtl/>
        </w:rPr>
        <w:t>נגה שמואלי מאייר 54678313</w:t>
      </w:r>
    </w:p>
    <w:p w14:paraId="3AFAF2DA" w14:textId="77777777" w:rsidR="00483AB7" w:rsidRDefault="00483AB7" w:rsidP="00483AB7">
      <w:r w:rsidRPr="00483AB7">
        <w:rPr>
          <w:color w:val="000000"/>
          <w:rtl/>
        </w:rPr>
        <w:t>נוסח מסמך זה כפוף לשינויי ניסוח ועריכה</w:t>
      </w:r>
    </w:p>
    <w:p w14:paraId="48436F09" w14:textId="77777777" w:rsidR="00483AB7" w:rsidRDefault="00483AB7" w:rsidP="00483AB7">
      <w:pPr>
        <w:rPr>
          <w:rtl/>
        </w:rPr>
      </w:pPr>
    </w:p>
    <w:p w14:paraId="5E077DF1" w14:textId="77777777" w:rsidR="00483AB7" w:rsidRDefault="00483AB7" w:rsidP="00483AB7">
      <w:pPr>
        <w:jc w:val="center"/>
        <w:rPr>
          <w:color w:val="0000FF"/>
          <w:u w:val="single"/>
        </w:rPr>
      </w:pPr>
      <w:hyperlink r:id="rId99" w:history="1">
        <w:r>
          <w:rPr>
            <w:color w:val="0000FF"/>
            <w:u w:val="single"/>
            <w:rtl/>
          </w:rPr>
          <w:t>בעניין עריכה ושינויים במסמכי פסיקה, חקיקה ועוד באתר נבו – הקש כאן</w:t>
        </w:r>
      </w:hyperlink>
    </w:p>
    <w:p w14:paraId="60775FF0" w14:textId="77777777" w:rsidR="00483AB7" w:rsidRPr="00483AB7" w:rsidRDefault="00483AB7" w:rsidP="00483AB7">
      <w:pPr>
        <w:jc w:val="center"/>
        <w:rPr>
          <w:rFonts w:hint="cs"/>
          <w:color w:val="0000FF"/>
          <w:u w:val="single"/>
        </w:rPr>
      </w:pPr>
    </w:p>
    <w:sectPr w:rsidR="00483AB7" w:rsidRPr="00483AB7" w:rsidSect="00483AB7">
      <w:headerReference w:type="even" r:id="rId100"/>
      <w:headerReference w:type="default" r:id="rId101"/>
      <w:footerReference w:type="even" r:id="rId102"/>
      <w:footerReference w:type="default" r:id="rId10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104DD" w14:textId="77777777" w:rsidR="00A32133" w:rsidRDefault="00A32133" w:rsidP="00C75BE7">
      <w:r>
        <w:separator/>
      </w:r>
    </w:p>
  </w:endnote>
  <w:endnote w:type="continuationSeparator" w:id="0">
    <w:p w14:paraId="6C4B0F43" w14:textId="77777777" w:rsidR="00A32133" w:rsidRDefault="00A32133" w:rsidP="00C7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C5EF7" w14:textId="77777777" w:rsidR="00483AB7" w:rsidRDefault="00483AB7" w:rsidP="00483A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D3F4CF" w14:textId="77777777" w:rsidR="00483AB7" w:rsidRPr="00483AB7" w:rsidRDefault="00483AB7" w:rsidP="00483A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CA80C" w14:textId="77777777" w:rsidR="00483AB7" w:rsidRDefault="00483AB7" w:rsidP="00483AB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40487">
      <w:rPr>
        <w:rStyle w:val="a8"/>
        <w:rFonts w:ascii="FrankRuehl" w:hAnsi="FrankRuehl" w:cs="FrankRuehl"/>
        <w:noProof/>
        <w:rtl/>
      </w:rPr>
      <w:t>1</w:t>
    </w:r>
    <w:r>
      <w:rPr>
        <w:rStyle w:val="a8"/>
        <w:rFonts w:ascii="FrankRuehl" w:hAnsi="FrankRuehl" w:cs="FrankRuehl"/>
        <w:rtl/>
      </w:rPr>
      <w:fldChar w:fldCharType="end"/>
    </w:r>
  </w:p>
  <w:p w14:paraId="0BB7A583" w14:textId="77777777" w:rsidR="000C77D5" w:rsidRPr="00483AB7" w:rsidRDefault="00483AB7" w:rsidP="00483AB7">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A502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E940B" w14:textId="77777777" w:rsidR="00A32133" w:rsidRDefault="00A32133" w:rsidP="00C75BE7">
      <w:r>
        <w:separator/>
      </w:r>
    </w:p>
  </w:footnote>
  <w:footnote w:type="continuationSeparator" w:id="0">
    <w:p w14:paraId="604D3046" w14:textId="77777777" w:rsidR="00A32133" w:rsidRDefault="00A32133" w:rsidP="00C75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E2A47" w14:textId="77777777" w:rsidR="00483AB7" w:rsidRPr="00483AB7" w:rsidRDefault="00483AB7" w:rsidP="00483A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31892-08-21</w:t>
    </w:r>
    <w:r>
      <w:rPr>
        <w:rFonts w:ascii="David" w:hAnsi="David"/>
        <w:color w:val="000000"/>
        <w:sz w:val="22"/>
        <w:szCs w:val="22"/>
        <w:rtl/>
      </w:rPr>
      <w:tab/>
      <w:t xml:space="preserve"> מדינת ישראל נ' מיכאל תורג'מן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B5301" w14:textId="77777777" w:rsidR="00483AB7" w:rsidRPr="00483AB7" w:rsidRDefault="00483AB7" w:rsidP="00483A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31892-08-21</w:t>
    </w:r>
    <w:r>
      <w:rPr>
        <w:rFonts w:ascii="David" w:hAnsi="David"/>
        <w:color w:val="000000"/>
        <w:sz w:val="22"/>
        <w:szCs w:val="22"/>
        <w:rtl/>
      </w:rPr>
      <w:tab/>
      <w:t xml:space="preserve"> מדינת ישראל נ' מיכאל תורג'מן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D13EF"/>
    <w:multiLevelType w:val="hybridMultilevel"/>
    <w:tmpl w:val="03D8C2A8"/>
    <w:lvl w:ilvl="0" w:tplc="CD18A574">
      <w:start w:val="2"/>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2DBB2C18"/>
    <w:multiLevelType w:val="hybridMultilevel"/>
    <w:tmpl w:val="435A4FC2"/>
    <w:lvl w:ilvl="0" w:tplc="86C80EA6">
      <w:start w:val="1"/>
      <w:numFmt w:val="decimal"/>
      <w:lvlText w:val="%1."/>
      <w:lvlJc w:val="left"/>
      <w:pPr>
        <w:ind w:left="6698" w:hanging="360"/>
      </w:pPr>
      <w:rPr>
        <w:rFonts w:cs="David"/>
        <w:b w:val="0"/>
        <w:bCs w:val="0"/>
        <w:i w:val="0"/>
        <w:iCs w:val="0"/>
        <w:color w:val="auto"/>
        <w:sz w:val="24"/>
        <w:szCs w:val="24"/>
      </w:rPr>
    </w:lvl>
    <w:lvl w:ilvl="1" w:tplc="04090019">
      <w:start w:val="1"/>
      <w:numFmt w:val="lowerLetter"/>
      <w:lvlText w:val="%2."/>
      <w:lvlJc w:val="left"/>
      <w:pPr>
        <w:ind w:left="1581" w:hanging="360"/>
      </w:pPr>
    </w:lvl>
    <w:lvl w:ilvl="2" w:tplc="0409001B">
      <w:start w:val="1"/>
      <w:numFmt w:val="lowerRoman"/>
      <w:lvlText w:val="%3."/>
      <w:lvlJc w:val="right"/>
      <w:pPr>
        <w:ind w:left="2301" w:hanging="180"/>
      </w:pPr>
    </w:lvl>
    <w:lvl w:ilvl="3" w:tplc="0409000F">
      <w:start w:val="1"/>
      <w:numFmt w:val="decimal"/>
      <w:lvlText w:val="%4."/>
      <w:lvlJc w:val="left"/>
      <w:pPr>
        <w:ind w:left="3021" w:hanging="360"/>
      </w:pPr>
    </w:lvl>
    <w:lvl w:ilvl="4" w:tplc="04090019">
      <w:start w:val="1"/>
      <w:numFmt w:val="lowerLetter"/>
      <w:lvlText w:val="%5."/>
      <w:lvlJc w:val="left"/>
      <w:pPr>
        <w:ind w:left="3741" w:hanging="360"/>
      </w:pPr>
    </w:lvl>
    <w:lvl w:ilvl="5" w:tplc="0409001B">
      <w:start w:val="1"/>
      <w:numFmt w:val="lowerRoman"/>
      <w:lvlText w:val="%6."/>
      <w:lvlJc w:val="right"/>
      <w:pPr>
        <w:ind w:left="4461" w:hanging="180"/>
      </w:pPr>
    </w:lvl>
    <w:lvl w:ilvl="6" w:tplc="0409000F">
      <w:start w:val="1"/>
      <w:numFmt w:val="decimal"/>
      <w:lvlText w:val="%7."/>
      <w:lvlJc w:val="left"/>
      <w:pPr>
        <w:ind w:left="5181" w:hanging="360"/>
      </w:pPr>
    </w:lvl>
    <w:lvl w:ilvl="7" w:tplc="04090019">
      <w:start w:val="1"/>
      <w:numFmt w:val="lowerLetter"/>
      <w:lvlText w:val="%8."/>
      <w:lvlJc w:val="left"/>
      <w:pPr>
        <w:ind w:left="5901" w:hanging="360"/>
      </w:pPr>
    </w:lvl>
    <w:lvl w:ilvl="8" w:tplc="0409001B">
      <w:start w:val="1"/>
      <w:numFmt w:val="lowerRoman"/>
      <w:lvlText w:val="%9."/>
      <w:lvlJc w:val="right"/>
      <w:pPr>
        <w:ind w:left="6621" w:hanging="180"/>
      </w:pPr>
    </w:lvl>
  </w:abstractNum>
  <w:abstractNum w:abstractNumId="2" w15:restartNumberingAfterBreak="0">
    <w:nsid w:val="67916CD1"/>
    <w:multiLevelType w:val="hybridMultilevel"/>
    <w:tmpl w:val="C7442E9A"/>
    <w:lvl w:ilvl="0" w:tplc="3FF2A9D2">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251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24958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970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3434"/>
    <w:rsid w:val="000C77D5"/>
    <w:rsid w:val="001B1B5E"/>
    <w:rsid w:val="00240487"/>
    <w:rsid w:val="00483AB7"/>
    <w:rsid w:val="004C66F7"/>
    <w:rsid w:val="00A32133"/>
    <w:rsid w:val="00A72525"/>
    <w:rsid w:val="00B52289"/>
    <w:rsid w:val="00BB3434"/>
    <w:rsid w:val="00C27F50"/>
    <w:rsid w:val="00C61889"/>
    <w:rsid w:val="00C75BE7"/>
    <w:rsid w:val="00DD12FE"/>
    <w:rsid w:val="00DE0546"/>
    <w:rsid w:val="00E95426"/>
    <w:rsid w:val="00FB6E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A95D13"/>
  <w15:chartTrackingRefBased/>
  <w15:docId w15:val="{A82E2624-31B6-49FD-977A-EBD8FC14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434"/>
    <w:pPr>
      <w:bidi/>
    </w:pPr>
    <w:rPr>
      <w:rFonts w:ascii="Times New Roman" w:eastAsia="Times New Roman" w:hAnsi="Times New Roman" w:cs="David"/>
      <w:sz w:val="24"/>
      <w:szCs w:val="24"/>
    </w:rPr>
  </w:style>
  <w:style w:type="paragraph" w:styleId="1">
    <w:name w:val="heading 1"/>
    <w:basedOn w:val="a"/>
    <w:next w:val="a"/>
    <w:link w:val="10"/>
    <w:qFormat/>
    <w:rsid w:val="00BB3434"/>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BB3434"/>
    <w:rPr>
      <w:rFonts w:ascii="Calibri Light" w:eastAsia="Times New Roman" w:hAnsi="Calibri Light" w:cs="Times New Roman"/>
      <w:color w:val="2E74B5"/>
      <w:sz w:val="32"/>
      <w:szCs w:val="32"/>
    </w:rPr>
  </w:style>
  <w:style w:type="paragraph" w:styleId="a3">
    <w:name w:val="header"/>
    <w:basedOn w:val="a"/>
    <w:link w:val="a4"/>
    <w:rsid w:val="00BB3434"/>
    <w:pPr>
      <w:tabs>
        <w:tab w:val="center" w:pos="4153"/>
        <w:tab w:val="right" w:pos="8306"/>
      </w:tabs>
    </w:pPr>
  </w:style>
  <w:style w:type="character" w:customStyle="1" w:styleId="a4">
    <w:name w:val="כותרת עליונה תו"/>
    <w:link w:val="a3"/>
    <w:rsid w:val="00BB3434"/>
    <w:rPr>
      <w:rFonts w:ascii="Times New Roman" w:eastAsia="Times New Roman" w:hAnsi="Times New Roman" w:cs="David"/>
      <w:sz w:val="24"/>
      <w:szCs w:val="24"/>
    </w:rPr>
  </w:style>
  <w:style w:type="paragraph" w:styleId="a5">
    <w:name w:val="footer"/>
    <w:basedOn w:val="a"/>
    <w:link w:val="a6"/>
    <w:rsid w:val="00BB3434"/>
    <w:pPr>
      <w:tabs>
        <w:tab w:val="center" w:pos="4153"/>
        <w:tab w:val="right" w:pos="8306"/>
      </w:tabs>
    </w:pPr>
  </w:style>
  <w:style w:type="character" w:customStyle="1" w:styleId="a6">
    <w:name w:val="כותרת תחתונה תו"/>
    <w:link w:val="a5"/>
    <w:rsid w:val="00BB3434"/>
    <w:rPr>
      <w:rFonts w:ascii="Times New Roman" w:eastAsia="Times New Roman" w:hAnsi="Times New Roman" w:cs="David"/>
      <w:sz w:val="24"/>
      <w:szCs w:val="24"/>
    </w:rPr>
  </w:style>
  <w:style w:type="table" w:styleId="a7">
    <w:name w:val="Table Grid"/>
    <w:basedOn w:val="a1"/>
    <w:rsid w:val="00BB34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3434"/>
    <w:rPr>
      <w:noProof w:val="0"/>
    </w:rPr>
  </w:style>
  <w:style w:type="character" w:customStyle="1" w:styleId="a9">
    <w:name w:val="פיסקת רשימה תו"/>
    <w:link w:val="aa"/>
    <w:locked/>
    <w:rsid w:val="00BB3434"/>
    <w:rPr>
      <w:rFonts w:ascii="David" w:hAnsi="David" w:cs="David"/>
      <w:sz w:val="24"/>
      <w:szCs w:val="24"/>
    </w:rPr>
  </w:style>
  <w:style w:type="paragraph" w:styleId="aa">
    <w:name w:val="List Paragraph"/>
    <w:basedOn w:val="a"/>
    <w:link w:val="a9"/>
    <w:qFormat/>
    <w:rsid w:val="00BB3434"/>
    <w:pPr>
      <w:spacing w:after="160" w:line="360" w:lineRule="auto"/>
      <w:ind w:left="720" w:hanging="357"/>
      <w:contextualSpacing/>
      <w:jc w:val="both"/>
    </w:pPr>
    <w:rPr>
      <w:rFonts w:ascii="David" w:eastAsia="Calibri" w:hAnsi="David"/>
    </w:rPr>
  </w:style>
  <w:style w:type="character" w:customStyle="1" w:styleId="ListParagraphChar">
    <w:name w:val="List Paragraph Char"/>
    <w:link w:val="11"/>
    <w:locked/>
    <w:rsid w:val="00BB3434"/>
    <w:rPr>
      <w:rFonts w:cs="David"/>
      <w:sz w:val="24"/>
      <w:szCs w:val="24"/>
    </w:rPr>
  </w:style>
  <w:style w:type="paragraph" w:customStyle="1" w:styleId="11">
    <w:name w:val="פיסקת רשימה1"/>
    <w:basedOn w:val="a"/>
    <w:link w:val="ListParagraphChar"/>
    <w:rsid w:val="00BB3434"/>
    <w:pPr>
      <w:ind w:left="720"/>
    </w:pPr>
    <w:rPr>
      <w:rFonts w:ascii="Calibri" w:eastAsia="Calibri" w:hAnsi="Calibri"/>
    </w:rPr>
  </w:style>
  <w:style w:type="character" w:styleId="Hyperlink">
    <w:name w:val="Hyperlink"/>
    <w:rsid w:val="00483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13093721" TargetMode="External"/><Relationship Id="rId42" Type="http://schemas.openxmlformats.org/officeDocument/2006/relationships/hyperlink" Target="http://www.nevo.co.il/case/22332613" TargetMode="External"/><Relationship Id="rId47" Type="http://schemas.openxmlformats.org/officeDocument/2006/relationships/hyperlink" Target="http://www.nevo.co.il/case/23564634" TargetMode="External"/><Relationship Id="rId63" Type="http://schemas.openxmlformats.org/officeDocument/2006/relationships/hyperlink" Target="http://www.nevo.co.il/case/17941073" TargetMode="External"/><Relationship Id="rId68" Type="http://schemas.openxmlformats.org/officeDocument/2006/relationships/hyperlink" Target="http://www.nevo.co.il/case/17075628" TargetMode="External"/><Relationship Id="rId84" Type="http://schemas.openxmlformats.org/officeDocument/2006/relationships/hyperlink" Target="http://www.nevo.co.il/case/25272510" TargetMode="External"/><Relationship Id="rId89" Type="http://schemas.openxmlformats.org/officeDocument/2006/relationships/hyperlink" Target="http://www.nevo.co.il/case/20732711" TargetMode="External"/><Relationship Id="rId16" Type="http://schemas.openxmlformats.org/officeDocument/2006/relationships/hyperlink" Target="http://www.nevo.co.il/law/70301/186.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5699762" TargetMode="External"/><Relationship Id="rId37" Type="http://schemas.openxmlformats.org/officeDocument/2006/relationships/hyperlink" Target="http://www.nevo.co.il/case/25045300" TargetMode="External"/><Relationship Id="rId53" Type="http://schemas.openxmlformats.org/officeDocument/2006/relationships/hyperlink" Target="http://www.nevo.co.il/case/27224572" TargetMode="External"/><Relationship Id="rId58" Type="http://schemas.openxmlformats.org/officeDocument/2006/relationships/hyperlink" Target="http://www.nevo.co.il/case/26072630" TargetMode="External"/><Relationship Id="rId74" Type="http://schemas.openxmlformats.org/officeDocument/2006/relationships/hyperlink" Target="http://www.nevo.co.il/case/11269647" TargetMode="External"/><Relationship Id="rId79" Type="http://schemas.openxmlformats.org/officeDocument/2006/relationships/hyperlink" Target="http://www.nevo.co.il/case/23641097"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case/4175255" TargetMode="External"/><Relationship Id="rId95" Type="http://schemas.openxmlformats.org/officeDocument/2006/relationships/hyperlink" Target="http://www.nevo.co.il/law/70301/71a.d" TargetMode="External"/><Relationship Id="rId22" Type="http://schemas.openxmlformats.org/officeDocument/2006/relationships/hyperlink" Target="http://www.nevo.co.il/case/20033641" TargetMode="External"/><Relationship Id="rId27" Type="http://schemas.openxmlformats.org/officeDocument/2006/relationships/hyperlink" Target="http://www.nevo.co.il/law/4216" TargetMode="External"/><Relationship Id="rId43" Type="http://schemas.openxmlformats.org/officeDocument/2006/relationships/hyperlink" Target="http://www.nevo.co.il/case/16991759" TargetMode="External"/><Relationship Id="rId48" Type="http://schemas.openxmlformats.org/officeDocument/2006/relationships/hyperlink" Target="http://www.nevo.co.il/case/23261045" TargetMode="External"/><Relationship Id="rId64" Type="http://schemas.openxmlformats.org/officeDocument/2006/relationships/hyperlink" Target="http://www.nevo.co.il/case/5880417" TargetMode="External"/><Relationship Id="rId69" Type="http://schemas.openxmlformats.org/officeDocument/2006/relationships/hyperlink" Target="http://www.nevo.co.il/case/18118854" TargetMode="External"/><Relationship Id="rId80" Type="http://schemas.openxmlformats.org/officeDocument/2006/relationships/hyperlink" Target="http://www.nevo.co.il/case/22325484" TargetMode="External"/><Relationship Id="rId85" Type="http://schemas.openxmlformats.org/officeDocument/2006/relationships/hyperlink" Target="http://www.nevo.co.il/case/27847906" TargetMode="External"/><Relationship Id="rId12" Type="http://schemas.openxmlformats.org/officeDocument/2006/relationships/hyperlink" Target="http://www.nevo.co.il/law/70301/71a.d" TargetMode="External"/><Relationship Id="rId17" Type="http://schemas.openxmlformats.org/officeDocument/2006/relationships/hyperlink" Target="http://www.nevo.co.il/law/70301" TargetMode="External"/><Relationship Id="rId33" Type="http://schemas.openxmlformats.org/officeDocument/2006/relationships/hyperlink" Target="http://www.nevo.co.il/case/6145792" TargetMode="External"/><Relationship Id="rId38" Type="http://schemas.openxmlformats.org/officeDocument/2006/relationships/hyperlink" Target="http://www.nevo.co.il/case/25623599" TargetMode="External"/><Relationship Id="rId59" Type="http://schemas.openxmlformats.org/officeDocument/2006/relationships/hyperlink" Target="http://www.nevo.co.il/case/25045300" TargetMode="External"/><Relationship Id="rId103"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19999565" TargetMode="External"/><Relationship Id="rId54" Type="http://schemas.openxmlformats.org/officeDocument/2006/relationships/hyperlink" Target="http://www.nevo.co.il/case/20921510" TargetMode="External"/><Relationship Id="rId62" Type="http://schemas.openxmlformats.org/officeDocument/2006/relationships/hyperlink" Target="http://www.nevo.co.il/case/6032057" TargetMode="External"/><Relationship Id="rId70" Type="http://schemas.openxmlformats.org/officeDocument/2006/relationships/hyperlink" Target="http://www.nevo.co.il/case/5810781"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24314293" TargetMode="External"/><Relationship Id="rId88" Type="http://schemas.openxmlformats.org/officeDocument/2006/relationships/hyperlink" Target="http://www.nevo.co.il/case/20114120"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39812" TargetMode="External"/><Relationship Id="rId36" Type="http://schemas.openxmlformats.org/officeDocument/2006/relationships/hyperlink" Target="http://www.nevo.co.il/case/22953342" TargetMode="External"/><Relationship Id="rId49" Type="http://schemas.openxmlformats.org/officeDocument/2006/relationships/hyperlink" Target="http://www.nevo.co.il/case/26809499" TargetMode="External"/><Relationship Id="rId57" Type="http://schemas.openxmlformats.org/officeDocument/2006/relationships/hyperlink" Target="http://www.nevo.co.il/case/25618415"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731188" TargetMode="External"/><Relationship Id="rId44" Type="http://schemas.openxmlformats.org/officeDocument/2006/relationships/hyperlink" Target="http://www.nevo.co.il/case/20249549" TargetMode="External"/><Relationship Id="rId52" Type="http://schemas.openxmlformats.org/officeDocument/2006/relationships/hyperlink" Target="http://www.nevo.co.il/case/27014835" TargetMode="External"/><Relationship Id="rId60" Type="http://schemas.openxmlformats.org/officeDocument/2006/relationships/hyperlink" Target="http://www.nevo.co.il/case/27595238" TargetMode="External"/><Relationship Id="rId65" Type="http://schemas.openxmlformats.org/officeDocument/2006/relationships/hyperlink" Target="http://www.nevo.co.il/case/6824952" TargetMode="External"/><Relationship Id="rId73" Type="http://schemas.openxmlformats.org/officeDocument/2006/relationships/hyperlink" Target="http://www.nevo.co.il/case/5849797" TargetMode="External"/><Relationship Id="rId78" Type="http://schemas.openxmlformats.org/officeDocument/2006/relationships/hyperlink" Target="http://www.nevo.co.il/case/25583669" TargetMode="External"/><Relationship Id="rId81" Type="http://schemas.openxmlformats.org/officeDocument/2006/relationships/hyperlink" Target="http://www.nevo.co.il/case/23231121" TargetMode="External"/><Relationship Id="rId86" Type="http://schemas.openxmlformats.org/officeDocument/2006/relationships/hyperlink" Target="http://www.nevo.co.il/case/25614814" TargetMode="External"/><Relationship Id="rId94" Type="http://schemas.openxmlformats.org/officeDocument/2006/relationships/hyperlink" Target="http://www.nevo.co.il/case/5849797"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case/27322069" TargetMode="External"/><Relationship Id="rId39" Type="http://schemas.openxmlformats.org/officeDocument/2006/relationships/hyperlink" Target="http://www.nevo.co.il/case/22723482" TargetMode="External"/><Relationship Id="rId34" Type="http://schemas.openxmlformats.org/officeDocument/2006/relationships/hyperlink" Target="http://www.nevo.co.il/case/28190928" TargetMode="External"/><Relationship Id="rId50" Type="http://schemas.openxmlformats.org/officeDocument/2006/relationships/hyperlink" Target="http://www.nevo.co.il/case/26798561" TargetMode="External"/><Relationship Id="rId55" Type="http://schemas.openxmlformats.org/officeDocument/2006/relationships/hyperlink" Target="http://www.nevo.co.il/case/22937758" TargetMode="External"/><Relationship Id="rId76" Type="http://schemas.openxmlformats.org/officeDocument/2006/relationships/hyperlink" Target="http://www.nevo.co.il/case/25307462" TargetMode="External"/><Relationship Id="rId97" Type="http://schemas.openxmlformats.org/officeDocument/2006/relationships/image" Target="media/image1.jpeg"/><Relationship Id="rId104"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case/17916229" TargetMode="External"/><Relationship Id="rId92" Type="http://schemas.openxmlformats.org/officeDocument/2006/relationships/hyperlink" Target="http://www.nevo.co.il/case/25155618" TargetMode="External"/><Relationship Id="rId2" Type="http://schemas.openxmlformats.org/officeDocument/2006/relationships/styles" Target="styles.xml"/><Relationship Id="rId29" Type="http://schemas.openxmlformats.org/officeDocument/2006/relationships/hyperlink" Target="http://www.nevo.co.il/case/5738608" TargetMode="External"/><Relationship Id="rId24" Type="http://schemas.openxmlformats.org/officeDocument/2006/relationships/hyperlink" Target="http://www.nevo.co.il/case/5573417" TargetMode="External"/><Relationship Id="rId40" Type="http://schemas.openxmlformats.org/officeDocument/2006/relationships/hyperlink" Target="http://www.nevo.co.il/case/22976244" TargetMode="External"/><Relationship Id="rId45" Type="http://schemas.openxmlformats.org/officeDocument/2006/relationships/hyperlink" Target="http://www.nevo.co.il/case/26016107"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9076847" TargetMode="External"/><Relationship Id="rId61" Type="http://schemas.openxmlformats.org/officeDocument/2006/relationships/hyperlink" Target="http://www.nevo.co.il/case/25380530" TargetMode="External"/><Relationship Id="rId82" Type="http://schemas.openxmlformats.org/officeDocument/2006/relationships/hyperlink" Target="http://www.nevo.co.il/case/20639293" TargetMode="External"/><Relationship Id="rId19" Type="http://schemas.openxmlformats.org/officeDocument/2006/relationships/hyperlink" Target="http://www.nevo.co.il/law/70301/186.a" TargetMode="External"/><Relationship Id="rId14" Type="http://schemas.openxmlformats.org/officeDocument/2006/relationships/hyperlink" Target="http://www.nevo.co.il/law/4216/7.a.;7.c"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7469170" TargetMode="External"/><Relationship Id="rId56" Type="http://schemas.openxmlformats.org/officeDocument/2006/relationships/hyperlink" Target="http://www.nevo.co.il/case/23448282" TargetMode="External"/><Relationship Id="rId77" Type="http://schemas.openxmlformats.org/officeDocument/2006/relationships/hyperlink" Target="http://www.nevo.co.il/case/20816374"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1780887" TargetMode="External"/><Relationship Id="rId72" Type="http://schemas.openxmlformats.org/officeDocument/2006/relationships/hyperlink" Target="http://www.nevo.co.il/case/5849797" TargetMode="External"/><Relationship Id="rId93" Type="http://schemas.openxmlformats.org/officeDocument/2006/relationships/hyperlink" Target="http://www.nevo.co.il/case/25163275" TargetMode="External"/><Relationship Id="rId98" Type="http://schemas.openxmlformats.org/officeDocument/2006/relationships/image" Target="media/image2.png"/><Relationship Id="rId3" Type="http://schemas.openxmlformats.org/officeDocument/2006/relationships/settings" Target="settings.xml"/><Relationship Id="rId25" Type="http://schemas.openxmlformats.org/officeDocument/2006/relationships/hyperlink" Target="http://www.nevo.co.il/law/70301/40c.a" TargetMode="External"/><Relationship Id="rId46" Type="http://schemas.openxmlformats.org/officeDocument/2006/relationships/hyperlink" Target="http://www.nevo.co.il/case/22285619" TargetMode="External"/><Relationship Id="rId67" Type="http://schemas.openxmlformats.org/officeDocument/2006/relationships/hyperlink" Target="http://www.nevo.co.il/case/61808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5849</Words>
  <Characters>29245</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35024</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7995492</vt:i4>
      </vt:variant>
      <vt:variant>
        <vt:i4>267</vt:i4>
      </vt:variant>
      <vt:variant>
        <vt:i4>0</vt:i4>
      </vt:variant>
      <vt:variant>
        <vt:i4>5</vt:i4>
      </vt:variant>
      <vt:variant>
        <vt:lpwstr>http://www.nevo.co.il/law/70301</vt:lpwstr>
      </vt:variant>
      <vt:variant>
        <vt:lpwstr/>
      </vt:variant>
      <vt:variant>
        <vt:i4>4849667</vt:i4>
      </vt:variant>
      <vt:variant>
        <vt:i4>264</vt:i4>
      </vt:variant>
      <vt:variant>
        <vt:i4>0</vt:i4>
      </vt:variant>
      <vt:variant>
        <vt:i4>5</vt:i4>
      </vt:variant>
      <vt:variant>
        <vt:lpwstr>http://www.nevo.co.il/law/70301/71a.d</vt:lpwstr>
      </vt:variant>
      <vt:variant>
        <vt:lpwstr/>
      </vt:variant>
      <vt:variant>
        <vt:i4>3211388</vt:i4>
      </vt:variant>
      <vt:variant>
        <vt:i4>261</vt:i4>
      </vt:variant>
      <vt:variant>
        <vt:i4>0</vt:i4>
      </vt:variant>
      <vt:variant>
        <vt:i4>5</vt:i4>
      </vt:variant>
      <vt:variant>
        <vt:lpwstr>http://www.nevo.co.il/case/5849797</vt:lpwstr>
      </vt:variant>
      <vt:variant>
        <vt:lpwstr/>
      </vt:variant>
      <vt:variant>
        <vt:i4>3604597</vt:i4>
      </vt:variant>
      <vt:variant>
        <vt:i4>258</vt:i4>
      </vt:variant>
      <vt:variant>
        <vt:i4>0</vt:i4>
      </vt:variant>
      <vt:variant>
        <vt:i4>5</vt:i4>
      </vt:variant>
      <vt:variant>
        <vt:lpwstr>http://www.nevo.co.il/case/25163275</vt:lpwstr>
      </vt:variant>
      <vt:variant>
        <vt:lpwstr/>
      </vt:variant>
      <vt:variant>
        <vt:i4>3604594</vt:i4>
      </vt:variant>
      <vt:variant>
        <vt:i4>255</vt:i4>
      </vt:variant>
      <vt:variant>
        <vt:i4>0</vt:i4>
      </vt:variant>
      <vt:variant>
        <vt:i4>5</vt:i4>
      </vt:variant>
      <vt:variant>
        <vt:lpwstr>http://www.nevo.co.il/case/25155618</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3407989</vt:i4>
      </vt:variant>
      <vt:variant>
        <vt:i4>249</vt:i4>
      </vt:variant>
      <vt:variant>
        <vt:i4>0</vt:i4>
      </vt:variant>
      <vt:variant>
        <vt:i4>5</vt:i4>
      </vt:variant>
      <vt:variant>
        <vt:lpwstr>http://www.nevo.co.il/case/4175255</vt:lpwstr>
      </vt:variant>
      <vt:variant>
        <vt:lpwstr/>
      </vt:variant>
      <vt:variant>
        <vt:i4>3539056</vt:i4>
      </vt:variant>
      <vt:variant>
        <vt:i4>246</vt:i4>
      </vt:variant>
      <vt:variant>
        <vt:i4>0</vt:i4>
      </vt:variant>
      <vt:variant>
        <vt:i4>5</vt:i4>
      </vt:variant>
      <vt:variant>
        <vt:lpwstr>http://www.nevo.co.il/case/20732711</vt:lpwstr>
      </vt:variant>
      <vt:variant>
        <vt:lpwstr/>
      </vt:variant>
      <vt:variant>
        <vt:i4>3473524</vt:i4>
      </vt:variant>
      <vt:variant>
        <vt:i4>243</vt:i4>
      </vt:variant>
      <vt:variant>
        <vt:i4>0</vt:i4>
      </vt:variant>
      <vt:variant>
        <vt:i4>5</vt:i4>
      </vt:variant>
      <vt:variant>
        <vt:lpwstr>http://www.nevo.co.il/case/20114120</vt:lpwstr>
      </vt:variant>
      <vt:variant>
        <vt:lpwstr/>
      </vt:variant>
      <vt:variant>
        <vt:i4>3145842</vt:i4>
      </vt:variant>
      <vt:variant>
        <vt:i4>240</vt:i4>
      </vt:variant>
      <vt:variant>
        <vt:i4>0</vt:i4>
      </vt:variant>
      <vt:variant>
        <vt:i4>5</vt:i4>
      </vt:variant>
      <vt:variant>
        <vt:lpwstr>http://www.nevo.co.il/case/29076847</vt:lpwstr>
      </vt:variant>
      <vt:variant>
        <vt:lpwstr/>
      </vt:variant>
      <vt:variant>
        <vt:i4>3211384</vt:i4>
      </vt:variant>
      <vt:variant>
        <vt:i4>237</vt:i4>
      </vt:variant>
      <vt:variant>
        <vt:i4>0</vt:i4>
      </vt:variant>
      <vt:variant>
        <vt:i4>5</vt:i4>
      </vt:variant>
      <vt:variant>
        <vt:lpwstr>http://www.nevo.co.il/case/25614814</vt:lpwstr>
      </vt:variant>
      <vt:variant>
        <vt:lpwstr/>
      </vt:variant>
      <vt:variant>
        <vt:i4>3997822</vt:i4>
      </vt:variant>
      <vt:variant>
        <vt:i4>234</vt:i4>
      </vt:variant>
      <vt:variant>
        <vt:i4>0</vt:i4>
      </vt:variant>
      <vt:variant>
        <vt:i4>5</vt:i4>
      </vt:variant>
      <vt:variant>
        <vt:lpwstr>http://www.nevo.co.il/case/27847906</vt:lpwstr>
      </vt:variant>
      <vt:variant>
        <vt:lpwstr/>
      </vt:variant>
      <vt:variant>
        <vt:i4>3342451</vt:i4>
      </vt:variant>
      <vt:variant>
        <vt:i4>231</vt:i4>
      </vt:variant>
      <vt:variant>
        <vt:i4>0</vt:i4>
      </vt:variant>
      <vt:variant>
        <vt:i4>5</vt:i4>
      </vt:variant>
      <vt:variant>
        <vt:lpwstr>http://www.nevo.co.il/case/25272510</vt:lpwstr>
      </vt:variant>
      <vt:variant>
        <vt:lpwstr/>
      </vt:variant>
      <vt:variant>
        <vt:i4>3932275</vt:i4>
      </vt:variant>
      <vt:variant>
        <vt:i4>228</vt:i4>
      </vt:variant>
      <vt:variant>
        <vt:i4>0</vt:i4>
      </vt:variant>
      <vt:variant>
        <vt:i4>5</vt:i4>
      </vt:variant>
      <vt:variant>
        <vt:lpwstr>http://www.nevo.co.il/case/24314293</vt:lpwstr>
      </vt:variant>
      <vt:variant>
        <vt:lpwstr/>
      </vt:variant>
      <vt:variant>
        <vt:i4>3407989</vt:i4>
      </vt:variant>
      <vt:variant>
        <vt:i4>225</vt:i4>
      </vt:variant>
      <vt:variant>
        <vt:i4>0</vt:i4>
      </vt:variant>
      <vt:variant>
        <vt:i4>5</vt:i4>
      </vt:variant>
      <vt:variant>
        <vt:lpwstr>http://www.nevo.co.il/case/20639293</vt:lpwstr>
      </vt:variant>
      <vt:variant>
        <vt:lpwstr/>
      </vt:variant>
      <vt:variant>
        <vt:i4>3342453</vt:i4>
      </vt:variant>
      <vt:variant>
        <vt:i4>222</vt:i4>
      </vt:variant>
      <vt:variant>
        <vt:i4>0</vt:i4>
      </vt:variant>
      <vt:variant>
        <vt:i4>5</vt:i4>
      </vt:variant>
      <vt:variant>
        <vt:lpwstr>http://www.nevo.co.il/case/23231121</vt:lpwstr>
      </vt:variant>
      <vt:variant>
        <vt:lpwstr/>
      </vt:variant>
      <vt:variant>
        <vt:i4>3932272</vt:i4>
      </vt:variant>
      <vt:variant>
        <vt:i4>219</vt:i4>
      </vt:variant>
      <vt:variant>
        <vt:i4>0</vt:i4>
      </vt:variant>
      <vt:variant>
        <vt:i4>5</vt:i4>
      </vt:variant>
      <vt:variant>
        <vt:lpwstr>http://www.nevo.co.il/case/22325484</vt:lpwstr>
      </vt:variant>
      <vt:variant>
        <vt:lpwstr/>
      </vt:variant>
      <vt:variant>
        <vt:i4>3932275</vt:i4>
      </vt:variant>
      <vt:variant>
        <vt:i4>216</vt:i4>
      </vt:variant>
      <vt:variant>
        <vt:i4>0</vt:i4>
      </vt:variant>
      <vt:variant>
        <vt:i4>5</vt:i4>
      </vt:variant>
      <vt:variant>
        <vt:lpwstr>http://www.nevo.co.il/case/23641097</vt:lpwstr>
      </vt:variant>
      <vt:variant>
        <vt:lpwstr/>
      </vt:variant>
      <vt:variant>
        <vt:i4>3276927</vt:i4>
      </vt:variant>
      <vt:variant>
        <vt:i4>213</vt:i4>
      </vt:variant>
      <vt:variant>
        <vt:i4>0</vt:i4>
      </vt:variant>
      <vt:variant>
        <vt:i4>5</vt:i4>
      </vt:variant>
      <vt:variant>
        <vt:lpwstr>http://www.nevo.co.il/case/25583669</vt:lpwstr>
      </vt:variant>
      <vt:variant>
        <vt:lpwstr/>
      </vt:variant>
      <vt:variant>
        <vt:i4>3866742</vt:i4>
      </vt:variant>
      <vt:variant>
        <vt:i4>210</vt:i4>
      </vt:variant>
      <vt:variant>
        <vt:i4>0</vt:i4>
      </vt:variant>
      <vt:variant>
        <vt:i4>5</vt:i4>
      </vt:variant>
      <vt:variant>
        <vt:lpwstr>http://www.nevo.co.il/case/20816374</vt:lpwstr>
      </vt:variant>
      <vt:variant>
        <vt:lpwstr/>
      </vt:variant>
      <vt:variant>
        <vt:i4>3145845</vt:i4>
      </vt:variant>
      <vt:variant>
        <vt:i4>207</vt:i4>
      </vt:variant>
      <vt:variant>
        <vt:i4>0</vt:i4>
      </vt:variant>
      <vt:variant>
        <vt:i4>5</vt:i4>
      </vt:variant>
      <vt:variant>
        <vt:lpwstr>http://www.nevo.co.il/case/25307462</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4063349</vt:i4>
      </vt:variant>
      <vt:variant>
        <vt:i4>201</vt:i4>
      </vt:variant>
      <vt:variant>
        <vt:i4>0</vt:i4>
      </vt:variant>
      <vt:variant>
        <vt:i4>5</vt:i4>
      </vt:variant>
      <vt:variant>
        <vt:lpwstr>http://www.nevo.co.il/case/11269647</vt:lpwstr>
      </vt:variant>
      <vt:variant>
        <vt:lpwstr/>
      </vt:variant>
      <vt:variant>
        <vt:i4>3211388</vt:i4>
      </vt:variant>
      <vt:variant>
        <vt:i4>198</vt:i4>
      </vt:variant>
      <vt:variant>
        <vt:i4>0</vt:i4>
      </vt:variant>
      <vt:variant>
        <vt:i4>5</vt:i4>
      </vt:variant>
      <vt:variant>
        <vt:lpwstr>http://www.nevo.co.il/case/5849797</vt:lpwstr>
      </vt:variant>
      <vt:variant>
        <vt:lpwstr/>
      </vt:variant>
      <vt:variant>
        <vt:i4>3211388</vt:i4>
      </vt:variant>
      <vt:variant>
        <vt:i4>195</vt:i4>
      </vt:variant>
      <vt:variant>
        <vt:i4>0</vt:i4>
      </vt:variant>
      <vt:variant>
        <vt:i4>5</vt:i4>
      </vt:variant>
      <vt:variant>
        <vt:lpwstr>http://www.nevo.co.il/case/5849797</vt:lpwstr>
      </vt:variant>
      <vt:variant>
        <vt:lpwstr/>
      </vt:variant>
      <vt:variant>
        <vt:i4>3932272</vt:i4>
      </vt:variant>
      <vt:variant>
        <vt:i4>192</vt:i4>
      </vt:variant>
      <vt:variant>
        <vt:i4>0</vt:i4>
      </vt:variant>
      <vt:variant>
        <vt:i4>5</vt:i4>
      </vt:variant>
      <vt:variant>
        <vt:lpwstr>http://www.nevo.co.il/case/17916229</vt:lpwstr>
      </vt:variant>
      <vt:variant>
        <vt:lpwstr/>
      </vt:variant>
      <vt:variant>
        <vt:i4>3276916</vt:i4>
      </vt:variant>
      <vt:variant>
        <vt:i4>189</vt:i4>
      </vt:variant>
      <vt:variant>
        <vt:i4>0</vt:i4>
      </vt:variant>
      <vt:variant>
        <vt:i4>5</vt:i4>
      </vt:variant>
      <vt:variant>
        <vt:lpwstr>http://www.nevo.co.il/case/5810781</vt:lpwstr>
      </vt:variant>
      <vt:variant>
        <vt:lpwstr/>
      </vt:variant>
      <vt:variant>
        <vt:i4>3997813</vt:i4>
      </vt:variant>
      <vt:variant>
        <vt:i4>186</vt:i4>
      </vt:variant>
      <vt:variant>
        <vt:i4>0</vt:i4>
      </vt:variant>
      <vt:variant>
        <vt:i4>5</vt:i4>
      </vt:variant>
      <vt:variant>
        <vt:lpwstr>http://www.nevo.co.il/case/18118854</vt:lpwstr>
      </vt:variant>
      <vt:variant>
        <vt:lpwstr/>
      </vt:variant>
      <vt:variant>
        <vt:i4>3539058</vt:i4>
      </vt:variant>
      <vt:variant>
        <vt:i4>183</vt:i4>
      </vt:variant>
      <vt:variant>
        <vt:i4>0</vt:i4>
      </vt:variant>
      <vt:variant>
        <vt:i4>5</vt:i4>
      </vt:variant>
      <vt:variant>
        <vt:lpwstr>http://www.nevo.co.il/case/17075628</vt:lpwstr>
      </vt:variant>
      <vt:variant>
        <vt:lpwstr/>
      </vt:variant>
      <vt:variant>
        <vt:i4>3276915</vt:i4>
      </vt:variant>
      <vt:variant>
        <vt:i4>180</vt:i4>
      </vt:variant>
      <vt:variant>
        <vt:i4>0</vt:i4>
      </vt:variant>
      <vt:variant>
        <vt:i4>5</vt:i4>
      </vt:variant>
      <vt:variant>
        <vt:lpwstr>http://www.nevo.co.il/case/6180864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4128893</vt:i4>
      </vt:variant>
      <vt:variant>
        <vt:i4>174</vt:i4>
      </vt:variant>
      <vt:variant>
        <vt:i4>0</vt:i4>
      </vt:variant>
      <vt:variant>
        <vt:i4>5</vt:i4>
      </vt:variant>
      <vt:variant>
        <vt:lpwstr>http://www.nevo.co.il/case/6824952</vt:lpwstr>
      </vt:variant>
      <vt:variant>
        <vt:lpwstr/>
      </vt:variant>
      <vt:variant>
        <vt:i4>4063357</vt:i4>
      </vt:variant>
      <vt:variant>
        <vt:i4>171</vt:i4>
      </vt:variant>
      <vt:variant>
        <vt:i4>0</vt:i4>
      </vt:variant>
      <vt:variant>
        <vt:i4>5</vt:i4>
      </vt:variant>
      <vt:variant>
        <vt:lpwstr>http://www.nevo.co.il/case/5880417</vt:lpwstr>
      </vt:variant>
      <vt:variant>
        <vt:lpwstr/>
      </vt:variant>
      <vt:variant>
        <vt:i4>4063351</vt:i4>
      </vt:variant>
      <vt:variant>
        <vt:i4>168</vt:i4>
      </vt:variant>
      <vt:variant>
        <vt:i4>0</vt:i4>
      </vt:variant>
      <vt:variant>
        <vt:i4>5</vt:i4>
      </vt:variant>
      <vt:variant>
        <vt:lpwstr>http://www.nevo.co.il/case/17941073</vt:lpwstr>
      </vt:variant>
      <vt:variant>
        <vt:lpwstr/>
      </vt:variant>
      <vt:variant>
        <vt:i4>3276915</vt:i4>
      </vt:variant>
      <vt:variant>
        <vt:i4>165</vt:i4>
      </vt:variant>
      <vt:variant>
        <vt:i4>0</vt:i4>
      </vt:variant>
      <vt:variant>
        <vt:i4>5</vt:i4>
      </vt:variant>
      <vt:variant>
        <vt:lpwstr>http://www.nevo.co.il/case/6032057</vt:lpwstr>
      </vt:variant>
      <vt:variant>
        <vt:lpwstr/>
      </vt:variant>
      <vt:variant>
        <vt:i4>3276924</vt:i4>
      </vt:variant>
      <vt:variant>
        <vt:i4>162</vt:i4>
      </vt:variant>
      <vt:variant>
        <vt:i4>0</vt:i4>
      </vt:variant>
      <vt:variant>
        <vt:i4>5</vt:i4>
      </vt:variant>
      <vt:variant>
        <vt:lpwstr>http://www.nevo.co.il/case/25380530</vt:lpwstr>
      </vt:variant>
      <vt:variant>
        <vt:lpwstr/>
      </vt:variant>
      <vt:variant>
        <vt:i4>3211384</vt:i4>
      </vt:variant>
      <vt:variant>
        <vt:i4>159</vt:i4>
      </vt:variant>
      <vt:variant>
        <vt:i4>0</vt:i4>
      </vt:variant>
      <vt:variant>
        <vt:i4>5</vt:i4>
      </vt:variant>
      <vt:variant>
        <vt:lpwstr>http://www.nevo.co.il/case/27595238</vt:lpwstr>
      </vt:variant>
      <vt:variant>
        <vt:lpwstr/>
      </vt:variant>
      <vt:variant>
        <vt:i4>3604598</vt:i4>
      </vt:variant>
      <vt:variant>
        <vt:i4>156</vt:i4>
      </vt:variant>
      <vt:variant>
        <vt:i4>0</vt:i4>
      </vt:variant>
      <vt:variant>
        <vt:i4>5</vt:i4>
      </vt:variant>
      <vt:variant>
        <vt:lpwstr>http://www.nevo.co.il/case/25045300</vt:lpwstr>
      </vt:variant>
      <vt:variant>
        <vt:lpwstr/>
      </vt:variant>
      <vt:variant>
        <vt:i4>3342451</vt:i4>
      </vt:variant>
      <vt:variant>
        <vt:i4>153</vt:i4>
      </vt:variant>
      <vt:variant>
        <vt:i4>0</vt:i4>
      </vt:variant>
      <vt:variant>
        <vt:i4>5</vt:i4>
      </vt:variant>
      <vt:variant>
        <vt:lpwstr>http://www.nevo.co.il/case/26072630</vt:lpwstr>
      </vt:variant>
      <vt:variant>
        <vt:lpwstr/>
      </vt:variant>
      <vt:variant>
        <vt:i4>3997812</vt:i4>
      </vt:variant>
      <vt:variant>
        <vt:i4>150</vt:i4>
      </vt:variant>
      <vt:variant>
        <vt:i4>0</vt:i4>
      </vt:variant>
      <vt:variant>
        <vt:i4>5</vt:i4>
      </vt:variant>
      <vt:variant>
        <vt:lpwstr>http://www.nevo.co.il/case/25618415</vt:lpwstr>
      </vt:variant>
      <vt:variant>
        <vt:lpwstr/>
      </vt:variant>
      <vt:variant>
        <vt:i4>3539057</vt:i4>
      </vt:variant>
      <vt:variant>
        <vt:i4>147</vt:i4>
      </vt:variant>
      <vt:variant>
        <vt:i4>0</vt:i4>
      </vt:variant>
      <vt:variant>
        <vt:i4>5</vt:i4>
      </vt:variant>
      <vt:variant>
        <vt:lpwstr>http://www.nevo.co.il/case/23448282</vt:lpwstr>
      </vt:variant>
      <vt:variant>
        <vt:lpwstr/>
      </vt:variant>
      <vt:variant>
        <vt:i4>3735666</vt:i4>
      </vt:variant>
      <vt:variant>
        <vt:i4>144</vt:i4>
      </vt:variant>
      <vt:variant>
        <vt:i4>0</vt:i4>
      </vt:variant>
      <vt:variant>
        <vt:i4>5</vt:i4>
      </vt:variant>
      <vt:variant>
        <vt:lpwstr>http://www.nevo.co.il/case/22937758</vt:lpwstr>
      </vt:variant>
      <vt:variant>
        <vt:lpwstr/>
      </vt:variant>
      <vt:variant>
        <vt:i4>3866739</vt:i4>
      </vt:variant>
      <vt:variant>
        <vt:i4>141</vt:i4>
      </vt:variant>
      <vt:variant>
        <vt:i4>0</vt:i4>
      </vt:variant>
      <vt:variant>
        <vt:i4>5</vt:i4>
      </vt:variant>
      <vt:variant>
        <vt:lpwstr>http://www.nevo.co.il/case/20921510</vt:lpwstr>
      </vt:variant>
      <vt:variant>
        <vt:lpwstr/>
      </vt:variant>
      <vt:variant>
        <vt:i4>3342452</vt:i4>
      </vt:variant>
      <vt:variant>
        <vt:i4>138</vt:i4>
      </vt:variant>
      <vt:variant>
        <vt:i4>0</vt:i4>
      </vt:variant>
      <vt:variant>
        <vt:i4>5</vt:i4>
      </vt:variant>
      <vt:variant>
        <vt:lpwstr>http://www.nevo.co.il/case/27224572</vt:lpwstr>
      </vt:variant>
      <vt:variant>
        <vt:lpwstr/>
      </vt:variant>
      <vt:variant>
        <vt:i4>3473530</vt:i4>
      </vt:variant>
      <vt:variant>
        <vt:i4>135</vt:i4>
      </vt:variant>
      <vt:variant>
        <vt:i4>0</vt:i4>
      </vt:variant>
      <vt:variant>
        <vt:i4>5</vt:i4>
      </vt:variant>
      <vt:variant>
        <vt:lpwstr>http://www.nevo.co.il/case/27014835</vt:lpwstr>
      </vt:variant>
      <vt:variant>
        <vt:lpwstr/>
      </vt:variant>
      <vt:variant>
        <vt:i4>3997813</vt:i4>
      </vt:variant>
      <vt:variant>
        <vt:i4>132</vt:i4>
      </vt:variant>
      <vt:variant>
        <vt:i4>0</vt:i4>
      </vt:variant>
      <vt:variant>
        <vt:i4>5</vt:i4>
      </vt:variant>
      <vt:variant>
        <vt:lpwstr>http://www.nevo.co.il/case/21780887</vt:lpwstr>
      </vt:variant>
      <vt:variant>
        <vt:lpwstr/>
      </vt:variant>
      <vt:variant>
        <vt:i4>3866750</vt:i4>
      </vt:variant>
      <vt:variant>
        <vt:i4>129</vt:i4>
      </vt:variant>
      <vt:variant>
        <vt:i4>0</vt:i4>
      </vt:variant>
      <vt:variant>
        <vt:i4>5</vt:i4>
      </vt:variant>
      <vt:variant>
        <vt:lpwstr>http://www.nevo.co.il/case/26798561</vt:lpwstr>
      </vt:variant>
      <vt:variant>
        <vt:lpwstr/>
      </vt:variant>
      <vt:variant>
        <vt:i4>3801206</vt:i4>
      </vt:variant>
      <vt:variant>
        <vt:i4>126</vt:i4>
      </vt:variant>
      <vt:variant>
        <vt:i4>0</vt:i4>
      </vt:variant>
      <vt:variant>
        <vt:i4>5</vt:i4>
      </vt:variant>
      <vt:variant>
        <vt:lpwstr>http://www.nevo.co.il/case/26809499</vt:lpwstr>
      </vt:variant>
      <vt:variant>
        <vt:lpwstr/>
      </vt:variant>
      <vt:variant>
        <vt:i4>3473521</vt:i4>
      </vt:variant>
      <vt:variant>
        <vt:i4>123</vt:i4>
      </vt:variant>
      <vt:variant>
        <vt:i4>0</vt:i4>
      </vt:variant>
      <vt:variant>
        <vt:i4>5</vt:i4>
      </vt:variant>
      <vt:variant>
        <vt:lpwstr>http://www.nevo.co.il/case/23261045</vt:lpwstr>
      </vt:variant>
      <vt:variant>
        <vt:lpwstr/>
      </vt:variant>
      <vt:variant>
        <vt:i4>3145847</vt:i4>
      </vt:variant>
      <vt:variant>
        <vt:i4>120</vt:i4>
      </vt:variant>
      <vt:variant>
        <vt:i4>0</vt:i4>
      </vt:variant>
      <vt:variant>
        <vt:i4>5</vt:i4>
      </vt:variant>
      <vt:variant>
        <vt:lpwstr>http://www.nevo.co.il/case/23564634</vt:lpwstr>
      </vt:variant>
      <vt:variant>
        <vt:lpwstr/>
      </vt:variant>
      <vt:variant>
        <vt:i4>3407992</vt:i4>
      </vt:variant>
      <vt:variant>
        <vt:i4>117</vt:i4>
      </vt:variant>
      <vt:variant>
        <vt:i4>0</vt:i4>
      </vt:variant>
      <vt:variant>
        <vt:i4>5</vt:i4>
      </vt:variant>
      <vt:variant>
        <vt:lpwstr>http://www.nevo.co.il/case/22285619</vt:lpwstr>
      </vt:variant>
      <vt:variant>
        <vt:lpwstr/>
      </vt:variant>
      <vt:variant>
        <vt:i4>3407986</vt:i4>
      </vt:variant>
      <vt:variant>
        <vt:i4>114</vt:i4>
      </vt:variant>
      <vt:variant>
        <vt:i4>0</vt:i4>
      </vt:variant>
      <vt:variant>
        <vt:i4>5</vt:i4>
      </vt:variant>
      <vt:variant>
        <vt:lpwstr>http://www.nevo.co.il/case/26016107</vt:lpwstr>
      </vt:variant>
      <vt:variant>
        <vt:lpwstr/>
      </vt:variant>
      <vt:variant>
        <vt:i4>3997813</vt:i4>
      </vt:variant>
      <vt:variant>
        <vt:i4>111</vt:i4>
      </vt:variant>
      <vt:variant>
        <vt:i4>0</vt:i4>
      </vt:variant>
      <vt:variant>
        <vt:i4>5</vt:i4>
      </vt:variant>
      <vt:variant>
        <vt:lpwstr>http://www.nevo.co.il/case/20249549</vt:lpwstr>
      </vt:variant>
      <vt:variant>
        <vt:lpwstr/>
      </vt:variant>
      <vt:variant>
        <vt:i4>3932284</vt:i4>
      </vt:variant>
      <vt:variant>
        <vt:i4>108</vt:i4>
      </vt:variant>
      <vt:variant>
        <vt:i4>0</vt:i4>
      </vt:variant>
      <vt:variant>
        <vt:i4>5</vt:i4>
      </vt:variant>
      <vt:variant>
        <vt:lpwstr>http://www.nevo.co.il/case/16991759</vt:lpwstr>
      </vt:variant>
      <vt:variant>
        <vt:lpwstr/>
      </vt:variant>
      <vt:variant>
        <vt:i4>3276915</vt:i4>
      </vt:variant>
      <vt:variant>
        <vt:i4>105</vt:i4>
      </vt:variant>
      <vt:variant>
        <vt:i4>0</vt:i4>
      </vt:variant>
      <vt:variant>
        <vt:i4>5</vt:i4>
      </vt:variant>
      <vt:variant>
        <vt:lpwstr>http://www.nevo.co.il/case/22332613</vt:lpwstr>
      </vt:variant>
      <vt:variant>
        <vt:lpwstr/>
      </vt:variant>
      <vt:variant>
        <vt:i4>3604593</vt:i4>
      </vt:variant>
      <vt:variant>
        <vt:i4>102</vt:i4>
      </vt:variant>
      <vt:variant>
        <vt:i4>0</vt:i4>
      </vt:variant>
      <vt:variant>
        <vt:i4>5</vt:i4>
      </vt:variant>
      <vt:variant>
        <vt:lpwstr>http://www.nevo.co.il/case/19999565</vt:lpwstr>
      </vt:variant>
      <vt:variant>
        <vt:lpwstr/>
      </vt:variant>
      <vt:variant>
        <vt:i4>3735667</vt:i4>
      </vt:variant>
      <vt:variant>
        <vt:i4>99</vt:i4>
      </vt:variant>
      <vt:variant>
        <vt:i4>0</vt:i4>
      </vt:variant>
      <vt:variant>
        <vt:i4>5</vt:i4>
      </vt:variant>
      <vt:variant>
        <vt:lpwstr>http://www.nevo.co.il/case/22976244</vt:lpwstr>
      </vt:variant>
      <vt:variant>
        <vt:lpwstr/>
      </vt:variant>
      <vt:variant>
        <vt:i4>4063344</vt:i4>
      </vt:variant>
      <vt:variant>
        <vt:i4>96</vt:i4>
      </vt:variant>
      <vt:variant>
        <vt:i4>0</vt:i4>
      </vt:variant>
      <vt:variant>
        <vt:i4>5</vt:i4>
      </vt:variant>
      <vt:variant>
        <vt:lpwstr>http://www.nevo.co.il/case/22723482</vt:lpwstr>
      </vt:variant>
      <vt:variant>
        <vt:lpwstr/>
      </vt:variant>
      <vt:variant>
        <vt:i4>4063350</vt:i4>
      </vt:variant>
      <vt:variant>
        <vt:i4>93</vt:i4>
      </vt:variant>
      <vt:variant>
        <vt:i4>0</vt:i4>
      </vt:variant>
      <vt:variant>
        <vt:i4>5</vt:i4>
      </vt:variant>
      <vt:variant>
        <vt:lpwstr>http://www.nevo.co.il/case/25623599</vt:lpwstr>
      </vt:variant>
      <vt:variant>
        <vt:lpwstr/>
      </vt:variant>
      <vt:variant>
        <vt:i4>3604598</vt:i4>
      </vt:variant>
      <vt:variant>
        <vt:i4>90</vt:i4>
      </vt:variant>
      <vt:variant>
        <vt:i4>0</vt:i4>
      </vt:variant>
      <vt:variant>
        <vt:i4>5</vt:i4>
      </vt:variant>
      <vt:variant>
        <vt:lpwstr>http://www.nevo.co.il/case/25045300</vt:lpwstr>
      </vt:variant>
      <vt:variant>
        <vt:lpwstr/>
      </vt:variant>
      <vt:variant>
        <vt:i4>3932272</vt:i4>
      </vt:variant>
      <vt:variant>
        <vt:i4>87</vt:i4>
      </vt:variant>
      <vt:variant>
        <vt:i4>0</vt:i4>
      </vt:variant>
      <vt:variant>
        <vt:i4>5</vt:i4>
      </vt:variant>
      <vt:variant>
        <vt:lpwstr>http://www.nevo.co.il/case/22953342</vt:lpwstr>
      </vt:variant>
      <vt:variant>
        <vt:lpwstr/>
      </vt:variant>
      <vt:variant>
        <vt:i4>3670132</vt:i4>
      </vt:variant>
      <vt:variant>
        <vt:i4>84</vt:i4>
      </vt:variant>
      <vt:variant>
        <vt:i4>0</vt:i4>
      </vt:variant>
      <vt:variant>
        <vt:i4>5</vt:i4>
      </vt:variant>
      <vt:variant>
        <vt:lpwstr>http://www.nevo.co.il/case/27469170</vt:lpwstr>
      </vt:variant>
      <vt:variant>
        <vt:lpwstr/>
      </vt:variant>
      <vt:variant>
        <vt:i4>3211388</vt:i4>
      </vt:variant>
      <vt:variant>
        <vt:i4>81</vt:i4>
      </vt:variant>
      <vt:variant>
        <vt:i4>0</vt:i4>
      </vt:variant>
      <vt:variant>
        <vt:i4>5</vt:i4>
      </vt:variant>
      <vt:variant>
        <vt:lpwstr>http://www.nevo.co.il/case/28190928</vt:lpwstr>
      </vt:variant>
      <vt:variant>
        <vt:lpwstr/>
      </vt:variant>
      <vt:variant>
        <vt:i4>3604601</vt:i4>
      </vt:variant>
      <vt:variant>
        <vt:i4>78</vt:i4>
      </vt:variant>
      <vt:variant>
        <vt:i4>0</vt:i4>
      </vt:variant>
      <vt:variant>
        <vt:i4>5</vt:i4>
      </vt:variant>
      <vt:variant>
        <vt:lpwstr>http://www.nevo.co.il/case/6145792</vt:lpwstr>
      </vt:variant>
      <vt:variant>
        <vt:lpwstr/>
      </vt:variant>
      <vt:variant>
        <vt:i4>3735677</vt:i4>
      </vt:variant>
      <vt:variant>
        <vt:i4>75</vt:i4>
      </vt:variant>
      <vt:variant>
        <vt:i4>0</vt:i4>
      </vt:variant>
      <vt:variant>
        <vt:i4>5</vt:i4>
      </vt:variant>
      <vt:variant>
        <vt:lpwstr>http://www.nevo.co.il/case/5699762</vt:lpwstr>
      </vt:variant>
      <vt:variant>
        <vt:lpwstr/>
      </vt:variant>
      <vt:variant>
        <vt:i4>4128890</vt:i4>
      </vt:variant>
      <vt:variant>
        <vt:i4>72</vt:i4>
      </vt:variant>
      <vt:variant>
        <vt:i4>0</vt:i4>
      </vt:variant>
      <vt:variant>
        <vt:i4>5</vt:i4>
      </vt:variant>
      <vt:variant>
        <vt:lpwstr>http://www.nevo.co.il/case/5731188</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3145848</vt:i4>
      </vt:variant>
      <vt:variant>
        <vt:i4>63</vt:i4>
      </vt:variant>
      <vt:variant>
        <vt:i4>0</vt:i4>
      </vt:variant>
      <vt:variant>
        <vt:i4>5</vt:i4>
      </vt:variant>
      <vt:variant>
        <vt:lpwstr>http://www.nevo.co.il/case/17939812</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3211379</vt:i4>
      </vt:variant>
      <vt:variant>
        <vt:i4>51</vt:i4>
      </vt:variant>
      <vt:variant>
        <vt:i4>0</vt:i4>
      </vt:variant>
      <vt:variant>
        <vt:i4>5</vt:i4>
      </vt:variant>
      <vt:variant>
        <vt:lpwstr>http://www.nevo.co.il/case/5573417</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3473521</vt:i4>
      </vt:variant>
      <vt:variant>
        <vt:i4>45</vt:i4>
      </vt:variant>
      <vt:variant>
        <vt:i4>0</vt:i4>
      </vt:variant>
      <vt:variant>
        <vt:i4>5</vt:i4>
      </vt:variant>
      <vt:variant>
        <vt:lpwstr>http://www.nevo.co.il/case/20033641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4390994</vt:i4>
      </vt:variant>
      <vt:variant>
        <vt:i4>36</vt:i4>
      </vt:variant>
      <vt:variant>
        <vt:i4>0</vt:i4>
      </vt:variant>
      <vt:variant>
        <vt:i4>5</vt:i4>
      </vt:variant>
      <vt:variant>
        <vt:lpwstr>http://www.nevo.co.il/law/70301/186.a</vt:lpwstr>
      </vt:variant>
      <vt:variant>
        <vt:lpwstr/>
      </vt:variant>
      <vt:variant>
        <vt:i4>3473521</vt:i4>
      </vt:variant>
      <vt:variant>
        <vt:i4>33</vt:i4>
      </vt:variant>
      <vt:variant>
        <vt:i4>0</vt:i4>
      </vt:variant>
      <vt:variant>
        <vt:i4>5</vt:i4>
      </vt:variant>
      <vt:variant>
        <vt:lpwstr>http://www.nevo.co.il/case/27322069</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4849667</vt:i4>
      </vt:variant>
      <vt:variant>
        <vt:i4>15</vt:i4>
      </vt:variant>
      <vt:variant>
        <vt:i4>0</vt:i4>
      </vt:variant>
      <vt:variant>
        <vt:i4>5</vt:i4>
      </vt:variant>
      <vt:variant>
        <vt:lpwstr>http://www.nevo.co.il/law/70301/71a.d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31892;24628</vt:lpwstr>
  </property>
  <property fmtid="{D5CDD505-2E9C-101B-9397-08002B2CF9AE}" pid="6" name="NEWPARTB">
    <vt:lpwstr>08;01</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מיכאל תורג'מן</vt:lpwstr>
  </property>
  <property fmtid="{D5CDD505-2E9C-101B-9397-08002B2CF9AE}" pid="10" name="LAWYER">
    <vt:lpwstr>הילה מלול;חן בן חיים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20231210</vt:lpwstr>
  </property>
  <property fmtid="{D5CDD505-2E9C-101B-9397-08002B2CF9AE}" pid="14" name="TYPE_N_DATE">
    <vt:lpwstr>38020231210</vt:lpwstr>
  </property>
  <property fmtid="{D5CDD505-2E9C-101B-9397-08002B2CF9AE}" pid="15" name="WORDNUMPAGES">
    <vt:lpwstr>13</vt:lpwstr>
  </property>
  <property fmtid="{D5CDD505-2E9C-101B-9397-08002B2CF9AE}" pid="16" name="TYPE_ABS_DATE">
    <vt:lpwstr>380020231210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27322069;13093721;20033641;5573417;17939812;5738608;5583030;5731188;5699762;6145792;28190928;27469170;22953342;25045300:2;25623599;22723482;22976244;19999565;22332613;16991759;20249549;26016107;22285619;23564634;23261045;26809499;26798561;21780887</vt:lpwstr>
  </property>
  <property fmtid="{D5CDD505-2E9C-101B-9397-08002B2CF9AE}" pid="36" name="CASESLISTTMP2">
    <vt:lpwstr>27014835;27224572;20921510;22937758;23448282;25618415;26072630;27595238;25380530;6032057;17941073;5880417;6824952;6180864;17075628;18118854;5810781;17916229;5849797:3;11269647;25307462;20816374;25583669;23641097;22325484;23231121;20639293;24314293</vt:lpwstr>
  </property>
  <property fmtid="{D5CDD505-2E9C-101B-9397-08002B2CF9AE}" pid="37" name="CASESLISTTMP3">
    <vt:lpwstr>25272510;27847906;25614814;29076847;20114120;20732711;4175255;25155618;25163275</vt:lpwstr>
  </property>
  <property fmtid="{D5CDD505-2E9C-101B-9397-08002B2CF9AE}" pid="38" name="LAWLISTTMP1">
    <vt:lpwstr>4216/007.a;007.c</vt:lpwstr>
  </property>
  <property fmtid="{D5CDD505-2E9C-101B-9397-08002B2CF9AE}" pid="39" name="LAWLISTTMP2">
    <vt:lpwstr>70301/186.a:2;040c.a;071a.d</vt:lpwstr>
  </property>
</Properties>
</file>