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820969" w:rsidRPr="00E218B1" w14:paraId="22BFDB2A" w14:textId="77777777" w:rsidTr="00927088">
        <w:trPr>
          <w:trHeight w:hRule="exact" w:val="418"/>
          <w:jc w:val="center"/>
        </w:trPr>
        <w:tc>
          <w:tcPr>
            <w:tcW w:w="8721" w:type="dxa"/>
            <w:gridSpan w:val="2"/>
          </w:tcPr>
          <w:p w14:paraId="00D266D6" w14:textId="77777777" w:rsidR="00820969" w:rsidRPr="00E218B1" w:rsidRDefault="00820969" w:rsidP="006B286F">
            <w:pPr>
              <w:pStyle w:val="a3"/>
              <w:jc w:val="center"/>
              <w:rPr>
                <w:rFonts w:ascii="Tahoma" w:hAnsi="Tahoma" w:cs="Tahoma"/>
                <w:color w:val="000080"/>
                <w:rtl/>
              </w:rPr>
            </w:pPr>
            <w:bookmarkStart w:id="0" w:name="LastJudge"/>
            <w:r w:rsidRPr="00E218B1">
              <w:rPr>
                <w:rFonts w:ascii="Tahoma" w:hAnsi="Tahoma" w:cs="Tahoma"/>
                <w:b/>
                <w:bCs/>
                <w:color w:val="000080"/>
                <w:rtl/>
              </w:rPr>
              <w:t>בית משפט השלום בבאר שבע</w:t>
            </w:r>
          </w:p>
        </w:tc>
      </w:tr>
      <w:tr w:rsidR="00820969" w:rsidRPr="00E218B1" w14:paraId="4DBCF2BF" w14:textId="77777777" w:rsidTr="00927088">
        <w:trPr>
          <w:trHeight w:val="337"/>
          <w:jc w:val="center"/>
        </w:trPr>
        <w:tc>
          <w:tcPr>
            <w:tcW w:w="5055" w:type="dxa"/>
          </w:tcPr>
          <w:p w14:paraId="35478F4F" w14:textId="77777777" w:rsidR="00820969" w:rsidRPr="00E218B1" w:rsidRDefault="00820969" w:rsidP="006B286F">
            <w:pPr>
              <w:rPr>
                <w:rFonts w:cs="FrankRuehl"/>
                <w:sz w:val="28"/>
                <w:szCs w:val="28"/>
                <w:rtl/>
              </w:rPr>
            </w:pPr>
            <w:r w:rsidRPr="00E218B1">
              <w:rPr>
                <w:rFonts w:cs="FrankRuehl"/>
                <w:sz w:val="28"/>
                <w:szCs w:val="28"/>
                <w:rtl/>
              </w:rPr>
              <w:t>ת"פ</w:t>
            </w:r>
            <w:r w:rsidRPr="00E218B1">
              <w:rPr>
                <w:rFonts w:cs="FrankRuehl" w:hint="cs"/>
                <w:sz w:val="28"/>
                <w:szCs w:val="28"/>
                <w:rtl/>
              </w:rPr>
              <w:t xml:space="preserve"> </w:t>
            </w:r>
            <w:r w:rsidRPr="00E218B1">
              <w:rPr>
                <w:rFonts w:cs="FrankRuehl"/>
                <w:sz w:val="28"/>
                <w:szCs w:val="28"/>
                <w:rtl/>
              </w:rPr>
              <w:t>39829-08-21</w:t>
            </w:r>
            <w:r w:rsidRPr="00E218B1">
              <w:rPr>
                <w:rFonts w:cs="FrankRuehl" w:hint="cs"/>
                <w:sz w:val="28"/>
                <w:szCs w:val="28"/>
                <w:rtl/>
              </w:rPr>
              <w:t xml:space="preserve"> </w:t>
            </w:r>
            <w:r w:rsidRPr="00E218B1">
              <w:rPr>
                <w:rFonts w:cs="FrankRuehl"/>
                <w:sz w:val="28"/>
                <w:szCs w:val="28"/>
                <w:rtl/>
              </w:rPr>
              <w:t>מדינת ישראל נ' אלקשחר</w:t>
            </w:r>
          </w:p>
          <w:p w14:paraId="15519FC2" w14:textId="77777777" w:rsidR="00820969" w:rsidRPr="00E218B1" w:rsidRDefault="00820969" w:rsidP="006B286F">
            <w:pPr>
              <w:pStyle w:val="a3"/>
              <w:rPr>
                <w:rFonts w:cs="FrankRuehl"/>
                <w:sz w:val="28"/>
                <w:szCs w:val="28"/>
                <w:rtl/>
              </w:rPr>
            </w:pPr>
          </w:p>
        </w:tc>
        <w:tc>
          <w:tcPr>
            <w:tcW w:w="3666" w:type="dxa"/>
          </w:tcPr>
          <w:p w14:paraId="776A8D55" w14:textId="77777777" w:rsidR="00820969" w:rsidRPr="00E218B1" w:rsidRDefault="00820969" w:rsidP="006B286F">
            <w:pPr>
              <w:pStyle w:val="a3"/>
              <w:jc w:val="right"/>
              <w:rPr>
                <w:rFonts w:cs="FrankRuehl"/>
                <w:sz w:val="28"/>
                <w:szCs w:val="28"/>
                <w:rtl/>
              </w:rPr>
            </w:pPr>
          </w:p>
        </w:tc>
      </w:tr>
    </w:tbl>
    <w:p w14:paraId="64B96B2B" w14:textId="77777777" w:rsidR="00820969" w:rsidRPr="00E218B1" w:rsidRDefault="00820969" w:rsidP="00820969">
      <w:pPr>
        <w:pStyle w:val="a3"/>
        <w:rPr>
          <w:rtl/>
        </w:rPr>
      </w:pPr>
      <w:r w:rsidRPr="00E218B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20969" w:rsidRPr="00E218B1" w14:paraId="679F1DC8" w14:textId="77777777" w:rsidTr="00820969">
        <w:trPr>
          <w:trHeight w:val="295"/>
          <w:jc w:val="center"/>
        </w:trPr>
        <w:tc>
          <w:tcPr>
            <w:tcW w:w="923" w:type="dxa"/>
            <w:tcBorders>
              <w:top w:val="nil"/>
              <w:left w:val="nil"/>
              <w:bottom w:val="nil"/>
              <w:right w:val="nil"/>
            </w:tcBorders>
            <w:shd w:val="clear" w:color="auto" w:fill="auto"/>
          </w:tcPr>
          <w:p w14:paraId="38512C09" w14:textId="77777777" w:rsidR="00820969" w:rsidRPr="00E218B1" w:rsidRDefault="00820969" w:rsidP="00820969">
            <w:pPr>
              <w:jc w:val="both"/>
              <w:rPr>
                <w:rFonts w:ascii="David" w:hAnsi="David"/>
                <w:sz w:val="26"/>
                <w:szCs w:val="26"/>
              </w:rPr>
            </w:pPr>
            <w:r w:rsidRPr="00E218B1">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1D131FD3" w14:textId="77777777" w:rsidR="00820969" w:rsidRPr="00E218B1" w:rsidRDefault="00820969" w:rsidP="006B286F">
            <w:pPr>
              <w:rPr>
                <w:rFonts w:ascii="David" w:hAnsi="David"/>
                <w:b/>
                <w:bCs/>
                <w:sz w:val="26"/>
                <w:szCs w:val="26"/>
                <w:rtl/>
              </w:rPr>
            </w:pPr>
            <w:r w:rsidRPr="00E218B1">
              <w:rPr>
                <w:rFonts w:ascii="David" w:hAnsi="David"/>
                <w:b/>
                <w:bCs/>
                <w:sz w:val="26"/>
                <w:szCs w:val="26"/>
                <w:rtl/>
              </w:rPr>
              <w:t>כבוד השופטת בכירה  שוש שטרית</w:t>
            </w:r>
          </w:p>
          <w:p w14:paraId="01B8B13B" w14:textId="77777777" w:rsidR="00820969" w:rsidRPr="00E218B1" w:rsidRDefault="00820969" w:rsidP="006B286F">
            <w:pPr>
              <w:rPr>
                <w:rFonts w:ascii="David" w:hAnsi="David"/>
                <w:sz w:val="26"/>
                <w:szCs w:val="26"/>
                <w:rtl/>
              </w:rPr>
            </w:pPr>
          </w:p>
          <w:p w14:paraId="2573D42A" w14:textId="77777777" w:rsidR="00820969" w:rsidRPr="00E218B1" w:rsidRDefault="00820969" w:rsidP="00820969">
            <w:pPr>
              <w:jc w:val="both"/>
              <w:rPr>
                <w:rFonts w:ascii="David" w:hAnsi="David"/>
                <w:sz w:val="26"/>
                <w:szCs w:val="26"/>
              </w:rPr>
            </w:pPr>
          </w:p>
        </w:tc>
      </w:tr>
      <w:tr w:rsidR="00820969" w:rsidRPr="00E218B1" w14:paraId="58D0B37C" w14:textId="77777777" w:rsidTr="00820969">
        <w:trPr>
          <w:trHeight w:val="355"/>
          <w:jc w:val="center"/>
        </w:trPr>
        <w:tc>
          <w:tcPr>
            <w:tcW w:w="923" w:type="dxa"/>
            <w:tcBorders>
              <w:top w:val="nil"/>
              <w:left w:val="nil"/>
              <w:bottom w:val="nil"/>
              <w:right w:val="nil"/>
            </w:tcBorders>
            <w:shd w:val="clear" w:color="auto" w:fill="auto"/>
          </w:tcPr>
          <w:p w14:paraId="5E468049" w14:textId="77777777" w:rsidR="00820969" w:rsidRPr="00E218B1" w:rsidRDefault="00820969" w:rsidP="00820969">
            <w:pPr>
              <w:jc w:val="both"/>
              <w:rPr>
                <w:rFonts w:ascii="David" w:hAnsi="David"/>
                <w:sz w:val="26"/>
                <w:szCs w:val="26"/>
              </w:rPr>
            </w:pPr>
            <w:bookmarkStart w:id="1" w:name="FirstAppellant"/>
            <w:bookmarkStart w:id="2" w:name="FirstLawyer"/>
          </w:p>
        </w:tc>
        <w:tc>
          <w:tcPr>
            <w:tcW w:w="3219" w:type="dxa"/>
            <w:tcBorders>
              <w:top w:val="nil"/>
              <w:left w:val="nil"/>
              <w:bottom w:val="nil"/>
              <w:right w:val="nil"/>
            </w:tcBorders>
            <w:shd w:val="clear" w:color="auto" w:fill="auto"/>
          </w:tcPr>
          <w:p w14:paraId="51B4494F" w14:textId="77777777" w:rsidR="00820969" w:rsidRPr="00E218B1" w:rsidRDefault="00820969" w:rsidP="00820969">
            <w:pPr>
              <w:suppressLineNumbers/>
            </w:pPr>
            <w:r w:rsidRPr="00E218B1">
              <w:rPr>
                <w:rFonts w:ascii="Arial" w:hAnsi="Arial" w:hint="cs"/>
                <w:b/>
                <w:bCs/>
                <w:sz w:val="26"/>
                <w:szCs w:val="26"/>
                <w:rtl/>
              </w:rPr>
              <w:t>ה</w:t>
            </w:r>
            <w:r w:rsidRPr="00E218B1">
              <w:rPr>
                <w:rFonts w:ascii="Arial" w:hAnsi="Arial"/>
                <w:b/>
                <w:bCs/>
                <w:sz w:val="26"/>
                <w:szCs w:val="26"/>
                <w:rtl/>
              </w:rPr>
              <w:t>מאשימה</w:t>
            </w:r>
          </w:p>
          <w:p w14:paraId="0C6D3EE8" w14:textId="77777777" w:rsidR="00820969" w:rsidRPr="00E218B1" w:rsidRDefault="00820969" w:rsidP="006B286F">
            <w:pPr>
              <w:rPr>
                <w:rFonts w:ascii="David" w:hAnsi="David"/>
                <w:sz w:val="26"/>
                <w:szCs w:val="26"/>
              </w:rPr>
            </w:pPr>
          </w:p>
        </w:tc>
        <w:tc>
          <w:tcPr>
            <w:tcW w:w="4678" w:type="dxa"/>
            <w:tcBorders>
              <w:top w:val="nil"/>
              <w:left w:val="nil"/>
              <w:bottom w:val="nil"/>
              <w:right w:val="nil"/>
            </w:tcBorders>
            <w:shd w:val="clear" w:color="auto" w:fill="auto"/>
            <w:vAlign w:val="center"/>
          </w:tcPr>
          <w:p w14:paraId="561310A3" w14:textId="77777777" w:rsidR="00820969" w:rsidRPr="00E218B1" w:rsidRDefault="00820969" w:rsidP="00820969">
            <w:pPr>
              <w:suppressLineNumbers/>
              <w:rPr>
                <w:rFonts w:ascii="Arial" w:hAnsi="Arial"/>
                <w:b/>
                <w:bCs/>
                <w:sz w:val="26"/>
                <w:szCs w:val="26"/>
                <w:rtl/>
              </w:rPr>
            </w:pPr>
            <w:r w:rsidRPr="00E218B1">
              <w:rPr>
                <w:rFonts w:ascii="Arial" w:hAnsi="Arial"/>
                <w:b/>
                <w:bCs/>
                <w:sz w:val="26"/>
                <w:szCs w:val="26"/>
                <w:rtl/>
              </w:rPr>
              <w:t>מדינת ישראל</w:t>
            </w:r>
            <w:r w:rsidRPr="00E218B1">
              <w:rPr>
                <w:rFonts w:ascii="Arial" w:hAnsi="Arial" w:hint="cs"/>
                <w:b/>
                <w:bCs/>
                <w:sz w:val="26"/>
                <w:szCs w:val="26"/>
                <w:rtl/>
              </w:rPr>
              <w:t xml:space="preserve"> </w:t>
            </w:r>
            <w:r w:rsidRPr="00E218B1">
              <w:rPr>
                <w:rFonts w:ascii="Arial" w:hAnsi="Arial"/>
                <w:b/>
                <w:bCs/>
                <w:sz w:val="26"/>
                <w:szCs w:val="26"/>
                <w:rtl/>
              </w:rPr>
              <w:t>–</w:t>
            </w:r>
            <w:r w:rsidRPr="00E218B1">
              <w:rPr>
                <w:rFonts w:ascii="Arial" w:hAnsi="Arial" w:hint="cs"/>
                <w:b/>
                <w:bCs/>
                <w:sz w:val="26"/>
                <w:szCs w:val="26"/>
                <w:rtl/>
              </w:rPr>
              <w:t xml:space="preserve"> תביעות נגב</w:t>
            </w:r>
          </w:p>
          <w:p w14:paraId="34722C8F" w14:textId="77777777" w:rsidR="00820969" w:rsidRPr="00E218B1" w:rsidRDefault="00820969" w:rsidP="00820969">
            <w:pPr>
              <w:suppressLineNumbers/>
            </w:pPr>
            <w:r w:rsidRPr="00E218B1">
              <w:rPr>
                <w:rFonts w:ascii="Arial" w:hAnsi="Arial"/>
                <w:b/>
                <w:bCs/>
                <w:sz w:val="26"/>
                <w:szCs w:val="26"/>
                <w:rtl/>
              </w:rPr>
              <w:t>ע"י ב"כ עוה"ד</w:t>
            </w:r>
            <w:r w:rsidRPr="00E218B1">
              <w:rPr>
                <w:rFonts w:ascii="Arial" w:hAnsi="Arial" w:hint="cs"/>
                <w:b/>
                <w:bCs/>
                <w:sz w:val="26"/>
                <w:szCs w:val="26"/>
                <w:rtl/>
              </w:rPr>
              <w:t xml:space="preserve"> ליבנת רחמים בנני </w:t>
            </w:r>
          </w:p>
          <w:p w14:paraId="1B2440A5" w14:textId="77777777" w:rsidR="00820969" w:rsidRPr="00E218B1" w:rsidRDefault="00820969" w:rsidP="006B286F">
            <w:pPr>
              <w:rPr>
                <w:rFonts w:ascii="David" w:hAnsi="David"/>
                <w:sz w:val="26"/>
                <w:szCs w:val="26"/>
              </w:rPr>
            </w:pPr>
          </w:p>
        </w:tc>
      </w:tr>
      <w:bookmarkEnd w:id="1"/>
      <w:bookmarkEnd w:id="2"/>
      <w:tr w:rsidR="00820969" w:rsidRPr="00E218B1" w14:paraId="47FF205B" w14:textId="77777777" w:rsidTr="00820969">
        <w:trPr>
          <w:trHeight w:val="355"/>
          <w:jc w:val="center"/>
        </w:trPr>
        <w:tc>
          <w:tcPr>
            <w:tcW w:w="923" w:type="dxa"/>
            <w:tcBorders>
              <w:top w:val="nil"/>
              <w:left w:val="nil"/>
              <w:bottom w:val="nil"/>
              <w:right w:val="nil"/>
            </w:tcBorders>
            <w:shd w:val="clear" w:color="auto" w:fill="auto"/>
          </w:tcPr>
          <w:p w14:paraId="59828911" w14:textId="77777777" w:rsidR="00820969" w:rsidRPr="00E218B1" w:rsidRDefault="00820969" w:rsidP="00820969">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FD13607" w14:textId="77777777" w:rsidR="00820969" w:rsidRPr="00E218B1" w:rsidRDefault="00820969" w:rsidP="00820969">
            <w:pPr>
              <w:jc w:val="center"/>
              <w:rPr>
                <w:rFonts w:ascii="David" w:hAnsi="David"/>
                <w:b/>
                <w:bCs/>
                <w:sz w:val="26"/>
                <w:szCs w:val="26"/>
                <w:rtl/>
              </w:rPr>
            </w:pPr>
          </w:p>
          <w:p w14:paraId="1812971E" w14:textId="77777777" w:rsidR="00820969" w:rsidRPr="00E218B1" w:rsidRDefault="00820969" w:rsidP="00820969">
            <w:pPr>
              <w:jc w:val="center"/>
              <w:rPr>
                <w:rFonts w:ascii="David" w:hAnsi="David"/>
                <w:b/>
                <w:bCs/>
                <w:sz w:val="26"/>
                <w:szCs w:val="26"/>
                <w:rtl/>
              </w:rPr>
            </w:pPr>
            <w:r w:rsidRPr="00E218B1">
              <w:rPr>
                <w:rFonts w:ascii="David" w:hAnsi="David"/>
                <w:b/>
                <w:bCs/>
                <w:sz w:val="26"/>
                <w:szCs w:val="26"/>
                <w:rtl/>
              </w:rPr>
              <w:t>נגד</w:t>
            </w:r>
          </w:p>
          <w:p w14:paraId="1C3C1505" w14:textId="77777777" w:rsidR="00820969" w:rsidRPr="00E218B1" w:rsidRDefault="00820969" w:rsidP="00820969">
            <w:pPr>
              <w:jc w:val="both"/>
              <w:rPr>
                <w:rFonts w:ascii="David" w:hAnsi="David"/>
                <w:sz w:val="26"/>
                <w:szCs w:val="26"/>
              </w:rPr>
            </w:pPr>
          </w:p>
        </w:tc>
      </w:tr>
      <w:tr w:rsidR="00820969" w:rsidRPr="00E218B1" w14:paraId="35B2E660" w14:textId="77777777" w:rsidTr="00820969">
        <w:trPr>
          <w:trHeight w:val="355"/>
          <w:jc w:val="center"/>
        </w:trPr>
        <w:tc>
          <w:tcPr>
            <w:tcW w:w="923" w:type="dxa"/>
            <w:tcBorders>
              <w:top w:val="nil"/>
              <w:left w:val="nil"/>
              <w:bottom w:val="nil"/>
              <w:right w:val="nil"/>
            </w:tcBorders>
            <w:shd w:val="clear" w:color="auto" w:fill="auto"/>
          </w:tcPr>
          <w:p w14:paraId="21891E19" w14:textId="77777777" w:rsidR="00820969" w:rsidRPr="00E218B1" w:rsidRDefault="00820969" w:rsidP="006B286F">
            <w:pPr>
              <w:rPr>
                <w:rFonts w:ascii="David" w:hAnsi="David"/>
                <w:sz w:val="26"/>
                <w:szCs w:val="26"/>
                <w:rtl/>
              </w:rPr>
            </w:pPr>
          </w:p>
        </w:tc>
        <w:tc>
          <w:tcPr>
            <w:tcW w:w="3219" w:type="dxa"/>
            <w:tcBorders>
              <w:top w:val="nil"/>
              <w:left w:val="nil"/>
              <w:bottom w:val="nil"/>
              <w:right w:val="nil"/>
            </w:tcBorders>
            <w:shd w:val="clear" w:color="auto" w:fill="auto"/>
          </w:tcPr>
          <w:p w14:paraId="24547329" w14:textId="77777777" w:rsidR="00820969" w:rsidRPr="00E218B1" w:rsidRDefault="00820969" w:rsidP="006B286F">
            <w:pPr>
              <w:rPr>
                <w:rFonts w:ascii="Arial" w:hAnsi="Arial"/>
                <w:b/>
                <w:bCs/>
                <w:sz w:val="26"/>
                <w:szCs w:val="26"/>
                <w:rtl/>
              </w:rPr>
            </w:pPr>
            <w:r w:rsidRPr="00E218B1">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6D2A9B6" w14:textId="77777777" w:rsidR="00820969" w:rsidRPr="00E218B1" w:rsidRDefault="00820969" w:rsidP="00820969">
            <w:pPr>
              <w:suppressLineNumbers/>
            </w:pPr>
            <w:r w:rsidRPr="00E218B1">
              <w:rPr>
                <w:rFonts w:ascii="Arial" w:hAnsi="Arial"/>
                <w:b/>
                <w:bCs/>
                <w:sz w:val="26"/>
                <w:szCs w:val="26"/>
                <w:rtl/>
              </w:rPr>
              <w:t xml:space="preserve">אחמד אלקשחר – בעצמו </w:t>
            </w:r>
            <w:r w:rsidRPr="00E218B1">
              <w:rPr>
                <w:rFonts w:ascii="Arial" w:hAnsi="Arial"/>
                <w:b/>
                <w:bCs/>
                <w:sz w:val="26"/>
                <w:szCs w:val="26"/>
                <w:rtl/>
              </w:rPr>
              <w:br/>
              <w:t>ע"י ב"כ עוה"ד</w:t>
            </w:r>
            <w:r w:rsidRPr="00E218B1">
              <w:rPr>
                <w:rFonts w:ascii="Arial" w:hAnsi="Arial" w:hint="cs"/>
                <w:b/>
                <w:bCs/>
                <w:sz w:val="26"/>
                <w:szCs w:val="26"/>
                <w:rtl/>
              </w:rPr>
              <w:t xml:space="preserve"> אחמד וותד</w:t>
            </w:r>
          </w:p>
          <w:p w14:paraId="6AC57F56" w14:textId="77777777" w:rsidR="00820969" w:rsidRPr="00E218B1" w:rsidRDefault="00820969" w:rsidP="006B286F">
            <w:pPr>
              <w:rPr>
                <w:rFonts w:ascii="David" w:hAnsi="David"/>
                <w:sz w:val="26"/>
                <w:szCs w:val="26"/>
              </w:rPr>
            </w:pPr>
          </w:p>
        </w:tc>
      </w:tr>
    </w:tbl>
    <w:p w14:paraId="2B3CCC84" w14:textId="77777777" w:rsidR="00927088" w:rsidRDefault="00927088" w:rsidP="00E218B1">
      <w:pPr>
        <w:rPr>
          <w:rFonts w:ascii="Arial" w:hAnsi="Arial"/>
          <w:sz w:val="26"/>
          <w:szCs w:val="26"/>
          <w:rtl/>
        </w:rPr>
      </w:pPr>
    </w:p>
    <w:p w14:paraId="567E9D0C" w14:textId="77777777" w:rsidR="00927088" w:rsidRPr="00927088" w:rsidRDefault="00927088" w:rsidP="00927088">
      <w:pPr>
        <w:spacing w:after="120" w:line="240" w:lineRule="exact"/>
        <w:ind w:left="283" w:hanging="283"/>
        <w:jc w:val="both"/>
        <w:rPr>
          <w:rFonts w:ascii="FrankRuehl" w:hAnsi="FrankRuehl" w:cs="FrankRuehl"/>
          <w:rtl/>
        </w:rPr>
      </w:pPr>
    </w:p>
    <w:p w14:paraId="525BBEEF" w14:textId="77777777" w:rsidR="009419FF" w:rsidRPr="009419FF" w:rsidRDefault="009419FF" w:rsidP="009419FF">
      <w:pPr>
        <w:spacing w:before="120" w:after="120" w:line="240" w:lineRule="exact"/>
        <w:ind w:left="283" w:hanging="283"/>
        <w:jc w:val="both"/>
        <w:rPr>
          <w:rFonts w:ascii="FrankRuehl" w:hAnsi="FrankRuehl" w:cs="FrankRuehl"/>
          <w:rtl/>
        </w:rPr>
      </w:pPr>
    </w:p>
    <w:p w14:paraId="24B8AE0B" w14:textId="77777777" w:rsidR="001A5544" w:rsidRDefault="001A5544" w:rsidP="001A5544">
      <w:pPr>
        <w:rPr>
          <w:rFonts w:ascii="Arial" w:hAnsi="Arial"/>
          <w:sz w:val="26"/>
          <w:szCs w:val="26"/>
          <w:rtl/>
        </w:rPr>
      </w:pPr>
      <w:bookmarkStart w:id="3" w:name="LawTable"/>
      <w:bookmarkEnd w:id="3"/>
    </w:p>
    <w:p w14:paraId="5BF99FF4" w14:textId="77777777" w:rsidR="001A5544" w:rsidRPr="001A5544" w:rsidRDefault="001A5544" w:rsidP="001A5544">
      <w:pPr>
        <w:spacing w:before="120" w:after="120" w:line="240" w:lineRule="exact"/>
        <w:ind w:left="283" w:hanging="283"/>
        <w:jc w:val="both"/>
        <w:rPr>
          <w:rFonts w:ascii="FrankRuehl" w:hAnsi="FrankRuehl" w:cs="FrankRuehl"/>
          <w:rtl/>
        </w:rPr>
      </w:pPr>
    </w:p>
    <w:p w14:paraId="127A4A2E" w14:textId="77777777" w:rsidR="001A5544" w:rsidRPr="001A5544" w:rsidRDefault="001A5544" w:rsidP="001A5544">
      <w:pPr>
        <w:spacing w:before="120" w:after="120" w:line="240" w:lineRule="exact"/>
        <w:ind w:left="283" w:hanging="283"/>
        <w:jc w:val="both"/>
        <w:rPr>
          <w:rFonts w:ascii="FrankRuehl" w:hAnsi="FrankRuehl" w:cs="FrankRuehl"/>
          <w:rtl/>
        </w:rPr>
      </w:pPr>
    </w:p>
    <w:p w14:paraId="787C87D2" w14:textId="77777777" w:rsidR="001A5544" w:rsidRPr="001A5544" w:rsidRDefault="001A5544" w:rsidP="001A5544">
      <w:pPr>
        <w:spacing w:before="120" w:after="120" w:line="240" w:lineRule="exact"/>
        <w:ind w:left="283" w:hanging="283"/>
        <w:jc w:val="both"/>
        <w:rPr>
          <w:rFonts w:ascii="FrankRuehl" w:hAnsi="FrankRuehl" w:cs="FrankRuehl"/>
          <w:rtl/>
        </w:rPr>
      </w:pPr>
      <w:r w:rsidRPr="001A5544">
        <w:rPr>
          <w:rFonts w:ascii="FrankRuehl" w:hAnsi="FrankRuehl" w:cs="FrankRuehl"/>
          <w:rtl/>
        </w:rPr>
        <w:t xml:space="preserve">חקיקה שאוזכרה: </w:t>
      </w:r>
    </w:p>
    <w:p w14:paraId="5C737D92" w14:textId="77777777" w:rsidR="001A5544" w:rsidRPr="001A5544" w:rsidRDefault="001A5544" w:rsidP="001A5544">
      <w:pPr>
        <w:spacing w:before="120" w:after="120" w:line="240" w:lineRule="exact"/>
        <w:ind w:left="283" w:hanging="283"/>
        <w:jc w:val="both"/>
        <w:rPr>
          <w:rFonts w:ascii="FrankRuehl" w:hAnsi="FrankRuehl" w:cs="FrankRuehl"/>
          <w:rtl/>
        </w:rPr>
      </w:pPr>
      <w:hyperlink r:id="rId7" w:history="1">
        <w:r w:rsidRPr="001A5544">
          <w:rPr>
            <w:rFonts w:ascii="FrankRuehl" w:hAnsi="FrankRuehl" w:cs="FrankRuehl"/>
            <w:color w:val="0000FF"/>
            <w:rtl/>
          </w:rPr>
          <w:t>פקודת הסמים המסוכנים [נוסח חדש], תשל"ג-1973</w:t>
        </w:r>
      </w:hyperlink>
      <w:r w:rsidRPr="001A5544">
        <w:rPr>
          <w:rFonts w:ascii="FrankRuehl" w:hAnsi="FrankRuehl" w:cs="FrankRuehl"/>
          <w:rtl/>
        </w:rPr>
        <w:t xml:space="preserve">: סע'  </w:t>
      </w:r>
      <w:hyperlink r:id="rId8" w:history="1">
        <w:r w:rsidRPr="001A5544">
          <w:rPr>
            <w:rFonts w:ascii="FrankRuehl" w:hAnsi="FrankRuehl" w:cs="FrankRuehl"/>
            <w:color w:val="0000FF"/>
            <w:rtl/>
          </w:rPr>
          <w:t>7.א.</w:t>
        </w:r>
      </w:hyperlink>
      <w:r w:rsidRPr="001A5544">
        <w:rPr>
          <w:rFonts w:ascii="FrankRuehl" w:hAnsi="FrankRuehl" w:cs="FrankRuehl"/>
          <w:rtl/>
        </w:rPr>
        <w:t xml:space="preserve">, </w:t>
      </w:r>
      <w:hyperlink r:id="rId9" w:history="1">
        <w:r w:rsidRPr="001A5544">
          <w:rPr>
            <w:rFonts w:ascii="FrankRuehl" w:hAnsi="FrankRuehl" w:cs="FrankRuehl"/>
            <w:color w:val="0000FF"/>
            <w:rtl/>
          </w:rPr>
          <w:t>7.ג</w:t>
        </w:r>
      </w:hyperlink>
    </w:p>
    <w:p w14:paraId="55A534A9" w14:textId="77777777" w:rsidR="001A5544" w:rsidRPr="001A5544" w:rsidRDefault="001A5544" w:rsidP="001A5544">
      <w:pPr>
        <w:spacing w:before="120" w:after="120" w:line="240" w:lineRule="exact"/>
        <w:ind w:left="283" w:hanging="283"/>
        <w:jc w:val="both"/>
        <w:rPr>
          <w:rFonts w:ascii="FrankRuehl" w:hAnsi="FrankRuehl" w:cs="FrankRuehl"/>
          <w:rtl/>
        </w:rPr>
      </w:pPr>
      <w:hyperlink r:id="rId10" w:history="1">
        <w:r w:rsidRPr="001A5544">
          <w:rPr>
            <w:rFonts w:ascii="FrankRuehl" w:hAnsi="FrankRuehl" w:cs="FrankRuehl"/>
            <w:color w:val="0000FF"/>
            <w:rtl/>
          </w:rPr>
          <w:t>חוק העונשין, תשל"ז-1977</w:t>
        </w:r>
      </w:hyperlink>
      <w:r w:rsidRPr="001A5544">
        <w:rPr>
          <w:rFonts w:ascii="FrankRuehl" w:hAnsi="FrankRuehl" w:cs="FrankRuehl"/>
          <w:rtl/>
        </w:rPr>
        <w:t xml:space="preserve">: סע'  </w:t>
      </w:r>
      <w:hyperlink r:id="rId11" w:history="1">
        <w:r w:rsidRPr="001A5544">
          <w:rPr>
            <w:rFonts w:ascii="FrankRuehl" w:hAnsi="FrankRuehl" w:cs="FrankRuehl"/>
            <w:color w:val="0000FF"/>
            <w:rtl/>
          </w:rPr>
          <w:t>275</w:t>
        </w:r>
      </w:hyperlink>
    </w:p>
    <w:p w14:paraId="3DE22371" w14:textId="77777777" w:rsidR="001A5544" w:rsidRPr="001A5544" w:rsidRDefault="001A5544" w:rsidP="001A5544">
      <w:pPr>
        <w:rPr>
          <w:rFonts w:ascii="Arial" w:hAnsi="Arial"/>
          <w:sz w:val="26"/>
          <w:szCs w:val="26"/>
          <w:rtl/>
        </w:rPr>
      </w:pPr>
      <w:bookmarkStart w:id="4" w:name="LawTable_End"/>
      <w:bookmarkEnd w:id="4"/>
    </w:p>
    <w:p w14:paraId="27767D0B" w14:textId="77777777" w:rsidR="00820969" w:rsidRPr="009419FF" w:rsidRDefault="00820969" w:rsidP="009419FF">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20969" w14:paraId="4AFFF359" w14:textId="77777777" w:rsidTr="00820969">
        <w:trPr>
          <w:trHeight w:val="355"/>
          <w:jc w:val="center"/>
        </w:trPr>
        <w:tc>
          <w:tcPr>
            <w:tcW w:w="8820" w:type="dxa"/>
            <w:tcBorders>
              <w:top w:val="nil"/>
              <w:left w:val="nil"/>
              <w:bottom w:val="nil"/>
              <w:right w:val="nil"/>
            </w:tcBorders>
            <w:shd w:val="clear" w:color="auto" w:fill="auto"/>
          </w:tcPr>
          <w:p w14:paraId="07A7E46B" w14:textId="77777777" w:rsidR="00E218B1" w:rsidRPr="00E218B1" w:rsidRDefault="00E218B1" w:rsidP="00E218B1">
            <w:pPr>
              <w:jc w:val="center"/>
              <w:rPr>
                <w:rFonts w:ascii="David" w:hAnsi="David"/>
                <w:b/>
                <w:bCs/>
                <w:sz w:val="32"/>
                <w:szCs w:val="32"/>
                <w:u w:val="single"/>
                <w:rtl/>
              </w:rPr>
            </w:pPr>
            <w:bookmarkStart w:id="5" w:name="PsakDin" w:colFirst="0" w:colLast="0"/>
            <w:bookmarkEnd w:id="0"/>
            <w:r w:rsidRPr="00E218B1">
              <w:rPr>
                <w:rFonts w:ascii="David" w:hAnsi="David"/>
                <w:b/>
                <w:bCs/>
                <w:sz w:val="32"/>
                <w:szCs w:val="32"/>
                <w:u w:val="single"/>
                <w:rtl/>
              </w:rPr>
              <w:t>גזר דין</w:t>
            </w:r>
          </w:p>
          <w:p w14:paraId="4EF2930B" w14:textId="77777777" w:rsidR="00820969" w:rsidRPr="00E218B1" w:rsidRDefault="00820969" w:rsidP="00E218B1">
            <w:pPr>
              <w:jc w:val="center"/>
              <w:rPr>
                <w:rFonts w:ascii="David" w:hAnsi="David"/>
                <w:bCs/>
                <w:sz w:val="32"/>
                <w:szCs w:val="32"/>
                <w:u w:val="single"/>
                <w:rtl/>
              </w:rPr>
            </w:pPr>
          </w:p>
        </w:tc>
      </w:tr>
      <w:bookmarkEnd w:id="5"/>
    </w:tbl>
    <w:p w14:paraId="58277BD1" w14:textId="77777777" w:rsidR="00820969" w:rsidRPr="000F2247" w:rsidRDefault="00820969" w:rsidP="00820969">
      <w:pPr>
        <w:rPr>
          <w:rFonts w:ascii="Arial" w:hAnsi="Arial"/>
          <w:b/>
          <w:bCs/>
          <w:sz w:val="26"/>
          <w:szCs w:val="26"/>
          <w:rtl/>
        </w:rPr>
      </w:pPr>
    </w:p>
    <w:p w14:paraId="7DC5DCA2" w14:textId="77777777" w:rsidR="00820969" w:rsidRDefault="00820969" w:rsidP="00820969">
      <w:pPr>
        <w:spacing w:line="360" w:lineRule="auto"/>
        <w:jc w:val="both"/>
        <w:rPr>
          <w:rFonts w:ascii="Arial" w:hAnsi="Arial"/>
        </w:rPr>
      </w:pPr>
      <w:bookmarkStart w:id="6" w:name="ABSTRACT_START"/>
      <w:bookmarkEnd w:id="6"/>
      <w:r>
        <w:rPr>
          <w:rFonts w:ascii="Arial" w:hAnsi="Arial"/>
          <w:rtl/>
        </w:rPr>
        <w:t>על יסוד הודאתו בעובדות כתב האישום המתוקן הורשע הנאשם ב</w:t>
      </w:r>
      <w:r>
        <w:rPr>
          <w:rFonts w:ascii="Arial" w:hAnsi="Arial"/>
          <w:b/>
          <w:bCs/>
          <w:rtl/>
        </w:rPr>
        <w:t>החזקת סם שלא לצריכה עצמית</w:t>
      </w:r>
      <w:r>
        <w:rPr>
          <w:rFonts w:ascii="Arial" w:hAnsi="Arial"/>
          <w:rtl/>
        </w:rPr>
        <w:t xml:space="preserve">, עבירה לפי סעיף </w:t>
      </w:r>
      <w:hyperlink r:id="rId12" w:history="1">
        <w:r w:rsidR="00927088" w:rsidRPr="00927088">
          <w:rPr>
            <w:rStyle w:val="Hyperlink"/>
            <w:rFonts w:ascii="Arial" w:hAnsi="Arial"/>
            <w:rtl/>
          </w:rPr>
          <w:t>7 (א) + 7 (ג)</w:t>
        </w:r>
      </w:hyperlink>
      <w:r>
        <w:rPr>
          <w:rFonts w:ascii="Arial" w:hAnsi="Arial"/>
          <w:rtl/>
        </w:rPr>
        <w:t xml:space="preserve"> רישא ל</w:t>
      </w:r>
      <w:hyperlink r:id="rId13" w:history="1">
        <w:r w:rsidR="00E218B1" w:rsidRPr="00E218B1">
          <w:rPr>
            <w:rFonts w:ascii="Arial" w:hAnsi="Arial"/>
            <w:color w:val="0000FF"/>
            <w:u w:val="single"/>
            <w:rtl/>
          </w:rPr>
          <w:t>פקודת הסמים המסוכנים</w:t>
        </w:r>
      </w:hyperlink>
      <w:r>
        <w:rPr>
          <w:rFonts w:ascii="Arial" w:hAnsi="Arial"/>
          <w:rtl/>
        </w:rPr>
        <w:t xml:space="preserve"> (נ"ח), תשל"ג -1973, ו</w:t>
      </w:r>
      <w:r>
        <w:rPr>
          <w:rFonts w:ascii="Arial" w:hAnsi="Arial"/>
          <w:b/>
          <w:bCs/>
          <w:rtl/>
        </w:rPr>
        <w:t>בהפרעת שוטר בעת מילוי תפקידו,</w:t>
      </w:r>
      <w:r>
        <w:rPr>
          <w:rFonts w:ascii="Arial" w:hAnsi="Arial"/>
          <w:rtl/>
        </w:rPr>
        <w:t xml:space="preserve"> עבירה לפי </w:t>
      </w:r>
      <w:hyperlink r:id="rId14" w:history="1">
        <w:r w:rsidR="00927088" w:rsidRPr="00927088">
          <w:rPr>
            <w:rStyle w:val="Hyperlink"/>
            <w:rFonts w:ascii="Arial" w:hAnsi="Arial"/>
            <w:rtl/>
          </w:rPr>
          <w:t>סעיף 275</w:t>
        </w:r>
      </w:hyperlink>
      <w:r>
        <w:rPr>
          <w:rFonts w:ascii="Arial" w:hAnsi="Arial"/>
          <w:rtl/>
        </w:rPr>
        <w:t xml:space="preserve"> ל</w:t>
      </w:r>
      <w:hyperlink r:id="rId15" w:history="1">
        <w:r w:rsidR="00E218B1" w:rsidRPr="00E218B1">
          <w:rPr>
            <w:rFonts w:ascii="Arial" w:hAnsi="Arial"/>
            <w:color w:val="0000FF"/>
            <w:u w:val="single"/>
            <w:rtl/>
          </w:rPr>
          <w:t>חוק העונשין</w:t>
        </w:r>
      </w:hyperlink>
      <w:r>
        <w:rPr>
          <w:rFonts w:ascii="Arial" w:hAnsi="Arial"/>
          <w:rtl/>
        </w:rPr>
        <w:t xml:space="preserve">, התשל"ז -1977. </w:t>
      </w:r>
    </w:p>
    <w:p w14:paraId="2AAE3FA5" w14:textId="77777777" w:rsidR="00820969" w:rsidRDefault="00820969" w:rsidP="00820969">
      <w:pPr>
        <w:spacing w:line="360" w:lineRule="auto"/>
        <w:jc w:val="both"/>
        <w:rPr>
          <w:rFonts w:ascii="Arial" w:hAnsi="Arial"/>
          <w:b/>
          <w:bCs/>
          <w:u w:val="single"/>
          <w:rtl/>
        </w:rPr>
      </w:pPr>
      <w:bookmarkStart w:id="7" w:name="ABSTRACT_END"/>
      <w:bookmarkEnd w:id="7"/>
    </w:p>
    <w:p w14:paraId="79CC5C1A" w14:textId="77777777" w:rsidR="00820969" w:rsidRDefault="00820969" w:rsidP="00820969">
      <w:pPr>
        <w:spacing w:line="360" w:lineRule="auto"/>
        <w:jc w:val="both"/>
        <w:rPr>
          <w:rFonts w:ascii="Arial" w:hAnsi="Arial"/>
          <w:b/>
          <w:bCs/>
          <w:u w:val="single"/>
          <w:rtl/>
        </w:rPr>
      </w:pPr>
      <w:r>
        <w:rPr>
          <w:rFonts w:ascii="Arial" w:hAnsi="Arial"/>
          <w:b/>
          <w:bCs/>
          <w:u w:val="single"/>
          <w:rtl/>
        </w:rPr>
        <w:t>כתב אישום מתוקן</w:t>
      </w:r>
    </w:p>
    <w:p w14:paraId="2FF6565F" w14:textId="77777777" w:rsidR="00820969" w:rsidRDefault="00820969" w:rsidP="00820969">
      <w:pPr>
        <w:spacing w:line="360" w:lineRule="auto"/>
        <w:jc w:val="both"/>
        <w:rPr>
          <w:rFonts w:ascii="Arial" w:hAnsi="Arial"/>
          <w:rtl/>
        </w:rPr>
      </w:pPr>
      <w:r>
        <w:rPr>
          <w:rFonts w:ascii="Arial" w:hAnsi="Arial"/>
          <w:rtl/>
        </w:rPr>
        <w:t xml:space="preserve">במסגרת הסדר אליו הגיעו הצדדים תוקן כתב האישום אשר מעובדותיו עולה כי ביום 11.8.2021 החזיק הנאשם בתוך תיק ושקית שהיו בביתו, סם מסוכן מסוג קנבוס במשקל כולל של 300 גרם נטו. במועד הנ"ל עת הגיעו שוטרים לבית הנאשם, הפריע להם האחרון למלא תפקידם בכך שהשליך מבעד חלון הבית את התיק והשקית שהכילו את הסמים. </w:t>
      </w:r>
    </w:p>
    <w:p w14:paraId="185C36FB" w14:textId="77777777" w:rsidR="00820969" w:rsidRDefault="00820969" w:rsidP="00820969">
      <w:pPr>
        <w:spacing w:line="360" w:lineRule="auto"/>
        <w:jc w:val="both"/>
        <w:rPr>
          <w:rFonts w:ascii="Arial" w:hAnsi="Arial"/>
          <w:rtl/>
        </w:rPr>
      </w:pPr>
    </w:p>
    <w:p w14:paraId="24B60511" w14:textId="77777777" w:rsidR="00820969" w:rsidRDefault="00820969" w:rsidP="00820969">
      <w:pPr>
        <w:spacing w:line="360" w:lineRule="auto"/>
        <w:jc w:val="both"/>
        <w:rPr>
          <w:rFonts w:ascii="Arial" w:hAnsi="Arial"/>
          <w:b/>
          <w:bCs/>
          <w:u w:val="single"/>
          <w:rtl/>
        </w:rPr>
      </w:pPr>
      <w:r>
        <w:rPr>
          <w:rFonts w:ascii="Arial" w:hAnsi="Arial"/>
          <w:b/>
          <w:bCs/>
          <w:u w:val="single"/>
          <w:rtl/>
        </w:rPr>
        <w:t>תסקיר שירות מבחן</w:t>
      </w:r>
    </w:p>
    <w:p w14:paraId="75ED1465" w14:textId="77777777" w:rsidR="00820969" w:rsidRDefault="00820969" w:rsidP="00820969">
      <w:pPr>
        <w:spacing w:line="360" w:lineRule="auto"/>
        <w:jc w:val="both"/>
        <w:rPr>
          <w:rFonts w:ascii="Arial" w:hAnsi="Arial"/>
          <w:rtl/>
        </w:rPr>
      </w:pPr>
      <w:r>
        <w:rPr>
          <w:rFonts w:ascii="Arial" w:hAnsi="Arial"/>
          <w:rtl/>
        </w:rPr>
        <w:t xml:space="preserve">ההסדר בין הצדדים לא כלל הסכמה לעונש ולבקשת ההגנה התבקש שירות המבחן להגיש תסקיר.  מהתסקיר נלמד כי הנאשם בן  27, תושב פזורת אל עזאזמה, נשוי ואב לתינוק בן כחצי שנה, עובד </w:t>
      </w:r>
      <w:r>
        <w:rPr>
          <w:rFonts w:ascii="Arial" w:hAnsi="Arial"/>
          <w:rtl/>
        </w:rPr>
        <w:lastRenderedPageBreak/>
        <w:t xml:space="preserve">מזה 8 חודשים בחברה קבלנית בתחום הגינון. מקורותיו  במקביל ללימודיו, החל לעבוד בגיל 17 על מנת לסייע בפרנסת המשפחה ועם זאת הצליח לסיים 12 שנות לימוד. החל מגיל 18 עבר להתגורר בבאר שבע ובמשך כ-7 שנים עבד במפעל בנאות חובב ומדיווח מעסיקו במקום העבודה הנוכחי עולה כי הינו עובד ממושמע ורציני. </w:t>
      </w:r>
    </w:p>
    <w:p w14:paraId="233461E0" w14:textId="77777777" w:rsidR="00820969" w:rsidRDefault="00820969" w:rsidP="00820969">
      <w:pPr>
        <w:spacing w:line="360" w:lineRule="auto"/>
        <w:jc w:val="both"/>
        <w:rPr>
          <w:rFonts w:ascii="Arial" w:hAnsi="Arial"/>
          <w:rtl/>
        </w:rPr>
      </w:pPr>
      <w:r>
        <w:rPr>
          <w:rFonts w:ascii="Arial" w:hAnsi="Arial"/>
          <w:rtl/>
        </w:rPr>
        <w:t xml:space="preserve">הנאשם שיתף כי מגיל 20 עישן קנביס שהתחיל על רקע קשרים חברתיים שניהל, בהמשך עשה שימוש  באופן יום יומי תוך שהסתיר זאת מאשתו. לדבריו, מאז שנעצר בתיק הנוכחי נמנע לחלוטין מעישון סמים, ובהקשר זה ציין השירות כי בבדיקות שתן שבוצעו לנאשם לא נמצאו שרידי סם. </w:t>
      </w:r>
    </w:p>
    <w:p w14:paraId="2B9B9988" w14:textId="77777777" w:rsidR="00820969" w:rsidRDefault="00820969" w:rsidP="00820969">
      <w:pPr>
        <w:spacing w:line="360" w:lineRule="auto"/>
        <w:jc w:val="both"/>
        <w:rPr>
          <w:rFonts w:ascii="Arial" w:hAnsi="Arial"/>
          <w:rtl/>
        </w:rPr>
      </w:pPr>
      <w:r>
        <w:rPr>
          <w:rFonts w:ascii="Arial" w:hAnsi="Arial"/>
          <w:rtl/>
        </w:rPr>
        <w:t xml:space="preserve">שירות המבחן התרשם מהנאשם כבעל יכולות ורבליות וקוגניטיביות תקינות המביע רצון לניהול אורח חיים מתפקד וחיובי. ציין כי מדובר במי שמגיל צעיר התנתק מבני משפחתו והתגורר לבדו נוכח חוויות רגשיות לא פתורות מול בני משפחתו, ועל רקע זה, כשהוא נעדר כל מקורות תמיכה ניהל קשרים חברתיים והיה מעורב בהתנהגות עבריינית. </w:t>
      </w:r>
    </w:p>
    <w:p w14:paraId="0B5DB101" w14:textId="77777777" w:rsidR="00820969" w:rsidRDefault="00820969" w:rsidP="00820969">
      <w:pPr>
        <w:spacing w:line="360" w:lineRule="auto"/>
        <w:jc w:val="both"/>
        <w:rPr>
          <w:rFonts w:ascii="Arial" w:hAnsi="Arial"/>
          <w:rtl/>
        </w:rPr>
      </w:pPr>
      <w:r>
        <w:rPr>
          <w:rFonts w:ascii="Arial" w:hAnsi="Arial"/>
          <w:rtl/>
        </w:rPr>
        <w:t xml:space="preserve">הנאשם מודה ולוקח אחריות מלאה על מעשיו והסביר כי עת הגיעו השוטרים לביתו, נבהל ועל כן השליך את הסם. ביחס לשילובו ביחידה להתמכרויות, הנאשם הביע אמביוולנטיות. הגיע לפגישה שנקבעה לו עם גורמי הטיפול אולם שם מסר כי אינו זקוק לטיפול בתחום הסמים מכיוון שהפסיק לעשן וציין כי הוא מוכן להמשיך לבצע בדיקות שתן על מנת להוכיח שהוא נקי .  </w:t>
      </w:r>
      <w:r>
        <w:rPr>
          <w:rFonts w:ascii="Arial" w:hAnsi="Arial"/>
          <w:b/>
          <w:bCs/>
          <w:rtl/>
        </w:rPr>
        <w:t xml:space="preserve">בהתייחס השירות לגורמי הסיכון, </w:t>
      </w:r>
      <w:r>
        <w:rPr>
          <w:rFonts w:ascii="Arial" w:hAnsi="Arial"/>
          <w:rtl/>
        </w:rPr>
        <w:t>ציין</w:t>
      </w:r>
      <w:r>
        <w:rPr>
          <w:rFonts w:ascii="Arial" w:hAnsi="Arial"/>
          <w:b/>
          <w:bCs/>
          <w:rtl/>
        </w:rPr>
        <w:t xml:space="preserve"> </w:t>
      </w:r>
      <w:r>
        <w:rPr>
          <w:rFonts w:ascii="Arial" w:hAnsi="Arial"/>
          <w:rtl/>
        </w:rPr>
        <w:t xml:space="preserve">ברקע משפחתי מורכב וקשיים שהתבטאו בניהול מערכות יחסים אינטימיות, ובהסתרת בשימוש בסמים ועל כן קיים צורך בטיפול מתאים. </w:t>
      </w:r>
    </w:p>
    <w:p w14:paraId="245C287D" w14:textId="77777777" w:rsidR="00820969" w:rsidRDefault="00820969" w:rsidP="00820969">
      <w:pPr>
        <w:spacing w:line="360" w:lineRule="auto"/>
        <w:jc w:val="both"/>
        <w:rPr>
          <w:rFonts w:ascii="Arial" w:hAnsi="Arial"/>
          <w:rtl/>
        </w:rPr>
      </w:pPr>
      <w:r>
        <w:rPr>
          <w:rFonts w:ascii="Arial" w:hAnsi="Arial"/>
          <w:b/>
          <w:bCs/>
          <w:rtl/>
        </w:rPr>
        <w:t xml:space="preserve">בהתייחס לגורמי הסיכוי לשיקום, </w:t>
      </w:r>
      <w:r>
        <w:rPr>
          <w:rFonts w:ascii="Arial" w:hAnsi="Arial"/>
          <w:rtl/>
        </w:rPr>
        <w:t xml:space="preserve">ציין השירות כי הנאשם מצוי בתחילת הליך שינוי המתבטא בעבודה הנוכחית ובמחויבות כלפי משפחתו ובחזרתו לחיק משפחת המוצא, כמו גם בכך שהנאשם הודה ולקח אחריות ובנוסף כי הוא נמנע מצריכת סמים כפי שעולה מבדיקות השתן שביצע. </w:t>
      </w:r>
    </w:p>
    <w:p w14:paraId="7E8A14EE" w14:textId="77777777" w:rsidR="00820969" w:rsidRDefault="00820969" w:rsidP="00820969">
      <w:pPr>
        <w:spacing w:line="360" w:lineRule="auto"/>
        <w:jc w:val="both"/>
        <w:rPr>
          <w:rFonts w:ascii="Arial" w:hAnsi="Arial"/>
          <w:rtl/>
        </w:rPr>
      </w:pPr>
      <w:r>
        <w:rPr>
          <w:rFonts w:ascii="Arial" w:hAnsi="Arial"/>
          <w:rtl/>
        </w:rPr>
        <w:t xml:space="preserve">מכלל הדברים האמורים, לאור עמדת הנאשם לפיה הוא אינו נזקק לטיפול בתחום  הסמים, השירות נמנע מהמלצה טיפולית בעניינו. אשר לעונש, סבור השירות כי  ההליך הנוכחי משמעותי ומרתיע עבור הנאשם אשר תפקודו התעסוקתי יציב והוא נקי מסמים, ועל כן, על מנת שלא יפגע הסיכוי לשיקום הנאשם, מומלץ להסתפק בענישה צופה פני עתיד בדמות מאסר מותנה , לצד הטלת קנס כספי וחתימה על התחייבות להימנע מביצוע עבירה. </w:t>
      </w:r>
    </w:p>
    <w:p w14:paraId="1251E048" w14:textId="77777777" w:rsidR="00820969" w:rsidRDefault="00820969" w:rsidP="00820969">
      <w:pPr>
        <w:spacing w:line="360" w:lineRule="auto"/>
        <w:jc w:val="both"/>
        <w:rPr>
          <w:rFonts w:ascii="Arial" w:hAnsi="Arial"/>
          <w:rtl/>
        </w:rPr>
      </w:pPr>
    </w:p>
    <w:p w14:paraId="6A15DA55" w14:textId="77777777" w:rsidR="00820969" w:rsidRDefault="00820969" w:rsidP="00820969">
      <w:pPr>
        <w:spacing w:line="360" w:lineRule="auto"/>
        <w:jc w:val="both"/>
        <w:rPr>
          <w:rFonts w:ascii="Arial" w:hAnsi="Arial"/>
          <w:b/>
          <w:bCs/>
          <w:u w:val="single"/>
          <w:rtl/>
        </w:rPr>
      </w:pPr>
      <w:r>
        <w:rPr>
          <w:rFonts w:ascii="Arial" w:hAnsi="Arial"/>
          <w:b/>
          <w:bCs/>
          <w:u w:val="single"/>
          <w:rtl/>
        </w:rPr>
        <w:t xml:space="preserve">ראיות ותמצית טיעוני הצדדים לעונש </w:t>
      </w:r>
    </w:p>
    <w:p w14:paraId="6365E736" w14:textId="77777777" w:rsidR="00820969" w:rsidRPr="006024B7" w:rsidRDefault="00820969" w:rsidP="00820969">
      <w:pPr>
        <w:spacing w:line="360" w:lineRule="auto"/>
        <w:jc w:val="both"/>
        <w:rPr>
          <w:noProof/>
          <w:rtl/>
        </w:rPr>
      </w:pPr>
      <w:r w:rsidRPr="00A05347">
        <w:rPr>
          <w:b/>
          <w:bCs/>
          <w:rtl/>
        </w:rPr>
        <w:t>המאשימה</w:t>
      </w:r>
      <w:r>
        <w:rPr>
          <w:rtl/>
        </w:rPr>
        <w:t xml:space="preserve"> הגישה כראיות לעונש את </w:t>
      </w:r>
      <w:r>
        <w:rPr>
          <w:rFonts w:hint="cs"/>
          <w:rtl/>
        </w:rPr>
        <w:t xml:space="preserve">רישומו </w:t>
      </w:r>
      <w:r w:rsidRPr="006024B7">
        <w:rPr>
          <w:rFonts w:hint="cs"/>
          <w:rtl/>
        </w:rPr>
        <w:t>הפלילי ו</w:t>
      </w:r>
      <w:r w:rsidRPr="006024B7">
        <w:rPr>
          <w:rtl/>
        </w:rPr>
        <w:t>מאסר על תנאי מ</w:t>
      </w:r>
      <w:hyperlink r:id="rId16" w:history="1">
        <w:r w:rsidR="00E218B1" w:rsidRPr="00E218B1">
          <w:rPr>
            <w:color w:val="0000FF"/>
            <w:u w:val="single"/>
            <w:rtl/>
          </w:rPr>
          <w:t>ת"פ 27883-03-19</w:t>
        </w:r>
      </w:hyperlink>
      <w:r w:rsidRPr="006024B7">
        <w:rPr>
          <w:rtl/>
        </w:rPr>
        <w:t xml:space="preserve">. בטיעוניה בכתב עמדה על הערכים המוגנים בבסיס איסור עבירות סמים, פגיעת הנאשם בערכים אלה, ועתרה לקבוע את מתחם העונש ההולם כך שינוע  7 ל 14 חודשי מאסר בפועל, ובתימוכין הפנתה למקרים שונים בפסיקה. </w:t>
      </w:r>
    </w:p>
    <w:p w14:paraId="5763F7E1" w14:textId="77777777" w:rsidR="00820969" w:rsidRDefault="00820969" w:rsidP="00820969">
      <w:pPr>
        <w:spacing w:line="360" w:lineRule="auto"/>
        <w:jc w:val="both"/>
        <w:rPr>
          <w:rtl/>
        </w:rPr>
      </w:pPr>
      <w:r w:rsidRPr="006024B7">
        <w:rPr>
          <w:rtl/>
        </w:rPr>
        <w:t xml:space="preserve">בהתייחסה לעונשו של הנאשם בתוך </w:t>
      </w:r>
      <w:r w:rsidRPr="00797546">
        <w:rPr>
          <w:rtl/>
        </w:rPr>
        <w:t>המתחם הפנתה ב"כ התביעה לעובדה כי הנאשם לא גילה נכונות להשתלב בהליך טיפולי, ובלשונה, כי לא השכיל לנצל את הפנייתו לשירות  המבחן  "לתיקון דרכיו העברייניות".  לדידה של התביעה, בהעדר הליכי שיקום אין מקום לסטות ממתחם העונש לו עתרה כאמור, ובשים לב כי בעברו הפלילי  3 הרשעות קודמות שהאחרונה בהן בעבירה של החזקת סם לצריכה עצמית בגדרה הושת עליו מאסר על תנאי בן 4 חודשים - עתרה להעמיד עונשו ברף הבינוני של המתחם לו עתרה, ולהפעיל את המאסר על תנאי במצטבר, פסילה מלנהוג, קנס</w:t>
      </w:r>
      <w:r>
        <w:rPr>
          <w:rtl/>
        </w:rPr>
        <w:t xml:space="preserve"> והתחייבות כספית להימנע מעבירות סמים.  </w:t>
      </w:r>
    </w:p>
    <w:p w14:paraId="312956D8" w14:textId="77777777" w:rsidR="00820969" w:rsidRDefault="00820969" w:rsidP="00820969">
      <w:pPr>
        <w:spacing w:line="360" w:lineRule="auto"/>
        <w:jc w:val="both"/>
        <w:rPr>
          <w:rtl/>
        </w:rPr>
      </w:pPr>
    </w:p>
    <w:p w14:paraId="19F569B9" w14:textId="77777777" w:rsidR="00820969" w:rsidRDefault="00820969" w:rsidP="00820969">
      <w:pPr>
        <w:spacing w:line="360" w:lineRule="auto"/>
        <w:jc w:val="both"/>
        <w:rPr>
          <w:rtl/>
        </w:rPr>
      </w:pPr>
      <w:r w:rsidRPr="006F3BB5">
        <w:rPr>
          <w:b/>
          <w:bCs/>
          <w:rtl/>
        </w:rPr>
        <w:t xml:space="preserve">ב"כ הנאשם, עוה"ד מוחמד וותד </w:t>
      </w:r>
      <w:r w:rsidRPr="006F3BB5">
        <w:rPr>
          <w:rtl/>
        </w:rPr>
        <w:t>טען כי מתחם העונש לו עתרה התביעה הינו מוגזם ואין לו תימוכין ולו במקרה אחד בפסיקה. נטען כי העבירה בנסיבות ביצועה מצדיקה הארכת התנאי העומד לחובת הנאשם לצד השתת קנס כספי משמעותי. לדידו, תקופת המאסר המותנה שנגזר על הנאשם ב</w:t>
      </w:r>
      <w:hyperlink r:id="rId17" w:history="1">
        <w:r w:rsidR="00E218B1" w:rsidRPr="00E218B1">
          <w:rPr>
            <w:color w:val="0000FF"/>
            <w:u w:val="single"/>
            <w:rtl/>
          </w:rPr>
          <w:t>ת"פ 27883-03-19</w:t>
        </w:r>
      </w:hyperlink>
      <w:r w:rsidRPr="006F3BB5">
        <w:rPr>
          <w:rtl/>
        </w:rPr>
        <w:t xml:space="preserve"> הוא בעבירה</w:t>
      </w:r>
      <w:r>
        <w:rPr>
          <w:rtl/>
        </w:rPr>
        <w:t xml:space="preserve"> של החזקת סם לצריכה עצמית אותה ביצע  2018 בנסיבות בהן החזיק הנאשם 3 גרם קנבוס, ואשר נתפס אצל הנאשם בהגיע המשטרה לדירתו על רקע סכסוך עם זוגתו ולא בהקשר עם עבירות סמים, מכאן כי הפעלת התנאי, בן 4 חודשים כיום, יהא לא מידתי.   </w:t>
      </w:r>
    </w:p>
    <w:p w14:paraId="76E59C18" w14:textId="77777777" w:rsidR="00820969" w:rsidRDefault="00820969" w:rsidP="00820969">
      <w:pPr>
        <w:spacing w:line="360" w:lineRule="auto"/>
        <w:jc w:val="both"/>
        <w:rPr>
          <w:rtl/>
        </w:rPr>
      </w:pPr>
      <w:r>
        <w:rPr>
          <w:rtl/>
        </w:rPr>
        <w:t xml:space="preserve">הסנגור הפנה לתסקיר המלמד על כי הנאשם מנהל תקופה ארוכה זוגיות איתנה, נולד לו ילד, התחיל לעבוד בחברה מסודרת, עסוק כל כולו בביתו ובעבודתו. אשר לצריכת סמים, הפנה לבדיקות השתן שבוצעו אצל שירות המבחן ויצאו תקינות ונקיות מסם. הסנגור ציין בעובדה כי הנאשם היה עצור חמישה ימים בגין העבירות ולאחר מכן היה נתון במעצר בית מלא משך כחודשיים, ומאז חודש אוקטובר 2021 הוא נתון במעצר בית לילי. </w:t>
      </w:r>
    </w:p>
    <w:p w14:paraId="61A24645" w14:textId="77777777" w:rsidR="00820969" w:rsidRDefault="00820969" w:rsidP="00820969">
      <w:pPr>
        <w:spacing w:line="360" w:lineRule="auto"/>
        <w:jc w:val="both"/>
        <w:rPr>
          <w:rtl/>
        </w:rPr>
      </w:pPr>
      <w:r>
        <w:rPr>
          <w:b/>
          <w:bCs/>
          <w:rtl/>
        </w:rPr>
        <w:t>הנאשם בדבריו</w:t>
      </w:r>
      <w:r>
        <w:rPr>
          <w:rtl/>
        </w:rPr>
        <w:t xml:space="preserve"> הביע צער על מעשיו והסביר את הימנעותו מלהשתלב בהליך טיפולי אצל שירות המבחן בעובדה כי הוא לא ולא היה מכור לסמים ובכל מקרה מאז שנולד בנו הוא עלה על דרך אחרת עובד שעות ארוכות מדי יום בחברת סולל בונה כמפעיל מנוף טלסקופ.</w:t>
      </w:r>
    </w:p>
    <w:p w14:paraId="296EA128" w14:textId="77777777" w:rsidR="00820969" w:rsidRDefault="00820969" w:rsidP="00820969">
      <w:pPr>
        <w:spacing w:line="360" w:lineRule="auto"/>
        <w:jc w:val="both"/>
        <w:rPr>
          <w:rFonts w:ascii="Arial" w:hAnsi="Arial"/>
          <w:b/>
          <w:bCs/>
          <w:u w:val="single"/>
          <w:rtl/>
        </w:rPr>
      </w:pPr>
    </w:p>
    <w:p w14:paraId="14293814" w14:textId="77777777" w:rsidR="00820969" w:rsidRDefault="00820969" w:rsidP="00820969">
      <w:pPr>
        <w:spacing w:line="360" w:lineRule="auto"/>
        <w:jc w:val="both"/>
        <w:rPr>
          <w:rFonts w:ascii="Arial" w:hAnsi="Arial"/>
          <w:b/>
          <w:bCs/>
          <w:sz w:val="28"/>
          <w:szCs w:val="28"/>
          <w:u w:val="single"/>
          <w:rtl/>
        </w:rPr>
      </w:pPr>
      <w:r>
        <w:rPr>
          <w:rFonts w:ascii="Arial" w:hAnsi="Arial"/>
          <w:b/>
          <w:bCs/>
          <w:sz w:val="28"/>
          <w:szCs w:val="28"/>
          <w:u w:val="single"/>
          <w:rtl/>
        </w:rPr>
        <w:t xml:space="preserve">דיון </w:t>
      </w:r>
    </w:p>
    <w:p w14:paraId="0C5901C1" w14:textId="77777777" w:rsidR="00820969" w:rsidRDefault="00820969" w:rsidP="00820969">
      <w:pPr>
        <w:spacing w:line="360" w:lineRule="auto"/>
        <w:jc w:val="both"/>
        <w:rPr>
          <w:sz w:val="26"/>
          <w:szCs w:val="26"/>
          <w:rtl/>
        </w:rPr>
      </w:pPr>
      <w:r>
        <w:rPr>
          <w:b/>
          <w:bCs/>
          <w:sz w:val="26"/>
          <w:szCs w:val="26"/>
          <w:rtl/>
        </w:rPr>
        <w:t xml:space="preserve">מתחם העונש ההולם </w:t>
      </w:r>
    </w:p>
    <w:p w14:paraId="4DA4FC37" w14:textId="77777777" w:rsidR="00820969" w:rsidRDefault="00820969" w:rsidP="00820969">
      <w:pPr>
        <w:snapToGrid w:val="0"/>
        <w:spacing w:line="360" w:lineRule="auto"/>
        <w:jc w:val="both"/>
        <w:rPr>
          <w:noProof/>
          <w:lang w:eastAsia="he-IL"/>
        </w:rPr>
      </w:pPr>
      <w:r>
        <w:rPr>
          <w:rtl/>
          <w:lang w:eastAsia="he-IL"/>
        </w:rPr>
        <w:t>5.</w:t>
      </w:r>
      <w:r>
        <w:rPr>
          <w:rtl/>
          <w:lang w:eastAsia="he-IL"/>
        </w:rPr>
        <w:tab/>
        <w:t>מתחם העונש למעשה העבירה נקבע בהתאם לעיקרון ההלימה לפיו נדרש יחס הולם בין חומרת מעשה העבירה בנסיבותיו ומידת האשם של הנאשם, לבין סוג ומידת העונש המוטל עליו. ביישום עיקרון זה על בית המשפט להתחשב בערך החברתי שנפגע ומידת הפגיעה בו; מדיניות הענישה הנוהגת; נסיבות הקשורות בביצוע העבירה.</w:t>
      </w:r>
    </w:p>
    <w:p w14:paraId="4D6C9F2C" w14:textId="77777777" w:rsidR="00820969" w:rsidRDefault="00820969" w:rsidP="00820969">
      <w:pPr>
        <w:spacing w:line="360" w:lineRule="auto"/>
        <w:jc w:val="both"/>
        <w:rPr>
          <w:rtl/>
        </w:rPr>
      </w:pPr>
    </w:p>
    <w:p w14:paraId="5B2348FA" w14:textId="77777777" w:rsidR="00820969" w:rsidRDefault="00820969" w:rsidP="00820969">
      <w:pPr>
        <w:spacing w:line="360" w:lineRule="auto"/>
        <w:jc w:val="both"/>
        <w:rPr>
          <w:noProof/>
          <w:rtl/>
        </w:rPr>
      </w:pPr>
      <w:r>
        <w:rPr>
          <w:rtl/>
        </w:rPr>
        <w:t xml:space="preserve">עבירות סמים פוגעות בערך החברתי המוגן של הגנה על שלומו ובריאותו של הציבור מפני פגיעתם הקשה של הסמים אשר היקפה רחב והשפעתה כידוע, משלחת בחברה כולה, הן בריאותית והן חברתית וכלכלית. נדמה כי כיום כבר אין צורך לחזור ולעמוד על  הצורך ותפקיד בתי המשפט במיגור נגע הסמים בחברה, בין שמדובר בסחר בסמים ובין בהחזקתם שלא לצריכה עצמית, כשלעצמה חמורה ונתפסת כאחותה של עבירת הסחר, בהינתן הזיקה </w:t>
      </w:r>
      <w:r>
        <w:rPr>
          <w:b/>
          <w:bCs/>
          <w:rtl/>
        </w:rPr>
        <w:t>השווה בין שתי העבירות  להפצת הסמים לזולת, בפוטנציאל או בפועל, בין בתמורה ובין אם אחרת</w:t>
      </w:r>
      <w:r>
        <w:rPr>
          <w:rtl/>
        </w:rPr>
        <w:t xml:space="preserve"> (ע"פ </w:t>
      </w:r>
      <w:hyperlink r:id="rId18" w:history="1">
        <w:r w:rsidR="009419FF" w:rsidRPr="009419FF">
          <w:rPr>
            <w:color w:val="0000FF"/>
            <w:u w:val="single"/>
            <w:rtl/>
          </w:rPr>
          <w:t xml:space="preserve">10638/08 </w:t>
        </w:r>
      </w:hyperlink>
      <w:r>
        <w:rPr>
          <w:rtl/>
        </w:rPr>
        <w:t xml:space="preserve"> </w:t>
      </w:r>
      <w:r>
        <w:rPr>
          <w:b/>
          <w:bCs/>
          <w:rtl/>
        </w:rPr>
        <w:t>יפתח ויצמן נ' מדינת ישראל</w:t>
      </w:r>
      <w:r>
        <w:rPr>
          <w:rtl/>
        </w:rPr>
        <w:t xml:space="preserve"> (23.12.2008)</w:t>
      </w:r>
      <w:r>
        <w:rPr>
          <w:rFonts w:hint="cs"/>
          <w:rtl/>
        </w:rPr>
        <w:t xml:space="preserve">. כן יש לחזור </w:t>
      </w:r>
      <w:r>
        <w:rPr>
          <w:rtl/>
        </w:rPr>
        <w:t>ולהדגיש כי בעבירות מסוג זה שיקולי ההרתעה והגמול הם במרכז הכובד ועל כן יינתן להם משקל נכבד במכלול השיקולים לעונש (ראו למשל ב</w:t>
      </w:r>
      <w:hyperlink r:id="rId19" w:history="1">
        <w:r w:rsidR="00E218B1" w:rsidRPr="00E218B1">
          <w:rPr>
            <w:color w:val="0000FF"/>
            <w:u w:val="single"/>
            <w:rtl/>
          </w:rPr>
          <w:t>ע"פ 9482/09</w:t>
        </w:r>
      </w:hyperlink>
      <w:r>
        <w:rPr>
          <w:rtl/>
        </w:rPr>
        <w:t xml:space="preserve"> </w:t>
      </w:r>
      <w:r>
        <w:rPr>
          <w:b/>
          <w:bCs/>
          <w:rtl/>
        </w:rPr>
        <w:t>ביטון נגד מדינת ישראל</w:t>
      </w:r>
      <w:r>
        <w:rPr>
          <w:rtl/>
        </w:rPr>
        <w:t xml:space="preserve"> (2011) וב</w:t>
      </w:r>
      <w:hyperlink r:id="rId20" w:history="1">
        <w:r w:rsidR="00E218B1" w:rsidRPr="00E218B1">
          <w:rPr>
            <w:color w:val="0000FF"/>
            <w:u w:val="single"/>
            <w:rtl/>
          </w:rPr>
          <w:t>ע"פ 211/09</w:t>
        </w:r>
      </w:hyperlink>
      <w:r>
        <w:rPr>
          <w:rtl/>
        </w:rPr>
        <w:t xml:space="preserve"> </w:t>
      </w:r>
      <w:r>
        <w:rPr>
          <w:b/>
          <w:bCs/>
          <w:rtl/>
        </w:rPr>
        <w:t>אזולאי נ' מדינת ישראל</w:t>
      </w:r>
      <w:r>
        <w:rPr>
          <w:rtl/>
        </w:rPr>
        <w:t xml:space="preserve"> (22.6.2010):</w:t>
      </w:r>
    </w:p>
    <w:p w14:paraId="73B39188" w14:textId="77777777" w:rsidR="00820969" w:rsidRDefault="00820969" w:rsidP="00820969">
      <w:pPr>
        <w:spacing w:line="360" w:lineRule="auto"/>
        <w:jc w:val="both"/>
        <w:rPr>
          <w:rtl/>
        </w:rPr>
      </w:pPr>
    </w:p>
    <w:p w14:paraId="4AE31221" w14:textId="77777777" w:rsidR="00820969" w:rsidRDefault="00820969" w:rsidP="00820969">
      <w:pPr>
        <w:spacing w:line="360" w:lineRule="auto"/>
        <w:ind w:left="720" w:right="993"/>
        <w:jc w:val="both"/>
        <w:rPr>
          <w:b/>
          <w:bCs/>
          <w:noProof/>
          <w:rtl/>
        </w:rPr>
      </w:pPr>
      <w:r>
        <w:rPr>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043B626B" w14:textId="77777777" w:rsidR="00820969" w:rsidRDefault="00820969" w:rsidP="00820969">
      <w:pPr>
        <w:spacing w:line="360" w:lineRule="auto"/>
        <w:ind w:left="720" w:right="993"/>
        <w:jc w:val="both"/>
        <w:rPr>
          <w:b/>
          <w:bCs/>
          <w:rtl/>
        </w:rPr>
      </w:pPr>
    </w:p>
    <w:p w14:paraId="753B61F5" w14:textId="77777777" w:rsidR="00820969" w:rsidRDefault="00820969" w:rsidP="00820969">
      <w:pPr>
        <w:spacing w:line="360" w:lineRule="auto"/>
        <w:jc w:val="both"/>
        <w:rPr>
          <w:rFonts w:ascii="Arial" w:hAnsi="Arial"/>
          <w:rtl/>
        </w:rPr>
      </w:pPr>
      <w:r w:rsidRPr="006F3BB5">
        <w:rPr>
          <w:b/>
          <w:bCs/>
          <w:rtl/>
        </w:rPr>
        <w:t>בחינת הנסיבות בעבירות של החזקת סמים שלא לצריכה עצמית</w:t>
      </w:r>
      <w:r>
        <w:rPr>
          <w:rtl/>
        </w:rPr>
        <w:t xml:space="preserve"> תביא בחשבון בראש ובראשונה את סוג וכמות הסם, אופן החזקתו ועד כמה נראה כי ההחזקה קרובה יותר להפצה וסחר (חלוקתה למספר רב של מנות לצריכה עצמית, כספים שנתפסו, משקל אלקטרוני, רשימות וכדומה). במקרה הנדון פגיעת הנאשם בערכים המוגנים הנובעת מסוג הסם, משקלו ונסיבות החזקתו </w:t>
      </w:r>
      <w:r>
        <w:rPr>
          <w:rFonts w:hint="cs"/>
          <w:rtl/>
        </w:rPr>
        <w:t xml:space="preserve">אינה גבוהה. </w:t>
      </w:r>
      <w:r>
        <w:rPr>
          <w:rFonts w:ascii="Arial" w:hAnsi="Arial"/>
          <w:rtl/>
        </w:rPr>
        <w:t>ענייננו בהחזקת 300  גרם סמים מסוכנים סוג קנבוס שאמנם אינו מהקשים שב</w:t>
      </w:r>
      <w:hyperlink r:id="rId21" w:history="1">
        <w:r w:rsidR="00E218B1" w:rsidRPr="00E218B1">
          <w:rPr>
            <w:rFonts w:ascii="Arial" w:hAnsi="Arial"/>
            <w:color w:val="0000FF"/>
            <w:u w:val="single"/>
            <w:rtl/>
          </w:rPr>
          <w:t>פקודת הסמים המסוכנים</w:t>
        </w:r>
      </w:hyperlink>
      <w:r>
        <w:rPr>
          <w:rFonts w:ascii="Arial" w:hAnsi="Arial"/>
          <w:rtl/>
        </w:rPr>
        <w:t>, אולם עדיין נחשב לסם מסוכן המגלם נזק פוטנציאלי לבריאות הציבור, מה גם שעבירות סמים, ללא אבחנה בסוג הסם, נחשבות לעבירות מחוללות פשיעה בתחומים שונים כמו אלימות ורכוש. הנאשם החזיק את הסמים בדירתו ולא נלמד מכתב האישום על א</w:t>
      </w:r>
      <w:r>
        <w:rPr>
          <w:rFonts w:ascii="Arial" w:hAnsi="Arial" w:hint="cs"/>
          <w:rtl/>
        </w:rPr>
        <w:t>י</w:t>
      </w:r>
      <w:r>
        <w:rPr>
          <w:rFonts w:ascii="Arial" w:hAnsi="Arial"/>
          <w:rtl/>
        </w:rPr>
        <w:t>נד</w:t>
      </w:r>
      <w:r>
        <w:rPr>
          <w:rFonts w:ascii="Arial" w:hAnsi="Arial" w:hint="cs"/>
          <w:rtl/>
        </w:rPr>
        <w:t>י</w:t>
      </w:r>
      <w:r>
        <w:rPr>
          <w:rFonts w:ascii="Arial" w:hAnsi="Arial"/>
          <w:rtl/>
        </w:rPr>
        <w:t>קציה כי פני הסם היה להפצה. הנאשם החמיר מצבו עת הפריע לשוטרים והשליך את הסמים מבעד לחלון. תכלול מלא הנסיבות הקשורות בביצוע העבירות, סוג וכמות הסם לרבות אופן החזקתו והעדר אינד</w:t>
      </w:r>
      <w:r>
        <w:rPr>
          <w:rFonts w:ascii="Arial" w:hAnsi="Arial" w:hint="cs"/>
          <w:rtl/>
        </w:rPr>
        <w:t>י</w:t>
      </w:r>
      <w:r>
        <w:rPr>
          <w:rFonts w:ascii="Arial" w:hAnsi="Arial"/>
          <w:rtl/>
        </w:rPr>
        <w:t xml:space="preserve">קציה להפצתו, מעלה כאמור כי הפגיעה בערכים המוגנים אינה גבוה.  </w:t>
      </w:r>
    </w:p>
    <w:p w14:paraId="0229F1F6" w14:textId="77777777" w:rsidR="00820969" w:rsidRPr="00820969" w:rsidRDefault="00820969" w:rsidP="00820969">
      <w:pPr>
        <w:spacing w:line="360" w:lineRule="auto"/>
        <w:jc w:val="both"/>
        <w:rPr>
          <w:rFonts w:ascii="Calibri" w:hAnsi="Calibri"/>
        </w:rPr>
      </w:pPr>
    </w:p>
    <w:p w14:paraId="1E342AE2" w14:textId="77777777" w:rsidR="00820969" w:rsidRPr="00AF3C3E" w:rsidRDefault="00820969" w:rsidP="00820969">
      <w:pPr>
        <w:spacing w:line="360" w:lineRule="auto"/>
        <w:jc w:val="both"/>
        <w:rPr>
          <w:rtl/>
        </w:rPr>
      </w:pPr>
      <w:r w:rsidRPr="006F3BB5">
        <w:rPr>
          <w:rFonts w:ascii="Arial" w:hAnsi="Arial"/>
          <w:b/>
          <w:bCs/>
          <w:sz w:val="26"/>
          <w:szCs w:val="26"/>
          <w:rtl/>
        </w:rPr>
        <w:t>ענישה נוהגת</w:t>
      </w:r>
      <w:r w:rsidRPr="006F3BB5">
        <w:rPr>
          <w:rtl/>
        </w:rPr>
        <w:t xml:space="preserve"> - בחינת הענישה הנוהגת מעלה כי מתחמי ענישה שבין מספר חודשי מאסר שיכול וירוצו בעבודות שירות ועד</w:t>
      </w:r>
      <w:r w:rsidRPr="00AF3C3E">
        <w:rPr>
          <w:rtl/>
        </w:rPr>
        <w:t xml:space="preserve"> 18 חודשי מאסר בפועל, נקבעו ואושרו במנעד רחב של כמויות של החזקת סמים מסוג קנבוס שלא לצריכה עצמית. </w:t>
      </w:r>
    </w:p>
    <w:p w14:paraId="525DE2A4" w14:textId="77777777" w:rsidR="00820969" w:rsidRDefault="00820969" w:rsidP="00820969">
      <w:pPr>
        <w:rPr>
          <w:rFonts w:ascii="David" w:hAnsi="David"/>
          <w:b/>
          <w:bCs/>
          <w:highlight w:val="yellow"/>
          <w:rtl/>
        </w:rPr>
      </w:pPr>
    </w:p>
    <w:p w14:paraId="76CC8371" w14:textId="77777777" w:rsidR="00820969" w:rsidRDefault="00820969" w:rsidP="00820969">
      <w:pPr>
        <w:spacing w:line="360" w:lineRule="auto"/>
        <w:jc w:val="both"/>
        <w:rPr>
          <w:rtl/>
          <w:lang w:eastAsia="he-IL"/>
        </w:rPr>
      </w:pPr>
      <w:r w:rsidRPr="00820969">
        <w:rPr>
          <w:rFonts w:ascii="Calibri" w:hAnsi="Calibri"/>
          <w:rtl/>
        </w:rPr>
        <w:t xml:space="preserve">כך למשל, </w:t>
      </w:r>
      <w:r>
        <w:rPr>
          <w:rtl/>
          <w:lang w:eastAsia="he-IL"/>
        </w:rPr>
        <w:t>ב</w:t>
      </w:r>
      <w:hyperlink r:id="rId22" w:history="1">
        <w:r w:rsidR="00E218B1" w:rsidRPr="00E218B1">
          <w:rPr>
            <w:color w:val="0000FF"/>
            <w:u w:val="single"/>
            <w:rtl/>
            <w:lang w:eastAsia="he-IL"/>
          </w:rPr>
          <w:t>רע"פ 2590/10</w:t>
        </w:r>
      </w:hyperlink>
      <w:r>
        <w:rPr>
          <w:rtl/>
          <w:lang w:eastAsia="he-IL"/>
        </w:rPr>
        <w:t xml:space="preserve"> </w:t>
      </w:r>
      <w:r>
        <w:rPr>
          <w:b/>
          <w:bCs/>
          <w:rtl/>
          <w:lang w:eastAsia="he-IL"/>
        </w:rPr>
        <w:t xml:space="preserve">שגיא נ' מ"י </w:t>
      </w:r>
      <w:r>
        <w:rPr>
          <w:rtl/>
          <w:lang w:eastAsia="he-IL"/>
        </w:rPr>
        <w:t xml:space="preserve">(8.4.2010), נדחתה בקשה שעניינה חומרת העונש שהושת על המבקש – 6 חודשי מאסר שירוצו בעבודות שירות. המדובר </w:t>
      </w:r>
      <w:r>
        <w:rPr>
          <w:b/>
          <w:bCs/>
          <w:rtl/>
          <w:lang w:eastAsia="he-IL"/>
        </w:rPr>
        <w:t>בנאשם צעיר ונעדר עבר פלילי,</w:t>
      </w:r>
      <w:r>
        <w:rPr>
          <w:rtl/>
          <w:lang w:eastAsia="he-IL"/>
        </w:rPr>
        <w:t xml:space="preserve"> שהורשע בהחזקת סמים מסוג חשיש </w:t>
      </w:r>
      <w:r>
        <w:rPr>
          <w:b/>
          <w:bCs/>
          <w:rtl/>
          <w:lang w:eastAsia="he-IL"/>
        </w:rPr>
        <w:t xml:space="preserve">במשקל 256.58 </w:t>
      </w:r>
      <w:r>
        <w:rPr>
          <w:rtl/>
          <w:lang w:eastAsia="he-IL"/>
        </w:rPr>
        <w:t>גרם נטו וכלים להכנת סמים. בנוסף החזיק סם מסוכן מסוג קנבוס במשקל של 13.11 גרם נטו ומשקל אלקטרוני, ונגזרו עליו 6 חודשי מאסר על דרך עבודות שירות, מאסרים מותנים, קנס, צו מבחן ופסילה מלהחזיק רישיון נהיגה, כאשר המלצת שירות המבחן הייתה להימנע מהרשעה. כאמור, ערעורו ובקשת רשות הערעור נדחו.</w:t>
      </w:r>
    </w:p>
    <w:p w14:paraId="1EDB8C66" w14:textId="77777777" w:rsidR="00820969" w:rsidRDefault="00820969" w:rsidP="00820969">
      <w:pPr>
        <w:spacing w:line="360" w:lineRule="auto"/>
        <w:jc w:val="both"/>
        <w:rPr>
          <w:rtl/>
          <w:lang w:eastAsia="he-IL"/>
        </w:rPr>
      </w:pPr>
    </w:p>
    <w:p w14:paraId="67A5F2C1" w14:textId="77777777" w:rsidR="00820969" w:rsidRDefault="00820969" w:rsidP="00820969">
      <w:pPr>
        <w:suppressLineNumbers/>
        <w:spacing w:line="360" w:lineRule="auto"/>
        <w:jc w:val="both"/>
        <w:rPr>
          <w:rFonts w:ascii="David" w:hAnsi="David"/>
          <w:rtl/>
          <w:lang w:eastAsia="he-IL"/>
        </w:rPr>
      </w:pPr>
      <w:r>
        <w:rPr>
          <w:rtl/>
          <w:lang w:eastAsia="he-IL"/>
        </w:rPr>
        <w:t>ב</w:t>
      </w:r>
      <w:hyperlink r:id="rId23" w:history="1">
        <w:r w:rsidR="00E218B1" w:rsidRPr="00E218B1">
          <w:rPr>
            <w:color w:val="0000FF"/>
            <w:u w:val="single"/>
            <w:rtl/>
            <w:lang w:eastAsia="he-IL"/>
          </w:rPr>
          <w:t>רע"פ 10423/09</w:t>
        </w:r>
      </w:hyperlink>
      <w:r>
        <w:rPr>
          <w:rtl/>
          <w:lang w:eastAsia="he-IL"/>
        </w:rPr>
        <w:t xml:space="preserve"> </w:t>
      </w:r>
      <w:r>
        <w:rPr>
          <w:b/>
          <w:bCs/>
          <w:rtl/>
          <w:lang w:eastAsia="he-IL"/>
        </w:rPr>
        <w:t xml:space="preserve">שורר נ' מ"י </w:t>
      </w:r>
      <w:r>
        <w:rPr>
          <w:rtl/>
          <w:lang w:eastAsia="he-IL"/>
        </w:rPr>
        <w:t>(26.4.2010), נדחתה בקשת המבקש, שהיה בן 51 שנים, נעדר עבר פלילי, עליו נגזרו 6 חודשי מאסר על דרך עבודות שירות, מאסר מותנה וקנס בניגוד להמלצת שירות המבחן להימנע מהרשעתו. המדובר במי שהחזיק סם מסוכן מסוג קנבוס במשקל של 574.75 גרם. כאמור, ערעורו ובקשת רשות ערעור נדחו.</w:t>
      </w:r>
    </w:p>
    <w:p w14:paraId="645EBDD0" w14:textId="77777777" w:rsidR="00820969" w:rsidRDefault="00820969" w:rsidP="00820969">
      <w:pPr>
        <w:spacing w:after="160" w:line="360" w:lineRule="auto"/>
        <w:contextualSpacing/>
        <w:jc w:val="both"/>
        <w:rPr>
          <w:rFonts w:ascii="David" w:hAnsi="David"/>
          <w:highlight w:val="cyan"/>
          <w:rtl/>
        </w:rPr>
      </w:pPr>
    </w:p>
    <w:p w14:paraId="21A4BD64" w14:textId="77777777" w:rsidR="00820969" w:rsidRPr="00AD748D" w:rsidRDefault="00820969" w:rsidP="00820969">
      <w:pPr>
        <w:spacing w:after="160" w:line="360" w:lineRule="auto"/>
        <w:contextualSpacing/>
        <w:jc w:val="both"/>
        <w:rPr>
          <w:rFonts w:ascii="David" w:hAnsi="David"/>
          <w:rtl/>
        </w:rPr>
      </w:pPr>
      <w:r w:rsidRPr="00AD748D">
        <w:rPr>
          <w:rFonts w:ascii="David" w:hAnsi="David"/>
          <w:rtl/>
        </w:rPr>
        <w:t>ב</w:t>
      </w:r>
      <w:hyperlink r:id="rId24" w:history="1">
        <w:r w:rsidR="00E218B1" w:rsidRPr="00E218B1">
          <w:rPr>
            <w:rFonts w:ascii="David" w:hAnsi="David"/>
            <w:color w:val="0000FF"/>
            <w:u w:val="single"/>
            <w:rtl/>
          </w:rPr>
          <w:t>רע"פ 1830/16</w:t>
        </w:r>
      </w:hyperlink>
      <w:r w:rsidRPr="00AD748D">
        <w:rPr>
          <w:rFonts w:ascii="David" w:hAnsi="David"/>
          <w:b/>
          <w:bCs/>
          <w:rtl/>
        </w:rPr>
        <w:t xml:space="preserve"> רקיבי נגד מדינת ישראל</w:t>
      </w:r>
      <w:r w:rsidRPr="00AD748D">
        <w:rPr>
          <w:rFonts w:ascii="David" w:hAnsi="David"/>
          <w:rtl/>
        </w:rPr>
        <w:t xml:space="preserve"> (11.4.16)  אושר מתחם עונש  הנע בין 6 ל 15 חודשי מאסר בנסיבות בהן החזיק הנאשם ברכבו סם מסוג חשיש מחולק לאריזות רבות במשקל כולל של כ - 2,300 גרם. על הנאשם, נעדר עבר פלילי ותסקיר חיובי, הושתו  8 חודשי מאסר בפועל.</w:t>
      </w:r>
    </w:p>
    <w:p w14:paraId="48025D39" w14:textId="77777777" w:rsidR="00820969" w:rsidRPr="00AD748D" w:rsidRDefault="00820969" w:rsidP="00820969">
      <w:pPr>
        <w:spacing w:after="160" w:line="360" w:lineRule="auto"/>
        <w:ind w:left="1080"/>
        <w:contextualSpacing/>
        <w:jc w:val="both"/>
        <w:rPr>
          <w:rFonts w:ascii="David" w:hAnsi="David"/>
          <w:b/>
          <w:bCs/>
          <w:rtl/>
        </w:rPr>
      </w:pPr>
    </w:p>
    <w:p w14:paraId="1DBF40E1" w14:textId="77777777" w:rsidR="00820969" w:rsidRPr="00AD748D" w:rsidRDefault="00820969" w:rsidP="00820969">
      <w:pPr>
        <w:spacing w:after="160" w:line="360" w:lineRule="auto"/>
        <w:contextualSpacing/>
        <w:jc w:val="both"/>
        <w:rPr>
          <w:rFonts w:ascii="David" w:hAnsi="David"/>
          <w:noProof/>
          <w:rtl/>
        </w:rPr>
      </w:pPr>
      <w:r w:rsidRPr="00820969">
        <w:rPr>
          <w:rFonts w:ascii="Calibri" w:hAnsi="Calibri"/>
          <w:rtl/>
        </w:rPr>
        <w:t>ב</w:t>
      </w:r>
      <w:hyperlink r:id="rId25" w:history="1">
        <w:r w:rsidR="00E218B1" w:rsidRPr="00E218B1">
          <w:rPr>
            <w:rFonts w:ascii="Calibri" w:hAnsi="Calibri" w:hint="eastAsia"/>
            <w:color w:val="0000FF"/>
            <w:u w:val="single"/>
            <w:rtl/>
          </w:rPr>
          <w:t>רע</w:t>
        </w:r>
        <w:r w:rsidR="00E218B1" w:rsidRPr="00E218B1">
          <w:rPr>
            <w:rFonts w:ascii="Calibri" w:hAnsi="Calibri"/>
            <w:color w:val="0000FF"/>
            <w:u w:val="single"/>
            <w:rtl/>
          </w:rPr>
          <w:t>"</w:t>
        </w:r>
        <w:r w:rsidR="00E218B1" w:rsidRPr="00E218B1">
          <w:rPr>
            <w:rFonts w:ascii="Calibri" w:hAnsi="Calibri" w:hint="eastAsia"/>
            <w:color w:val="0000FF"/>
            <w:u w:val="single"/>
            <w:rtl/>
          </w:rPr>
          <w:t>פ</w:t>
        </w:r>
        <w:r w:rsidR="00E218B1" w:rsidRPr="00E218B1">
          <w:rPr>
            <w:rFonts w:ascii="Calibri" w:hAnsi="Calibri"/>
            <w:color w:val="0000FF"/>
            <w:u w:val="single"/>
            <w:rtl/>
          </w:rPr>
          <w:t xml:space="preserve"> 322/15</w:t>
        </w:r>
      </w:hyperlink>
      <w:r w:rsidRPr="00820969">
        <w:rPr>
          <w:rFonts w:ascii="Calibri" w:hAnsi="Calibri"/>
          <w:b/>
          <w:bCs/>
          <w:rtl/>
        </w:rPr>
        <w:t xml:space="preserve"> ג'אנח נ' מדינת ישראל </w:t>
      </w:r>
      <w:r w:rsidRPr="00820969">
        <w:rPr>
          <w:rFonts w:ascii="Calibri" w:hAnsi="Calibri"/>
          <w:rtl/>
        </w:rPr>
        <w:t xml:space="preserve">(22.1.15)  אושר מתחם עונש הנע בין 7 ל 18 חודשי מאסר בפועל, בנסיבות בהן החזיק הנאשם בבית מגוריו, סם מסוג חשיש במשקל של  כ - 400 גרם. </w:t>
      </w:r>
    </w:p>
    <w:p w14:paraId="4D28C42A" w14:textId="77777777" w:rsidR="00820969" w:rsidRPr="00AD748D" w:rsidRDefault="00820969" w:rsidP="00820969">
      <w:pPr>
        <w:spacing w:after="160" w:line="360" w:lineRule="auto"/>
        <w:contextualSpacing/>
        <w:jc w:val="both"/>
        <w:rPr>
          <w:rFonts w:ascii="David" w:hAnsi="David"/>
          <w:rtl/>
        </w:rPr>
      </w:pPr>
    </w:p>
    <w:p w14:paraId="2FFA6397" w14:textId="77777777" w:rsidR="00820969" w:rsidRPr="00AD748D" w:rsidRDefault="00820969" w:rsidP="00820969">
      <w:pPr>
        <w:spacing w:after="160" w:line="360" w:lineRule="auto"/>
        <w:contextualSpacing/>
        <w:jc w:val="both"/>
        <w:rPr>
          <w:rFonts w:ascii="David" w:hAnsi="David"/>
          <w:noProof/>
          <w:rtl/>
        </w:rPr>
      </w:pPr>
      <w:r w:rsidRPr="00AD748D">
        <w:rPr>
          <w:rFonts w:ascii="David" w:hAnsi="David"/>
          <w:rtl/>
        </w:rPr>
        <w:t>ב</w:t>
      </w:r>
      <w:hyperlink r:id="rId26" w:history="1">
        <w:r w:rsidR="00E218B1" w:rsidRPr="00E218B1">
          <w:rPr>
            <w:rFonts w:ascii="David" w:hAnsi="David"/>
            <w:color w:val="0000FF"/>
            <w:u w:val="single"/>
            <w:rtl/>
          </w:rPr>
          <w:t>עפ"ג (מחוזי ב"ש) 24043-04-17</w:t>
        </w:r>
      </w:hyperlink>
      <w:r w:rsidRPr="00AD748D">
        <w:rPr>
          <w:rFonts w:ascii="David" w:hAnsi="David"/>
          <w:b/>
          <w:bCs/>
          <w:rtl/>
        </w:rPr>
        <w:t xml:space="preserve"> אל קשכר נגד מדינת ישראל </w:t>
      </w:r>
      <w:r w:rsidRPr="00AD748D">
        <w:rPr>
          <w:rFonts w:ascii="David" w:hAnsi="David"/>
          <w:rtl/>
        </w:rPr>
        <w:t>(4.6.17) אושר עונש בן 7 חודשי מאסר בגין החזקת קנבוס במשקל 922.40 גרם נטו.</w:t>
      </w:r>
    </w:p>
    <w:p w14:paraId="33CB53A6" w14:textId="77777777" w:rsidR="00820969" w:rsidRDefault="00820969" w:rsidP="00820969">
      <w:pPr>
        <w:rPr>
          <w:rFonts w:ascii="Arial" w:hAnsi="Arial" w:cs="Arial"/>
          <w:noProof/>
          <w:highlight w:val="yellow"/>
        </w:rPr>
      </w:pPr>
    </w:p>
    <w:p w14:paraId="1A54DF33" w14:textId="77777777" w:rsidR="00820969" w:rsidRPr="00B26ED6" w:rsidRDefault="00E218B1" w:rsidP="00820969">
      <w:pPr>
        <w:spacing w:line="360" w:lineRule="auto"/>
        <w:jc w:val="both"/>
        <w:rPr>
          <w:rFonts w:ascii="David" w:hAnsi="David"/>
          <w:rtl/>
        </w:rPr>
      </w:pPr>
      <w:hyperlink r:id="rId27" w:history="1">
        <w:r w:rsidRPr="00E218B1">
          <w:rPr>
            <w:rFonts w:ascii="David" w:hAnsi="David"/>
            <w:color w:val="0000FF"/>
            <w:u w:val="single"/>
            <w:rtl/>
          </w:rPr>
          <w:t>ת.פ ( שלום ב"ש) 14656-12-20</w:t>
        </w:r>
      </w:hyperlink>
      <w:r w:rsidR="00820969" w:rsidRPr="00B26ED6">
        <w:rPr>
          <w:rFonts w:ascii="David" w:hAnsi="David"/>
          <w:rtl/>
        </w:rPr>
        <w:t xml:space="preserve"> מדינת ישראל נ' אלעלאוין אליו הפנתה התביעה, </w:t>
      </w:r>
      <w:r w:rsidR="00820969" w:rsidRPr="00B26ED6">
        <w:rPr>
          <w:rFonts w:ascii="David" w:hAnsi="David"/>
          <w:b/>
          <w:bCs/>
          <w:rtl/>
        </w:rPr>
        <w:t xml:space="preserve">נקבע מתחם עונש הולם כך שינוע בין מספר חודשים ועד 18 חודשי מאסר בפועל </w:t>
      </w:r>
      <w:r w:rsidR="00820969" w:rsidRPr="00B26ED6">
        <w:rPr>
          <w:rFonts w:ascii="David" w:hAnsi="David"/>
          <w:rtl/>
        </w:rPr>
        <w:t xml:space="preserve"> בעניינו של מי שהורשע בהחזקת 457 גרם קנביס שלא לצריכה עצמית, בביתו. עונשו של הנאשם בעל הרשעה אחת קודמת בעבירת סמים – החזקה לצריכה עצמית נגזר ל 8 חודשים והופעל מאסר על תנאי בן 4 חודשים כך שחציו ירוצה בחופף וחציו במצטבר. </w:t>
      </w:r>
    </w:p>
    <w:p w14:paraId="45035D7A" w14:textId="77777777" w:rsidR="00820969" w:rsidRPr="00B26ED6" w:rsidRDefault="00820969" w:rsidP="00820969">
      <w:pPr>
        <w:rPr>
          <w:rFonts w:ascii="Arial" w:hAnsi="Arial" w:cs="Arial"/>
          <w:rtl/>
        </w:rPr>
      </w:pPr>
    </w:p>
    <w:p w14:paraId="2D25E2C5" w14:textId="77777777" w:rsidR="00820969" w:rsidRPr="00B26ED6" w:rsidRDefault="00820969" w:rsidP="00820969">
      <w:pPr>
        <w:spacing w:after="160" w:line="360" w:lineRule="auto"/>
        <w:contextualSpacing/>
        <w:jc w:val="both"/>
        <w:rPr>
          <w:rFonts w:ascii="David" w:hAnsi="David"/>
          <w:rtl/>
        </w:rPr>
      </w:pPr>
      <w:r w:rsidRPr="00B26ED6">
        <w:rPr>
          <w:rFonts w:ascii="David" w:hAnsi="David"/>
          <w:rtl/>
        </w:rPr>
        <w:t>ב</w:t>
      </w:r>
      <w:hyperlink r:id="rId28" w:history="1">
        <w:r w:rsidR="00E218B1" w:rsidRPr="00E218B1">
          <w:rPr>
            <w:rFonts w:ascii="David" w:hAnsi="David"/>
            <w:color w:val="0000FF"/>
            <w:u w:val="single"/>
            <w:rtl/>
          </w:rPr>
          <w:t>ת"פ (ב"ש) 19923-05-19</w:t>
        </w:r>
      </w:hyperlink>
      <w:r w:rsidRPr="00B26ED6">
        <w:rPr>
          <w:rFonts w:ascii="David" w:hAnsi="David"/>
          <w:rtl/>
        </w:rPr>
        <w:t xml:space="preserve"> </w:t>
      </w:r>
      <w:r w:rsidRPr="00B26ED6">
        <w:rPr>
          <w:rFonts w:ascii="David" w:hAnsi="David"/>
          <w:b/>
          <w:bCs/>
          <w:rtl/>
        </w:rPr>
        <w:t xml:space="preserve">מדינת ישראל נ' אלאפשק </w:t>
      </w:r>
      <w:r w:rsidRPr="00B26ED6">
        <w:rPr>
          <w:rFonts w:ascii="David" w:hAnsi="David"/>
          <w:rtl/>
        </w:rPr>
        <w:t xml:space="preserve">(5.1.21) דובר על החזקת סם קנבוס במשקל </w:t>
      </w:r>
      <w:r w:rsidRPr="00B26ED6">
        <w:rPr>
          <w:rFonts w:ascii="David" w:hAnsi="David"/>
          <w:b/>
          <w:bCs/>
          <w:rtl/>
        </w:rPr>
        <w:t>של 1.7 ק"</w:t>
      </w:r>
      <w:r w:rsidRPr="00B26ED6">
        <w:rPr>
          <w:rFonts w:ascii="David" w:hAnsi="David"/>
          <w:rtl/>
        </w:rPr>
        <w:t xml:space="preserve">ג. על הנאשם שהיה בעל הרשעות קודמות ובעניינו הוגש תסקיר חיובי, הוטלו 6 חודשי מאסר בדרך של עבודות שירות. </w:t>
      </w:r>
    </w:p>
    <w:p w14:paraId="2179640E" w14:textId="77777777" w:rsidR="00820969" w:rsidRDefault="00820969" w:rsidP="00820969">
      <w:pPr>
        <w:snapToGrid w:val="0"/>
        <w:ind w:left="720"/>
        <w:contextualSpacing/>
        <w:rPr>
          <w:rFonts w:ascii="David" w:hAnsi="David"/>
          <w:b/>
          <w:bCs/>
          <w:highlight w:val="cyan"/>
        </w:rPr>
      </w:pPr>
    </w:p>
    <w:p w14:paraId="49002150" w14:textId="77777777" w:rsidR="00820969" w:rsidRPr="00B26ED6" w:rsidRDefault="00820969" w:rsidP="00820969">
      <w:pPr>
        <w:spacing w:after="160" w:line="360" w:lineRule="auto"/>
        <w:contextualSpacing/>
        <w:jc w:val="both"/>
        <w:rPr>
          <w:rFonts w:ascii="David" w:hAnsi="David"/>
          <w:b/>
          <w:bCs/>
        </w:rPr>
      </w:pPr>
      <w:r w:rsidRPr="00B26ED6">
        <w:rPr>
          <w:rFonts w:ascii="David" w:hAnsi="David"/>
          <w:rtl/>
        </w:rPr>
        <w:t>ב</w:t>
      </w:r>
      <w:hyperlink r:id="rId29" w:history="1">
        <w:r w:rsidR="00E218B1" w:rsidRPr="00E218B1">
          <w:rPr>
            <w:rFonts w:ascii="David" w:hAnsi="David"/>
            <w:color w:val="0000FF"/>
            <w:u w:val="single"/>
            <w:rtl/>
          </w:rPr>
          <w:t>ת"פ (ב"ש) 14782-06-18</w:t>
        </w:r>
      </w:hyperlink>
      <w:r w:rsidRPr="00B26ED6">
        <w:rPr>
          <w:rFonts w:ascii="David" w:hAnsi="David"/>
          <w:b/>
          <w:bCs/>
          <w:rtl/>
        </w:rPr>
        <w:t xml:space="preserve"> מדינת ישראל נ' אלעול </w:t>
      </w:r>
      <w:r w:rsidRPr="00B26ED6">
        <w:rPr>
          <w:rFonts w:ascii="David" w:hAnsi="David"/>
          <w:rtl/>
        </w:rPr>
        <w:t xml:space="preserve">(7.1.20)  דובר על </w:t>
      </w:r>
      <w:r w:rsidRPr="00B26ED6">
        <w:rPr>
          <w:rFonts w:ascii="David" w:hAnsi="David"/>
          <w:b/>
          <w:bCs/>
          <w:rtl/>
        </w:rPr>
        <w:t>החזקת 3.8 ק"ג קנבוס</w:t>
      </w:r>
      <w:r w:rsidRPr="00B26ED6">
        <w:rPr>
          <w:rFonts w:ascii="David" w:hAnsi="David"/>
          <w:rtl/>
        </w:rPr>
        <w:t xml:space="preserve">. על הנאשם, </w:t>
      </w:r>
      <w:r w:rsidRPr="00B26ED6">
        <w:rPr>
          <w:rFonts w:ascii="David" w:hAnsi="David"/>
          <w:b/>
          <w:bCs/>
          <w:rtl/>
        </w:rPr>
        <w:t>צעיר בן 23 ללא הרשעות קודמות ותסקיר חיובי</w:t>
      </w:r>
      <w:r w:rsidRPr="00B26ED6">
        <w:rPr>
          <w:rFonts w:ascii="David" w:hAnsi="David"/>
          <w:rtl/>
        </w:rPr>
        <w:t>, הוטלו 9 חודשי מאסר לריצוי בעבודות שירות</w:t>
      </w:r>
      <w:r w:rsidRPr="00B26ED6">
        <w:rPr>
          <w:rFonts w:ascii="David" w:hAnsi="David"/>
          <w:b/>
          <w:bCs/>
          <w:rtl/>
        </w:rPr>
        <w:t>.</w:t>
      </w:r>
    </w:p>
    <w:p w14:paraId="250AC4B1" w14:textId="77777777" w:rsidR="00820969" w:rsidRDefault="00820969" w:rsidP="00820969">
      <w:pPr>
        <w:spacing w:line="360" w:lineRule="auto"/>
        <w:jc w:val="both"/>
        <w:rPr>
          <w:highlight w:val="cyan"/>
          <w:rtl/>
        </w:rPr>
      </w:pPr>
    </w:p>
    <w:p w14:paraId="292890D8" w14:textId="77777777" w:rsidR="00820969" w:rsidRDefault="00820969" w:rsidP="00820969">
      <w:pPr>
        <w:spacing w:line="360" w:lineRule="auto"/>
        <w:jc w:val="both"/>
        <w:rPr>
          <w:rFonts w:ascii="Arial" w:hAnsi="Arial"/>
          <w:rtl/>
        </w:rPr>
      </w:pPr>
      <w:r w:rsidRPr="00F75891">
        <w:rPr>
          <w:rtl/>
        </w:rPr>
        <w:t xml:space="preserve">לאחר שקלול במכלול השיקולים הנדרשים לקביעת מתחם העונש ההולם את מעשי העבירות אותן ביצע הנאשם בנסיבות ביצוען, מידת הפגיעה בערכים המוגנים  ומדיניות הענישה הנוהגת במקרים דומים, </w:t>
      </w:r>
      <w:r w:rsidRPr="00F75891">
        <w:rPr>
          <w:b/>
          <w:bCs/>
          <w:rtl/>
        </w:rPr>
        <w:t xml:space="preserve">הנני לקבוע את מתחם העונש ההולם כך שינוע בין </w:t>
      </w:r>
      <w:r w:rsidRPr="00F75891">
        <w:rPr>
          <w:rFonts w:hint="cs"/>
          <w:b/>
          <w:bCs/>
          <w:rtl/>
        </w:rPr>
        <w:t>מספר קצר של חודשי מאסר ש</w:t>
      </w:r>
      <w:r w:rsidRPr="00F75891">
        <w:rPr>
          <w:b/>
          <w:bCs/>
          <w:rtl/>
        </w:rPr>
        <w:t>יכול וירוצו בעבודות שירות ועד 12 חודשי מאסר בפועל</w:t>
      </w:r>
      <w:r w:rsidRPr="00F75891">
        <w:rPr>
          <w:rtl/>
        </w:rPr>
        <w:t>.</w:t>
      </w:r>
      <w:r>
        <w:rPr>
          <w:rtl/>
        </w:rPr>
        <w:t xml:space="preserve"> </w:t>
      </w:r>
    </w:p>
    <w:p w14:paraId="14498071" w14:textId="77777777" w:rsidR="00820969" w:rsidRPr="00820969" w:rsidRDefault="00820969" w:rsidP="00820969">
      <w:pPr>
        <w:spacing w:line="360" w:lineRule="auto"/>
        <w:jc w:val="both"/>
        <w:rPr>
          <w:rFonts w:ascii="Calibri" w:hAnsi="Calibri"/>
          <w:rtl/>
        </w:rPr>
      </w:pPr>
    </w:p>
    <w:p w14:paraId="62D13DF3" w14:textId="77777777" w:rsidR="00820969" w:rsidRPr="00820969" w:rsidRDefault="00820969" w:rsidP="00820969">
      <w:pPr>
        <w:spacing w:line="360" w:lineRule="auto"/>
        <w:jc w:val="both"/>
        <w:rPr>
          <w:rFonts w:ascii="Calibri" w:hAnsi="Calibri"/>
          <w:b/>
          <w:bCs/>
          <w:sz w:val="26"/>
          <w:szCs w:val="26"/>
          <w:u w:val="single"/>
          <w:rtl/>
        </w:rPr>
      </w:pPr>
      <w:r w:rsidRPr="00820969">
        <w:rPr>
          <w:rFonts w:ascii="Calibri" w:hAnsi="Calibri"/>
          <w:b/>
          <w:bCs/>
          <w:sz w:val="26"/>
          <w:szCs w:val="26"/>
          <w:u w:val="single"/>
          <w:rtl/>
        </w:rPr>
        <w:t>עונשו של הנאשם</w:t>
      </w:r>
    </w:p>
    <w:p w14:paraId="10427763" w14:textId="77777777" w:rsidR="00820969" w:rsidRDefault="00820969" w:rsidP="00820969">
      <w:pPr>
        <w:snapToGrid w:val="0"/>
        <w:spacing w:line="360" w:lineRule="auto"/>
        <w:jc w:val="both"/>
        <w:rPr>
          <w:rtl/>
          <w:lang w:eastAsia="he-IL"/>
        </w:rPr>
      </w:pPr>
      <w:r w:rsidRPr="00686267">
        <w:rPr>
          <w:rtl/>
          <w:lang w:eastAsia="he-IL"/>
        </w:rPr>
        <w:t xml:space="preserve">בגזירת העונש המתאים לנאשם בגדרי מתחם העונש ההולם אותו קבעתי, אתחשב בנסיבות שאינן קשורות בביצוע העבירות. </w:t>
      </w:r>
    </w:p>
    <w:p w14:paraId="60EAB7DA" w14:textId="77777777" w:rsidR="00820969" w:rsidRDefault="00820969" w:rsidP="00820969">
      <w:pPr>
        <w:snapToGrid w:val="0"/>
        <w:spacing w:line="360" w:lineRule="auto"/>
        <w:jc w:val="both"/>
        <w:rPr>
          <w:rtl/>
          <w:lang w:eastAsia="he-IL"/>
        </w:rPr>
      </w:pPr>
    </w:p>
    <w:p w14:paraId="279C0A74" w14:textId="77777777" w:rsidR="00820969" w:rsidRDefault="00820969" w:rsidP="00820969">
      <w:pPr>
        <w:snapToGrid w:val="0"/>
        <w:spacing w:line="360" w:lineRule="auto"/>
        <w:jc w:val="both"/>
        <w:rPr>
          <w:rFonts w:ascii="Arial" w:hAnsi="Arial"/>
          <w:rtl/>
        </w:rPr>
      </w:pPr>
      <w:r w:rsidRPr="00797546">
        <w:rPr>
          <w:rtl/>
          <w:lang w:eastAsia="he-IL"/>
        </w:rPr>
        <w:t xml:space="preserve">הנאשם הנותן את הדין, </w:t>
      </w:r>
      <w:r w:rsidRPr="00797546">
        <w:rPr>
          <w:rFonts w:hint="cs"/>
          <w:rtl/>
          <w:lang w:eastAsia="he-IL"/>
        </w:rPr>
        <w:t xml:space="preserve">הוא צעיר כבן  </w:t>
      </w:r>
      <w:r w:rsidRPr="00797546">
        <w:rPr>
          <w:rtl/>
          <w:lang w:eastAsia="he-IL"/>
        </w:rPr>
        <w:t xml:space="preserve"> </w:t>
      </w:r>
      <w:r w:rsidRPr="00797546">
        <w:rPr>
          <w:rFonts w:ascii="Arial" w:hAnsi="Arial"/>
          <w:rtl/>
        </w:rPr>
        <w:t>27, נשוי ואב לתינוק</w:t>
      </w:r>
      <w:r>
        <w:rPr>
          <w:rFonts w:ascii="Arial" w:hAnsi="Arial"/>
          <w:rtl/>
        </w:rPr>
        <w:t xml:space="preserve"> בן </w:t>
      </w:r>
      <w:r>
        <w:rPr>
          <w:rFonts w:ascii="Arial" w:hAnsi="Arial" w:hint="cs"/>
          <w:rtl/>
        </w:rPr>
        <w:t>מספר חודשים</w:t>
      </w:r>
      <w:r>
        <w:rPr>
          <w:rFonts w:ascii="Arial" w:hAnsi="Arial"/>
          <w:rtl/>
        </w:rPr>
        <w:t>, עובד מזה 8 חודשים בחברה קבלנית בתחום הגינון</w:t>
      </w:r>
      <w:r>
        <w:rPr>
          <w:rFonts w:ascii="Arial" w:hAnsi="Arial" w:hint="cs"/>
          <w:rtl/>
        </w:rPr>
        <w:t>, ואשר בעניינו הוגש תסקיר חיובי הממליץ על ענישה בדמות של"צ</w:t>
      </w:r>
      <w:r>
        <w:rPr>
          <w:rFonts w:ascii="Arial" w:hAnsi="Arial"/>
          <w:rtl/>
        </w:rPr>
        <w:t xml:space="preserve">. </w:t>
      </w:r>
    </w:p>
    <w:p w14:paraId="2849B8F8" w14:textId="77777777" w:rsidR="00820969" w:rsidRDefault="00820969" w:rsidP="00820969">
      <w:pPr>
        <w:spacing w:line="360" w:lineRule="auto"/>
        <w:jc w:val="both"/>
        <w:rPr>
          <w:rFonts w:ascii="Arial" w:hAnsi="Arial"/>
          <w:rtl/>
        </w:rPr>
      </w:pPr>
      <w:r>
        <w:rPr>
          <w:rFonts w:ascii="Arial" w:hAnsi="Arial" w:hint="cs"/>
          <w:rtl/>
        </w:rPr>
        <w:t xml:space="preserve">בגדרי השיקולים לחומרה אביא בחשבון כי לחובת הנאשם 3 הרשעות קודמות. הרשעתו האחרונה משנת </w:t>
      </w:r>
      <w:r>
        <w:rPr>
          <w:rFonts w:ascii="Arial" w:hAnsi="Arial"/>
          <w:rtl/>
        </w:rPr>
        <w:t xml:space="preserve">2019 </w:t>
      </w:r>
      <w:r>
        <w:rPr>
          <w:rFonts w:ascii="Arial" w:hAnsi="Arial" w:hint="cs"/>
          <w:rtl/>
        </w:rPr>
        <w:t xml:space="preserve">היא </w:t>
      </w:r>
      <w:r>
        <w:rPr>
          <w:rFonts w:ascii="Arial" w:hAnsi="Arial"/>
          <w:rtl/>
        </w:rPr>
        <w:t xml:space="preserve">בעבירה של החזקת סם לצריכה עצמית  ובעבירה של היזק לרכוש במזיד, אותן ביצע  בשנת 2018 ובגינן נגזר עליו מאסר על תנאי בן 4 חודשים ( לכל עבירה) וקנס. </w:t>
      </w:r>
    </w:p>
    <w:p w14:paraId="2F49B7BE" w14:textId="77777777" w:rsidR="00820969" w:rsidRDefault="00820969" w:rsidP="00820969">
      <w:pPr>
        <w:spacing w:line="360" w:lineRule="auto"/>
        <w:jc w:val="both"/>
        <w:rPr>
          <w:rFonts w:ascii="Arial" w:hAnsi="Arial"/>
          <w:rtl/>
        </w:rPr>
      </w:pPr>
      <w:r>
        <w:rPr>
          <w:rFonts w:ascii="Arial" w:hAnsi="Arial"/>
          <w:rtl/>
        </w:rPr>
        <w:t>עוד נמצא כי בשנת 2019 הורשע הנאשם בעבירה של תקיפת סתם – בת זוג, והפרת הוראה חוקית אותן ביצע בשנים  2016 – 2018 שגם בגינן נגזר עליו נאסר על תנאי</w:t>
      </w:r>
      <w:r>
        <w:rPr>
          <w:rFonts w:ascii="Arial" w:hAnsi="Arial" w:hint="cs"/>
          <w:rtl/>
        </w:rPr>
        <w:t>, ו</w:t>
      </w:r>
      <w:r>
        <w:rPr>
          <w:rFonts w:ascii="Arial" w:hAnsi="Arial"/>
          <w:rtl/>
        </w:rPr>
        <w:t xml:space="preserve">בשנת 2017 הורשע בעבירה של תקיפת סתם – בת זוג, נהיגה פוחזת ומסירת ידיעה כוזבת, בגינן נגזרו עליו 8 חודשי מאסר בפועל ומאסרים על תנאי. </w:t>
      </w:r>
    </w:p>
    <w:p w14:paraId="3A1ACFF6" w14:textId="77777777" w:rsidR="00820969" w:rsidRPr="00820969" w:rsidRDefault="00820969" w:rsidP="00820969">
      <w:pPr>
        <w:spacing w:line="360" w:lineRule="auto"/>
        <w:jc w:val="both"/>
        <w:rPr>
          <w:rFonts w:ascii="Calibri" w:hAnsi="Calibri"/>
          <w:rtl/>
        </w:rPr>
      </w:pPr>
      <w:r w:rsidRPr="00820969">
        <w:rPr>
          <w:rFonts w:ascii="Calibri" w:hAnsi="Calibri" w:hint="cs"/>
          <w:rtl/>
        </w:rPr>
        <w:t xml:space="preserve">לצד טיעוני ב"כ הנאשם באשר לאופן הפעלת המאסר על תנאי שהושת על הנאשם בהרשעתו האחרונה והיחידה בתחום הסמים, 4 חודשים בנסיבות בהן נמצא מחזיק 3 גרם מסוג קנבוס, יש להביא בחשבון כי הנאשם ביצע </w:t>
      </w:r>
      <w:r w:rsidRPr="00820969">
        <w:rPr>
          <w:rFonts w:ascii="Calibri" w:hAnsi="Calibri"/>
          <w:rtl/>
        </w:rPr>
        <w:t xml:space="preserve">עבירה </w:t>
      </w:r>
      <w:r w:rsidRPr="00820969">
        <w:rPr>
          <w:rFonts w:ascii="Calibri" w:hAnsi="Calibri" w:hint="cs"/>
          <w:rtl/>
        </w:rPr>
        <w:t xml:space="preserve">חמורה יותר בתחום הסמים </w:t>
      </w:r>
      <w:r w:rsidRPr="00820969">
        <w:rPr>
          <w:rFonts w:ascii="Calibri" w:hAnsi="Calibri"/>
          <w:rtl/>
        </w:rPr>
        <w:t>חמורה תוך תקופת התנאי</w:t>
      </w:r>
      <w:r w:rsidRPr="00820969">
        <w:rPr>
          <w:rFonts w:ascii="Calibri" w:hAnsi="Calibri" w:hint="cs"/>
          <w:rtl/>
        </w:rPr>
        <w:t xml:space="preserve">. על כן, לא ניתן למקם את עונשו בחלק התחתון של המתחם אותו קבעתי, הגם שהבאתי </w:t>
      </w:r>
      <w:r w:rsidRPr="00820969">
        <w:rPr>
          <w:rFonts w:ascii="Calibri" w:hAnsi="Calibri"/>
          <w:rtl/>
        </w:rPr>
        <w:t xml:space="preserve">בחשבון את נטילת האחריות מצדו </w:t>
      </w:r>
      <w:r w:rsidRPr="00820969">
        <w:rPr>
          <w:rFonts w:ascii="Calibri" w:hAnsi="Calibri" w:hint="cs"/>
          <w:rtl/>
        </w:rPr>
        <w:t>ב</w:t>
      </w:r>
      <w:r w:rsidRPr="00820969">
        <w:rPr>
          <w:rFonts w:ascii="Calibri" w:hAnsi="Calibri"/>
          <w:rtl/>
        </w:rPr>
        <w:t>הזדמנות הראשונה והחיסכון בזמנם של הצדדים ובזמן השיפוטי.</w:t>
      </w:r>
    </w:p>
    <w:p w14:paraId="31A8E556" w14:textId="77777777" w:rsidR="00820969" w:rsidRDefault="00820969" w:rsidP="00820969">
      <w:pPr>
        <w:spacing w:line="360" w:lineRule="auto"/>
        <w:jc w:val="both"/>
        <w:rPr>
          <w:rtl/>
        </w:rPr>
      </w:pPr>
      <w:r w:rsidRPr="00797546">
        <w:rPr>
          <w:rtl/>
        </w:rPr>
        <w:t xml:space="preserve">במקרה </w:t>
      </w:r>
      <w:r w:rsidRPr="00797546">
        <w:rPr>
          <w:rFonts w:hint="cs"/>
          <w:rtl/>
        </w:rPr>
        <w:t xml:space="preserve">הנדון </w:t>
      </w:r>
      <w:r w:rsidRPr="00797546">
        <w:rPr>
          <w:rtl/>
        </w:rPr>
        <w:t xml:space="preserve"> איני צריכה לחריגה ממתחם העונש, אם כי בבחינת עונשו של הנאשם יש להביא בחשבון שיקולי הרתעת היחיד והרבים</w:t>
      </w:r>
      <w:r w:rsidRPr="00797546">
        <w:rPr>
          <w:rFonts w:hint="cs"/>
          <w:rtl/>
        </w:rPr>
        <w:t>,</w:t>
      </w:r>
      <w:r w:rsidRPr="00797546">
        <w:rPr>
          <w:rtl/>
        </w:rPr>
        <w:t xml:space="preserve"> ובהתאם לעיקרון הגמול יש להשית ענישה מוחשית</w:t>
      </w:r>
      <w:r w:rsidRPr="00797546">
        <w:rPr>
          <w:rFonts w:hint="cs"/>
          <w:rtl/>
        </w:rPr>
        <w:t xml:space="preserve"> שאינה מתיישבת עם המלצת השירות והדברים מקבלים משנה תוקף בהינתן מאסר על תנאי בן 4 חודשים התלוי ועומד לחובת הנאשם.</w:t>
      </w:r>
      <w:r>
        <w:rPr>
          <w:rFonts w:hint="cs"/>
          <w:rtl/>
        </w:rPr>
        <w:t xml:space="preserve"> </w:t>
      </w:r>
    </w:p>
    <w:p w14:paraId="3772ED55" w14:textId="77777777" w:rsidR="00820969" w:rsidRDefault="00820969" w:rsidP="00820969">
      <w:pPr>
        <w:snapToGrid w:val="0"/>
        <w:spacing w:line="360" w:lineRule="auto"/>
        <w:jc w:val="both"/>
        <w:rPr>
          <w:rtl/>
          <w:lang w:eastAsia="he-IL"/>
        </w:rPr>
      </w:pPr>
      <w:r w:rsidRPr="009C648B">
        <w:rPr>
          <w:b/>
          <w:bCs/>
          <w:rtl/>
          <w:lang w:eastAsia="he-IL"/>
        </w:rPr>
        <w:t>מכלל הדברים האמורים</w:t>
      </w:r>
      <w:r w:rsidRPr="009C648B">
        <w:rPr>
          <w:rtl/>
          <w:lang w:eastAsia="he-IL"/>
        </w:rPr>
        <w:t xml:space="preserve">, </w:t>
      </w:r>
      <w:r>
        <w:rPr>
          <w:rtl/>
          <w:lang w:eastAsia="he-IL"/>
        </w:rPr>
        <w:t>לאחר ש</w:t>
      </w:r>
      <w:r>
        <w:rPr>
          <w:rFonts w:hint="cs"/>
          <w:rtl/>
          <w:lang w:eastAsia="he-IL"/>
        </w:rPr>
        <w:t>חזרתי לעיין בתסקיר שירות המבחן וה</w:t>
      </w:r>
      <w:r w:rsidRPr="009C648B">
        <w:rPr>
          <w:rtl/>
          <w:lang w:eastAsia="he-IL"/>
        </w:rPr>
        <w:t xml:space="preserve">באתי בחשבון את </w:t>
      </w:r>
      <w:r w:rsidRPr="009C648B">
        <w:rPr>
          <w:rFonts w:hint="cs"/>
          <w:rtl/>
          <w:lang w:eastAsia="he-IL"/>
        </w:rPr>
        <w:t>מכלול השיקולים הנדרשים לבחינת עונשו של הנאשם</w:t>
      </w:r>
      <w:r w:rsidRPr="009C648B">
        <w:rPr>
          <w:rtl/>
          <w:lang w:eastAsia="he-IL"/>
        </w:rPr>
        <w:t xml:space="preserve">, </w:t>
      </w:r>
      <w:r w:rsidRPr="009C648B">
        <w:rPr>
          <w:rFonts w:hint="cs"/>
          <w:rtl/>
          <w:lang w:eastAsia="he-IL"/>
        </w:rPr>
        <w:t xml:space="preserve">לרבות התקופה בה היה </w:t>
      </w:r>
      <w:r w:rsidRPr="009C648B">
        <w:rPr>
          <w:rtl/>
          <w:lang w:eastAsia="he-IL"/>
        </w:rPr>
        <w:t xml:space="preserve">נתון במעצר בית מלא </w:t>
      </w:r>
      <w:r w:rsidRPr="009C648B">
        <w:rPr>
          <w:rFonts w:hint="cs"/>
          <w:rtl/>
          <w:lang w:eastAsia="he-IL"/>
        </w:rPr>
        <w:t xml:space="preserve">והיה מנוע מעבודה ובהמשך מנוע מעבודה סדורה </w:t>
      </w:r>
      <w:r w:rsidRPr="009C648B">
        <w:rPr>
          <w:rtl/>
          <w:lang w:eastAsia="he-IL"/>
        </w:rPr>
        <w:t>נוכח התנאים המגבילים</w:t>
      </w:r>
      <w:r w:rsidRPr="009C648B">
        <w:rPr>
          <w:rFonts w:hint="cs"/>
          <w:rtl/>
          <w:lang w:eastAsia="he-IL"/>
        </w:rPr>
        <w:t xml:space="preserve"> בהם היה נתון</w:t>
      </w:r>
      <w:r w:rsidRPr="009C648B">
        <w:rPr>
          <w:rtl/>
          <w:lang w:eastAsia="he-IL"/>
        </w:rPr>
        <w:t>, אני גוזרת על</w:t>
      </w:r>
      <w:r>
        <w:rPr>
          <w:rFonts w:hint="cs"/>
          <w:rtl/>
          <w:lang w:eastAsia="he-IL"/>
        </w:rPr>
        <w:t xml:space="preserve"> הנאשם </w:t>
      </w:r>
      <w:r w:rsidRPr="009C648B">
        <w:rPr>
          <w:rtl/>
          <w:lang w:eastAsia="he-IL"/>
        </w:rPr>
        <w:t xml:space="preserve"> את העונשים הבאים:</w:t>
      </w:r>
    </w:p>
    <w:p w14:paraId="4F07AE98" w14:textId="77777777" w:rsidR="00820969" w:rsidRPr="00820969" w:rsidRDefault="00820969" w:rsidP="00820969">
      <w:pPr>
        <w:spacing w:line="360" w:lineRule="auto"/>
        <w:jc w:val="both"/>
        <w:rPr>
          <w:rFonts w:ascii="Calibri" w:hAnsi="Calibri"/>
          <w:rtl/>
        </w:rPr>
      </w:pPr>
    </w:p>
    <w:p w14:paraId="74C1D974" w14:textId="77777777" w:rsidR="00820969" w:rsidRDefault="00820969" w:rsidP="00820969">
      <w:pPr>
        <w:pStyle w:val="a9"/>
        <w:numPr>
          <w:ilvl w:val="0"/>
          <w:numId w:val="1"/>
        </w:numPr>
        <w:spacing w:line="360" w:lineRule="auto"/>
        <w:ind w:left="509"/>
        <w:jc w:val="both"/>
        <w:rPr>
          <w:rtl/>
        </w:rPr>
      </w:pPr>
      <w:r>
        <w:rPr>
          <w:rtl/>
        </w:rPr>
        <w:t xml:space="preserve">6 חודשי מאסר שירוצו בעבודות שירות. מקום העסקה – "באר שובע" ברחוב קק"ל 201, </w:t>
      </w:r>
      <w:r>
        <w:rPr>
          <w:rFonts w:hint="cs"/>
          <w:rtl/>
        </w:rPr>
        <w:t xml:space="preserve">הכל </w:t>
      </w:r>
      <w:r>
        <w:rPr>
          <w:rtl/>
        </w:rPr>
        <w:t xml:space="preserve">בהתאם לחוו"ד הממונה על עבודות השירות מיום 10.01.2023. הנאשם הונחה להתייצב ביום </w:t>
      </w:r>
      <w:r>
        <w:rPr>
          <w:rFonts w:hint="cs"/>
          <w:rtl/>
        </w:rPr>
        <w:t>18.4.23 ל</w:t>
      </w:r>
      <w:r>
        <w:rPr>
          <w:rtl/>
        </w:rPr>
        <w:t>ריצוי עבודות השירות, במשרדי הממונה על עבודות השירות בשעה 08:00 (יחידת עבודות שירות), מפקדת מחוז דרום. (אוטובוסים להגעה ליד כלא אשל, אוטובוס קו אגד מס' 46 מתחנה מרכזית באר שבע). עבודות השירות יבוצעו 5 ימים בשבוע על פי טווח השעות המתאפשר ב</w:t>
      </w:r>
      <w:hyperlink r:id="rId30" w:history="1">
        <w:r w:rsidR="00E218B1" w:rsidRPr="00E218B1">
          <w:rPr>
            <w:color w:val="0000FF"/>
            <w:u w:val="single"/>
            <w:rtl/>
          </w:rPr>
          <w:t>חוק העונשין</w:t>
        </w:r>
      </w:hyperlink>
      <w:r>
        <w:rPr>
          <w:rtl/>
        </w:rPr>
        <w:t xml:space="preserve">. </w:t>
      </w:r>
    </w:p>
    <w:p w14:paraId="4BC027FB" w14:textId="77777777" w:rsidR="00820969" w:rsidRDefault="00820969" w:rsidP="00820969">
      <w:pPr>
        <w:pStyle w:val="a9"/>
        <w:spacing w:line="360" w:lineRule="auto"/>
        <w:ind w:left="509"/>
        <w:jc w:val="both"/>
        <w:rPr>
          <w:rtl/>
        </w:rPr>
      </w:pPr>
      <w:r>
        <w:rPr>
          <w:rtl/>
        </w:rPr>
        <w:t xml:space="preserve">הנאשם הוזהר כי מדובר בתנאי העסקה קפדניים המצריכים התייצבות רציפה ועל פי הנחיות החוק והממונה וכל חריג מכללים אלו יהיה בה להביא להפסקת ריצוי עונשו בדרך זו וריצוי יתרת העונש במאסר בפועל. </w:t>
      </w:r>
    </w:p>
    <w:p w14:paraId="25CAB74E" w14:textId="77777777" w:rsidR="00820969" w:rsidRPr="00760CF1" w:rsidRDefault="00820969" w:rsidP="00820969">
      <w:pPr>
        <w:pStyle w:val="a9"/>
        <w:numPr>
          <w:ilvl w:val="0"/>
          <w:numId w:val="1"/>
        </w:numPr>
        <w:spacing w:line="360" w:lineRule="auto"/>
        <w:ind w:left="567" w:hanging="426"/>
        <w:jc w:val="both"/>
        <w:rPr>
          <w:b/>
          <w:bCs/>
          <w:rtl/>
        </w:rPr>
      </w:pPr>
      <w:r>
        <w:rPr>
          <w:rtl/>
        </w:rPr>
        <w:t xml:space="preserve">הפעלת מאסר על תנאי </w:t>
      </w:r>
      <w:r w:rsidRPr="000111C8">
        <w:rPr>
          <w:rtl/>
        </w:rPr>
        <w:t>מ</w:t>
      </w:r>
      <w:hyperlink r:id="rId31" w:history="1">
        <w:r w:rsidR="00E218B1" w:rsidRPr="00E218B1">
          <w:rPr>
            <w:color w:val="0000FF"/>
            <w:u w:val="single"/>
            <w:rtl/>
          </w:rPr>
          <w:t>ת"פ  27883-03-19</w:t>
        </w:r>
      </w:hyperlink>
      <w:r w:rsidRPr="000111C8">
        <w:rPr>
          <w:rFonts w:hint="cs"/>
          <w:rtl/>
        </w:rPr>
        <w:t xml:space="preserve"> חציו </w:t>
      </w:r>
      <w:r w:rsidRPr="000111C8">
        <w:rPr>
          <w:rtl/>
        </w:rPr>
        <w:t xml:space="preserve">ירצה הנאשם בחופף וחציו במצטבר לעונש שהושת עליו בסעיף א' לעיל. </w:t>
      </w:r>
      <w:r w:rsidRPr="00760CF1">
        <w:rPr>
          <w:b/>
          <w:bCs/>
          <w:rtl/>
        </w:rPr>
        <w:t xml:space="preserve">סה"כ ירצה הנאשם 8 חודשי מאסר בעבודות שירות כמפורט בסעיף א' לעיל. </w:t>
      </w:r>
    </w:p>
    <w:p w14:paraId="6CE6ED1F" w14:textId="77777777" w:rsidR="00820969" w:rsidRPr="00F75891" w:rsidRDefault="00820969" w:rsidP="00820969">
      <w:pPr>
        <w:pStyle w:val="a9"/>
        <w:numPr>
          <w:ilvl w:val="0"/>
          <w:numId w:val="1"/>
        </w:numPr>
        <w:spacing w:line="360" w:lineRule="auto"/>
        <w:ind w:left="509"/>
        <w:jc w:val="both"/>
        <w:rPr>
          <w:rtl/>
        </w:rPr>
      </w:pPr>
      <w:r w:rsidRPr="00F75891">
        <w:rPr>
          <w:rFonts w:hint="cs"/>
          <w:rtl/>
        </w:rPr>
        <w:t>7</w:t>
      </w:r>
      <w:r w:rsidRPr="00F75891">
        <w:rPr>
          <w:rtl/>
        </w:rPr>
        <w:t xml:space="preserve"> חודשי מאסר על תנאי, לתקופה של שלוש שנים מהיום, והתנאי הוא שהנאשם לא יעבור עבירות סמים מסוג פשע.</w:t>
      </w:r>
    </w:p>
    <w:p w14:paraId="7223AA88" w14:textId="77777777" w:rsidR="00820969" w:rsidRDefault="00820969" w:rsidP="00820969">
      <w:pPr>
        <w:pStyle w:val="a9"/>
        <w:numPr>
          <w:ilvl w:val="0"/>
          <w:numId w:val="1"/>
        </w:numPr>
        <w:spacing w:line="360" w:lineRule="auto"/>
        <w:ind w:left="509"/>
        <w:jc w:val="both"/>
      </w:pPr>
      <w:r w:rsidRPr="000111C8">
        <w:rPr>
          <w:rtl/>
        </w:rPr>
        <w:t xml:space="preserve">קנס בסך </w:t>
      </w:r>
      <w:r w:rsidRPr="000111C8">
        <w:rPr>
          <w:rFonts w:hint="cs"/>
          <w:rtl/>
        </w:rPr>
        <w:t>3</w:t>
      </w:r>
      <w:r w:rsidRPr="000111C8">
        <w:rPr>
          <w:rtl/>
        </w:rPr>
        <w:t>,</w:t>
      </w:r>
      <w:r w:rsidRPr="000111C8">
        <w:rPr>
          <w:rFonts w:hint="cs"/>
          <w:rtl/>
        </w:rPr>
        <w:t>000</w:t>
      </w:r>
      <w:r w:rsidRPr="000111C8">
        <w:rPr>
          <w:rtl/>
        </w:rPr>
        <w:t xml:space="preserve"> ₪ או  </w:t>
      </w:r>
      <w:r w:rsidRPr="000111C8">
        <w:rPr>
          <w:rFonts w:hint="cs"/>
          <w:rtl/>
        </w:rPr>
        <w:t>15</w:t>
      </w:r>
      <w:r w:rsidRPr="000111C8">
        <w:rPr>
          <w:rtl/>
        </w:rPr>
        <w:t xml:space="preserve"> ימי מאסר תמורתו. </w:t>
      </w:r>
      <w:r w:rsidRPr="000111C8">
        <w:rPr>
          <w:rFonts w:hint="cs"/>
          <w:rtl/>
        </w:rPr>
        <w:t>בהסכמת הנאשם ובא כוחו, סכום הקנס יקוזז מסכום הכספים המופקדים בתיק המעצר הקשור</w:t>
      </w:r>
      <w:r>
        <w:rPr>
          <w:rFonts w:hint="cs"/>
          <w:rtl/>
        </w:rPr>
        <w:t xml:space="preserve"> בתיק זה והיתרה תוחזר לנאשם על פי פרטים שימסור במזכירות בית המשפט.</w:t>
      </w:r>
    </w:p>
    <w:p w14:paraId="5D520F60" w14:textId="77777777" w:rsidR="00820969" w:rsidRDefault="00820969" w:rsidP="00820969">
      <w:pPr>
        <w:spacing w:after="160" w:line="360" w:lineRule="auto"/>
        <w:jc w:val="both"/>
        <w:rPr>
          <w:rFonts w:ascii="Arial" w:hAnsi="Arial"/>
          <w:b/>
          <w:bCs/>
          <w:rtl/>
        </w:rPr>
      </w:pPr>
    </w:p>
    <w:p w14:paraId="3024CC57" w14:textId="77777777" w:rsidR="00820969" w:rsidRDefault="00E218B1" w:rsidP="00820969">
      <w:pPr>
        <w:spacing w:after="160" w:line="360" w:lineRule="auto"/>
        <w:jc w:val="both"/>
        <w:rPr>
          <w:rFonts w:ascii="Calibri" w:hAnsi="Calibri"/>
          <w:b/>
          <w:bCs/>
        </w:rPr>
      </w:pPr>
      <w:r w:rsidRPr="00E218B1">
        <w:rPr>
          <w:rFonts w:ascii="Arial" w:hAnsi="Arial"/>
          <w:b/>
          <w:bCs/>
          <w:color w:val="FFFFFF"/>
          <w:sz w:val="2"/>
          <w:szCs w:val="2"/>
          <w:rtl/>
        </w:rPr>
        <w:t>5129371</w:t>
      </w:r>
      <w:r w:rsidR="00820969">
        <w:rPr>
          <w:rFonts w:ascii="Arial" w:hAnsi="Arial"/>
          <w:b/>
          <w:bCs/>
          <w:rtl/>
        </w:rPr>
        <w:t>צו להשמדת מוצג – סמים בכפוף לחלוף תקופת הערעור.</w:t>
      </w:r>
    </w:p>
    <w:p w14:paraId="0EBFDFC1" w14:textId="77777777" w:rsidR="00820969" w:rsidRPr="00820969" w:rsidRDefault="00E218B1" w:rsidP="00820969">
      <w:pPr>
        <w:spacing w:line="360" w:lineRule="auto"/>
        <w:jc w:val="both"/>
        <w:rPr>
          <w:rFonts w:ascii="Calibri" w:hAnsi="Calibri"/>
          <w:b/>
          <w:bCs/>
          <w:rtl/>
        </w:rPr>
      </w:pPr>
      <w:r w:rsidRPr="00E218B1">
        <w:rPr>
          <w:rFonts w:ascii="Calibri" w:hAnsi="Calibri"/>
          <w:b/>
          <w:bCs/>
          <w:color w:val="FFFFFF"/>
          <w:sz w:val="2"/>
          <w:szCs w:val="2"/>
          <w:rtl/>
        </w:rPr>
        <w:t>54678313</w:t>
      </w:r>
      <w:r w:rsidR="00820969" w:rsidRPr="00820969">
        <w:rPr>
          <w:rFonts w:ascii="Calibri" w:hAnsi="Calibri"/>
          <w:b/>
          <w:bCs/>
          <w:rtl/>
        </w:rPr>
        <w:t xml:space="preserve">הודעה זכות הערעור </w:t>
      </w:r>
    </w:p>
    <w:p w14:paraId="71F7A0CA" w14:textId="77777777" w:rsidR="00820969" w:rsidRDefault="00820969" w:rsidP="00820969">
      <w:pPr>
        <w:spacing w:line="360" w:lineRule="auto"/>
        <w:jc w:val="both"/>
        <w:rPr>
          <w:rFonts w:ascii="Arial" w:hAnsi="Arial"/>
          <w:b/>
          <w:bCs/>
          <w:sz w:val="26"/>
          <w:szCs w:val="26"/>
          <w:rtl/>
        </w:rPr>
      </w:pPr>
    </w:p>
    <w:p w14:paraId="43E04FA2" w14:textId="77777777" w:rsidR="00820969" w:rsidRPr="000F2247" w:rsidRDefault="00E218B1" w:rsidP="00820969">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ד' ניסן תשפ"ג, 26 מרץ 2023, במעמד הצדדים. </w:t>
      </w:r>
      <w:bookmarkEnd w:id="8"/>
      <w:r w:rsidR="00820969">
        <w:rPr>
          <w:rFonts w:ascii="Arial" w:hAnsi="Arial"/>
          <w:b/>
          <w:bCs/>
          <w:sz w:val="26"/>
          <w:szCs w:val="26"/>
          <w:rtl/>
        </w:rPr>
        <w:tab/>
      </w:r>
      <w:r w:rsidR="00820969">
        <w:rPr>
          <w:rFonts w:ascii="Arial" w:hAnsi="Arial"/>
          <w:b/>
          <w:bCs/>
          <w:sz w:val="26"/>
          <w:szCs w:val="26"/>
          <w:rtl/>
        </w:rPr>
        <w:tab/>
      </w:r>
      <w:r w:rsidR="00820969">
        <w:rPr>
          <w:rFonts w:ascii="Arial" w:hAnsi="Arial"/>
          <w:b/>
          <w:bCs/>
          <w:sz w:val="26"/>
          <w:szCs w:val="26"/>
          <w:rtl/>
        </w:rPr>
        <w:tab/>
      </w:r>
      <w:r w:rsidR="00820969">
        <w:rPr>
          <w:rFonts w:ascii="Arial" w:hAnsi="Arial"/>
          <w:b/>
          <w:bCs/>
          <w:sz w:val="26"/>
          <w:szCs w:val="26"/>
          <w:rtl/>
        </w:rPr>
        <w:tab/>
      </w:r>
      <w:r w:rsidR="00820969">
        <w:rPr>
          <w:rFonts w:ascii="Arial" w:hAnsi="Arial"/>
          <w:b/>
          <w:bCs/>
          <w:sz w:val="26"/>
          <w:szCs w:val="26"/>
          <w:rtl/>
        </w:rPr>
        <w:tab/>
      </w:r>
      <w:r w:rsidR="00820969">
        <w:rPr>
          <w:rFonts w:ascii="Arial" w:hAnsi="Arial"/>
          <w:b/>
          <w:bCs/>
          <w:sz w:val="26"/>
          <w:szCs w:val="26"/>
          <w:rtl/>
        </w:rPr>
        <w:tab/>
      </w:r>
      <w:r w:rsidR="00820969">
        <w:rPr>
          <w:rFonts w:ascii="Arial" w:hAnsi="Arial"/>
          <w:b/>
          <w:bCs/>
          <w:sz w:val="26"/>
          <w:szCs w:val="26"/>
          <w:rtl/>
        </w:rPr>
        <w:tab/>
      </w:r>
      <w:r w:rsidR="00820969">
        <w:rPr>
          <w:rFonts w:ascii="Arial" w:hAnsi="Arial" w:hint="cs"/>
          <w:b/>
          <w:bCs/>
          <w:sz w:val="26"/>
          <w:szCs w:val="26"/>
          <w:rtl/>
        </w:rPr>
        <w:t xml:space="preserve">         </w:t>
      </w:r>
    </w:p>
    <w:p w14:paraId="0F5BC336" w14:textId="77777777" w:rsidR="00820969" w:rsidRPr="000F2247" w:rsidRDefault="00820969" w:rsidP="00E218B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E5C9B6C" w14:textId="77777777" w:rsidR="00820969" w:rsidRPr="00927088" w:rsidRDefault="00927088" w:rsidP="00820969">
      <w:pPr>
        <w:jc w:val="center"/>
        <w:rPr>
          <w:rFonts w:ascii="Arial" w:hAnsi="Arial"/>
          <w:b/>
          <w:bCs/>
          <w:color w:val="FFFFFF"/>
          <w:sz w:val="2"/>
          <w:szCs w:val="2"/>
          <w:rtl/>
        </w:rPr>
      </w:pPr>
      <w:r w:rsidRPr="00927088">
        <w:rPr>
          <w:rFonts w:ascii="Arial" w:hAnsi="Arial"/>
          <w:b/>
          <w:bCs/>
          <w:color w:val="FFFFFF"/>
          <w:sz w:val="2"/>
          <w:szCs w:val="2"/>
          <w:rtl/>
        </w:rPr>
        <w:t>5129371</w:t>
      </w:r>
    </w:p>
    <w:p w14:paraId="51C36FE6" w14:textId="77777777" w:rsidR="00E23491" w:rsidRPr="00927088" w:rsidRDefault="00927088" w:rsidP="00E218B1">
      <w:pPr>
        <w:keepNext/>
        <w:rPr>
          <w:rFonts w:ascii="David" w:hAnsi="David"/>
          <w:color w:val="FFFFFF"/>
          <w:sz w:val="2"/>
          <w:szCs w:val="2"/>
          <w:rtl/>
        </w:rPr>
      </w:pPr>
      <w:r w:rsidRPr="00927088">
        <w:rPr>
          <w:rFonts w:ascii="David" w:hAnsi="David"/>
          <w:color w:val="FFFFFF"/>
          <w:sz w:val="2"/>
          <w:szCs w:val="2"/>
          <w:rtl/>
        </w:rPr>
        <w:t>54678313</w:t>
      </w:r>
    </w:p>
    <w:p w14:paraId="51A8B973" w14:textId="77777777" w:rsidR="00E218B1" w:rsidRDefault="00E218B1" w:rsidP="00E218B1">
      <w:pPr>
        <w:rPr>
          <w:rtl/>
        </w:rPr>
      </w:pPr>
    </w:p>
    <w:p w14:paraId="50DF4406" w14:textId="77777777" w:rsidR="00E218B1" w:rsidRDefault="00E218B1" w:rsidP="00E218B1">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20416C74" w14:textId="77777777" w:rsidR="00927088" w:rsidRPr="00927088" w:rsidRDefault="00927088" w:rsidP="00927088">
      <w:pPr>
        <w:keepNext/>
        <w:rPr>
          <w:rFonts w:ascii="David" w:hAnsi="David"/>
          <w:color w:val="000000"/>
          <w:sz w:val="22"/>
          <w:szCs w:val="22"/>
          <w:rtl/>
        </w:rPr>
      </w:pPr>
    </w:p>
    <w:p w14:paraId="08EA628E" w14:textId="77777777" w:rsidR="00927088" w:rsidRPr="00927088" w:rsidRDefault="00927088" w:rsidP="00927088">
      <w:pPr>
        <w:keepNext/>
        <w:rPr>
          <w:rFonts w:ascii="David" w:hAnsi="David"/>
          <w:color w:val="000000"/>
          <w:sz w:val="22"/>
          <w:szCs w:val="22"/>
          <w:rtl/>
        </w:rPr>
      </w:pPr>
      <w:r w:rsidRPr="00927088">
        <w:rPr>
          <w:rFonts w:ascii="David" w:hAnsi="David"/>
          <w:color w:val="000000"/>
          <w:sz w:val="22"/>
          <w:szCs w:val="22"/>
          <w:rtl/>
        </w:rPr>
        <w:t>שוש שטרית 54678313-/</w:t>
      </w:r>
    </w:p>
    <w:p w14:paraId="22D38ED8" w14:textId="77777777" w:rsidR="00E218B1" w:rsidRPr="00E218B1" w:rsidRDefault="00927088" w:rsidP="00927088">
      <w:pPr>
        <w:rPr>
          <w:color w:val="0000FF"/>
          <w:u w:val="single"/>
        </w:rPr>
      </w:pPr>
      <w:r w:rsidRPr="00927088">
        <w:rPr>
          <w:color w:val="000000"/>
          <w:u w:val="single"/>
          <w:rtl/>
        </w:rPr>
        <w:t>נוסח מסמך זה כפוף לשינויי ניסוח ועריכה</w:t>
      </w:r>
    </w:p>
    <w:sectPr w:rsidR="00E218B1" w:rsidRPr="00E218B1" w:rsidSect="00927088">
      <w:headerReference w:type="even" r:id="rId33"/>
      <w:headerReference w:type="default" r:id="rId34"/>
      <w:footerReference w:type="even" r:id="rId35"/>
      <w:footerReference w:type="default" r:id="rId36"/>
      <w:pgSz w:w="11907" w:h="16840" w:code="9"/>
      <w:pgMar w:top="1701" w:right="1701" w:bottom="170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F49FD" w14:textId="77777777" w:rsidR="00635F8A" w:rsidRDefault="00635F8A" w:rsidP="004C4C9F">
      <w:r>
        <w:separator/>
      </w:r>
    </w:p>
  </w:endnote>
  <w:endnote w:type="continuationSeparator" w:id="0">
    <w:p w14:paraId="37528245" w14:textId="77777777" w:rsidR="00635F8A" w:rsidRDefault="00635F8A" w:rsidP="004C4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CE8FF" w14:textId="77777777" w:rsidR="00927088" w:rsidRDefault="00927088" w:rsidP="0092708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C23539B" w14:textId="77777777" w:rsidR="006B286F" w:rsidRPr="00927088" w:rsidRDefault="00927088" w:rsidP="00927088">
    <w:pPr>
      <w:pStyle w:val="a5"/>
      <w:pBdr>
        <w:top w:val="single" w:sz="4" w:space="1" w:color="auto"/>
        <w:between w:val="single" w:sz="4" w:space="0" w:color="auto"/>
      </w:pBdr>
      <w:spacing w:after="60"/>
      <w:jc w:val="center"/>
      <w:rPr>
        <w:rFonts w:ascii="FrankRuehl" w:hAnsi="FrankRuehl" w:cs="FrankRuehl"/>
        <w:color w:val="000000"/>
      </w:rPr>
    </w:pPr>
    <w:r w:rsidRPr="009270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C33C6" w14:textId="77777777" w:rsidR="00927088" w:rsidRDefault="00927088" w:rsidP="0092708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267B9">
      <w:rPr>
        <w:rFonts w:ascii="FrankRuehl" w:hAnsi="FrankRuehl" w:cs="FrankRuehl"/>
        <w:noProof/>
        <w:rtl/>
      </w:rPr>
      <w:t>1</w:t>
    </w:r>
    <w:r>
      <w:rPr>
        <w:rFonts w:ascii="FrankRuehl" w:hAnsi="FrankRuehl" w:cs="FrankRuehl"/>
        <w:rtl/>
      </w:rPr>
      <w:fldChar w:fldCharType="end"/>
    </w:r>
  </w:p>
  <w:p w14:paraId="6E2AE8CD" w14:textId="77777777" w:rsidR="006B286F" w:rsidRPr="00927088" w:rsidRDefault="00927088" w:rsidP="00927088">
    <w:pPr>
      <w:pStyle w:val="a5"/>
      <w:pBdr>
        <w:top w:val="single" w:sz="4" w:space="1" w:color="auto"/>
        <w:between w:val="single" w:sz="4" w:space="0" w:color="auto"/>
      </w:pBdr>
      <w:spacing w:after="60"/>
      <w:jc w:val="center"/>
      <w:rPr>
        <w:rFonts w:ascii="FrankRuehl" w:hAnsi="FrankRuehl" w:cs="FrankRuehl"/>
        <w:color w:val="000000"/>
      </w:rPr>
    </w:pPr>
    <w:r w:rsidRPr="00927088">
      <w:rPr>
        <w:rFonts w:ascii="FrankRuehl" w:hAnsi="FrankRuehl" w:cs="FrankRuehl"/>
        <w:color w:val="000000"/>
      </w:rPr>
      <w:pict w14:anchorId="324CC1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D1183" w14:textId="77777777" w:rsidR="00635F8A" w:rsidRDefault="00635F8A" w:rsidP="004C4C9F">
      <w:r>
        <w:separator/>
      </w:r>
    </w:p>
  </w:footnote>
  <w:footnote w:type="continuationSeparator" w:id="0">
    <w:p w14:paraId="33E49D22" w14:textId="77777777" w:rsidR="00635F8A" w:rsidRDefault="00635F8A" w:rsidP="004C4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3C2E4" w14:textId="77777777" w:rsidR="00E218B1" w:rsidRPr="00927088" w:rsidRDefault="00927088" w:rsidP="009270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39829-08-21</w:t>
    </w:r>
    <w:r>
      <w:rPr>
        <w:rFonts w:ascii="David" w:hAnsi="David"/>
        <w:color w:val="000000"/>
        <w:sz w:val="22"/>
        <w:szCs w:val="22"/>
        <w:rtl/>
      </w:rPr>
      <w:tab/>
      <w:t xml:space="preserve"> מדינת ישראל - תביעות נגב נ' אחמד אלקשחר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64E8F" w14:textId="77777777" w:rsidR="00E218B1" w:rsidRPr="00927088" w:rsidRDefault="00927088" w:rsidP="009270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39829-08-21</w:t>
    </w:r>
    <w:r>
      <w:rPr>
        <w:rFonts w:ascii="David" w:hAnsi="David"/>
        <w:color w:val="000000"/>
        <w:sz w:val="22"/>
        <w:szCs w:val="22"/>
        <w:rtl/>
      </w:rPr>
      <w:tab/>
      <w:t xml:space="preserve"> מדינת ישראל - תביעות נגב נ' אחמד אלקשחר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C593B"/>
    <w:multiLevelType w:val="hybridMultilevel"/>
    <w:tmpl w:val="D14CC64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867832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0969"/>
    <w:rsid w:val="001A5544"/>
    <w:rsid w:val="001B5A3B"/>
    <w:rsid w:val="001D33E7"/>
    <w:rsid w:val="002267B9"/>
    <w:rsid w:val="004C4C9F"/>
    <w:rsid w:val="005B244A"/>
    <w:rsid w:val="00635F8A"/>
    <w:rsid w:val="006B286F"/>
    <w:rsid w:val="00820969"/>
    <w:rsid w:val="00927088"/>
    <w:rsid w:val="009419FF"/>
    <w:rsid w:val="009F46B9"/>
    <w:rsid w:val="00BD1A5A"/>
    <w:rsid w:val="00D04A4A"/>
    <w:rsid w:val="00E218B1"/>
    <w:rsid w:val="00E234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9F0A96"/>
  <w15:chartTrackingRefBased/>
  <w15:docId w15:val="{14D1CC37-82B6-4DA1-90D4-A48F4A3C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096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20969"/>
    <w:pPr>
      <w:tabs>
        <w:tab w:val="center" w:pos="4153"/>
        <w:tab w:val="right" w:pos="8306"/>
      </w:tabs>
    </w:pPr>
  </w:style>
  <w:style w:type="character" w:customStyle="1" w:styleId="a4">
    <w:name w:val="כותרת עליונה תו"/>
    <w:link w:val="a3"/>
    <w:rsid w:val="00820969"/>
    <w:rPr>
      <w:rFonts w:ascii="Times New Roman" w:eastAsia="Times New Roman" w:hAnsi="Times New Roman" w:cs="David"/>
      <w:sz w:val="24"/>
      <w:szCs w:val="24"/>
    </w:rPr>
  </w:style>
  <w:style w:type="paragraph" w:styleId="a5">
    <w:name w:val="footer"/>
    <w:basedOn w:val="a"/>
    <w:link w:val="a6"/>
    <w:rsid w:val="00820969"/>
    <w:pPr>
      <w:tabs>
        <w:tab w:val="center" w:pos="4153"/>
        <w:tab w:val="right" w:pos="8306"/>
      </w:tabs>
    </w:pPr>
  </w:style>
  <w:style w:type="character" w:customStyle="1" w:styleId="a6">
    <w:name w:val="כותרת תחתונה תו"/>
    <w:link w:val="a5"/>
    <w:rsid w:val="00820969"/>
    <w:rPr>
      <w:rFonts w:ascii="Times New Roman" w:eastAsia="Times New Roman" w:hAnsi="Times New Roman" w:cs="David"/>
      <w:sz w:val="24"/>
      <w:szCs w:val="24"/>
    </w:rPr>
  </w:style>
  <w:style w:type="table" w:styleId="a7">
    <w:name w:val="Table Grid"/>
    <w:basedOn w:val="a1"/>
    <w:rsid w:val="0082096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20969"/>
  </w:style>
  <w:style w:type="paragraph" w:styleId="a9">
    <w:name w:val="List Paragraph"/>
    <w:basedOn w:val="a"/>
    <w:qFormat/>
    <w:rsid w:val="00820969"/>
    <w:pPr>
      <w:ind w:left="720"/>
      <w:contextualSpacing/>
    </w:pPr>
    <w:rPr>
      <w:noProof/>
    </w:rPr>
  </w:style>
  <w:style w:type="character" w:styleId="Hyperlink">
    <w:name w:val="Hyperlink"/>
    <w:rsid w:val="00E218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6172713" TargetMode="External"/><Relationship Id="rId26" Type="http://schemas.openxmlformats.org/officeDocument/2006/relationships/hyperlink" Target="http://www.nevo.co.il/case/22535152" TargetMode="External"/><Relationship Id="rId21" Type="http://schemas.openxmlformats.org/officeDocument/2006/relationships/hyperlink" Target="http://www.nevo.co.il/law/4216"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5530960" TargetMode="External"/><Relationship Id="rId25" Type="http://schemas.openxmlformats.org/officeDocument/2006/relationships/hyperlink" Target="http://www.nevo.co.il/case/19999565"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5530960" TargetMode="External"/><Relationship Id="rId20" Type="http://schemas.openxmlformats.org/officeDocument/2006/relationships/hyperlink" Target="http://www.nevo.co.il/case/5698919" TargetMode="External"/><Relationship Id="rId29" Type="http://schemas.openxmlformats.org/officeDocument/2006/relationships/hyperlink" Target="http://www.nevo.co.il/case/242827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24" Type="http://schemas.openxmlformats.org/officeDocument/2006/relationships/hyperlink" Target="http://www.nevo.co.il/case/21017469"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6169989" TargetMode="External"/><Relationship Id="rId28" Type="http://schemas.openxmlformats.org/officeDocument/2006/relationships/hyperlink" Target="http://www.nevo.co.il/case/25678016"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5726579" TargetMode="External"/><Relationship Id="rId31" Type="http://schemas.openxmlformats.org/officeDocument/2006/relationships/hyperlink" Target="http://www.nevo.co.il/case/25530960"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75" TargetMode="External"/><Relationship Id="rId22" Type="http://schemas.openxmlformats.org/officeDocument/2006/relationships/hyperlink" Target="http://www.nevo.co.il/case/5844852" TargetMode="External"/><Relationship Id="rId27" Type="http://schemas.openxmlformats.org/officeDocument/2006/relationships/hyperlink" Target="http://www.nevo.co.il/case/27217205" TargetMode="External"/><Relationship Id="rId30" Type="http://schemas.openxmlformats.org/officeDocument/2006/relationships/hyperlink" Target="http://www.nevo.co.il/law/70301"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2378</Words>
  <Characters>11894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14244</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3211387</vt:i4>
      </vt:variant>
      <vt:variant>
        <vt:i4>72</vt:i4>
      </vt:variant>
      <vt:variant>
        <vt:i4>0</vt:i4>
      </vt:variant>
      <vt:variant>
        <vt:i4>5</vt:i4>
      </vt:variant>
      <vt:variant>
        <vt:lpwstr>http://www.nevo.co.il/case/25530960</vt:lpwstr>
      </vt:variant>
      <vt:variant>
        <vt:lpwstr/>
      </vt:variant>
      <vt:variant>
        <vt:i4>7995492</vt:i4>
      </vt:variant>
      <vt:variant>
        <vt:i4>69</vt:i4>
      </vt:variant>
      <vt:variant>
        <vt:i4>0</vt:i4>
      </vt:variant>
      <vt:variant>
        <vt:i4>5</vt:i4>
      </vt:variant>
      <vt:variant>
        <vt:lpwstr>http://www.nevo.co.il/law/70301</vt:lpwstr>
      </vt:variant>
      <vt:variant>
        <vt:lpwstr/>
      </vt:variant>
      <vt:variant>
        <vt:i4>3342463</vt:i4>
      </vt:variant>
      <vt:variant>
        <vt:i4>66</vt:i4>
      </vt:variant>
      <vt:variant>
        <vt:i4>0</vt:i4>
      </vt:variant>
      <vt:variant>
        <vt:i4>5</vt:i4>
      </vt:variant>
      <vt:variant>
        <vt:lpwstr>http://www.nevo.co.il/case/24282715</vt:lpwstr>
      </vt:variant>
      <vt:variant>
        <vt:lpwstr/>
      </vt:variant>
      <vt:variant>
        <vt:i4>3997814</vt:i4>
      </vt:variant>
      <vt:variant>
        <vt:i4>63</vt:i4>
      </vt:variant>
      <vt:variant>
        <vt:i4>0</vt:i4>
      </vt:variant>
      <vt:variant>
        <vt:i4>5</vt:i4>
      </vt:variant>
      <vt:variant>
        <vt:lpwstr>http://www.nevo.co.il/case/25678016</vt:lpwstr>
      </vt:variant>
      <vt:variant>
        <vt:lpwstr/>
      </vt:variant>
      <vt:variant>
        <vt:i4>3604592</vt:i4>
      </vt:variant>
      <vt:variant>
        <vt:i4>60</vt:i4>
      </vt:variant>
      <vt:variant>
        <vt:i4>0</vt:i4>
      </vt:variant>
      <vt:variant>
        <vt:i4>5</vt:i4>
      </vt:variant>
      <vt:variant>
        <vt:lpwstr>http://www.nevo.co.il/case/27217205</vt:lpwstr>
      </vt:variant>
      <vt:variant>
        <vt:lpwstr/>
      </vt:variant>
      <vt:variant>
        <vt:i4>3604596</vt:i4>
      </vt:variant>
      <vt:variant>
        <vt:i4>57</vt:i4>
      </vt:variant>
      <vt:variant>
        <vt:i4>0</vt:i4>
      </vt:variant>
      <vt:variant>
        <vt:i4>5</vt:i4>
      </vt:variant>
      <vt:variant>
        <vt:lpwstr>http://www.nevo.co.il/case/22535152</vt:lpwstr>
      </vt:variant>
      <vt:variant>
        <vt:lpwstr/>
      </vt:variant>
      <vt:variant>
        <vt:i4>3604593</vt:i4>
      </vt:variant>
      <vt:variant>
        <vt:i4>54</vt:i4>
      </vt:variant>
      <vt:variant>
        <vt:i4>0</vt:i4>
      </vt:variant>
      <vt:variant>
        <vt:i4>5</vt:i4>
      </vt:variant>
      <vt:variant>
        <vt:lpwstr>http://www.nevo.co.il/case/19999565</vt:lpwstr>
      </vt:variant>
      <vt:variant>
        <vt:lpwstr/>
      </vt:variant>
      <vt:variant>
        <vt:i4>3342448</vt:i4>
      </vt:variant>
      <vt:variant>
        <vt:i4>51</vt:i4>
      </vt:variant>
      <vt:variant>
        <vt:i4>0</vt:i4>
      </vt:variant>
      <vt:variant>
        <vt:i4>5</vt:i4>
      </vt:variant>
      <vt:variant>
        <vt:lpwstr>http://www.nevo.co.il/case/21017469</vt:lpwstr>
      </vt:variant>
      <vt:variant>
        <vt:lpwstr/>
      </vt:variant>
      <vt:variant>
        <vt:i4>3145844</vt:i4>
      </vt:variant>
      <vt:variant>
        <vt:i4>48</vt:i4>
      </vt:variant>
      <vt:variant>
        <vt:i4>0</vt:i4>
      </vt:variant>
      <vt:variant>
        <vt:i4>5</vt:i4>
      </vt:variant>
      <vt:variant>
        <vt:lpwstr>http://www.nevo.co.il/case/6169989</vt:lpwstr>
      </vt:variant>
      <vt:variant>
        <vt:lpwstr/>
      </vt:variant>
      <vt:variant>
        <vt:i4>3866749</vt:i4>
      </vt:variant>
      <vt:variant>
        <vt:i4>45</vt:i4>
      </vt:variant>
      <vt:variant>
        <vt:i4>0</vt:i4>
      </vt:variant>
      <vt:variant>
        <vt:i4>5</vt:i4>
      </vt:variant>
      <vt:variant>
        <vt:lpwstr>http://www.nevo.co.il/case/5844852</vt:lpwstr>
      </vt:variant>
      <vt:variant>
        <vt:lpwstr/>
      </vt:variant>
      <vt:variant>
        <vt:i4>8257637</vt:i4>
      </vt:variant>
      <vt:variant>
        <vt:i4>42</vt:i4>
      </vt:variant>
      <vt:variant>
        <vt:i4>0</vt:i4>
      </vt:variant>
      <vt:variant>
        <vt:i4>5</vt:i4>
      </vt:variant>
      <vt:variant>
        <vt:lpwstr>http://www.nevo.co.il/law/4216</vt:lpwstr>
      </vt:variant>
      <vt:variant>
        <vt:lpwstr/>
      </vt:variant>
      <vt:variant>
        <vt:i4>3932283</vt:i4>
      </vt:variant>
      <vt:variant>
        <vt:i4>39</vt:i4>
      </vt:variant>
      <vt:variant>
        <vt:i4>0</vt:i4>
      </vt:variant>
      <vt:variant>
        <vt:i4>5</vt:i4>
      </vt:variant>
      <vt:variant>
        <vt:lpwstr>http://www.nevo.co.il/case/5698919</vt:lpwstr>
      </vt:variant>
      <vt:variant>
        <vt:lpwstr/>
      </vt:variant>
      <vt:variant>
        <vt:i4>3866738</vt:i4>
      </vt:variant>
      <vt:variant>
        <vt:i4>36</vt:i4>
      </vt:variant>
      <vt:variant>
        <vt:i4>0</vt:i4>
      </vt:variant>
      <vt:variant>
        <vt:i4>5</vt:i4>
      </vt:variant>
      <vt:variant>
        <vt:lpwstr>http://www.nevo.co.il/case/5726579</vt:lpwstr>
      </vt:variant>
      <vt:variant>
        <vt:lpwstr/>
      </vt:variant>
      <vt:variant>
        <vt:i4>3473526</vt:i4>
      </vt:variant>
      <vt:variant>
        <vt:i4>33</vt:i4>
      </vt:variant>
      <vt:variant>
        <vt:i4>0</vt:i4>
      </vt:variant>
      <vt:variant>
        <vt:i4>5</vt:i4>
      </vt:variant>
      <vt:variant>
        <vt:lpwstr>http://www.nevo.co.il/case/6172713</vt:lpwstr>
      </vt:variant>
      <vt:variant>
        <vt:lpwstr/>
      </vt:variant>
      <vt:variant>
        <vt:i4>3211387</vt:i4>
      </vt:variant>
      <vt:variant>
        <vt:i4>30</vt:i4>
      </vt:variant>
      <vt:variant>
        <vt:i4>0</vt:i4>
      </vt:variant>
      <vt:variant>
        <vt:i4>5</vt:i4>
      </vt:variant>
      <vt:variant>
        <vt:lpwstr>http://www.nevo.co.il/case/25530960</vt:lpwstr>
      </vt:variant>
      <vt:variant>
        <vt:lpwstr/>
      </vt:variant>
      <vt:variant>
        <vt:i4>3211387</vt:i4>
      </vt:variant>
      <vt:variant>
        <vt:i4>27</vt:i4>
      </vt:variant>
      <vt:variant>
        <vt:i4>0</vt:i4>
      </vt:variant>
      <vt:variant>
        <vt:i4>5</vt:i4>
      </vt:variant>
      <vt:variant>
        <vt:lpwstr>http://www.nevo.co.il/case/25530960</vt:lpwstr>
      </vt:variant>
      <vt:variant>
        <vt:lpwstr/>
      </vt:variant>
      <vt:variant>
        <vt:i4>7995492</vt:i4>
      </vt:variant>
      <vt:variant>
        <vt:i4>24</vt:i4>
      </vt:variant>
      <vt:variant>
        <vt:i4>0</vt:i4>
      </vt:variant>
      <vt:variant>
        <vt:i4>5</vt:i4>
      </vt:variant>
      <vt:variant>
        <vt:lpwstr>http://www.nevo.co.il/law/70301</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2025-04-23T01:08:00Z</dcterms:created>
  <dcterms:modified xsi:type="dcterms:W3CDTF">2025-04-23T01:08:00Z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39829</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 - תביעות נגב</vt:lpwstr>
  </property>
  <property fmtid="{D5CDD505-2E9C-101B-9397-08002B2CF9AE}" pid="9" name="APPELLEE">
    <vt:lpwstr>אחמד אלקשחר</vt:lpwstr>
  </property>
  <property fmtid="{D5CDD505-2E9C-101B-9397-08002B2CF9AE}" pid="10" name="LAWYER">
    <vt:lpwstr>ליבנת רחמים בנני;אחמד וותד</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20230326</vt:lpwstr>
  </property>
  <property fmtid="{D5CDD505-2E9C-101B-9397-08002B2CF9AE}" pid="14" name="TYPE_N_DATE">
    <vt:lpwstr>38020230326</vt:lpwstr>
  </property>
  <property fmtid="{D5CDD505-2E9C-101B-9397-08002B2CF9AE}" pid="15" name="WORDNUMPAGES">
    <vt:lpwstr>6</vt:lpwstr>
  </property>
  <property fmtid="{D5CDD505-2E9C-101B-9397-08002B2CF9AE}" pid="16" name="TYPE_ABS_DATE">
    <vt:lpwstr>380020230326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25530960:3;6172713;5726579;5698919;5844852;6169989;21017469;19999565;22535152;27217205;25678016;24282715</vt:lpwstr>
  </property>
  <property fmtid="{D5CDD505-2E9C-101B-9397-08002B2CF9AE}" pid="36" name="LAWLISTTMP1">
    <vt:lpwstr>4216/007.a;007.c</vt:lpwstr>
  </property>
  <property fmtid="{D5CDD505-2E9C-101B-9397-08002B2CF9AE}" pid="37" name="LAWLISTTMP2">
    <vt:lpwstr>70301/275</vt:lpwstr>
  </property>
</Properties>
</file>