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406536" w:rsidRPr="002E3DA7" w14:paraId="2A92ADE3" w14:textId="77777777" w:rsidTr="002029BD">
        <w:trPr>
          <w:gridAfter w:val="1"/>
          <w:wAfter w:w="99" w:type="dxa"/>
          <w:trHeight w:hRule="exact" w:val="418"/>
          <w:jc w:val="center"/>
        </w:trPr>
        <w:tc>
          <w:tcPr>
            <w:tcW w:w="8721" w:type="dxa"/>
            <w:gridSpan w:val="4"/>
          </w:tcPr>
          <w:p w14:paraId="746A3C28" w14:textId="77777777" w:rsidR="00406536" w:rsidRPr="002E3DA7" w:rsidRDefault="00406536" w:rsidP="00274F18">
            <w:pPr>
              <w:pStyle w:val="a3"/>
              <w:jc w:val="center"/>
              <w:rPr>
                <w:rFonts w:ascii="Tahoma" w:hAnsi="Tahoma" w:cs="Tahoma"/>
                <w:color w:val="000080"/>
                <w:rtl/>
              </w:rPr>
            </w:pPr>
            <w:bookmarkStart w:id="0" w:name="LastJudge"/>
            <w:r w:rsidRPr="002E3DA7">
              <w:rPr>
                <w:rFonts w:ascii="Tahoma" w:hAnsi="Tahoma" w:cs="Tahoma"/>
                <w:b/>
                <w:bCs/>
                <w:color w:val="000080"/>
                <w:rtl/>
              </w:rPr>
              <w:t>בית משפט השלום בתל אביב -יפו</w:t>
            </w:r>
          </w:p>
        </w:tc>
      </w:tr>
      <w:tr w:rsidR="00406536" w:rsidRPr="002E3DA7" w14:paraId="55F23186" w14:textId="77777777" w:rsidTr="002029BD">
        <w:trPr>
          <w:gridAfter w:val="1"/>
          <w:wAfter w:w="99" w:type="dxa"/>
          <w:trHeight w:val="337"/>
          <w:jc w:val="center"/>
        </w:trPr>
        <w:tc>
          <w:tcPr>
            <w:tcW w:w="5054" w:type="dxa"/>
            <w:gridSpan w:val="3"/>
          </w:tcPr>
          <w:p w14:paraId="5825B1E8" w14:textId="77777777" w:rsidR="00406536" w:rsidRPr="002E3DA7" w:rsidRDefault="00406536" w:rsidP="00274F18">
            <w:pPr>
              <w:rPr>
                <w:rFonts w:cs="FrankRuehl"/>
                <w:sz w:val="28"/>
                <w:szCs w:val="28"/>
                <w:rtl/>
              </w:rPr>
            </w:pPr>
            <w:r w:rsidRPr="002E3DA7">
              <w:rPr>
                <w:rFonts w:cs="FrankRuehl"/>
                <w:sz w:val="28"/>
                <w:szCs w:val="28"/>
                <w:rtl/>
              </w:rPr>
              <w:t>ת"פ</w:t>
            </w:r>
            <w:r w:rsidRPr="002E3DA7">
              <w:rPr>
                <w:rFonts w:cs="FrankRuehl" w:hint="cs"/>
                <w:sz w:val="28"/>
                <w:szCs w:val="28"/>
                <w:rtl/>
              </w:rPr>
              <w:t xml:space="preserve"> </w:t>
            </w:r>
            <w:r w:rsidRPr="002E3DA7">
              <w:rPr>
                <w:rFonts w:cs="FrankRuehl"/>
                <w:sz w:val="28"/>
                <w:szCs w:val="28"/>
                <w:rtl/>
              </w:rPr>
              <w:t>42707-08-21</w:t>
            </w:r>
            <w:r w:rsidRPr="002E3DA7">
              <w:rPr>
                <w:rFonts w:cs="FrankRuehl" w:hint="cs"/>
                <w:sz w:val="28"/>
                <w:szCs w:val="28"/>
                <w:rtl/>
              </w:rPr>
              <w:t xml:space="preserve"> </w:t>
            </w:r>
            <w:r w:rsidRPr="002E3DA7">
              <w:rPr>
                <w:rFonts w:cs="FrankRuehl"/>
                <w:sz w:val="28"/>
                <w:szCs w:val="28"/>
                <w:rtl/>
              </w:rPr>
              <w:t>מדינת ישראל נ' בזיני</w:t>
            </w:r>
          </w:p>
          <w:p w14:paraId="39270652" w14:textId="77777777" w:rsidR="00406536" w:rsidRPr="002E3DA7" w:rsidRDefault="00406536" w:rsidP="00274F18">
            <w:pPr>
              <w:pStyle w:val="a3"/>
              <w:rPr>
                <w:rFonts w:cs="FrankRuehl"/>
                <w:sz w:val="28"/>
                <w:szCs w:val="28"/>
                <w:rtl/>
              </w:rPr>
            </w:pPr>
          </w:p>
        </w:tc>
        <w:tc>
          <w:tcPr>
            <w:tcW w:w="3667" w:type="dxa"/>
          </w:tcPr>
          <w:p w14:paraId="292A46FD" w14:textId="77777777" w:rsidR="00406536" w:rsidRPr="002E3DA7" w:rsidRDefault="00406536" w:rsidP="00274F18">
            <w:pPr>
              <w:pStyle w:val="a3"/>
              <w:jc w:val="right"/>
              <w:rPr>
                <w:rFonts w:cs="FrankRuehl"/>
                <w:sz w:val="28"/>
                <w:szCs w:val="28"/>
                <w:rtl/>
              </w:rPr>
            </w:pPr>
          </w:p>
        </w:tc>
      </w:tr>
      <w:tr w:rsidR="00406536" w:rsidRPr="002E3DA7" w14:paraId="026A3B0A" w14:textId="77777777" w:rsidTr="002029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762C4CF" w14:textId="77777777" w:rsidR="00406536" w:rsidRPr="002E3DA7" w:rsidRDefault="00406536" w:rsidP="00406536">
            <w:pPr>
              <w:jc w:val="both"/>
              <w:rPr>
                <w:rFonts w:ascii="David" w:hAnsi="David"/>
                <w:sz w:val="26"/>
                <w:szCs w:val="26"/>
              </w:rPr>
            </w:pPr>
            <w:r w:rsidRPr="002E3DA7">
              <w:rPr>
                <w:rFonts w:hint="cs"/>
                <w:rtl/>
              </w:rPr>
              <w:t xml:space="preserve"> </w:t>
            </w:r>
            <w:r w:rsidRPr="002E3DA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3251EF4" w14:textId="77777777" w:rsidR="00406536" w:rsidRPr="002E3DA7" w:rsidRDefault="00406536" w:rsidP="00274F18">
            <w:pPr>
              <w:rPr>
                <w:rFonts w:ascii="David" w:hAnsi="David"/>
                <w:b/>
                <w:bCs/>
                <w:sz w:val="26"/>
                <w:szCs w:val="26"/>
                <w:rtl/>
              </w:rPr>
            </w:pPr>
            <w:r w:rsidRPr="002E3DA7">
              <w:rPr>
                <w:rFonts w:ascii="David" w:hAnsi="David"/>
                <w:b/>
                <w:bCs/>
                <w:sz w:val="26"/>
                <w:szCs w:val="26"/>
                <w:rtl/>
              </w:rPr>
              <w:t>כבוד השופטת  ענת יהב</w:t>
            </w:r>
          </w:p>
          <w:p w14:paraId="322143BE" w14:textId="77777777" w:rsidR="00406536" w:rsidRPr="002E3DA7" w:rsidRDefault="00406536" w:rsidP="00274F18">
            <w:pPr>
              <w:rPr>
                <w:rFonts w:ascii="David" w:hAnsi="David"/>
                <w:sz w:val="26"/>
                <w:szCs w:val="26"/>
                <w:rtl/>
              </w:rPr>
            </w:pPr>
          </w:p>
          <w:p w14:paraId="4130A657" w14:textId="77777777" w:rsidR="00406536" w:rsidRPr="002E3DA7" w:rsidRDefault="00406536" w:rsidP="00406536">
            <w:pPr>
              <w:jc w:val="both"/>
              <w:rPr>
                <w:rFonts w:ascii="David" w:hAnsi="David"/>
                <w:sz w:val="26"/>
                <w:szCs w:val="26"/>
              </w:rPr>
            </w:pPr>
          </w:p>
        </w:tc>
      </w:tr>
      <w:tr w:rsidR="00406536" w:rsidRPr="002E3DA7" w14:paraId="47A12632" w14:textId="77777777" w:rsidTr="002029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67A388" w14:textId="77777777" w:rsidR="00406536" w:rsidRPr="002E3DA7" w:rsidRDefault="00406536" w:rsidP="00406536">
            <w:pPr>
              <w:jc w:val="both"/>
              <w:rPr>
                <w:rFonts w:ascii="David" w:hAnsi="David"/>
                <w:sz w:val="26"/>
                <w:szCs w:val="26"/>
              </w:rPr>
            </w:pPr>
            <w:bookmarkStart w:id="1" w:name="FirstAppellant"/>
            <w:bookmarkStart w:id="2" w:name="FirstLawyer"/>
            <w:r w:rsidRPr="002E3DA7">
              <w:rPr>
                <w:rFonts w:ascii="David" w:hAnsi="David"/>
                <w:sz w:val="26"/>
                <w:szCs w:val="26"/>
                <w:rtl/>
              </w:rPr>
              <w:t>בעניין:</w:t>
            </w:r>
          </w:p>
        </w:tc>
        <w:tc>
          <w:tcPr>
            <w:tcW w:w="3219" w:type="dxa"/>
            <w:tcBorders>
              <w:top w:val="nil"/>
              <w:left w:val="nil"/>
              <w:bottom w:val="nil"/>
              <w:right w:val="nil"/>
            </w:tcBorders>
            <w:shd w:val="clear" w:color="auto" w:fill="auto"/>
          </w:tcPr>
          <w:p w14:paraId="62F97B63" w14:textId="77777777" w:rsidR="00406536" w:rsidRPr="002E3DA7" w:rsidRDefault="00406536" w:rsidP="00406536">
            <w:pPr>
              <w:suppressLineNumbers/>
            </w:pPr>
            <w:r w:rsidRPr="002E3DA7">
              <w:rPr>
                <w:rFonts w:ascii="Arial" w:hAnsi="Arial" w:hint="cs"/>
                <w:b/>
                <w:bCs/>
                <w:sz w:val="26"/>
                <w:szCs w:val="26"/>
                <w:rtl/>
              </w:rPr>
              <w:t>מאשימה:</w:t>
            </w:r>
          </w:p>
          <w:p w14:paraId="17FF73C9" w14:textId="77777777" w:rsidR="00406536" w:rsidRPr="002E3DA7" w:rsidRDefault="00406536" w:rsidP="00274F1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E09B24C" w14:textId="77777777" w:rsidR="00406536" w:rsidRPr="002E3DA7" w:rsidRDefault="00406536" w:rsidP="00406536">
            <w:pPr>
              <w:suppressLineNumbers/>
              <w:rPr>
                <w:rFonts w:ascii="Arial" w:hAnsi="Arial"/>
                <w:b/>
                <w:bCs/>
                <w:sz w:val="26"/>
                <w:szCs w:val="26"/>
                <w:rtl/>
              </w:rPr>
            </w:pPr>
            <w:r w:rsidRPr="002E3DA7">
              <w:rPr>
                <w:rFonts w:ascii="Arial" w:hAnsi="Arial"/>
                <w:b/>
                <w:bCs/>
                <w:sz w:val="26"/>
                <w:szCs w:val="26"/>
                <w:rtl/>
              </w:rPr>
              <w:t>מדינת ישראל</w:t>
            </w:r>
            <w:r w:rsidRPr="002E3DA7">
              <w:rPr>
                <w:rFonts w:ascii="Arial" w:hAnsi="Arial" w:hint="cs"/>
                <w:b/>
                <w:bCs/>
                <w:sz w:val="26"/>
                <w:szCs w:val="26"/>
                <w:rtl/>
              </w:rPr>
              <w:t xml:space="preserve"> </w:t>
            </w:r>
          </w:p>
          <w:p w14:paraId="1509E401" w14:textId="77777777" w:rsidR="00406536" w:rsidRPr="002E3DA7" w:rsidRDefault="00406536" w:rsidP="00406536">
            <w:pPr>
              <w:suppressLineNumbers/>
            </w:pPr>
            <w:r w:rsidRPr="002E3DA7">
              <w:rPr>
                <w:rFonts w:ascii="Arial" w:hAnsi="Arial"/>
                <w:rtl/>
              </w:rPr>
              <w:t>ע"י ב"כ עוה"ד</w:t>
            </w:r>
            <w:r w:rsidRPr="002E3DA7">
              <w:rPr>
                <w:rFonts w:hint="cs"/>
                <w:rtl/>
              </w:rPr>
              <w:t xml:space="preserve"> לילך גולן</w:t>
            </w:r>
          </w:p>
          <w:p w14:paraId="377CBE66" w14:textId="77777777" w:rsidR="00406536" w:rsidRPr="002E3DA7" w:rsidRDefault="00406536" w:rsidP="00274F18">
            <w:pPr>
              <w:rPr>
                <w:rFonts w:ascii="David" w:hAnsi="David"/>
                <w:sz w:val="26"/>
                <w:szCs w:val="26"/>
              </w:rPr>
            </w:pPr>
          </w:p>
        </w:tc>
      </w:tr>
      <w:bookmarkEnd w:id="1"/>
      <w:bookmarkEnd w:id="2"/>
      <w:tr w:rsidR="00406536" w:rsidRPr="002E3DA7" w14:paraId="49DB9460" w14:textId="77777777" w:rsidTr="002029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C432F86" w14:textId="77777777" w:rsidR="00406536" w:rsidRPr="002E3DA7" w:rsidRDefault="00406536" w:rsidP="0040653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882D59D" w14:textId="77777777" w:rsidR="00406536" w:rsidRPr="002E3DA7" w:rsidRDefault="00406536" w:rsidP="00406536">
            <w:pPr>
              <w:jc w:val="center"/>
              <w:rPr>
                <w:rFonts w:ascii="David" w:hAnsi="David"/>
                <w:b/>
                <w:bCs/>
                <w:sz w:val="26"/>
                <w:szCs w:val="26"/>
                <w:rtl/>
              </w:rPr>
            </w:pPr>
          </w:p>
          <w:p w14:paraId="1E49A8C7" w14:textId="77777777" w:rsidR="00406536" w:rsidRPr="002E3DA7" w:rsidRDefault="00406536" w:rsidP="00406536">
            <w:pPr>
              <w:jc w:val="center"/>
              <w:rPr>
                <w:rFonts w:ascii="David" w:hAnsi="David"/>
                <w:b/>
                <w:bCs/>
                <w:sz w:val="26"/>
                <w:szCs w:val="26"/>
                <w:rtl/>
              </w:rPr>
            </w:pPr>
            <w:r w:rsidRPr="002E3DA7">
              <w:rPr>
                <w:rFonts w:ascii="David" w:hAnsi="David"/>
                <w:b/>
                <w:bCs/>
                <w:sz w:val="26"/>
                <w:szCs w:val="26"/>
                <w:rtl/>
              </w:rPr>
              <w:t>נגד</w:t>
            </w:r>
          </w:p>
          <w:p w14:paraId="0ADC8B60" w14:textId="77777777" w:rsidR="00406536" w:rsidRPr="002E3DA7" w:rsidRDefault="00406536" w:rsidP="00406536">
            <w:pPr>
              <w:jc w:val="both"/>
              <w:rPr>
                <w:rFonts w:ascii="David" w:hAnsi="David"/>
                <w:sz w:val="26"/>
                <w:szCs w:val="26"/>
              </w:rPr>
            </w:pPr>
          </w:p>
        </w:tc>
      </w:tr>
      <w:tr w:rsidR="00406536" w:rsidRPr="002E3DA7" w14:paraId="5B57BBC4" w14:textId="77777777" w:rsidTr="002029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D8110D" w14:textId="77777777" w:rsidR="00406536" w:rsidRPr="002E3DA7" w:rsidRDefault="00406536" w:rsidP="00274F18">
            <w:pPr>
              <w:rPr>
                <w:rFonts w:ascii="David" w:hAnsi="David"/>
                <w:sz w:val="26"/>
                <w:szCs w:val="26"/>
                <w:rtl/>
              </w:rPr>
            </w:pPr>
          </w:p>
        </w:tc>
        <w:tc>
          <w:tcPr>
            <w:tcW w:w="3219" w:type="dxa"/>
            <w:tcBorders>
              <w:top w:val="nil"/>
              <w:left w:val="nil"/>
              <w:bottom w:val="nil"/>
              <w:right w:val="nil"/>
            </w:tcBorders>
            <w:shd w:val="clear" w:color="auto" w:fill="auto"/>
          </w:tcPr>
          <w:p w14:paraId="0712E1F7" w14:textId="77777777" w:rsidR="00406536" w:rsidRPr="002E3DA7" w:rsidRDefault="00406536" w:rsidP="00274F18">
            <w:pPr>
              <w:rPr>
                <w:rFonts w:ascii="Arial" w:hAnsi="Arial"/>
                <w:b/>
                <w:bCs/>
                <w:sz w:val="26"/>
                <w:szCs w:val="26"/>
                <w:rtl/>
              </w:rPr>
            </w:pPr>
            <w:r w:rsidRPr="002E3DA7">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7A7363B8" w14:textId="77777777" w:rsidR="00406536" w:rsidRPr="002E3DA7" w:rsidRDefault="00406536" w:rsidP="00406536">
            <w:pPr>
              <w:suppressLineNumbers/>
              <w:rPr>
                <w:rFonts w:ascii="Arial" w:hAnsi="Arial"/>
                <w:b/>
                <w:bCs/>
                <w:sz w:val="26"/>
                <w:szCs w:val="26"/>
                <w:rtl/>
              </w:rPr>
            </w:pPr>
            <w:r w:rsidRPr="002E3DA7">
              <w:rPr>
                <w:rFonts w:ascii="Arial" w:hAnsi="Arial"/>
                <w:b/>
                <w:bCs/>
                <w:sz w:val="26"/>
                <w:szCs w:val="26"/>
                <w:rtl/>
              </w:rPr>
              <w:t>גבריאל בזיני</w:t>
            </w:r>
            <w:r w:rsidRPr="002E3DA7">
              <w:rPr>
                <w:rFonts w:ascii="Arial" w:hAnsi="Arial" w:hint="cs"/>
                <w:b/>
                <w:bCs/>
                <w:sz w:val="26"/>
                <w:szCs w:val="26"/>
                <w:rtl/>
              </w:rPr>
              <w:t xml:space="preserve"> </w:t>
            </w:r>
          </w:p>
          <w:p w14:paraId="37C58361" w14:textId="77777777" w:rsidR="00406536" w:rsidRPr="002E3DA7" w:rsidRDefault="00406536" w:rsidP="00406536">
            <w:pPr>
              <w:suppressLineNumbers/>
            </w:pPr>
            <w:r w:rsidRPr="002E3DA7">
              <w:rPr>
                <w:rFonts w:ascii="Arial" w:hAnsi="Arial"/>
                <w:rtl/>
              </w:rPr>
              <w:t>ע"י ב"כ עוה"ד</w:t>
            </w:r>
            <w:r w:rsidRPr="002E3DA7">
              <w:rPr>
                <w:rFonts w:hint="cs"/>
                <w:rtl/>
              </w:rPr>
              <w:t xml:space="preserve"> ענבר קינן </w:t>
            </w:r>
          </w:p>
          <w:p w14:paraId="2F4DEBB1" w14:textId="77777777" w:rsidR="00406536" w:rsidRPr="002E3DA7" w:rsidRDefault="00406536" w:rsidP="00274F18">
            <w:pPr>
              <w:rPr>
                <w:rFonts w:ascii="David" w:hAnsi="David"/>
                <w:sz w:val="26"/>
                <w:szCs w:val="26"/>
              </w:rPr>
            </w:pPr>
          </w:p>
        </w:tc>
      </w:tr>
    </w:tbl>
    <w:p w14:paraId="4FCB3F92" w14:textId="77777777" w:rsidR="002E3DA7" w:rsidRPr="002E3DA7" w:rsidRDefault="002E3DA7" w:rsidP="002E3DA7">
      <w:pPr>
        <w:spacing w:before="120" w:after="120" w:line="240" w:lineRule="exact"/>
        <w:ind w:left="283" w:hanging="283"/>
        <w:jc w:val="both"/>
        <w:rPr>
          <w:rFonts w:ascii="FrankRuehl" w:hAnsi="FrankRuehl" w:cs="FrankRuehl"/>
          <w:rtl/>
        </w:rPr>
      </w:pPr>
    </w:p>
    <w:p w14:paraId="4352970F" w14:textId="77777777" w:rsidR="002E3DA7" w:rsidRPr="002E3DA7" w:rsidRDefault="002E3DA7" w:rsidP="002E3DA7">
      <w:pPr>
        <w:rPr>
          <w:sz w:val="26"/>
          <w:szCs w:val="26"/>
          <w:rtl/>
        </w:rPr>
      </w:pPr>
    </w:p>
    <w:p w14:paraId="5279FE2E" w14:textId="77777777" w:rsidR="002029BD" w:rsidRPr="002029BD" w:rsidRDefault="002029BD" w:rsidP="002029BD">
      <w:pPr>
        <w:spacing w:before="120" w:after="120" w:line="240" w:lineRule="exact"/>
        <w:ind w:left="283" w:hanging="283"/>
        <w:jc w:val="both"/>
        <w:rPr>
          <w:rFonts w:ascii="FrankRuehl" w:hAnsi="FrankRuehl" w:cs="FrankRuehl"/>
          <w:rtl/>
        </w:rPr>
      </w:pPr>
    </w:p>
    <w:p w14:paraId="2D18FB7C" w14:textId="77777777" w:rsidR="008B2F92" w:rsidRPr="008B2F92" w:rsidRDefault="008B2F92" w:rsidP="008B2F92">
      <w:pPr>
        <w:spacing w:before="120" w:after="120" w:line="240" w:lineRule="exact"/>
        <w:ind w:left="283" w:hanging="283"/>
        <w:jc w:val="both"/>
        <w:rPr>
          <w:rFonts w:ascii="FrankRuehl" w:hAnsi="FrankRuehl" w:cs="FrankRuehl"/>
          <w:rtl/>
        </w:rPr>
      </w:pPr>
    </w:p>
    <w:p w14:paraId="3274968B" w14:textId="77777777" w:rsidR="00971006" w:rsidRDefault="00971006" w:rsidP="00971006">
      <w:pPr>
        <w:rPr>
          <w:sz w:val="26"/>
          <w:szCs w:val="26"/>
          <w:rtl/>
        </w:rPr>
      </w:pPr>
      <w:bookmarkStart w:id="3" w:name="LawTable"/>
      <w:bookmarkEnd w:id="3"/>
    </w:p>
    <w:p w14:paraId="3DC02BD0" w14:textId="77777777" w:rsidR="00971006" w:rsidRPr="00971006" w:rsidRDefault="00971006" w:rsidP="00971006">
      <w:pPr>
        <w:spacing w:before="120" w:after="120" w:line="240" w:lineRule="exact"/>
        <w:ind w:left="283" w:hanging="283"/>
        <w:jc w:val="both"/>
        <w:rPr>
          <w:rFonts w:ascii="FrankRuehl" w:hAnsi="FrankRuehl" w:cs="FrankRuehl"/>
          <w:rtl/>
        </w:rPr>
      </w:pPr>
    </w:p>
    <w:p w14:paraId="105D91D3" w14:textId="77777777" w:rsidR="00971006" w:rsidRPr="00971006" w:rsidRDefault="00971006" w:rsidP="00971006">
      <w:pPr>
        <w:spacing w:before="120" w:after="120" w:line="240" w:lineRule="exact"/>
        <w:ind w:left="283" w:hanging="283"/>
        <w:jc w:val="both"/>
        <w:rPr>
          <w:rFonts w:ascii="FrankRuehl" w:hAnsi="FrankRuehl" w:cs="FrankRuehl"/>
          <w:rtl/>
        </w:rPr>
      </w:pPr>
    </w:p>
    <w:p w14:paraId="70AFF529" w14:textId="77777777" w:rsidR="00971006" w:rsidRPr="00971006" w:rsidRDefault="00971006" w:rsidP="00971006">
      <w:pPr>
        <w:spacing w:before="120" w:after="120" w:line="240" w:lineRule="exact"/>
        <w:ind w:left="283" w:hanging="283"/>
        <w:jc w:val="both"/>
        <w:rPr>
          <w:rFonts w:ascii="FrankRuehl" w:hAnsi="FrankRuehl" w:cs="FrankRuehl"/>
          <w:rtl/>
        </w:rPr>
      </w:pPr>
      <w:r w:rsidRPr="00971006">
        <w:rPr>
          <w:rFonts w:ascii="FrankRuehl" w:hAnsi="FrankRuehl" w:cs="FrankRuehl"/>
          <w:rtl/>
        </w:rPr>
        <w:t xml:space="preserve">חקיקה שאוזכרה: </w:t>
      </w:r>
    </w:p>
    <w:p w14:paraId="295D17DD" w14:textId="77777777" w:rsidR="00971006" w:rsidRPr="00971006" w:rsidRDefault="00971006" w:rsidP="00971006">
      <w:pPr>
        <w:spacing w:before="120" w:after="120" w:line="240" w:lineRule="exact"/>
        <w:ind w:left="283" w:hanging="283"/>
        <w:jc w:val="both"/>
        <w:rPr>
          <w:rFonts w:ascii="FrankRuehl" w:hAnsi="FrankRuehl" w:cs="FrankRuehl"/>
          <w:rtl/>
        </w:rPr>
      </w:pPr>
      <w:hyperlink r:id="rId7" w:history="1">
        <w:r w:rsidRPr="00971006">
          <w:rPr>
            <w:rFonts w:ascii="FrankRuehl" w:hAnsi="FrankRuehl" w:cs="FrankRuehl"/>
            <w:color w:val="0000FF"/>
            <w:rtl/>
          </w:rPr>
          <w:t>פקודת הסמים המסוכנים [נוסח חדש], תשל"ג-1973</w:t>
        </w:r>
      </w:hyperlink>
      <w:r w:rsidRPr="00971006">
        <w:rPr>
          <w:rFonts w:ascii="FrankRuehl" w:hAnsi="FrankRuehl" w:cs="FrankRuehl"/>
          <w:rtl/>
        </w:rPr>
        <w:t xml:space="preserve">: סע'  </w:t>
      </w:r>
      <w:hyperlink r:id="rId8" w:history="1">
        <w:r w:rsidRPr="00971006">
          <w:rPr>
            <w:rFonts w:ascii="FrankRuehl" w:hAnsi="FrankRuehl" w:cs="FrankRuehl"/>
            <w:color w:val="0000FF"/>
            <w:rtl/>
          </w:rPr>
          <w:t>7.א.</w:t>
        </w:r>
      </w:hyperlink>
      <w:r w:rsidRPr="00971006">
        <w:rPr>
          <w:rFonts w:ascii="FrankRuehl" w:hAnsi="FrankRuehl" w:cs="FrankRuehl"/>
          <w:rtl/>
        </w:rPr>
        <w:t xml:space="preserve">, </w:t>
      </w:r>
      <w:hyperlink r:id="rId9" w:history="1">
        <w:r w:rsidRPr="00971006">
          <w:rPr>
            <w:rFonts w:ascii="FrankRuehl" w:hAnsi="FrankRuehl" w:cs="FrankRuehl"/>
            <w:color w:val="0000FF"/>
            <w:rtl/>
          </w:rPr>
          <w:t>7.ג</w:t>
        </w:r>
      </w:hyperlink>
    </w:p>
    <w:p w14:paraId="73693766" w14:textId="77777777" w:rsidR="00971006" w:rsidRPr="00971006" w:rsidRDefault="00971006" w:rsidP="00971006">
      <w:pPr>
        <w:spacing w:before="120" w:after="120" w:line="240" w:lineRule="exact"/>
        <w:ind w:left="283" w:hanging="283"/>
        <w:jc w:val="both"/>
        <w:rPr>
          <w:rFonts w:ascii="FrankRuehl" w:hAnsi="FrankRuehl" w:cs="FrankRuehl"/>
          <w:rtl/>
        </w:rPr>
      </w:pPr>
      <w:hyperlink r:id="rId10" w:history="1">
        <w:r w:rsidRPr="00971006">
          <w:rPr>
            <w:rFonts w:ascii="FrankRuehl" w:hAnsi="FrankRuehl" w:cs="FrankRuehl"/>
            <w:color w:val="0000FF"/>
            <w:rtl/>
          </w:rPr>
          <w:t>חוק העונשין, תשל"ז-1977</w:t>
        </w:r>
      </w:hyperlink>
      <w:r w:rsidRPr="00971006">
        <w:rPr>
          <w:rFonts w:ascii="FrankRuehl" w:hAnsi="FrankRuehl" w:cs="FrankRuehl"/>
          <w:rtl/>
        </w:rPr>
        <w:t xml:space="preserve">: סע'  </w:t>
      </w:r>
      <w:hyperlink r:id="rId11" w:history="1">
        <w:r w:rsidRPr="00971006">
          <w:rPr>
            <w:rFonts w:ascii="FrankRuehl" w:hAnsi="FrankRuehl" w:cs="FrankRuehl"/>
            <w:color w:val="0000FF"/>
            <w:rtl/>
          </w:rPr>
          <w:t>40ד'(א)</w:t>
        </w:r>
      </w:hyperlink>
    </w:p>
    <w:p w14:paraId="267F3426" w14:textId="77777777" w:rsidR="00971006" w:rsidRPr="00971006" w:rsidRDefault="00971006" w:rsidP="00971006">
      <w:pPr>
        <w:rPr>
          <w:sz w:val="26"/>
          <w:szCs w:val="26"/>
          <w:rtl/>
        </w:rPr>
      </w:pPr>
      <w:bookmarkStart w:id="4" w:name="LawTable_End"/>
      <w:bookmarkEnd w:id="4"/>
    </w:p>
    <w:p w14:paraId="79006573" w14:textId="77777777" w:rsidR="00406536" w:rsidRPr="008B2F92" w:rsidRDefault="00406536" w:rsidP="008B2F9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06536" w14:paraId="0AE275FE" w14:textId="77777777" w:rsidTr="00406536">
        <w:trPr>
          <w:trHeight w:val="355"/>
          <w:jc w:val="center"/>
        </w:trPr>
        <w:tc>
          <w:tcPr>
            <w:tcW w:w="8820" w:type="dxa"/>
            <w:tcBorders>
              <w:top w:val="nil"/>
              <w:left w:val="nil"/>
              <w:bottom w:val="nil"/>
              <w:right w:val="nil"/>
            </w:tcBorders>
            <w:shd w:val="clear" w:color="auto" w:fill="auto"/>
          </w:tcPr>
          <w:p w14:paraId="1F40F034" w14:textId="77777777" w:rsidR="002E3DA7" w:rsidRPr="002E3DA7" w:rsidRDefault="002E3DA7" w:rsidP="002E3DA7">
            <w:pPr>
              <w:jc w:val="center"/>
              <w:rPr>
                <w:rFonts w:ascii="David" w:hAnsi="David"/>
                <w:b/>
                <w:bCs/>
                <w:sz w:val="36"/>
                <w:szCs w:val="36"/>
                <w:u w:val="single"/>
                <w:rtl/>
              </w:rPr>
            </w:pPr>
            <w:bookmarkStart w:id="5" w:name="PsakDin" w:colFirst="0" w:colLast="0"/>
            <w:bookmarkEnd w:id="0"/>
            <w:r w:rsidRPr="002E3DA7">
              <w:rPr>
                <w:rFonts w:ascii="David" w:hAnsi="David"/>
                <w:b/>
                <w:bCs/>
                <w:sz w:val="36"/>
                <w:szCs w:val="36"/>
                <w:u w:val="single"/>
                <w:rtl/>
              </w:rPr>
              <w:t>גזר דין</w:t>
            </w:r>
          </w:p>
          <w:p w14:paraId="194BC572" w14:textId="77777777" w:rsidR="00406536" w:rsidRPr="002E3DA7" w:rsidRDefault="00406536" w:rsidP="002E3DA7">
            <w:pPr>
              <w:jc w:val="center"/>
              <w:rPr>
                <w:rFonts w:ascii="David" w:hAnsi="David"/>
                <w:bCs/>
                <w:sz w:val="36"/>
                <w:szCs w:val="36"/>
                <w:u w:val="single"/>
                <w:rtl/>
              </w:rPr>
            </w:pPr>
          </w:p>
        </w:tc>
      </w:tr>
      <w:bookmarkEnd w:id="5"/>
    </w:tbl>
    <w:p w14:paraId="2CD54101" w14:textId="77777777" w:rsidR="00406536" w:rsidRDefault="00406536" w:rsidP="00406536">
      <w:pPr>
        <w:rPr>
          <w:rFonts w:ascii="Arial" w:hAnsi="Arial"/>
          <w:b/>
          <w:bCs/>
          <w:sz w:val="26"/>
          <w:szCs w:val="26"/>
          <w:rtl/>
        </w:rPr>
      </w:pPr>
    </w:p>
    <w:p w14:paraId="0C2B91E4" w14:textId="77777777" w:rsidR="00406536" w:rsidRDefault="00406536" w:rsidP="00406536">
      <w:pPr>
        <w:pStyle w:val="aa"/>
        <w:numPr>
          <w:ilvl w:val="0"/>
          <w:numId w:val="4"/>
        </w:numPr>
        <w:rPr>
          <w:rFonts w:ascii="David" w:hAnsi="David" w:cs="David"/>
          <w:b/>
          <w:bCs/>
          <w:sz w:val="24"/>
          <w:szCs w:val="24"/>
        </w:rPr>
      </w:pPr>
      <w:r w:rsidRPr="008A4AA5">
        <w:rPr>
          <w:rFonts w:ascii="David" w:hAnsi="David" w:cs="David"/>
          <w:b/>
          <w:bCs/>
          <w:sz w:val="28"/>
          <w:szCs w:val="28"/>
          <w:u w:val="single"/>
          <w:rtl/>
        </w:rPr>
        <w:t>כללי</w:t>
      </w:r>
      <w:r w:rsidRPr="00B2744F">
        <w:rPr>
          <w:rFonts w:ascii="David" w:hAnsi="David" w:cs="David"/>
          <w:b/>
          <w:bCs/>
          <w:sz w:val="24"/>
          <w:szCs w:val="24"/>
          <w:rtl/>
        </w:rPr>
        <w:t>:</w:t>
      </w:r>
    </w:p>
    <w:p w14:paraId="7E889916" w14:textId="77777777" w:rsidR="00406536" w:rsidRPr="008A4AA5" w:rsidRDefault="00406536" w:rsidP="00406536">
      <w:pPr>
        <w:ind w:left="360"/>
        <w:rPr>
          <w:rFonts w:ascii="David" w:hAnsi="David"/>
          <w:b/>
          <w:bCs/>
        </w:rPr>
      </w:pPr>
    </w:p>
    <w:p w14:paraId="5965E936" w14:textId="77777777" w:rsidR="00406536" w:rsidRDefault="00406536" w:rsidP="00406536">
      <w:pPr>
        <w:rPr>
          <w:rFonts w:ascii="David" w:hAnsi="David"/>
          <w:b/>
          <w:bCs/>
          <w:rtl/>
        </w:rPr>
      </w:pPr>
    </w:p>
    <w:p w14:paraId="35B09F26" w14:textId="77777777" w:rsidR="00406536" w:rsidRPr="008A4AA5" w:rsidRDefault="00406536" w:rsidP="00406536">
      <w:pPr>
        <w:pStyle w:val="aa"/>
        <w:numPr>
          <w:ilvl w:val="0"/>
          <w:numId w:val="5"/>
        </w:numPr>
        <w:rPr>
          <w:rFonts w:ascii="David" w:hAnsi="David" w:cs="David"/>
          <w:b/>
          <w:bCs/>
          <w:sz w:val="24"/>
          <w:szCs w:val="24"/>
          <w:rtl/>
        </w:rPr>
      </w:pPr>
      <w:r w:rsidRPr="008A4AA5">
        <w:rPr>
          <w:rFonts w:ascii="David" w:hAnsi="David" w:cs="David"/>
          <w:b/>
          <w:bCs/>
          <w:sz w:val="24"/>
          <w:szCs w:val="24"/>
          <w:u w:val="single"/>
          <w:rtl/>
        </w:rPr>
        <w:t>כתב האישום</w:t>
      </w:r>
      <w:r w:rsidRPr="008A4AA5">
        <w:rPr>
          <w:rFonts w:ascii="David" w:hAnsi="David" w:cs="David" w:hint="cs"/>
          <w:b/>
          <w:bCs/>
          <w:sz w:val="24"/>
          <w:szCs w:val="24"/>
          <w:u w:val="single"/>
          <w:rtl/>
        </w:rPr>
        <w:t xml:space="preserve"> המתוקן</w:t>
      </w:r>
      <w:r w:rsidRPr="008A4AA5">
        <w:rPr>
          <w:rFonts w:ascii="David" w:hAnsi="David" w:cs="David"/>
          <w:b/>
          <w:bCs/>
          <w:sz w:val="24"/>
          <w:szCs w:val="24"/>
          <w:rtl/>
        </w:rPr>
        <w:t>:</w:t>
      </w:r>
    </w:p>
    <w:p w14:paraId="53D6492C" w14:textId="77777777" w:rsidR="00406536" w:rsidRPr="008A4AA5" w:rsidRDefault="00406536" w:rsidP="00406536">
      <w:pPr>
        <w:rPr>
          <w:rFonts w:ascii="David" w:hAnsi="David"/>
          <w:b/>
          <w:bCs/>
          <w:rtl/>
        </w:rPr>
      </w:pPr>
    </w:p>
    <w:p w14:paraId="5EC20B0D" w14:textId="77777777" w:rsidR="00406536" w:rsidRPr="003F585A" w:rsidRDefault="00406536" w:rsidP="00406536">
      <w:pPr>
        <w:spacing w:line="360" w:lineRule="auto"/>
        <w:jc w:val="both"/>
        <w:rPr>
          <w:rFonts w:ascii="David" w:hAnsi="David"/>
        </w:rPr>
      </w:pPr>
      <w:bookmarkStart w:id="6" w:name="ABSTRACT_START"/>
      <w:bookmarkEnd w:id="6"/>
      <w:r w:rsidRPr="003F585A">
        <w:rPr>
          <w:rFonts w:ascii="David" w:hAnsi="David"/>
          <w:rtl/>
        </w:rPr>
        <w:t xml:space="preserve">הנאשם הודה </w:t>
      </w:r>
      <w:r>
        <w:rPr>
          <w:rFonts w:ascii="David" w:hAnsi="David" w:hint="cs"/>
          <w:rtl/>
        </w:rPr>
        <w:t>ו</w:t>
      </w:r>
      <w:r w:rsidRPr="003F585A">
        <w:rPr>
          <w:rFonts w:ascii="David" w:hAnsi="David"/>
          <w:rtl/>
        </w:rPr>
        <w:t xml:space="preserve">הורשע בכתב אישום מתוקן אשר מייחס לו עבירה של </w:t>
      </w:r>
      <w:r w:rsidRPr="003F585A">
        <w:rPr>
          <w:rFonts w:ascii="David" w:hAnsi="David"/>
          <w:b/>
          <w:bCs/>
          <w:rtl/>
        </w:rPr>
        <w:t>החזקה/שימוש בסמים שלא לצריכה עצמית</w:t>
      </w:r>
      <w:r w:rsidRPr="003F585A">
        <w:rPr>
          <w:rFonts w:ascii="David" w:hAnsi="David"/>
          <w:rtl/>
        </w:rPr>
        <w:t xml:space="preserve"> לפי</w:t>
      </w:r>
      <w:r w:rsidR="002E3DA7">
        <w:rPr>
          <w:rFonts w:ascii="David" w:hAnsi="David"/>
          <w:rtl/>
        </w:rPr>
        <w:t xml:space="preserve"> </w:t>
      </w:r>
      <w:hyperlink r:id="rId12" w:history="1">
        <w:r w:rsidR="002029BD" w:rsidRPr="002029BD">
          <w:rPr>
            <w:rStyle w:val="Hyperlink"/>
            <w:rFonts w:ascii="David" w:hAnsi="David"/>
            <w:rtl/>
          </w:rPr>
          <w:t>סעיף 7(א)+7(ג)</w:t>
        </w:r>
      </w:hyperlink>
      <w:r w:rsidR="002E3DA7">
        <w:rPr>
          <w:rFonts w:ascii="David" w:hAnsi="David"/>
          <w:rtl/>
        </w:rPr>
        <w:t xml:space="preserve"> </w:t>
      </w:r>
      <w:r w:rsidRPr="00340E72">
        <w:rPr>
          <w:rFonts w:ascii="David" w:hAnsi="David"/>
          <w:rtl/>
        </w:rPr>
        <w:t>רישא ל</w:t>
      </w:r>
      <w:hyperlink r:id="rId13" w:history="1">
        <w:r w:rsidR="002E3DA7" w:rsidRPr="002E3DA7">
          <w:rPr>
            <w:rFonts w:ascii="David" w:hAnsi="David"/>
            <w:color w:val="0000FF"/>
            <w:u w:val="single"/>
            <w:rtl/>
          </w:rPr>
          <w:t>פקודת הסמים המסוכנים</w:t>
        </w:r>
      </w:hyperlink>
      <w:r w:rsidRPr="003F585A">
        <w:rPr>
          <w:rFonts w:ascii="David" w:hAnsi="David"/>
          <w:rtl/>
        </w:rPr>
        <w:t>[נוסח חדש], תשל"ג-1973 (להלן:</w:t>
      </w:r>
      <w:r w:rsidR="002E3DA7">
        <w:rPr>
          <w:rFonts w:ascii="David" w:hAnsi="David"/>
          <w:rtl/>
        </w:rPr>
        <w:t xml:space="preserve"> </w:t>
      </w:r>
      <w:r w:rsidRPr="003F585A">
        <w:rPr>
          <w:rFonts w:ascii="David" w:hAnsi="David"/>
          <w:b/>
          <w:bCs/>
          <w:rtl/>
        </w:rPr>
        <w:t>"פקודת הסמים המסוכנים</w:t>
      </w:r>
      <w:r>
        <w:rPr>
          <w:rFonts w:ascii="David" w:hAnsi="David" w:hint="cs"/>
          <w:b/>
          <w:bCs/>
          <w:rtl/>
        </w:rPr>
        <w:t>/הפקודה</w:t>
      </w:r>
      <w:r w:rsidRPr="003F585A">
        <w:rPr>
          <w:rFonts w:ascii="David" w:hAnsi="David"/>
          <w:b/>
          <w:bCs/>
          <w:rtl/>
        </w:rPr>
        <w:t>"</w:t>
      </w:r>
      <w:r>
        <w:rPr>
          <w:rFonts w:ascii="David" w:hAnsi="David"/>
          <w:rtl/>
        </w:rPr>
        <w:t>)</w:t>
      </w:r>
      <w:r>
        <w:rPr>
          <w:rFonts w:ascii="David" w:hAnsi="David" w:hint="cs"/>
          <w:rtl/>
        </w:rPr>
        <w:t xml:space="preserve">. </w:t>
      </w:r>
      <w:r w:rsidRPr="003F585A">
        <w:rPr>
          <w:rFonts w:ascii="David" w:hAnsi="David"/>
          <w:rtl/>
        </w:rPr>
        <w:t xml:space="preserve"> </w:t>
      </w:r>
    </w:p>
    <w:p w14:paraId="552EEB68" w14:textId="77777777" w:rsidR="00406536" w:rsidRPr="003F585A" w:rsidRDefault="00406536" w:rsidP="00406536">
      <w:pPr>
        <w:rPr>
          <w:rFonts w:ascii="Arial" w:hAnsi="Arial"/>
          <w:b/>
          <w:bCs/>
          <w:sz w:val="26"/>
          <w:szCs w:val="26"/>
          <w:rtl/>
        </w:rPr>
      </w:pPr>
      <w:bookmarkStart w:id="7" w:name="ABSTRACT_END"/>
      <w:bookmarkEnd w:id="7"/>
    </w:p>
    <w:p w14:paraId="0409CE06" w14:textId="77777777" w:rsidR="00406536" w:rsidRPr="00606F57" w:rsidRDefault="00406536" w:rsidP="00406536">
      <w:pPr>
        <w:spacing w:line="360" w:lineRule="auto"/>
        <w:jc w:val="both"/>
        <w:rPr>
          <w:rFonts w:ascii="Arial" w:hAnsi="Arial"/>
          <w:rtl/>
        </w:rPr>
      </w:pPr>
      <w:r w:rsidRPr="00606F57">
        <w:rPr>
          <w:rFonts w:ascii="Arial" w:hAnsi="Arial" w:hint="cs"/>
          <w:rtl/>
        </w:rPr>
        <w:t>על פי עובדות כתב האישום</w:t>
      </w:r>
      <w:r>
        <w:rPr>
          <w:rFonts w:ascii="Arial" w:hAnsi="Arial" w:hint="cs"/>
          <w:rtl/>
        </w:rPr>
        <w:t xml:space="preserve"> המתוקן והחלק הכללי</w:t>
      </w:r>
      <w:r w:rsidRPr="00606F57">
        <w:rPr>
          <w:rFonts w:ascii="Arial" w:hAnsi="Arial" w:hint="cs"/>
          <w:rtl/>
        </w:rPr>
        <w:t xml:space="preserve">, </w:t>
      </w:r>
      <w:r>
        <w:rPr>
          <w:rFonts w:ascii="Arial" w:hAnsi="Arial" w:hint="cs"/>
          <w:rtl/>
        </w:rPr>
        <w:t xml:space="preserve">נכון למועד המתואר בכתב האישום, </w:t>
      </w:r>
      <w:r w:rsidRPr="00606F57">
        <w:rPr>
          <w:rFonts w:ascii="Arial" w:hAnsi="Arial" w:hint="cs"/>
          <w:rtl/>
        </w:rPr>
        <w:t>הנאשם התגורר במחסן ב</w:t>
      </w:r>
      <w:r>
        <w:rPr>
          <w:rFonts w:ascii="Arial" w:hAnsi="Arial" w:hint="cs"/>
          <w:rtl/>
        </w:rPr>
        <w:t xml:space="preserve">עליית גג ברחוב העוגן 11 בחולון, כאשר </w:t>
      </w:r>
      <w:r w:rsidRPr="00606F57">
        <w:rPr>
          <w:rFonts w:ascii="Arial" w:hAnsi="Arial" w:hint="cs"/>
          <w:rtl/>
        </w:rPr>
        <w:t xml:space="preserve">ביום 04.02.2020 בשעה </w:t>
      </w:r>
      <w:r>
        <w:rPr>
          <w:rFonts w:ascii="Arial" w:hAnsi="Arial" w:hint="cs"/>
          <w:rtl/>
        </w:rPr>
        <w:t xml:space="preserve">18:30 או בסמוך </w:t>
      </w:r>
      <w:r>
        <w:rPr>
          <w:rFonts w:ascii="Arial" w:hAnsi="Arial" w:hint="cs"/>
          <w:rtl/>
        </w:rPr>
        <w:lastRenderedPageBreak/>
        <w:t xml:space="preserve">לכך, החזיק </w:t>
      </w:r>
      <w:r w:rsidRPr="00606F57">
        <w:rPr>
          <w:rFonts w:ascii="Arial" w:hAnsi="Arial" w:hint="cs"/>
          <w:rtl/>
        </w:rPr>
        <w:t xml:space="preserve">בביתו </w:t>
      </w:r>
      <w:r>
        <w:rPr>
          <w:rFonts w:ascii="Arial" w:hAnsi="Arial" w:hint="cs"/>
          <w:b/>
          <w:bCs/>
          <w:rtl/>
        </w:rPr>
        <w:t>בשתי שקיות,</w:t>
      </w:r>
      <w:r w:rsidRPr="00B33BE5">
        <w:rPr>
          <w:rFonts w:ascii="Arial" w:hAnsi="Arial" w:hint="cs"/>
          <w:b/>
          <w:bCs/>
          <w:rtl/>
        </w:rPr>
        <w:t xml:space="preserve"> </w:t>
      </w:r>
      <w:r>
        <w:rPr>
          <w:rFonts w:ascii="Arial" w:hAnsi="Arial" w:hint="cs"/>
          <w:b/>
          <w:bCs/>
          <w:rtl/>
        </w:rPr>
        <w:t xml:space="preserve">סם מסוג </w:t>
      </w:r>
      <w:r w:rsidRPr="00B33BE5">
        <w:rPr>
          <w:rFonts w:ascii="Arial" w:hAnsi="Arial" w:hint="cs"/>
          <w:b/>
          <w:bCs/>
          <w:rtl/>
        </w:rPr>
        <w:t>קנבוס במשקל</w:t>
      </w:r>
      <w:r>
        <w:rPr>
          <w:rFonts w:ascii="Arial" w:hAnsi="Arial" w:hint="cs"/>
          <w:b/>
          <w:bCs/>
          <w:rtl/>
        </w:rPr>
        <w:t xml:space="preserve"> של </w:t>
      </w:r>
      <w:r w:rsidRPr="00B33BE5">
        <w:rPr>
          <w:rFonts w:ascii="Arial" w:hAnsi="Arial" w:hint="cs"/>
          <w:b/>
          <w:bCs/>
          <w:rtl/>
        </w:rPr>
        <w:t xml:space="preserve"> 1.500 ק"ג</w:t>
      </w:r>
      <w:r>
        <w:rPr>
          <w:rFonts w:ascii="Arial" w:hAnsi="Arial" w:hint="cs"/>
          <w:rtl/>
        </w:rPr>
        <w:t xml:space="preserve">. באותן הנסיבות אף </w:t>
      </w:r>
      <w:r w:rsidRPr="00606F57">
        <w:rPr>
          <w:rFonts w:ascii="Arial" w:hAnsi="Arial" w:hint="cs"/>
          <w:rtl/>
        </w:rPr>
        <w:t>החזיק</w:t>
      </w:r>
      <w:r>
        <w:rPr>
          <w:rFonts w:ascii="Arial" w:hAnsi="Arial" w:hint="cs"/>
          <w:rtl/>
        </w:rPr>
        <w:t xml:space="preserve"> </w:t>
      </w:r>
      <w:r w:rsidRPr="00340E72">
        <w:rPr>
          <w:rFonts w:ascii="Arial" w:hAnsi="Arial" w:hint="cs"/>
          <w:b/>
          <w:bCs/>
          <w:rtl/>
        </w:rPr>
        <w:t>סם מאותו הסוג במשקל כולל של 200</w:t>
      </w:r>
      <w:r>
        <w:rPr>
          <w:rFonts w:ascii="Arial" w:hAnsi="Arial" w:hint="cs"/>
          <w:rtl/>
        </w:rPr>
        <w:t xml:space="preserve"> </w:t>
      </w:r>
      <w:r w:rsidRPr="00340E72">
        <w:rPr>
          <w:rFonts w:ascii="Arial" w:hAnsi="Arial" w:hint="cs"/>
          <w:b/>
          <w:bCs/>
          <w:rtl/>
        </w:rPr>
        <w:t xml:space="preserve">גרם </w:t>
      </w:r>
      <w:r>
        <w:rPr>
          <w:rFonts w:ascii="Arial" w:hAnsi="Arial" w:hint="cs"/>
          <w:rtl/>
        </w:rPr>
        <w:t xml:space="preserve">כשהוא מחולק ל- </w:t>
      </w:r>
      <w:r>
        <w:rPr>
          <w:rFonts w:ascii="Arial" w:hAnsi="Arial" w:hint="cs"/>
          <w:b/>
          <w:bCs/>
          <w:rtl/>
        </w:rPr>
        <w:t>40 קופסאות.</w:t>
      </w:r>
    </w:p>
    <w:p w14:paraId="07317C79" w14:textId="77777777" w:rsidR="00406536" w:rsidRDefault="00406536" w:rsidP="00406536">
      <w:pPr>
        <w:rPr>
          <w:rFonts w:ascii="Arial" w:hAnsi="Arial"/>
          <w:b/>
          <w:bCs/>
          <w:sz w:val="26"/>
          <w:szCs w:val="26"/>
          <w:rtl/>
        </w:rPr>
      </w:pPr>
    </w:p>
    <w:p w14:paraId="1080DB97" w14:textId="77777777" w:rsidR="00406536" w:rsidRDefault="00406536" w:rsidP="00406536">
      <w:pPr>
        <w:spacing w:line="360" w:lineRule="auto"/>
        <w:jc w:val="both"/>
        <w:rPr>
          <w:rFonts w:ascii="Arial" w:hAnsi="Arial"/>
          <w:rtl/>
        </w:rPr>
      </w:pPr>
      <w:r>
        <w:rPr>
          <w:rFonts w:ascii="Arial" w:hAnsi="Arial" w:hint="cs"/>
          <w:rtl/>
        </w:rPr>
        <w:t xml:space="preserve">לשם שלמות התמונה </w:t>
      </w:r>
      <w:r w:rsidRPr="00D13AF8">
        <w:rPr>
          <w:rFonts w:ascii="Arial" w:hAnsi="Arial" w:hint="cs"/>
          <w:rtl/>
        </w:rPr>
        <w:t>אציין</w:t>
      </w:r>
      <w:r>
        <w:rPr>
          <w:rFonts w:ascii="Arial" w:hAnsi="Arial" w:hint="cs"/>
          <w:rtl/>
        </w:rPr>
        <w:t>,</w:t>
      </w:r>
      <w:r w:rsidRPr="00D13AF8">
        <w:rPr>
          <w:rFonts w:ascii="Arial" w:hAnsi="Arial" w:hint="cs"/>
          <w:rtl/>
        </w:rPr>
        <w:t xml:space="preserve"> כי הנאשם כפר תחילה במעשיו והחל</w:t>
      </w:r>
      <w:r>
        <w:rPr>
          <w:rFonts w:ascii="Arial" w:hAnsi="Arial" w:hint="cs"/>
          <w:rtl/>
        </w:rPr>
        <w:t>ה שמיעת הראיות</w:t>
      </w:r>
      <w:r w:rsidRPr="00D13AF8">
        <w:rPr>
          <w:rFonts w:ascii="Arial" w:hAnsi="Arial" w:hint="cs"/>
          <w:rtl/>
        </w:rPr>
        <w:t xml:space="preserve"> </w:t>
      </w:r>
      <w:r>
        <w:rPr>
          <w:rFonts w:ascii="Arial" w:hAnsi="Arial" w:hint="cs"/>
          <w:rtl/>
        </w:rPr>
        <w:t>עד להשלמת</w:t>
      </w:r>
      <w:r w:rsidRPr="00D13AF8">
        <w:rPr>
          <w:rFonts w:ascii="Arial" w:hAnsi="Arial" w:hint="cs"/>
          <w:rtl/>
        </w:rPr>
        <w:t xml:space="preserve"> פרשת התביעה, </w:t>
      </w:r>
      <w:r>
        <w:rPr>
          <w:rFonts w:ascii="Arial" w:hAnsi="Arial" w:hint="cs"/>
          <w:rtl/>
        </w:rPr>
        <w:t xml:space="preserve">ולאחר שההגנה בחנה היטב את המוצגים, </w:t>
      </w:r>
      <w:r w:rsidRPr="00D13AF8">
        <w:rPr>
          <w:rFonts w:ascii="Arial" w:hAnsi="Arial" w:hint="cs"/>
          <w:rtl/>
        </w:rPr>
        <w:t>הודה הנאשם בכתב אישום מתוקן והופנה לקבלת תסקיר שירות מבחן</w:t>
      </w:r>
      <w:r>
        <w:rPr>
          <w:rFonts w:ascii="Arial" w:hAnsi="Arial" w:hint="cs"/>
          <w:rtl/>
        </w:rPr>
        <w:t>,</w:t>
      </w:r>
      <w:r w:rsidRPr="00D13AF8">
        <w:rPr>
          <w:rFonts w:ascii="Arial" w:hAnsi="Arial" w:hint="cs"/>
          <w:rtl/>
        </w:rPr>
        <w:t xml:space="preserve"> נוכח גילו בעת ביצוע העבירה</w:t>
      </w:r>
      <w:r>
        <w:rPr>
          <w:rFonts w:ascii="Arial" w:hAnsi="Arial" w:hint="cs"/>
          <w:rtl/>
        </w:rPr>
        <w:t xml:space="preserve"> (תסקיר חובה)</w:t>
      </w:r>
      <w:r w:rsidRPr="00D13AF8">
        <w:rPr>
          <w:rFonts w:ascii="Arial" w:hAnsi="Arial" w:hint="cs"/>
          <w:rtl/>
        </w:rPr>
        <w:t xml:space="preserve">. </w:t>
      </w:r>
    </w:p>
    <w:p w14:paraId="3A74FB16" w14:textId="77777777" w:rsidR="00406536" w:rsidRPr="00D13AF8" w:rsidRDefault="00406536" w:rsidP="00406536">
      <w:pPr>
        <w:spacing w:line="360" w:lineRule="auto"/>
        <w:jc w:val="both"/>
        <w:rPr>
          <w:rFonts w:ascii="Arial" w:hAnsi="Arial"/>
          <w:rtl/>
        </w:rPr>
      </w:pPr>
    </w:p>
    <w:p w14:paraId="34D13C8E" w14:textId="77777777" w:rsidR="00406536" w:rsidRDefault="00406536" w:rsidP="00406536">
      <w:pPr>
        <w:rPr>
          <w:rFonts w:ascii="Arial" w:hAnsi="Arial"/>
          <w:b/>
          <w:bCs/>
          <w:sz w:val="26"/>
          <w:szCs w:val="26"/>
          <w:rtl/>
        </w:rPr>
      </w:pPr>
    </w:p>
    <w:p w14:paraId="5A0CEAF3" w14:textId="77777777" w:rsidR="00406536" w:rsidRPr="008A4AA5" w:rsidRDefault="00406536" w:rsidP="00406536">
      <w:pPr>
        <w:pStyle w:val="aa"/>
        <w:numPr>
          <w:ilvl w:val="0"/>
          <w:numId w:val="5"/>
        </w:numPr>
        <w:rPr>
          <w:rFonts w:ascii="David" w:hAnsi="David" w:cs="David"/>
          <w:b/>
          <w:bCs/>
          <w:sz w:val="24"/>
          <w:szCs w:val="24"/>
          <w:rtl/>
        </w:rPr>
      </w:pPr>
      <w:r w:rsidRPr="008A4AA5">
        <w:rPr>
          <w:rFonts w:ascii="David" w:hAnsi="David" w:cs="David"/>
          <w:b/>
          <w:bCs/>
          <w:sz w:val="24"/>
          <w:szCs w:val="24"/>
          <w:u w:val="single"/>
          <w:rtl/>
        </w:rPr>
        <w:t>תסקיר שירות מבחן</w:t>
      </w:r>
      <w:r w:rsidRPr="008A4AA5">
        <w:rPr>
          <w:rFonts w:ascii="David" w:hAnsi="David" w:cs="David"/>
          <w:b/>
          <w:bCs/>
          <w:sz w:val="24"/>
          <w:szCs w:val="24"/>
          <w:rtl/>
        </w:rPr>
        <w:t xml:space="preserve">: </w:t>
      </w:r>
    </w:p>
    <w:p w14:paraId="3C9E648A" w14:textId="77777777" w:rsidR="00406536" w:rsidRPr="008A4AA5" w:rsidRDefault="00406536" w:rsidP="00406536">
      <w:pPr>
        <w:jc w:val="both"/>
        <w:rPr>
          <w:rFonts w:ascii="David" w:hAnsi="David"/>
          <w:b/>
          <w:bCs/>
          <w:rtl/>
        </w:rPr>
      </w:pPr>
    </w:p>
    <w:p w14:paraId="2383CA11" w14:textId="77777777" w:rsidR="00406536" w:rsidRDefault="00406536" w:rsidP="00406536">
      <w:pPr>
        <w:spacing w:line="360" w:lineRule="auto"/>
        <w:jc w:val="both"/>
        <w:rPr>
          <w:rFonts w:ascii="Arial" w:hAnsi="Arial"/>
          <w:rtl/>
        </w:rPr>
      </w:pPr>
      <w:r w:rsidRPr="004476C0">
        <w:rPr>
          <w:rFonts w:ascii="Arial" w:hAnsi="Arial" w:hint="cs"/>
          <w:b/>
          <w:bCs/>
          <w:rtl/>
        </w:rPr>
        <w:t>תסקיר ראשון</w:t>
      </w:r>
      <w:r>
        <w:rPr>
          <w:rFonts w:ascii="Arial" w:hAnsi="Arial" w:hint="cs"/>
          <w:rtl/>
        </w:rPr>
        <w:t xml:space="preserve"> הוגש ביום 22.02.24, משם עולה שהנאשם הינו צעיר בן 24, רווק, עובד בתחום המשלוחים במשרה חלקית. לאחרונה ובעקבות תאונת דרכים שעבר לפני מספר חודשים והוכר כנכה בשיעור של 10% בביטוח הלאומי. לעניין הרקע של הנאשם, החל  לנהל אורח חיים התמכרותי ושולי מאז היותו בן 15 ועד גיל 20. במסגרת כך החל לצרוך סמים כדרך בריחה מהתמודדות עם חוויות קשות מילדותו. הנאשם סיפר, כי לפני כ-4 שנים ותוך כדי התבגרותו עבר תהליך של הפנמה והבנה ועייף מהעיסוק בפלילים. שירות המבחן העריך שהעבירה בוצעה לאור דפוסי התנהגות של התמכרות ועבריינות, אלא, שבשנים האחרונות ניכר שהנאשם מצליח לנהל אורח חיים נורמטיבי. עוד צוין בתסקיר, כי ההליכים המשטרתיים והמשפטיים המתנהלים כנגדו מהווים גורם מרתיע ומחדד גבולות. נוכח מורכבות זו; שהנאשם אוחז בדפוסי חשיבה ופתרון בעיתיים ומנגד כיום מנהל אורח חיים נורמטיבי ובהינתן שהנאשם נעדר רצון להתערבות טיפולית, המליץ שירות המבחן על הטלת עונש בדמות צו של"צ שיש בו להציב גבול ברור עבורו ובמקביל מתן יכולת להמשיך ולהחזיק בתעסוקתו. </w:t>
      </w:r>
      <w:r w:rsidRPr="004476C0">
        <w:rPr>
          <w:rFonts w:ascii="Arial" w:hAnsi="Arial" w:hint="cs"/>
          <w:b/>
          <w:bCs/>
          <w:rtl/>
        </w:rPr>
        <w:t>בתסקיר השני</w:t>
      </w:r>
      <w:r>
        <w:rPr>
          <w:rFonts w:ascii="Arial" w:hAnsi="Arial" w:hint="cs"/>
          <w:rtl/>
        </w:rPr>
        <w:t xml:space="preserve"> מיום 27.3.24, אשר היה אמור לפרט את תכנית השל"צ עבור הנאשם נרשם שלא נוצר הקשר עמו ועל אף ניסיונות לעשות כך, לשווא. עדיין ציין שרות המבחן, כי ככל שיתבקש, יכין תכנית שכזו עבור הנאשם לאחר הדיון ניתנה לנאשם הזדמנות נוספת ובמקביל נשלח לקבלת חוות דעת ממונה. </w:t>
      </w:r>
      <w:r w:rsidRPr="004476C0">
        <w:rPr>
          <w:rFonts w:ascii="Arial" w:hAnsi="Arial" w:hint="cs"/>
          <w:b/>
          <w:bCs/>
          <w:rtl/>
        </w:rPr>
        <w:t>בתסקיר השלישי</w:t>
      </w:r>
      <w:r>
        <w:rPr>
          <w:rFonts w:ascii="Arial" w:hAnsi="Arial" w:hint="cs"/>
          <w:rtl/>
        </w:rPr>
        <w:t xml:space="preserve"> מיום 1.5.24, הותאמה תכנית של"צ עבור הנאשם בהיקף של 200 שעות.</w:t>
      </w:r>
    </w:p>
    <w:p w14:paraId="11EBB00A" w14:textId="77777777" w:rsidR="00406536" w:rsidRPr="008D6A6D" w:rsidRDefault="00406536" w:rsidP="00406536">
      <w:pPr>
        <w:spacing w:line="360" w:lineRule="auto"/>
        <w:jc w:val="both"/>
        <w:rPr>
          <w:rFonts w:ascii="Arial" w:hAnsi="Arial"/>
          <w:rtl/>
        </w:rPr>
      </w:pPr>
    </w:p>
    <w:p w14:paraId="19CD3C83" w14:textId="77777777" w:rsidR="00406536" w:rsidRPr="008D6A6D" w:rsidRDefault="00406536" w:rsidP="00406536">
      <w:pPr>
        <w:rPr>
          <w:rFonts w:ascii="Arial" w:hAnsi="Arial"/>
          <w:sz w:val="26"/>
          <w:szCs w:val="26"/>
          <w:rtl/>
        </w:rPr>
      </w:pPr>
    </w:p>
    <w:p w14:paraId="71972F00" w14:textId="77777777" w:rsidR="00406536" w:rsidRPr="00B2744F" w:rsidRDefault="00406536" w:rsidP="00406536">
      <w:pPr>
        <w:pStyle w:val="aa"/>
        <w:numPr>
          <w:ilvl w:val="0"/>
          <w:numId w:val="5"/>
        </w:numPr>
        <w:rPr>
          <w:rFonts w:ascii="David" w:hAnsi="David" w:cs="David"/>
          <w:b/>
          <w:bCs/>
          <w:sz w:val="24"/>
          <w:szCs w:val="24"/>
          <w:rtl/>
        </w:rPr>
      </w:pPr>
      <w:r w:rsidRPr="008A4AA5">
        <w:rPr>
          <w:rFonts w:ascii="David" w:hAnsi="David" w:cs="David"/>
          <w:b/>
          <w:bCs/>
          <w:sz w:val="24"/>
          <w:szCs w:val="24"/>
          <w:u w:val="single"/>
          <w:rtl/>
        </w:rPr>
        <w:t>טיעוני הצדדים לעונש</w:t>
      </w:r>
      <w:r w:rsidRPr="00B2744F">
        <w:rPr>
          <w:rFonts w:ascii="David" w:hAnsi="David" w:cs="David"/>
          <w:b/>
          <w:bCs/>
          <w:sz w:val="24"/>
          <w:szCs w:val="24"/>
          <w:rtl/>
        </w:rPr>
        <w:t>:</w:t>
      </w:r>
    </w:p>
    <w:p w14:paraId="4FF302CB" w14:textId="77777777" w:rsidR="00406536" w:rsidRDefault="00406536" w:rsidP="00406536">
      <w:pPr>
        <w:rPr>
          <w:rFonts w:ascii="Arial" w:hAnsi="Arial"/>
          <w:b/>
          <w:bCs/>
          <w:sz w:val="26"/>
          <w:szCs w:val="26"/>
          <w:rtl/>
        </w:rPr>
      </w:pPr>
    </w:p>
    <w:p w14:paraId="38BEFFE3" w14:textId="77777777" w:rsidR="00406536" w:rsidRPr="004C2189" w:rsidRDefault="00406536" w:rsidP="00406536">
      <w:pPr>
        <w:spacing w:line="360" w:lineRule="auto"/>
        <w:jc w:val="both"/>
        <w:rPr>
          <w:rFonts w:ascii="Arial" w:hAnsi="Arial"/>
          <w:rtl/>
        </w:rPr>
      </w:pPr>
      <w:r w:rsidRPr="004C2189">
        <w:rPr>
          <w:rFonts w:ascii="Arial" w:hAnsi="Arial" w:hint="cs"/>
          <w:b/>
          <w:bCs/>
          <w:rtl/>
        </w:rPr>
        <w:t xml:space="preserve">ב"כ המאשימה, </w:t>
      </w:r>
      <w:r>
        <w:rPr>
          <w:rFonts w:ascii="Arial" w:hAnsi="Arial" w:hint="cs"/>
          <w:rtl/>
        </w:rPr>
        <w:t>הגישה גיליון הרשעות קודמות של הנאשם (</w:t>
      </w:r>
      <w:r w:rsidRPr="00A62B4C">
        <w:rPr>
          <w:rFonts w:ascii="Arial" w:hAnsi="Arial" w:hint="cs"/>
          <w:b/>
          <w:bCs/>
          <w:rtl/>
        </w:rPr>
        <w:t>במ/1</w:t>
      </w:r>
      <w:r>
        <w:rPr>
          <w:rFonts w:ascii="Arial" w:hAnsi="Arial" w:hint="cs"/>
          <w:rtl/>
        </w:rPr>
        <w:t xml:space="preserve">), הפנתה לנסיבות ביצוע העבירה אשר יש בהן ללמד על החזקה של הסם שהינה בעלת גוון מסחרי. הפנתה לערכים המוגנים שנפגעו ועתרה למתחם עונש שמתחיל משמונה חודשי מאסר שיכול וירוצו בעבודות שירות ועד ל-18 חודשי מאסר. הפנתה לאמור בתסקיר שירות המבחן בנוגע לילדותו של הנאשם, לגילו הצעיר בעת ביצוע העבירה ולכך שלא נפתחו כנגדו תיקים נוספים, מאידך הדגישה את העדר רצונו לטיפול, לאור האמור לעיל, ביקשה המאשימה למקם את הנאשם בשליש הראשון של המתחם אליו עתרה, לצד ענישה נלווית (לתמיכה בטיעוניה הגישה פסיקה). </w:t>
      </w:r>
    </w:p>
    <w:p w14:paraId="126B6EA6" w14:textId="77777777" w:rsidR="00406536" w:rsidRPr="004C2189" w:rsidRDefault="00406536" w:rsidP="00406536">
      <w:pPr>
        <w:spacing w:line="360" w:lineRule="auto"/>
        <w:jc w:val="both"/>
        <w:rPr>
          <w:rFonts w:ascii="Arial" w:hAnsi="Arial"/>
          <w:b/>
          <w:bCs/>
          <w:rtl/>
        </w:rPr>
      </w:pPr>
    </w:p>
    <w:p w14:paraId="3E809F36" w14:textId="77777777" w:rsidR="00406536" w:rsidRDefault="00406536" w:rsidP="00406536">
      <w:pPr>
        <w:spacing w:line="360" w:lineRule="auto"/>
        <w:jc w:val="both"/>
        <w:rPr>
          <w:rFonts w:ascii="Arial" w:hAnsi="Arial"/>
          <w:rtl/>
        </w:rPr>
      </w:pPr>
      <w:r w:rsidRPr="004C2189">
        <w:rPr>
          <w:rFonts w:ascii="Arial" w:hAnsi="Arial" w:hint="cs"/>
          <w:b/>
          <w:bCs/>
          <w:rtl/>
        </w:rPr>
        <w:t>ב"כ הנאשם,</w:t>
      </w:r>
      <w:r>
        <w:rPr>
          <w:rFonts w:ascii="Arial" w:hAnsi="Arial" w:hint="cs"/>
          <w:b/>
          <w:bCs/>
          <w:rtl/>
        </w:rPr>
        <w:t xml:space="preserve"> </w:t>
      </w:r>
      <w:r>
        <w:rPr>
          <w:rFonts w:ascii="Arial" w:hAnsi="Arial" w:hint="cs"/>
          <w:rtl/>
        </w:rPr>
        <w:t>בראשית טיעוניה הפנתה לחלוף הזמן מאז ביצוע העבירה (4 שנים), לכך שהנאשם הודה כבר בהזדמנות הראשונה, בתחנת המשטרה בהחזקה וכי חלוף הזמן אינו רובץ לפתחו של הנאשם מאחר שניהול התיק החל בשל טענות משפטיות שהתבררו במסגרת הליך ההוכחות. הפנתה לנסיבות ביצוע העבירה, להעדר אינדיקציה לסחר בסמים וביקשה לקבוע מתחם ענישה שמתחיל ממאסר מותנה. הסנגורית הפנתה אף היא לתסקיר שירות המבחן, לנסיבות חייו של הנאשם שהוזנח על ידי רשויות המדינה. הדגישה שהנאשם לא נעתר להירתם לטיפול שכן החל לעבוד, מדיר עצמו מאורח החיים השולי מזה זמן רב, עוזר בפרנסת סבו וסבתו, נאחז בעבודתו כעמוד תווך בחייו, כך שאפילו לאחר שעבר תאונת עבודה הזדרז וחזר לעבודתו על מנת לפרנס עצמו ואותם. הוסיפה וטענה לנסיבותיו; שהנאשם נמצא בזוגיות; ושקיבל אישור לשימוש בקנאביס רפואי בעקבות פוסט טראומה. בסיום טיעוניה ביקשה הסנגורית לאמץ את המלצת שירות המבחן ולהימנע מהטלת עונש מאסר בדרך של עבודות שירות כדי לאפשר לנאשם להמשיך את הדרך שהחל והיא דרך השיקום דה פקטו.</w:t>
      </w:r>
    </w:p>
    <w:p w14:paraId="6768AA57" w14:textId="77777777" w:rsidR="00406536" w:rsidRPr="004C2189" w:rsidRDefault="00406536" w:rsidP="00406536">
      <w:pPr>
        <w:spacing w:line="360" w:lineRule="auto"/>
        <w:jc w:val="both"/>
        <w:rPr>
          <w:rFonts w:ascii="Arial" w:hAnsi="Arial"/>
          <w:b/>
          <w:bCs/>
          <w:rtl/>
        </w:rPr>
      </w:pPr>
    </w:p>
    <w:p w14:paraId="355BAFA3" w14:textId="77777777" w:rsidR="00406536" w:rsidRPr="0047759A" w:rsidRDefault="00406536" w:rsidP="00406536">
      <w:pPr>
        <w:spacing w:line="360" w:lineRule="auto"/>
        <w:jc w:val="both"/>
        <w:rPr>
          <w:rFonts w:ascii="Arial" w:hAnsi="Arial"/>
          <w:rtl/>
        </w:rPr>
      </w:pPr>
      <w:r w:rsidRPr="004C2189">
        <w:rPr>
          <w:rFonts w:ascii="Arial" w:hAnsi="Arial" w:hint="cs"/>
          <w:b/>
          <w:bCs/>
          <w:rtl/>
        </w:rPr>
        <w:t xml:space="preserve">הנאשם, </w:t>
      </w:r>
      <w:r>
        <w:rPr>
          <w:rFonts w:ascii="Arial" w:hAnsi="Arial" w:hint="cs"/>
          <w:rtl/>
        </w:rPr>
        <w:t xml:space="preserve">טען לעצמו וביקש להוסיף, כי בעקבות תאונה שעבר לפני כעשרה חודשים עובד חצי משרה כדי לפרנס את סבו וסבתו ובשאר הזמן מטפל בסבתו. ציין כי נמצא במקום אחר בחייו, מתרכז בעיקר בטיפול בסבתו, בבת זוגתו ובשיעורי התורה. </w:t>
      </w:r>
    </w:p>
    <w:p w14:paraId="196DC680" w14:textId="77777777" w:rsidR="00406536" w:rsidRDefault="00406536" w:rsidP="00406536">
      <w:pPr>
        <w:spacing w:line="360" w:lineRule="auto"/>
        <w:jc w:val="both"/>
        <w:rPr>
          <w:b/>
          <w:bCs/>
          <w:u w:val="single"/>
          <w:rtl/>
        </w:rPr>
      </w:pPr>
    </w:p>
    <w:p w14:paraId="2364DE84" w14:textId="77777777" w:rsidR="00406536" w:rsidRDefault="00406536" w:rsidP="00406536">
      <w:pPr>
        <w:pStyle w:val="aa"/>
        <w:numPr>
          <w:ilvl w:val="0"/>
          <w:numId w:val="4"/>
        </w:numPr>
        <w:spacing w:line="360" w:lineRule="auto"/>
        <w:jc w:val="both"/>
        <w:rPr>
          <w:rFonts w:ascii="David" w:hAnsi="David" w:cs="David"/>
        </w:rPr>
      </w:pPr>
      <w:r w:rsidRPr="008A4AA5">
        <w:rPr>
          <w:rFonts w:ascii="David" w:hAnsi="David" w:cs="David"/>
          <w:b/>
          <w:bCs/>
          <w:sz w:val="28"/>
          <w:szCs w:val="28"/>
          <w:u w:val="single"/>
          <w:rtl/>
        </w:rPr>
        <w:t>דיון והכרעה</w:t>
      </w:r>
      <w:r w:rsidRPr="008A4AA5">
        <w:rPr>
          <w:rFonts w:ascii="David" w:hAnsi="David" w:cs="David" w:hint="cs"/>
          <w:sz w:val="24"/>
          <w:szCs w:val="24"/>
          <w:rtl/>
        </w:rPr>
        <w:t>:</w:t>
      </w:r>
    </w:p>
    <w:p w14:paraId="6FB92266" w14:textId="77777777" w:rsidR="00406536" w:rsidRPr="008A4AA5" w:rsidRDefault="00406536" w:rsidP="00406536">
      <w:pPr>
        <w:pStyle w:val="aa"/>
        <w:spacing w:line="360" w:lineRule="auto"/>
        <w:jc w:val="both"/>
        <w:rPr>
          <w:rFonts w:ascii="David" w:hAnsi="David" w:cs="David"/>
        </w:rPr>
      </w:pPr>
    </w:p>
    <w:p w14:paraId="2C69A8F4" w14:textId="77777777" w:rsidR="00406536" w:rsidRDefault="00406536" w:rsidP="00406536">
      <w:pPr>
        <w:pStyle w:val="aa"/>
        <w:numPr>
          <w:ilvl w:val="0"/>
          <w:numId w:val="6"/>
        </w:numPr>
        <w:spacing w:line="360" w:lineRule="auto"/>
        <w:jc w:val="both"/>
        <w:rPr>
          <w:rFonts w:ascii="David" w:hAnsi="David" w:cs="David"/>
          <w:b/>
          <w:bCs/>
          <w:sz w:val="24"/>
          <w:szCs w:val="24"/>
        </w:rPr>
      </w:pPr>
      <w:r w:rsidRPr="00D22112">
        <w:rPr>
          <w:rFonts w:ascii="David" w:hAnsi="David" w:cs="David"/>
          <w:b/>
          <w:bCs/>
          <w:sz w:val="24"/>
          <w:szCs w:val="24"/>
          <w:u w:val="single"/>
          <w:rtl/>
        </w:rPr>
        <w:t>מתחם העונש ההולם</w:t>
      </w:r>
      <w:r w:rsidRPr="00D22112">
        <w:rPr>
          <w:rFonts w:ascii="David" w:hAnsi="David" w:cs="David"/>
          <w:b/>
          <w:bCs/>
          <w:sz w:val="24"/>
          <w:szCs w:val="24"/>
          <w:rtl/>
        </w:rPr>
        <w:t>:</w:t>
      </w:r>
    </w:p>
    <w:p w14:paraId="6C8362E4" w14:textId="77777777" w:rsidR="00406536" w:rsidRPr="00D22112" w:rsidRDefault="00406536" w:rsidP="00406536">
      <w:pPr>
        <w:pStyle w:val="aa"/>
        <w:spacing w:line="360" w:lineRule="auto"/>
        <w:jc w:val="both"/>
        <w:rPr>
          <w:rFonts w:ascii="David" w:hAnsi="David" w:cs="David"/>
          <w:b/>
          <w:bCs/>
          <w:sz w:val="24"/>
          <w:szCs w:val="24"/>
          <w:rtl/>
        </w:rPr>
      </w:pPr>
    </w:p>
    <w:p w14:paraId="0775C542" w14:textId="77777777" w:rsidR="00406536" w:rsidRDefault="00406536" w:rsidP="00406536">
      <w:pPr>
        <w:spacing w:line="360" w:lineRule="auto"/>
        <w:jc w:val="both"/>
      </w:pPr>
      <w:r>
        <w:rPr>
          <w:rtl/>
        </w:rPr>
        <w:t xml:space="preserve">קביעת עונשו של הנאשם, </w:t>
      </w:r>
      <w:r>
        <w:rPr>
          <w:rFonts w:hint="cs"/>
          <w:rtl/>
        </w:rPr>
        <w:t xml:space="preserve">נעשית </w:t>
      </w:r>
      <w:r>
        <w:rPr>
          <w:rtl/>
        </w:rPr>
        <w:t xml:space="preserve">לאור </w:t>
      </w:r>
      <w:r>
        <w:rPr>
          <w:b/>
          <w:bCs/>
          <w:rtl/>
        </w:rPr>
        <w:t>עקרון ההלימה</w:t>
      </w:r>
      <w:r>
        <w:rPr>
          <w:rtl/>
        </w:rPr>
        <w:t xml:space="preserve">, תוך מתן יחס הולם בין חומרת העבירה המיוחסת לנאשם בנסיבותיה, מידת אשמו של הנאשם ובין סוג ומידת העונש אשר יוטל עליו. לצורך קביעה זו יש לבחון מספר </w:t>
      </w:r>
      <w:r>
        <w:rPr>
          <w:rFonts w:hint="cs"/>
          <w:rtl/>
        </w:rPr>
        <w:t>פרמטרים</w:t>
      </w:r>
      <w:r>
        <w:rPr>
          <w:rtl/>
        </w:rPr>
        <w:t xml:space="preserve">; </w:t>
      </w:r>
      <w:r>
        <w:rPr>
          <w:b/>
          <w:bCs/>
          <w:rtl/>
        </w:rPr>
        <w:t>הערכים החברתיים</w:t>
      </w:r>
      <w:r>
        <w:rPr>
          <w:rtl/>
        </w:rPr>
        <w:t xml:space="preserve"> שנפגעו ממעשה זה ומידת הפגיעה בהם, </w:t>
      </w:r>
      <w:r>
        <w:rPr>
          <w:b/>
          <w:bCs/>
          <w:rtl/>
        </w:rPr>
        <w:t>מדיניות הענישה הנהוגה</w:t>
      </w:r>
      <w:r>
        <w:rPr>
          <w:rtl/>
        </w:rPr>
        <w:t xml:space="preserve"> בבתי המשפט ומהן </w:t>
      </w:r>
      <w:r>
        <w:rPr>
          <w:b/>
          <w:bCs/>
          <w:rtl/>
        </w:rPr>
        <w:t>הנסיבות הקשורות בביצוע העבירה</w:t>
      </w:r>
      <w:r>
        <w:rPr>
          <w:rtl/>
        </w:rPr>
        <w:t xml:space="preserve"> (תיקון 113 ל</w:t>
      </w:r>
      <w:hyperlink r:id="rId14" w:history="1">
        <w:r w:rsidR="002E3DA7" w:rsidRPr="002E3DA7">
          <w:rPr>
            <w:color w:val="0000FF"/>
            <w:u w:val="single"/>
            <w:rtl/>
          </w:rPr>
          <w:t>חוק העונשין</w:t>
        </w:r>
      </w:hyperlink>
      <w:r>
        <w:rPr>
          <w:rtl/>
        </w:rPr>
        <w:t xml:space="preserve">). </w:t>
      </w:r>
    </w:p>
    <w:p w14:paraId="4C1D3557" w14:textId="77777777" w:rsidR="00406536" w:rsidRPr="00973FB8" w:rsidRDefault="00406536" w:rsidP="00406536">
      <w:pPr>
        <w:spacing w:line="360" w:lineRule="auto"/>
        <w:jc w:val="both"/>
        <w:rPr>
          <w:b/>
          <w:bCs/>
          <w:rtl/>
        </w:rPr>
      </w:pPr>
    </w:p>
    <w:p w14:paraId="17942592" w14:textId="77777777" w:rsidR="00406536" w:rsidRDefault="00406536" w:rsidP="00406536">
      <w:pPr>
        <w:spacing w:line="360" w:lineRule="auto"/>
        <w:jc w:val="both"/>
      </w:pPr>
      <w:r>
        <w:rPr>
          <w:b/>
          <w:bCs/>
          <w:rtl/>
        </w:rPr>
        <w:t xml:space="preserve">הערכים המוגנים </w:t>
      </w:r>
      <w:r>
        <w:rPr>
          <w:rFonts w:hint="cs"/>
          <w:b/>
          <w:bCs/>
          <w:rtl/>
        </w:rPr>
        <w:t>שנפגעו:</w:t>
      </w:r>
    </w:p>
    <w:p w14:paraId="29721926" w14:textId="77777777" w:rsidR="00406536" w:rsidRDefault="00406536" w:rsidP="00406536">
      <w:pPr>
        <w:spacing w:line="360" w:lineRule="auto"/>
        <w:jc w:val="both"/>
        <w:rPr>
          <w:rtl/>
        </w:rPr>
      </w:pPr>
    </w:p>
    <w:p w14:paraId="193B88BF" w14:textId="77777777" w:rsidR="00406536" w:rsidRPr="00D22112" w:rsidRDefault="00406536" w:rsidP="00406536">
      <w:pPr>
        <w:spacing w:line="360" w:lineRule="auto"/>
        <w:jc w:val="both"/>
        <w:rPr>
          <w:rFonts w:ascii="David" w:hAnsi="David"/>
          <w:rtl/>
        </w:rPr>
      </w:pPr>
      <w:r>
        <w:rPr>
          <w:rtl/>
        </w:rPr>
        <w:t>עבירת</w:t>
      </w:r>
      <w:r>
        <w:rPr>
          <w:rFonts w:hint="cs"/>
          <w:rtl/>
        </w:rPr>
        <w:t xml:space="preserve"> </w:t>
      </w:r>
      <w:r>
        <w:rPr>
          <w:b/>
          <w:bCs/>
          <w:rtl/>
        </w:rPr>
        <w:t>החזקת סמים</w:t>
      </w:r>
      <w:r>
        <w:rPr>
          <w:rtl/>
        </w:rPr>
        <w:t xml:space="preserve">, פוגעת בערכים החברתיים </w:t>
      </w:r>
      <w:r w:rsidRPr="00406536">
        <w:rPr>
          <w:rFonts w:ascii="David" w:hAnsi="David"/>
          <w:rtl/>
        </w:rPr>
        <w:t xml:space="preserve">הנוגעים לשלומו ובריאותו של הציבור. </w:t>
      </w:r>
      <w:r w:rsidRPr="00406536">
        <w:rPr>
          <w:rFonts w:ascii="David" w:hAnsi="David" w:hint="cs"/>
          <w:rtl/>
        </w:rPr>
        <w:t xml:space="preserve">בעניין כך </w:t>
      </w:r>
      <w:r w:rsidRPr="00406536">
        <w:rPr>
          <w:rFonts w:ascii="David" w:hAnsi="David"/>
          <w:rtl/>
        </w:rPr>
        <w:t xml:space="preserve">כבר נקבע לא אחת, שפגיעתם של הסמים בחברה רחב היקף, הן </w:t>
      </w:r>
      <w:r w:rsidRPr="00406536">
        <w:rPr>
          <w:rFonts w:ascii="David" w:hAnsi="David" w:hint="cs"/>
          <w:rtl/>
        </w:rPr>
        <w:t xml:space="preserve">למעגל הקרוב- </w:t>
      </w:r>
      <w:r w:rsidRPr="00406536">
        <w:rPr>
          <w:rFonts w:ascii="David" w:hAnsi="David"/>
          <w:rtl/>
        </w:rPr>
        <w:t xml:space="preserve">למשתמש הבודד, </w:t>
      </w:r>
      <w:r w:rsidRPr="00406536">
        <w:rPr>
          <w:rFonts w:ascii="David" w:hAnsi="David" w:hint="cs"/>
          <w:rtl/>
        </w:rPr>
        <w:t>ו</w:t>
      </w:r>
      <w:r w:rsidRPr="00406536">
        <w:rPr>
          <w:rFonts w:ascii="David" w:hAnsi="David"/>
          <w:rtl/>
        </w:rPr>
        <w:t xml:space="preserve">למשפחתו </w:t>
      </w:r>
      <w:r w:rsidRPr="00406536">
        <w:rPr>
          <w:rFonts w:ascii="David" w:hAnsi="David" w:hint="cs"/>
          <w:rtl/>
        </w:rPr>
        <w:t xml:space="preserve">ולמעגל הרחוק, בהינתן השפעה של עיסוק זה </w:t>
      </w:r>
      <w:r w:rsidRPr="00406536">
        <w:rPr>
          <w:rFonts w:ascii="David" w:hAnsi="David"/>
          <w:rtl/>
        </w:rPr>
        <w:t>על החברה כולה</w:t>
      </w:r>
      <w:r w:rsidRPr="00406536">
        <w:rPr>
          <w:rFonts w:ascii="David" w:hAnsi="David" w:hint="cs"/>
          <w:rtl/>
        </w:rPr>
        <w:t>,</w:t>
      </w:r>
      <w:r w:rsidRPr="00406536">
        <w:rPr>
          <w:rFonts w:ascii="David" w:hAnsi="David"/>
          <w:rtl/>
        </w:rPr>
        <w:t xml:space="preserve"> שכן, מתקיימת פעילות פלילית </w:t>
      </w:r>
      <w:r w:rsidRPr="00406536">
        <w:rPr>
          <w:rFonts w:ascii="David" w:hAnsi="David" w:hint="cs"/>
          <w:rtl/>
        </w:rPr>
        <w:t xml:space="preserve">רחבה </w:t>
      </w:r>
      <w:r w:rsidRPr="00406536">
        <w:rPr>
          <w:rFonts w:ascii="David" w:hAnsi="David"/>
          <w:rtl/>
        </w:rPr>
        <w:t>על מנת לספק לצרכן את הדחף לצרוך סם ולעיתים מתבצעות עבירות נוספות</w:t>
      </w:r>
      <w:r w:rsidRPr="00406536">
        <w:rPr>
          <w:rFonts w:ascii="David" w:hAnsi="David" w:hint="cs"/>
          <w:rtl/>
        </w:rPr>
        <w:t xml:space="preserve"> לצורך כך</w:t>
      </w:r>
      <w:r w:rsidRPr="00406536">
        <w:rPr>
          <w:rFonts w:ascii="David" w:hAnsi="David"/>
          <w:rtl/>
        </w:rPr>
        <w:t xml:space="preserve">. בתי המשפט חזרו והדגישו את החשיבות לעקור את נגע הסמים מהשורש [ראו לעניין זה </w:t>
      </w:r>
      <w:hyperlink r:id="rId15" w:history="1">
        <w:r w:rsidR="002E3DA7" w:rsidRPr="002E3DA7">
          <w:rPr>
            <w:rFonts w:ascii="David" w:hAnsi="David"/>
            <w:color w:val="0000FF"/>
            <w:u w:val="single"/>
            <w:rtl/>
          </w:rPr>
          <w:t>ע"פ 3172/13</w:t>
        </w:r>
      </w:hyperlink>
      <w:r w:rsidRPr="00406536">
        <w:rPr>
          <w:rFonts w:ascii="David" w:hAnsi="David"/>
          <w:rtl/>
        </w:rPr>
        <w:t xml:space="preserve"> </w:t>
      </w:r>
      <w:r w:rsidRPr="00406536">
        <w:rPr>
          <w:rFonts w:ascii="David" w:hAnsi="David"/>
          <w:b/>
          <w:bCs/>
          <w:rtl/>
        </w:rPr>
        <w:t>סואעד נגד מדינת ישראל</w:t>
      </w:r>
      <w:r w:rsidRPr="00406536">
        <w:rPr>
          <w:rFonts w:ascii="David" w:hAnsi="David"/>
          <w:rtl/>
        </w:rPr>
        <w:t xml:space="preserve"> (פורסם בנבו, 07.01.2014)] . </w:t>
      </w:r>
      <w:r>
        <w:rPr>
          <w:rFonts w:ascii="David" w:hAnsi="David" w:hint="cs"/>
          <w:rtl/>
        </w:rPr>
        <w:t xml:space="preserve">עוד הדגישה הפסיקה את </w:t>
      </w:r>
      <w:r w:rsidRPr="00D22112">
        <w:rPr>
          <w:rFonts w:ascii="David" w:hAnsi="David"/>
          <w:rtl/>
        </w:rPr>
        <w:t xml:space="preserve">הצורך להילחם בנגע הסמים עמד בית המשפט העליון בפסיקה ברורה ונוקבת. ראו </w:t>
      </w:r>
      <w:hyperlink r:id="rId16" w:history="1">
        <w:r w:rsidR="002E3DA7" w:rsidRPr="002E3DA7">
          <w:rPr>
            <w:rFonts w:ascii="David" w:hAnsi="David"/>
            <w:color w:val="0000FF"/>
            <w:u w:val="single"/>
            <w:rtl/>
          </w:rPr>
          <w:t>ע"פ 3172/13</w:t>
        </w:r>
      </w:hyperlink>
      <w:r w:rsidRPr="00D22112">
        <w:rPr>
          <w:rFonts w:ascii="David" w:hAnsi="David"/>
          <w:rtl/>
        </w:rPr>
        <w:t xml:space="preserve"> </w:t>
      </w:r>
      <w:r w:rsidRPr="00D22112">
        <w:rPr>
          <w:rFonts w:ascii="David" w:hAnsi="David" w:hint="cs"/>
          <w:b/>
          <w:bCs/>
          <w:rtl/>
        </w:rPr>
        <w:t>עלא סואעד נגד  מדינת ישראל (07.01.14)</w:t>
      </w:r>
      <w:r w:rsidRPr="00D22112">
        <w:rPr>
          <w:rFonts w:ascii="David" w:hAnsi="David" w:hint="cs"/>
          <w:rtl/>
        </w:rPr>
        <w:t>:</w:t>
      </w:r>
    </w:p>
    <w:p w14:paraId="1BF9B4DF" w14:textId="77777777" w:rsidR="00406536" w:rsidRDefault="00406536" w:rsidP="00406536">
      <w:pPr>
        <w:pStyle w:val="aa"/>
        <w:spacing w:after="160" w:line="360" w:lineRule="auto"/>
        <w:ind w:left="-58"/>
        <w:jc w:val="both"/>
        <w:rPr>
          <w:rFonts w:ascii="David" w:hAnsi="David"/>
          <w:b/>
          <w:bCs/>
          <w:rtl/>
        </w:rPr>
      </w:pPr>
    </w:p>
    <w:p w14:paraId="559C8C4D" w14:textId="77777777" w:rsidR="00406536" w:rsidRDefault="00406536" w:rsidP="00406536">
      <w:pPr>
        <w:pStyle w:val="aa"/>
        <w:spacing w:after="160" w:line="360" w:lineRule="auto"/>
        <w:jc w:val="both"/>
        <w:rPr>
          <w:rFonts w:ascii="David" w:hAnsi="David" w:cs="David"/>
          <w:b/>
          <w:bCs/>
          <w:sz w:val="24"/>
          <w:szCs w:val="24"/>
          <w:rtl/>
        </w:rPr>
      </w:pPr>
      <w:r>
        <w:rPr>
          <w:rFonts w:ascii="David" w:hAnsi="David" w:cs="David"/>
          <w:b/>
          <w:bCs/>
          <w:sz w:val="24"/>
          <w:szCs w:val="24"/>
          <w:rtl/>
        </w:rPr>
        <w:t xml:space="preserve">"על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ולצמצם את נזקיו." </w:t>
      </w:r>
    </w:p>
    <w:p w14:paraId="71BF5623" w14:textId="77777777" w:rsidR="00406536" w:rsidRPr="00D22112" w:rsidRDefault="00406536" w:rsidP="00406536">
      <w:pPr>
        <w:spacing w:after="160" w:line="360" w:lineRule="auto"/>
        <w:jc w:val="both"/>
        <w:rPr>
          <w:rFonts w:ascii="David" w:hAnsi="David"/>
          <w:rtl/>
        </w:rPr>
      </w:pPr>
      <w:r w:rsidRPr="00D22112">
        <w:rPr>
          <w:rFonts w:ascii="David" w:hAnsi="David"/>
          <w:b/>
          <w:bCs/>
          <w:rtl/>
        </w:rPr>
        <w:t>נסיבות הקשורות בביצוע העבירה</w:t>
      </w:r>
      <w:r w:rsidRPr="00D22112">
        <w:rPr>
          <w:rFonts w:ascii="David" w:hAnsi="David"/>
          <w:rtl/>
        </w:rPr>
        <w:t>:</w:t>
      </w:r>
    </w:p>
    <w:p w14:paraId="545879B2" w14:textId="77777777" w:rsidR="00406536" w:rsidRPr="001958B3" w:rsidRDefault="00406536" w:rsidP="00406536">
      <w:pPr>
        <w:spacing w:line="360" w:lineRule="auto"/>
        <w:jc w:val="both"/>
        <w:rPr>
          <w:rFonts w:ascii="David" w:hAnsi="David"/>
          <w:b/>
          <w:bCs/>
          <w:rtl/>
        </w:rPr>
      </w:pPr>
      <w:r>
        <w:rPr>
          <w:rFonts w:ascii="David" w:hAnsi="David"/>
          <w:rtl/>
        </w:rPr>
        <w:t xml:space="preserve">הנאשם החזיק </w:t>
      </w:r>
      <w:r>
        <w:rPr>
          <w:rFonts w:ascii="David" w:hAnsi="David" w:hint="cs"/>
          <w:rtl/>
        </w:rPr>
        <w:t xml:space="preserve">בביתו </w:t>
      </w:r>
      <w:r>
        <w:rPr>
          <w:rFonts w:ascii="David" w:hAnsi="David"/>
          <w:rtl/>
        </w:rPr>
        <w:t>ב</w:t>
      </w:r>
      <w:r>
        <w:rPr>
          <w:rFonts w:ascii="David" w:hAnsi="David" w:hint="cs"/>
          <w:rtl/>
        </w:rPr>
        <w:t xml:space="preserve">-1.500 ק"ג קנבוס שהיו מחולקים ל-2 שקיות ובנוסף החזיק 200 גרם קנבוס שמחולקים ל-40 קופסאות בביתו. </w:t>
      </w:r>
      <w:r>
        <w:rPr>
          <w:rFonts w:ascii="David" w:hAnsi="David"/>
          <w:rtl/>
        </w:rPr>
        <w:t>עם זאת לא נמצאו סממנים המעידים על כך שהנאשם לקח חלק בשרשרת הפצת הסמים</w:t>
      </w:r>
      <w:r>
        <w:rPr>
          <w:rFonts w:ascii="David" w:hAnsi="David" w:hint="cs"/>
          <w:rtl/>
        </w:rPr>
        <w:t xml:space="preserve">, לא אותרו קונים פוטנציאלים או כל </w:t>
      </w:r>
      <w:r>
        <w:rPr>
          <w:rFonts w:ascii="David" w:hAnsi="David"/>
          <w:rtl/>
        </w:rPr>
        <w:t>אינדיקציה להתממשות הנזק מעבר לפגיעה בנאשם עצמו</w:t>
      </w:r>
      <w:r>
        <w:rPr>
          <w:rFonts w:ascii="David" w:hAnsi="David" w:hint="cs"/>
          <w:rtl/>
        </w:rPr>
        <w:t xml:space="preserve"> (כמובן למעט משקל הסם וחלוקת חלקו למנות קטנות)</w:t>
      </w:r>
      <w:r>
        <w:rPr>
          <w:rFonts w:ascii="David" w:hAnsi="David"/>
          <w:rtl/>
        </w:rPr>
        <w:t xml:space="preserve">. </w:t>
      </w:r>
      <w:r w:rsidRPr="001958B3">
        <w:rPr>
          <w:rFonts w:ascii="David" w:hAnsi="David" w:hint="cs"/>
          <w:b/>
          <w:bCs/>
          <w:rtl/>
        </w:rPr>
        <w:t xml:space="preserve">נוכח האמור לעיל, אני קובעת כי </w:t>
      </w:r>
      <w:r w:rsidRPr="001958B3">
        <w:rPr>
          <w:rFonts w:ascii="David" w:hAnsi="David"/>
          <w:b/>
          <w:bCs/>
          <w:rtl/>
        </w:rPr>
        <w:t>הפגיעה בערכים המוגנים</w:t>
      </w:r>
      <w:r w:rsidRPr="001958B3">
        <w:rPr>
          <w:rFonts w:ascii="David" w:hAnsi="David" w:hint="cs"/>
          <w:b/>
          <w:bCs/>
          <w:rtl/>
        </w:rPr>
        <w:t xml:space="preserve"> היא</w:t>
      </w:r>
      <w:r w:rsidRPr="001958B3">
        <w:rPr>
          <w:rFonts w:ascii="David" w:hAnsi="David"/>
          <w:b/>
          <w:bCs/>
          <w:rtl/>
        </w:rPr>
        <w:t xml:space="preserve"> ברף התחתון- בינוני</w:t>
      </w:r>
      <w:r w:rsidRPr="001958B3">
        <w:rPr>
          <w:rFonts w:ascii="David" w:hAnsi="David" w:hint="cs"/>
          <w:b/>
          <w:bCs/>
          <w:rtl/>
        </w:rPr>
        <w:t>.</w:t>
      </w:r>
    </w:p>
    <w:p w14:paraId="61417A9A" w14:textId="77777777" w:rsidR="00406536" w:rsidRDefault="00406536" w:rsidP="00406536">
      <w:pPr>
        <w:spacing w:line="360" w:lineRule="auto"/>
        <w:jc w:val="both"/>
        <w:rPr>
          <w:rFonts w:ascii="David" w:hAnsi="David"/>
          <w:rtl/>
        </w:rPr>
      </w:pPr>
    </w:p>
    <w:p w14:paraId="28095717" w14:textId="77777777" w:rsidR="00406536" w:rsidRDefault="00406536" w:rsidP="00406536">
      <w:pPr>
        <w:pStyle w:val="aa"/>
        <w:spacing w:after="160" w:line="360" w:lineRule="auto"/>
        <w:ind w:left="-58"/>
        <w:jc w:val="both"/>
        <w:rPr>
          <w:rFonts w:cs="David"/>
          <w:sz w:val="24"/>
          <w:szCs w:val="24"/>
          <w:rtl/>
        </w:rPr>
      </w:pPr>
      <w:r>
        <w:rPr>
          <w:rFonts w:cs="David"/>
          <w:b/>
          <w:bCs/>
          <w:sz w:val="24"/>
          <w:szCs w:val="24"/>
          <w:rtl/>
        </w:rPr>
        <w:t>מדיניות הענישה ומתחם העונש ההולם</w:t>
      </w:r>
      <w:r>
        <w:rPr>
          <w:rFonts w:cs="David"/>
          <w:sz w:val="24"/>
          <w:szCs w:val="24"/>
          <w:rtl/>
        </w:rPr>
        <w:t xml:space="preserve"> </w:t>
      </w:r>
    </w:p>
    <w:p w14:paraId="095ECB7A" w14:textId="77777777" w:rsidR="00406536" w:rsidRDefault="00406536" w:rsidP="00406536">
      <w:pPr>
        <w:spacing w:after="160" w:line="360" w:lineRule="auto"/>
        <w:jc w:val="both"/>
        <w:rPr>
          <w:rFonts w:ascii="David" w:hAnsi="David"/>
          <w:b/>
          <w:bCs/>
          <w:u w:val="single"/>
          <w:rtl/>
        </w:rPr>
      </w:pPr>
      <w:r>
        <w:rPr>
          <w:rFonts w:ascii="David" w:hAnsi="David"/>
          <w:rtl/>
        </w:rPr>
        <w:t xml:space="preserve">עיון בפסיקת בתי המשפט מעלה כי מתחם העונש ההולם בעבירת </w:t>
      </w:r>
      <w:r>
        <w:rPr>
          <w:rFonts w:ascii="David" w:hAnsi="David"/>
          <w:b/>
          <w:bCs/>
          <w:rtl/>
        </w:rPr>
        <w:t>החזקת סם שלא לצריכה עצמית</w:t>
      </w:r>
      <w:r>
        <w:rPr>
          <w:rFonts w:ascii="David" w:hAnsi="David"/>
          <w:rtl/>
        </w:rPr>
        <w:t xml:space="preserve"> הוא רחב ותלוי בסוג הסם, בכמות, חלוקתו למנות ומכלול נסיבות ההחזקה. ניתן ללמוד על מתחם העונש ההולם בין היתר מפסקי הדין הבאים</w:t>
      </w:r>
      <w:r>
        <w:rPr>
          <w:rFonts w:ascii="David" w:hAnsi="David" w:hint="cs"/>
          <w:rtl/>
        </w:rPr>
        <w:t>, בכמויות דומות או אף גדולות יותר</w:t>
      </w:r>
      <w:r>
        <w:rPr>
          <w:rFonts w:ascii="David" w:hAnsi="David"/>
          <w:rtl/>
        </w:rPr>
        <w:t xml:space="preserve">:  </w:t>
      </w:r>
    </w:p>
    <w:p w14:paraId="14B0AAB0" w14:textId="77777777" w:rsidR="00406536" w:rsidRDefault="002E3DA7" w:rsidP="00406536">
      <w:pPr>
        <w:pStyle w:val="aa"/>
        <w:numPr>
          <w:ilvl w:val="0"/>
          <w:numId w:val="3"/>
        </w:numPr>
        <w:spacing w:before="240" w:after="160" w:line="360" w:lineRule="auto"/>
        <w:jc w:val="both"/>
        <w:rPr>
          <w:rFonts w:ascii="David" w:hAnsi="David" w:cs="David"/>
          <w:sz w:val="24"/>
          <w:szCs w:val="24"/>
        </w:rPr>
      </w:pPr>
      <w:hyperlink r:id="rId17" w:history="1">
        <w:r w:rsidRPr="002E3DA7">
          <w:rPr>
            <w:rFonts w:ascii="David" w:hAnsi="David" w:cs="David"/>
            <w:color w:val="0000FF"/>
            <w:sz w:val="24"/>
            <w:szCs w:val="24"/>
            <w:u w:val="single"/>
            <w:rtl/>
          </w:rPr>
          <w:t>רע"פ 10423/09</w:t>
        </w:r>
      </w:hyperlink>
      <w:r w:rsidR="00406536" w:rsidRPr="004A783B">
        <w:rPr>
          <w:rFonts w:ascii="David" w:hAnsi="David" w:cs="David"/>
          <w:sz w:val="24"/>
          <w:szCs w:val="24"/>
          <w:rtl/>
        </w:rPr>
        <w:t xml:space="preserve"> </w:t>
      </w:r>
      <w:r w:rsidR="00406536" w:rsidRPr="004A783B">
        <w:rPr>
          <w:rFonts w:ascii="David" w:hAnsi="David" w:cs="David"/>
          <w:b/>
          <w:bCs/>
          <w:sz w:val="24"/>
          <w:szCs w:val="24"/>
          <w:rtl/>
        </w:rPr>
        <w:t>שורר נ' מדינת ישראל</w:t>
      </w:r>
      <w:r w:rsidR="00406536">
        <w:rPr>
          <w:rFonts w:ascii="David" w:hAnsi="David" w:cs="David"/>
          <w:sz w:val="24"/>
          <w:szCs w:val="24"/>
          <w:rtl/>
        </w:rPr>
        <w:t xml:space="preserve"> (26.04.2010)</w:t>
      </w:r>
      <w:r w:rsidR="00406536">
        <w:rPr>
          <w:rFonts w:ascii="David" w:hAnsi="David" w:cs="David" w:hint="cs"/>
          <w:sz w:val="24"/>
          <w:szCs w:val="24"/>
          <w:rtl/>
        </w:rPr>
        <w:t xml:space="preserve"> - </w:t>
      </w:r>
      <w:r w:rsidR="00406536" w:rsidRPr="004A783B">
        <w:rPr>
          <w:rFonts w:ascii="David" w:hAnsi="David" w:cs="David"/>
          <w:sz w:val="24"/>
          <w:szCs w:val="24"/>
          <w:rtl/>
        </w:rPr>
        <w:t xml:space="preserve">בית המשפט הרשיע את הנאשם, לפי הודאתו, בעבירה של החזקת סם שלא לצריכה עצמית, בכך שהחזיק סם מסוג קנבוס במשקל של </w:t>
      </w:r>
      <w:r w:rsidR="00406536" w:rsidRPr="004A783B">
        <w:rPr>
          <w:rFonts w:ascii="David" w:hAnsi="David" w:cs="David"/>
          <w:b/>
          <w:bCs/>
          <w:sz w:val="24"/>
          <w:szCs w:val="24"/>
          <w:rtl/>
        </w:rPr>
        <w:t>574.75 גרם נטו</w:t>
      </w:r>
      <w:r w:rsidR="00406536" w:rsidRPr="004A783B">
        <w:rPr>
          <w:rFonts w:ascii="David" w:hAnsi="David" w:cs="David"/>
          <w:sz w:val="24"/>
          <w:szCs w:val="24"/>
          <w:rtl/>
        </w:rPr>
        <w:t xml:space="preserve">. הוטלו על הנאשם 6 חודשי מאסר שירוצו בדרך של עבודות שירות, לצד ענישה נלווית. ערעורו של הנאשם במחוזי נדחה וכן בקשת רשות ערעור. </w:t>
      </w:r>
    </w:p>
    <w:p w14:paraId="5890F196" w14:textId="77777777" w:rsidR="00406536" w:rsidRDefault="00406536" w:rsidP="00406536">
      <w:pPr>
        <w:pStyle w:val="aa"/>
        <w:spacing w:before="240" w:after="160" w:line="360" w:lineRule="auto"/>
        <w:jc w:val="both"/>
        <w:rPr>
          <w:rFonts w:ascii="David" w:hAnsi="David" w:cs="David"/>
          <w:sz w:val="24"/>
          <w:szCs w:val="24"/>
        </w:rPr>
      </w:pPr>
    </w:p>
    <w:p w14:paraId="4B90E48E" w14:textId="77777777" w:rsidR="00406536" w:rsidRPr="004A783B" w:rsidRDefault="002E3DA7" w:rsidP="00406536">
      <w:pPr>
        <w:pStyle w:val="aa"/>
        <w:numPr>
          <w:ilvl w:val="0"/>
          <w:numId w:val="3"/>
        </w:numPr>
        <w:spacing w:before="240" w:after="160" w:line="360" w:lineRule="auto"/>
        <w:jc w:val="both"/>
        <w:rPr>
          <w:rFonts w:ascii="David" w:hAnsi="David" w:cs="David"/>
          <w:sz w:val="24"/>
          <w:szCs w:val="24"/>
        </w:rPr>
      </w:pPr>
      <w:hyperlink r:id="rId18" w:history="1">
        <w:r w:rsidRPr="002E3DA7">
          <w:rPr>
            <w:rFonts w:ascii="David" w:hAnsi="David" w:cs="David"/>
            <w:color w:val="0000FF"/>
            <w:sz w:val="24"/>
            <w:szCs w:val="24"/>
            <w:u w:val="single"/>
            <w:rtl/>
          </w:rPr>
          <w:t>עפ"ג (תל אביב) 45495-10-23</w:t>
        </w:r>
      </w:hyperlink>
      <w:r w:rsidR="00406536">
        <w:rPr>
          <w:rFonts w:ascii="David" w:hAnsi="David" w:cs="David" w:hint="cs"/>
          <w:sz w:val="24"/>
          <w:szCs w:val="24"/>
          <w:rtl/>
        </w:rPr>
        <w:t xml:space="preserve"> </w:t>
      </w:r>
      <w:r w:rsidR="00406536">
        <w:rPr>
          <w:rFonts w:ascii="David" w:hAnsi="David" w:cs="David" w:hint="cs"/>
          <w:b/>
          <w:bCs/>
          <w:sz w:val="24"/>
          <w:szCs w:val="24"/>
          <w:rtl/>
        </w:rPr>
        <w:t xml:space="preserve">ביבי נ' מדינת ישראל </w:t>
      </w:r>
      <w:r w:rsidR="00406536">
        <w:rPr>
          <w:rFonts w:ascii="David" w:hAnsi="David" w:cs="David" w:hint="cs"/>
          <w:sz w:val="24"/>
          <w:szCs w:val="24"/>
          <w:rtl/>
        </w:rPr>
        <w:t xml:space="preserve">(22.01.2024) - הנאשמת הורשעה על יסוד הודאתה, בעבירה של החזקת סם שלא לצריכה עצמית, עת החזיקה בדירתה סם מסוג קנבוס במשקל כולל של 2.0544 ובסם מסוג חשיש במשקל כולל של 98.36 גרם כשהם מחולקים למספר מקומות בדירה ולכ-150 שקיות. </w:t>
      </w:r>
      <w:r w:rsidR="00406536" w:rsidRPr="0058704E">
        <w:rPr>
          <w:rFonts w:ascii="David" w:hAnsi="David" w:cs="David" w:hint="cs"/>
          <w:b/>
          <w:bCs/>
          <w:sz w:val="24"/>
          <w:szCs w:val="24"/>
          <w:rtl/>
        </w:rPr>
        <w:t>בית משפט קמא קבע מתחם ענישה שנע בין מספר חודשי מאסר שניתן לרצות בעבודות שירות ועד שנת מאסר בפועל, לצד ענישה נלווית.</w:t>
      </w:r>
      <w:r w:rsidR="00406536">
        <w:rPr>
          <w:rFonts w:ascii="David" w:hAnsi="David" w:cs="David" w:hint="cs"/>
          <w:sz w:val="24"/>
          <w:szCs w:val="24"/>
          <w:rtl/>
        </w:rPr>
        <w:t xml:space="preserve"> נגזרו על הנאשמת 6 חודשי מאסר בדרך של עבודות שירות וענישה נלווית. ערעור שהגישה הנאשמת נדחה. </w:t>
      </w:r>
    </w:p>
    <w:p w14:paraId="109CE5FE" w14:textId="77777777" w:rsidR="00406536" w:rsidRPr="003B5553" w:rsidRDefault="00406536" w:rsidP="00406536">
      <w:pPr>
        <w:pStyle w:val="aa"/>
        <w:spacing w:before="240" w:after="160" w:line="360" w:lineRule="auto"/>
        <w:jc w:val="both"/>
        <w:rPr>
          <w:rFonts w:ascii="David" w:hAnsi="David" w:cs="David"/>
          <w:sz w:val="24"/>
          <w:szCs w:val="24"/>
          <w:rtl/>
        </w:rPr>
      </w:pPr>
    </w:p>
    <w:p w14:paraId="6E3002E8" w14:textId="77777777" w:rsidR="00406536" w:rsidRPr="00A67B1D" w:rsidRDefault="002E3DA7" w:rsidP="00406536">
      <w:pPr>
        <w:pStyle w:val="aa"/>
        <w:numPr>
          <w:ilvl w:val="0"/>
          <w:numId w:val="3"/>
        </w:numPr>
        <w:spacing w:after="120" w:line="360" w:lineRule="auto"/>
        <w:jc w:val="both"/>
        <w:rPr>
          <w:rFonts w:ascii="David" w:hAnsi="David" w:cs="David"/>
          <w:sz w:val="24"/>
          <w:szCs w:val="24"/>
          <w:rtl/>
        </w:rPr>
      </w:pPr>
      <w:hyperlink r:id="rId19" w:history="1">
        <w:r w:rsidRPr="002E3DA7">
          <w:rPr>
            <w:rFonts w:ascii="David" w:hAnsi="David" w:cs="David"/>
            <w:color w:val="0000FF"/>
            <w:sz w:val="24"/>
            <w:szCs w:val="24"/>
            <w:u w:val="single"/>
            <w:rtl/>
          </w:rPr>
          <w:t>ת"פ (תל-אביב) 68642-05-18</w:t>
        </w:r>
      </w:hyperlink>
      <w:r w:rsidR="00406536" w:rsidRPr="00A36415">
        <w:rPr>
          <w:rFonts w:ascii="David" w:hAnsi="David" w:cs="David"/>
          <w:sz w:val="24"/>
          <w:szCs w:val="24"/>
          <w:rtl/>
        </w:rPr>
        <w:t xml:space="preserve"> </w:t>
      </w:r>
      <w:r w:rsidR="00406536" w:rsidRPr="00A36415">
        <w:rPr>
          <w:rFonts w:ascii="David" w:hAnsi="David" w:cs="David"/>
          <w:b/>
          <w:bCs/>
          <w:sz w:val="24"/>
          <w:szCs w:val="24"/>
          <w:rtl/>
        </w:rPr>
        <w:t xml:space="preserve">מדינת ישראל נ' ראובן </w:t>
      </w:r>
      <w:r w:rsidR="00406536" w:rsidRPr="00A36415">
        <w:rPr>
          <w:rFonts w:ascii="David" w:hAnsi="David" w:cs="David"/>
          <w:sz w:val="24"/>
          <w:szCs w:val="24"/>
          <w:rtl/>
        </w:rPr>
        <w:t>(4.7.</w:t>
      </w:r>
      <w:r w:rsidR="00406536">
        <w:rPr>
          <w:rFonts w:ascii="David" w:hAnsi="David" w:cs="David" w:hint="cs"/>
          <w:sz w:val="24"/>
          <w:szCs w:val="24"/>
          <w:rtl/>
        </w:rPr>
        <w:t>2019</w:t>
      </w:r>
      <w:r w:rsidR="00406536" w:rsidRPr="00A36415">
        <w:rPr>
          <w:rFonts w:ascii="David" w:hAnsi="David" w:cs="David"/>
          <w:sz w:val="24"/>
          <w:szCs w:val="24"/>
          <w:rtl/>
        </w:rPr>
        <w:t>)</w:t>
      </w:r>
      <w:r w:rsidR="00406536">
        <w:rPr>
          <w:rFonts w:ascii="David" w:hAnsi="David" w:cs="David" w:hint="cs"/>
          <w:sz w:val="24"/>
          <w:szCs w:val="24"/>
          <w:rtl/>
        </w:rPr>
        <w:t xml:space="preserve"> </w:t>
      </w:r>
      <w:r w:rsidR="00406536" w:rsidRPr="00A36415">
        <w:rPr>
          <w:rFonts w:ascii="David" w:hAnsi="David" w:cs="David"/>
          <w:sz w:val="24"/>
          <w:szCs w:val="24"/>
          <w:rtl/>
        </w:rPr>
        <w:t xml:space="preserve">- הנאשם הורשע על פי הודאתו </w:t>
      </w:r>
      <w:r w:rsidR="00406536" w:rsidRPr="00AB6134">
        <w:rPr>
          <w:rFonts w:ascii="David" w:hAnsi="David" w:cs="David"/>
          <w:sz w:val="24"/>
          <w:szCs w:val="24"/>
          <w:rtl/>
        </w:rPr>
        <w:t>בעבירה של החזקת סם שלא לצריכה עצמית</w:t>
      </w:r>
      <w:r w:rsidR="00406536" w:rsidRPr="00A36415">
        <w:rPr>
          <w:rFonts w:ascii="David" w:hAnsi="David" w:cs="David"/>
          <w:sz w:val="24"/>
          <w:szCs w:val="24"/>
          <w:rtl/>
        </w:rPr>
        <w:t xml:space="preserve">, עת החזיק בביתו סם מסוכן </w:t>
      </w:r>
      <w:r w:rsidR="00406536">
        <w:rPr>
          <w:rFonts w:ascii="David" w:hAnsi="David" w:cs="David"/>
          <w:sz w:val="24"/>
          <w:szCs w:val="24"/>
          <w:rtl/>
        </w:rPr>
        <w:t>מסוג ק</w:t>
      </w:r>
      <w:r w:rsidR="00406536" w:rsidRPr="00AB6134">
        <w:rPr>
          <w:rFonts w:ascii="David" w:hAnsi="David" w:cs="David"/>
          <w:sz w:val="24"/>
          <w:szCs w:val="24"/>
          <w:rtl/>
        </w:rPr>
        <w:t>נביס</w:t>
      </w:r>
      <w:r w:rsidR="00406536" w:rsidRPr="00A36415">
        <w:rPr>
          <w:rFonts w:ascii="David" w:hAnsi="David" w:cs="David"/>
          <w:sz w:val="24"/>
          <w:szCs w:val="24"/>
          <w:rtl/>
        </w:rPr>
        <w:t xml:space="preserve">, במשקל של </w:t>
      </w:r>
      <w:r w:rsidR="00406536" w:rsidRPr="00A36415">
        <w:rPr>
          <w:rFonts w:ascii="David" w:hAnsi="David" w:cs="David"/>
          <w:b/>
          <w:bCs/>
          <w:sz w:val="24"/>
          <w:szCs w:val="24"/>
          <w:rtl/>
        </w:rPr>
        <w:t>1,090 גרם.</w:t>
      </w:r>
      <w:r w:rsidR="00406536" w:rsidRPr="00A36415">
        <w:rPr>
          <w:rFonts w:ascii="David" w:hAnsi="David" w:cs="David"/>
          <w:sz w:val="24"/>
          <w:szCs w:val="24"/>
          <w:rtl/>
        </w:rPr>
        <w:t xml:space="preserve"> הסם הוחזק במספר קופסאות כמו כן נתפס בארון בחדר השינה, סכום כסף מזומן בשיעור של 16,500 ₪. בית המשפט קבע כי </w:t>
      </w:r>
      <w:r w:rsidR="00406536" w:rsidRPr="00A36415">
        <w:rPr>
          <w:rFonts w:ascii="David" w:hAnsi="David" w:cs="David"/>
          <w:b/>
          <w:bCs/>
          <w:sz w:val="24"/>
          <w:szCs w:val="24"/>
          <w:rtl/>
        </w:rPr>
        <w:t>מתחם עונש הולם שנע בין מספר חודשים שיכול וירוצו בעבודות שירות ועד ל-12 חודשי מאסר בפועל.</w:t>
      </w:r>
      <w:r w:rsidR="00406536" w:rsidRPr="00A36415">
        <w:rPr>
          <w:rFonts w:ascii="David" w:hAnsi="David" w:cs="David"/>
          <w:sz w:val="24"/>
          <w:szCs w:val="24"/>
          <w:rtl/>
        </w:rPr>
        <w:t xml:space="preserve"> בית המשפט מצא למקום לסטות ממ</w:t>
      </w:r>
      <w:r w:rsidR="00406536">
        <w:rPr>
          <w:rFonts w:ascii="David" w:hAnsi="David" w:cs="David"/>
          <w:sz w:val="24"/>
          <w:szCs w:val="24"/>
          <w:rtl/>
        </w:rPr>
        <w:t>תחם העונש ההולם וגזר על הנאשם</w:t>
      </w:r>
      <w:r w:rsidR="00406536" w:rsidRPr="00A36415">
        <w:rPr>
          <w:rFonts w:ascii="David" w:hAnsi="David" w:cs="David"/>
          <w:sz w:val="24"/>
          <w:szCs w:val="24"/>
          <w:rtl/>
        </w:rPr>
        <w:t xml:space="preserve">, עונש של  צו של"צ בהיקף של 250 שעות, צו מבחן למשך שנה, מאסר על תנאי בן 6 חודשים למשך 3 שנים, קנס כספי בסך של 2,000 ₪ או 40 ימי מאסר תמורתם, חילוט על סך 8,500 ₪ לטובת קרן הסמים והתחייבות כספית בסך של 10,000 ₪ ל-3 שנים. </w:t>
      </w:r>
    </w:p>
    <w:p w14:paraId="42EC82FB" w14:textId="77777777" w:rsidR="00406536" w:rsidRPr="00A36415" w:rsidRDefault="00406536" w:rsidP="00406536">
      <w:pPr>
        <w:pStyle w:val="aa"/>
        <w:rPr>
          <w:rFonts w:ascii="David" w:hAnsi="David" w:cs="David"/>
          <w:sz w:val="24"/>
          <w:szCs w:val="24"/>
          <w:rtl/>
        </w:rPr>
      </w:pPr>
    </w:p>
    <w:p w14:paraId="0669A50A" w14:textId="77777777" w:rsidR="00406536" w:rsidRPr="00A36415" w:rsidRDefault="002E3DA7" w:rsidP="00406536">
      <w:pPr>
        <w:pStyle w:val="28"/>
        <w:numPr>
          <w:ilvl w:val="0"/>
          <w:numId w:val="3"/>
        </w:numPr>
        <w:snapToGrid/>
        <w:jc w:val="both"/>
        <w:rPr>
          <w:rFonts w:ascii="David" w:hAnsi="David"/>
        </w:rPr>
      </w:pPr>
      <w:hyperlink r:id="rId20" w:history="1">
        <w:r w:rsidRPr="002E3DA7">
          <w:rPr>
            <w:rFonts w:ascii="David" w:hAnsi="David"/>
            <w:color w:val="0000FF"/>
            <w:u w:val="single"/>
            <w:rtl/>
          </w:rPr>
          <w:t>ת"פ (רמלה) 54134-05-18</w:t>
        </w:r>
      </w:hyperlink>
      <w:r w:rsidR="00406536" w:rsidRPr="00EC3A63">
        <w:rPr>
          <w:rFonts w:ascii="David" w:hAnsi="David"/>
          <w:rtl/>
        </w:rPr>
        <w:t xml:space="preserve"> </w:t>
      </w:r>
      <w:r w:rsidR="00406536" w:rsidRPr="00EC3A63">
        <w:rPr>
          <w:rFonts w:ascii="David" w:hAnsi="David"/>
          <w:b/>
          <w:bCs/>
          <w:rtl/>
        </w:rPr>
        <w:t xml:space="preserve">מדינת ישראל נ' אבן לבן </w:t>
      </w:r>
      <w:r w:rsidR="00406536" w:rsidRPr="00EC3A63">
        <w:rPr>
          <w:rFonts w:ascii="David" w:hAnsi="David"/>
          <w:rtl/>
        </w:rPr>
        <w:t>(9.1.</w:t>
      </w:r>
      <w:r w:rsidR="00406536" w:rsidRPr="00EC3A63">
        <w:rPr>
          <w:rFonts w:ascii="David" w:hAnsi="David" w:hint="cs"/>
          <w:rtl/>
        </w:rPr>
        <w:t>2019</w:t>
      </w:r>
      <w:r w:rsidR="00406536" w:rsidRPr="00EC3A63">
        <w:rPr>
          <w:rFonts w:ascii="David" w:hAnsi="David"/>
          <w:rtl/>
        </w:rPr>
        <w:t>)</w:t>
      </w:r>
      <w:r w:rsidR="00406536">
        <w:rPr>
          <w:rFonts w:ascii="David" w:hAnsi="David" w:hint="cs"/>
          <w:rtl/>
        </w:rPr>
        <w:t xml:space="preserve"> </w:t>
      </w:r>
      <w:r w:rsidR="00406536" w:rsidRPr="00EC3A63">
        <w:rPr>
          <w:rFonts w:ascii="David" w:hAnsi="David"/>
          <w:rtl/>
        </w:rPr>
        <w:t>- הנאשם הורשע בעבירה של החזקת סם  שלא לצריכה עצמית</w:t>
      </w:r>
      <w:r w:rsidR="00406536">
        <w:rPr>
          <w:rFonts w:ascii="David" w:hAnsi="David" w:hint="cs"/>
          <w:rtl/>
        </w:rPr>
        <w:t>. הנאשם החזיק בדירתו,</w:t>
      </w:r>
      <w:r w:rsidR="00406536" w:rsidRPr="00EC3A63">
        <w:rPr>
          <w:rFonts w:ascii="David" w:hAnsi="David"/>
          <w:rtl/>
        </w:rPr>
        <w:t xml:space="preserve"> קופסה המכילה זרעי סם מסוכן מסוג קנבוס במשקל של 1.210 ק"ג ברוטו כשהוא מחולק ל-231 שקיות. בנוסף, החזיק הנאשם בחדרו זרעי סם במשקל נטו של 23.7 גרם כשהוא מחולק ל-6 שקיות. לאחר שמיעת הראיות, הנאשם הורשע בעבירה שיוחסה לו בכתב האישום. בנוסף, במסגרת הכרעת הדין, נקבע כממצא עובדתי שהזרעים של הקנבוס שנתפסו בדירה הם במשקל כולל של</w:t>
      </w:r>
      <w:r w:rsidR="00406536" w:rsidRPr="00EC3A63">
        <w:rPr>
          <w:rFonts w:ascii="David" w:hAnsi="David"/>
          <w:b/>
          <w:bCs/>
          <w:rtl/>
        </w:rPr>
        <w:t xml:space="preserve"> 1,017 גרם נטו</w:t>
      </w:r>
      <w:r w:rsidR="00406536" w:rsidRPr="00EC3A63">
        <w:rPr>
          <w:rFonts w:ascii="David" w:hAnsi="David"/>
          <w:rtl/>
        </w:rPr>
        <w:t xml:space="preserve">. </w:t>
      </w:r>
      <w:r w:rsidR="00406536" w:rsidRPr="00EC3A63">
        <w:rPr>
          <w:rFonts w:ascii="David" w:hAnsi="David"/>
          <w:b/>
          <w:bCs/>
          <w:rtl/>
        </w:rPr>
        <w:t>בית המשפט קבע כי מתחם העונש ההולם לעבירה שבוצעה על ידי הנאשם נע בין 4 ועד 12 חודשי מאסר בפועל, בצירוף מאסר על תנאי, קנס ופסילת רישיון נהיגה, בין בפועל ובין על תנאי.</w:t>
      </w:r>
      <w:r w:rsidR="00406536" w:rsidRPr="00EC3A63">
        <w:rPr>
          <w:rFonts w:ascii="David" w:hAnsi="David"/>
          <w:rtl/>
        </w:rPr>
        <w:t xml:space="preserve"> </w:t>
      </w:r>
      <w:r w:rsidR="00406536">
        <w:rPr>
          <w:rFonts w:ascii="David" w:hAnsi="David" w:hint="cs"/>
          <w:rtl/>
        </w:rPr>
        <w:t>בית המשפט גזר על הנאשם</w:t>
      </w:r>
      <w:r w:rsidR="00406536" w:rsidRPr="00EC3A63">
        <w:rPr>
          <w:rFonts w:ascii="David" w:hAnsi="David"/>
          <w:rtl/>
        </w:rPr>
        <w:t xml:space="preserve"> עונש של 8 חודשי מאסר בפועל, הפעלת המאסר על תנאי בן 5 חודשים כך שהנאשם ירצה ס</w:t>
      </w:r>
      <w:r w:rsidR="00406536">
        <w:rPr>
          <w:rFonts w:ascii="David" w:hAnsi="David"/>
          <w:rtl/>
        </w:rPr>
        <w:t>ה"כ 13 חודשים בניכוי ימי מעצרו</w:t>
      </w:r>
      <w:r w:rsidR="00406536">
        <w:rPr>
          <w:rFonts w:ascii="David" w:hAnsi="David" w:hint="cs"/>
          <w:rtl/>
        </w:rPr>
        <w:t xml:space="preserve"> וענישה נלווית. </w:t>
      </w:r>
    </w:p>
    <w:p w14:paraId="1DED198C" w14:textId="77777777" w:rsidR="00406536" w:rsidRPr="00A36415" w:rsidRDefault="00406536" w:rsidP="00406536">
      <w:pPr>
        <w:pStyle w:val="aa"/>
        <w:jc w:val="both"/>
        <w:rPr>
          <w:rFonts w:ascii="David" w:hAnsi="David" w:cs="David"/>
          <w:sz w:val="24"/>
          <w:szCs w:val="24"/>
        </w:rPr>
      </w:pPr>
    </w:p>
    <w:p w14:paraId="2BF9CA15" w14:textId="77777777" w:rsidR="00406536" w:rsidRDefault="002E3DA7" w:rsidP="00406536">
      <w:pPr>
        <w:pStyle w:val="aa"/>
        <w:numPr>
          <w:ilvl w:val="0"/>
          <w:numId w:val="3"/>
        </w:numPr>
        <w:spacing w:after="120" w:line="360" w:lineRule="auto"/>
        <w:jc w:val="both"/>
        <w:rPr>
          <w:rFonts w:ascii="David" w:hAnsi="David" w:cs="David"/>
          <w:sz w:val="24"/>
          <w:szCs w:val="24"/>
        </w:rPr>
      </w:pPr>
      <w:hyperlink r:id="rId21" w:history="1">
        <w:r w:rsidRPr="002E3DA7">
          <w:rPr>
            <w:rFonts w:ascii="David" w:hAnsi="David" w:cs="David"/>
            <w:color w:val="0000FF"/>
            <w:sz w:val="24"/>
            <w:szCs w:val="24"/>
            <w:u w:val="single"/>
            <w:rtl/>
          </w:rPr>
          <w:t>ת"פ (תל-אביב) 62105-06-19</w:t>
        </w:r>
      </w:hyperlink>
      <w:r w:rsidR="00406536" w:rsidRPr="00A36415">
        <w:rPr>
          <w:rFonts w:ascii="David" w:hAnsi="David" w:cs="David"/>
          <w:sz w:val="24"/>
          <w:szCs w:val="24"/>
          <w:rtl/>
        </w:rPr>
        <w:t xml:space="preserve"> </w:t>
      </w:r>
      <w:r w:rsidR="00406536" w:rsidRPr="00A36415">
        <w:rPr>
          <w:rFonts w:ascii="David" w:hAnsi="David" w:cs="David"/>
          <w:b/>
          <w:bCs/>
          <w:sz w:val="24"/>
          <w:szCs w:val="24"/>
          <w:rtl/>
        </w:rPr>
        <w:t xml:space="preserve">מדינת ישראל נ' נוסוייב </w:t>
      </w:r>
      <w:r w:rsidR="00406536" w:rsidRPr="00A36415">
        <w:rPr>
          <w:rFonts w:ascii="David" w:hAnsi="David" w:cs="David"/>
          <w:sz w:val="24"/>
          <w:szCs w:val="24"/>
          <w:rtl/>
        </w:rPr>
        <w:t>(11.7.</w:t>
      </w:r>
      <w:r w:rsidR="00406536">
        <w:rPr>
          <w:rFonts w:ascii="David" w:hAnsi="David" w:cs="David" w:hint="cs"/>
          <w:sz w:val="24"/>
          <w:szCs w:val="24"/>
          <w:rtl/>
        </w:rPr>
        <w:t>2021</w:t>
      </w:r>
      <w:r w:rsidR="00406536" w:rsidRPr="00A36415">
        <w:rPr>
          <w:rFonts w:ascii="David" w:hAnsi="David" w:cs="David"/>
          <w:sz w:val="24"/>
          <w:szCs w:val="24"/>
          <w:rtl/>
        </w:rPr>
        <w:t>)</w:t>
      </w:r>
      <w:r w:rsidR="00406536">
        <w:rPr>
          <w:rFonts w:ascii="David" w:hAnsi="David" w:cs="David" w:hint="cs"/>
          <w:sz w:val="24"/>
          <w:szCs w:val="24"/>
          <w:rtl/>
        </w:rPr>
        <w:t xml:space="preserve"> </w:t>
      </w:r>
      <w:r w:rsidR="00406536" w:rsidRPr="00A36415">
        <w:rPr>
          <w:rFonts w:ascii="David" w:hAnsi="David" w:cs="David"/>
          <w:sz w:val="24"/>
          <w:szCs w:val="24"/>
          <w:rtl/>
        </w:rPr>
        <w:t>- הנאשם הורשע על פי הודאתו</w:t>
      </w:r>
      <w:r w:rsidR="00406536" w:rsidRPr="00305A76">
        <w:rPr>
          <w:rFonts w:ascii="David" w:hAnsi="David" w:cs="David"/>
          <w:sz w:val="24"/>
          <w:szCs w:val="24"/>
          <w:rtl/>
        </w:rPr>
        <w:t>, בעבירות של החזקת סם שלא לצריכה עצמית והחזקת כלים שלא לצריכה עצמית.</w:t>
      </w:r>
      <w:r w:rsidR="00406536" w:rsidRPr="00A36415">
        <w:rPr>
          <w:rFonts w:ascii="David" w:hAnsi="David" w:cs="David"/>
          <w:sz w:val="24"/>
          <w:szCs w:val="24"/>
          <w:rtl/>
        </w:rPr>
        <w:t xml:space="preserve"> הנאשם החזיק במחסן בדירתו באור יהודה כלים להכנת סמים, ובין היתר 8 מפוחים, 26 שנאים, סוללות גיבוי, נורות, בתי מנורה, דליים ואדניות שחורות, לצד החזקת קנביס במשקל של </w:t>
      </w:r>
      <w:r w:rsidR="00406536" w:rsidRPr="00A36415">
        <w:rPr>
          <w:rFonts w:ascii="David" w:hAnsi="David" w:cs="David"/>
          <w:b/>
          <w:bCs/>
          <w:sz w:val="24"/>
          <w:szCs w:val="24"/>
          <w:rtl/>
        </w:rPr>
        <w:t>146 גרם</w:t>
      </w:r>
      <w:r w:rsidR="00406536" w:rsidRPr="00A36415">
        <w:rPr>
          <w:rFonts w:ascii="David" w:hAnsi="David" w:cs="David"/>
          <w:sz w:val="24"/>
          <w:szCs w:val="24"/>
          <w:rtl/>
        </w:rPr>
        <w:t xml:space="preserve"> שלא לצריכה עצמית. בנוסף, הנאשם החזיק בתוך מזוודה על גבי גג הפרגולה בקומה השנייה של הדירה סם נוסף מסוג קנביס במשקל כולל של </w:t>
      </w:r>
      <w:r w:rsidR="00406536" w:rsidRPr="00A36415">
        <w:rPr>
          <w:rFonts w:ascii="David" w:hAnsi="David" w:cs="David"/>
          <w:b/>
          <w:bCs/>
          <w:sz w:val="24"/>
          <w:szCs w:val="24"/>
          <w:rtl/>
        </w:rPr>
        <w:t>1.2 ק"ג</w:t>
      </w:r>
      <w:r w:rsidR="00406536" w:rsidRPr="00A36415">
        <w:rPr>
          <w:rFonts w:ascii="David" w:hAnsi="David" w:cs="David"/>
          <w:sz w:val="24"/>
          <w:szCs w:val="24"/>
          <w:rtl/>
        </w:rPr>
        <w:t xml:space="preserve"> שלא לצריכה עצמית לצד משקל אלקטרוני.  </w:t>
      </w:r>
      <w:r w:rsidR="00406536" w:rsidRPr="00A36415">
        <w:rPr>
          <w:rFonts w:ascii="David" w:hAnsi="David" w:cs="David"/>
          <w:b/>
          <w:bCs/>
          <w:sz w:val="24"/>
          <w:szCs w:val="24"/>
          <w:rtl/>
        </w:rPr>
        <w:t>בית המשפט קבע כי מתחם עונש הולם שנע בין מאסר שיכול וירוצה בעבודות שירות ועד ל 12 חודשי מאסר לריצוי בפועל לצד ענישה נלוות</w:t>
      </w:r>
      <w:r w:rsidR="00406536" w:rsidRPr="00A36415">
        <w:rPr>
          <w:rFonts w:ascii="David" w:hAnsi="David" w:cs="David"/>
          <w:sz w:val="24"/>
          <w:szCs w:val="24"/>
          <w:rtl/>
        </w:rPr>
        <w:t xml:space="preserve">. בית המשפט </w:t>
      </w:r>
      <w:r w:rsidR="00406536">
        <w:rPr>
          <w:rFonts w:ascii="David" w:hAnsi="David" w:cs="David" w:hint="cs"/>
          <w:sz w:val="24"/>
          <w:szCs w:val="24"/>
          <w:rtl/>
        </w:rPr>
        <w:t>גזר על הנאשם</w:t>
      </w:r>
      <w:r w:rsidR="00406536" w:rsidRPr="00A36415">
        <w:rPr>
          <w:rFonts w:ascii="David" w:hAnsi="David" w:cs="David"/>
          <w:sz w:val="24"/>
          <w:szCs w:val="24"/>
          <w:rtl/>
        </w:rPr>
        <w:t xml:space="preserve"> עונש של  120 ימי מאסר, בניכוי ימי המעצר</w:t>
      </w:r>
      <w:r w:rsidR="00406536">
        <w:rPr>
          <w:rFonts w:ascii="David" w:hAnsi="David" w:cs="David"/>
          <w:sz w:val="24"/>
          <w:szCs w:val="24"/>
          <w:rtl/>
        </w:rPr>
        <w:t xml:space="preserve"> , שירוצו בדרך של עבודות שירות</w:t>
      </w:r>
      <w:r w:rsidR="00406536">
        <w:rPr>
          <w:rFonts w:ascii="David" w:hAnsi="David" w:cs="David" w:hint="cs"/>
          <w:sz w:val="24"/>
          <w:szCs w:val="24"/>
          <w:rtl/>
        </w:rPr>
        <w:t xml:space="preserve"> לצד ענישה נלווית. </w:t>
      </w:r>
    </w:p>
    <w:p w14:paraId="28CA4047" w14:textId="77777777" w:rsidR="00406536" w:rsidRPr="00A36415" w:rsidRDefault="00406536" w:rsidP="00406536">
      <w:pPr>
        <w:pStyle w:val="aa"/>
        <w:rPr>
          <w:rFonts w:ascii="David" w:hAnsi="David" w:cs="David"/>
          <w:sz w:val="24"/>
          <w:szCs w:val="24"/>
          <w:rtl/>
        </w:rPr>
      </w:pPr>
    </w:p>
    <w:p w14:paraId="7210A38E" w14:textId="77777777" w:rsidR="00406536" w:rsidRDefault="002E3DA7" w:rsidP="00406536">
      <w:pPr>
        <w:pStyle w:val="aa"/>
        <w:numPr>
          <w:ilvl w:val="0"/>
          <w:numId w:val="3"/>
        </w:numPr>
        <w:spacing w:after="120" w:line="360" w:lineRule="auto"/>
        <w:jc w:val="both"/>
        <w:rPr>
          <w:rFonts w:ascii="David" w:hAnsi="David" w:cs="David"/>
          <w:sz w:val="24"/>
          <w:szCs w:val="24"/>
        </w:rPr>
      </w:pPr>
      <w:hyperlink r:id="rId22" w:history="1">
        <w:r w:rsidRPr="002E3DA7">
          <w:rPr>
            <w:rFonts w:ascii="David" w:hAnsi="David" w:cs="David"/>
            <w:color w:val="0000FF"/>
            <w:sz w:val="24"/>
            <w:szCs w:val="24"/>
            <w:u w:val="single"/>
            <w:rtl/>
          </w:rPr>
          <w:t>ת"פ (תל-אביב) 1062-06-18</w:t>
        </w:r>
      </w:hyperlink>
      <w:r w:rsidR="00406536" w:rsidRPr="00A36415">
        <w:rPr>
          <w:rFonts w:ascii="David" w:hAnsi="David" w:cs="David"/>
          <w:sz w:val="24"/>
          <w:szCs w:val="24"/>
          <w:rtl/>
        </w:rPr>
        <w:t xml:space="preserve"> </w:t>
      </w:r>
      <w:r w:rsidR="00406536" w:rsidRPr="00A36415">
        <w:rPr>
          <w:rFonts w:ascii="David" w:hAnsi="David" w:cs="David"/>
          <w:b/>
          <w:bCs/>
          <w:sz w:val="24"/>
          <w:szCs w:val="24"/>
          <w:rtl/>
        </w:rPr>
        <w:t xml:space="preserve">מדינת ישראל נ' קוטלובסקי </w:t>
      </w:r>
      <w:r w:rsidR="00406536" w:rsidRPr="00A36415">
        <w:rPr>
          <w:rFonts w:ascii="David" w:hAnsi="David" w:cs="David"/>
          <w:sz w:val="24"/>
          <w:szCs w:val="24"/>
          <w:rtl/>
        </w:rPr>
        <w:t>(23.12.</w:t>
      </w:r>
      <w:r w:rsidR="00406536">
        <w:rPr>
          <w:rFonts w:ascii="David" w:hAnsi="David" w:cs="David" w:hint="cs"/>
          <w:sz w:val="24"/>
          <w:szCs w:val="24"/>
          <w:rtl/>
        </w:rPr>
        <w:t>2019</w:t>
      </w:r>
      <w:r w:rsidR="00406536" w:rsidRPr="00A36415">
        <w:rPr>
          <w:rFonts w:ascii="David" w:hAnsi="David" w:cs="David"/>
          <w:sz w:val="24"/>
          <w:szCs w:val="24"/>
          <w:rtl/>
        </w:rPr>
        <w:t>)</w:t>
      </w:r>
      <w:r w:rsidR="00406536">
        <w:rPr>
          <w:rFonts w:ascii="David" w:hAnsi="David" w:cs="David" w:hint="cs"/>
          <w:sz w:val="24"/>
          <w:szCs w:val="24"/>
          <w:rtl/>
        </w:rPr>
        <w:t xml:space="preserve"> </w:t>
      </w:r>
      <w:r w:rsidR="00406536" w:rsidRPr="00A36415">
        <w:rPr>
          <w:rFonts w:ascii="David" w:hAnsi="David" w:cs="David"/>
          <w:sz w:val="24"/>
          <w:szCs w:val="24"/>
          <w:rtl/>
        </w:rPr>
        <w:t xml:space="preserve">- הנאשמת הורשעה עפ"י הודאתה, </w:t>
      </w:r>
      <w:r w:rsidR="00406536" w:rsidRPr="00AB6134">
        <w:rPr>
          <w:rFonts w:ascii="David" w:hAnsi="David" w:cs="David"/>
          <w:sz w:val="24"/>
          <w:szCs w:val="24"/>
          <w:rtl/>
        </w:rPr>
        <w:t>בעבירה של החזקת סם שלא לצריכה עצמית</w:t>
      </w:r>
      <w:r w:rsidR="00406536" w:rsidRPr="00A36415">
        <w:rPr>
          <w:rFonts w:ascii="David" w:hAnsi="David" w:cs="David"/>
          <w:sz w:val="24"/>
          <w:szCs w:val="24"/>
          <w:rtl/>
        </w:rPr>
        <w:t xml:space="preserve">. במסגרת כתב האישום כי ביום 24.5.18, החזיקה הנאשמת מתחת למיטתה שבדירתה ברמת גן, במזוודה אשר הכילה סם מסוכן </w:t>
      </w:r>
      <w:r w:rsidR="00406536" w:rsidRPr="00AB6134">
        <w:rPr>
          <w:rFonts w:ascii="David" w:hAnsi="David" w:cs="David"/>
          <w:sz w:val="24"/>
          <w:szCs w:val="24"/>
          <w:rtl/>
        </w:rPr>
        <w:t>מסוג קנביס במשקל</w:t>
      </w:r>
      <w:r w:rsidR="00406536" w:rsidRPr="00A36415">
        <w:rPr>
          <w:rFonts w:ascii="David" w:hAnsi="David" w:cs="David"/>
          <w:sz w:val="24"/>
          <w:szCs w:val="24"/>
          <w:rtl/>
        </w:rPr>
        <w:t xml:space="preserve"> כולל של</w:t>
      </w:r>
      <w:r w:rsidR="00406536" w:rsidRPr="00A36415">
        <w:rPr>
          <w:rFonts w:ascii="David" w:hAnsi="David" w:cs="David"/>
          <w:b/>
          <w:bCs/>
          <w:sz w:val="24"/>
          <w:szCs w:val="24"/>
          <w:rtl/>
        </w:rPr>
        <w:t xml:space="preserve"> 1.5 ק"ג</w:t>
      </w:r>
      <w:r w:rsidR="00406536" w:rsidRPr="00A36415">
        <w:rPr>
          <w:rFonts w:ascii="David" w:hAnsi="David" w:cs="David"/>
          <w:sz w:val="24"/>
          <w:szCs w:val="24"/>
          <w:rtl/>
        </w:rPr>
        <w:t xml:space="preserve">, מחולק לקופסאות ול-180 יחידות, ללא היתר כדין. </w:t>
      </w:r>
      <w:r w:rsidR="00406536" w:rsidRPr="00A36415">
        <w:rPr>
          <w:rFonts w:ascii="David" w:hAnsi="David" w:cs="David"/>
          <w:b/>
          <w:bCs/>
          <w:sz w:val="24"/>
          <w:szCs w:val="24"/>
          <w:rtl/>
        </w:rPr>
        <w:t>בית המשפט קבע כי מתחם עונש הולם נע בין מאסר שיכול וירוצה בדרך של עבודות שירות ועד ל-12 חודשי מאסר בפועל לצד ענישה נלווית.</w:t>
      </w:r>
      <w:r w:rsidR="00406536" w:rsidRPr="00A36415">
        <w:rPr>
          <w:rFonts w:ascii="David" w:hAnsi="David" w:cs="David"/>
          <w:sz w:val="24"/>
          <w:szCs w:val="24"/>
          <w:rtl/>
        </w:rPr>
        <w:t xml:space="preserve"> </w:t>
      </w:r>
      <w:r w:rsidR="00406536">
        <w:rPr>
          <w:rFonts w:ascii="David" w:hAnsi="David" w:cs="David" w:hint="cs"/>
          <w:sz w:val="24"/>
          <w:szCs w:val="24"/>
          <w:rtl/>
        </w:rPr>
        <w:t>בית המשפט גזר על הנאשמת</w:t>
      </w:r>
      <w:r w:rsidR="00406536" w:rsidRPr="00A36415">
        <w:rPr>
          <w:rFonts w:ascii="David" w:hAnsi="David" w:cs="David"/>
          <w:sz w:val="24"/>
          <w:szCs w:val="24"/>
          <w:rtl/>
        </w:rPr>
        <w:t xml:space="preserve"> עונש של 60 ימי מאסר שירוצו בדרך של עבודות שירות, </w:t>
      </w:r>
      <w:r w:rsidR="00406536">
        <w:rPr>
          <w:rFonts w:ascii="David" w:hAnsi="David" w:cs="David" w:hint="cs"/>
          <w:sz w:val="24"/>
          <w:szCs w:val="24"/>
          <w:rtl/>
        </w:rPr>
        <w:t xml:space="preserve">לצד ענישה נלווית. </w:t>
      </w:r>
    </w:p>
    <w:p w14:paraId="035F6E88" w14:textId="77777777" w:rsidR="00406536" w:rsidRPr="00D475E0" w:rsidRDefault="00406536" w:rsidP="00406536">
      <w:pPr>
        <w:pStyle w:val="aa"/>
        <w:rPr>
          <w:rFonts w:ascii="David" w:hAnsi="David" w:cs="David"/>
          <w:sz w:val="24"/>
          <w:szCs w:val="24"/>
          <w:rtl/>
        </w:rPr>
      </w:pPr>
    </w:p>
    <w:p w14:paraId="7F201944" w14:textId="77777777" w:rsidR="00406536" w:rsidRDefault="00406536" w:rsidP="00406536">
      <w:pPr>
        <w:pStyle w:val="aa"/>
        <w:numPr>
          <w:ilvl w:val="0"/>
          <w:numId w:val="3"/>
        </w:numPr>
        <w:spacing w:after="120" w:line="360" w:lineRule="auto"/>
        <w:jc w:val="both"/>
        <w:rPr>
          <w:rFonts w:ascii="David" w:hAnsi="David" w:cs="David"/>
          <w:sz w:val="24"/>
          <w:szCs w:val="24"/>
        </w:rPr>
      </w:pPr>
      <w:r w:rsidRPr="00D475E0">
        <w:rPr>
          <w:rFonts w:ascii="David" w:hAnsi="David" w:cs="David"/>
          <w:sz w:val="24"/>
          <w:szCs w:val="24"/>
          <w:rtl/>
        </w:rPr>
        <w:t xml:space="preserve">עיינתי אף בפסיקה שהוגשה ע"י המאשימה, </w:t>
      </w:r>
      <w:hyperlink r:id="rId23" w:history="1">
        <w:r w:rsidR="002E3DA7" w:rsidRPr="002E3DA7">
          <w:rPr>
            <w:rFonts w:ascii="David" w:hAnsi="David" w:cs="David"/>
            <w:color w:val="0000FF"/>
            <w:sz w:val="24"/>
            <w:szCs w:val="24"/>
            <w:u w:val="single"/>
            <w:rtl/>
          </w:rPr>
          <w:t>ת"פ 9933-08-20</w:t>
        </w:r>
      </w:hyperlink>
      <w:r w:rsidRPr="00D475E0">
        <w:rPr>
          <w:rFonts w:ascii="David" w:hAnsi="David" w:cs="David"/>
          <w:sz w:val="24"/>
          <w:szCs w:val="24"/>
          <w:rtl/>
        </w:rPr>
        <w:t xml:space="preserve"> </w:t>
      </w:r>
      <w:r w:rsidRPr="00D475E0">
        <w:rPr>
          <w:rFonts w:ascii="David" w:hAnsi="David" w:cs="David"/>
          <w:b/>
          <w:bCs/>
          <w:sz w:val="24"/>
          <w:szCs w:val="24"/>
          <w:rtl/>
        </w:rPr>
        <w:t>מדינת ישראל נ' טדלה</w:t>
      </w:r>
      <w:r w:rsidRPr="00D475E0">
        <w:rPr>
          <w:rFonts w:ascii="David" w:hAnsi="David" w:cs="David"/>
          <w:sz w:val="24"/>
          <w:szCs w:val="24"/>
          <w:rtl/>
        </w:rPr>
        <w:t xml:space="preserve">, הורשע הנאשם בהחזקת סם שלא לצריכה עצמית מסוג קנבוס בתיק גב, במשקל כולל של 1.300 גרם. </w:t>
      </w:r>
      <w:r w:rsidRPr="00092076">
        <w:rPr>
          <w:rFonts w:ascii="David" w:hAnsi="David" w:cs="David"/>
          <w:b/>
          <w:bCs/>
          <w:sz w:val="24"/>
          <w:szCs w:val="24"/>
          <w:rtl/>
        </w:rPr>
        <w:t xml:space="preserve">בית משפט קבע מתחם ענישה </w:t>
      </w:r>
      <w:r w:rsidRPr="00092076">
        <w:rPr>
          <w:rFonts w:ascii="David" w:hAnsi="David" w:cs="David" w:hint="cs"/>
          <w:b/>
          <w:bCs/>
          <w:sz w:val="24"/>
          <w:szCs w:val="24"/>
          <w:rtl/>
        </w:rPr>
        <w:t>שנע בין 6 חודשי מאסר ל-18 חודשים וגזר על הנאשם 12 חודשי מאסר והפעלת מאסר מותנה בן 6 חודשים במצטבר.</w:t>
      </w:r>
      <w:r>
        <w:rPr>
          <w:rFonts w:ascii="David" w:hAnsi="David" w:cs="David" w:hint="cs"/>
          <w:sz w:val="24"/>
          <w:szCs w:val="24"/>
          <w:rtl/>
        </w:rPr>
        <w:t xml:space="preserve"> </w:t>
      </w:r>
    </w:p>
    <w:p w14:paraId="0D7638F2" w14:textId="77777777" w:rsidR="00406536" w:rsidRPr="008A4AA5" w:rsidRDefault="00406536" w:rsidP="00406536">
      <w:pPr>
        <w:pStyle w:val="aa"/>
        <w:rPr>
          <w:rFonts w:ascii="David" w:hAnsi="David" w:cs="David"/>
          <w:sz w:val="24"/>
          <w:szCs w:val="24"/>
          <w:rtl/>
        </w:rPr>
      </w:pPr>
    </w:p>
    <w:p w14:paraId="0B735D7B" w14:textId="77777777" w:rsidR="00406536" w:rsidRDefault="00406536" w:rsidP="00406536">
      <w:pPr>
        <w:spacing w:after="160" w:line="360" w:lineRule="auto"/>
        <w:jc w:val="both"/>
        <w:rPr>
          <w:rFonts w:ascii="David" w:hAnsi="David"/>
          <w:b/>
          <w:bCs/>
          <w:rtl/>
        </w:rPr>
      </w:pPr>
      <w:r>
        <w:rPr>
          <w:rFonts w:ascii="David" w:hAnsi="David"/>
          <w:rtl/>
        </w:rPr>
        <w:t xml:space="preserve">בשים לב לנסיבות ביצוע העבירה במקרה זה, הכמות, ההחזקה ברכבו של הנאשם, וכי לא נמצא ציוד נוסף או כל אינדיקציה ברורה להפצה, אני קובעת </w:t>
      </w:r>
      <w:r>
        <w:rPr>
          <w:rFonts w:ascii="David" w:hAnsi="David"/>
          <w:b/>
          <w:bCs/>
          <w:rtl/>
        </w:rPr>
        <w:t xml:space="preserve">שמתחם העונש ההולם נע </w:t>
      </w:r>
      <w:r>
        <w:rPr>
          <w:rFonts w:ascii="David" w:hAnsi="David" w:hint="cs"/>
          <w:b/>
          <w:bCs/>
          <w:rtl/>
        </w:rPr>
        <w:t xml:space="preserve">מ-4 חודשי מאסר שניתן לרצות בעבודות שירות ועד 12 חודשי מאסר בפועל, לצד ענישה נלווית. </w:t>
      </w:r>
    </w:p>
    <w:p w14:paraId="63D5E8AF" w14:textId="77777777" w:rsidR="00406536" w:rsidRDefault="00406536" w:rsidP="00406536">
      <w:pPr>
        <w:spacing w:line="360" w:lineRule="auto"/>
        <w:jc w:val="both"/>
        <w:rPr>
          <w:rFonts w:ascii="David" w:hAnsi="David"/>
          <w:b/>
          <w:bCs/>
          <w:rtl/>
        </w:rPr>
      </w:pPr>
    </w:p>
    <w:p w14:paraId="204C79D6" w14:textId="77777777" w:rsidR="00406536" w:rsidRDefault="00406536" w:rsidP="00406536">
      <w:pPr>
        <w:spacing w:line="360" w:lineRule="auto"/>
        <w:jc w:val="both"/>
        <w:rPr>
          <w:b/>
          <w:bCs/>
          <w:u w:val="single"/>
        </w:rPr>
      </w:pPr>
      <w:r>
        <w:rPr>
          <w:b/>
          <w:bCs/>
          <w:u w:val="single"/>
          <w:rtl/>
        </w:rPr>
        <w:t>שיקולי שיקום – סטייה לקולא</w:t>
      </w:r>
    </w:p>
    <w:p w14:paraId="30EACEAD" w14:textId="77777777" w:rsidR="00406536" w:rsidRDefault="00406536" w:rsidP="00406536">
      <w:pPr>
        <w:spacing w:line="360" w:lineRule="auto"/>
        <w:jc w:val="both"/>
        <w:rPr>
          <w:b/>
          <w:bCs/>
          <w:rtl/>
        </w:rPr>
      </w:pPr>
    </w:p>
    <w:p w14:paraId="3B0784B6" w14:textId="77777777" w:rsidR="00406536" w:rsidRDefault="002029BD" w:rsidP="00406536">
      <w:pPr>
        <w:spacing w:line="360" w:lineRule="auto"/>
        <w:jc w:val="both"/>
      </w:pPr>
      <w:hyperlink r:id="rId24" w:history="1">
        <w:r w:rsidRPr="002029BD">
          <w:rPr>
            <w:rStyle w:val="Hyperlink"/>
            <w:rtl/>
          </w:rPr>
          <w:t>סעיף 40ד'(א)</w:t>
        </w:r>
      </w:hyperlink>
      <w:r w:rsidR="00406536">
        <w:rPr>
          <w:rtl/>
        </w:rPr>
        <w:t xml:space="preserve"> ל</w:t>
      </w:r>
      <w:hyperlink r:id="rId25" w:history="1">
        <w:r w:rsidR="002E3DA7" w:rsidRPr="002E3DA7">
          <w:rPr>
            <w:color w:val="0000FF"/>
            <w:u w:val="single"/>
            <w:rtl/>
          </w:rPr>
          <w:t>חוק העונשין</w:t>
        </w:r>
      </w:hyperlink>
      <w:r w:rsidR="00406536">
        <w:rPr>
          <w:rtl/>
        </w:rPr>
        <w:t>, מאפשר לבית המשפט לשקול חריגה לקולא מן המתחם ההולם שנקבע לעבירה המיוחסת</w:t>
      </w:r>
      <w:r w:rsidR="00406536">
        <w:rPr>
          <w:rFonts w:hint="cs"/>
          <w:rtl/>
        </w:rPr>
        <w:t>.</w:t>
      </w:r>
      <w:r w:rsidR="00406536">
        <w:rPr>
          <w:rtl/>
        </w:rPr>
        <w:t xml:space="preserve"> </w:t>
      </w:r>
      <w:r w:rsidR="00406536">
        <w:rPr>
          <w:rFonts w:hint="cs"/>
          <w:rtl/>
        </w:rPr>
        <w:t>נקבע כי ה</w:t>
      </w:r>
      <w:r w:rsidR="00406536">
        <w:rPr>
          <w:rtl/>
        </w:rPr>
        <w:t>שימוש בסעיף זה יהא במשורה ורק אם מצא</w:t>
      </w:r>
      <w:r w:rsidR="00406536">
        <w:rPr>
          <w:rFonts w:hint="cs"/>
          <w:rtl/>
        </w:rPr>
        <w:t>,</w:t>
      </w:r>
      <w:r w:rsidR="00406536">
        <w:rPr>
          <w:rtl/>
        </w:rPr>
        <w:t xml:space="preserve"> כי הנאשם השתקם</w:t>
      </w:r>
      <w:r w:rsidR="00406536">
        <w:rPr>
          <w:rFonts w:hint="cs"/>
          <w:rtl/>
        </w:rPr>
        <w:t xml:space="preserve"> </w:t>
      </w:r>
      <w:r w:rsidR="00406536">
        <w:rPr>
          <w:rtl/>
        </w:rPr>
        <w:t>או שסיכוייו להשתקם הינו ממשי (</w:t>
      </w:r>
      <w:hyperlink r:id="rId26" w:history="1">
        <w:r w:rsidR="002E3DA7" w:rsidRPr="002E3DA7">
          <w:rPr>
            <w:color w:val="0000FF"/>
            <w:u w:val="single"/>
            <w:rtl/>
          </w:rPr>
          <w:t>ע"פ 7757/21</w:t>
        </w:r>
      </w:hyperlink>
      <w:r w:rsidR="00406536">
        <w:rPr>
          <w:rtl/>
        </w:rPr>
        <w:t xml:space="preserve"> </w:t>
      </w:r>
      <w:r w:rsidR="00406536">
        <w:rPr>
          <w:b/>
          <w:bCs/>
          <w:rtl/>
        </w:rPr>
        <w:t>מרזוקי נ' מדינת ישראל</w:t>
      </w:r>
      <w:r w:rsidR="00406536">
        <w:rPr>
          <w:rtl/>
        </w:rPr>
        <w:t xml:space="preserve"> (24.05.2022). ועוד</w:t>
      </w:r>
      <w:r w:rsidR="00406536">
        <w:rPr>
          <w:rFonts w:hint="cs"/>
          <w:rtl/>
        </w:rPr>
        <w:t xml:space="preserve"> נאמר בעניין זה, כי</w:t>
      </w:r>
      <w:r w:rsidR="00406536">
        <w:rPr>
          <w:rtl/>
        </w:rPr>
        <w:t xml:space="preserve"> החריגה תעשה רק מקום ש</w:t>
      </w:r>
      <w:r w:rsidR="00406536">
        <w:rPr>
          <w:b/>
          <w:bCs/>
          <w:rtl/>
        </w:rPr>
        <w:t>"ניכרים בפועל"</w:t>
      </w:r>
      <w:r w:rsidR="00406536">
        <w:rPr>
          <w:rtl/>
        </w:rPr>
        <w:t xml:space="preserve"> אותו שיקום או סיכוי (ראה </w:t>
      </w:r>
      <w:hyperlink r:id="rId27" w:history="1">
        <w:r w:rsidR="002E3DA7" w:rsidRPr="002E3DA7">
          <w:rPr>
            <w:color w:val="0000FF"/>
            <w:u w:val="single"/>
            <w:rtl/>
          </w:rPr>
          <w:t>ע"פ 671/22</w:t>
        </w:r>
      </w:hyperlink>
      <w:r w:rsidR="00406536">
        <w:rPr>
          <w:rtl/>
        </w:rPr>
        <w:t xml:space="preserve"> </w:t>
      </w:r>
      <w:r w:rsidR="00406536">
        <w:rPr>
          <w:b/>
          <w:bCs/>
          <w:rtl/>
        </w:rPr>
        <w:t>אחמד אבו תנהא נ' מדינת ישראל</w:t>
      </w:r>
      <w:r w:rsidR="00406536">
        <w:rPr>
          <w:rtl/>
        </w:rPr>
        <w:t xml:space="preserve"> (20.10.2022), כאשר, גם אם שוכנע שהשיקום או הפוטנציאל מתקיימים בנאשם, עדיין (לפי סעיף קטן ב' לסעיף זה)</w:t>
      </w:r>
      <w:r w:rsidR="00406536">
        <w:rPr>
          <w:rFonts w:hint="cs"/>
          <w:rtl/>
        </w:rPr>
        <w:t>. בין כלל השיקולים,</w:t>
      </w:r>
      <w:r w:rsidR="00406536">
        <w:rPr>
          <w:rtl/>
        </w:rPr>
        <w:t xml:space="preserve"> יש </w:t>
      </w:r>
      <w:r w:rsidR="00406536">
        <w:rPr>
          <w:rFonts w:hint="cs"/>
          <w:rtl/>
        </w:rPr>
        <w:t xml:space="preserve">אף </w:t>
      </w:r>
      <w:r w:rsidR="00406536">
        <w:rPr>
          <w:rtl/>
        </w:rPr>
        <w:t xml:space="preserve">לשקול את חומרת העבירות ונסיבות ביצוען על מנת לקבוע שאירוע זה והנאשם זכאים לאותה הקלה </w:t>
      </w:r>
      <w:r w:rsidR="00406536">
        <w:rPr>
          <w:b/>
          <w:bCs/>
          <w:rtl/>
        </w:rPr>
        <w:t>"שיקולי השיקום, על אף חשיבותם, אינם חזות הכל ולצדם יש להתחשב בשיקולים נוספים, כדוגמת גמול והרתעה"</w:t>
      </w:r>
      <w:r w:rsidR="00406536">
        <w:rPr>
          <w:rtl/>
        </w:rPr>
        <w:t xml:space="preserve"> (שם וכן בפסיקה המאוזכרת).</w:t>
      </w:r>
    </w:p>
    <w:p w14:paraId="2A7B06FF" w14:textId="77777777" w:rsidR="00406536" w:rsidRDefault="00406536" w:rsidP="00406536">
      <w:pPr>
        <w:spacing w:line="360" w:lineRule="auto"/>
        <w:jc w:val="both"/>
        <w:rPr>
          <w:rtl/>
        </w:rPr>
      </w:pPr>
    </w:p>
    <w:p w14:paraId="4CC8260C" w14:textId="77777777" w:rsidR="00406536" w:rsidRDefault="00406536" w:rsidP="00406536">
      <w:pPr>
        <w:spacing w:line="360" w:lineRule="auto"/>
        <w:jc w:val="both"/>
        <w:rPr>
          <w:rFonts w:ascii="David" w:hAnsi="David"/>
          <w:color w:val="000000"/>
          <w:rtl/>
        </w:rPr>
      </w:pPr>
      <w:r>
        <w:rPr>
          <w:rtl/>
        </w:rPr>
        <w:t xml:space="preserve">עתירת ההגנה לעונש של מאסר מותנה מהווה סטייה </w:t>
      </w:r>
      <w:r>
        <w:rPr>
          <w:rFonts w:hint="cs"/>
          <w:rtl/>
        </w:rPr>
        <w:t xml:space="preserve">לקולא </w:t>
      </w:r>
      <w:r>
        <w:rPr>
          <w:rtl/>
        </w:rPr>
        <w:t>מהמתחם אותו קבעתי</w:t>
      </w:r>
      <w:r>
        <w:rPr>
          <w:rFonts w:hint="cs"/>
          <w:rtl/>
        </w:rPr>
        <w:t xml:space="preserve"> ו</w:t>
      </w:r>
      <w:r>
        <w:rPr>
          <w:rFonts w:ascii="David" w:hAnsi="David"/>
          <w:rtl/>
        </w:rPr>
        <w:t xml:space="preserve">חריגה מטעמי שיקום נעשית על פי רוב בעקבות תסקיר של שירות המבחן המצביע על סיכוי ממשי לשיקום (ראו </w:t>
      </w:r>
      <w:hyperlink r:id="rId28" w:history="1">
        <w:r w:rsidR="002E3DA7" w:rsidRPr="002E3DA7">
          <w:rPr>
            <w:rFonts w:ascii="David" w:hAnsi="David"/>
            <w:color w:val="0000FF"/>
            <w:u w:val="single"/>
            <w:rtl/>
          </w:rPr>
          <w:t>ע"פ 6637/17</w:t>
        </w:r>
      </w:hyperlink>
      <w:r>
        <w:rPr>
          <w:rFonts w:ascii="David" w:hAnsi="David"/>
          <w:color w:val="000000"/>
          <w:rtl/>
        </w:rPr>
        <w:t xml:space="preserve"> </w:t>
      </w:r>
      <w:r>
        <w:rPr>
          <w:rFonts w:ascii="David" w:hAnsi="David"/>
          <w:b/>
          <w:bCs/>
          <w:color w:val="000000"/>
          <w:rtl/>
        </w:rPr>
        <w:t>קרנדל נ' מדינת ישראל</w:t>
      </w:r>
      <w:r>
        <w:rPr>
          <w:rFonts w:ascii="David" w:hAnsi="David"/>
          <w:color w:val="000000"/>
          <w:rtl/>
        </w:rPr>
        <w:t xml:space="preserve"> (18.4.2018). </w:t>
      </w:r>
      <w:r>
        <w:rPr>
          <w:rFonts w:ascii="David" w:hAnsi="David" w:hint="cs"/>
          <w:color w:val="000000"/>
          <w:rtl/>
        </w:rPr>
        <w:t xml:space="preserve">עם זאת, בתי המשפט הכירו בשיקום עצמי של נאשמים, אף שלא עברו טיפול בשירות המבחן (ראו </w:t>
      </w:r>
      <w:hyperlink r:id="rId29" w:history="1">
        <w:r w:rsidR="002E3DA7" w:rsidRPr="002E3DA7">
          <w:rPr>
            <w:rFonts w:ascii="David" w:hAnsi="David"/>
            <w:color w:val="0000FF"/>
            <w:u w:val="single"/>
            <w:rtl/>
          </w:rPr>
          <w:t>ת"פ (מחוזי ב"ש) 8101-04</w:t>
        </w:r>
      </w:hyperlink>
      <w:r w:rsidRPr="002A29F0">
        <w:rPr>
          <w:rFonts w:ascii="David" w:hAnsi="David"/>
          <w:color w:val="000000"/>
          <w:rtl/>
        </w:rPr>
        <w:t xml:space="preserve"> </w:t>
      </w:r>
      <w:r w:rsidRPr="002A29F0">
        <w:rPr>
          <w:rFonts w:ascii="David" w:hAnsi="David"/>
          <w:b/>
          <w:bCs/>
          <w:color w:val="000000"/>
          <w:rtl/>
        </w:rPr>
        <w:t>מדינת ישראל נ' פריחה</w:t>
      </w:r>
      <w:r w:rsidRPr="002A29F0">
        <w:rPr>
          <w:rFonts w:ascii="David" w:hAnsi="David"/>
          <w:color w:val="000000"/>
          <w:rtl/>
        </w:rPr>
        <w:t xml:space="preserve"> (30.6.2005)</w:t>
      </w:r>
      <w:r>
        <w:rPr>
          <w:rFonts w:ascii="David" w:hAnsi="David" w:hint="cs"/>
          <w:color w:val="000000"/>
          <w:rtl/>
        </w:rPr>
        <w:t xml:space="preserve">). </w:t>
      </w:r>
    </w:p>
    <w:p w14:paraId="35688A27" w14:textId="77777777" w:rsidR="00406536" w:rsidRDefault="00406536" w:rsidP="00406536">
      <w:pPr>
        <w:spacing w:line="360" w:lineRule="auto"/>
        <w:jc w:val="both"/>
        <w:rPr>
          <w:rFonts w:ascii="David" w:hAnsi="David"/>
          <w:color w:val="000000"/>
          <w:rtl/>
        </w:rPr>
      </w:pPr>
    </w:p>
    <w:p w14:paraId="0688D44F" w14:textId="77777777" w:rsidR="00406536" w:rsidRDefault="00406536" w:rsidP="00406536">
      <w:pPr>
        <w:spacing w:line="360" w:lineRule="auto"/>
        <w:jc w:val="both"/>
        <w:rPr>
          <w:rFonts w:ascii="David" w:hAnsi="David"/>
          <w:color w:val="000000"/>
          <w:rtl/>
        </w:rPr>
      </w:pPr>
      <w:r>
        <w:rPr>
          <w:rFonts w:ascii="David" w:hAnsi="David" w:hint="cs"/>
          <w:color w:val="000000"/>
          <w:rtl/>
        </w:rPr>
        <w:t xml:space="preserve">עוד ראו </w:t>
      </w:r>
      <w:r>
        <w:rPr>
          <w:rFonts w:ascii="David" w:hAnsi="David"/>
          <w:color w:val="000000"/>
          <w:rtl/>
        </w:rPr>
        <w:t>ב</w:t>
      </w:r>
      <w:hyperlink r:id="rId30" w:history="1">
        <w:r w:rsidR="002E3DA7" w:rsidRPr="002E3DA7">
          <w:rPr>
            <w:rFonts w:ascii="David" w:hAnsi="David"/>
            <w:color w:val="0000FF"/>
            <w:u w:val="single"/>
            <w:rtl/>
          </w:rPr>
          <w:t>ת"פ (אי') 72806-02-19</w:t>
        </w:r>
      </w:hyperlink>
      <w:r>
        <w:rPr>
          <w:rFonts w:ascii="David" w:hAnsi="David"/>
          <w:color w:val="000000"/>
          <w:rtl/>
        </w:rPr>
        <w:t xml:space="preserve"> </w:t>
      </w:r>
      <w:r>
        <w:rPr>
          <w:rFonts w:ascii="David" w:hAnsi="David"/>
          <w:b/>
          <w:bCs/>
          <w:color w:val="000000"/>
          <w:rtl/>
        </w:rPr>
        <w:t>מדינת ישראל נ' טובול</w:t>
      </w:r>
      <w:r>
        <w:rPr>
          <w:rFonts w:ascii="David" w:hAnsi="David"/>
          <w:color w:val="000000"/>
          <w:rtl/>
        </w:rPr>
        <w:t xml:space="preserve"> (23.12.2021)</w:t>
      </w:r>
      <w:r>
        <w:rPr>
          <w:rFonts w:ascii="David" w:hAnsi="David" w:hint="cs"/>
          <w:color w:val="000000"/>
          <w:rtl/>
        </w:rPr>
        <w:t xml:space="preserve">, שם </w:t>
      </w:r>
      <w:r>
        <w:rPr>
          <w:rFonts w:ascii="David" w:hAnsi="David"/>
          <w:color w:val="000000"/>
          <w:rtl/>
        </w:rPr>
        <w:t xml:space="preserve">הורשע הנאשם בעבירה של החזקת סם שלא לצריכה עצמית. בית המשפט קבע כי הנאשם השתקם, והשית עליו עונש החורג לקולא ממתחם העונש ההולם. בית המשפט קבע כי: </w:t>
      </w:r>
      <w:r>
        <w:rPr>
          <w:rFonts w:ascii="David" w:hAnsi="David"/>
          <w:b/>
          <w:bCs/>
          <w:color w:val="000000"/>
          <w:rtl/>
        </w:rPr>
        <w:t>"... גם אם הנאשם לא נזקק לשירותי הטיפול של שירות המבחן, והוא בכוחות עצמו הפסיק לצרוך סמים ועלה על דרך הישר, אין זה אומר, בכלל, שלא ניתן לקבוע שהוא השתקם. שיקום עצמי, שיקום מלא הוא</w:t>
      </w:r>
      <w:r>
        <w:rPr>
          <w:rFonts w:ascii="David" w:hAnsi="David"/>
          <w:color w:val="000000"/>
          <w:rtl/>
        </w:rPr>
        <w:t>". גם בענ</w:t>
      </w:r>
      <w:r>
        <w:rPr>
          <w:rFonts w:ascii="David" w:hAnsi="David" w:hint="cs"/>
          <w:color w:val="000000"/>
          <w:rtl/>
        </w:rPr>
        <w:t>י</w:t>
      </w:r>
      <w:r>
        <w:rPr>
          <w:rFonts w:ascii="David" w:hAnsi="David"/>
          <w:color w:val="000000"/>
          <w:rtl/>
        </w:rPr>
        <w:t>ין זה ציין בית המשפט חלוף 4 שנים מעת ביצוע העבירות.</w:t>
      </w:r>
    </w:p>
    <w:p w14:paraId="4A45A1E1" w14:textId="77777777" w:rsidR="00406536" w:rsidRDefault="00406536" w:rsidP="00406536">
      <w:pPr>
        <w:spacing w:line="360" w:lineRule="auto"/>
        <w:jc w:val="both"/>
        <w:rPr>
          <w:rFonts w:ascii="David" w:hAnsi="David"/>
          <w:color w:val="000000"/>
          <w:rtl/>
        </w:rPr>
      </w:pPr>
    </w:p>
    <w:p w14:paraId="6C602401" w14:textId="77777777" w:rsidR="00406536" w:rsidRDefault="00406536" w:rsidP="00406536">
      <w:pPr>
        <w:spacing w:line="360" w:lineRule="auto"/>
        <w:jc w:val="both"/>
        <w:rPr>
          <w:rtl/>
        </w:rPr>
      </w:pPr>
      <w:r>
        <w:rPr>
          <w:rFonts w:ascii="David" w:hAnsi="David"/>
          <w:color w:val="000000"/>
          <w:rtl/>
        </w:rPr>
        <w:t>בעניינו</w:t>
      </w:r>
      <w:r>
        <w:rPr>
          <w:rtl/>
        </w:rPr>
        <w:t xml:space="preserve"> של הנאשם, הוגש תסקיר שירות מבחן אשר מלמד על </w:t>
      </w:r>
      <w:r>
        <w:rPr>
          <w:rFonts w:hint="cs"/>
          <w:rtl/>
        </w:rPr>
        <w:t xml:space="preserve">כך שהנאשם שלל נזקקות טיפולית, כאשר הערכת שירות המבחן שהעבירה בוצעה לאור דפוסים עברייניים של הנאשם, מאידך, מהתסקיר עולה שעל אף כך, ולאור שיקולים שישי בהם משום שיקום בפועל, כגון הזמן הרב שחלף מבלי שהנאשם הסתבך בפלילים </w:t>
      </w:r>
      <w:r>
        <w:rPr>
          <w:rtl/>
        </w:rPr>
        <w:t>–</w:t>
      </w:r>
      <w:r>
        <w:rPr>
          <w:rFonts w:hint="cs"/>
          <w:rtl/>
        </w:rPr>
        <w:t xml:space="preserve"> 4 שנים, גילו של הנאשם, בעת ביצוע העבירה (כבן 20), החזקתו בעבודה לאורך זמן ומחויבותו לה והפסקת השימוש בסמים למעט במסגרת האישור שניתן לו לצרוך קנביס רפואי, יש בכל אלו כדי להצביע על הטלת ענישה ממשית מציבת גבולות אך כזו שלא תנתק את התהליך שהוא עובר, דהיינו הצורך בהותרת עבודת הנאשם כנדבך משמעותי בחייו.</w:t>
      </w:r>
    </w:p>
    <w:p w14:paraId="3F523073" w14:textId="77777777" w:rsidR="00406536" w:rsidRPr="00253F2F" w:rsidRDefault="00406536" w:rsidP="00406536">
      <w:pPr>
        <w:spacing w:line="360" w:lineRule="auto"/>
        <w:jc w:val="both"/>
        <w:rPr>
          <w:rtl/>
        </w:rPr>
      </w:pPr>
    </w:p>
    <w:p w14:paraId="4F198FCE" w14:textId="77777777" w:rsidR="00406536" w:rsidRDefault="00406536" w:rsidP="00406536">
      <w:pPr>
        <w:spacing w:line="360" w:lineRule="auto"/>
        <w:jc w:val="both"/>
        <w:rPr>
          <w:b/>
          <w:bCs/>
          <w:rtl/>
        </w:rPr>
      </w:pPr>
      <w:r>
        <w:rPr>
          <w:rFonts w:hint="cs"/>
          <w:b/>
          <w:bCs/>
          <w:rtl/>
        </w:rPr>
        <w:t>נסיבות שאינן קשורות בביצוע העבירה ו</w:t>
      </w:r>
      <w:r>
        <w:rPr>
          <w:b/>
          <w:bCs/>
          <w:rtl/>
        </w:rPr>
        <w:t>העונש המתאים לנאשם</w:t>
      </w:r>
      <w:r>
        <w:rPr>
          <w:rFonts w:hint="cs"/>
          <w:b/>
          <w:bCs/>
          <w:rtl/>
        </w:rPr>
        <w:t>:</w:t>
      </w:r>
    </w:p>
    <w:p w14:paraId="22AEBE7C" w14:textId="77777777" w:rsidR="00406536" w:rsidRDefault="00406536" w:rsidP="00406536">
      <w:pPr>
        <w:spacing w:line="360" w:lineRule="auto"/>
        <w:jc w:val="both"/>
        <w:rPr>
          <w:rtl/>
        </w:rPr>
      </w:pPr>
      <w:r>
        <w:rPr>
          <w:b/>
          <w:bCs/>
          <w:rtl/>
        </w:rPr>
        <w:t xml:space="preserve"> </w:t>
      </w:r>
    </w:p>
    <w:p w14:paraId="24CE5D10" w14:textId="77777777" w:rsidR="00406536" w:rsidRDefault="00406536" w:rsidP="00406536">
      <w:pPr>
        <w:spacing w:line="360" w:lineRule="auto"/>
        <w:jc w:val="both"/>
        <w:rPr>
          <w:rtl/>
        </w:rPr>
      </w:pPr>
      <w:r>
        <w:rPr>
          <w:rFonts w:hint="cs"/>
          <w:rtl/>
        </w:rPr>
        <w:t>הנאשם, יליד 2000, הודה במיוחס לו, מנהל אורח חיים נורמטיבי, עובד בתחום המשלוחים. בשנים האחרונות לא נפתחו תיקים כנגדו. לחובתו הרשעה אחת שהתיישנה, מבית משפט לנוער משנת 2019 בעבירות אלימות ורכוש ושני רישומים מוקדמים לזו. גילו והעובדה שהוכיח בפועל שהוא מדיר רגליו מביצוע העבירות והמלצת שירות המבחן, מביאים אותי למסקנה כי במקרה זה הנאשם הוכיח בפועל כי הוא מצוי בעיצומו של הליך שיקומי, אם כי באופן פרטי ובתקווה שיתמיד בכך, שיש לסטות ממתחם העונש שנקבע ולקבל את המלצת שירות המבחן.</w:t>
      </w:r>
    </w:p>
    <w:p w14:paraId="1BD4E344" w14:textId="77777777" w:rsidR="00406536" w:rsidRDefault="00406536" w:rsidP="00406536">
      <w:pPr>
        <w:spacing w:line="360" w:lineRule="auto"/>
        <w:jc w:val="both"/>
        <w:rPr>
          <w:rtl/>
        </w:rPr>
      </w:pPr>
    </w:p>
    <w:p w14:paraId="511F60DF" w14:textId="77777777" w:rsidR="00406536" w:rsidRDefault="00406536" w:rsidP="00406536">
      <w:pPr>
        <w:spacing w:line="360" w:lineRule="auto"/>
        <w:jc w:val="both"/>
        <w:rPr>
          <w:rFonts w:ascii="David" w:hAnsi="David"/>
          <w:b/>
          <w:bCs/>
          <w:u w:val="single"/>
          <w:rtl/>
        </w:rPr>
      </w:pPr>
      <w:r>
        <w:rPr>
          <w:rFonts w:ascii="David" w:hAnsi="David"/>
          <w:b/>
          <w:bCs/>
          <w:u w:val="single"/>
          <w:rtl/>
        </w:rPr>
        <w:t>אשר על כן אני גוזרת על הנאשם את העונשים הבאים</w:t>
      </w:r>
      <w:r w:rsidRPr="003F585A">
        <w:rPr>
          <w:rFonts w:ascii="David" w:hAnsi="David"/>
          <w:b/>
          <w:bCs/>
          <w:rtl/>
        </w:rPr>
        <w:t>:</w:t>
      </w:r>
    </w:p>
    <w:p w14:paraId="3BD43B8E" w14:textId="77777777" w:rsidR="00406536" w:rsidRDefault="00406536" w:rsidP="00406536">
      <w:pPr>
        <w:spacing w:line="360" w:lineRule="auto"/>
        <w:jc w:val="both"/>
        <w:rPr>
          <w:rFonts w:ascii="David" w:hAnsi="David"/>
          <w:b/>
          <w:bCs/>
          <w:u w:val="single"/>
          <w:rtl/>
        </w:rPr>
      </w:pPr>
    </w:p>
    <w:p w14:paraId="57FD89AE" w14:textId="77777777" w:rsidR="00406536" w:rsidRPr="000D5FC7" w:rsidRDefault="00406536" w:rsidP="00406536">
      <w:pPr>
        <w:pStyle w:val="aa"/>
        <w:numPr>
          <w:ilvl w:val="0"/>
          <w:numId w:val="1"/>
        </w:numPr>
        <w:spacing w:line="360" w:lineRule="auto"/>
        <w:jc w:val="both"/>
        <w:rPr>
          <w:rFonts w:ascii="David" w:eastAsia="David" w:hAnsi="David" w:cs="David"/>
          <w:sz w:val="24"/>
          <w:szCs w:val="24"/>
          <w:u w:val="single"/>
        </w:rPr>
      </w:pPr>
      <w:r w:rsidRPr="00B64A50">
        <w:rPr>
          <w:rFonts w:ascii="David" w:eastAsia="David" w:hAnsi="David" w:cs="David" w:hint="cs"/>
          <w:b/>
          <w:bCs/>
          <w:sz w:val="24"/>
          <w:szCs w:val="24"/>
          <w:rtl/>
        </w:rPr>
        <w:t>של"צ בהיקף של 200 שעות</w:t>
      </w:r>
      <w:r>
        <w:rPr>
          <w:rFonts w:ascii="David" w:eastAsia="David" w:hAnsi="David" w:cs="David" w:hint="cs"/>
          <w:sz w:val="24"/>
          <w:szCs w:val="24"/>
          <w:rtl/>
        </w:rPr>
        <w:t xml:space="preserve">, בהתאם לתכנית שפורטה על ידי שירות המבחן. </w:t>
      </w:r>
      <w:r w:rsidRPr="000D5FC7">
        <w:rPr>
          <w:rFonts w:ascii="David" w:eastAsia="David" w:hAnsi="David" w:cs="David" w:hint="cs"/>
          <w:sz w:val="24"/>
          <w:szCs w:val="24"/>
          <w:u w:val="single"/>
          <w:rtl/>
        </w:rPr>
        <w:t xml:space="preserve">בית משפט מזהיר את הנאשם כי עליו לעמוד בתוכנית זו באופן מדוקדק, שכן שירות המבחן יכול לבקש הפקעת הצו ובמצב דברים זה, בית משפט יכול לגזור על הנאשם עונש נוסף. </w:t>
      </w:r>
    </w:p>
    <w:p w14:paraId="3497C2E9" w14:textId="77777777" w:rsidR="00406536" w:rsidRPr="00B64A50" w:rsidRDefault="00406536" w:rsidP="00406536">
      <w:pPr>
        <w:pStyle w:val="aa"/>
        <w:numPr>
          <w:ilvl w:val="0"/>
          <w:numId w:val="1"/>
        </w:numPr>
        <w:spacing w:line="360" w:lineRule="auto"/>
        <w:jc w:val="both"/>
        <w:rPr>
          <w:rFonts w:ascii="David" w:eastAsia="David" w:hAnsi="David" w:cs="David"/>
          <w:sz w:val="24"/>
          <w:szCs w:val="24"/>
        </w:rPr>
      </w:pPr>
      <w:r>
        <w:rPr>
          <w:rFonts w:ascii="David" w:hAnsi="David" w:cs="David" w:hint="cs"/>
          <w:b/>
          <w:bCs/>
          <w:sz w:val="24"/>
          <w:szCs w:val="24"/>
          <w:rtl/>
        </w:rPr>
        <w:t>5</w:t>
      </w:r>
      <w:r>
        <w:rPr>
          <w:rFonts w:ascii="David" w:hAnsi="David" w:cs="David"/>
          <w:b/>
          <w:bCs/>
          <w:sz w:val="24"/>
          <w:szCs w:val="24"/>
          <w:rtl/>
        </w:rPr>
        <w:t xml:space="preserve"> חודשי מאסר על תנאי</w:t>
      </w:r>
      <w:r>
        <w:rPr>
          <w:rFonts w:ascii="David" w:hAnsi="David" w:cs="David"/>
          <w:sz w:val="24"/>
          <w:szCs w:val="24"/>
          <w:rtl/>
        </w:rPr>
        <w:t>,</w:t>
      </w:r>
      <w:r>
        <w:rPr>
          <w:rFonts w:ascii="David" w:hAnsi="David" w:cs="David"/>
          <w:b/>
          <w:bCs/>
          <w:sz w:val="24"/>
          <w:szCs w:val="24"/>
          <w:rtl/>
        </w:rPr>
        <w:t xml:space="preserve"> </w:t>
      </w:r>
      <w:r>
        <w:rPr>
          <w:rFonts w:ascii="David" w:hAnsi="David" w:cs="David"/>
          <w:sz w:val="24"/>
          <w:szCs w:val="24"/>
          <w:rtl/>
        </w:rPr>
        <w:t xml:space="preserve">ואולם הנאשם לא יישא עונש זה אלא אם יעבור במהלך תקופה של 3 שנים </w:t>
      </w:r>
      <w:r>
        <w:rPr>
          <w:rFonts w:ascii="David" w:eastAsia="David" w:hAnsi="David" w:cs="David"/>
          <w:sz w:val="24"/>
          <w:szCs w:val="24"/>
          <w:rtl/>
        </w:rPr>
        <w:t xml:space="preserve">מהיום עבירה על פקודת הסמים, מסוג פשע. </w:t>
      </w:r>
    </w:p>
    <w:p w14:paraId="3D1D314C" w14:textId="77777777" w:rsidR="00406536" w:rsidRPr="00B64A50" w:rsidRDefault="00406536" w:rsidP="00406536">
      <w:pPr>
        <w:pStyle w:val="aa"/>
        <w:numPr>
          <w:ilvl w:val="0"/>
          <w:numId w:val="1"/>
        </w:numPr>
        <w:spacing w:line="360" w:lineRule="auto"/>
        <w:jc w:val="both"/>
        <w:rPr>
          <w:rFonts w:ascii="David" w:eastAsia="David" w:hAnsi="David" w:cs="David"/>
          <w:b/>
          <w:bCs/>
          <w:sz w:val="24"/>
          <w:szCs w:val="24"/>
          <w:rtl/>
        </w:rPr>
      </w:pPr>
      <w:r>
        <w:rPr>
          <w:rFonts w:ascii="David" w:hAnsi="David" w:cs="David"/>
          <w:b/>
          <w:bCs/>
          <w:sz w:val="24"/>
          <w:szCs w:val="24"/>
          <w:rtl/>
        </w:rPr>
        <w:t xml:space="preserve">קנס בסך </w:t>
      </w:r>
      <w:r>
        <w:rPr>
          <w:rFonts w:ascii="David" w:hAnsi="David" w:cs="David" w:hint="cs"/>
          <w:b/>
          <w:bCs/>
          <w:sz w:val="24"/>
          <w:szCs w:val="24"/>
          <w:rtl/>
        </w:rPr>
        <w:t>1,000</w:t>
      </w:r>
      <w:r>
        <w:rPr>
          <w:rFonts w:ascii="David" w:hAnsi="David" w:cs="David"/>
          <w:b/>
          <w:bCs/>
          <w:sz w:val="24"/>
          <w:szCs w:val="24"/>
          <w:rtl/>
        </w:rPr>
        <w:t xml:space="preserve"> ₪</w:t>
      </w:r>
      <w:r>
        <w:rPr>
          <w:rFonts w:ascii="David" w:hAnsi="David" w:cs="David" w:hint="cs"/>
          <w:b/>
          <w:bCs/>
          <w:sz w:val="24"/>
          <w:szCs w:val="24"/>
          <w:rtl/>
        </w:rPr>
        <w:t xml:space="preserve">. </w:t>
      </w:r>
      <w:r>
        <w:rPr>
          <w:rFonts w:ascii="David" w:eastAsia="David" w:hAnsi="David" w:cs="David"/>
          <w:sz w:val="24"/>
          <w:szCs w:val="24"/>
          <w:rtl/>
        </w:rPr>
        <w:t xml:space="preserve">הקנס ישולם </w:t>
      </w:r>
      <w:r>
        <w:rPr>
          <w:rFonts w:ascii="David" w:eastAsia="David" w:hAnsi="David" w:cs="David" w:hint="cs"/>
          <w:sz w:val="24"/>
          <w:szCs w:val="24"/>
          <w:rtl/>
        </w:rPr>
        <w:t xml:space="preserve">בשני </w:t>
      </w:r>
      <w:r>
        <w:rPr>
          <w:rFonts w:ascii="David" w:eastAsia="David" w:hAnsi="David" w:cs="David"/>
          <w:sz w:val="24"/>
          <w:szCs w:val="24"/>
          <w:rtl/>
        </w:rPr>
        <w:t xml:space="preserve">תשלומים חודשיים, שווים ורצופים החל מיום </w:t>
      </w:r>
      <w:r>
        <w:rPr>
          <w:rFonts w:ascii="David" w:eastAsia="David" w:hAnsi="David" w:cs="David" w:hint="cs"/>
          <w:sz w:val="24"/>
          <w:szCs w:val="24"/>
          <w:rtl/>
        </w:rPr>
        <w:t xml:space="preserve">10.06.2024  </w:t>
      </w:r>
      <w:r>
        <w:rPr>
          <w:rFonts w:ascii="David" w:eastAsia="David" w:hAnsi="David" w:cs="David"/>
          <w:sz w:val="24"/>
          <w:szCs w:val="24"/>
          <w:rtl/>
        </w:rPr>
        <w:t xml:space="preserve">ובכל חודש שלאחריו. </w:t>
      </w:r>
    </w:p>
    <w:p w14:paraId="23F9037B" w14:textId="77777777" w:rsidR="00406536" w:rsidRDefault="00406536" w:rsidP="00406536">
      <w:pPr>
        <w:pStyle w:val="aa"/>
        <w:numPr>
          <w:ilvl w:val="0"/>
          <w:numId w:val="1"/>
        </w:numPr>
        <w:spacing w:line="360" w:lineRule="auto"/>
        <w:jc w:val="both"/>
        <w:rPr>
          <w:rFonts w:ascii="David" w:eastAsia="David" w:hAnsi="David" w:cs="David"/>
          <w:sz w:val="24"/>
          <w:szCs w:val="24"/>
          <w:rtl/>
        </w:rPr>
      </w:pPr>
      <w:r>
        <w:rPr>
          <w:rFonts w:ascii="David" w:eastAsia="David" w:hAnsi="David" w:cs="David"/>
          <w:b/>
          <w:bCs/>
          <w:sz w:val="24"/>
          <w:szCs w:val="24"/>
          <w:rtl/>
        </w:rPr>
        <w:t xml:space="preserve">התחייבות כספית בסך של </w:t>
      </w:r>
      <w:r>
        <w:rPr>
          <w:rFonts w:ascii="David" w:eastAsia="David" w:hAnsi="David" w:cs="David" w:hint="cs"/>
          <w:b/>
          <w:bCs/>
          <w:sz w:val="24"/>
          <w:szCs w:val="24"/>
          <w:rtl/>
        </w:rPr>
        <w:t xml:space="preserve">3,000 </w:t>
      </w:r>
      <w:r>
        <w:rPr>
          <w:rFonts w:ascii="David" w:eastAsia="David" w:hAnsi="David" w:cs="David"/>
          <w:b/>
          <w:bCs/>
          <w:sz w:val="24"/>
          <w:szCs w:val="24"/>
          <w:rtl/>
        </w:rPr>
        <w:t>₪ וזאת למשך 3 שנים</w:t>
      </w:r>
      <w:r>
        <w:rPr>
          <w:rFonts w:ascii="David" w:eastAsia="David" w:hAnsi="David" w:cs="David"/>
          <w:sz w:val="24"/>
          <w:szCs w:val="24"/>
          <w:rtl/>
        </w:rPr>
        <w:t xml:space="preserve"> מהיום שלא יעבור עבירה בה הורשע</w:t>
      </w:r>
      <w:r>
        <w:rPr>
          <w:rFonts w:ascii="David" w:eastAsia="David" w:hAnsi="David" w:cs="David"/>
          <w:b/>
          <w:bCs/>
          <w:sz w:val="24"/>
          <w:szCs w:val="24"/>
          <w:rtl/>
        </w:rPr>
        <w:t xml:space="preserve">. </w:t>
      </w:r>
      <w:r>
        <w:rPr>
          <w:rFonts w:ascii="David" w:eastAsia="David" w:hAnsi="David" w:cs="David"/>
          <w:sz w:val="24"/>
          <w:szCs w:val="24"/>
          <w:rtl/>
        </w:rPr>
        <w:t xml:space="preserve">רשמתי בפניי שהנאשם הבין את האמור ברכיב זה. </w:t>
      </w:r>
    </w:p>
    <w:p w14:paraId="23075B7B" w14:textId="77777777" w:rsidR="00406536" w:rsidRDefault="00406536" w:rsidP="00406536">
      <w:pPr>
        <w:pStyle w:val="aa"/>
        <w:rPr>
          <w:rFonts w:ascii="David" w:eastAsia="David" w:hAnsi="David" w:cs="David"/>
          <w:sz w:val="24"/>
          <w:szCs w:val="24"/>
        </w:rPr>
      </w:pPr>
    </w:p>
    <w:p w14:paraId="6C4D3055" w14:textId="77777777" w:rsidR="00406536" w:rsidRPr="00406536" w:rsidRDefault="00406536" w:rsidP="00406536">
      <w:pPr>
        <w:spacing w:line="360" w:lineRule="auto"/>
        <w:jc w:val="both"/>
        <w:rPr>
          <w:rFonts w:ascii="David" w:eastAsia="Calibri" w:hAnsi="David"/>
          <w:rtl/>
        </w:rPr>
      </w:pPr>
      <w:r>
        <w:rPr>
          <w:rFonts w:ascii="David" w:hAnsi="David"/>
          <w:rtl/>
        </w:rPr>
        <w:t xml:space="preserve">ניתן צו לגבי הסמים כך שהסמים יושמדו ומוצגים אחרים שנתפסו מעת הנאשם יושבו לידיו.  עניין זה יוסדר עם היחידה החוקרת. </w:t>
      </w:r>
    </w:p>
    <w:p w14:paraId="684424FD" w14:textId="77777777" w:rsidR="00406536" w:rsidRPr="00406536" w:rsidRDefault="00406536" w:rsidP="00406536">
      <w:pPr>
        <w:spacing w:line="360" w:lineRule="auto"/>
        <w:jc w:val="both"/>
        <w:rPr>
          <w:rFonts w:ascii="David" w:eastAsia="Calibri" w:hAnsi="David"/>
          <w:rtl/>
        </w:rPr>
      </w:pPr>
    </w:p>
    <w:p w14:paraId="194BDE58" w14:textId="77777777" w:rsidR="00406536" w:rsidRDefault="00406536" w:rsidP="00406536">
      <w:pPr>
        <w:spacing w:line="360" w:lineRule="auto"/>
        <w:jc w:val="both"/>
        <w:rPr>
          <w:rFonts w:ascii="David" w:hAnsi="David"/>
        </w:rPr>
      </w:pPr>
      <w:r>
        <w:rPr>
          <w:rFonts w:ascii="David" w:hAnsi="David"/>
          <w:rtl/>
        </w:rPr>
        <w:t xml:space="preserve">ככל שהופקד פיקדון בתיק או בתיק המעצרים הקשור לתיק זה ובהעדר מניעה על פי דין, יוחזר הפיקדון למפקיד או לידי מי מטעמו עפ"י יפוי כוח. </w:t>
      </w:r>
    </w:p>
    <w:p w14:paraId="0E9DA70B" w14:textId="77777777" w:rsidR="00406536" w:rsidRDefault="00406536" w:rsidP="00406536">
      <w:pPr>
        <w:spacing w:line="360" w:lineRule="auto"/>
        <w:jc w:val="both"/>
        <w:rPr>
          <w:rFonts w:ascii="David" w:hAnsi="David"/>
          <w:rtl/>
        </w:rPr>
      </w:pPr>
    </w:p>
    <w:p w14:paraId="511E1900" w14:textId="77777777" w:rsidR="00406536" w:rsidRDefault="00406536" w:rsidP="00406536">
      <w:pPr>
        <w:spacing w:line="360" w:lineRule="auto"/>
        <w:jc w:val="both"/>
        <w:rPr>
          <w:rFonts w:ascii="David" w:hAnsi="David"/>
          <w:rtl/>
        </w:rPr>
      </w:pPr>
      <w:r>
        <w:rPr>
          <w:rFonts w:ascii="David" w:hAnsi="David"/>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0AB20432" w14:textId="77777777" w:rsidR="00406536" w:rsidRDefault="00406536" w:rsidP="00406536">
      <w:pPr>
        <w:spacing w:line="360" w:lineRule="auto"/>
        <w:jc w:val="both"/>
        <w:rPr>
          <w:rFonts w:ascii="David" w:hAnsi="David"/>
          <w:rtl/>
        </w:rPr>
      </w:pPr>
    </w:p>
    <w:p w14:paraId="6A57BAEB" w14:textId="77777777" w:rsidR="00406536" w:rsidRDefault="00406536" w:rsidP="00406536">
      <w:pPr>
        <w:pStyle w:val="aa"/>
        <w:numPr>
          <w:ilvl w:val="0"/>
          <w:numId w:val="2"/>
        </w:numPr>
        <w:spacing w:line="360" w:lineRule="auto"/>
        <w:jc w:val="both"/>
        <w:rPr>
          <w:rFonts w:ascii="David" w:hAnsi="David" w:cs="David"/>
          <w:b/>
          <w:bCs/>
          <w:sz w:val="24"/>
          <w:szCs w:val="24"/>
        </w:rPr>
      </w:pPr>
      <w:r>
        <w:rPr>
          <w:rFonts w:ascii="David" w:hAnsi="David" w:cs="David"/>
          <w:b/>
          <w:bCs/>
          <w:sz w:val="24"/>
          <w:szCs w:val="24"/>
          <w:rtl/>
        </w:rPr>
        <w:t>בכרטיס אשראי</w:t>
      </w:r>
      <w:r>
        <w:rPr>
          <w:rFonts w:ascii="David" w:hAnsi="David" w:cs="David"/>
          <w:sz w:val="24"/>
          <w:szCs w:val="24"/>
          <w:rtl/>
        </w:rPr>
        <w:t xml:space="preserve"> – באתר המקוון של רשות האכיפה והגבייה, </w:t>
      </w:r>
      <w:hyperlink r:id="rId31" w:history="1">
        <w:r>
          <w:rPr>
            <w:rStyle w:val="Hyperlink"/>
            <w:rFonts w:ascii="David" w:hAnsi="David" w:cs="David"/>
            <w:sz w:val="24"/>
            <w:szCs w:val="24"/>
          </w:rPr>
          <w:t>www.eca.gov.il</w:t>
        </w:r>
      </w:hyperlink>
      <w:r>
        <w:rPr>
          <w:rFonts w:ascii="David" w:hAnsi="David" w:cs="David"/>
          <w:sz w:val="24"/>
          <w:szCs w:val="24"/>
        </w:rPr>
        <w:t xml:space="preserve"> </w:t>
      </w:r>
      <w:r w:rsidR="002E3DA7">
        <w:rPr>
          <w:rFonts w:ascii="David" w:hAnsi="David" w:cs="David"/>
          <w:sz w:val="24"/>
          <w:szCs w:val="24"/>
          <w:rtl/>
        </w:rPr>
        <w:t xml:space="preserve"> </w:t>
      </w:r>
    </w:p>
    <w:p w14:paraId="42AAB186" w14:textId="77777777" w:rsidR="00406536" w:rsidRDefault="00406536" w:rsidP="00406536">
      <w:pPr>
        <w:pStyle w:val="aa"/>
        <w:numPr>
          <w:ilvl w:val="0"/>
          <w:numId w:val="2"/>
        </w:numPr>
        <w:spacing w:line="360" w:lineRule="auto"/>
        <w:jc w:val="both"/>
        <w:rPr>
          <w:rFonts w:ascii="David" w:hAnsi="David" w:cs="David"/>
          <w:b/>
          <w:bCs/>
          <w:sz w:val="24"/>
          <w:szCs w:val="24"/>
        </w:rPr>
      </w:pPr>
      <w:r>
        <w:rPr>
          <w:rFonts w:ascii="David" w:hAnsi="David" w:cs="David"/>
          <w:b/>
          <w:bCs/>
          <w:sz w:val="24"/>
          <w:szCs w:val="24"/>
          <w:rtl/>
        </w:rPr>
        <w:t>מוקד שירות טלפוני בשרות עצמי (מרכז גבייה)</w:t>
      </w:r>
      <w:r w:rsidR="002E3DA7">
        <w:rPr>
          <w:rFonts w:ascii="David" w:hAnsi="David" w:cs="David"/>
          <w:b/>
          <w:bCs/>
          <w:sz w:val="24"/>
          <w:szCs w:val="24"/>
          <w:rtl/>
        </w:rPr>
        <w:t xml:space="preserve"> </w:t>
      </w:r>
      <w:r>
        <w:rPr>
          <w:rFonts w:ascii="David" w:hAnsi="David" w:cs="David"/>
          <w:b/>
          <w:bCs/>
          <w:sz w:val="24"/>
          <w:szCs w:val="24"/>
          <w:rtl/>
        </w:rPr>
        <w:t xml:space="preserve"> – בטלפון 35592* או בטלפון 073-2055000</w:t>
      </w:r>
    </w:p>
    <w:p w14:paraId="29692797" w14:textId="77777777" w:rsidR="00406536" w:rsidRDefault="00406536" w:rsidP="00406536">
      <w:pPr>
        <w:pStyle w:val="aa"/>
        <w:numPr>
          <w:ilvl w:val="0"/>
          <w:numId w:val="2"/>
        </w:numPr>
        <w:spacing w:line="360" w:lineRule="auto"/>
        <w:jc w:val="both"/>
        <w:rPr>
          <w:rFonts w:ascii="David" w:hAnsi="David" w:cs="David"/>
          <w:b/>
          <w:bCs/>
          <w:sz w:val="24"/>
          <w:szCs w:val="24"/>
        </w:rPr>
      </w:pPr>
      <w:r>
        <w:rPr>
          <w:rFonts w:ascii="David" w:hAnsi="David" w:cs="David"/>
          <w:b/>
          <w:bCs/>
          <w:sz w:val="24"/>
          <w:szCs w:val="24"/>
          <w:rtl/>
        </w:rPr>
        <w:t>במזומן בכל סניף של בנק הדואר</w:t>
      </w:r>
      <w:r>
        <w:rPr>
          <w:rFonts w:ascii="David" w:hAnsi="David" w:cs="David"/>
          <w:sz w:val="24"/>
          <w:szCs w:val="24"/>
          <w:rtl/>
        </w:rPr>
        <w:t xml:space="preserve"> – בהצגת תעודת זהות בלבד (אין צורך בשוברי תשלום).</w:t>
      </w:r>
    </w:p>
    <w:p w14:paraId="42209164" w14:textId="77777777" w:rsidR="00406536" w:rsidRDefault="00406536" w:rsidP="00406536">
      <w:pPr>
        <w:pStyle w:val="aa"/>
        <w:spacing w:line="360" w:lineRule="auto"/>
        <w:ind w:left="1080"/>
        <w:jc w:val="both"/>
        <w:rPr>
          <w:rFonts w:ascii="David" w:hAnsi="David" w:cs="David"/>
          <w:b/>
          <w:bCs/>
          <w:sz w:val="24"/>
          <w:szCs w:val="24"/>
        </w:rPr>
      </w:pPr>
    </w:p>
    <w:p w14:paraId="76767261" w14:textId="77777777" w:rsidR="00406536" w:rsidRDefault="00406536" w:rsidP="00406536">
      <w:pPr>
        <w:spacing w:line="360" w:lineRule="auto"/>
        <w:jc w:val="both"/>
        <w:rPr>
          <w:rFonts w:ascii="David" w:hAnsi="David"/>
          <w:b/>
          <w:bCs/>
          <w:rtl/>
        </w:rPr>
      </w:pPr>
      <w:r>
        <w:rPr>
          <w:rFonts w:ascii="David" w:hAnsi="David"/>
          <w:b/>
          <w:bCs/>
          <w:rtl/>
        </w:rPr>
        <w:t xml:space="preserve">זכות ערעור לביהמ"ש המחוזי בתוך 45 ימים מהיום. </w:t>
      </w:r>
    </w:p>
    <w:p w14:paraId="390EF743" w14:textId="77777777" w:rsidR="00406536" w:rsidRPr="002E3DA7" w:rsidRDefault="002E3DA7" w:rsidP="00406536">
      <w:pPr>
        <w:spacing w:line="360" w:lineRule="auto"/>
        <w:jc w:val="both"/>
        <w:rPr>
          <w:rFonts w:ascii="David" w:hAnsi="David"/>
          <w:b/>
          <w:bCs/>
          <w:color w:val="FFFFFF"/>
          <w:sz w:val="2"/>
          <w:szCs w:val="2"/>
        </w:rPr>
      </w:pPr>
      <w:r w:rsidRPr="002E3DA7">
        <w:rPr>
          <w:rFonts w:ascii="David" w:hAnsi="David"/>
          <w:b/>
          <w:bCs/>
          <w:color w:val="FFFFFF"/>
          <w:sz w:val="2"/>
          <w:szCs w:val="2"/>
          <w:rtl/>
        </w:rPr>
        <w:t>5129371</w:t>
      </w:r>
    </w:p>
    <w:p w14:paraId="0E30A148" w14:textId="77777777" w:rsidR="00406536" w:rsidRDefault="002E3DA7" w:rsidP="00406536">
      <w:pPr>
        <w:spacing w:line="360" w:lineRule="auto"/>
        <w:jc w:val="both"/>
        <w:rPr>
          <w:rFonts w:ascii="David" w:hAnsi="David"/>
          <w:rtl/>
        </w:rPr>
      </w:pPr>
      <w:r w:rsidRPr="002E3DA7">
        <w:rPr>
          <w:rFonts w:ascii="David" w:hAnsi="David"/>
          <w:b/>
          <w:bCs/>
          <w:color w:val="FFFFFF"/>
          <w:sz w:val="2"/>
          <w:szCs w:val="2"/>
          <w:u w:val="double"/>
          <w:rtl/>
        </w:rPr>
        <w:t>54678313</w:t>
      </w:r>
      <w:r w:rsidR="00406536">
        <w:rPr>
          <w:rFonts w:ascii="David" w:hAnsi="David"/>
          <w:b/>
          <w:bCs/>
          <w:u w:val="double"/>
          <w:rtl/>
        </w:rPr>
        <w:t>המזכירות</w:t>
      </w:r>
      <w:r w:rsidR="00406536">
        <w:rPr>
          <w:rFonts w:ascii="David" w:hAnsi="David"/>
          <w:rtl/>
        </w:rPr>
        <w:t xml:space="preserve"> תעביר העתק </w:t>
      </w:r>
      <w:r w:rsidR="00406536">
        <w:rPr>
          <w:rFonts w:ascii="David" w:hAnsi="David" w:hint="cs"/>
          <w:rtl/>
        </w:rPr>
        <w:t xml:space="preserve">לשירות המבחן. </w:t>
      </w:r>
    </w:p>
    <w:p w14:paraId="7AA7F5C2" w14:textId="77777777" w:rsidR="00406536" w:rsidRPr="000F2247" w:rsidRDefault="00406536" w:rsidP="00406536">
      <w:pPr>
        <w:rPr>
          <w:rFonts w:ascii="Arial" w:hAnsi="Arial"/>
          <w:b/>
          <w:bCs/>
          <w:sz w:val="26"/>
          <w:szCs w:val="26"/>
          <w:rtl/>
        </w:rPr>
      </w:pPr>
    </w:p>
    <w:p w14:paraId="188C12EF" w14:textId="77777777" w:rsidR="00406536" w:rsidRPr="000F2247" w:rsidRDefault="002E3DA7" w:rsidP="0040653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אייר תשפ"ד, 16 מאי 2024, במעמד הצדדים. </w:t>
      </w:r>
      <w:bookmarkEnd w:id="8"/>
      <w:r w:rsidR="00406536">
        <w:rPr>
          <w:rFonts w:ascii="Arial" w:hAnsi="Arial"/>
          <w:b/>
          <w:bCs/>
          <w:sz w:val="26"/>
          <w:szCs w:val="26"/>
          <w:rtl/>
        </w:rPr>
        <w:tab/>
      </w:r>
      <w:r w:rsidR="00406536">
        <w:rPr>
          <w:rFonts w:ascii="Arial" w:hAnsi="Arial"/>
          <w:b/>
          <w:bCs/>
          <w:sz w:val="26"/>
          <w:szCs w:val="26"/>
          <w:rtl/>
        </w:rPr>
        <w:tab/>
      </w:r>
      <w:r w:rsidR="00406536">
        <w:rPr>
          <w:rFonts w:ascii="Arial" w:hAnsi="Arial"/>
          <w:b/>
          <w:bCs/>
          <w:sz w:val="26"/>
          <w:szCs w:val="26"/>
          <w:rtl/>
        </w:rPr>
        <w:tab/>
      </w:r>
      <w:r w:rsidR="00406536">
        <w:rPr>
          <w:rFonts w:ascii="Arial" w:hAnsi="Arial"/>
          <w:b/>
          <w:bCs/>
          <w:sz w:val="26"/>
          <w:szCs w:val="26"/>
          <w:rtl/>
        </w:rPr>
        <w:tab/>
      </w:r>
      <w:r w:rsidR="00406536">
        <w:rPr>
          <w:rFonts w:ascii="Arial" w:hAnsi="Arial"/>
          <w:b/>
          <w:bCs/>
          <w:sz w:val="26"/>
          <w:szCs w:val="26"/>
          <w:rtl/>
        </w:rPr>
        <w:tab/>
      </w:r>
      <w:r w:rsidR="00406536">
        <w:rPr>
          <w:rFonts w:ascii="Arial" w:hAnsi="Arial"/>
          <w:b/>
          <w:bCs/>
          <w:sz w:val="26"/>
          <w:szCs w:val="26"/>
          <w:rtl/>
        </w:rPr>
        <w:tab/>
      </w:r>
      <w:r w:rsidR="00406536">
        <w:rPr>
          <w:rFonts w:ascii="Arial" w:hAnsi="Arial"/>
          <w:b/>
          <w:bCs/>
          <w:sz w:val="26"/>
          <w:szCs w:val="26"/>
          <w:rtl/>
        </w:rPr>
        <w:tab/>
      </w:r>
      <w:r w:rsidR="00406536">
        <w:rPr>
          <w:rFonts w:ascii="Arial" w:hAnsi="Arial" w:hint="cs"/>
          <w:b/>
          <w:bCs/>
          <w:sz w:val="26"/>
          <w:szCs w:val="26"/>
          <w:rtl/>
        </w:rPr>
        <w:t xml:space="preserve">         </w:t>
      </w:r>
    </w:p>
    <w:p w14:paraId="50BF0D40" w14:textId="77777777" w:rsidR="00406536" w:rsidRPr="000F2247" w:rsidRDefault="00406536" w:rsidP="002E3DA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C6C3374" w14:textId="77777777" w:rsidR="00406536" w:rsidRPr="000F2247" w:rsidRDefault="00406536" w:rsidP="00406536">
      <w:pPr>
        <w:jc w:val="center"/>
        <w:rPr>
          <w:rFonts w:ascii="Arial" w:hAnsi="Arial"/>
          <w:b/>
          <w:bCs/>
          <w:sz w:val="26"/>
          <w:szCs w:val="26"/>
          <w:rtl/>
        </w:rPr>
      </w:pPr>
    </w:p>
    <w:p w14:paraId="6DFED5DC" w14:textId="77777777" w:rsidR="0074572C" w:rsidRPr="002E3DA7" w:rsidRDefault="0074572C" w:rsidP="002E3DA7">
      <w:pPr>
        <w:keepNext/>
        <w:rPr>
          <w:rFonts w:ascii="David" w:hAnsi="David"/>
          <w:color w:val="000000"/>
          <w:sz w:val="22"/>
          <w:szCs w:val="22"/>
          <w:rtl/>
        </w:rPr>
      </w:pPr>
    </w:p>
    <w:p w14:paraId="645F4843" w14:textId="77777777" w:rsidR="002E3DA7" w:rsidRPr="002E3DA7" w:rsidRDefault="002E3DA7" w:rsidP="002E3DA7">
      <w:pPr>
        <w:keepNext/>
        <w:rPr>
          <w:rFonts w:ascii="David" w:hAnsi="David"/>
          <w:color w:val="000000"/>
          <w:sz w:val="22"/>
          <w:szCs w:val="22"/>
          <w:rtl/>
        </w:rPr>
      </w:pPr>
      <w:r w:rsidRPr="002E3DA7">
        <w:rPr>
          <w:rFonts w:ascii="David" w:hAnsi="David"/>
          <w:color w:val="000000"/>
          <w:sz w:val="22"/>
          <w:szCs w:val="22"/>
          <w:rtl/>
        </w:rPr>
        <w:t>ענת יהב 54678313</w:t>
      </w:r>
    </w:p>
    <w:p w14:paraId="36642F8C" w14:textId="77777777" w:rsidR="002E3DA7" w:rsidRDefault="002E3DA7" w:rsidP="002E3DA7">
      <w:r w:rsidRPr="002E3DA7">
        <w:rPr>
          <w:color w:val="000000"/>
          <w:rtl/>
        </w:rPr>
        <w:t>נוסח מסמך זה כפוף לשינויי ניסוח ועריכה</w:t>
      </w:r>
    </w:p>
    <w:p w14:paraId="3C80D557" w14:textId="77777777" w:rsidR="002E3DA7" w:rsidRDefault="002E3DA7" w:rsidP="002E3DA7">
      <w:pPr>
        <w:rPr>
          <w:rtl/>
        </w:rPr>
      </w:pPr>
    </w:p>
    <w:p w14:paraId="35854F63" w14:textId="77777777" w:rsidR="002E3DA7" w:rsidRDefault="002E3DA7" w:rsidP="002E3DA7">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6434834" w14:textId="77777777" w:rsidR="002E3DA7" w:rsidRPr="002E3DA7" w:rsidRDefault="002E3DA7" w:rsidP="002E3DA7">
      <w:pPr>
        <w:jc w:val="center"/>
        <w:rPr>
          <w:color w:val="0000FF"/>
          <w:u w:val="single"/>
        </w:rPr>
      </w:pPr>
    </w:p>
    <w:sectPr w:rsidR="002E3DA7" w:rsidRPr="002E3DA7" w:rsidSect="002E3DA7">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737F0" w14:textId="77777777" w:rsidR="00766ECD" w:rsidRDefault="00766ECD" w:rsidP="006B1961">
      <w:r>
        <w:separator/>
      </w:r>
    </w:p>
  </w:endnote>
  <w:endnote w:type="continuationSeparator" w:id="0">
    <w:p w14:paraId="1D619391" w14:textId="77777777" w:rsidR="00766ECD" w:rsidRDefault="00766ECD" w:rsidP="006B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96DCB" w14:textId="77777777" w:rsidR="002E3DA7" w:rsidRDefault="002E3DA7" w:rsidP="002E3D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A5E063" w14:textId="77777777" w:rsidR="00274F18" w:rsidRPr="002E3DA7" w:rsidRDefault="002E3DA7" w:rsidP="002E3DA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8FC05" w14:textId="77777777" w:rsidR="002E3DA7" w:rsidRDefault="002E3DA7" w:rsidP="002E3D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21E4">
      <w:rPr>
        <w:rFonts w:ascii="FrankRuehl" w:hAnsi="FrankRuehl" w:cs="FrankRuehl"/>
        <w:noProof/>
        <w:rtl/>
      </w:rPr>
      <w:t>1</w:t>
    </w:r>
    <w:r>
      <w:rPr>
        <w:rFonts w:ascii="FrankRuehl" w:hAnsi="FrankRuehl" w:cs="FrankRuehl"/>
        <w:rtl/>
      </w:rPr>
      <w:fldChar w:fldCharType="end"/>
    </w:r>
  </w:p>
  <w:p w14:paraId="07194966" w14:textId="77777777" w:rsidR="00274F18" w:rsidRPr="002E3DA7" w:rsidRDefault="002E3DA7" w:rsidP="002E3DA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BFA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C5F6F" w14:textId="77777777" w:rsidR="00766ECD" w:rsidRDefault="00766ECD" w:rsidP="006B1961">
      <w:r>
        <w:separator/>
      </w:r>
    </w:p>
  </w:footnote>
  <w:footnote w:type="continuationSeparator" w:id="0">
    <w:p w14:paraId="09D3F2A1" w14:textId="77777777" w:rsidR="00766ECD" w:rsidRDefault="00766ECD" w:rsidP="006B1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B47FE" w14:textId="77777777" w:rsidR="002E3DA7" w:rsidRPr="002E3DA7" w:rsidRDefault="002E3DA7" w:rsidP="002E3D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42707-08-21</w:t>
    </w:r>
    <w:r>
      <w:rPr>
        <w:rFonts w:ascii="David" w:hAnsi="David"/>
        <w:color w:val="000000"/>
        <w:sz w:val="22"/>
        <w:szCs w:val="22"/>
        <w:rtl/>
      </w:rPr>
      <w:tab/>
      <w:t xml:space="preserve"> מדינת ישראל נ' גבריאל בזיני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9C1D3" w14:textId="77777777" w:rsidR="002E3DA7" w:rsidRPr="002E3DA7" w:rsidRDefault="002E3DA7" w:rsidP="002E3D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42707-08-21</w:t>
    </w:r>
    <w:r>
      <w:rPr>
        <w:rFonts w:ascii="David" w:hAnsi="David"/>
        <w:color w:val="000000"/>
        <w:sz w:val="22"/>
        <w:szCs w:val="22"/>
        <w:rtl/>
      </w:rPr>
      <w:tab/>
      <w:t xml:space="preserve"> מדינת ישראל נ' גבריאל בזיני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3185C"/>
    <w:multiLevelType w:val="hybridMultilevel"/>
    <w:tmpl w:val="F9CED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3D355491"/>
    <w:multiLevelType w:val="hybridMultilevel"/>
    <w:tmpl w:val="BFA241F0"/>
    <w:lvl w:ilvl="0" w:tplc="0409000F">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00C3C79"/>
    <w:multiLevelType w:val="hybridMultilevel"/>
    <w:tmpl w:val="0832BDE8"/>
    <w:lvl w:ilvl="0" w:tplc="ED90349A">
      <w:start w:val="1"/>
      <w:numFmt w:val="hebrew1"/>
      <w:lvlText w:val="%1."/>
      <w:lvlJc w:val="left"/>
      <w:pPr>
        <w:ind w:left="720" w:hanging="360"/>
      </w:pPr>
      <w:rPr>
        <w:rFonts w:ascii="David" w:hAnsi="David" w:cs="David"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645FE"/>
    <w:multiLevelType w:val="hybridMultilevel"/>
    <w:tmpl w:val="DAA0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BF09B8"/>
    <w:multiLevelType w:val="hybridMultilevel"/>
    <w:tmpl w:val="7A86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4307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7196547">
    <w:abstractNumId w:val="1"/>
  </w:num>
  <w:num w:numId="3" w16cid:durableId="1739472206">
    <w:abstractNumId w:val="0"/>
  </w:num>
  <w:num w:numId="4" w16cid:durableId="116028112">
    <w:abstractNumId w:val="3"/>
  </w:num>
  <w:num w:numId="5" w16cid:durableId="2008241527">
    <w:abstractNumId w:val="5"/>
  </w:num>
  <w:num w:numId="6" w16cid:durableId="151454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6536"/>
    <w:rsid w:val="00030F50"/>
    <w:rsid w:val="00142A63"/>
    <w:rsid w:val="002029BD"/>
    <w:rsid w:val="00274F18"/>
    <w:rsid w:val="002E3DA7"/>
    <w:rsid w:val="003B6E22"/>
    <w:rsid w:val="004021E4"/>
    <w:rsid w:val="00406536"/>
    <w:rsid w:val="006B1961"/>
    <w:rsid w:val="0074572C"/>
    <w:rsid w:val="00766ECD"/>
    <w:rsid w:val="008B2F92"/>
    <w:rsid w:val="008F4371"/>
    <w:rsid w:val="00971006"/>
    <w:rsid w:val="009A4E4C"/>
    <w:rsid w:val="00F272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92AFB0"/>
  <w15:chartTrackingRefBased/>
  <w15:docId w15:val="{4A79AC9A-81A3-4947-8062-0F7BD9A1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653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6536"/>
    <w:pPr>
      <w:tabs>
        <w:tab w:val="center" w:pos="4153"/>
        <w:tab w:val="right" w:pos="8306"/>
      </w:tabs>
    </w:pPr>
  </w:style>
  <w:style w:type="character" w:customStyle="1" w:styleId="a4">
    <w:name w:val="כותרת עליונה תו"/>
    <w:link w:val="a3"/>
    <w:rsid w:val="00406536"/>
    <w:rPr>
      <w:rFonts w:ascii="Times New Roman" w:eastAsia="Times New Roman" w:hAnsi="Times New Roman" w:cs="David"/>
      <w:sz w:val="24"/>
      <w:szCs w:val="24"/>
    </w:rPr>
  </w:style>
  <w:style w:type="paragraph" w:styleId="a5">
    <w:name w:val="footer"/>
    <w:basedOn w:val="a"/>
    <w:link w:val="a6"/>
    <w:rsid w:val="00406536"/>
    <w:pPr>
      <w:tabs>
        <w:tab w:val="center" w:pos="4153"/>
        <w:tab w:val="right" w:pos="8306"/>
      </w:tabs>
    </w:pPr>
  </w:style>
  <w:style w:type="character" w:customStyle="1" w:styleId="a6">
    <w:name w:val="כותרת תחתונה תו"/>
    <w:link w:val="a5"/>
    <w:rsid w:val="00406536"/>
    <w:rPr>
      <w:rFonts w:ascii="Times New Roman" w:eastAsia="Times New Roman" w:hAnsi="Times New Roman" w:cs="David"/>
      <w:sz w:val="24"/>
      <w:szCs w:val="24"/>
    </w:rPr>
  </w:style>
  <w:style w:type="table" w:styleId="a7">
    <w:name w:val="Table Grid"/>
    <w:basedOn w:val="a1"/>
    <w:rsid w:val="0040653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6536"/>
  </w:style>
  <w:style w:type="character" w:styleId="Hyperlink">
    <w:name w:val="Hyperlink"/>
    <w:rsid w:val="00406536"/>
    <w:rPr>
      <w:color w:val="0000FF"/>
      <w:u w:val="single"/>
    </w:rPr>
  </w:style>
  <w:style w:type="character" w:customStyle="1" w:styleId="a9">
    <w:name w:val="פיסקת רשימה תו"/>
    <w:link w:val="aa"/>
    <w:locked/>
    <w:rsid w:val="00406536"/>
    <w:rPr>
      <w:rFonts w:ascii="Calibri" w:eastAsia="Calibri" w:hAnsi="Calibri" w:cs="Arial"/>
    </w:rPr>
  </w:style>
  <w:style w:type="paragraph" w:styleId="aa">
    <w:name w:val="List Paragraph"/>
    <w:basedOn w:val="a"/>
    <w:link w:val="a9"/>
    <w:qFormat/>
    <w:rsid w:val="00406536"/>
    <w:pPr>
      <w:ind w:left="720"/>
      <w:contextualSpacing/>
    </w:pPr>
    <w:rPr>
      <w:rFonts w:ascii="Calibri" w:eastAsia="Calibri" w:hAnsi="Calibri" w:cs="Arial"/>
      <w:sz w:val="22"/>
      <w:szCs w:val="22"/>
    </w:rPr>
  </w:style>
  <w:style w:type="paragraph" w:customStyle="1" w:styleId="28">
    <w:name w:val="פיסקת רשימה28"/>
    <w:basedOn w:val="a"/>
    <w:rsid w:val="00406536"/>
    <w:pPr>
      <w:snapToGrid w:val="0"/>
      <w:spacing w:after="120" w:line="360" w:lineRule="auto"/>
      <w:ind w:left="720"/>
      <w:contextualSpacing/>
    </w:pPr>
    <w:rPr>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30122254" TargetMode="External"/><Relationship Id="rId26" Type="http://schemas.openxmlformats.org/officeDocument/2006/relationships/hyperlink" Target="http://www.nevo.co.il/case/28092391" TargetMode="External"/><Relationship Id="rId21" Type="http://schemas.openxmlformats.org/officeDocument/2006/relationships/hyperlink" Target="http://www.nevo.co.il/case/25818152"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6169989" TargetMode="External"/><Relationship Id="rId25" Type="http://schemas.openxmlformats.org/officeDocument/2006/relationships/hyperlink" Target="http://www.nevo.co.il/law/7030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6987521" TargetMode="External"/><Relationship Id="rId20" Type="http://schemas.openxmlformats.org/officeDocument/2006/relationships/hyperlink" Target="http://www.nevo.co.il/case/28938393" TargetMode="External"/><Relationship Id="rId29" Type="http://schemas.openxmlformats.org/officeDocument/2006/relationships/hyperlink" Target="http://www.nevo.co.il/case/3795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law/70301/40d.a"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6987521" TargetMode="External"/><Relationship Id="rId23" Type="http://schemas.openxmlformats.org/officeDocument/2006/relationships/hyperlink" Target="http://www.nevo.co.il/case/26900100" TargetMode="External"/><Relationship Id="rId28" Type="http://schemas.openxmlformats.org/officeDocument/2006/relationships/hyperlink" Target="http://www.nevo.co.il/case/22938500"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4221325"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4266644" TargetMode="External"/><Relationship Id="rId27" Type="http://schemas.openxmlformats.org/officeDocument/2006/relationships/hyperlink" Target="http://www.nevo.co.il/case/28280788" TargetMode="External"/><Relationship Id="rId30" Type="http://schemas.openxmlformats.org/officeDocument/2006/relationships/hyperlink" Target="http://www.nevo.co.il/case/25496997"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2631</Words>
  <Characters>13160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15760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7864368</vt:i4>
      </vt:variant>
      <vt:variant>
        <vt:i4>72</vt:i4>
      </vt:variant>
      <vt:variant>
        <vt:i4>0</vt:i4>
      </vt:variant>
      <vt:variant>
        <vt:i4>5</vt:i4>
      </vt:variant>
      <vt:variant>
        <vt:lpwstr>http://www.eca.gov.il/</vt:lpwstr>
      </vt:variant>
      <vt:variant>
        <vt:lpwstr/>
      </vt:variant>
      <vt:variant>
        <vt:i4>3735665</vt:i4>
      </vt:variant>
      <vt:variant>
        <vt:i4>69</vt:i4>
      </vt:variant>
      <vt:variant>
        <vt:i4>0</vt:i4>
      </vt:variant>
      <vt:variant>
        <vt:i4>5</vt:i4>
      </vt:variant>
      <vt:variant>
        <vt:lpwstr>http://www.nevo.co.il/case/25496997</vt:lpwstr>
      </vt:variant>
      <vt:variant>
        <vt:lpwstr/>
      </vt:variant>
      <vt:variant>
        <vt:i4>589894</vt:i4>
      </vt:variant>
      <vt:variant>
        <vt:i4>66</vt:i4>
      </vt:variant>
      <vt:variant>
        <vt:i4>0</vt:i4>
      </vt:variant>
      <vt:variant>
        <vt:i4>5</vt:i4>
      </vt:variant>
      <vt:variant>
        <vt:lpwstr>http://www.nevo.co.il/case/379537</vt:lpwstr>
      </vt:variant>
      <vt:variant>
        <vt:lpwstr/>
      </vt:variant>
      <vt:variant>
        <vt:i4>3342448</vt:i4>
      </vt:variant>
      <vt:variant>
        <vt:i4>63</vt:i4>
      </vt:variant>
      <vt:variant>
        <vt:i4>0</vt:i4>
      </vt:variant>
      <vt:variant>
        <vt:i4>5</vt:i4>
      </vt:variant>
      <vt:variant>
        <vt:lpwstr>http://www.nevo.co.il/case/22938500</vt:lpwstr>
      </vt:variant>
      <vt:variant>
        <vt:lpwstr/>
      </vt:variant>
      <vt:variant>
        <vt:i4>3670131</vt:i4>
      </vt:variant>
      <vt:variant>
        <vt:i4>60</vt:i4>
      </vt:variant>
      <vt:variant>
        <vt:i4>0</vt:i4>
      </vt:variant>
      <vt:variant>
        <vt:i4>5</vt:i4>
      </vt:variant>
      <vt:variant>
        <vt:lpwstr>http://www.nevo.co.il/case/28280788</vt:lpwstr>
      </vt:variant>
      <vt:variant>
        <vt:lpwstr/>
      </vt:variant>
      <vt:variant>
        <vt:i4>3735670</vt:i4>
      </vt:variant>
      <vt:variant>
        <vt:i4>57</vt:i4>
      </vt:variant>
      <vt:variant>
        <vt:i4>0</vt:i4>
      </vt:variant>
      <vt:variant>
        <vt:i4>5</vt:i4>
      </vt:variant>
      <vt:variant>
        <vt:lpwstr>http://www.nevo.co.il/case/28092391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4915205</vt:i4>
      </vt:variant>
      <vt:variant>
        <vt:i4>51</vt:i4>
      </vt:variant>
      <vt:variant>
        <vt:i4>0</vt:i4>
      </vt:variant>
      <vt:variant>
        <vt:i4>5</vt:i4>
      </vt:variant>
      <vt:variant>
        <vt:lpwstr>http://www.nevo.co.il/law/70301/40d.a</vt:lpwstr>
      </vt:variant>
      <vt:variant>
        <vt:lpwstr/>
      </vt:variant>
      <vt:variant>
        <vt:i4>3866739</vt:i4>
      </vt:variant>
      <vt:variant>
        <vt:i4>48</vt:i4>
      </vt:variant>
      <vt:variant>
        <vt:i4>0</vt:i4>
      </vt:variant>
      <vt:variant>
        <vt:i4>5</vt:i4>
      </vt:variant>
      <vt:variant>
        <vt:lpwstr>http://www.nevo.co.il/case/26900100</vt:lpwstr>
      </vt:variant>
      <vt:variant>
        <vt:lpwstr/>
      </vt:variant>
      <vt:variant>
        <vt:i4>3276912</vt:i4>
      </vt:variant>
      <vt:variant>
        <vt:i4>45</vt:i4>
      </vt:variant>
      <vt:variant>
        <vt:i4>0</vt:i4>
      </vt:variant>
      <vt:variant>
        <vt:i4>5</vt:i4>
      </vt:variant>
      <vt:variant>
        <vt:lpwstr>http://www.nevo.co.il/case/24266644</vt:lpwstr>
      </vt:variant>
      <vt:variant>
        <vt:lpwstr/>
      </vt:variant>
      <vt:variant>
        <vt:i4>3604593</vt:i4>
      </vt:variant>
      <vt:variant>
        <vt:i4>42</vt:i4>
      </vt:variant>
      <vt:variant>
        <vt:i4>0</vt:i4>
      </vt:variant>
      <vt:variant>
        <vt:i4>5</vt:i4>
      </vt:variant>
      <vt:variant>
        <vt:lpwstr>http://www.nevo.co.il/case/25818152</vt:lpwstr>
      </vt:variant>
      <vt:variant>
        <vt:lpwstr/>
      </vt:variant>
      <vt:variant>
        <vt:i4>3801212</vt:i4>
      </vt:variant>
      <vt:variant>
        <vt:i4>39</vt:i4>
      </vt:variant>
      <vt:variant>
        <vt:i4>0</vt:i4>
      </vt:variant>
      <vt:variant>
        <vt:i4>5</vt:i4>
      </vt:variant>
      <vt:variant>
        <vt:lpwstr>http://www.nevo.co.il/case/28938393</vt:lpwstr>
      </vt:variant>
      <vt:variant>
        <vt:lpwstr/>
      </vt:variant>
      <vt:variant>
        <vt:i4>3342449</vt:i4>
      </vt:variant>
      <vt:variant>
        <vt:i4>36</vt:i4>
      </vt:variant>
      <vt:variant>
        <vt:i4>0</vt:i4>
      </vt:variant>
      <vt:variant>
        <vt:i4>5</vt:i4>
      </vt:variant>
      <vt:variant>
        <vt:lpwstr>http://www.nevo.co.il/case/24221325</vt:lpwstr>
      </vt:variant>
      <vt:variant>
        <vt:lpwstr/>
      </vt:variant>
      <vt:variant>
        <vt:i4>3473524</vt:i4>
      </vt:variant>
      <vt:variant>
        <vt:i4>33</vt:i4>
      </vt:variant>
      <vt:variant>
        <vt:i4>0</vt:i4>
      </vt:variant>
      <vt:variant>
        <vt:i4>5</vt:i4>
      </vt:variant>
      <vt:variant>
        <vt:lpwstr>http://www.nevo.co.il/case/30122254</vt:lpwstr>
      </vt:variant>
      <vt:variant>
        <vt:lpwstr/>
      </vt:variant>
      <vt:variant>
        <vt:i4>3145844</vt:i4>
      </vt:variant>
      <vt:variant>
        <vt:i4>30</vt:i4>
      </vt:variant>
      <vt:variant>
        <vt:i4>0</vt:i4>
      </vt:variant>
      <vt:variant>
        <vt:i4>5</vt:i4>
      </vt:variant>
      <vt:variant>
        <vt:lpwstr>http://www.nevo.co.il/case/6169989</vt:lpwstr>
      </vt:variant>
      <vt:variant>
        <vt:lpwstr/>
      </vt:variant>
      <vt:variant>
        <vt:i4>3801208</vt:i4>
      </vt:variant>
      <vt:variant>
        <vt:i4>27</vt:i4>
      </vt:variant>
      <vt:variant>
        <vt:i4>0</vt:i4>
      </vt:variant>
      <vt:variant>
        <vt:i4>5</vt:i4>
      </vt:variant>
      <vt:variant>
        <vt:lpwstr>http://www.nevo.co.il/case/6987521</vt:lpwstr>
      </vt:variant>
      <vt:variant>
        <vt:lpwstr/>
      </vt:variant>
      <vt:variant>
        <vt:i4>3801208</vt:i4>
      </vt:variant>
      <vt:variant>
        <vt:i4>24</vt:i4>
      </vt:variant>
      <vt:variant>
        <vt:i4>0</vt:i4>
      </vt:variant>
      <vt:variant>
        <vt:i4>5</vt:i4>
      </vt:variant>
      <vt:variant>
        <vt:lpwstr>http://www.nevo.co.il/case/6987521</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2025-04-23T01:08:00Z</dcterms:created>
  <dcterms:modified xsi:type="dcterms:W3CDTF">2025-04-23T01:08:00Z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42707</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גבריאל בזיני</vt:lpwstr>
  </property>
  <property fmtid="{D5CDD505-2E9C-101B-9397-08002B2CF9AE}" pid="10" name="LAWYER">
    <vt:lpwstr>לילך גולן;ענבר קינן</vt:lpwstr>
  </property>
  <property fmtid="{D5CDD505-2E9C-101B-9397-08002B2CF9AE}" pid="11" name="JUDGE">
    <vt:lpwstr>ענת יהב</vt:lpwstr>
  </property>
  <property fmtid="{D5CDD505-2E9C-101B-9397-08002B2CF9AE}" pid="12" name="CITY">
    <vt:lpwstr>ת"א</vt:lpwstr>
  </property>
  <property fmtid="{D5CDD505-2E9C-101B-9397-08002B2CF9AE}" pid="13" name="DATE">
    <vt:lpwstr>20240516</vt:lpwstr>
  </property>
  <property fmtid="{D5CDD505-2E9C-101B-9397-08002B2CF9AE}" pid="14" name="TYPE_N_DATE">
    <vt:lpwstr>38020240516</vt:lpwstr>
  </property>
  <property fmtid="{D5CDD505-2E9C-101B-9397-08002B2CF9AE}" pid="15" name="WORDNUMPAGES">
    <vt:lpwstr>8</vt:lpwstr>
  </property>
  <property fmtid="{D5CDD505-2E9C-101B-9397-08002B2CF9AE}" pid="16" name="TYPE_ABS_DATE">
    <vt:lpwstr>380020240516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6987521:2;6169989;30122254;24221325;28938393;25818152;24266644;26900100;28092391;28280788;22938500;379537;25496997</vt:lpwstr>
  </property>
  <property fmtid="{D5CDD505-2E9C-101B-9397-08002B2CF9AE}" pid="36" name="LAWLISTTMP1">
    <vt:lpwstr>4216/007.a;007.c</vt:lpwstr>
  </property>
  <property fmtid="{D5CDD505-2E9C-101B-9397-08002B2CF9AE}" pid="37" name="LAWLISTTMP2">
    <vt:lpwstr>70301/040d.a</vt:lpwstr>
  </property>
</Properties>
</file>