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5789" w14:textId="77777777" w:rsidR="00B97B12" w:rsidRPr="00B97B12" w:rsidRDefault="00B97B12" w:rsidP="00DD1465">
      <w:pPr>
        <w:pStyle w:val="a4"/>
        <w:jc w:val="center"/>
        <w:rPr>
          <w:rtl/>
        </w:rPr>
      </w:pPr>
    </w:p>
    <w:tbl>
      <w:tblPr>
        <w:bidiVisual/>
        <w:tblW w:w="0" w:type="auto"/>
        <w:jc w:val="center"/>
        <w:tblLook w:val="0000" w:firstRow="0" w:lastRow="0" w:firstColumn="0" w:lastColumn="0" w:noHBand="0" w:noVBand="0"/>
      </w:tblPr>
      <w:tblGrid>
        <w:gridCol w:w="5054"/>
        <w:gridCol w:w="3667"/>
      </w:tblGrid>
      <w:tr w:rsidR="008B5593" w:rsidRPr="00B97B12" w14:paraId="31AB3293" w14:textId="77777777" w:rsidTr="00DD1465">
        <w:trPr>
          <w:trHeight w:hRule="exact" w:val="418"/>
          <w:jc w:val="center"/>
        </w:trPr>
        <w:tc>
          <w:tcPr>
            <w:tcW w:w="8721" w:type="dxa"/>
            <w:gridSpan w:val="2"/>
          </w:tcPr>
          <w:p w14:paraId="51B1EBAD" w14:textId="77777777" w:rsidR="008B5593" w:rsidRPr="00B97B12" w:rsidRDefault="008B5593" w:rsidP="00D24C56">
            <w:pPr>
              <w:pStyle w:val="a4"/>
              <w:jc w:val="center"/>
              <w:rPr>
                <w:rFonts w:ascii="Tahoma" w:hAnsi="Tahoma" w:cs="Tahoma"/>
                <w:color w:val="000080"/>
                <w:rtl/>
              </w:rPr>
            </w:pPr>
            <w:r w:rsidRPr="00B97B12">
              <w:rPr>
                <w:rFonts w:ascii="Tahoma" w:hAnsi="Tahoma" w:cs="Tahoma"/>
                <w:b/>
                <w:bCs/>
                <w:color w:val="000080"/>
                <w:rtl/>
              </w:rPr>
              <w:t>בית משפט השלום בבאר שבע</w:t>
            </w:r>
          </w:p>
        </w:tc>
      </w:tr>
      <w:tr w:rsidR="008B5593" w:rsidRPr="00B97B12" w14:paraId="0B4896DB" w14:textId="77777777" w:rsidTr="00DD1465">
        <w:trPr>
          <w:trHeight w:val="337"/>
          <w:jc w:val="center"/>
        </w:trPr>
        <w:tc>
          <w:tcPr>
            <w:tcW w:w="5054" w:type="dxa"/>
          </w:tcPr>
          <w:p w14:paraId="0FC00C5E" w14:textId="77777777" w:rsidR="008B5593" w:rsidRPr="00B97B12" w:rsidRDefault="008B5593" w:rsidP="00D24C56">
            <w:pPr>
              <w:rPr>
                <w:rFonts w:cs="FrankRuehl"/>
                <w:sz w:val="28"/>
                <w:szCs w:val="28"/>
                <w:rtl/>
              </w:rPr>
            </w:pPr>
            <w:r w:rsidRPr="00B97B12">
              <w:rPr>
                <w:rFonts w:cs="FrankRuehl"/>
                <w:sz w:val="28"/>
                <w:szCs w:val="28"/>
                <w:rtl/>
              </w:rPr>
              <w:t>ת"פ</w:t>
            </w:r>
            <w:r w:rsidRPr="00B97B12">
              <w:rPr>
                <w:rFonts w:cs="FrankRuehl" w:hint="cs"/>
                <w:sz w:val="28"/>
                <w:szCs w:val="28"/>
                <w:rtl/>
              </w:rPr>
              <w:t xml:space="preserve"> </w:t>
            </w:r>
            <w:r w:rsidRPr="00B97B12">
              <w:rPr>
                <w:rFonts w:cs="FrankRuehl"/>
                <w:sz w:val="28"/>
                <w:szCs w:val="28"/>
                <w:rtl/>
              </w:rPr>
              <w:t>43665-08-21</w:t>
            </w:r>
            <w:r w:rsidRPr="00B97B12">
              <w:rPr>
                <w:rFonts w:cs="FrankRuehl" w:hint="cs"/>
                <w:sz w:val="28"/>
                <w:szCs w:val="28"/>
                <w:rtl/>
              </w:rPr>
              <w:t xml:space="preserve"> </w:t>
            </w:r>
            <w:r w:rsidRPr="00B97B12">
              <w:rPr>
                <w:rFonts w:cs="FrankRuehl"/>
                <w:sz w:val="28"/>
                <w:szCs w:val="28"/>
                <w:rtl/>
              </w:rPr>
              <w:t>מדינת ישראל נ' אחדוב</w:t>
            </w:r>
          </w:p>
          <w:p w14:paraId="55A73941" w14:textId="77777777" w:rsidR="008B5593" w:rsidRPr="00B97B12" w:rsidRDefault="008B5593" w:rsidP="00D24C56">
            <w:pPr>
              <w:pStyle w:val="a4"/>
              <w:rPr>
                <w:rFonts w:cs="FrankRuehl"/>
                <w:sz w:val="28"/>
                <w:szCs w:val="28"/>
                <w:rtl/>
              </w:rPr>
            </w:pPr>
          </w:p>
        </w:tc>
        <w:tc>
          <w:tcPr>
            <w:tcW w:w="3667" w:type="dxa"/>
          </w:tcPr>
          <w:p w14:paraId="0B4C5AEB" w14:textId="77777777" w:rsidR="008B5593" w:rsidRPr="00B97B12" w:rsidRDefault="008B5593" w:rsidP="00D24C56">
            <w:pPr>
              <w:pStyle w:val="a4"/>
              <w:jc w:val="right"/>
              <w:rPr>
                <w:rFonts w:cs="FrankRuehl"/>
                <w:sz w:val="28"/>
                <w:szCs w:val="28"/>
                <w:rtl/>
              </w:rPr>
            </w:pPr>
          </w:p>
        </w:tc>
      </w:tr>
    </w:tbl>
    <w:p w14:paraId="7AD00CD9" w14:textId="77777777" w:rsidR="008B5593" w:rsidRPr="00B97B12" w:rsidRDefault="008B5593" w:rsidP="00DD1465">
      <w:pPr>
        <w:pStyle w:val="a4"/>
        <w:rPr>
          <w:rtl/>
        </w:rPr>
      </w:pPr>
      <w:r w:rsidRPr="00B97B1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5593" w:rsidRPr="00B97B12" w14:paraId="3AE7ED49" w14:textId="77777777" w:rsidTr="008B5593">
        <w:trPr>
          <w:trHeight w:val="295"/>
          <w:jc w:val="center"/>
        </w:trPr>
        <w:tc>
          <w:tcPr>
            <w:tcW w:w="923" w:type="dxa"/>
            <w:tcBorders>
              <w:top w:val="nil"/>
              <w:left w:val="nil"/>
              <w:bottom w:val="nil"/>
              <w:right w:val="nil"/>
            </w:tcBorders>
            <w:shd w:val="clear" w:color="auto" w:fill="auto"/>
          </w:tcPr>
          <w:p w14:paraId="1A89D101" w14:textId="77777777" w:rsidR="008B5593" w:rsidRPr="00B97B12" w:rsidRDefault="008B5593" w:rsidP="008B5593">
            <w:pPr>
              <w:jc w:val="both"/>
              <w:rPr>
                <w:rFonts w:ascii="David" w:hAnsi="David"/>
                <w:sz w:val="26"/>
                <w:szCs w:val="26"/>
              </w:rPr>
            </w:pPr>
            <w:r w:rsidRPr="00B97B12">
              <w:rPr>
                <w:rFonts w:ascii="David" w:hAnsi="David" w:hint="cs"/>
                <w:sz w:val="26"/>
                <w:szCs w:val="26"/>
                <w:rtl/>
              </w:rPr>
              <w:t>ל</w:t>
            </w:r>
            <w:r w:rsidRPr="00B97B1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423C3B1" w14:textId="77777777" w:rsidR="008B5593" w:rsidRPr="00B97B12" w:rsidRDefault="008B5593" w:rsidP="00D24C56">
            <w:pPr>
              <w:rPr>
                <w:rFonts w:ascii="David" w:hAnsi="David"/>
                <w:b/>
                <w:bCs/>
                <w:sz w:val="26"/>
                <w:szCs w:val="26"/>
                <w:rtl/>
              </w:rPr>
            </w:pPr>
            <w:r w:rsidRPr="00B97B12">
              <w:rPr>
                <w:rFonts w:ascii="David" w:hAnsi="David"/>
                <w:b/>
                <w:bCs/>
                <w:sz w:val="26"/>
                <w:szCs w:val="26"/>
                <w:rtl/>
              </w:rPr>
              <w:t>כבוד השופט, סגן הנשיא  אבישי כהן</w:t>
            </w:r>
          </w:p>
          <w:p w14:paraId="5B173D35" w14:textId="77777777" w:rsidR="008B5593" w:rsidRPr="00B97B12" w:rsidRDefault="008B5593" w:rsidP="00D24C56">
            <w:pPr>
              <w:rPr>
                <w:rFonts w:ascii="David" w:hAnsi="David"/>
                <w:sz w:val="26"/>
                <w:szCs w:val="26"/>
                <w:rtl/>
              </w:rPr>
            </w:pPr>
          </w:p>
          <w:p w14:paraId="25940747" w14:textId="77777777" w:rsidR="008B5593" w:rsidRPr="00B97B12" w:rsidRDefault="008B5593" w:rsidP="008B5593">
            <w:pPr>
              <w:jc w:val="both"/>
              <w:rPr>
                <w:rFonts w:ascii="David" w:hAnsi="David"/>
                <w:sz w:val="26"/>
                <w:szCs w:val="26"/>
              </w:rPr>
            </w:pPr>
          </w:p>
        </w:tc>
      </w:tr>
      <w:tr w:rsidR="008B5593" w:rsidRPr="00B97B12" w14:paraId="074953C4" w14:textId="77777777" w:rsidTr="008B5593">
        <w:trPr>
          <w:trHeight w:val="355"/>
          <w:jc w:val="center"/>
        </w:trPr>
        <w:tc>
          <w:tcPr>
            <w:tcW w:w="923" w:type="dxa"/>
            <w:tcBorders>
              <w:top w:val="nil"/>
              <w:left w:val="nil"/>
              <w:bottom w:val="nil"/>
              <w:right w:val="nil"/>
            </w:tcBorders>
            <w:shd w:val="clear" w:color="auto" w:fill="auto"/>
          </w:tcPr>
          <w:p w14:paraId="6E86CFBA" w14:textId="77777777" w:rsidR="008B5593" w:rsidRPr="00B97B12" w:rsidRDefault="008B5593" w:rsidP="008B5593">
            <w:pPr>
              <w:jc w:val="both"/>
              <w:rPr>
                <w:rFonts w:ascii="David" w:hAnsi="David"/>
                <w:sz w:val="26"/>
                <w:szCs w:val="26"/>
              </w:rPr>
            </w:pPr>
            <w:bookmarkStart w:id="0" w:name="FirstAppellant"/>
            <w:bookmarkStart w:id="1" w:name="FirstLawyer"/>
            <w:bookmarkStart w:id="2" w:name="LastJudge"/>
            <w:bookmarkEnd w:id="2"/>
            <w:r w:rsidRPr="00B97B12">
              <w:rPr>
                <w:rFonts w:ascii="David" w:hAnsi="David"/>
                <w:sz w:val="26"/>
                <w:szCs w:val="26"/>
                <w:rtl/>
              </w:rPr>
              <w:t>בעניין:</w:t>
            </w:r>
          </w:p>
        </w:tc>
        <w:tc>
          <w:tcPr>
            <w:tcW w:w="3219" w:type="dxa"/>
            <w:tcBorders>
              <w:top w:val="nil"/>
              <w:left w:val="nil"/>
              <w:bottom w:val="nil"/>
              <w:right w:val="nil"/>
            </w:tcBorders>
            <w:shd w:val="clear" w:color="auto" w:fill="auto"/>
          </w:tcPr>
          <w:p w14:paraId="44DBF3FA" w14:textId="77777777" w:rsidR="008B5593" w:rsidRPr="00B97B12" w:rsidRDefault="008B5593" w:rsidP="008B5593">
            <w:pPr>
              <w:suppressLineNumbers/>
            </w:pPr>
            <w:r w:rsidRPr="00B97B12">
              <w:rPr>
                <w:rFonts w:ascii="Arial" w:hAnsi="Arial" w:hint="cs"/>
                <w:b/>
                <w:bCs/>
                <w:sz w:val="26"/>
                <w:szCs w:val="26"/>
                <w:rtl/>
              </w:rPr>
              <w:t>ה</w:t>
            </w:r>
            <w:r w:rsidRPr="00B97B12">
              <w:rPr>
                <w:rFonts w:ascii="Arial" w:hAnsi="Arial"/>
                <w:b/>
                <w:bCs/>
                <w:sz w:val="26"/>
                <w:szCs w:val="26"/>
                <w:rtl/>
              </w:rPr>
              <w:t>מאשימה</w:t>
            </w:r>
          </w:p>
          <w:p w14:paraId="452B9CC1" w14:textId="77777777" w:rsidR="008B5593" w:rsidRPr="00B97B12" w:rsidRDefault="008B5593" w:rsidP="00D24C56">
            <w:pPr>
              <w:rPr>
                <w:rFonts w:ascii="David" w:hAnsi="David"/>
                <w:sz w:val="26"/>
                <w:szCs w:val="26"/>
              </w:rPr>
            </w:pPr>
          </w:p>
        </w:tc>
        <w:tc>
          <w:tcPr>
            <w:tcW w:w="4678" w:type="dxa"/>
            <w:tcBorders>
              <w:top w:val="nil"/>
              <w:left w:val="nil"/>
              <w:bottom w:val="nil"/>
              <w:right w:val="nil"/>
            </w:tcBorders>
            <w:shd w:val="clear" w:color="auto" w:fill="auto"/>
            <w:vAlign w:val="center"/>
          </w:tcPr>
          <w:p w14:paraId="35297746" w14:textId="77777777" w:rsidR="008B5593" w:rsidRPr="00B97B12" w:rsidRDefault="008B5593" w:rsidP="008B5593">
            <w:pPr>
              <w:suppressLineNumbers/>
              <w:rPr>
                <w:rFonts w:ascii="Arial" w:hAnsi="Arial"/>
                <w:b/>
                <w:bCs/>
                <w:sz w:val="26"/>
                <w:szCs w:val="26"/>
                <w:rtl/>
              </w:rPr>
            </w:pPr>
            <w:r w:rsidRPr="00B97B12">
              <w:rPr>
                <w:rFonts w:ascii="Arial" w:hAnsi="Arial"/>
                <w:b/>
                <w:bCs/>
                <w:sz w:val="26"/>
                <w:szCs w:val="26"/>
                <w:rtl/>
              </w:rPr>
              <w:t>מדינת ישראל</w:t>
            </w:r>
            <w:r w:rsidRPr="00B97B12">
              <w:rPr>
                <w:rFonts w:ascii="Arial" w:hAnsi="Arial" w:hint="cs"/>
                <w:b/>
                <w:bCs/>
                <w:sz w:val="26"/>
                <w:szCs w:val="26"/>
                <w:rtl/>
              </w:rPr>
              <w:t xml:space="preserve"> </w:t>
            </w:r>
          </w:p>
          <w:p w14:paraId="12D18622" w14:textId="77777777" w:rsidR="008B5593" w:rsidRPr="00B97B12" w:rsidRDefault="008B5593" w:rsidP="008B5593">
            <w:pPr>
              <w:suppressLineNumbers/>
            </w:pPr>
            <w:r w:rsidRPr="00B97B12">
              <w:rPr>
                <w:rFonts w:ascii="Arial" w:hAnsi="Arial"/>
                <w:b/>
                <w:bCs/>
                <w:sz w:val="26"/>
                <w:szCs w:val="26"/>
                <w:rtl/>
              </w:rPr>
              <w:t>ע"י ב"כ עוה"</w:t>
            </w:r>
            <w:r w:rsidRPr="00B97B12">
              <w:rPr>
                <w:rFonts w:ascii="Arial" w:hAnsi="Arial" w:hint="cs"/>
                <w:b/>
                <w:bCs/>
                <w:sz w:val="26"/>
                <w:szCs w:val="26"/>
                <w:rtl/>
              </w:rPr>
              <w:t>ד ליטל פרץ</w:t>
            </w:r>
          </w:p>
          <w:p w14:paraId="0B1387B1" w14:textId="77777777" w:rsidR="008B5593" w:rsidRPr="00B97B12" w:rsidRDefault="008B5593" w:rsidP="00D24C56">
            <w:pPr>
              <w:rPr>
                <w:rFonts w:ascii="David" w:hAnsi="David"/>
                <w:sz w:val="26"/>
                <w:szCs w:val="26"/>
              </w:rPr>
            </w:pPr>
          </w:p>
        </w:tc>
      </w:tr>
      <w:bookmarkEnd w:id="0"/>
      <w:bookmarkEnd w:id="1"/>
      <w:tr w:rsidR="008B5593" w:rsidRPr="00B97B12" w14:paraId="5FD9C7F6" w14:textId="77777777" w:rsidTr="008B5593">
        <w:trPr>
          <w:trHeight w:val="355"/>
          <w:jc w:val="center"/>
        </w:trPr>
        <w:tc>
          <w:tcPr>
            <w:tcW w:w="923" w:type="dxa"/>
            <w:tcBorders>
              <w:top w:val="nil"/>
              <w:left w:val="nil"/>
              <w:bottom w:val="nil"/>
              <w:right w:val="nil"/>
            </w:tcBorders>
            <w:shd w:val="clear" w:color="auto" w:fill="auto"/>
          </w:tcPr>
          <w:p w14:paraId="231F3E1A" w14:textId="77777777" w:rsidR="008B5593" w:rsidRPr="00B97B12" w:rsidRDefault="008B5593" w:rsidP="008B559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09E3242" w14:textId="77777777" w:rsidR="008B5593" w:rsidRPr="00B97B12" w:rsidRDefault="008B5593" w:rsidP="008B5593">
            <w:pPr>
              <w:jc w:val="center"/>
              <w:rPr>
                <w:rFonts w:ascii="David" w:hAnsi="David"/>
                <w:b/>
                <w:bCs/>
                <w:sz w:val="26"/>
                <w:szCs w:val="26"/>
                <w:rtl/>
              </w:rPr>
            </w:pPr>
            <w:r w:rsidRPr="00B97B12">
              <w:rPr>
                <w:rFonts w:ascii="David" w:hAnsi="David"/>
                <w:b/>
                <w:bCs/>
                <w:sz w:val="26"/>
                <w:szCs w:val="26"/>
                <w:rtl/>
              </w:rPr>
              <w:t>נגד</w:t>
            </w:r>
          </w:p>
          <w:p w14:paraId="4FFAB40A" w14:textId="77777777" w:rsidR="008B5593" w:rsidRPr="00B97B12" w:rsidRDefault="008B5593" w:rsidP="008B5593">
            <w:pPr>
              <w:jc w:val="both"/>
              <w:rPr>
                <w:rFonts w:ascii="David" w:hAnsi="David"/>
                <w:sz w:val="26"/>
                <w:szCs w:val="26"/>
              </w:rPr>
            </w:pPr>
          </w:p>
        </w:tc>
      </w:tr>
      <w:tr w:rsidR="008B5593" w:rsidRPr="00B97B12" w14:paraId="625CEB5F" w14:textId="77777777" w:rsidTr="008B5593">
        <w:trPr>
          <w:trHeight w:val="355"/>
          <w:jc w:val="center"/>
        </w:trPr>
        <w:tc>
          <w:tcPr>
            <w:tcW w:w="923" w:type="dxa"/>
            <w:tcBorders>
              <w:top w:val="nil"/>
              <w:left w:val="nil"/>
              <w:bottom w:val="nil"/>
              <w:right w:val="nil"/>
            </w:tcBorders>
            <w:shd w:val="clear" w:color="auto" w:fill="auto"/>
          </w:tcPr>
          <w:p w14:paraId="40D915FD" w14:textId="77777777" w:rsidR="008B5593" w:rsidRPr="00B97B12" w:rsidRDefault="008B5593" w:rsidP="00D24C56">
            <w:pPr>
              <w:rPr>
                <w:rFonts w:ascii="David" w:hAnsi="David"/>
                <w:sz w:val="26"/>
                <w:szCs w:val="26"/>
                <w:rtl/>
              </w:rPr>
            </w:pPr>
          </w:p>
        </w:tc>
        <w:tc>
          <w:tcPr>
            <w:tcW w:w="3219" w:type="dxa"/>
            <w:tcBorders>
              <w:top w:val="nil"/>
              <w:left w:val="nil"/>
              <w:bottom w:val="nil"/>
              <w:right w:val="nil"/>
            </w:tcBorders>
            <w:shd w:val="clear" w:color="auto" w:fill="auto"/>
          </w:tcPr>
          <w:p w14:paraId="632D5AC8" w14:textId="77777777" w:rsidR="008B5593" w:rsidRPr="00B97B12" w:rsidRDefault="008B5593" w:rsidP="00D24C56">
            <w:pPr>
              <w:rPr>
                <w:rFonts w:ascii="Arial" w:hAnsi="Arial"/>
                <w:b/>
                <w:bCs/>
                <w:sz w:val="26"/>
                <w:szCs w:val="26"/>
                <w:rtl/>
              </w:rPr>
            </w:pPr>
            <w:r w:rsidRPr="00B97B12">
              <w:rPr>
                <w:rFonts w:ascii="Arial" w:hAnsi="Arial"/>
                <w:b/>
                <w:bCs/>
                <w:sz w:val="26"/>
                <w:szCs w:val="26"/>
                <w:rtl/>
              </w:rPr>
              <w:t>הנאש</w:t>
            </w:r>
            <w:r w:rsidRPr="00B97B12">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5E009C9F" w14:textId="77777777" w:rsidR="008B5593" w:rsidRPr="00B97B12" w:rsidRDefault="008B5593" w:rsidP="008B5593">
            <w:pPr>
              <w:suppressLineNumbers/>
              <w:rPr>
                <w:rFonts w:ascii="Arial" w:hAnsi="Arial"/>
                <w:b/>
                <w:bCs/>
                <w:sz w:val="26"/>
                <w:szCs w:val="26"/>
                <w:rtl/>
              </w:rPr>
            </w:pPr>
            <w:r w:rsidRPr="00B97B12">
              <w:rPr>
                <w:rFonts w:ascii="Arial" w:hAnsi="Arial"/>
                <w:b/>
                <w:bCs/>
                <w:sz w:val="26"/>
                <w:szCs w:val="26"/>
                <w:rtl/>
              </w:rPr>
              <w:t>טימור אחדוב</w:t>
            </w:r>
            <w:r w:rsidRPr="00B97B12">
              <w:rPr>
                <w:rFonts w:ascii="Arial" w:hAnsi="Arial" w:hint="cs"/>
                <w:b/>
                <w:bCs/>
                <w:sz w:val="26"/>
                <w:szCs w:val="26"/>
                <w:rtl/>
              </w:rPr>
              <w:t xml:space="preserve"> - בעצמו</w:t>
            </w:r>
          </w:p>
          <w:p w14:paraId="5885642A" w14:textId="77777777" w:rsidR="008B5593" w:rsidRPr="00B97B12" w:rsidRDefault="008B5593" w:rsidP="008B5593">
            <w:pPr>
              <w:suppressLineNumbers/>
            </w:pPr>
            <w:r w:rsidRPr="00B97B12">
              <w:rPr>
                <w:rFonts w:ascii="Arial" w:hAnsi="Arial"/>
                <w:b/>
                <w:bCs/>
                <w:sz w:val="26"/>
                <w:szCs w:val="26"/>
                <w:rtl/>
              </w:rPr>
              <w:t>ע"י ב"כ עוה"ד</w:t>
            </w:r>
            <w:r w:rsidRPr="00B97B12">
              <w:rPr>
                <w:rFonts w:ascii="Arial" w:hAnsi="Arial" w:hint="cs"/>
                <w:b/>
                <w:bCs/>
                <w:sz w:val="26"/>
                <w:szCs w:val="26"/>
                <w:rtl/>
              </w:rPr>
              <w:t xml:space="preserve"> נאצר אלעטאונה</w:t>
            </w:r>
          </w:p>
          <w:p w14:paraId="10608863" w14:textId="77777777" w:rsidR="008B5593" w:rsidRPr="00B97B12" w:rsidRDefault="008B5593" w:rsidP="00D24C56">
            <w:pPr>
              <w:rPr>
                <w:rFonts w:ascii="David" w:hAnsi="David"/>
                <w:sz w:val="26"/>
                <w:szCs w:val="26"/>
              </w:rPr>
            </w:pPr>
          </w:p>
        </w:tc>
      </w:tr>
    </w:tbl>
    <w:p w14:paraId="21BE7833" w14:textId="77777777" w:rsidR="00B97B12" w:rsidRPr="00B97B12" w:rsidRDefault="00B97B12" w:rsidP="00B97B12">
      <w:pPr>
        <w:spacing w:before="120" w:after="120" w:line="240" w:lineRule="exact"/>
        <w:ind w:left="283" w:hanging="283"/>
        <w:jc w:val="both"/>
        <w:rPr>
          <w:rFonts w:ascii="FrankRuehl" w:hAnsi="FrankRuehl" w:cs="FrankRuehl"/>
          <w:rtl/>
        </w:rPr>
      </w:pPr>
    </w:p>
    <w:p w14:paraId="23160A74" w14:textId="77777777" w:rsidR="00B97B12" w:rsidRPr="00B97B12" w:rsidRDefault="00B97B12" w:rsidP="00B97B12">
      <w:pPr>
        <w:rPr>
          <w:rtl/>
        </w:rPr>
      </w:pPr>
    </w:p>
    <w:p w14:paraId="1F9BDA63" w14:textId="77777777" w:rsidR="00DD1465" w:rsidRPr="00DD1465" w:rsidRDefault="00DD1465" w:rsidP="00DD1465">
      <w:pPr>
        <w:spacing w:before="120" w:after="120" w:line="240" w:lineRule="exact"/>
        <w:ind w:left="283" w:hanging="283"/>
        <w:jc w:val="both"/>
        <w:rPr>
          <w:rFonts w:ascii="FrankRuehl" w:hAnsi="FrankRuehl" w:cs="FrankRuehl"/>
          <w:rtl/>
        </w:rPr>
      </w:pPr>
      <w:bookmarkStart w:id="3" w:name="LawTable"/>
      <w:bookmarkEnd w:id="3"/>
    </w:p>
    <w:p w14:paraId="3915BE10" w14:textId="77777777" w:rsidR="00DD1465" w:rsidRPr="00DD1465" w:rsidRDefault="00DD1465" w:rsidP="00DD1465">
      <w:pPr>
        <w:spacing w:before="120" w:after="120" w:line="240" w:lineRule="exact"/>
        <w:ind w:left="283" w:hanging="283"/>
        <w:jc w:val="both"/>
        <w:rPr>
          <w:rFonts w:ascii="FrankRuehl" w:hAnsi="FrankRuehl" w:cs="FrankRuehl"/>
          <w:rtl/>
        </w:rPr>
      </w:pPr>
      <w:r w:rsidRPr="00DD1465">
        <w:rPr>
          <w:rFonts w:ascii="FrankRuehl" w:hAnsi="FrankRuehl" w:cs="FrankRuehl"/>
          <w:rtl/>
        </w:rPr>
        <w:t xml:space="preserve">חקיקה שאוזכרה: </w:t>
      </w:r>
    </w:p>
    <w:p w14:paraId="12294B33" w14:textId="77777777" w:rsidR="00DD1465" w:rsidRPr="00DD1465" w:rsidRDefault="00DD1465" w:rsidP="00DD1465">
      <w:pPr>
        <w:spacing w:before="120" w:after="120" w:line="240" w:lineRule="exact"/>
        <w:ind w:left="283" w:hanging="283"/>
        <w:jc w:val="both"/>
        <w:rPr>
          <w:rFonts w:ascii="FrankRuehl" w:hAnsi="FrankRuehl" w:cs="FrankRuehl"/>
          <w:color w:val="0000FF"/>
          <w:rtl/>
        </w:rPr>
      </w:pPr>
      <w:hyperlink r:id="rId7" w:history="1">
        <w:r w:rsidRPr="00DD1465">
          <w:rPr>
            <w:rStyle w:val="Hyperlink"/>
            <w:rFonts w:ascii="FrankRuehl" w:hAnsi="FrankRuehl" w:cs="FrankRuehl"/>
            <w:u w:val="none"/>
            <w:rtl/>
          </w:rPr>
          <w:t>חוק העונשין, תשל"ז-1977</w:t>
        </w:r>
      </w:hyperlink>
      <w:r w:rsidRPr="00DD1465">
        <w:rPr>
          <w:rFonts w:ascii="FrankRuehl" w:hAnsi="FrankRuehl" w:cs="FrankRuehl"/>
          <w:color w:val="0000FF"/>
          <w:rtl/>
        </w:rPr>
        <w:t xml:space="preserve">: סע'  </w:t>
      </w:r>
      <w:hyperlink r:id="rId8" w:history="1">
        <w:r w:rsidRPr="00DD1465">
          <w:rPr>
            <w:rStyle w:val="Hyperlink"/>
            <w:rFonts w:ascii="FrankRuehl" w:hAnsi="FrankRuehl" w:cs="FrankRuehl"/>
            <w:u w:val="none"/>
          </w:rPr>
          <w:t>25</w:t>
        </w:r>
      </w:hyperlink>
      <w:r w:rsidRPr="00DD1465">
        <w:rPr>
          <w:rFonts w:ascii="FrankRuehl" w:hAnsi="FrankRuehl" w:cs="FrankRuehl"/>
          <w:color w:val="0000FF"/>
          <w:rtl/>
        </w:rPr>
        <w:t xml:space="preserve">, </w:t>
      </w:r>
      <w:hyperlink r:id="rId9" w:history="1">
        <w:r w:rsidRPr="00DD1465">
          <w:rPr>
            <w:rStyle w:val="Hyperlink"/>
            <w:rFonts w:ascii="FrankRuehl" w:hAnsi="FrankRuehl" w:cs="FrankRuehl"/>
            <w:u w:val="none"/>
          </w:rPr>
          <w:t xml:space="preserve">40 </w:t>
        </w:r>
        <w:r w:rsidRPr="00DD1465">
          <w:rPr>
            <w:rStyle w:val="Hyperlink"/>
            <w:rFonts w:ascii="FrankRuehl" w:hAnsi="FrankRuehl" w:cs="FrankRuehl"/>
            <w:u w:val="none"/>
            <w:rtl/>
          </w:rPr>
          <w:t>ט</w:t>
        </w:r>
        <w:r w:rsidRPr="00DD1465">
          <w:rPr>
            <w:rStyle w:val="Hyperlink"/>
            <w:rFonts w:ascii="FrankRuehl" w:hAnsi="FrankRuehl" w:cs="FrankRuehl"/>
            <w:u w:val="none"/>
          </w:rPr>
          <w:t>'</w:t>
        </w:r>
      </w:hyperlink>
      <w:r w:rsidRPr="00DD1465">
        <w:rPr>
          <w:rFonts w:ascii="FrankRuehl" w:hAnsi="FrankRuehl" w:cs="FrankRuehl"/>
          <w:color w:val="0000FF"/>
          <w:rtl/>
        </w:rPr>
        <w:t xml:space="preserve">, </w:t>
      </w:r>
      <w:hyperlink r:id="rId10" w:history="1">
        <w:r w:rsidRPr="00DD1465">
          <w:rPr>
            <w:rStyle w:val="Hyperlink"/>
            <w:rFonts w:ascii="FrankRuehl" w:hAnsi="FrankRuehl" w:cs="FrankRuehl"/>
            <w:u w:val="none"/>
          </w:rPr>
          <w:t>384</w:t>
        </w:r>
      </w:hyperlink>
      <w:r w:rsidRPr="00DD1465">
        <w:rPr>
          <w:rFonts w:ascii="FrankRuehl" w:hAnsi="FrankRuehl" w:cs="FrankRuehl"/>
          <w:color w:val="0000FF"/>
          <w:rtl/>
        </w:rPr>
        <w:t xml:space="preserve">, </w:t>
      </w:r>
      <w:hyperlink r:id="rId11" w:history="1">
        <w:r w:rsidRPr="00DD1465">
          <w:rPr>
            <w:rStyle w:val="Hyperlink"/>
            <w:rFonts w:ascii="FrankRuehl" w:hAnsi="FrankRuehl" w:cs="FrankRuehl"/>
            <w:u w:val="none"/>
          </w:rPr>
          <w:t>406</w:t>
        </w:r>
      </w:hyperlink>
      <w:r w:rsidRPr="00DD1465">
        <w:rPr>
          <w:rFonts w:ascii="FrankRuehl" w:hAnsi="FrankRuehl" w:cs="FrankRuehl"/>
          <w:color w:val="0000FF"/>
          <w:rtl/>
        </w:rPr>
        <w:t xml:space="preserve">(א), </w:t>
      </w:r>
      <w:hyperlink r:id="rId12" w:history="1">
        <w:r w:rsidRPr="00DD1465">
          <w:rPr>
            <w:rStyle w:val="Hyperlink"/>
            <w:rFonts w:ascii="FrankRuehl" w:hAnsi="FrankRuehl" w:cs="FrankRuehl"/>
            <w:u w:val="none"/>
          </w:rPr>
          <w:t xml:space="preserve">406 </w:t>
        </w:r>
      </w:hyperlink>
      <w:r w:rsidRPr="00DD1465">
        <w:rPr>
          <w:rFonts w:ascii="FrankRuehl" w:hAnsi="FrankRuehl" w:cs="FrankRuehl"/>
          <w:color w:val="0000FF"/>
          <w:rtl/>
        </w:rPr>
        <w:t xml:space="preserve">(ב), </w:t>
      </w:r>
      <w:hyperlink r:id="rId13" w:history="1">
        <w:r w:rsidRPr="00DD1465">
          <w:rPr>
            <w:rStyle w:val="Hyperlink"/>
            <w:rFonts w:ascii="FrankRuehl" w:hAnsi="FrankRuehl" w:cs="FrankRuehl"/>
            <w:u w:val="none"/>
          </w:rPr>
          <w:t xml:space="preserve">407 </w:t>
        </w:r>
      </w:hyperlink>
      <w:r w:rsidRPr="00DD1465">
        <w:rPr>
          <w:rFonts w:ascii="FrankRuehl" w:hAnsi="FrankRuehl" w:cs="FrankRuehl"/>
          <w:color w:val="0000FF"/>
          <w:rtl/>
        </w:rPr>
        <w:t xml:space="preserve">(ב), </w:t>
      </w:r>
      <w:hyperlink r:id="rId14" w:history="1">
        <w:r w:rsidRPr="00DD1465">
          <w:rPr>
            <w:rStyle w:val="Hyperlink"/>
            <w:rFonts w:ascii="FrankRuehl" w:hAnsi="FrankRuehl" w:cs="FrankRuehl"/>
            <w:u w:val="none"/>
          </w:rPr>
          <w:t xml:space="preserve">40 </w:t>
        </w:r>
        <w:r w:rsidRPr="00DD1465">
          <w:rPr>
            <w:rStyle w:val="Hyperlink"/>
            <w:rFonts w:ascii="FrankRuehl" w:hAnsi="FrankRuehl" w:cs="FrankRuehl"/>
            <w:u w:val="none"/>
            <w:rtl/>
          </w:rPr>
          <w:t>יא</w:t>
        </w:r>
        <w:r w:rsidRPr="00DD1465">
          <w:rPr>
            <w:rStyle w:val="Hyperlink"/>
            <w:rFonts w:ascii="FrankRuehl" w:hAnsi="FrankRuehl" w:cs="FrankRuehl"/>
            <w:u w:val="none"/>
          </w:rPr>
          <w:t>'</w:t>
        </w:r>
      </w:hyperlink>
    </w:p>
    <w:p w14:paraId="55369FC5" w14:textId="77777777" w:rsidR="00DD1465" w:rsidRPr="00DD1465" w:rsidRDefault="00DD1465" w:rsidP="00DD1465">
      <w:pPr>
        <w:spacing w:before="120" w:after="120" w:line="240" w:lineRule="exact"/>
        <w:ind w:left="283" w:hanging="283"/>
        <w:jc w:val="both"/>
        <w:rPr>
          <w:rFonts w:ascii="FrankRuehl" w:hAnsi="FrankRuehl" w:cs="FrankRuehl"/>
          <w:color w:val="0000FF"/>
          <w:rtl/>
        </w:rPr>
      </w:pPr>
      <w:hyperlink r:id="rId15" w:history="1">
        <w:r w:rsidRPr="00DD1465">
          <w:rPr>
            <w:rStyle w:val="Hyperlink"/>
            <w:rFonts w:ascii="FrankRuehl" w:hAnsi="FrankRuehl" w:cs="FrankRuehl"/>
            <w:u w:val="none"/>
            <w:rtl/>
          </w:rPr>
          <w:t>חוק שירותי תשלום, תשע"ט-2019</w:t>
        </w:r>
      </w:hyperlink>
      <w:r w:rsidRPr="00DD1465">
        <w:rPr>
          <w:rFonts w:ascii="FrankRuehl" w:hAnsi="FrankRuehl" w:cs="FrankRuehl"/>
          <w:color w:val="0000FF"/>
          <w:rtl/>
        </w:rPr>
        <w:t xml:space="preserve">: סע'  </w:t>
      </w:r>
      <w:hyperlink r:id="rId16" w:history="1">
        <w:r w:rsidRPr="00DD1465">
          <w:rPr>
            <w:rStyle w:val="Hyperlink"/>
            <w:rFonts w:ascii="FrankRuehl" w:hAnsi="FrankRuehl" w:cs="FrankRuehl"/>
            <w:u w:val="none"/>
          </w:rPr>
          <w:t>40</w:t>
        </w:r>
      </w:hyperlink>
      <w:r w:rsidRPr="00DD1465">
        <w:rPr>
          <w:rFonts w:ascii="FrankRuehl" w:hAnsi="FrankRuehl" w:cs="FrankRuehl"/>
          <w:color w:val="0000FF"/>
          <w:rtl/>
        </w:rPr>
        <w:t xml:space="preserve">(ב)(1), </w:t>
      </w:r>
      <w:hyperlink r:id="rId17" w:history="1">
        <w:r w:rsidRPr="00DD1465">
          <w:rPr>
            <w:rStyle w:val="Hyperlink"/>
            <w:rFonts w:ascii="FrankRuehl" w:hAnsi="FrankRuehl" w:cs="FrankRuehl"/>
            <w:u w:val="none"/>
          </w:rPr>
          <w:t>40</w:t>
        </w:r>
      </w:hyperlink>
      <w:r w:rsidRPr="00DD1465">
        <w:rPr>
          <w:rFonts w:ascii="FrankRuehl" w:hAnsi="FrankRuehl" w:cs="FrankRuehl"/>
          <w:color w:val="0000FF"/>
          <w:rtl/>
        </w:rPr>
        <w:t>(ב)(2)</w:t>
      </w:r>
    </w:p>
    <w:p w14:paraId="2B9C23E8" w14:textId="77777777" w:rsidR="00DD1465" w:rsidRPr="00DD1465" w:rsidRDefault="00DD1465" w:rsidP="00DD1465">
      <w:pPr>
        <w:spacing w:before="120" w:after="120" w:line="240" w:lineRule="exact"/>
        <w:ind w:left="283" w:hanging="283"/>
        <w:jc w:val="both"/>
        <w:rPr>
          <w:rFonts w:ascii="FrankRuehl" w:hAnsi="FrankRuehl" w:cs="FrankRuehl"/>
          <w:color w:val="0000FF"/>
          <w:rtl/>
        </w:rPr>
      </w:pPr>
      <w:hyperlink r:id="rId18" w:history="1">
        <w:r w:rsidRPr="00DD1465">
          <w:rPr>
            <w:rStyle w:val="Hyperlink"/>
            <w:rFonts w:ascii="FrankRuehl" w:hAnsi="FrankRuehl" w:cs="FrankRuehl"/>
            <w:u w:val="none"/>
            <w:rtl/>
          </w:rPr>
          <w:t>פקודת הסמים המסוכנים [נוסח חדש], תשל"ג-1973</w:t>
        </w:r>
      </w:hyperlink>
      <w:r w:rsidRPr="00DD1465">
        <w:rPr>
          <w:rFonts w:ascii="FrankRuehl" w:hAnsi="FrankRuehl" w:cs="FrankRuehl"/>
          <w:color w:val="0000FF"/>
          <w:rtl/>
        </w:rPr>
        <w:t xml:space="preserve">: סע'  </w:t>
      </w:r>
      <w:hyperlink r:id="rId19" w:history="1">
        <w:r w:rsidRPr="00DD1465">
          <w:rPr>
            <w:rStyle w:val="Hyperlink"/>
            <w:rFonts w:ascii="FrankRuehl" w:hAnsi="FrankRuehl" w:cs="FrankRuehl"/>
            <w:u w:val="none"/>
          </w:rPr>
          <w:t>7</w:t>
        </w:r>
      </w:hyperlink>
      <w:r w:rsidRPr="00DD1465">
        <w:rPr>
          <w:rFonts w:ascii="FrankRuehl" w:hAnsi="FrankRuehl" w:cs="FrankRuehl"/>
          <w:color w:val="0000FF"/>
          <w:rtl/>
        </w:rPr>
        <w:t xml:space="preserve">(א), </w:t>
      </w:r>
      <w:hyperlink r:id="rId20" w:history="1">
        <w:r w:rsidRPr="00DD1465">
          <w:rPr>
            <w:rStyle w:val="Hyperlink"/>
            <w:rFonts w:ascii="FrankRuehl" w:hAnsi="FrankRuehl" w:cs="FrankRuehl"/>
            <w:u w:val="none"/>
          </w:rPr>
          <w:t>7</w:t>
        </w:r>
      </w:hyperlink>
      <w:r w:rsidRPr="00DD1465">
        <w:rPr>
          <w:rFonts w:ascii="FrankRuehl" w:hAnsi="FrankRuehl" w:cs="FrankRuehl"/>
          <w:color w:val="0000FF"/>
          <w:rtl/>
        </w:rPr>
        <w:t>(ג)</w:t>
      </w:r>
    </w:p>
    <w:p w14:paraId="201A3EDE" w14:textId="77777777" w:rsidR="00B97B12" w:rsidRDefault="00B97B12" w:rsidP="00DD1465">
      <w:pPr>
        <w:rPr>
          <w:rFonts w:hint="cs"/>
          <w:rtl/>
        </w:rPr>
      </w:pPr>
      <w:bookmarkStart w:id="4" w:name="LawTable_End"/>
      <w:bookmarkEnd w:id="4"/>
    </w:p>
    <w:p w14:paraId="29EA9E58" w14:textId="77777777" w:rsidR="00DD1465" w:rsidRDefault="00DD1465" w:rsidP="00DD1465">
      <w:pPr>
        <w:rPr>
          <w:rFonts w:hint="cs"/>
          <w:rtl/>
        </w:rPr>
      </w:pPr>
    </w:p>
    <w:p w14:paraId="28C96BB0" w14:textId="77777777" w:rsidR="00DD1465" w:rsidRDefault="00DD1465" w:rsidP="00DD1465">
      <w:pPr>
        <w:rPr>
          <w:rFonts w:hint="cs"/>
          <w:rtl/>
        </w:rPr>
      </w:pPr>
    </w:p>
    <w:p w14:paraId="523510FC" w14:textId="77777777" w:rsidR="00DD1465" w:rsidRPr="00DD1465" w:rsidRDefault="00DD1465" w:rsidP="00DD146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5593" w14:paraId="55969A66" w14:textId="77777777" w:rsidTr="008B5593">
        <w:trPr>
          <w:trHeight w:val="355"/>
          <w:jc w:val="center"/>
        </w:trPr>
        <w:tc>
          <w:tcPr>
            <w:tcW w:w="8820" w:type="dxa"/>
            <w:tcBorders>
              <w:top w:val="nil"/>
              <w:left w:val="nil"/>
              <w:bottom w:val="nil"/>
              <w:right w:val="nil"/>
            </w:tcBorders>
            <w:shd w:val="clear" w:color="auto" w:fill="auto"/>
          </w:tcPr>
          <w:p w14:paraId="58D9696A" w14:textId="77777777" w:rsidR="00B97B12" w:rsidRPr="00B97B12" w:rsidRDefault="00B97B12" w:rsidP="00B97B12">
            <w:pPr>
              <w:jc w:val="center"/>
              <w:rPr>
                <w:rFonts w:ascii="David" w:hAnsi="David"/>
                <w:b/>
                <w:bCs/>
                <w:sz w:val="32"/>
                <w:szCs w:val="32"/>
                <w:u w:val="single"/>
                <w:rtl/>
              </w:rPr>
            </w:pPr>
            <w:bookmarkStart w:id="5" w:name="PsakDin" w:colFirst="0" w:colLast="0"/>
            <w:r w:rsidRPr="00B97B12">
              <w:rPr>
                <w:rFonts w:ascii="David" w:hAnsi="David"/>
                <w:b/>
                <w:bCs/>
                <w:sz w:val="32"/>
                <w:szCs w:val="32"/>
                <w:u w:val="single"/>
                <w:rtl/>
              </w:rPr>
              <w:t>גזר דין</w:t>
            </w:r>
          </w:p>
          <w:p w14:paraId="27ADE77E" w14:textId="77777777" w:rsidR="008B5593" w:rsidRPr="00B97B12" w:rsidRDefault="008B5593" w:rsidP="00B97B12">
            <w:pPr>
              <w:jc w:val="center"/>
              <w:rPr>
                <w:rFonts w:ascii="David" w:hAnsi="David"/>
                <w:bCs/>
                <w:sz w:val="32"/>
                <w:szCs w:val="32"/>
                <w:u w:val="single"/>
                <w:rtl/>
              </w:rPr>
            </w:pPr>
          </w:p>
        </w:tc>
      </w:tr>
    </w:tbl>
    <w:bookmarkEnd w:id="5"/>
    <w:p w14:paraId="0DAE1BCA" w14:textId="77777777" w:rsidR="008B5593" w:rsidRDefault="008B5593" w:rsidP="008B5593">
      <w:pPr>
        <w:spacing w:line="360" w:lineRule="auto"/>
        <w:jc w:val="both"/>
        <w:rPr>
          <w:rFonts w:ascii="David" w:hAnsi="David"/>
          <w:bCs/>
          <w:u w:val="single"/>
        </w:rPr>
      </w:pPr>
      <w:r>
        <w:rPr>
          <w:rFonts w:ascii="David" w:hAnsi="David"/>
          <w:bCs/>
          <w:u w:val="single"/>
          <w:rtl/>
        </w:rPr>
        <w:t xml:space="preserve">רקע </w:t>
      </w:r>
    </w:p>
    <w:p w14:paraId="6B6CDAF7" w14:textId="77777777" w:rsidR="008B5593" w:rsidRDefault="008B5593" w:rsidP="008B5593">
      <w:pPr>
        <w:pStyle w:val="ab"/>
        <w:numPr>
          <w:ilvl w:val="0"/>
          <w:numId w:val="2"/>
        </w:numPr>
        <w:spacing w:line="360" w:lineRule="auto"/>
        <w:jc w:val="both"/>
        <w:rPr>
          <w:rFonts w:ascii="David" w:hAnsi="David" w:cs="David"/>
          <w:bCs/>
          <w:sz w:val="24"/>
          <w:szCs w:val="24"/>
          <w:u w:val="single"/>
          <w:rtl/>
        </w:rPr>
      </w:pPr>
      <w:bookmarkStart w:id="6" w:name="ABSTRACT_START"/>
      <w:bookmarkEnd w:id="6"/>
      <w:r>
        <w:rPr>
          <w:rFonts w:ascii="David" w:hAnsi="David" w:cs="David"/>
          <w:sz w:val="24"/>
          <w:szCs w:val="24"/>
          <w:rtl/>
        </w:rPr>
        <w:t xml:space="preserve">הנאשם הורשע על פי הודאתו בשני כתבי אישום שונים בעבירות הבאות: </w:t>
      </w:r>
    </w:p>
    <w:p w14:paraId="4A19139E" w14:textId="77777777" w:rsidR="008B5593" w:rsidRDefault="008B5593" w:rsidP="008B5593">
      <w:pPr>
        <w:pStyle w:val="ab"/>
        <w:numPr>
          <w:ilvl w:val="0"/>
          <w:numId w:val="3"/>
        </w:numPr>
        <w:spacing w:line="360" w:lineRule="auto"/>
        <w:jc w:val="both"/>
        <w:rPr>
          <w:rFonts w:ascii="David" w:hAnsi="David" w:cs="David"/>
          <w:bCs/>
          <w:sz w:val="24"/>
          <w:szCs w:val="24"/>
          <w:u w:val="single"/>
        </w:rPr>
      </w:pPr>
      <w:r>
        <w:rPr>
          <w:rFonts w:ascii="David" w:hAnsi="David" w:cs="David"/>
          <w:sz w:val="24"/>
          <w:szCs w:val="24"/>
          <w:rtl/>
        </w:rPr>
        <w:t xml:space="preserve"> </w:t>
      </w:r>
      <w:r>
        <w:rPr>
          <w:rFonts w:ascii="David" w:hAnsi="David" w:cs="David" w:hint="cs"/>
          <w:b/>
          <w:bCs/>
          <w:sz w:val="24"/>
          <w:szCs w:val="24"/>
          <w:rtl/>
        </w:rPr>
        <w:t xml:space="preserve">התפרצות למקום מגורים/תפילה כדי לבצע עבירה </w:t>
      </w:r>
      <w:r>
        <w:rPr>
          <w:rFonts w:ascii="David" w:hAnsi="David" w:cs="David" w:hint="cs"/>
          <w:sz w:val="24"/>
          <w:szCs w:val="24"/>
          <w:rtl/>
        </w:rPr>
        <w:t xml:space="preserve">לפי סעיף </w:t>
      </w:r>
      <w:hyperlink r:id="rId21" w:history="1">
        <w:r w:rsidR="00DD1465" w:rsidRPr="00DD1465">
          <w:rPr>
            <w:rStyle w:val="Hyperlink"/>
            <w:rFonts w:ascii="David" w:hAnsi="David" w:cs="David"/>
            <w:b/>
            <w:bCs/>
            <w:color w:val="0000FF"/>
            <w:sz w:val="24"/>
            <w:szCs w:val="24"/>
            <w:rtl/>
          </w:rPr>
          <w:t>406 (ב)</w:t>
        </w:r>
      </w:hyperlink>
      <w:r>
        <w:rPr>
          <w:rFonts w:ascii="David" w:hAnsi="David" w:cs="David" w:hint="cs"/>
          <w:sz w:val="24"/>
          <w:szCs w:val="24"/>
          <w:rtl/>
        </w:rPr>
        <w:t xml:space="preserve"> ל</w:t>
      </w:r>
      <w:hyperlink r:id="rId22" w:history="1">
        <w:r w:rsidR="00B97B12" w:rsidRPr="00B97B12">
          <w:rPr>
            <w:rFonts w:ascii="David" w:hAnsi="David" w:cs="David"/>
            <w:color w:val="0000FF"/>
            <w:sz w:val="24"/>
            <w:szCs w:val="24"/>
            <w:u w:val="single"/>
            <w:rtl/>
          </w:rPr>
          <w:t>חוק העונשין</w:t>
        </w:r>
      </w:hyperlink>
      <w:r>
        <w:rPr>
          <w:rFonts w:ascii="David" w:hAnsi="David" w:cs="David" w:hint="cs"/>
          <w:sz w:val="24"/>
          <w:szCs w:val="24"/>
          <w:rtl/>
        </w:rPr>
        <w:t>, תשל"ז -1977 (להלן: "חוק העונשין").</w:t>
      </w:r>
    </w:p>
    <w:p w14:paraId="3F125ECD" w14:textId="77777777" w:rsidR="008B5593" w:rsidRDefault="008B5593" w:rsidP="008B5593">
      <w:pPr>
        <w:pStyle w:val="ab"/>
        <w:numPr>
          <w:ilvl w:val="0"/>
          <w:numId w:val="3"/>
        </w:numPr>
        <w:spacing w:line="360" w:lineRule="auto"/>
        <w:jc w:val="both"/>
        <w:rPr>
          <w:rFonts w:ascii="David" w:hAnsi="David" w:cs="David"/>
          <w:bCs/>
          <w:sz w:val="24"/>
          <w:szCs w:val="24"/>
          <w:u w:val="single"/>
        </w:rPr>
      </w:pPr>
      <w:r>
        <w:rPr>
          <w:rFonts w:ascii="David" w:hAnsi="David" w:cs="David"/>
          <w:b/>
          <w:bCs/>
          <w:sz w:val="24"/>
          <w:szCs w:val="24"/>
          <w:rtl/>
        </w:rPr>
        <w:t xml:space="preserve">גניבה, </w:t>
      </w:r>
      <w:r>
        <w:rPr>
          <w:rFonts w:ascii="David" w:hAnsi="David" w:cs="David"/>
          <w:sz w:val="24"/>
          <w:szCs w:val="24"/>
          <w:rtl/>
        </w:rPr>
        <w:t xml:space="preserve">לפי </w:t>
      </w:r>
      <w:hyperlink r:id="rId23" w:history="1">
        <w:r w:rsidR="00DD1465" w:rsidRPr="00DD1465">
          <w:rPr>
            <w:rStyle w:val="Hyperlink"/>
            <w:rFonts w:ascii="David" w:hAnsi="David" w:cs="David"/>
            <w:color w:val="0000FF"/>
            <w:sz w:val="24"/>
            <w:szCs w:val="24"/>
            <w:rtl/>
          </w:rPr>
          <w:t>סעיף 384</w:t>
        </w:r>
      </w:hyperlink>
      <w:r>
        <w:rPr>
          <w:rFonts w:ascii="David" w:hAnsi="David" w:cs="David"/>
          <w:sz w:val="24"/>
          <w:szCs w:val="24"/>
          <w:rtl/>
        </w:rPr>
        <w:t xml:space="preserve"> ל</w:t>
      </w:r>
      <w:hyperlink r:id="rId24" w:history="1">
        <w:r w:rsidR="00B97B12" w:rsidRPr="00B97B12">
          <w:rPr>
            <w:rFonts w:ascii="David" w:hAnsi="David" w:cs="David"/>
            <w:color w:val="0000FF"/>
            <w:sz w:val="24"/>
            <w:szCs w:val="24"/>
            <w:u w:val="single"/>
            <w:rtl/>
          </w:rPr>
          <w:t>חוק העונשין</w:t>
        </w:r>
      </w:hyperlink>
      <w:r>
        <w:rPr>
          <w:rFonts w:ascii="David" w:hAnsi="David" w:cs="David"/>
          <w:sz w:val="24"/>
          <w:szCs w:val="24"/>
          <w:rtl/>
        </w:rPr>
        <w:t xml:space="preserve"> (שלוש עבירות). </w:t>
      </w:r>
    </w:p>
    <w:p w14:paraId="3ECBC679" w14:textId="77777777" w:rsidR="008B5593" w:rsidRDefault="008B5593" w:rsidP="008B5593">
      <w:pPr>
        <w:pStyle w:val="ab"/>
        <w:numPr>
          <w:ilvl w:val="0"/>
          <w:numId w:val="3"/>
        </w:numPr>
        <w:spacing w:line="360" w:lineRule="auto"/>
        <w:jc w:val="both"/>
        <w:rPr>
          <w:rFonts w:ascii="David" w:hAnsi="David" w:cs="David"/>
          <w:bCs/>
          <w:sz w:val="24"/>
          <w:szCs w:val="24"/>
          <w:u w:val="single"/>
        </w:rPr>
      </w:pPr>
      <w:bookmarkStart w:id="7" w:name="ABSTRACT_END"/>
      <w:bookmarkEnd w:id="7"/>
      <w:r>
        <w:rPr>
          <w:rFonts w:ascii="David" w:hAnsi="David" w:cs="David"/>
          <w:b/>
          <w:bCs/>
          <w:sz w:val="24"/>
          <w:szCs w:val="24"/>
          <w:rtl/>
        </w:rPr>
        <w:t xml:space="preserve">התפרצות לבניין שאינו מקום מגורים כדי לבצע עבירה </w:t>
      </w:r>
      <w:r>
        <w:rPr>
          <w:rFonts w:ascii="David" w:hAnsi="David" w:cs="David"/>
          <w:sz w:val="24"/>
          <w:szCs w:val="24"/>
          <w:rtl/>
        </w:rPr>
        <w:t xml:space="preserve">לפי סעיף </w:t>
      </w:r>
      <w:hyperlink r:id="rId25" w:history="1">
        <w:r w:rsidR="00DD1465" w:rsidRPr="00DD1465">
          <w:rPr>
            <w:rStyle w:val="Hyperlink"/>
            <w:rFonts w:ascii="David" w:hAnsi="David" w:cs="David"/>
            <w:color w:val="0000FF"/>
            <w:sz w:val="24"/>
            <w:szCs w:val="24"/>
            <w:rtl/>
          </w:rPr>
          <w:t>407 (ב)</w:t>
        </w:r>
      </w:hyperlink>
      <w:r>
        <w:rPr>
          <w:rFonts w:ascii="David" w:hAnsi="David" w:cs="David"/>
          <w:sz w:val="24"/>
          <w:szCs w:val="24"/>
          <w:rtl/>
        </w:rPr>
        <w:t xml:space="preserve"> ל</w:t>
      </w:r>
      <w:hyperlink r:id="rId26" w:history="1">
        <w:r w:rsidR="00B97B12" w:rsidRPr="00B97B12">
          <w:rPr>
            <w:rFonts w:ascii="David" w:hAnsi="David" w:cs="David"/>
            <w:color w:val="0000FF"/>
            <w:sz w:val="24"/>
            <w:szCs w:val="24"/>
            <w:u w:val="single"/>
            <w:rtl/>
          </w:rPr>
          <w:t>חוק העונשין</w:t>
        </w:r>
      </w:hyperlink>
      <w:r>
        <w:rPr>
          <w:rFonts w:ascii="David" w:hAnsi="David" w:cs="David"/>
          <w:b/>
          <w:bCs/>
          <w:sz w:val="24"/>
          <w:szCs w:val="24"/>
          <w:rtl/>
        </w:rPr>
        <w:t xml:space="preserve"> </w:t>
      </w:r>
      <w:r>
        <w:rPr>
          <w:rFonts w:ascii="David" w:hAnsi="David" w:cs="David"/>
          <w:sz w:val="24"/>
          <w:szCs w:val="24"/>
          <w:rtl/>
        </w:rPr>
        <w:t>(שתי עבירות)</w:t>
      </w:r>
      <w:r>
        <w:rPr>
          <w:rFonts w:ascii="David" w:hAnsi="David" w:cs="David"/>
          <w:b/>
          <w:bCs/>
          <w:sz w:val="24"/>
          <w:szCs w:val="24"/>
          <w:rtl/>
        </w:rPr>
        <w:t>.</w:t>
      </w:r>
    </w:p>
    <w:p w14:paraId="2A89EE4B" w14:textId="77777777" w:rsidR="008B5593" w:rsidRDefault="008B5593" w:rsidP="008B5593">
      <w:pPr>
        <w:pStyle w:val="ab"/>
        <w:numPr>
          <w:ilvl w:val="0"/>
          <w:numId w:val="3"/>
        </w:numPr>
        <w:spacing w:line="360" w:lineRule="auto"/>
        <w:jc w:val="both"/>
        <w:rPr>
          <w:rFonts w:ascii="David" w:hAnsi="David" w:cs="David"/>
          <w:b/>
          <w:sz w:val="24"/>
          <w:szCs w:val="24"/>
        </w:rPr>
      </w:pPr>
      <w:r>
        <w:rPr>
          <w:rFonts w:ascii="David" w:hAnsi="David" w:cs="David"/>
          <w:bCs/>
          <w:sz w:val="24"/>
          <w:szCs w:val="24"/>
          <w:rtl/>
        </w:rPr>
        <w:t xml:space="preserve">כניסה למקום מגורים/תפילה כדי לבצע עבירה </w:t>
      </w:r>
      <w:r>
        <w:rPr>
          <w:rFonts w:ascii="David" w:hAnsi="David" w:cs="David"/>
          <w:b/>
          <w:sz w:val="24"/>
          <w:szCs w:val="24"/>
          <w:rtl/>
        </w:rPr>
        <w:t xml:space="preserve">לפי </w:t>
      </w:r>
      <w:hyperlink r:id="rId27" w:history="1">
        <w:r w:rsidR="00DD1465" w:rsidRPr="00DD1465">
          <w:rPr>
            <w:rStyle w:val="Hyperlink"/>
            <w:rFonts w:ascii="David" w:hAnsi="David" w:cs="David"/>
            <w:b/>
            <w:color w:val="0000FF"/>
            <w:sz w:val="24"/>
            <w:szCs w:val="24"/>
            <w:rtl/>
          </w:rPr>
          <w:t>סעיף 406(א)</w:t>
        </w:r>
      </w:hyperlink>
      <w:r>
        <w:rPr>
          <w:rFonts w:ascii="David" w:hAnsi="David" w:cs="David"/>
          <w:b/>
          <w:sz w:val="24"/>
          <w:szCs w:val="24"/>
          <w:rtl/>
        </w:rPr>
        <w:t xml:space="preserve"> ל</w:t>
      </w:r>
      <w:hyperlink r:id="rId28" w:history="1">
        <w:r w:rsidR="00B97B12" w:rsidRPr="00B97B12">
          <w:rPr>
            <w:rFonts w:ascii="David" w:hAnsi="David" w:cs="David"/>
            <w:b/>
            <w:color w:val="0000FF"/>
            <w:sz w:val="24"/>
            <w:szCs w:val="24"/>
            <w:u w:val="single"/>
            <w:rtl/>
          </w:rPr>
          <w:t>חוק העונשין</w:t>
        </w:r>
      </w:hyperlink>
      <w:r>
        <w:rPr>
          <w:rFonts w:ascii="David" w:hAnsi="David" w:cs="David"/>
          <w:b/>
          <w:sz w:val="24"/>
          <w:szCs w:val="24"/>
          <w:rtl/>
        </w:rPr>
        <w:t xml:space="preserve">. </w:t>
      </w:r>
    </w:p>
    <w:p w14:paraId="08878106" w14:textId="77777777" w:rsidR="008B5593" w:rsidRDefault="008B5593" w:rsidP="008B5593">
      <w:pPr>
        <w:pStyle w:val="ab"/>
        <w:numPr>
          <w:ilvl w:val="0"/>
          <w:numId w:val="3"/>
        </w:numPr>
        <w:spacing w:line="360" w:lineRule="auto"/>
        <w:jc w:val="both"/>
        <w:rPr>
          <w:rFonts w:ascii="David" w:hAnsi="David" w:cs="David"/>
          <w:b/>
          <w:sz w:val="24"/>
          <w:szCs w:val="24"/>
        </w:rPr>
      </w:pPr>
      <w:r>
        <w:rPr>
          <w:rFonts w:ascii="David" w:hAnsi="David" w:cs="David"/>
          <w:bCs/>
          <w:sz w:val="24"/>
          <w:szCs w:val="24"/>
          <w:rtl/>
        </w:rPr>
        <w:t>נטילת/החזקת רכיב חיוני באמצעי תשלום שלא בהסכמת המשלם בכוונה להשתמש בו או לאפשר לאחר להשתמש</w:t>
      </w:r>
      <w:r>
        <w:rPr>
          <w:rFonts w:ascii="David" w:hAnsi="David" w:cs="David"/>
          <w:b/>
          <w:sz w:val="24"/>
          <w:szCs w:val="24"/>
          <w:rtl/>
        </w:rPr>
        <w:t xml:space="preserve"> בו - לפי </w:t>
      </w:r>
      <w:hyperlink r:id="rId29" w:history="1">
        <w:r w:rsidR="00DD1465" w:rsidRPr="00DD1465">
          <w:rPr>
            <w:rStyle w:val="Hyperlink"/>
            <w:rFonts w:ascii="David" w:hAnsi="David" w:cs="David"/>
            <w:b/>
            <w:color w:val="0000FF"/>
            <w:sz w:val="24"/>
            <w:szCs w:val="24"/>
            <w:rtl/>
          </w:rPr>
          <w:t>סעיף 40(ב)(1)</w:t>
        </w:r>
      </w:hyperlink>
      <w:r>
        <w:rPr>
          <w:rFonts w:ascii="David" w:hAnsi="David" w:cs="David"/>
          <w:b/>
          <w:sz w:val="24"/>
          <w:szCs w:val="24"/>
          <w:rtl/>
        </w:rPr>
        <w:t xml:space="preserve"> ל</w:t>
      </w:r>
      <w:hyperlink r:id="rId30" w:history="1">
        <w:r w:rsidR="00B97B12" w:rsidRPr="00B97B12">
          <w:rPr>
            <w:rFonts w:ascii="David" w:hAnsi="David" w:cs="David"/>
            <w:b/>
            <w:color w:val="0000FF"/>
            <w:sz w:val="24"/>
            <w:szCs w:val="24"/>
            <w:u w:val="single"/>
            <w:rtl/>
          </w:rPr>
          <w:t>חוק שירותי תשלום, תשע"ט – 2019</w:t>
        </w:r>
      </w:hyperlink>
      <w:r>
        <w:rPr>
          <w:rFonts w:ascii="David" w:hAnsi="David" w:cs="David"/>
          <w:b/>
          <w:sz w:val="24"/>
          <w:szCs w:val="24"/>
          <w:rtl/>
        </w:rPr>
        <w:t xml:space="preserve"> (להלן: חוק שירותי תשלום). </w:t>
      </w:r>
    </w:p>
    <w:p w14:paraId="516D8B7C" w14:textId="77777777" w:rsidR="008B5593" w:rsidRDefault="008B5593" w:rsidP="008B5593">
      <w:pPr>
        <w:pStyle w:val="ab"/>
        <w:numPr>
          <w:ilvl w:val="0"/>
          <w:numId w:val="3"/>
        </w:numPr>
        <w:spacing w:line="360" w:lineRule="auto"/>
        <w:jc w:val="both"/>
        <w:rPr>
          <w:rFonts w:ascii="David" w:hAnsi="David" w:cs="David"/>
          <w:b/>
          <w:sz w:val="24"/>
          <w:szCs w:val="24"/>
        </w:rPr>
      </w:pPr>
      <w:r>
        <w:rPr>
          <w:rFonts w:ascii="David" w:hAnsi="David" w:cs="David"/>
          <w:bCs/>
          <w:sz w:val="24"/>
          <w:szCs w:val="24"/>
          <w:rtl/>
        </w:rPr>
        <w:lastRenderedPageBreak/>
        <w:t>שימוש ברכיב חיוני באמצעי תשלום או מסירתו לאחר, בידיעה שהוא עלול להשתמש בו בכוונה להונות</w:t>
      </w:r>
      <w:r>
        <w:rPr>
          <w:rFonts w:ascii="David" w:hAnsi="David" w:cs="David"/>
          <w:b/>
          <w:sz w:val="24"/>
          <w:szCs w:val="24"/>
          <w:rtl/>
        </w:rPr>
        <w:t xml:space="preserve"> לפי </w:t>
      </w:r>
      <w:hyperlink r:id="rId31" w:history="1">
        <w:r w:rsidR="00DD1465" w:rsidRPr="00DD1465">
          <w:rPr>
            <w:rStyle w:val="Hyperlink"/>
            <w:rFonts w:ascii="David" w:hAnsi="David" w:cs="David"/>
            <w:b/>
            <w:color w:val="0000FF"/>
            <w:sz w:val="24"/>
            <w:szCs w:val="24"/>
            <w:rtl/>
          </w:rPr>
          <w:t>סעיף 40(ב)(2)</w:t>
        </w:r>
      </w:hyperlink>
      <w:r>
        <w:rPr>
          <w:rFonts w:ascii="David" w:hAnsi="David" w:cs="David"/>
          <w:b/>
          <w:sz w:val="24"/>
          <w:szCs w:val="24"/>
          <w:rtl/>
        </w:rPr>
        <w:t xml:space="preserve"> לחוק שירותי תשלום.</w:t>
      </w:r>
    </w:p>
    <w:p w14:paraId="728CF8BF" w14:textId="77777777" w:rsidR="008B5593" w:rsidRDefault="008B5593" w:rsidP="008B5593">
      <w:pPr>
        <w:pStyle w:val="ab"/>
        <w:numPr>
          <w:ilvl w:val="0"/>
          <w:numId w:val="3"/>
        </w:numPr>
        <w:spacing w:line="360" w:lineRule="auto"/>
        <w:jc w:val="both"/>
        <w:rPr>
          <w:rFonts w:ascii="David" w:hAnsi="David" w:cs="David"/>
          <w:b/>
          <w:sz w:val="24"/>
          <w:szCs w:val="24"/>
        </w:rPr>
      </w:pPr>
      <w:r>
        <w:rPr>
          <w:rFonts w:ascii="David" w:hAnsi="David" w:cs="David"/>
          <w:bCs/>
          <w:sz w:val="24"/>
          <w:szCs w:val="24"/>
          <w:rtl/>
        </w:rPr>
        <w:t>ניסיון שימוש ברכיב חיוני באמצעי תשלום או מסירתו לאחר, בידיעה שהוא עלול להשתמש בו בכוונה להונות</w:t>
      </w:r>
      <w:r>
        <w:rPr>
          <w:rFonts w:ascii="David" w:hAnsi="David" w:cs="David"/>
          <w:b/>
          <w:sz w:val="24"/>
          <w:szCs w:val="24"/>
          <w:rtl/>
        </w:rPr>
        <w:t xml:space="preserve"> לפי </w:t>
      </w:r>
      <w:hyperlink r:id="rId32" w:history="1">
        <w:r w:rsidR="00DD1465" w:rsidRPr="00DD1465">
          <w:rPr>
            <w:rStyle w:val="Hyperlink"/>
            <w:rFonts w:ascii="David" w:hAnsi="David" w:cs="David"/>
            <w:b/>
            <w:color w:val="0000FF"/>
            <w:sz w:val="24"/>
            <w:szCs w:val="24"/>
            <w:rtl/>
          </w:rPr>
          <w:t>סעיף 40(ב)(2)</w:t>
        </w:r>
      </w:hyperlink>
      <w:r>
        <w:rPr>
          <w:rFonts w:ascii="David" w:hAnsi="David" w:cs="David"/>
          <w:b/>
          <w:sz w:val="24"/>
          <w:szCs w:val="24"/>
          <w:rtl/>
        </w:rPr>
        <w:t xml:space="preserve"> לחוק שירותי תשלום ביחד עם </w:t>
      </w:r>
      <w:hyperlink r:id="rId33" w:history="1">
        <w:r w:rsidR="00DD1465" w:rsidRPr="00DD1465">
          <w:rPr>
            <w:rStyle w:val="Hyperlink"/>
            <w:rFonts w:ascii="David" w:hAnsi="David" w:cs="David"/>
            <w:b/>
            <w:color w:val="0000FF"/>
            <w:sz w:val="24"/>
            <w:szCs w:val="24"/>
            <w:rtl/>
          </w:rPr>
          <w:t>סעיף 25</w:t>
        </w:r>
      </w:hyperlink>
      <w:r>
        <w:rPr>
          <w:rFonts w:ascii="David" w:hAnsi="David" w:cs="David"/>
          <w:b/>
          <w:sz w:val="24"/>
          <w:szCs w:val="24"/>
          <w:rtl/>
        </w:rPr>
        <w:t xml:space="preserve"> ל</w:t>
      </w:r>
      <w:hyperlink r:id="rId34" w:history="1">
        <w:r w:rsidR="00B97B12" w:rsidRPr="00B97B12">
          <w:rPr>
            <w:rFonts w:ascii="David" w:hAnsi="David" w:cs="David"/>
            <w:b/>
            <w:color w:val="0000FF"/>
            <w:sz w:val="24"/>
            <w:szCs w:val="24"/>
            <w:u w:val="single"/>
            <w:rtl/>
          </w:rPr>
          <w:t>חוק העונשין</w:t>
        </w:r>
      </w:hyperlink>
      <w:r>
        <w:rPr>
          <w:rFonts w:ascii="David" w:hAnsi="David" w:cs="David"/>
          <w:b/>
          <w:sz w:val="24"/>
          <w:szCs w:val="24"/>
          <w:rtl/>
        </w:rPr>
        <w:t>.</w:t>
      </w:r>
    </w:p>
    <w:p w14:paraId="252FBC63" w14:textId="77777777" w:rsidR="008B5593" w:rsidRDefault="008B5593" w:rsidP="008B5593">
      <w:pPr>
        <w:pStyle w:val="ab"/>
        <w:numPr>
          <w:ilvl w:val="0"/>
          <w:numId w:val="3"/>
        </w:numPr>
        <w:spacing w:line="360" w:lineRule="auto"/>
        <w:jc w:val="both"/>
        <w:rPr>
          <w:rFonts w:ascii="David" w:hAnsi="David" w:cs="David"/>
          <w:b/>
          <w:sz w:val="24"/>
          <w:szCs w:val="24"/>
        </w:rPr>
      </w:pPr>
      <w:r>
        <w:rPr>
          <w:rFonts w:ascii="David" w:hAnsi="David" w:cs="David"/>
          <w:bCs/>
          <w:sz w:val="24"/>
          <w:szCs w:val="24"/>
          <w:rtl/>
        </w:rPr>
        <w:t xml:space="preserve">החזקת סם מסוכן לצריכה עצמית לפי </w:t>
      </w:r>
      <w:hyperlink r:id="rId35" w:history="1">
        <w:r w:rsidR="00DD1465" w:rsidRPr="00DD1465">
          <w:rPr>
            <w:rStyle w:val="Hyperlink"/>
            <w:rFonts w:ascii="David" w:hAnsi="David" w:cs="David"/>
            <w:b/>
            <w:color w:val="0000FF"/>
            <w:sz w:val="24"/>
            <w:szCs w:val="24"/>
            <w:rtl/>
          </w:rPr>
          <w:t>סעיף 7(א)</w:t>
        </w:r>
      </w:hyperlink>
      <w:r>
        <w:rPr>
          <w:rFonts w:ascii="David" w:hAnsi="David" w:cs="David"/>
          <w:b/>
          <w:sz w:val="24"/>
          <w:szCs w:val="24"/>
          <w:rtl/>
        </w:rPr>
        <w:t xml:space="preserve"> ביחד עם </w:t>
      </w:r>
      <w:hyperlink r:id="rId36" w:history="1">
        <w:r w:rsidR="00DD1465" w:rsidRPr="00DD1465">
          <w:rPr>
            <w:rStyle w:val="Hyperlink"/>
            <w:rFonts w:ascii="David" w:hAnsi="David" w:cs="David"/>
            <w:b/>
            <w:color w:val="0000FF"/>
            <w:sz w:val="24"/>
            <w:szCs w:val="24"/>
            <w:rtl/>
          </w:rPr>
          <w:t>7(ג)</w:t>
        </w:r>
      </w:hyperlink>
      <w:r>
        <w:rPr>
          <w:rFonts w:ascii="David" w:hAnsi="David" w:cs="David"/>
          <w:b/>
          <w:sz w:val="24"/>
          <w:szCs w:val="24"/>
          <w:rtl/>
        </w:rPr>
        <w:t xml:space="preserve"> סיפא ל</w:t>
      </w:r>
      <w:hyperlink r:id="rId37" w:history="1">
        <w:r w:rsidR="00B97B12" w:rsidRPr="00B97B12">
          <w:rPr>
            <w:rFonts w:ascii="David" w:hAnsi="David" w:cs="David"/>
            <w:b/>
            <w:color w:val="0000FF"/>
            <w:sz w:val="24"/>
            <w:szCs w:val="24"/>
            <w:u w:val="single"/>
            <w:rtl/>
          </w:rPr>
          <w:t>פקודת הסמים המסוכנים</w:t>
        </w:r>
      </w:hyperlink>
      <w:r>
        <w:rPr>
          <w:rFonts w:ascii="David" w:hAnsi="David" w:cs="David"/>
          <w:b/>
          <w:sz w:val="24"/>
          <w:szCs w:val="24"/>
          <w:rtl/>
        </w:rPr>
        <w:t xml:space="preserve"> (נוסח חדש), תשל"ג – 1973. </w:t>
      </w:r>
    </w:p>
    <w:p w14:paraId="335AE554" w14:textId="77777777" w:rsidR="008B5593" w:rsidRDefault="008B5593" w:rsidP="008B5593">
      <w:pPr>
        <w:pStyle w:val="ab"/>
        <w:spacing w:line="360" w:lineRule="auto"/>
        <w:ind w:left="1080"/>
        <w:jc w:val="both"/>
        <w:rPr>
          <w:rFonts w:ascii="David" w:hAnsi="David" w:cs="David"/>
          <w:b/>
          <w:sz w:val="24"/>
          <w:szCs w:val="24"/>
        </w:rPr>
      </w:pPr>
    </w:p>
    <w:p w14:paraId="411C864E"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בתאריך 05.10.21 הציגו הצדדים בפני כב' השופט אמיר דורון הסדר דיוני לפיו כתב האישום תוקן, הנאשם הודה והורשע במיוחס לו בכתב האישום המתוקן, ההסדר לא כלל הסכמה לעניין העונש. לבקשת ההגנה נשלח הנאשם לקבלת תסקיר שירות מבחן. </w:t>
      </w:r>
    </w:p>
    <w:p w14:paraId="7E59406A"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rtl/>
        </w:rPr>
        <w:t xml:space="preserve">בעניינו של הנאשם הוגשו מספר תסקירים המפרטים בין היתר אופן שילובו בהליך טיפולי ומספר הזדמנויות שניתנו לנאשם להמשיך בהליך טיפולי. </w:t>
      </w:r>
    </w:p>
    <w:p w14:paraId="410919CB"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rtl/>
        </w:rPr>
        <w:t xml:space="preserve">בהמשך לכך, בתאריך 07.04.24 בדיון בפני כב' השופט סולקין, ביקש הנאשם לצרף תיק נוסף, </w:t>
      </w:r>
      <w:hyperlink r:id="rId38" w:history="1">
        <w:r w:rsidR="00B97B12" w:rsidRPr="00B97B12">
          <w:rPr>
            <w:rFonts w:ascii="David" w:hAnsi="David" w:cs="David"/>
            <w:color w:val="0000FF"/>
            <w:sz w:val="24"/>
            <w:szCs w:val="24"/>
            <w:u w:val="single"/>
            <w:rtl/>
          </w:rPr>
          <w:t>ת"פ  13248-01-22</w:t>
        </w:r>
      </w:hyperlink>
      <w:r>
        <w:rPr>
          <w:rFonts w:ascii="David" w:hAnsi="David" w:cs="David"/>
          <w:sz w:val="24"/>
          <w:szCs w:val="24"/>
          <w:rtl/>
        </w:rPr>
        <w:t xml:space="preserve"> שעניינו החזקת סם קוקאין לצריכה עצמית. </w:t>
      </w:r>
    </w:p>
    <w:p w14:paraId="152F612F" w14:textId="77777777" w:rsidR="008B5593" w:rsidRDefault="008B5593" w:rsidP="008B5593">
      <w:pPr>
        <w:spacing w:line="360" w:lineRule="auto"/>
        <w:ind w:left="360"/>
        <w:jc w:val="both"/>
        <w:rPr>
          <w:rFonts w:ascii="David" w:hAnsi="David"/>
          <w:b/>
          <w:bCs/>
          <w:u w:val="single"/>
          <w:rtl/>
        </w:rPr>
      </w:pPr>
    </w:p>
    <w:p w14:paraId="55AFF2C8" w14:textId="77777777" w:rsidR="008B5593" w:rsidRDefault="00B97B12" w:rsidP="008B5593">
      <w:pPr>
        <w:spacing w:line="360" w:lineRule="auto"/>
        <w:ind w:left="360"/>
        <w:jc w:val="both"/>
        <w:rPr>
          <w:rFonts w:ascii="David" w:hAnsi="David"/>
          <w:b/>
          <w:bCs/>
          <w:u w:val="single"/>
        </w:rPr>
      </w:pPr>
      <w:hyperlink r:id="rId39" w:history="1">
        <w:r w:rsidRPr="00B97B12">
          <w:rPr>
            <w:rFonts w:ascii="David" w:hAnsi="David"/>
            <w:b/>
            <w:bCs/>
            <w:color w:val="0000FF"/>
            <w:u w:val="single"/>
            <w:rtl/>
          </w:rPr>
          <w:t>ת"פ 43665-08-21</w:t>
        </w:r>
      </w:hyperlink>
      <w:r w:rsidR="008B5593">
        <w:rPr>
          <w:rFonts w:ascii="David" w:hAnsi="David"/>
          <w:b/>
          <w:bCs/>
          <w:u w:val="single"/>
          <w:rtl/>
        </w:rPr>
        <w:t xml:space="preserve"> </w:t>
      </w:r>
    </w:p>
    <w:p w14:paraId="5A01D106"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u w:val="double"/>
          <w:rtl/>
        </w:rPr>
        <w:t xml:space="preserve">אישום ראשון, </w:t>
      </w:r>
      <w:r>
        <w:rPr>
          <w:rFonts w:ascii="David" w:hAnsi="David" w:cs="David"/>
          <w:sz w:val="24"/>
          <w:szCs w:val="24"/>
          <w:rtl/>
        </w:rPr>
        <w:t xml:space="preserve">  בין יום 22.5.2021 ליום 23.5.2021 , במועד שאינו ידוע במדויק פרץ הנאשם לביתו של המתלונן אליהו ברחוב הכותל המערבי בבאר שבע בדרך שאינה ידועה וזאת בכוונה לבצע גניבה. בהמשך לאמור גנב הנאשם מהדירה, ארנק ובו כסף מזומן בסך 500  ₪, תעודת זהות ביומטרית, כרטיס אשראי וכרטיסים נוספים וטבעת זהב. </w:t>
      </w:r>
    </w:p>
    <w:p w14:paraId="12BCC260"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u w:val="double"/>
          <w:rtl/>
        </w:rPr>
        <w:t xml:space="preserve">אישום שני, </w:t>
      </w:r>
      <w:r>
        <w:rPr>
          <w:rFonts w:ascii="David" w:hAnsi="David" w:cs="David"/>
          <w:sz w:val="24"/>
          <w:szCs w:val="24"/>
          <w:rtl/>
        </w:rPr>
        <w:t xml:space="preserve">בהמשך אותו היום בין השעה 15:45 ל 23:10 פרץ הנאשם, למשרדה של המתלוננת פטריסה בכך שפתח דלת בכוונה לבצע גניבה. במעמד זה גנב הנאשם מחשב נייח ומסך מחשב.  </w:t>
      </w:r>
    </w:p>
    <w:p w14:paraId="6E79A5A1"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u w:val="double"/>
          <w:rtl/>
        </w:rPr>
        <w:t>אישום שלישי</w:t>
      </w:r>
      <w:r>
        <w:rPr>
          <w:rFonts w:ascii="David" w:hAnsi="David" w:cs="David"/>
          <w:sz w:val="24"/>
          <w:szCs w:val="24"/>
          <w:rtl/>
        </w:rPr>
        <w:t xml:space="preserve">, בתאריך 22.05.21 בשעה 06:50 נכנס הנאשם לבית בקומת קרקע ברחוב הכותל המערבי בבאר שבע השייך למתלוננת יעל, בכך שפתח חלון המטבח שהיה סגור הכניס ידו דרך החלון והחל לחטט בתיקה של המתלוננת אשר היה מונח על החלון בחלק הפנימי, במעמד זה גנב הנאשם מתיקה של המתלוננת ארנק אשר הכיל 600 ₪ במזומן, רישיונות נהיגה וכרטיסי חיוב שונים. לאחר מכן רכש באמצעות כרטיסי החיוב מוצרים שונים דרך האינטרנט וזאת ב 4 הזדמנויות שונות וכן ניסה ב 7 הזדמנויות שונות לרכוש מוצרים שונים דרך האינטרנט אך העסקאות נכשלו בשל ביטול הכרטיס. סך הרכישות שביצע הנאשם 45.36 דולר. </w:t>
      </w:r>
    </w:p>
    <w:p w14:paraId="4BD3F9A3" w14:textId="77777777" w:rsidR="008B5593" w:rsidRDefault="008B5593" w:rsidP="008B5593">
      <w:pPr>
        <w:spacing w:line="360" w:lineRule="auto"/>
        <w:ind w:firstLine="360"/>
        <w:jc w:val="both"/>
        <w:rPr>
          <w:rFonts w:ascii="David" w:hAnsi="David"/>
          <w:b/>
          <w:bCs/>
          <w:u w:val="single"/>
          <w:rtl/>
        </w:rPr>
      </w:pPr>
    </w:p>
    <w:p w14:paraId="1E1CCEA3" w14:textId="77777777" w:rsidR="008B5593" w:rsidRDefault="00B97B12" w:rsidP="008B5593">
      <w:pPr>
        <w:pStyle w:val="ab"/>
        <w:numPr>
          <w:ilvl w:val="0"/>
          <w:numId w:val="2"/>
        </w:numPr>
        <w:spacing w:line="360" w:lineRule="auto"/>
        <w:jc w:val="both"/>
        <w:rPr>
          <w:rFonts w:ascii="David" w:hAnsi="David" w:cs="David"/>
          <w:sz w:val="24"/>
          <w:szCs w:val="24"/>
          <w:rtl/>
        </w:rPr>
      </w:pPr>
      <w:hyperlink r:id="rId40" w:history="1">
        <w:r w:rsidRPr="00B97B12">
          <w:rPr>
            <w:rFonts w:ascii="David" w:eastAsia="Times New Roman" w:hAnsi="David" w:cs="David"/>
            <w:b/>
            <w:bCs/>
            <w:color w:val="0000FF"/>
            <w:sz w:val="24"/>
            <w:szCs w:val="24"/>
            <w:u w:val="single"/>
            <w:rtl/>
          </w:rPr>
          <w:t>ת"פ 13248-01-22</w:t>
        </w:r>
        <w:r w:rsidRPr="00B97B12">
          <w:rPr>
            <w:rFonts w:ascii="David" w:eastAsia="Times New Roman" w:hAnsi="David" w:cs="David"/>
            <w:b/>
            <w:bCs/>
            <w:color w:val="0000FF"/>
            <w:sz w:val="24"/>
            <w:szCs w:val="24"/>
            <w:u w:val="single"/>
            <w:rtl/>
          </w:rPr>
          <w:cr/>
        </w:r>
      </w:hyperlink>
      <w:r w:rsidR="008B5593">
        <w:rPr>
          <w:rFonts w:ascii="David" w:hAnsi="David" w:cs="David"/>
          <w:sz w:val="24"/>
          <w:szCs w:val="24"/>
          <w:rtl/>
        </w:rPr>
        <w:t xml:space="preserve">על-פי המתואר בכתב האישום בתאריך 23.05.21 נמצא הנאשם מחזיק בתחתוניו סם מסוכן מסוג קוקאין במשקל 0.0946 גרם מוסלק בתוך מגבון ונייר מגולגל, לצריכתו העצמית. </w:t>
      </w:r>
    </w:p>
    <w:p w14:paraId="523016AF" w14:textId="77777777" w:rsidR="008B5593" w:rsidRDefault="008B5593" w:rsidP="008B5593">
      <w:pPr>
        <w:spacing w:line="360" w:lineRule="auto"/>
        <w:jc w:val="both"/>
        <w:rPr>
          <w:rFonts w:ascii="David" w:hAnsi="David"/>
          <w:b/>
          <w:bCs/>
          <w:u w:val="single"/>
          <w:rtl/>
        </w:rPr>
      </w:pPr>
    </w:p>
    <w:p w14:paraId="19E31EC1" w14:textId="77777777" w:rsidR="008B5593" w:rsidRDefault="008B5593" w:rsidP="008B5593">
      <w:pPr>
        <w:spacing w:line="360" w:lineRule="auto"/>
        <w:ind w:firstLine="360"/>
        <w:jc w:val="both"/>
        <w:rPr>
          <w:rFonts w:ascii="David" w:hAnsi="David"/>
          <w:b/>
          <w:bCs/>
          <w:u w:val="single"/>
        </w:rPr>
      </w:pPr>
      <w:r>
        <w:rPr>
          <w:rFonts w:ascii="David" w:hAnsi="David"/>
          <w:b/>
          <w:bCs/>
          <w:u w:val="single"/>
          <w:rtl/>
        </w:rPr>
        <w:t xml:space="preserve">תסקירי שירות מבחן </w:t>
      </w:r>
    </w:p>
    <w:p w14:paraId="391F8A29" w14:textId="77777777" w:rsidR="008B5593" w:rsidRDefault="008B5593" w:rsidP="008B5593">
      <w:pPr>
        <w:pStyle w:val="ab"/>
        <w:numPr>
          <w:ilvl w:val="0"/>
          <w:numId w:val="2"/>
        </w:numPr>
        <w:spacing w:after="0" w:line="360" w:lineRule="auto"/>
        <w:jc w:val="both"/>
        <w:rPr>
          <w:rFonts w:ascii="David" w:eastAsia="David" w:hAnsi="David" w:cs="David"/>
          <w:sz w:val="24"/>
          <w:szCs w:val="24"/>
        </w:rPr>
      </w:pPr>
      <w:r>
        <w:rPr>
          <w:rFonts w:ascii="David" w:eastAsia="David" w:hAnsi="David" w:cs="David"/>
          <w:sz w:val="24"/>
          <w:szCs w:val="24"/>
          <w:rtl/>
        </w:rPr>
        <w:t>בעניינו של הנאשם התקבלו מספר תסקירים המפרטים אופן שילובו של הנאשם בהליך הטיפולי. בתסקיר הראשון מיום 22.05.22, סקר שירות המבחן נסיבות חייו המורכבות של הנאשם, היותו מכור לסמים ורצונו לפנות לגמילה, התדרדרות במצבו לאחר פטירת אמו. שירות המבחן העריך שיש לאפשר לנאשם להשתלב בטיפול והתקבלה דחייה. בתסקיר לאחר מכן מיום 03.10.22, עלה כי במהלך תקופת הדחייה הנאשם שולב באשפוזית אולם לאחר שסיים תקופת הגמילה שב וחזר להשתמש בסמים מסוג הרואין, הנאשם התנגד לשילוב בקהילה סגורה. נוכח האמור, שירות המבחן המליץ על ענישה מוחשית.</w:t>
      </w:r>
    </w:p>
    <w:p w14:paraId="0A041BA4" w14:textId="77777777" w:rsidR="008B5593" w:rsidRDefault="008B5593" w:rsidP="008B5593">
      <w:pPr>
        <w:pStyle w:val="ab"/>
        <w:spacing w:after="0" w:line="360" w:lineRule="auto"/>
        <w:jc w:val="both"/>
        <w:rPr>
          <w:rFonts w:ascii="David" w:eastAsia="David" w:hAnsi="David" w:cs="David"/>
          <w:sz w:val="24"/>
          <w:szCs w:val="24"/>
          <w:rtl/>
        </w:rPr>
      </w:pPr>
      <w:r>
        <w:rPr>
          <w:rFonts w:ascii="David" w:eastAsia="David" w:hAnsi="David" w:cs="David"/>
          <w:sz w:val="24"/>
          <w:szCs w:val="24"/>
          <w:rtl/>
        </w:rPr>
        <w:t xml:space="preserve"> </w:t>
      </w:r>
    </w:p>
    <w:p w14:paraId="5AA526C3" w14:textId="77777777" w:rsidR="008B5593" w:rsidRDefault="008B5593" w:rsidP="008B5593">
      <w:pPr>
        <w:pStyle w:val="ab"/>
        <w:numPr>
          <w:ilvl w:val="0"/>
          <w:numId w:val="2"/>
        </w:numPr>
        <w:spacing w:after="0" w:line="360" w:lineRule="auto"/>
        <w:jc w:val="both"/>
        <w:rPr>
          <w:rFonts w:ascii="David" w:eastAsia="David" w:hAnsi="David" w:cs="David"/>
          <w:sz w:val="24"/>
          <w:szCs w:val="24"/>
        </w:rPr>
      </w:pPr>
      <w:r>
        <w:rPr>
          <w:rFonts w:ascii="David" w:eastAsia="David" w:hAnsi="David" w:cs="David"/>
          <w:sz w:val="24"/>
          <w:szCs w:val="24"/>
          <w:rtl/>
        </w:rPr>
        <w:t xml:space="preserve">בין לבין הסתבר כי הנאשם פנה ביוזמתו לטיפול באשפוזית בחודש נובמבר 2021, נוכח זאת, סבר כב' השופט סולקין כי יש ליתן לנאשם הזדמנות נוספת והדיון נדחה לצורך בחינת המשך שילובו של הנאשם בהליך הגמילה והטיפול. בתסקיר מיום 23.01.23, עלה כי הנאשם סיים בהצלחה הליך טיפולי באשפוזית והועבר לקהילת "רוח מדבר" באמצע חודש דצמבר 2022, גורמי הטיפול מסרו כי הנאשם משתף פעולה ומביע רצון לשקם חייו. בתסקיר מיום 29.08.23, מפורט כי הנאשם שהה בקהילה במשך 8 חודשים, אולם בחודש יוני 2023 נפלט מהקהילה לאחר שעבר על חוקי המקום. שירות המבחן ציין כי הנאשם באחת היציאות מהקהילה הביא עימו בחזרתו סם מסוג פנטניל וככל הנראה נתן מהסם גם לאחרים שהשתמשו ביחד עימו. נוכח זאת נדרש לעזוב את הקהילה שכן מדובר בהפרה משמעותית של חוקי המקום. הנאשם הכחיש זאת ושלל שימוש בסמים, לטענתו הפסקת הטיפול הייתה על רקע אלימות מילולית שלו כנגד מטופלים אחרים בקהילה. שירות המבחן  סבר שהנאשם זקוק להמשך טיפול ומסגרת כדי לשמר הטיפול שעבר בקהילה, נערכה פנייה לקהילה לצורך בחינת חזרתו אך הדבר אינו אפשרי היות וקיימת תקופת צינון וכן על הנאשם היה להתחיל הטיפול מחדש, הנאשם סירב לשוב לטיפול בתנאים אלו. נוכח האמור המליץ שירות המבחן על הטלת ענישה מוחשית תוך התחשבות בתקופה בה שהה הנאשם בטיפול. </w:t>
      </w:r>
    </w:p>
    <w:p w14:paraId="0CCCEBEC" w14:textId="77777777" w:rsidR="008B5593" w:rsidRDefault="008B5593" w:rsidP="008B5593">
      <w:pPr>
        <w:pStyle w:val="ab"/>
        <w:spacing w:after="0" w:line="360" w:lineRule="auto"/>
        <w:jc w:val="both"/>
        <w:rPr>
          <w:rFonts w:ascii="David" w:eastAsia="David" w:hAnsi="David" w:cs="David"/>
          <w:sz w:val="24"/>
          <w:szCs w:val="24"/>
          <w:rtl/>
        </w:rPr>
      </w:pPr>
    </w:p>
    <w:p w14:paraId="2C83717C" w14:textId="77777777" w:rsidR="008B5593" w:rsidRDefault="008B5593" w:rsidP="008B5593">
      <w:pPr>
        <w:pStyle w:val="ab"/>
        <w:numPr>
          <w:ilvl w:val="0"/>
          <w:numId w:val="2"/>
        </w:numPr>
        <w:spacing w:after="0" w:line="360" w:lineRule="auto"/>
        <w:jc w:val="both"/>
        <w:rPr>
          <w:rFonts w:ascii="David" w:eastAsia="David" w:hAnsi="David" w:cs="David"/>
          <w:sz w:val="24"/>
          <w:szCs w:val="24"/>
        </w:rPr>
      </w:pPr>
      <w:r>
        <w:rPr>
          <w:rFonts w:ascii="David" w:eastAsia="David" w:hAnsi="David" w:cs="David"/>
          <w:sz w:val="24"/>
          <w:szCs w:val="24"/>
          <w:rtl/>
        </w:rPr>
        <w:t>למרות האמור, ולפנים משורת הדין ולאחר שהנאשם הביע הסכמתו לשילוב בקהילה מחדש, ניתנה לו הזדמנות נוספת לצורך בחינת התאמתו לשילוב מחדש בקהילה טיפולית (ראה החלטות כב' השופט סולקין מיום 12.09.23 ומיום 28.01.24).</w:t>
      </w:r>
    </w:p>
    <w:p w14:paraId="49A57717" w14:textId="77777777" w:rsidR="008B5593" w:rsidRPr="00741AF5" w:rsidRDefault="008B5593" w:rsidP="008B5593">
      <w:pPr>
        <w:pStyle w:val="ab"/>
        <w:rPr>
          <w:rFonts w:ascii="David" w:eastAsia="David" w:hAnsi="David" w:cs="David"/>
          <w:sz w:val="24"/>
          <w:szCs w:val="24"/>
          <w:rtl/>
        </w:rPr>
      </w:pPr>
    </w:p>
    <w:p w14:paraId="6BD68D69" w14:textId="77777777" w:rsidR="008B5593" w:rsidRDefault="008B5593" w:rsidP="008B5593">
      <w:pPr>
        <w:pStyle w:val="ab"/>
        <w:numPr>
          <w:ilvl w:val="0"/>
          <w:numId w:val="2"/>
        </w:numPr>
        <w:spacing w:after="0" w:line="360" w:lineRule="auto"/>
        <w:jc w:val="both"/>
        <w:rPr>
          <w:rFonts w:ascii="David" w:eastAsia="David" w:hAnsi="David" w:cs="David"/>
          <w:sz w:val="24"/>
          <w:szCs w:val="24"/>
        </w:rPr>
      </w:pPr>
      <w:r>
        <w:rPr>
          <w:rFonts w:ascii="David" w:eastAsia="David" w:hAnsi="David" w:cs="David"/>
          <w:sz w:val="24"/>
          <w:szCs w:val="24"/>
          <w:rtl/>
        </w:rPr>
        <w:t xml:space="preserve">בתסקיר שהתקבל ביום 19.3.24,  התברר כי הנאשם לא ביצע את הבדיקות הנדרשות לצורך בחינת שילובו מחדש בטיפול ואף לא התייצב למספר בדיקות לגילוי שרידי סם, נוכח זאת שירות המבחן התרשם כי הנאשם מתקשה לגייס כוחות על מנת להניע מחדש את הליך הכניסה לקהילה הטיפולית ולכן לא בא בהמלצה שיקומית טיפולית בעניינו. </w:t>
      </w:r>
    </w:p>
    <w:p w14:paraId="20FBF01B" w14:textId="77777777" w:rsidR="008B5593" w:rsidRPr="00741AF5" w:rsidRDefault="008B5593" w:rsidP="008B5593">
      <w:pPr>
        <w:pStyle w:val="ab"/>
        <w:rPr>
          <w:rFonts w:ascii="David" w:eastAsia="David" w:hAnsi="David" w:cs="David"/>
          <w:sz w:val="24"/>
          <w:szCs w:val="24"/>
          <w:rtl/>
        </w:rPr>
      </w:pPr>
    </w:p>
    <w:p w14:paraId="7C36F221" w14:textId="77777777" w:rsidR="008B5593" w:rsidRDefault="008B5593" w:rsidP="008B5593">
      <w:pPr>
        <w:pStyle w:val="ab"/>
        <w:numPr>
          <w:ilvl w:val="0"/>
          <w:numId w:val="2"/>
        </w:numPr>
        <w:spacing w:after="0" w:line="360" w:lineRule="auto"/>
        <w:jc w:val="both"/>
        <w:rPr>
          <w:rFonts w:ascii="David" w:eastAsia="David" w:hAnsi="David" w:cs="David"/>
          <w:sz w:val="24"/>
          <w:szCs w:val="24"/>
        </w:rPr>
      </w:pPr>
      <w:r>
        <w:rPr>
          <w:rFonts w:ascii="David" w:eastAsia="David" w:hAnsi="David" w:cs="David"/>
          <w:sz w:val="24"/>
          <w:szCs w:val="24"/>
          <w:rtl/>
        </w:rPr>
        <w:t xml:space="preserve">בהמשך לכך, במהלך הדיון ביום 07.04.24 בפני כב' השופט סולקין, ביקש הנאשם לצרף תיק נוסף שעניינו עבירה של שימוש בסם קוקאין לצריכה עצמית. לפנים משורת הדין ניתנה דחייה נוספת לצורך השלמת הבדיקות הנדרשות מול שירות המבחן. בתסקיר האחרון מיום 9.5.24, ציין שירות המבחן שלמרות האמור בהחלטת בית משפט וההזדמנות שניתנה לנאשם הוא לא יצר קשר עם שירות המבחן ולפיכך, לא ניתנה המלצה טיפולית שיקומית בעניינו. </w:t>
      </w:r>
    </w:p>
    <w:p w14:paraId="62F3D046" w14:textId="77777777" w:rsidR="008B5593" w:rsidRPr="00741AF5" w:rsidRDefault="008B5593" w:rsidP="008B5593">
      <w:pPr>
        <w:pStyle w:val="ab"/>
        <w:rPr>
          <w:rFonts w:ascii="David" w:eastAsia="David" w:hAnsi="David" w:cs="David"/>
          <w:sz w:val="24"/>
          <w:szCs w:val="24"/>
          <w:rtl/>
        </w:rPr>
      </w:pPr>
    </w:p>
    <w:p w14:paraId="3E8A0A09" w14:textId="77777777" w:rsidR="008B5593" w:rsidRDefault="008B5593" w:rsidP="008B5593">
      <w:pPr>
        <w:pStyle w:val="ab"/>
        <w:numPr>
          <w:ilvl w:val="0"/>
          <w:numId w:val="2"/>
        </w:numPr>
        <w:spacing w:after="0" w:line="360" w:lineRule="auto"/>
        <w:jc w:val="both"/>
        <w:rPr>
          <w:rFonts w:ascii="David" w:eastAsia="David" w:hAnsi="David" w:cs="David"/>
          <w:sz w:val="24"/>
          <w:szCs w:val="24"/>
          <w:rtl/>
        </w:rPr>
      </w:pPr>
      <w:r>
        <w:rPr>
          <w:rFonts w:ascii="David" w:eastAsia="David" w:hAnsi="David" w:cs="David"/>
          <w:sz w:val="24"/>
          <w:szCs w:val="24"/>
          <w:rtl/>
        </w:rPr>
        <w:t xml:space="preserve">ממועד זה התיק הועבר לטיפולי והדיון נדחה לצורך שמיעת הטיעונים לעונש. במסגרת הדיון עתר ב"כ הנאשם פעם נוספת להפניית הנאשם להליך טיפולי, נוכח נסיבות אישיות מורכבות הקשורות בבת זוגו של הנאשם וכן במצבו הרפואי. כתימוכין לכך הוגשה חוו"ד עו"ס מטעם הסנגוריה הציבורית במסגרתה הומלץ לדחות הדיון ולאפשר לנאשם להשתלב בהליך גמילה. ב"כ המאשימה התנגדה לכך. בהחלטתי בסיום הדיון סברתי שאין מקום להורות על דחייה נוספת, בשים לב להזדמנויות הרבות שניתנו לנאשם לצורך שילובו בטיפול, למרות זאת הנאשם לא השכיל לנצל זאת. מה גם שאין בנסיבות האישיות שהוצגו בפני כדי ליתן הזדמנות נוספת  ולכן הוריתי על שמיעת טיעונים לעונש. </w:t>
      </w:r>
    </w:p>
    <w:p w14:paraId="50AFD7BB" w14:textId="77777777" w:rsidR="008B5593" w:rsidRPr="008B5593" w:rsidRDefault="008B5593" w:rsidP="008B5593">
      <w:pPr>
        <w:pStyle w:val="ab"/>
        <w:spacing w:line="360" w:lineRule="auto"/>
        <w:jc w:val="both"/>
        <w:rPr>
          <w:rFonts w:ascii="David" w:hAnsi="David" w:cs="David"/>
          <w:b/>
          <w:bCs/>
          <w:sz w:val="24"/>
          <w:szCs w:val="24"/>
          <w:u w:val="single"/>
          <w:rtl/>
        </w:rPr>
      </w:pPr>
    </w:p>
    <w:p w14:paraId="04F40052" w14:textId="77777777" w:rsidR="008B5593" w:rsidRDefault="008B5593" w:rsidP="008B5593">
      <w:pPr>
        <w:spacing w:line="360" w:lineRule="auto"/>
        <w:jc w:val="both"/>
        <w:rPr>
          <w:rFonts w:ascii="David" w:hAnsi="David"/>
          <w:bCs/>
          <w:u w:val="single"/>
          <w:rtl/>
        </w:rPr>
      </w:pPr>
      <w:r>
        <w:rPr>
          <w:rFonts w:ascii="David" w:hAnsi="David"/>
          <w:bCs/>
          <w:u w:val="single"/>
          <w:rtl/>
        </w:rPr>
        <w:t>טיעוני הצדדים</w:t>
      </w:r>
    </w:p>
    <w:p w14:paraId="1FBD0609"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ב"כ המאשימה עמדה על נסיבות ביצוע העבירות, הערכים המוכנים שנפגעו ומידת הפגיעה בהם, תוך שהדגישה כי מדובר בריבוי עבירות רכוש, כאשר בחלק מהאירועים מדובר בהתפרצות לדירת מגורים, היא ציינה פוטנציאל הפגיעה בנפש במקרים אלו. ציינה הנזק הישיר והעקיף שנגרם למתלוננים כתוצאה ממעשה הגניבה ובנוגע לתיק שצורף ציינה שמדובר בסם מסוג קוקאין הנחשב לסם קטלני וקשה.   </w:t>
      </w:r>
    </w:p>
    <w:p w14:paraId="319D3C3F" w14:textId="77777777" w:rsidR="008B5593" w:rsidRDefault="008B5593" w:rsidP="008B5593">
      <w:pPr>
        <w:pStyle w:val="ab"/>
        <w:spacing w:line="360" w:lineRule="auto"/>
        <w:jc w:val="both"/>
        <w:rPr>
          <w:rFonts w:ascii="David" w:hAnsi="David" w:cs="David"/>
          <w:sz w:val="24"/>
          <w:szCs w:val="24"/>
          <w:rtl/>
        </w:rPr>
      </w:pPr>
    </w:p>
    <w:p w14:paraId="781D0078"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המאשימה עתרה לקביעת מתחמי ענישה נפרדים לגבי כל כתב אישום בנפרד,  לגבי עבירות רכוש וההתפרצות עתרה למתחם הנע בין 32 ל 64 חודשי מאסר בפועל ובתיק הסמים עתרה למתחם הנע בין חודש מאסר בפועל שיכול וירוצה בעבודת שירות ועד 8 חודשי מאסר בפועל.</w:t>
      </w:r>
    </w:p>
    <w:p w14:paraId="0BA7F5A8" w14:textId="77777777" w:rsidR="008B5593" w:rsidRPr="00741AF5" w:rsidRDefault="008B5593" w:rsidP="008B5593">
      <w:pPr>
        <w:pStyle w:val="ab"/>
        <w:rPr>
          <w:rFonts w:ascii="David" w:hAnsi="David" w:cs="David"/>
          <w:sz w:val="24"/>
          <w:szCs w:val="24"/>
          <w:rtl/>
        </w:rPr>
      </w:pPr>
    </w:p>
    <w:p w14:paraId="4587DD76"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בנוסף, ציינה ב"כ המאשימה שאומנם לחובת הנאשם עבר פלילי אשר התיישן, אך לא ניתן להתעלם מכך שמדובר בעבר פלילי מכביד הכולל עבירות רכוש, בגינן ריצה הנאשם מאסרים בפועל.  </w:t>
      </w:r>
    </w:p>
    <w:p w14:paraId="0847D0E3" w14:textId="77777777" w:rsidR="008B5593" w:rsidRPr="00741AF5" w:rsidRDefault="008B5593" w:rsidP="008B5593">
      <w:pPr>
        <w:pStyle w:val="ab"/>
        <w:rPr>
          <w:rFonts w:ascii="David" w:hAnsi="David" w:cs="David"/>
          <w:sz w:val="24"/>
          <w:szCs w:val="24"/>
          <w:rtl/>
        </w:rPr>
      </w:pPr>
    </w:p>
    <w:p w14:paraId="46253FD9"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ב"כ המאשימה הפנתה לנאמר בתסקירי שירות המבחן. היא ציינה שהנאשם בחר שלא לנצל הזדמנויות שניתנו לו פעם אחר פעם. הנאשם החל הליך טיפולי בקהילה סגורה אך לא הצליח לעמוד בתנאי המסגרת ובצדק לא בא שירות המבחן בהמלצה טיפולית בעניינו ובשל כך טענה שאין כל מקום לסטות ממתחם הענישה לו עתרה.</w:t>
      </w:r>
    </w:p>
    <w:p w14:paraId="1E0F4831" w14:textId="77777777" w:rsidR="008B5593" w:rsidRPr="00741AF5" w:rsidRDefault="008B5593" w:rsidP="008B5593">
      <w:pPr>
        <w:pStyle w:val="ab"/>
        <w:rPr>
          <w:rFonts w:ascii="David" w:hAnsi="David" w:cs="David"/>
          <w:sz w:val="24"/>
          <w:szCs w:val="24"/>
          <w:rtl/>
        </w:rPr>
      </w:pPr>
    </w:p>
    <w:p w14:paraId="4B5149E8"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בנוגע למסמכים שצורפו מטעם ההגנה, נטען כי המסמך שצורף מתייחס למצבה של בת זוגו ופגיעה בה שאירעה זמן רב לאחר ביצוע העבירות וכך גם לגבי המסמכים הרפואיים שהוגשו בעניינו של הנאשם, נטען כי אין להם נפקות בנוגע לנאשם או להפסקת ההליך הטיפולי שבוצע עובר להחמרת מצבו הרפואי.</w:t>
      </w:r>
    </w:p>
    <w:p w14:paraId="088D1569"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בסופו של יום עתרה המאשימה, להטלת עונשי מאסר בגין כל מתחם בשליש התחתון של מתחמי הענישה, במצטבר, הטלת מאסרים על תנאי ממושכים אשר יהוו גורם מרתיע בגין כל העבירות בהן הוא הורשע וכן הטלת רכיבים כספיים בדמות קנס ופיצוי הולם למתלוננים.   </w:t>
      </w:r>
    </w:p>
    <w:p w14:paraId="277B259A" w14:textId="77777777" w:rsidR="008B5593" w:rsidRDefault="008B5593" w:rsidP="008B5593">
      <w:pPr>
        <w:pStyle w:val="ab"/>
        <w:spacing w:line="360" w:lineRule="auto"/>
        <w:jc w:val="both"/>
        <w:rPr>
          <w:rFonts w:ascii="David" w:hAnsi="David" w:cs="David"/>
          <w:sz w:val="24"/>
          <w:szCs w:val="24"/>
          <w:rtl/>
        </w:rPr>
      </w:pPr>
    </w:p>
    <w:p w14:paraId="3A5E5139"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מנגד, ב"כ הנאשם טען כי מדובר במקרה מיוחד וחריג, בת זוגו של הנאשם מהווה עבורו דמות משמעותית ותומכת, בת זוגו חוותה אירוע טראומטי וקשה במסגרת אירועי 7 </w:t>
      </w:r>
      <w:r>
        <w:rPr>
          <w:rFonts w:ascii="David" w:hAnsi="David" w:cs="David" w:hint="cs"/>
          <w:sz w:val="24"/>
          <w:szCs w:val="24"/>
          <w:rtl/>
        </w:rPr>
        <w:t>באוקטובר</w:t>
      </w:r>
      <w:r>
        <w:rPr>
          <w:rFonts w:ascii="David" w:hAnsi="David" w:cs="David"/>
          <w:sz w:val="24"/>
          <w:szCs w:val="24"/>
          <w:rtl/>
        </w:rPr>
        <w:t xml:space="preserve"> אשר השפיעה על מהלך חייה ועל יכולתה להוות גורם תומך ומסייע לנאשם, לאחר מכן חווה הנאשם אירוע רפואי שהשפיע על מהלך חייו, כעת הנאשם מצוי בהלך מחשבה אחר. הוא מבין את החשיבות של ההליך הטיפולי ומביע רצון כן ואמיתי לשיקום, הוא ציין שהנאשם הוכיח בעבר כי בכוחו להשתקם, לכן יש לאפשר לו למרות חומרת העבירות הזדמנות אחרונה לשיקום. ב"כ הנאשם הדגיש כי הנאשם נמנע במשך כ 14 שנים מלהסתבך בפלילים, הצליח להימנע מצריכת סמים אך נוכח משבר אישי שחווה בעקבות </w:t>
      </w:r>
      <w:r>
        <w:rPr>
          <w:rFonts w:ascii="David" w:hAnsi="David" w:cs="David" w:hint="cs"/>
          <w:sz w:val="24"/>
          <w:szCs w:val="24"/>
          <w:rtl/>
        </w:rPr>
        <w:t>פטירת אמו</w:t>
      </w:r>
      <w:r>
        <w:rPr>
          <w:rFonts w:ascii="David" w:hAnsi="David" w:cs="David"/>
          <w:sz w:val="24"/>
          <w:szCs w:val="24"/>
          <w:rtl/>
        </w:rPr>
        <w:t xml:space="preserve"> שב להשתמש וביצע המיוחס לו. </w:t>
      </w:r>
    </w:p>
    <w:p w14:paraId="4F5ECE19" w14:textId="77777777" w:rsidR="008B5593" w:rsidRDefault="008B5593" w:rsidP="008B5593">
      <w:pPr>
        <w:pStyle w:val="ab"/>
        <w:rPr>
          <w:rFonts w:ascii="David" w:hAnsi="David" w:cs="David"/>
          <w:sz w:val="24"/>
          <w:szCs w:val="24"/>
        </w:rPr>
      </w:pPr>
    </w:p>
    <w:p w14:paraId="03157F7C"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ב"כ הנאשם הסביר את סמיכות הזמנים בין ביצוע העבירות וביקש שיקבע מתחם ענישה כולל, הוא ציין שמדובר באירוע חד פעמי שבוצע על רקע מצוקה אישית שחווה כאמור הנאשם. </w:t>
      </w:r>
    </w:p>
    <w:p w14:paraId="6AC868D3" w14:textId="77777777" w:rsidR="008B5593" w:rsidRDefault="008B5593" w:rsidP="008B5593">
      <w:pPr>
        <w:pStyle w:val="ab"/>
        <w:rPr>
          <w:rFonts w:ascii="David" w:hAnsi="David" w:cs="David"/>
          <w:sz w:val="24"/>
          <w:szCs w:val="24"/>
        </w:rPr>
      </w:pPr>
    </w:p>
    <w:p w14:paraId="256A4A03"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ב"כ הנאשם טען שיש לתת הדעת להליך שעבר הנאשם במסגרת הקשר עם שירות המבחן, למצבו הרפואי של הנאשם כיום ולפיכך יש לסטות ממתחם הענישה משיקולי שיקום. </w:t>
      </w:r>
    </w:p>
    <w:p w14:paraId="79A61A18" w14:textId="77777777" w:rsidR="008B5593" w:rsidRDefault="008B5593" w:rsidP="008B5593">
      <w:pPr>
        <w:pStyle w:val="ab"/>
        <w:rPr>
          <w:rFonts w:ascii="David" w:hAnsi="David" w:cs="David"/>
          <w:sz w:val="24"/>
          <w:szCs w:val="24"/>
        </w:rPr>
      </w:pPr>
    </w:p>
    <w:p w14:paraId="74441615"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בהתייחס למתחמי הענישה להם עתרה המאשימה, טען ב"כ הנאשם, שאינם משקפים את המקרה הנדון באופן ספציפי ונוכח נסיבותיו האישיות של הנאשם יש להסתפק במקרה זה לכל היותר בהטלת עונש מאסר בעבודת שירות. </w:t>
      </w:r>
    </w:p>
    <w:p w14:paraId="73101E22" w14:textId="77777777" w:rsidR="008B5593" w:rsidRDefault="008B5593" w:rsidP="008B5593">
      <w:pPr>
        <w:pStyle w:val="ab"/>
        <w:rPr>
          <w:rFonts w:ascii="David" w:hAnsi="David" w:cs="David"/>
          <w:sz w:val="24"/>
          <w:szCs w:val="24"/>
        </w:rPr>
      </w:pPr>
    </w:p>
    <w:p w14:paraId="4C60FDF4"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ב"כ הנאשם טען כי האינטרס הציבורי במקרה זה נדחק ויש לתת לנאשם הזדמנות נוספת להשתקם. הדגיש כי  לאחר האירוע הרפואי שחווה הנאשם הוא מבין כיום שעליו לעשות הכל למען משפחתו וזה המקרה בו על בית המשפט לגלות מידת רחמים.</w:t>
      </w:r>
    </w:p>
    <w:p w14:paraId="3FFB605E" w14:textId="77777777" w:rsidR="008B5593" w:rsidRDefault="008B5593" w:rsidP="008B5593">
      <w:pPr>
        <w:pStyle w:val="ab"/>
        <w:rPr>
          <w:rFonts w:ascii="David" w:hAnsi="David" w:cs="David"/>
          <w:sz w:val="24"/>
          <w:szCs w:val="24"/>
        </w:rPr>
      </w:pPr>
    </w:p>
    <w:p w14:paraId="29ACD11D"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הנאשם בדברו במעמד הטיעונים לעונש, הביע צער על מעשיו, לקח אחריות על מעשיו, ביקש שבית המשפט יתן לו הזדמנות נוספת לשיקום, הביע רצונו להשתלב בהליך גמילה וציין את מורכבות מצבו הרפואי. </w:t>
      </w:r>
      <w:r>
        <w:rPr>
          <w:rFonts w:ascii="David" w:hAnsi="David" w:cs="David" w:hint="cs"/>
          <w:sz w:val="24"/>
          <w:szCs w:val="24"/>
          <w:rtl/>
        </w:rPr>
        <w:t>לציין כי במסגרת ראיות ההגנה הוגש אף מכתב של בת זוגו של הנאשם בו פירטה את הנסיבות של השנה האחרונה ואת בקשתה לנקוט במידת הרחמים ולאפשר לנאשם להשתלב בהליך טיפולי פעם נוספת.</w:t>
      </w:r>
    </w:p>
    <w:p w14:paraId="65DF0CA4" w14:textId="77777777" w:rsidR="008B5593" w:rsidRDefault="008B5593" w:rsidP="008B5593">
      <w:pPr>
        <w:spacing w:line="360" w:lineRule="auto"/>
        <w:jc w:val="both"/>
        <w:rPr>
          <w:rFonts w:ascii="David" w:hAnsi="David"/>
          <w:bCs/>
          <w:u w:val="single"/>
          <w:rtl/>
        </w:rPr>
      </w:pPr>
    </w:p>
    <w:p w14:paraId="38F4D7E1" w14:textId="77777777" w:rsidR="008B5593" w:rsidRDefault="008B5593" w:rsidP="008B5593">
      <w:pPr>
        <w:spacing w:line="360" w:lineRule="auto"/>
        <w:jc w:val="both"/>
        <w:rPr>
          <w:rFonts w:ascii="David" w:hAnsi="David"/>
          <w:bCs/>
          <w:u w:val="single"/>
        </w:rPr>
      </w:pPr>
      <w:r>
        <w:rPr>
          <w:rFonts w:ascii="David" w:hAnsi="David"/>
          <w:bCs/>
          <w:u w:val="single"/>
          <w:rtl/>
        </w:rPr>
        <w:t>דיון והכרעה</w:t>
      </w:r>
    </w:p>
    <w:p w14:paraId="240AA696" w14:textId="77777777" w:rsidR="008B5593" w:rsidRDefault="008B5593" w:rsidP="008B5593">
      <w:pPr>
        <w:spacing w:line="360" w:lineRule="auto"/>
        <w:jc w:val="both"/>
        <w:rPr>
          <w:rFonts w:ascii="David" w:hAnsi="David"/>
          <w:bCs/>
          <w:u w:val="single"/>
        </w:rPr>
      </w:pPr>
      <w:r>
        <w:rPr>
          <w:rFonts w:ascii="David" w:hAnsi="David"/>
          <w:bCs/>
          <w:u w:val="single"/>
          <w:rtl/>
        </w:rPr>
        <w:t>קביעת מתחם העונש ההולם</w:t>
      </w:r>
    </w:p>
    <w:p w14:paraId="47A585C9" w14:textId="77777777" w:rsidR="008B5593" w:rsidRDefault="008B5593" w:rsidP="008B5593">
      <w:pPr>
        <w:pStyle w:val="a"/>
        <w:numPr>
          <w:ilvl w:val="0"/>
          <w:numId w:val="2"/>
        </w:numPr>
        <w:tabs>
          <w:tab w:val="left" w:pos="720"/>
        </w:tabs>
        <w:jc w:val="both"/>
      </w:pPr>
      <w:r>
        <w:rPr>
          <w:rFonts w:hint="cs"/>
          <w:rtl/>
        </w:rPr>
        <w:t>במקרה דנן, מדובר בשני כתבי האישום שונים המתארים אירועים שונים אשר התרחשו לא רק במועדים שונים אלא מדובר במעשים שאין ביניהם קשר ענייני הדוק,  מכאן שיש לקבוע מתחמי ענישה נפרדים לכל כתב אישום. (ראה :</w:t>
      </w:r>
      <w:hyperlink r:id="rId41" w:history="1">
        <w:r w:rsidR="00B97B12" w:rsidRPr="00B97B12">
          <w:rPr>
            <w:color w:val="0000FF"/>
            <w:u w:val="single"/>
            <w:rtl/>
          </w:rPr>
          <w:t>ע"פ 4910/13</w:t>
        </w:r>
      </w:hyperlink>
      <w:r>
        <w:rPr>
          <w:rFonts w:hint="cs"/>
          <w:rtl/>
        </w:rPr>
        <w:t xml:space="preserve"> </w:t>
      </w:r>
      <w:r>
        <w:rPr>
          <w:rFonts w:hint="cs"/>
          <w:b/>
          <w:bCs/>
          <w:rtl/>
        </w:rPr>
        <w:t>ג'אבר נגד מדינת ישראל</w:t>
      </w:r>
      <w:r>
        <w:rPr>
          <w:rFonts w:hint="cs"/>
          <w:rtl/>
        </w:rPr>
        <w:t xml:space="preserve"> (29.10.14); </w:t>
      </w:r>
      <w:hyperlink r:id="rId42" w:history="1">
        <w:r w:rsidR="00B97B12" w:rsidRPr="00B97B12">
          <w:rPr>
            <w:color w:val="0000FF"/>
            <w:u w:val="single"/>
            <w:rtl/>
          </w:rPr>
          <w:t>ע"פ 5643/14</w:t>
        </w:r>
      </w:hyperlink>
      <w:r>
        <w:rPr>
          <w:rFonts w:hint="cs"/>
          <w:rtl/>
        </w:rPr>
        <w:t xml:space="preserve"> </w:t>
      </w:r>
      <w:r>
        <w:rPr>
          <w:rFonts w:hint="cs"/>
          <w:b/>
          <w:bCs/>
          <w:rtl/>
        </w:rPr>
        <w:t>אחמד עיסא נגד מדינת ישראל</w:t>
      </w:r>
      <w:r>
        <w:rPr>
          <w:rFonts w:hint="cs"/>
          <w:rtl/>
        </w:rPr>
        <w:t xml:space="preserve"> (24.6.15);</w:t>
      </w:r>
      <w:hyperlink r:id="rId43" w:history="1">
        <w:r w:rsidR="00B97B12" w:rsidRPr="00B97B12">
          <w:rPr>
            <w:color w:val="0000FF"/>
            <w:u w:val="single"/>
            <w:rtl/>
          </w:rPr>
          <w:t>ע"פ 2519/14</w:t>
        </w:r>
      </w:hyperlink>
      <w:r>
        <w:rPr>
          <w:rFonts w:hint="cs"/>
          <w:rtl/>
        </w:rPr>
        <w:t xml:space="preserve"> </w:t>
      </w:r>
      <w:r>
        <w:rPr>
          <w:rFonts w:hint="cs"/>
          <w:b/>
          <w:bCs/>
          <w:rtl/>
        </w:rPr>
        <w:t>אבו קיעאן נגד מדינת ישראל</w:t>
      </w:r>
      <w:r>
        <w:rPr>
          <w:rFonts w:hint="cs"/>
          <w:rtl/>
        </w:rPr>
        <w:t xml:space="preserve"> (29.12.14);</w:t>
      </w:r>
      <w:hyperlink r:id="rId44" w:history="1">
        <w:r w:rsidR="00B97B12" w:rsidRPr="00B97B12">
          <w:rPr>
            <w:color w:val="0000FF"/>
            <w:u w:val="single"/>
            <w:rtl/>
          </w:rPr>
          <w:t>ע"פ 1261/15</w:t>
        </w:r>
      </w:hyperlink>
      <w:r>
        <w:rPr>
          <w:rFonts w:hint="cs"/>
          <w:rtl/>
        </w:rPr>
        <w:t xml:space="preserve"> </w:t>
      </w:r>
      <w:r>
        <w:rPr>
          <w:rFonts w:hint="cs"/>
          <w:b/>
          <w:bCs/>
          <w:rtl/>
        </w:rPr>
        <w:t>דלאל נגד מדינת ישראל</w:t>
      </w:r>
      <w:r>
        <w:rPr>
          <w:rFonts w:hint="cs"/>
          <w:rtl/>
        </w:rPr>
        <w:t xml:space="preserve"> (13.9.15)).</w:t>
      </w:r>
    </w:p>
    <w:p w14:paraId="340A39D3" w14:textId="77777777" w:rsidR="008B5593" w:rsidRDefault="008B5593" w:rsidP="008B5593">
      <w:pPr>
        <w:pStyle w:val="a"/>
        <w:numPr>
          <w:ilvl w:val="0"/>
          <w:numId w:val="0"/>
        </w:numPr>
        <w:tabs>
          <w:tab w:val="left" w:pos="720"/>
        </w:tabs>
        <w:ind w:left="720"/>
        <w:jc w:val="both"/>
      </w:pPr>
    </w:p>
    <w:p w14:paraId="07592A46" w14:textId="77777777" w:rsidR="008B5593" w:rsidRDefault="008B5593" w:rsidP="008B5593">
      <w:pPr>
        <w:pStyle w:val="ab"/>
        <w:numPr>
          <w:ilvl w:val="0"/>
          <w:numId w:val="2"/>
        </w:numPr>
        <w:spacing w:line="360" w:lineRule="auto"/>
        <w:jc w:val="both"/>
        <w:rPr>
          <w:rFonts w:ascii="David" w:hAnsi="David" w:cs="David"/>
          <w:sz w:val="24"/>
          <w:szCs w:val="24"/>
          <w:rtl/>
        </w:rPr>
      </w:pPr>
      <w:r>
        <w:rPr>
          <w:rFonts w:ascii="David" w:hAnsi="David" w:cs="David"/>
          <w:sz w:val="24"/>
          <w:szCs w:val="24"/>
          <w:rtl/>
        </w:rPr>
        <w:t>קביעת מתחם העונש ההולם למעשה העבירה נעשה בהתאם לעקרון ההלימה. לשם כך יש להתחשב בערך החברתי שנפגע, במידת הפגיעה בו, במדיניות הענישה הנוהגת ובנסיבות הקשורות בביצוע העבירה.</w:t>
      </w:r>
    </w:p>
    <w:p w14:paraId="02B77203" w14:textId="77777777" w:rsidR="008B5593" w:rsidRDefault="008B5593" w:rsidP="008B5593">
      <w:pPr>
        <w:spacing w:line="360" w:lineRule="auto"/>
        <w:jc w:val="both"/>
        <w:rPr>
          <w:rFonts w:ascii="David" w:hAnsi="David"/>
          <w:b/>
          <w:bCs/>
          <w:u w:val="single"/>
          <w:rtl/>
        </w:rPr>
      </w:pPr>
    </w:p>
    <w:p w14:paraId="529D8181" w14:textId="77777777" w:rsidR="008B5593" w:rsidRDefault="00B97B12" w:rsidP="008B5593">
      <w:pPr>
        <w:pStyle w:val="ab"/>
        <w:numPr>
          <w:ilvl w:val="0"/>
          <w:numId w:val="2"/>
        </w:numPr>
        <w:spacing w:line="360" w:lineRule="auto"/>
        <w:jc w:val="both"/>
        <w:rPr>
          <w:rFonts w:ascii="David" w:hAnsi="David" w:cs="David"/>
          <w:sz w:val="24"/>
          <w:szCs w:val="24"/>
        </w:rPr>
      </w:pPr>
      <w:hyperlink r:id="rId45" w:history="1">
        <w:r w:rsidRPr="00B97B12">
          <w:rPr>
            <w:rFonts w:ascii="David" w:eastAsia="Times New Roman" w:hAnsi="David" w:cs="David"/>
            <w:b/>
            <w:bCs/>
            <w:color w:val="0000FF"/>
            <w:sz w:val="24"/>
            <w:szCs w:val="24"/>
            <w:u w:val="single"/>
            <w:rtl/>
          </w:rPr>
          <w:t>ת"פ 43665-08-21</w:t>
        </w:r>
        <w:r w:rsidRPr="00B97B12">
          <w:rPr>
            <w:rFonts w:ascii="David" w:eastAsia="Times New Roman" w:hAnsi="David" w:cs="David"/>
            <w:b/>
            <w:bCs/>
            <w:color w:val="0000FF"/>
            <w:sz w:val="24"/>
            <w:szCs w:val="24"/>
            <w:u w:val="single"/>
            <w:rtl/>
          </w:rPr>
          <w:cr/>
        </w:r>
      </w:hyperlink>
      <w:r w:rsidR="008B5593">
        <w:rPr>
          <w:rFonts w:ascii="David" w:hAnsi="David" w:cs="David"/>
          <w:sz w:val="24"/>
          <w:szCs w:val="24"/>
          <w:rtl/>
        </w:rPr>
        <w:t xml:space="preserve">כתב האישום מייחס לנאשם התפרצות לשתי דירות, לעסק, גניבה, נטילת כרטיס חיוב שימוש וניסיון שימוש בכרטיסי חיוב.  </w:t>
      </w:r>
    </w:p>
    <w:p w14:paraId="7F7E1657" w14:textId="77777777" w:rsidR="008B5593" w:rsidRDefault="008B5593" w:rsidP="008B5593">
      <w:pPr>
        <w:pStyle w:val="ab"/>
        <w:spacing w:line="360" w:lineRule="auto"/>
        <w:jc w:val="both"/>
        <w:rPr>
          <w:rFonts w:ascii="David" w:hAnsi="David" w:cs="David"/>
          <w:sz w:val="24"/>
          <w:szCs w:val="24"/>
        </w:rPr>
      </w:pPr>
    </w:p>
    <w:p w14:paraId="232C0EB4" w14:textId="77777777" w:rsidR="008B5593" w:rsidRDefault="008B5593" w:rsidP="008B5593">
      <w:pPr>
        <w:pStyle w:val="ab"/>
        <w:numPr>
          <w:ilvl w:val="0"/>
          <w:numId w:val="2"/>
        </w:numPr>
        <w:spacing w:line="360" w:lineRule="auto"/>
        <w:jc w:val="both"/>
        <w:rPr>
          <w:rFonts w:ascii="David" w:hAnsi="David" w:cs="David"/>
          <w:b/>
          <w:bCs/>
          <w:sz w:val="24"/>
          <w:szCs w:val="24"/>
        </w:rPr>
      </w:pPr>
      <w:r>
        <w:rPr>
          <w:rFonts w:ascii="David" w:hAnsi="David" w:cs="David"/>
          <w:sz w:val="24"/>
          <w:szCs w:val="24"/>
          <w:rtl/>
        </w:rPr>
        <w:t xml:space="preserve">במקרה דנן, </w:t>
      </w:r>
      <w:r>
        <w:rPr>
          <w:rFonts w:ascii="David" w:hAnsi="David" w:cs="David"/>
          <w:b/>
          <w:bCs/>
          <w:sz w:val="24"/>
          <w:szCs w:val="24"/>
          <w:rtl/>
        </w:rPr>
        <w:t xml:space="preserve">הערכים החברתיים </w:t>
      </w:r>
      <w:r>
        <w:rPr>
          <w:rFonts w:ascii="David" w:hAnsi="David" w:cs="David"/>
          <w:sz w:val="24"/>
          <w:szCs w:val="24"/>
          <w:rtl/>
        </w:rPr>
        <w:t>אשר נפגעו כתוצאה מביצוע עבירות ההתפרצות, גניבה שימוש בכרטיס חיוב הינם הזכות להגנה על קניינו של אדם, על שלומו ופרטיותו של אדם, ועל תחושת הביטחון של הציבור וזאת לצד ההגנה על קיום חיי מסחר תקינים.</w:t>
      </w:r>
      <w:r>
        <w:rPr>
          <w:rFonts w:ascii="David" w:hAnsi="David" w:cs="David"/>
          <w:b/>
          <w:bCs/>
          <w:sz w:val="24"/>
          <w:szCs w:val="24"/>
          <w:rtl/>
        </w:rPr>
        <w:t xml:space="preserve"> מידת הפגיעה בערכים המוגנים</w:t>
      </w:r>
      <w:r>
        <w:rPr>
          <w:rFonts w:ascii="David" w:hAnsi="David" w:cs="David"/>
          <w:sz w:val="24"/>
          <w:szCs w:val="24"/>
          <w:rtl/>
        </w:rPr>
        <w:t xml:space="preserve"> הינה משמעותית, וזאת בשים לב למספר העבירות שבוצעו ונסיבות ביצוע העבירות. </w:t>
      </w:r>
    </w:p>
    <w:p w14:paraId="6C3CD60C" w14:textId="77777777" w:rsidR="008B5593" w:rsidRPr="00741AF5" w:rsidRDefault="008B5593" w:rsidP="008B5593">
      <w:pPr>
        <w:pStyle w:val="ab"/>
        <w:rPr>
          <w:rFonts w:ascii="David" w:hAnsi="David" w:cs="David"/>
          <w:b/>
          <w:bCs/>
          <w:sz w:val="24"/>
          <w:szCs w:val="24"/>
          <w:rtl/>
        </w:rPr>
      </w:pPr>
    </w:p>
    <w:p w14:paraId="74EC6F36"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 xml:space="preserve">עבירת </w:t>
      </w:r>
      <w:r>
        <w:rPr>
          <w:rFonts w:ascii="David" w:hAnsi="David" w:cs="David" w:hint="cs"/>
          <w:b/>
          <w:bCs/>
          <w:sz w:val="24"/>
          <w:szCs w:val="24"/>
          <w:rtl/>
        </w:rPr>
        <w:t>התפרצות למקום מגורים</w:t>
      </w:r>
      <w:r>
        <w:rPr>
          <w:rFonts w:ascii="David" w:hAnsi="David" w:cs="David" w:hint="cs"/>
          <w:sz w:val="24"/>
          <w:szCs w:val="24"/>
          <w:rtl/>
        </w:rPr>
        <w:t>, מלבד היותה עבירת רכוש מגלמת בתוכה נזקים ישירים ועקיפים שכן מלבד הפגיעה בקניינו הפיזי של אדם נפגעת תחושת הביטחון ההגנה על ביתו ושלוות נפשו של המתלונן, מדובר בחדירה של אדם זר למרחב הפרטי של אדם אחר, לא בכדי העונש המרבי בגין עבירה זו הינו עד ל 7 שנות מאסר תלוי נסיבות ביצוע העבירה. וזאת ללא קשר אם בוצעה גניבה.</w:t>
      </w:r>
    </w:p>
    <w:p w14:paraId="2D735757"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לעניין הפגיעה בתחושת הביטחון של הציבור בעקבות עבירות התפרצות מסוג זה, והצורך בהתייחסות שיפוטית הולמת, ראו הנאמר ב</w:t>
      </w:r>
      <w:hyperlink r:id="rId46" w:history="1">
        <w:r w:rsidR="00B97B12" w:rsidRPr="00B97B12">
          <w:rPr>
            <w:rFonts w:ascii="David" w:hAnsi="David" w:cs="David"/>
            <w:color w:val="0000FF"/>
            <w:sz w:val="24"/>
            <w:szCs w:val="24"/>
            <w:u w:val="single"/>
            <w:rtl/>
          </w:rPr>
          <w:t>בש"פ 45/10</w:t>
        </w:r>
      </w:hyperlink>
      <w:r>
        <w:rPr>
          <w:rFonts w:ascii="David" w:hAnsi="David" w:cs="David"/>
          <w:sz w:val="24"/>
          <w:szCs w:val="24"/>
          <w:rtl/>
        </w:rPr>
        <w:t xml:space="preserve"> </w:t>
      </w:r>
      <w:r>
        <w:rPr>
          <w:rFonts w:ascii="David" w:hAnsi="David" w:cs="David"/>
          <w:b/>
          <w:bCs/>
          <w:sz w:val="24"/>
          <w:szCs w:val="24"/>
          <w:rtl/>
        </w:rPr>
        <w:t xml:space="preserve">מסארוה נ' מדינת ישראל </w:t>
      </w:r>
      <w:r>
        <w:rPr>
          <w:rFonts w:ascii="David" w:hAnsi="David" w:cs="David"/>
          <w:sz w:val="24"/>
          <w:szCs w:val="24"/>
          <w:rtl/>
        </w:rPr>
        <w:t xml:space="preserve"> (8.1.10), הדברים נאמרו אמנם במסגרת הליכי מעצר, ואולם כוחם יפה אף לסוגיית הענישה:  "... </w:t>
      </w:r>
      <w:r>
        <w:rPr>
          <w:rFonts w:ascii="David" w:hAnsi="David" w:cs="David"/>
          <w:b/>
          <w:bCs/>
          <w:sz w:val="24"/>
          <w:szCs w:val="24"/>
          <w:rtl/>
        </w:rPr>
        <w:t>חוזר אדם לביתו בסוף עמל יומו ומוצא כי מאן דהוא חדר לפרטיותו ונטל את רכושו ואת חפציו שאותם צבר בזיעת אפו ומיטב כספו. מי ימוד את עוגמת הנפש, הרוגז וחסרון הכיס שנגרמו למי שנפגע מאותן עבירות רכוש, שדומה כי ליבנו גס בהן, והסטטיסטיקה של העבירות הלא מפוענחות בתחום זה מדברת בעד עצמה. אין לראות בעבירות רכוש, כמו התפרצות לדירה או גניבת רכב, גזירת גורל שאין לה מענה בחוק ובפסיקה</w:t>
      </w:r>
      <w:r>
        <w:rPr>
          <w:rFonts w:ascii="David" w:hAnsi="David" w:cs="David"/>
          <w:sz w:val="24"/>
          <w:szCs w:val="24"/>
          <w:rtl/>
        </w:rPr>
        <w:t>".</w:t>
      </w:r>
    </w:p>
    <w:p w14:paraId="3CEA6DA9"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rtl/>
        </w:rPr>
        <w:t>וכן ראו דברי כב' השופט ח' מלצר ב</w:t>
      </w:r>
      <w:hyperlink r:id="rId47" w:history="1">
        <w:r w:rsidR="00B97B12" w:rsidRPr="00B97B12">
          <w:rPr>
            <w:rFonts w:ascii="David" w:hAnsi="David" w:cs="David"/>
            <w:color w:val="0000FF"/>
            <w:sz w:val="24"/>
            <w:szCs w:val="24"/>
            <w:u w:val="single"/>
            <w:rtl/>
          </w:rPr>
          <w:t>ע"פ 7453/08</w:t>
        </w:r>
      </w:hyperlink>
      <w:r>
        <w:rPr>
          <w:rFonts w:ascii="David" w:hAnsi="David" w:cs="David"/>
          <w:sz w:val="24"/>
          <w:szCs w:val="24"/>
          <w:rtl/>
        </w:rPr>
        <w:t xml:space="preserve"> </w:t>
      </w:r>
      <w:r>
        <w:rPr>
          <w:rFonts w:ascii="David" w:hAnsi="David" w:cs="David"/>
          <w:b/>
          <w:bCs/>
          <w:sz w:val="24"/>
          <w:szCs w:val="24"/>
          <w:rtl/>
        </w:rPr>
        <w:t xml:space="preserve">מדינת ישראל נ' אואזנה </w:t>
      </w:r>
      <w:r>
        <w:rPr>
          <w:rFonts w:ascii="David" w:hAnsi="David" w:cs="David"/>
          <w:sz w:val="24"/>
          <w:szCs w:val="24"/>
          <w:rtl/>
        </w:rPr>
        <w:t>(31.12.08): "</w:t>
      </w:r>
      <w:r>
        <w:rPr>
          <w:rFonts w:ascii="David" w:hAnsi="David" w:cs="David"/>
          <w:b/>
          <w:bCs/>
          <w:sz w:val="24"/>
          <w:szCs w:val="24"/>
          <w:rtl/>
        </w:rPr>
        <w:t>כינוי עבירות של פריצה וגניבה מבתים, רק כ"עבירות נגד הרכוש" (כפי שמקובל לקרוא לעבירות מסוג זה), הינה הגדרה מוטעית. זאת מאחר שפריצה לביתו של אדם, טומנת בחובה לעיתים קרובות לא רק נזק כלכלי רב, אלא גם צער ועוגמת הנפש הנגרמים לקרבנות של עבירות אלה. הנה כי כן, אין מדובר בעבירות נגד רכוש גרידא, אלא בעבירות המפרות את פרטיותו של האדם בצורה הגבוהה ביותר...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w:t>
      </w:r>
      <w:r>
        <w:rPr>
          <w:rFonts w:ascii="David" w:hAnsi="David" w:cs="David"/>
          <w:sz w:val="24"/>
          <w:szCs w:val="24"/>
          <w:rtl/>
        </w:rPr>
        <w:t>".</w:t>
      </w:r>
    </w:p>
    <w:p w14:paraId="087DCA0F" w14:textId="77777777" w:rsidR="008B5593" w:rsidRDefault="008B5593" w:rsidP="008B5593">
      <w:pPr>
        <w:pStyle w:val="ab"/>
        <w:jc w:val="both"/>
        <w:rPr>
          <w:rFonts w:ascii="David" w:hAnsi="David" w:cs="David"/>
          <w:sz w:val="24"/>
          <w:szCs w:val="24"/>
          <w:rtl/>
        </w:rPr>
      </w:pPr>
      <w:r>
        <w:rPr>
          <w:rFonts w:ascii="David" w:hAnsi="David" w:cs="David"/>
          <w:sz w:val="24"/>
          <w:szCs w:val="24"/>
          <w:rtl/>
        </w:rPr>
        <w:t>וראה הנאמר לאחרונה ב</w:t>
      </w:r>
      <w:hyperlink r:id="rId48" w:history="1">
        <w:r w:rsidR="00B97B12" w:rsidRPr="00B97B12">
          <w:rPr>
            <w:rFonts w:ascii="David" w:hAnsi="David" w:cs="David"/>
            <w:color w:val="0000FF"/>
            <w:sz w:val="24"/>
            <w:szCs w:val="24"/>
            <w:u w:val="single"/>
            <w:rtl/>
          </w:rPr>
          <w:t>רע"פ 4789/22</w:t>
        </w:r>
      </w:hyperlink>
      <w:r>
        <w:rPr>
          <w:rFonts w:ascii="David" w:hAnsi="David" w:cs="David"/>
          <w:sz w:val="24"/>
          <w:szCs w:val="24"/>
          <w:rtl/>
        </w:rPr>
        <w:t xml:space="preserve"> פלוני נ' מדינת ישראל (</w:t>
      </w:r>
      <w:r>
        <w:rPr>
          <w:rFonts w:ascii="David" w:hAnsi="David" w:cs="David"/>
          <w:sz w:val="24"/>
          <w:szCs w:val="24"/>
        </w:rPr>
        <w:t>20.7.22</w:t>
      </w:r>
      <w:r>
        <w:rPr>
          <w:rFonts w:ascii="David" w:hAnsi="David" w:cs="David"/>
          <w:sz w:val="24"/>
          <w:szCs w:val="24"/>
          <w:rtl/>
        </w:rPr>
        <w:t>):</w:t>
      </w:r>
    </w:p>
    <w:p w14:paraId="5CBD56DF" w14:textId="77777777" w:rsidR="008B5593" w:rsidRDefault="00B97B12" w:rsidP="008B5593">
      <w:pPr>
        <w:pStyle w:val="ab"/>
        <w:jc w:val="both"/>
        <w:rPr>
          <w:rFonts w:ascii="David" w:hAnsi="David" w:cs="David"/>
          <w:sz w:val="24"/>
          <w:szCs w:val="24"/>
          <w:rtl/>
        </w:rPr>
      </w:pPr>
      <w:r>
        <w:rPr>
          <w:rFonts w:ascii="David" w:hAnsi="David" w:cs="David"/>
          <w:sz w:val="24"/>
          <w:szCs w:val="24"/>
          <w:rtl/>
        </w:rPr>
        <w:t xml:space="preserve"> </w:t>
      </w:r>
    </w:p>
    <w:p w14:paraId="66BA9668"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יודגש, עבירת ההתפרצות למקום מגורים אינה עבירת "רכוש" גרידא – אף שגם בכך אין להקל ראש, כי אם פגיעה בלב חירותו של כל אדם ואזרח הנגרמת כאשר אדם זר חודר ברגל גסה לדל"ת אמותיו. מאותה העת, חרדה אוחזת בבעל הדירה העולה על יצועו, ביודעו כי אף בביתו שלו, בחדרו ובמיטתו – אינו מוגן. במקרים אלו נדרשת ענישה הולמת ומרתיעה בדמות עונש מאסר בפועל מאחורי סורג ובריח, נוכח הפשיעה הגואה ברחובות ישראל בכלל, ובאזור הנגב בפרט. כך נדרש כדי להגביר את תחושת הביטחון במרחב הציבורי והאישי</w:t>
      </w:r>
      <w:r>
        <w:rPr>
          <w:rFonts w:ascii="David" w:hAnsi="David" w:cs="David"/>
          <w:sz w:val="24"/>
          <w:szCs w:val="24"/>
          <w:rtl/>
        </w:rPr>
        <w:t xml:space="preserve">". </w:t>
      </w:r>
    </w:p>
    <w:p w14:paraId="1F28F51E" w14:textId="77777777" w:rsidR="008B5593" w:rsidRDefault="00B97B12" w:rsidP="008B5593">
      <w:pPr>
        <w:pStyle w:val="ab"/>
        <w:rPr>
          <w:rFonts w:ascii="David" w:hAnsi="David" w:cs="David"/>
          <w:sz w:val="24"/>
          <w:szCs w:val="24"/>
          <w:rtl/>
        </w:rPr>
      </w:pPr>
      <w:r>
        <w:rPr>
          <w:rFonts w:ascii="David" w:hAnsi="David" w:cs="David"/>
          <w:sz w:val="24"/>
          <w:szCs w:val="24"/>
          <w:rtl/>
        </w:rPr>
        <w:t xml:space="preserve"> </w:t>
      </w:r>
    </w:p>
    <w:p w14:paraId="01503181"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 xml:space="preserve">מידת הפגיעה בערך המוגן </w:t>
      </w:r>
      <w:r>
        <w:rPr>
          <w:rFonts w:ascii="David" w:hAnsi="David" w:cs="David"/>
          <w:sz w:val="24"/>
          <w:szCs w:val="24"/>
          <w:rtl/>
        </w:rPr>
        <w:t xml:space="preserve">מובילה למסקנה כי נגרמה פגיעה משמעותית בערכים המוגנים. </w:t>
      </w:r>
    </w:p>
    <w:p w14:paraId="7C87DEC7" w14:textId="77777777" w:rsidR="008B5593" w:rsidRDefault="008B5593" w:rsidP="008B5593">
      <w:pPr>
        <w:pStyle w:val="ab"/>
        <w:spacing w:line="360" w:lineRule="auto"/>
        <w:jc w:val="both"/>
        <w:rPr>
          <w:rFonts w:ascii="David" w:hAnsi="David" w:cs="David"/>
          <w:sz w:val="24"/>
          <w:szCs w:val="24"/>
          <w:rtl/>
        </w:rPr>
      </w:pPr>
    </w:p>
    <w:p w14:paraId="037A6BFD"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מדיניות הענישה הנוהגת</w:t>
      </w:r>
      <w:r>
        <w:rPr>
          <w:rFonts w:ascii="David" w:hAnsi="David" w:cs="David"/>
          <w:sz w:val="24"/>
          <w:szCs w:val="24"/>
          <w:rtl/>
        </w:rPr>
        <w:t xml:space="preserve"> מעלה כי במקרים דומים הוטלו על נאשמים מאסרים ממושכים, כמפורט להלן: </w:t>
      </w:r>
    </w:p>
    <w:p w14:paraId="0A8D72F3" w14:textId="77777777" w:rsidR="008B5593" w:rsidRDefault="00B97B12" w:rsidP="008B5593">
      <w:pPr>
        <w:pStyle w:val="ab"/>
        <w:numPr>
          <w:ilvl w:val="0"/>
          <w:numId w:val="4"/>
        </w:numPr>
        <w:shd w:val="clear" w:color="auto" w:fill="FFFFFF"/>
        <w:spacing w:line="360" w:lineRule="auto"/>
        <w:jc w:val="both"/>
        <w:rPr>
          <w:rFonts w:ascii="David" w:hAnsi="David" w:cs="David"/>
          <w:sz w:val="24"/>
          <w:szCs w:val="24"/>
        </w:rPr>
      </w:pPr>
      <w:hyperlink r:id="rId49" w:history="1">
        <w:r w:rsidRPr="00B97B12">
          <w:rPr>
            <w:rFonts w:ascii="David" w:hAnsi="David" w:cs="David"/>
            <w:color w:val="0000FF"/>
            <w:sz w:val="24"/>
            <w:szCs w:val="24"/>
            <w:u w:val="single"/>
            <w:rtl/>
          </w:rPr>
          <w:t>רע"פ 4789/22</w:t>
        </w:r>
      </w:hyperlink>
      <w:r w:rsidR="008B5593">
        <w:rPr>
          <w:rFonts w:ascii="David" w:hAnsi="David" w:cs="David"/>
          <w:sz w:val="24"/>
          <w:szCs w:val="24"/>
          <w:rtl/>
        </w:rPr>
        <w:t xml:space="preserve"> </w:t>
      </w:r>
      <w:r w:rsidR="008B5593">
        <w:rPr>
          <w:rFonts w:ascii="David" w:hAnsi="David" w:cs="David"/>
          <w:b/>
          <w:bCs/>
          <w:sz w:val="24"/>
          <w:szCs w:val="24"/>
          <w:rtl/>
        </w:rPr>
        <w:t>פלוני נ' מדינת ישראל</w:t>
      </w:r>
      <w:r w:rsidR="008B5593">
        <w:rPr>
          <w:rFonts w:ascii="David" w:hAnsi="David" w:cs="David"/>
          <w:sz w:val="24"/>
          <w:szCs w:val="24"/>
          <w:rtl/>
        </w:rPr>
        <w:t xml:space="preserve"> (20.07.22), הנאשם הורשע בהתאם להודאתו בהתפרצות לדירה וגניבה, בכך שהתפרץ לדירה, כאשר באותה העת ישנה המתלוננת, הוא הסתובב בבית וגנב חפצים ושונים כאשר לפתע התעוררה המתלוננת הבחינה בו והוא נמלט. בית משפט השלום קבע מתחם ענישה הנע בין 13 ל 29  חודשי מאסר, </w:t>
      </w:r>
      <w:r w:rsidR="008B5593">
        <w:rPr>
          <w:rFonts w:ascii="David" w:hAnsi="David" w:cs="David"/>
          <w:b/>
          <w:bCs/>
          <w:sz w:val="24"/>
          <w:szCs w:val="24"/>
          <w:rtl/>
        </w:rPr>
        <w:t>הנאשם נדון ל-14 חודשי מאסר</w:t>
      </w:r>
      <w:r w:rsidR="008B5593">
        <w:rPr>
          <w:rFonts w:ascii="David" w:hAnsi="David" w:cs="David"/>
          <w:sz w:val="24"/>
          <w:szCs w:val="24"/>
          <w:rtl/>
        </w:rPr>
        <w:t>, מאסרים על-תנאי ופיצוי, ערעורו לבית המשפט המחוזי התקבל בנוגע לרכיב המאסר המותנה. בקשתו לרשות ערעור נדחתה גם כן, תוך שבית המשפט העליון עמד על חומרת העבירה, הנזק לקורבן, הצורך בהרתעה ובהגברת תחושת הביטחון, והוסיף כי "אף לו היה נגזר על המבקש עונש חמור יותר – לא היה מקום להקל בעונשו".</w:t>
      </w:r>
    </w:p>
    <w:p w14:paraId="6F7F83EE" w14:textId="77777777" w:rsidR="008B5593" w:rsidRDefault="00B97B12" w:rsidP="008B5593">
      <w:pPr>
        <w:pStyle w:val="ab"/>
        <w:numPr>
          <w:ilvl w:val="0"/>
          <w:numId w:val="4"/>
        </w:numPr>
        <w:shd w:val="clear" w:color="auto" w:fill="FFFFFF"/>
        <w:spacing w:line="360" w:lineRule="auto"/>
        <w:jc w:val="both"/>
        <w:rPr>
          <w:rFonts w:ascii="David" w:hAnsi="David" w:cs="David"/>
          <w:sz w:val="24"/>
          <w:szCs w:val="24"/>
          <w:rtl/>
        </w:rPr>
      </w:pPr>
      <w:r>
        <w:rPr>
          <w:rFonts w:ascii="David" w:hAnsi="David" w:cs="David"/>
          <w:sz w:val="24"/>
          <w:szCs w:val="24"/>
          <w:rtl/>
        </w:rPr>
        <w:t xml:space="preserve"> </w:t>
      </w:r>
      <w:hyperlink r:id="rId50" w:history="1">
        <w:r w:rsidRPr="00B97B12">
          <w:rPr>
            <w:rFonts w:ascii="David" w:hAnsi="David" w:cs="David"/>
            <w:color w:val="0000FF"/>
            <w:sz w:val="24"/>
            <w:szCs w:val="24"/>
            <w:u w:val="single"/>
            <w:rtl/>
          </w:rPr>
          <w:t>רע"פ 512/22</w:t>
        </w:r>
      </w:hyperlink>
      <w:r w:rsidR="008B5593">
        <w:rPr>
          <w:rFonts w:ascii="David" w:hAnsi="David" w:cs="David"/>
          <w:sz w:val="24"/>
          <w:szCs w:val="24"/>
          <w:rtl/>
        </w:rPr>
        <w:t xml:space="preserve"> </w:t>
      </w:r>
      <w:r w:rsidR="008B5593">
        <w:rPr>
          <w:rFonts w:ascii="David" w:hAnsi="David" w:cs="David"/>
          <w:b/>
          <w:bCs/>
          <w:sz w:val="24"/>
          <w:szCs w:val="24"/>
          <w:rtl/>
        </w:rPr>
        <w:t>דגמש נ' מדינת ישראל</w:t>
      </w:r>
      <w:r w:rsidR="008B5593">
        <w:rPr>
          <w:rFonts w:ascii="David" w:hAnsi="David" w:cs="David"/>
          <w:sz w:val="24"/>
          <w:szCs w:val="24"/>
          <w:rtl/>
        </w:rPr>
        <w:t xml:space="preserve"> (23.03.22) הנאשם הורשע לאחר ניהול הוכחות בעבירת התפרצות לדירה וגניבה, זאת לאחר שהתפרץ באישון לילה באמצעות מפתח מותאם לדירת מגורים נעולה, בה מתגוררים המתלונן ושלושה שותפים. המתלונן הבחין במבקש, והוא ושותפיו אחזו בו עד שהגיעה משטרה למקום. בית משפט השלום קבע מתחם העונש בין 24-12 חודשי מאסר בפועל, </w:t>
      </w:r>
      <w:r w:rsidR="008B5593">
        <w:rPr>
          <w:rFonts w:ascii="David" w:hAnsi="David" w:cs="David"/>
          <w:b/>
          <w:bCs/>
          <w:sz w:val="24"/>
          <w:szCs w:val="24"/>
          <w:rtl/>
        </w:rPr>
        <w:t>הנאשם נדון ל 20 חודשי מאסר</w:t>
      </w:r>
      <w:r w:rsidR="008B5593">
        <w:rPr>
          <w:rFonts w:ascii="David" w:hAnsi="David" w:cs="David"/>
          <w:sz w:val="24"/>
          <w:szCs w:val="24"/>
          <w:rtl/>
        </w:rPr>
        <w:t xml:space="preserve"> </w:t>
      </w:r>
      <w:r w:rsidR="008B5593">
        <w:rPr>
          <w:rFonts w:ascii="David" w:hAnsi="David" w:cs="David"/>
          <w:b/>
          <w:bCs/>
          <w:sz w:val="24"/>
          <w:szCs w:val="24"/>
          <w:rtl/>
        </w:rPr>
        <w:t>בפועל</w:t>
      </w:r>
      <w:r w:rsidR="008B5593">
        <w:rPr>
          <w:rFonts w:ascii="David" w:hAnsi="David" w:cs="David"/>
          <w:sz w:val="24"/>
          <w:szCs w:val="24"/>
          <w:rtl/>
        </w:rPr>
        <w:t>, הפעלת מאסר מותנה בן 7 חודשים במצטבר. ערעור ובקשת רשות ערעור שהגיש הנאשם נדחו, תוך שבית המשפט העליון "יש להחמיר בעונשם של המבצעים עבירות גניבה והתפרצות, המערערות את ביטחונם של האזרחים ופוגעת בפרטיותם של נפגעי העבירה".</w:t>
      </w:r>
    </w:p>
    <w:p w14:paraId="09F52F62" w14:textId="77777777" w:rsidR="008B5593" w:rsidRDefault="00B97B12" w:rsidP="008B5593">
      <w:pPr>
        <w:pStyle w:val="ab"/>
        <w:numPr>
          <w:ilvl w:val="0"/>
          <w:numId w:val="4"/>
        </w:numPr>
        <w:shd w:val="clear" w:color="auto" w:fill="FFFFFF"/>
        <w:spacing w:line="360" w:lineRule="auto"/>
        <w:jc w:val="both"/>
        <w:rPr>
          <w:rFonts w:ascii="David" w:hAnsi="David" w:cs="David"/>
          <w:sz w:val="24"/>
          <w:szCs w:val="24"/>
          <w:rtl/>
        </w:rPr>
      </w:pPr>
      <w:r>
        <w:rPr>
          <w:rFonts w:ascii="David" w:hAnsi="David" w:cs="David"/>
          <w:sz w:val="24"/>
          <w:szCs w:val="24"/>
          <w:rtl/>
        </w:rPr>
        <w:t xml:space="preserve"> </w:t>
      </w:r>
      <w:hyperlink r:id="rId51" w:history="1">
        <w:r w:rsidRPr="00B97B12">
          <w:rPr>
            <w:rFonts w:ascii="David" w:hAnsi="David" w:cs="David"/>
            <w:color w:val="0000FF"/>
            <w:sz w:val="24"/>
            <w:szCs w:val="24"/>
            <w:u w:val="single"/>
            <w:rtl/>
          </w:rPr>
          <w:t>רע"פ 689/20</w:t>
        </w:r>
      </w:hyperlink>
      <w:r w:rsidR="008B5593">
        <w:rPr>
          <w:rFonts w:ascii="David" w:hAnsi="David" w:cs="David"/>
          <w:sz w:val="24"/>
          <w:szCs w:val="24"/>
          <w:rtl/>
        </w:rPr>
        <w:t xml:space="preserve"> </w:t>
      </w:r>
      <w:r w:rsidR="008B5593">
        <w:rPr>
          <w:rFonts w:ascii="David" w:hAnsi="David" w:cs="David"/>
          <w:b/>
          <w:bCs/>
          <w:sz w:val="24"/>
          <w:szCs w:val="24"/>
          <w:rtl/>
        </w:rPr>
        <w:t>גבאי נ' מדינת ישראל</w:t>
      </w:r>
      <w:r w:rsidR="008B5593">
        <w:rPr>
          <w:rFonts w:ascii="David" w:hAnsi="David" w:cs="David"/>
          <w:sz w:val="24"/>
          <w:szCs w:val="24"/>
          <w:rtl/>
        </w:rPr>
        <w:t xml:space="preserve"> (28.01.20) הנאשם הורשע בעבירות התפרצות וגניבה, בכך ששבר את הסורגים המפרידים בין חצר בית לחדר השירות, פתח חלון הזזה נכנס לדירה, גנב תכשיטים וסך של 6,000 ₪, </w:t>
      </w:r>
      <w:r w:rsidR="008B5593">
        <w:rPr>
          <w:rFonts w:ascii="David" w:hAnsi="David" w:cs="David"/>
          <w:b/>
          <w:bCs/>
          <w:sz w:val="24"/>
          <w:szCs w:val="24"/>
          <w:rtl/>
        </w:rPr>
        <w:t>בית משפט השלום קבע מתחם ענישה בין 6 ל 18 חודשי מאסר בפועל</w:t>
      </w:r>
      <w:r w:rsidR="008B5593">
        <w:rPr>
          <w:rFonts w:ascii="David" w:hAnsi="David" w:cs="David"/>
          <w:sz w:val="24"/>
          <w:szCs w:val="24"/>
          <w:rtl/>
        </w:rPr>
        <w:t xml:space="preserve">, הנאשם נדון ל 12 חודשי מאסר בפועל, ערעור ובקשת רשות ערעור שהגיש נדחו, תוך שבית המשפט העליון מציין שמדובר בעונש הולם ואינו מחמיר יתר על המידה. </w:t>
      </w:r>
    </w:p>
    <w:p w14:paraId="1E278810" w14:textId="77777777" w:rsidR="008B5593" w:rsidRDefault="00B97B12" w:rsidP="008B5593">
      <w:pPr>
        <w:pStyle w:val="ab"/>
        <w:numPr>
          <w:ilvl w:val="0"/>
          <w:numId w:val="4"/>
        </w:numPr>
        <w:spacing w:line="360" w:lineRule="auto"/>
        <w:jc w:val="both"/>
        <w:rPr>
          <w:rFonts w:ascii="David" w:hAnsi="David" w:cs="David"/>
          <w:sz w:val="24"/>
          <w:szCs w:val="24"/>
        </w:rPr>
      </w:pPr>
      <w:hyperlink r:id="rId52" w:history="1">
        <w:r w:rsidRPr="00B97B12">
          <w:rPr>
            <w:rFonts w:ascii="David" w:hAnsi="David" w:cs="David"/>
            <w:b/>
            <w:bCs/>
            <w:color w:val="0000FF"/>
            <w:sz w:val="24"/>
            <w:szCs w:val="24"/>
            <w:u w:val="single"/>
            <w:rtl/>
          </w:rPr>
          <w:t>עפג (חי') 58361-05-21</w:t>
        </w:r>
      </w:hyperlink>
      <w:r>
        <w:rPr>
          <w:rFonts w:ascii="David" w:hAnsi="David" w:cs="David"/>
          <w:b/>
          <w:bCs/>
          <w:sz w:val="24"/>
          <w:szCs w:val="24"/>
          <w:rtl/>
        </w:rPr>
        <w:t xml:space="preserve"> </w:t>
      </w:r>
      <w:r w:rsidR="008B5593">
        <w:rPr>
          <w:rFonts w:ascii="David" w:hAnsi="David" w:cs="David"/>
          <w:b/>
          <w:bCs/>
          <w:sz w:val="24"/>
          <w:szCs w:val="24"/>
          <w:rtl/>
        </w:rPr>
        <w:t xml:space="preserve"> עיסא פדלי נ' מדינת ישראל</w:t>
      </w:r>
      <w:r w:rsidR="008B5593">
        <w:rPr>
          <w:rFonts w:ascii="David" w:hAnsi="David" w:cs="David"/>
          <w:sz w:val="24"/>
          <w:szCs w:val="24"/>
          <w:rtl/>
        </w:rPr>
        <w:t xml:space="preserve"> (24.09.21) נדחה ערעור של נאשם, אשר צירף מספר תיקים ביניהם, כתב אישום בו הורשע בעבירות של התפרצות וגניבה, הנאשם התפרץ  לבית שכנו באופן שהרים אבן, הניחה בסמוך לחלון בחלק האחורי של הבית, טיפס על האבן, הרים את תריס הגלילה החשמלי של חלון  ונכנס דרכו לתוך הבית וחיטט בתוכו וגנב רכוש יקר ערך וכסף מזומן. בית משפט השלום קבע בעניין ההתפרצות והגניבה, </w:t>
      </w:r>
      <w:r w:rsidR="008B5593">
        <w:rPr>
          <w:rFonts w:ascii="David" w:hAnsi="David" w:cs="David"/>
          <w:b/>
          <w:bCs/>
          <w:sz w:val="24"/>
          <w:szCs w:val="24"/>
          <w:rtl/>
        </w:rPr>
        <w:t>מתחם ענישה הנע בין מספר חודשי מאסר שיכול וירוצו בעבודות שירות ועד ל-24 חודשי מאסר בפועל</w:t>
      </w:r>
      <w:r w:rsidR="008B5593">
        <w:rPr>
          <w:rFonts w:ascii="David" w:hAnsi="David" w:cs="David"/>
          <w:sz w:val="24"/>
          <w:szCs w:val="24"/>
          <w:rtl/>
        </w:rPr>
        <w:t xml:space="preserve">. הנאשם בעל עבר פלילי שאינו מכביד נדון ל 10 חודשי מאסר בפועל בגין כל 3 התיקים. בית המשפט המחוזי דחה הערעור על חומרת העונש תוך שציין כי העונש שהוטל הינו מאוזן וראוי בנסיבות תיק זה. </w:t>
      </w:r>
    </w:p>
    <w:p w14:paraId="6D9B8FE6" w14:textId="77777777" w:rsidR="008B5593" w:rsidRPr="008B5593" w:rsidRDefault="00B97B12" w:rsidP="008B5593">
      <w:pPr>
        <w:pStyle w:val="ab"/>
        <w:numPr>
          <w:ilvl w:val="0"/>
          <w:numId w:val="4"/>
        </w:numPr>
        <w:spacing w:line="360" w:lineRule="auto"/>
        <w:jc w:val="both"/>
        <w:rPr>
          <w:rFonts w:cs="David"/>
          <w:sz w:val="24"/>
          <w:szCs w:val="24"/>
        </w:rPr>
      </w:pPr>
      <w:hyperlink r:id="rId53" w:history="1">
        <w:r w:rsidRPr="00B97B12">
          <w:rPr>
            <w:rFonts w:cs="David" w:hint="cs"/>
            <w:color w:val="0000FF"/>
            <w:sz w:val="24"/>
            <w:szCs w:val="24"/>
            <w:u w:val="single"/>
            <w:rtl/>
          </w:rPr>
          <w:t>רע</w:t>
        </w:r>
        <w:r w:rsidRPr="00B97B12">
          <w:rPr>
            <w:rFonts w:cs="David"/>
            <w:color w:val="0000FF"/>
            <w:sz w:val="24"/>
            <w:szCs w:val="24"/>
            <w:u w:val="single"/>
            <w:rtl/>
          </w:rPr>
          <w:t>"</w:t>
        </w:r>
        <w:r w:rsidRPr="00B97B12">
          <w:rPr>
            <w:rFonts w:cs="David" w:hint="cs"/>
            <w:color w:val="0000FF"/>
            <w:sz w:val="24"/>
            <w:szCs w:val="24"/>
            <w:u w:val="single"/>
            <w:rtl/>
          </w:rPr>
          <w:t>פ</w:t>
        </w:r>
        <w:r w:rsidRPr="00B97B12">
          <w:rPr>
            <w:rFonts w:cs="David"/>
            <w:color w:val="0000FF"/>
            <w:sz w:val="24"/>
            <w:szCs w:val="24"/>
            <w:u w:val="single"/>
            <w:rtl/>
          </w:rPr>
          <w:t xml:space="preserve"> 5240/17</w:t>
        </w:r>
      </w:hyperlink>
      <w:r w:rsidR="008B5593">
        <w:rPr>
          <w:rFonts w:cs="David"/>
          <w:sz w:val="24"/>
          <w:szCs w:val="24"/>
          <w:rtl/>
        </w:rPr>
        <w:t xml:space="preserve"> </w:t>
      </w:r>
      <w:r w:rsidR="008B5593">
        <w:rPr>
          <w:rFonts w:cs="David"/>
          <w:b/>
          <w:bCs/>
          <w:sz w:val="24"/>
          <w:szCs w:val="24"/>
          <w:rtl/>
        </w:rPr>
        <w:t>אבו עג'אג'י נ' מדינת ישראל</w:t>
      </w:r>
      <w:r w:rsidR="008B5593">
        <w:rPr>
          <w:rFonts w:cs="David"/>
          <w:sz w:val="24"/>
          <w:szCs w:val="24"/>
          <w:rtl/>
        </w:rPr>
        <w:t xml:space="preserve"> (29.06.17) –  נדחתה בקשת רשות ערעור של נאשם שהורשע בעבירה של כניסה לדירת מגורים וגניבה, הנאשם נכנס ביחד עם אחר לדירה בעודו עוטה גרביים על ידיו, בדירה לא היה איש, הנאשם גנב שרשרת זהב בשווי 5,000 ₪. </w:t>
      </w:r>
      <w:r w:rsidR="008B5593">
        <w:rPr>
          <w:rFonts w:cs="David"/>
          <w:b/>
          <w:bCs/>
          <w:sz w:val="24"/>
          <w:szCs w:val="24"/>
          <w:rtl/>
        </w:rPr>
        <w:t>בית משפט השלום קבע מתחם  ענישה הנע בין 8 ל 18 חודשי מאסר</w:t>
      </w:r>
      <w:r w:rsidR="008B5593">
        <w:rPr>
          <w:rFonts w:cs="David"/>
          <w:sz w:val="24"/>
          <w:szCs w:val="24"/>
          <w:rtl/>
        </w:rPr>
        <w:t xml:space="preserve">,  הנאשם בעל עבר פלילי קודם, נדון ל 13 חודשי מאסר בפועל, וכן הופעל מאסר מותנה בן 12 חודשים חלק בחופף וחלק במצטבר. </w:t>
      </w:r>
    </w:p>
    <w:p w14:paraId="03EC4C57" w14:textId="77777777" w:rsidR="008B5593" w:rsidRDefault="00B97B12" w:rsidP="008B5593">
      <w:pPr>
        <w:pStyle w:val="ab"/>
        <w:numPr>
          <w:ilvl w:val="0"/>
          <w:numId w:val="4"/>
        </w:numPr>
        <w:spacing w:line="360" w:lineRule="auto"/>
        <w:jc w:val="both"/>
        <w:rPr>
          <w:rFonts w:cs="David"/>
          <w:sz w:val="24"/>
          <w:szCs w:val="24"/>
        </w:rPr>
      </w:pPr>
      <w:hyperlink r:id="rId54" w:history="1">
        <w:r w:rsidRPr="00B97B12">
          <w:rPr>
            <w:rFonts w:cs="David" w:hint="cs"/>
            <w:color w:val="0000FF"/>
            <w:sz w:val="24"/>
            <w:szCs w:val="24"/>
            <w:u w:val="single"/>
            <w:rtl/>
          </w:rPr>
          <w:t>רע</w:t>
        </w:r>
        <w:r w:rsidRPr="00B97B12">
          <w:rPr>
            <w:rFonts w:cs="David"/>
            <w:color w:val="0000FF"/>
            <w:sz w:val="24"/>
            <w:szCs w:val="24"/>
            <w:u w:val="single"/>
            <w:rtl/>
          </w:rPr>
          <w:t>"</w:t>
        </w:r>
        <w:r w:rsidRPr="00B97B12">
          <w:rPr>
            <w:rFonts w:cs="David" w:hint="cs"/>
            <w:color w:val="0000FF"/>
            <w:sz w:val="24"/>
            <w:szCs w:val="24"/>
            <w:u w:val="single"/>
            <w:rtl/>
          </w:rPr>
          <w:t>פ</w:t>
        </w:r>
        <w:r w:rsidRPr="00B97B12">
          <w:rPr>
            <w:rFonts w:cs="David"/>
            <w:color w:val="0000FF"/>
            <w:sz w:val="24"/>
            <w:szCs w:val="24"/>
            <w:u w:val="single"/>
            <w:rtl/>
          </w:rPr>
          <w:t xml:space="preserve"> 7683/13</w:t>
        </w:r>
      </w:hyperlink>
      <w:r w:rsidR="008B5593">
        <w:rPr>
          <w:rFonts w:cs="David"/>
          <w:sz w:val="24"/>
          <w:szCs w:val="24"/>
          <w:rtl/>
        </w:rPr>
        <w:t xml:space="preserve"> </w:t>
      </w:r>
      <w:r w:rsidR="008B5593">
        <w:rPr>
          <w:rFonts w:cs="David"/>
          <w:b/>
          <w:bCs/>
          <w:sz w:val="24"/>
          <w:szCs w:val="24"/>
          <w:rtl/>
        </w:rPr>
        <w:t>פרלמן נ' מדינת ישראל</w:t>
      </w:r>
      <w:r w:rsidR="008B5593">
        <w:rPr>
          <w:rFonts w:cs="David"/>
          <w:sz w:val="24"/>
          <w:szCs w:val="24"/>
          <w:rtl/>
        </w:rPr>
        <w:t xml:space="preserve"> (23.4.14)– נדחתה בקשת רשות ערעור של נאשם שהורשע בעבירת התפרצות למקום מגורים, בכך ששבר את סורג חלון הדירה ונכנס לתוכה ונטל מהדירה מצלמה. בהמשך התפרץ המבקש לדירה אחרת בכך שנכנס דרך החלון מתוך כוונה לגנוב כסף מבעליה. בתיק המצורף יוחסו לנאשם עבירות התפרצות למקום מגורים וגניבה, לאחר שעקר תריס חלון ממקומו בדירה, נכנס לתוכה וגנב ממנה רכוש רב. בנוסף, הורשע בשתי עבירות של הפרת הוראה חוקית.  </w:t>
      </w:r>
      <w:r w:rsidR="008B5593">
        <w:rPr>
          <w:rFonts w:cs="David"/>
          <w:b/>
          <w:bCs/>
          <w:sz w:val="24"/>
          <w:szCs w:val="24"/>
          <w:rtl/>
        </w:rPr>
        <w:t>נקבע מתחם ענישה הנע בין 12 ועד 24 חודשי מאסר לריצוי בפועל</w:t>
      </w:r>
      <w:r w:rsidR="008B5593">
        <w:rPr>
          <w:rFonts w:cs="David"/>
          <w:sz w:val="24"/>
          <w:szCs w:val="24"/>
          <w:rtl/>
        </w:rPr>
        <w:t xml:space="preserve"> בגין כל אחת מעבירות ההתפרצות. בית משפט השלום לקח בחשבון הליך השיקום, עברו הפלילי, נטילת האחריות והחיסכון בזמן שיפוטי וגזר על הנאשם 18 חודשי מאסר ורכיבי ענישה נוספים. </w:t>
      </w:r>
    </w:p>
    <w:p w14:paraId="1B395ABB" w14:textId="77777777" w:rsidR="008B5593" w:rsidRDefault="00B97B12" w:rsidP="008B5593">
      <w:pPr>
        <w:pStyle w:val="ab"/>
        <w:numPr>
          <w:ilvl w:val="0"/>
          <w:numId w:val="4"/>
        </w:numPr>
        <w:spacing w:line="360" w:lineRule="auto"/>
        <w:jc w:val="both"/>
        <w:rPr>
          <w:rFonts w:cs="David"/>
          <w:sz w:val="24"/>
          <w:szCs w:val="24"/>
        </w:rPr>
      </w:pPr>
      <w:hyperlink r:id="rId55" w:history="1">
        <w:r w:rsidRPr="00B97B12">
          <w:rPr>
            <w:rFonts w:cs="David" w:hint="cs"/>
            <w:color w:val="0000FF"/>
            <w:sz w:val="24"/>
            <w:szCs w:val="24"/>
            <w:u w:val="single"/>
            <w:rtl/>
          </w:rPr>
          <w:t>רע</w:t>
        </w:r>
        <w:r w:rsidRPr="00B97B12">
          <w:rPr>
            <w:rFonts w:cs="David"/>
            <w:color w:val="0000FF"/>
            <w:sz w:val="24"/>
            <w:szCs w:val="24"/>
            <w:u w:val="single"/>
            <w:rtl/>
          </w:rPr>
          <w:t>"</w:t>
        </w:r>
        <w:r w:rsidRPr="00B97B12">
          <w:rPr>
            <w:rFonts w:cs="David" w:hint="cs"/>
            <w:color w:val="0000FF"/>
            <w:sz w:val="24"/>
            <w:szCs w:val="24"/>
            <w:u w:val="single"/>
            <w:rtl/>
          </w:rPr>
          <w:t>פ</w:t>
        </w:r>
        <w:r w:rsidRPr="00B97B12">
          <w:rPr>
            <w:rFonts w:cs="David"/>
            <w:color w:val="0000FF"/>
            <w:sz w:val="24"/>
            <w:szCs w:val="24"/>
            <w:u w:val="single"/>
            <w:rtl/>
          </w:rPr>
          <w:t xml:space="preserve"> 4156/13</w:t>
        </w:r>
      </w:hyperlink>
      <w:r w:rsidR="008B5593">
        <w:rPr>
          <w:rFonts w:cs="David"/>
          <w:sz w:val="24"/>
          <w:szCs w:val="24"/>
          <w:rtl/>
        </w:rPr>
        <w:t xml:space="preserve"> </w:t>
      </w:r>
      <w:r w:rsidR="008B5593">
        <w:rPr>
          <w:rFonts w:cs="David"/>
          <w:b/>
          <w:bCs/>
          <w:sz w:val="24"/>
          <w:szCs w:val="24"/>
          <w:rtl/>
        </w:rPr>
        <w:t>בוחניק נ' מדינת ישראל</w:t>
      </w:r>
      <w:r w:rsidR="008B5593">
        <w:rPr>
          <w:rFonts w:cs="David"/>
          <w:sz w:val="24"/>
          <w:szCs w:val="24"/>
          <w:rtl/>
        </w:rPr>
        <w:t xml:space="preserve"> (12.6.2013) – הנאשם הורשע בהתאם להודאתו בהתפרצות למקום מגורים, גניבה והחזקת סמים לצריכה עצמית. בית משפט השלום קבע מתחם העונש ההולם הנע בין 8 ועד 24 חודשי מאסר בפועל, הנאשם נדון ל- 7 חודשי מאסר, בצירוף ענישה נלווית.  ערעור המדינה על קולת העונש התקבל, ערעור ההגנה נדחה. נקבע כי מתחם הענישה הראוי </w:t>
      </w:r>
      <w:r w:rsidR="008B5593">
        <w:rPr>
          <w:rFonts w:cs="David"/>
          <w:b/>
          <w:bCs/>
          <w:sz w:val="24"/>
          <w:szCs w:val="24"/>
          <w:rtl/>
        </w:rPr>
        <w:t>נע בין 12 ל-24 חודשים</w:t>
      </w:r>
      <w:r w:rsidR="008B5593">
        <w:rPr>
          <w:rFonts w:cs="David"/>
          <w:sz w:val="24"/>
          <w:szCs w:val="24"/>
          <w:rtl/>
        </w:rPr>
        <w:t xml:space="preserve">. עונשו של הנאשם הועמד על 14 חודשי מאסר בפועל. בקשת רשות לערער נדחתה.  </w:t>
      </w:r>
    </w:p>
    <w:p w14:paraId="025A8976" w14:textId="77777777" w:rsidR="008B5593" w:rsidRDefault="00B97B12" w:rsidP="008B5593">
      <w:pPr>
        <w:pStyle w:val="ab"/>
        <w:numPr>
          <w:ilvl w:val="0"/>
          <w:numId w:val="4"/>
        </w:numPr>
        <w:spacing w:line="360" w:lineRule="auto"/>
        <w:jc w:val="both"/>
        <w:rPr>
          <w:rFonts w:cs="David"/>
          <w:sz w:val="24"/>
          <w:szCs w:val="24"/>
        </w:rPr>
      </w:pPr>
      <w:hyperlink r:id="rId56" w:history="1">
        <w:r w:rsidRPr="00B97B12">
          <w:rPr>
            <w:rFonts w:cs="David" w:hint="cs"/>
            <w:color w:val="0000FF"/>
            <w:sz w:val="24"/>
            <w:szCs w:val="24"/>
            <w:u w:val="single"/>
            <w:rtl/>
          </w:rPr>
          <w:t>עפ</w:t>
        </w:r>
        <w:r w:rsidRPr="00B97B12">
          <w:rPr>
            <w:rFonts w:cs="David"/>
            <w:color w:val="0000FF"/>
            <w:sz w:val="24"/>
            <w:szCs w:val="24"/>
            <w:u w:val="single"/>
            <w:rtl/>
          </w:rPr>
          <w:t>"</w:t>
        </w:r>
        <w:r w:rsidRPr="00B97B12">
          <w:rPr>
            <w:rFonts w:cs="David" w:hint="cs"/>
            <w:color w:val="0000FF"/>
            <w:sz w:val="24"/>
            <w:szCs w:val="24"/>
            <w:u w:val="single"/>
            <w:rtl/>
          </w:rPr>
          <w:t>ג</w:t>
        </w:r>
        <w:r w:rsidRPr="00B97B12">
          <w:rPr>
            <w:rFonts w:cs="David"/>
            <w:color w:val="0000FF"/>
            <w:sz w:val="24"/>
            <w:szCs w:val="24"/>
            <w:u w:val="single"/>
            <w:rtl/>
          </w:rPr>
          <w:t xml:space="preserve"> (</w:t>
        </w:r>
        <w:r w:rsidRPr="00B97B12">
          <w:rPr>
            <w:rFonts w:cs="David" w:hint="cs"/>
            <w:color w:val="0000FF"/>
            <w:sz w:val="24"/>
            <w:szCs w:val="24"/>
            <w:u w:val="single"/>
            <w:rtl/>
          </w:rPr>
          <w:t>ב</w:t>
        </w:r>
        <w:r w:rsidRPr="00B97B12">
          <w:rPr>
            <w:rFonts w:cs="David"/>
            <w:color w:val="0000FF"/>
            <w:sz w:val="24"/>
            <w:szCs w:val="24"/>
            <w:u w:val="single"/>
            <w:rtl/>
          </w:rPr>
          <w:t>"</w:t>
        </w:r>
        <w:r w:rsidRPr="00B97B12">
          <w:rPr>
            <w:rFonts w:cs="David" w:hint="cs"/>
            <w:color w:val="0000FF"/>
            <w:sz w:val="24"/>
            <w:szCs w:val="24"/>
            <w:u w:val="single"/>
            <w:rtl/>
          </w:rPr>
          <w:t>ש</w:t>
        </w:r>
        <w:r w:rsidRPr="00B97B12">
          <w:rPr>
            <w:rFonts w:cs="David"/>
            <w:color w:val="0000FF"/>
            <w:sz w:val="24"/>
            <w:szCs w:val="24"/>
            <w:u w:val="single"/>
            <w:rtl/>
          </w:rPr>
          <w:t>) 2811-04-20</w:t>
        </w:r>
      </w:hyperlink>
      <w:r w:rsidR="008B5593">
        <w:rPr>
          <w:rFonts w:cs="David"/>
          <w:sz w:val="24"/>
          <w:szCs w:val="24"/>
          <w:rtl/>
        </w:rPr>
        <w:t xml:space="preserve"> </w:t>
      </w:r>
      <w:r w:rsidR="008B5593">
        <w:rPr>
          <w:rFonts w:cs="David"/>
          <w:b/>
          <w:bCs/>
          <w:sz w:val="24"/>
          <w:szCs w:val="24"/>
          <w:rtl/>
        </w:rPr>
        <w:t xml:space="preserve">עמוש נ' מדינת ישראל </w:t>
      </w:r>
      <w:r w:rsidR="008B5593">
        <w:rPr>
          <w:rFonts w:cs="David"/>
          <w:sz w:val="24"/>
          <w:szCs w:val="24"/>
          <w:rtl/>
        </w:rPr>
        <w:t>( 14.05.20)</w:t>
      </w:r>
      <w:r w:rsidR="008B5593">
        <w:rPr>
          <w:rFonts w:cs="David"/>
          <w:b/>
          <w:bCs/>
          <w:sz w:val="24"/>
          <w:szCs w:val="24"/>
          <w:rtl/>
        </w:rPr>
        <w:t xml:space="preserve"> </w:t>
      </w:r>
      <w:r w:rsidR="008B5593">
        <w:rPr>
          <w:rFonts w:cs="David"/>
          <w:sz w:val="24"/>
          <w:szCs w:val="24"/>
          <w:rtl/>
        </w:rPr>
        <w:t xml:space="preserve">נדחה ערעור של  הנאשם הורשע על פי הודאתו בכניסה לבית מגורים בכוונה לבצע גניבה ובגניבה, בכך שנכנס לדירה קצת לפני חצות, דרך הדלת וגנב מהדירה שני מכשירי טלפון נייד לאחר מכן אותר על ידי המשטרה שמכשירי הטלפון בתחתוניו. </w:t>
      </w:r>
      <w:r w:rsidR="008B5593">
        <w:rPr>
          <w:rFonts w:cs="David"/>
          <w:b/>
          <w:bCs/>
          <w:sz w:val="24"/>
          <w:szCs w:val="24"/>
          <w:rtl/>
        </w:rPr>
        <w:t>נקבע מתחם ענישה הנע בין 10 ל- 20 חודשי מאסר בפועל</w:t>
      </w:r>
      <w:r w:rsidR="008B5593">
        <w:rPr>
          <w:rFonts w:cs="David"/>
          <w:sz w:val="24"/>
          <w:szCs w:val="24"/>
          <w:rtl/>
        </w:rPr>
        <w:t xml:space="preserve">, הנאשם בעל עבר פלילי קודם בעבירות רכוש נדון ל 13 חודשי מאסר בפועל וכן הופעל מאסר מותנה בן 12 חודשים חלקו במצטבר וחלקו בחופף, מאסר מותנה, פיצוי למתלוננת והפעלת התחייבות. </w:t>
      </w:r>
    </w:p>
    <w:p w14:paraId="665818F4" w14:textId="77777777" w:rsidR="008B5593" w:rsidRDefault="00B97B12" w:rsidP="008B5593">
      <w:pPr>
        <w:pStyle w:val="ab"/>
        <w:numPr>
          <w:ilvl w:val="0"/>
          <w:numId w:val="4"/>
        </w:numPr>
        <w:spacing w:line="360" w:lineRule="auto"/>
        <w:jc w:val="both"/>
        <w:rPr>
          <w:rFonts w:cs="David"/>
          <w:sz w:val="24"/>
          <w:szCs w:val="24"/>
        </w:rPr>
      </w:pPr>
      <w:hyperlink r:id="rId57" w:history="1">
        <w:r w:rsidRPr="00B97B12">
          <w:rPr>
            <w:rFonts w:cs="David" w:hint="cs"/>
            <w:color w:val="0000FF"/>
            <w:sz w:val="24"/>
            <w:szCs w:val="24"/>
            <w:u w:val="single"/>
            <w:rtl/>
          </w:rPr>
          <w:t>ת</w:t>
        </w:r>
        <w:r w:rsidRPr="00B97B12">
          <w:rPr>
            <w:rFonts w:cs="David"/>
            <w:color w:val="0000FF"/>
            <w:sz w:val="24"/>
            <w:szCs w:val="24"/>
            <w:u w:val="single"/>
            <w:rtl/>
          </w:rPr>
          <w:t>"</w:t>
        </w:r>
        <w:r w:rsidRPr="00B97B12">
          <w:rPr>
            <w:rFonts w:cs="David" w:hint="cs"/>
            <w:color w:val="0000FF"/>
            <w:sz w:val="24"/>
            <w:szCs w:val="24"/>
            <w:u w:val="single"/>
            <w:rtl/>
          </w:rPr>
          <w:t>פ</w:t>
        </w:r>
        <w:r w:rsidRPr="00B97B12">
          <w:rPr>
            <w:rFonts w:cs="David"/>
            <w:color w:val="0000FF"/>
            <w:sz w:val="24"/>
            <w:szCs w:val="24"/>
            <w:u w:val="single"/>
            <w:rtl/>
          </w:rPr>
          <w:t xml:space="preserve"> (</w:t>
        </w:r>
        <w:r w:rsidRPr="00B97B12">
          <w:rPr>
            <w:rFonts w:cs="David" w:hint="cs"/>
            <w:color w:val="0000FF"/>
            <w:sz w:val="24"/>
            <w:szCs w:val="24"/>
            <w:u w:val="single"/>
            <w:rtl/>
          </w:rPr>
          <w:t>ב</w:t>
        </w:r>
        <w:r w:rsidRPr="00B97B12">
          <w:rPr>
            <w:rFonts w:cs="David"/>
            <w:color w:val="0000FF"/>
            <w:sz w:val="24"/>
            <w:szCs w:val="24"/>
            <w:u w:val="single"/>
            <w:rtl/>
          </w:rPr>
          <w:t>"</w:t>
        </w:r>
        <w:r w:rsidRPr="00B97B12">
          <w:rPr>
            <w:rFonts w:cs="David" w:hint="cs"/>
            <w:color w:val="0000FF"/>
            <w:sz w:val="24"/>
            <w:szCs w:val="24"/>
            <w:u w:val="single"/>
            <w:rtl/>
          </w:rPr>
          <w:t>ש</w:t>
        </w:r>
        <w:r w:rsidRPr="00B97B12">
          <w:rPr>
            <w:rFonts w:cs="David"/>
            <w:color w:val="0000FF"/>
            <w:sz w:val="24"/>
            <w:szCs w:val="24"/>
            <w:u w:val="single"/>
            <w:rtl/>
          </w:rPr>
          <w:t>) 31895-10-19</w:t>
        </w:r>
      </w:hyperlink>
      <w:r w:rsidR="008B5593">
        <w:rPr>
          <w:rFonts w:cs="David"/>
          <w:sz w:val="24"/>
          <w:szCs w:val="24"/>
          <w:rtl/>
        </w:rPr>
        <w:t xml:space="preserve"> </w:t>
      </w:r>
      <w:r w:rsidR="008B5593">
        <w:rPr>
          <w:rFonts w:cs="David"/>
          <w:b/>
          <w:bCs/>
          <w:sz w:val="24"/>
          <w:szCs w:val="24"/>
          <w:rtl/>
        </w:rPr>
        <w:t>מדינת ישראל נ' מאמו</w:t>
      </w:r>
      <w:r w:rsidR="008B5593">
        <w:rPr>
          <w:rFonts w:cs="David"/>
          <w:sz w:val="24"/>
          <w:szCs w:val="24"/>
          <w:rtl/>
        </w:rPr>
        <w:t xml:space="preserve"> (21.01.20) הנאשם הורשע בהתאם להודאתו במספר עבירות רכוש שבוצעו באותו לילה, עבירות של כניסה לבית מגורים, הסגת גבול וגניבה. </w:t>
      </w:r>
      <w:r w:rsidR="008B5593">
        <w:rPr>
          <w:rFonts w:cs="David"/>
          <w:b/>
          <w:bCs/>
          <w:sz w:val="24"/>
          <w:szCs w:val="24"/>
          <w:rtl/>
        </w:rPr>
        <w:t>נקבע מתחם ענישה הנע בין 12 ל 24 חודשי מאסר בפועל בצירוף ענישה נלווית.</w:t>
      </w:r>
      <w:r w:rsidR="008B5593">
        <w:rPr>
          <w:rFonts w:cs="David"/>
          <w:sz w:val="24"/>
          <w:szCs w:val="24"/>
          <w:rtl/>
        </w:rPr>
        <w:t xml:space="preserve"> הנאשם בעל עבר פלילי קודם בתחום עבירות הרכוש, נדון ל 15 חודשי מאסר בפועל וכן הופעל מאסר מותנה בן 5 חודשים חלק בחופף וחלק במצטבר, מאסר על תנאי, פיצוי למתלוננים והפעלת התחייבות. </w:t>
      </w:r>
    </w:p>
    <w:p w14:paraId="5CC24579" w14:textId="77777777" w:rsidR="008B5593" w:rsidRDefault="008B5593" w:rsidP="008B5593">
      <w:pPr>
        <w:pStyle w:val="ab"/>
        <w:numPr>
          <w:ilvl w:val="0"/>
          <w:numId w:val="4"/>
        </w:numPr>
        <w:spacing w:line="360" w:lineRule="auto"/>
        <w:jc w:val="both"/>
        <w:rPr>
          <w:rFonts w:cs="David"/>
          <w:sz w:val="24"/>
          <w:szCs w:val="24"/>
        </w:rPr>
      </w:pPr>
      <w:r>
        <w:rPr>
          <w:rFonts w:cs="David"/>
          <w:sz w:val="24"/>
          <w:szCs w:val="24"/>
          <w:rtl/>
        </w:rPr>
        <w:t>מדיניות הענישה הנוהגת בהתפרצות למקום מגורים בשילוב עם גניבה ושימוש בכרטיס חיוב מפנה, ל</w:t>
      </w:r>
      <w:hyperlink r:id="rId58" w:history="1">
        <w:r w:rsidR="00B97B12" w:rsidRPr="00B97B12">
          <w:rPr>
            <w:rFonts w:cs="David" w:hint="cs"/>
            <w:color w:val="0000FF"/>
            <w:sz w:val="24"/>
            <w:szCs w:val="24"/>
            <w:u w:val="single"/>
            <w:rtl/>
          </w:rPr>
          <w:t>ת</w:t>
        </w:r>
        <w:r w:rsidR="00B97B12" w:rsidRPr="00B97B12">
          <w:rPr>
            <w:rFonts w:cs="David"/>
            <w:color w:val="0000FF"/>
            <w:sz w:val="24"/>
            <w:szCs w:val="24"/>
            <w:u w:val="single"/>
            <w:rtl/>
          </w:rPr>
          <w:t>"</w:t>
        </w:r>
        <w:r w:rsidR="00B97B12" w:rsidRPr="00B97B12">
          <w:rPr>
            <w:rFonts w:cs="David" w:hint="cs"/>
            <w:color w:val="0000FF"/>
            <w:sz w:val="24"/>
            <w:szCs w:val="24"/>
            <w:u w:val="single"/>
            <w:rtl/>
          </w:rPr>
          <w:t>פ</w:t>
        </w:r>
        <w:r w:rsidR="00B97B12" w:rsidRPr="00B97B12">
          <w:rPr>
            <w:rFonts w:cs="David"/>
            <w:color w:val="0000FF"/>
            <w:sz w:val="24"/>
            <w:szCs w:val="24"/>
            <w:u w:val="single"/>
            <w:rtl/>
          </w:rPr>
          <w:t xml:space="preserve">  55153-11-22</w:t>
        </w:r>
      </w:hyperlink>
      <w:r>
        <w:rPr>
          <w:rFonts w:cs="David"/>
          <w:sz w:val="24"/>
          <w:szCs w:val="24"/>
          <w:rtl/>
        </w:rPr>
        <w:t xml:space="preserve">  מדינת ישראל נ' דדון, </w:t>
      </w:r>
      <w:hyperlink r:id="rId59" w:history="1">
        <w:r w:rsidR="00B97B12" w:rsidRPr="00B97B12">
          <w:rPr>
            <w:rFonts w:cs="David" w:hint="cs"/>
            <w:color w:val="0000FF"/>
            <w:sz w:val="24"/>
            <w:szCs w:val="24"/>
            <w:u w:val="single"/>
            <w:rtl/>
          </w:rPr>
          <w:t>ת</w:t>
        </w:r>
        <w:r w:rsidR="00B97B12" w:rsidRPr="00B97B12">
          <w:rPr>
            <w:rFonts w:cs="David"/>
            <w:color w:val="0000FF"/>
            <w:sz w:val="24"/>
            <w:szCs w:val="24"/>
            <w:u w:val="single"/>
            <w:rtl/>
          </w:rPr>
          <w:t>"</w:t>
        </w:r>
        <w:r w:rsidR="00B97B12" w:rsidRPr="00B97B12">
          <w:rPr>
            <w:rFonts w:cs="David" w:hint="cs"/>
            <w:color w:val="0000FF"/>
            <w:sz w:val="24"/>
            <w:szCs w:val="24"/>
            <w:u w:val="single"/>
            <w:rtl/>
          </w:rPr>
          <w:t>פ</w:t>
        </w:r>
        <w:r w:rsidR="00B97B12" w:rsidRPr="00B97B12">
          <w:rPr>
            <w:rFonts w:cs="David"/>
            <w:color w:val="0000FF"/>
            <w:sz w:val="24"/>
            <w:szCs w:val="24"/>
            <w:u w:val="single"/>
            <w:rtl/>
          </w:rPr>
          <w:t xml:space="preserve"> 50535-05-23</w:t>
        </w:r>
      </w:hyperlink>
      <w:r>
        <w:rPr>
          <w:rFonts w:cs="David"/>
          <w:sz w:val="24"/>
          <w:szCs w:val="24"/>
          <w:rtl/>
        </w:rPr>
        <w:t xml:space="preserve"> מדינת ישראל נ' אולפת, שניהם מבית משפט השלום באר שבע ובשניהם נקבע מתחם ענישה הנע בין 10 ל 20 חודשי מאסר בפועל, בנסיבות הדומות למקרה שבפניי. </w:t>
      </w:r>
    </w:p>
    <w:p w14:paraId="23F014F7" w14:textId="77777777" w:rsidR="008B5593" w:rsidRPr="008B5593" w:rsidRDefault="008B5593" w:rsidP="008B5593">
      <w:pPr>
        <w:spacing w:line="360" w:lineRule="auto"/>
        <w:jc w:val="both"/>
        <w:rPr>
          <w:rFonts w:ascii="David" w:hAnsi="David"/>
          <w:b/>
          <w:bCs/>
          <w:color w:val="000000"/>
          <w:rtl/>
        </w:rPr>
      </w:pPr>
    </w:p>
    <w:p w14:paraId="4C6111AF" w14:textId="77777777" w:rsidR="008B5593" w:rsidRPr="008B5593" w:rsidRDefault="008B5593" w:rsidP="008B5593">
      <w:pPr>
        <w:spacing w:line="360" w:lineRule="auto"/>
        <w:jc w:val="both"/>
        <w:rPr>
          <w:rFonts w:ascii="David" w:hAnsi="David"/>
          <w:b/>
          <w:bCs/>
          <w:color w:val="000000"/>
          <w:rtl/>
        </w:rPr>
      </w:pPr>
      <w:r w:rsidRPr="008B5593">
        <w:rPr>
          <w:rFonts w:ascii="David" w:hAnsi="David"/>
          <w:b/>
          <w:bCs/>
          <w:color w:val="000000"/>
          <w:rtl/>
        </w:rPr>
        <w:t>לאור כל המפורט לעיל,  ובשים לב לנסיבות התיק וצבר האירועים, אני קובע כי מתחם העונש ההולם בתיק זה נע מ 20 חודשי מאסר בפועל ועד ל 40 חודשי מאסר בפועל.</w:t>
      </w:r>
    </w:p>
    <w:p w14:paraId="42F04B21" w14:textId="77777777" w:rsidR="008B5593" w:rsidRPr="008B5593" w:rsidRDefault="008B5593" w:rsidP="008B5593">
      <w:pPr>
        <w:spacing w:line="360" w:lineRule="auto"/>
        <w:jc w:val="both"/>
        <w:rPr>
          <w:rFonts w:ascii="David" w:hAnsi="David"/>
          <w:b/>
          <w:bCs/>
          <w:color w:val="000000"/>
        </w:rPr>
      </w:pPr>
    </w:p>
    <w:p w14:paraId="177F01B0" w14:textId="77777777" w:rsidR="008B5593" w:rsidRPr="008B5593" w:rsidRDefault="008B5593" w:rsidP="008B5593">
      <w:pPr>
        <w:spacing w:line="360" w:lineRule="auto"/>
        <w:jc w:val="both"/>
        <w:rPr>
          <w:rFonts w:ascii="David" w:hAnsi="David"/>
          <w:b/>
          <w:bCs/>
          <w:color w:val="000000"/>
          <w:u w:val="single"/>
          <w:rtl/>
        </w:rPr>
      </w:pPr>
      <w:r w:rsidRPr="008B5593">
        <w:rPr>
          <w:rFonts w:ascii="David" w:hAnsi="David"/>
          <w:b/>
          <w:bCs/>
          <w:color w:val="000000"/>
          <w:u w:val="single"/>
          <w:rtl/>
        </w:rPr>
        <w:t>ת"פ 1324-01-22</w:t>
      </w:r>
    </w:p>
    <w:p w14:paraId="7E708876" w14:textId="77777777" w:rsidR="008B5593" w:rsidRDefault="008B5593" w:rsidP="008B5593">
      <w:pPr>
        <w:pStyle w:val="a"/>
        <w:numPr>
          <w:ilvl w:val="0"/>
          <w:numId w:val="2"/>
        </w:numPr>
        <w:tabs>
          <w:tab w:val="left" w:pos="720"/>
        </w:tabs>
        <w:jc w:val="both"/>
        <w:rPr>
          <w:rtl/>
        </w:rPr>
      </w:pPr>
      <w:r>
        <w:rPr>
          <w:rFonts w:hint="cs"/>
          <w:rtl/>
        </w:rPr>
        <w:t xml:space="preserve">המלחמה בנגע הסמים הינה קשה ובלתי פוסקת, </w:t>
      </w:r>
      <w:r>
        <w:rPr>
          <w:rFonts w:hint="cs"/>
          <w:b/>
          <w:bCs/>
          <w:rtl/>
        </w:rPr>
        <w:t xml:space="preserve">עבירות הסמים פוגעת בערכים חברתיים </w:t>
      </w:r>
      <w:r>
        <w:rPr>
          <w:rFonts w:hint="cs"/>
          <w:rtl/>
        </w:rPr>
        <w:t xml:space="preserve">של הגנה על הציבור בכללותו מפני הנזקים הישירים והעקיפים 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החזקת סם לצריכה עצמית הינה ברף הנמוך. לעניין ההשפעות ההרסניות של סם הקוקאין, ראה הנאמר ב</w:t>
      </w:r>
      <w:hyperlink r:id="rId60" w:history="1">
        <w:r w:rsidR="00B97B12" w:rsidRPr="00B97B12">
          <w:rPr>
            <w:b/>
            <w:bCs/>
            <w:color w:val="0000FF"/>
            <w:u w:val="single"/>
            <w:rtl/>
          </w:rPr>
          <w:t>ע"פ 972/11</w:t>
        </w:r>
      </w:hyperlink>
      <w:r w:rsidR="00B97B12">
        <w:rPr>
          <w:rFonts w:hint="cs"/>
          <w:rtl/>
        </w:rPr>
        <w:t xml:space="preserve"> </w:t>
      </w:r>
      <w:r>
        <w:rPr>
          <w:rFonts w:hint="cs"/>
          <w:b/>
          <w:bCs/>
          <w:rtl/>
        </w:rPr>
        <w:t>מדינת ישראל</w:t>
      </w:r>
      <w:r w:rsidR="00B97B12">
        <w:rPr>
          <w:rFonts w:hint="cs"/>
          <w:rtl/>
        </w:rPr>
        <w:t xml:space="preserve"> </w:t>
      </w:r>
      <w:r>
        <w:rPr>
          <w:rFonts w:hint="cs"/>
          <w:rtl/>
        </w:rPr>
        <w:t>נ'</w:t>
      </w:r>
      <w:r>
        <w:rPr>
          <w:rFonts w:hint="cs"/>
          <w:b/>
          <w:bCs/>
          <w:rtl/>
        </w:rPr>
        <w:t xml:space="preserve"> יונה</w:t>
      </w:r>
      <w:r>
        <w:rPr>
          <w:rFonts w:hint="cs"/>
          <w:rtl/>
        </w:rPr>
        <w:t xml:space="preserve"> (04.07.12). </w:t>
      </w:r>
    </w:p>
    <w:p w14:paraId="3E301AAB" w14:textId="77777777" w:rsidR="008B5593" w:rsidRDefault="008B5593" w:rsidP="008B5593">
      <w:pPr>
        <w:numPr>
          <w:ilvl w:val="0"/>
          <w:numId w:val="2"/>
        </w:numPr>
        <w:spacing w:after="160" w:line="360" w:lineRule="auto"/>
        <w:jc w:val="both"/>
        <w:rPr>
          <w:rFonts w:ascii="David" w:hAnsi="David"/>
          <w:rtl/>
        </w:rPr>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61" w:history="1">
        <w:r w:rsidR="00DD1465" w:rsidRPr="00DD1465">
          <w:rPr>
            <w:rStyle w:val="Hyperlink"/>
            <w:rFonts w:ascii="David" w:hAnsi="David"/>
            <w:color w:val="0000FF"/>
            <w:rtl/>
          </w:rPr>
          <w:t>40 ט'</w:t>
        </w:r>
      </w:hyperlink>
      <w:r>
        <w:rPr>
          <w:rFonts w:ascii="David" w:hAnsi="David"/>
          <w:rtl/>
        </w:rPr>
        <w:t xml:space="preserve"> לחוק), יש לתת את הדעת לשיקולים הבאים:  הנאשם נתפס מחזיק</w:t>
      </w:r>
      <w:r>
        <w:rPr>
          <w:rtl/>
        </w:rPr>
        <w:t xml:space="preserve"> </w:t>
      </w:r>
      <w:r>
        <w:rPr>
          <w:rFonts w:ascii="David" w:hAnsi="David"/>
          <w:rtl/>
        </w:rPr>
        <w:t xml:space="preserve">סם מסוג קוקאין במשקל 0.0946 גרם, על גופו מוסלק במגבון.  </w:t>
      </w:r>
    </w:p>
    <w:p w14:paraId="567BD914" w14:textId="77777777" w:rsidR="008B5593" w:rsidRDefault="008B5593" w:rsidP="008B5593">
      <w:pPr>
        <w:pStyle w:val="a"/>
        <w:numPr>
          <w:ilvl w:val="0"/>
          <w:numId w:val="2"/>
        </w:numPr>
        <w:tabs>
          <w:tab w:val="left" w:pos="720"/>
        </w:tabs>
        <w:rPr>
          <w:rtl/>
        </w:rPr>
      </w:pPr>
      <w:r>
        <w:rPr>
          <w:rFonts w:hint="cs"/>
          <w:rtl/>
        </w:rPr>
        <w:t xml:space="preserve">בחינת </w:t>
      </w:r>
      <w:r>
        <w:rPr>
          <w:rFonts w:hint="cs"/>
          <w:b/>
          <w:bCs/>
          <w:rtl/>
        </w:rPr>
        <w:t>מדיניות הענישה</w:t>
      </w:r>
      <w:r>
        <w:rPr>
          <w:rFonts w:hint="cs"/>
          <w:rtl/>
        </w:rPr>
        <w:t xml:space="preserve"> הנוהגת במקרים דומים כוללת עונשים במנעד רחב החל מעונשי מאסר על תנאי, צו של"צ ועד למאסר בפועל למספר חודשים.</w:t>
      </w:r>
    </w:p>
    <w:p w14:paraId="6843AEA1" w14:textId="77777777" w:rsidR="008B5593" w:rsidRDefault="008B5593" w:rsidP="008B5593">
      <w:pPr>
        <w:pStyle w:val="a"/>
        <w:numPr>
          <w:ilvl w:val="0"/>
          <w:numId w:val="0"/>
        </w:numPr>
        <w:tabs>
          <w:tab w:val="left" w:pos="720"/>
        </w:tabs>
        <w:rPr>
          <w:b/>
          <w:bCs/>
          <w:rtl/>
        </w:rPr>
      </w:pPr>
    </w:p>
    <w:p w14:paraId="078F3294" w14:textId="77777777" w:rsidR="008B5593" w:rsidRDefault="008B5593" w:rsidP="008B5593">
      <w:pPr>
        <w:pStyle w:val="a"/>
        <w:numPr>
          <w:ilvl w:val="0"/>
          <w:numId w:val="0"/>
        </w:numPr>
        <w:tabs>
          <w:tab w:val="left" w:pos="720"/>
        </w:tabs>
        <w:rPr>
          <w:b/>
          <w:bCs/>
        </w:rPr>
      </w:pPr>
      <w:r>
        <w:rPr>
          <w:rFonts w:hint="cs"/>
          <w:b/>
          <w:bCs/>
          <w:rtl/>
        </w:rPr>
        <w:t xml:space="preserve">לאור כל המפורט לעיל,  ובשים לב לנסיבות התיק, אני קובע כי מתחם העונש ההולם בתיק זה נע החל מצו של"צ, מאסר מותנה  ועד ל- 4 חודשי מאסר בפועל בצירוף ענישה נלווית. </w:t>
      </w:r>
    </w:p>
    <w:p w14:paraId="1B94144F" w14:textId="77777777" w:rsidR="008B5593" w:rsidRDefault="008B5593" w:rsidP="008B5593">
      <w:pPr>
        <w:spacing w:line="360" w:lineRule="auto"/>
        <w:jc w:val="both"/>
        <w:rPr>
          <w:rFonts w:ascii="David" w:hAnsi="David"/>
          <w:bCs/>
          <w:u w:val="single"/>
        </w:rPr>
      </w:pPr>
      <w:r>
        <w:rPr>
          <w:rFonts w:ascii="David" w:hAnsi="David"/>
          <w:rtl/>
        </w:rPr>
        <w:tab/>
      </w:r>
    </w:p>
    <w:p w14:paraId="1ADBEB8D" w14:textId="77777777" w:rsidR="008B5593" w:rsidRPr="008B5593" w:rsidRDefault="008B5593" w:rsidP="008B5593">
      <w:pPr>
        <w:spacing w:line="360" w:lineRule="auto"/>
        <w:jc w:val="both"/>
        <w:rPr>
          <w:rFonts w:ascii="David" w:hAnsi="David"/>
          <w:b/>
          <w:bCs/>
          <w:color w:val="000000"/>
          <w:u w:val="single"/>
        </w:rPr>
      </w:pPr>
      <w:r w:rsidRPr="008B5593">
        <w:rPr>
          <w:rFonts w:ascii="David" w:hAnsi="David"/>
          <w:b/>
          <w:bCs/>
          <w:color w:val="000000"/>
          <w:u w:val="single"/>
          <w:rtl/>
        </w:rPr>
        <w:t xml:space="preserve">סטייה משיקולי שיקום </w:t>
      </w:r>
    </w:p>
    <w:p w14:paraId="01E83354" w14:textId="77777777" w:rsidR="008B5593" w:rsidRPr="008B5593" w:rsidRDefault="008B5593" w:rsidP="008B5593">
      <w:pPr>
        <w:pStyle w:val="ab"/>
        <w:numPr>
          <w:ilvl w:val="0"/>
          <w:numId w:val="2"/>
        </w:numPr>
        <w:spacing w:line="360" w:lineRule="auto"/>
        <w:jc w:val="both"/>
        <w:rPr>
          <w:rFonts w:ascii="David" w:hAnsi="David" w:cs="David"/>
          <w:b/>
          <w:bCs/>
          <w:color w:val="000000"/>
          <w:sz w:val="24"/>
          <w:szCs w:val="24"/>
          <w:rtl/>
        </w:rPr>
      </w:pPr>
      <w:r w:rsidRPr="008B5593">
        <w:rPr>
          <w:rFonts w:ascii="David" w:hAnsi="David" w:cs="David"/>
          <w:color w:val="000000"/>
          <w:sz w:val="24"/>
          <w:szCs w:val="24"/>
          <w:rtl/>
        </w:rPr>
        <w:t xml:space="preserve"> באשר לשיקול השיקומי, נתתי דעתי להליך הטיפולי אותו עבר הנאשם במסגרת שירות המבחן, אולם באתי למסקנה כי בשים לב למפורט בתסקירים, לעובדה כי בסופו של יום לא הצליח הנאשם להחזיק בהליך השיקומי וחזר ונפל לשימוש בסמים, אין בכך כדי להצדיק סטייה מהמתחם, אלא להתחשב בו בתוך המתחם.  בהקשר זה נתתי דעתי לניסיונותיו של הנאשם להשתלב בהליך שיקומי כפי שפורט בהרחבה במסגרת תסקירי שירות המבחן, הבעת מוטיבציה לשיקום והימנעותו ממעורבות בפלילים, כל אלו ראויים להתחשבות ומהווים במידה מסוימת נסיבות להקלה בעונשו של הנאשם, גם אם ההליך הטיפולי בסופו של דבר לא הניב פרי ולא הביא לתוצאות. טוב ונכון לעודד השתלבות של נאשמים בהליכים שיקומיים – טיפוליים, וככל שמדובר בהשתלבות שנעשתה מתוך רצון כן וניסיונות אמיתיים, כפי שלטעמי היה בעניין שבפני, יכול הדבר לשמש נסיבה לקולא גם אם ההליך בסופו של דבר לא צלח.</w:t>
      </w:r>
      <w:r w:rsidRPr="008B5593">
        <w:rPr>
          <w:rFonts w:ascii="David" w:hAnsi="David" w:cs="David"/>
          <w:b/>
          <w:bCs/>
          <w:color w:val="000000"/>
          <w:sz w:val="24"/>
          <w:szCs w:val="24"/>
          <w:rtl/>
        </w:rPr>
        <w:t xml:space="preserve"> אך כפי שציינתי לעיל, אין בנתונים אלו כדי להצדיק סטייה ממתחמי הענישה, ולטעמי נתונים אלו מביאים למסקנה כי יש למקם את עונשו של הנאשם בתחתית מתחמי הענישה שקבעתי. </w:t>
      </w:r>
    </w:p>
    <w:p w14:paraId="4405CC59" w14:textId="77777777" w:rsidR="008B5593" w:rsidRPr="008B5593" w:rsidRDefault="008B5593" w:rsidP="008B5593">
      <w:pPr>
        <w:spacing w:line="360" w:lineRule="auto"/>
        <w:jc w:val="both"/>
        <w:rPr>
          <w:rFonts w:ascii="David" w:hAnsi="David"/>
          <w:b/>
          <w:bCs/>
          <w:color w:val="000000"/>
          <w:rtl/>
        </w:rPr>
      </w:pPr>
    </w:p>
    <w:p w14:paraId="2D7D39F8" w14:textId="77777777" w:rsidR="008B5593" w:rsidRDefault="008B5593" w:rsidP="008B5593">
      <w:pPr>
        <w:spacing w:line="360" w:lineRule="auto"/>
        <w:jc w:val="both"/>
        <w:rPr>
          <w:rFonts w:ascii="David" w:hAnsi="David"/>
          <w:bCs/>
          <w:u w:val="single"/>
          <w:rtl/>
        </w:rPr>
      </w:pPr>
      <w:r>
        <w:rPr>
          <w:rFonts w:ascii="David" w:hAnsi="David"/>
          <w:bCs/>
          <w:u w:val="single"/>
          <w:rtl/>
        </w:rPr>
        <w:t>גזירת העונש המתאים לנאשם</w:t>
      </w:r>
    </w:p>
    <w:p w14:paraId="38259C16" w14:textId="77777777" w:rsidR="008B5593" w:rsidRDefault="008B5593" w:rsidP="008B5593">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בגזירת העונש המתאים לנאשם, בגדרי מתחם העונש ההולם,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(סעיף </w:t>
      </w:r>
      <w:hyperlink r:id="rId62" w:history="1">
        <w:r w:rsidR="00DD1465" w:rsidRPr="00DD1465">
          <w:rPr>
            <w:rStyle w:val="Hyperlink"/>
            <w:rFonts w:ascii="David" w:hAnsi="David" w:cs="David"/>
            <w:color w:val="0000FF"/>
            <w:sz w:val="24"/>
            <w:szCs w:val="24"/>
            <w:rtl/>
          </w:rPr>
          <w:t>40 יא'</w:t>
        </w:r>
      </w:hyperlink>
      <w:r>
        <w:rPr>
          <w:rFonts w:ascii="David" w:hAnsi="David" w:cs="David"/>
          <w:sz w:val="24"/>
          <w:szCs w:val="24"/>
          <w:rtl/>
        </w:rPr>
        <w:t>). במסגרת זו מן הראוי לתת את הדעת לנסיבות הבאות:</w:t>
      </w:r>
    </w:p>
    <w:p w14:paraId="15E1CC4A" w14:textId="77777777" w:rsidR="008B5593" w:rsidRDefault="008B5593" w:rsidP="008B5593">
      <w:pPr>
        <w:pStyle w:val="ab"/>
        <w:spacing w:line="360" w:lineRule="auto"/>
        <w:jc w:val="both"/>
        <w:rPr>
          <w:rFonts w:ascii="David" w:hAnsi="David" w:cs="David"/>
          <w:sz w:val="24"/>
          <w:szCs w:val="24"/>
        </w:rPr>
      </w:pPr>
      <w:r>
        <w:rPr>
          <w:rFonts w:ascii="David" w:hAnsi="David" w:cs="David"/>
          <w:sz w:val="24"/>
          <w:szCs w:val="24"/>
          <w:rtl/>
        </w:rPr>
        <w:t xml:space="preserve">הנאשם בעל עבר פלילי ישן בעבירות רכוש, ריצה בעברו הרחוק מאסרים בפועל. </w:t>
      </w:r>
    </w:p>
    <w:p w14:paraId="1266F3A0"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 xml:space="preserve">במשך שנים ארוכות הצליח הנאשם להיחלץ מההוויה העבריינית ושב למסלול חיים תקין ונורמטיבי, למרבה הצער הנאשם חווה משבר אישי ושב לצרוך סמים ועל רקע זאת ביצע העבירות המיוחסות לו. הנאשם הביע רצון להיגמל ולהשתקם ואף עשה מאמצים כדי להצליח, אך הוא נאלץ לעזוב את הקהילה הטיפולית לאחר שכשל ועבר על הוראות המקום ולאחר מכן התקשה לגייס כוחות לשוב למערך טיפולי סדיר, למרות מספר רב של הזדמנויות כשל הנאשם שוב ושוב ולא הצליח לחזור ולהשתלב במערך הטיפולי. </w:t>
      </w:r>
    </w:p>
    <w:p w14:paraId="129CF235" w14:textId="77777777" w:rsidR="008B5593" w:rsidRDefault="008B5593" w:rsidP="008B5593">
      <w:pPr>
        <w:pStyle w:val="ab"/>
        <w:spacing w:line="360" w:lineRule="auto"/>
        <w:jc w:val="both"/>
        <w:rPr>
          <w:rFonts w:ascii="David" w:hAnsi="David" w:cs="David"/>
          <w:sz w:val="24"/>
          <w:szCs w:val="24"/>
          <w:rtl/>
        </w:rPr>
      </w:pPr>
    </w:p>
    <w:p w14:paraId="2A048DC2"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 xml:space="preserve">יחד עם זאת, יש לציין כי הנאשם הודה במיוחס לו, נטל אחריות מלאה למעשיו והביע חרטה על התנהלותו, הנאשם שהה בקהילה טיפולית תחת תנאים מגבילים במשך תקופה, עצם ניסיונותיו להתקדם בטיפול והעובדה ששהה בקהילה טיפולית יובאו כנקודות זכות עבורו. ברור ומובן שכאשר מדובר בנאשם שהשלים בהצלחה הליך טיפול ששינה אורח חייו ראוי להקל ואף לחרוג ממתחם הענישה, אולם לטעמי, בנסיבות מסוימות, גם נאשם שהביע רצון וניסה במהלך תקופה להשתלב בטיפול ראוי להתחשבות והקלה במידה מסוימת גם אם ההליך לא הושלם ולא הביא לשינוי המיוחל. </w:t>
      </w:r>
    </w:p>
    <w:p w14:paraId="0BBF0F4A" w14:textId="77777777" w:rsidR="008B5593" w:rsidRDefault="008B5593" w:rsidP="008B5593">
      <w:pPr>
        <w:pStyle w:val="ab"/>
        <w:spacing w:line="360" w:lineRule="auto"/>
        <w:jc w:val="both"/>
        <w:rPr>
          <w:rFonts w:ascii="David" w:hAnsi="David" w:cs="David"/>
          <w:sz w:val="24"/>
          <w:szCs w:val="24"/>
          <w:rtl/>
        </w:rPr>
      </w:pPr>
    </w:p>
    <w:p w14:paraId="3BBA4C1F"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בנוסף, נתתי דעתי למצבו הרפואי המורכב של הנאשם (ראה המסמכים הרפואיים שהוצגו נ/4), ולמצבה של בת זוגו (ראה נ/1, נ/2,</w:t>
      </w:r>
      <w:r>
        <w:rPr>
          <w:rFonts w:ascii="David" w:hAnsi="David" w:cs="David" w:hint="cs"/>
          <w:sz w:val="24"/>
          <w:szCs w:val="24"/>
          <w:rtl/>
        </w:rPr>
        <w:t xml:space="preserve"> </w:t>
      </w:r>
      <w:r>
        <w:rPr>
          <w:rFonts w:ascii="David" w:hAnsi="David" w:cs="David"/>
          <w:sz w:val="24"/>
          <w:szCs w:val="24"/>
          <w:rtl/>
        </w:rPr>
        <w:t>נ/3) המהווה עבור הנאשם דמות משמעותית ותומכת. כמו כן, נתתי דעתי לחלוף הזמן ממועד ביצוע העבירות והעובדה כי הנאשם לא חזר לבצע עבירות פליליות נוספות.</w:t>
      </w:r>
    </w:p>
    <w:p w14:paraId="75070A9D" w14:textId="77777777" w:rsidR="008B5593" w:rsidRDefault="008B5593" w:rsidP="008B5593">
      <w:pPr>
        <w:pStyle w:val="ab"/>
        <w:spacing w:line="360" w:lineRule="auto"/>
        <w:jc w:val="both"/>
        <w:rPr>
          <w:rFonts w:ascii="David" w:hAnsi="David" w:cs="David"/>
          <w:sz w:val="24"/>
          <w:szCs w:val="24"/>
          <w:rtl/>
        </w:rPr>
      </w:pPr>
    </w:p>
    <w:p w14:paraId="2A2F2292"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לאור האמור, מצאתי להקל על הנאשם ברכיב הכספי ולא להטיל עליו קנס כספי וזאת משום ביטוי להליך הטיפולי הארוך בו נקט, אולם אין בכך כדי לפטור הנאשם מתשלום פיצוי לקורבנות שנפגעו ממעשי העבירות.</w:t>
      </w:r>
    </w:p>
    <w:p w14:paraId="6D4E067D" w14:textId="77777777" w:rsidR="008B5593" w:rsidRDefault="008B5593" w:rsidP="008B5593">
      <w:pPr>
        <w:pStyle w:val="ab"/>
        <w:spacing w:line="360" w:lineRule="auto"/>
        <w:jc w:val="both"/>
        <w:rPr>
          <w:rFonts w:ascii="David" w:hAnsi="David" w:cs="David"/>
          <w:sz w:val="24"/>
          <w:szCs w:val="24"/>
          <w:rtl/>
        </w:rPr>
      </w:pPr>
    </w:p>
    <w:p w14:paraId="655BE63D" w14:textId="77777777" w:rsidR="008B5593" w:rsidRDefault="008B5593" w:rsidP="008B5593">
      <w:pPr>
        <w:pStyle w:val="ab"/>
        <w:spacing w:line="360" w:lineRule="auto"/>
        <w:jc w:val="both"/>
        <w:rPr>
          <w:rFonts w:ascii="David" w:hAnsi="David" w:cs="David"/>
          <w:sz w:val="24"/>
          <w:szCs w:val="24"/>
          <w:rtl/>
        </w:rPr>
      </w:pPr>
      <w:r>
        <w:rPr>
          <w:rFonts w:ascii="David" w:hAnsi="David" w:cs="David"/>
          <w:sz w:val="24"/>
          <w:szCs w:val="24"/>
          <w:rtl/>
        </w:rPr>
        <w:t xml:space="preserve">כמו כן, מצאתי להסתפק בפסילת רישיון נהיגה על תנאי בלבד על מנת לאפשר לנאשם להשתקם לאחר סיום ריצוי עונשו. </w:t>
      </w:r>
    </w:p>
    <w:p w14:paraId="119CA3AE" w14:textId="77777777" w:rsidR="008B5593" w:rsidRDefault="008B5593" w:rsidP="008B5593">
      <w:pPr>
        <w:spacing w:line="360" w:lineRule="auto"/>
        <w:jc w:val="both"/>
        <w:rPr>
          <w:rFonts w:ascii="David" w:hAnsi="David"/>
          <w:rtl/>
        </w:rPr>
      </w:pPr>
    </w:p>
    <w:p w14:paraId="414004CE" w14:textId="77777777" w:rsidR="008B5593" w:rsidRDefault="008B5593" w:rsidP="008B5593">
      <w:pPr>
        <w:spacing w:line="360" w:lineRule="auto"/>
        <w:jc w:val="both"/>
        <w:rPr>
          <w:rFonts w:ascii="David" w:hAnsi="David"/>
          <w:b/>
          <w:bCs/>
          <w:u w:val="single"/>
          <w:rtl/>
        </w:rPr>
      </w:pPr>
      <w:r>
        <w:rPr>
          <w:rFonts w:ascii="David" w:hAnsi="David"/>
          <w:b/>
          <w:bCs/>
          <w:u w:val="single"/>
          <w:rtl/>
        </w:rPr>
        <w:t>סוף דבר</w:t>
      </w:r>
    </w:p>
    <w:p w14:paraId="50052E53" w14:textId="77777777" w:rsidR="008B5593" w:rsidRDefault="008B5593" w:rsidP="008B5593">
      <w:pPr>
        <w:spacing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71CEF7AC" w14:textId="77777777" w:rsidR="008B5593" w:rsidRDefault="008B5593" w:rsidP="008B5593">
      <w:pPr>
        <w:spacing w:line="360" w:lineRule="auto"/>
        <w:ind w:left="720" w:hanging="720"/>
        <w:jc w:val="both"/>
        <w:rPr>
          <w:rFonts w:ascii="David" w:hAnsi="David"/>
          <w:rtl/>
        </w:rPr>
      </w:pPr>
      <w:r w:rsidRPr="00DA3807">
        <w:rPr>
          <w:rFonts w:ascii="David" w:hAnsi="David" w:hint="cs"/>
          <w:rtl/>
        </w:rPr>
        <w:t>א.</w:t>
      </w:r>
      <w:r>
        <w:rPr>
          <w:rFonts w:ascii="David" w:hAnsi="David"/>
          <w:b/>
          <w:bCs/>
          <w:rtl/>
        </w:rPr>
        <w:tab/>
      </w:r>
      <w:r>
        <w:rPr>
          <w:rFonts w:ascii="David" w:hAnsi="David" w:hint="cs"/>
          <w:b/>
          <w:bCs/>
          <w:rtl/>
        </w:rPr>
        <w:t>20</w:t>
      </w:r>
      <w:r w:rsidRPr="00741AF5">
        <w:rPr>
          <w:rFonts w:ascii="David" w:hAnsi="David"/>
          <w:b/>
          <w:bCs/>
          <w:rtl/>
        </w:rPr>
        <w:t xml:space="preserve"> חודשי מאסר בפועל בניכוי ימי מעצרו.</w:t>
      </w:r>
      <w:r w:rsidRPr="00741AF5">
        <w:rPr>
          <w:rFonts w:ascii="David" w:hAnsi="David"/>
          <w:rtl/>
        </w:rPr>
        <w:t xml:space="preserve"> הנאשם יתייצב לריצוי עונש המאסר בבית סוהר "דקל" ביום </w:t>
      </w:r>
      <w:r>
        <w:rPr>
          <w:rFonts w:ascii="David" w:hAnsi="David" w:hint="cs"/>
          <w:rtl/>
        </w:rPr>
        <w:t>05</w:t>
      </w:r>
      <w:r w:rsidRPr="00741AF5">
        <w:rPr>
          <w:rFonts w:ascii="David" w:hAnsi="David"/>
          <w:rtl/>
        </w:rPr>
        <w:t>.</w:t>
      </w:r>
      <w:r>
        <w:rPr>
          <w:rFonts w:ascii="David" w:hAnsi="David" w:hint="cs"/>
          <w:rtl/>
        </w:rPr>
        <w:t>01</w:t>
      </w:r>
      <w:r w:rsidRPr="00741AF5">
        <w:rPr>
          <w:rFonts w:ascii="David" w:hAnsi="David"/>
          <w:rtl/>
        </w:rPr>
        <w:t>.</w:t>
      </w:r>
      <w:r>
        <w:rPr>
          <w:rFonts w:ascii="David" w:hAnsi="David" w:hint="cs"/>
          <w:rtl/>
        </w:rPr>
        <w:t>25</w:t>
      </w:r>
      <w:r w:rsidRPr="00741AF5">
        <w:rPr>
          <w:rFonts w:ascii="David" w:hAnsi="David"/>
          <w:rtl/>
        </w:rPr>
        <w:t xml:space="preserve"> עד השעה 08:00 בצירוף תעודת זהות ופרוטוקול גזר הדין. הוסבר לנאשם זכותו לפנות ליחידה למאסרים נדחים בשב"ס לעניין מקום ריצוי העונש.</w:t>
      </w:r>
    </w:p>
    <w:p w14:paraId="2C00734D" w14:textId="77777777" w:rsidR="008B5593" w:rsidRDefault="008B5593" w:rsidP="008B5593">
      <w:pPr>
        <w:spacing w:line="360" w:lineRule="auto"/>
        <w:ind w:left="720" w:hanging="720"/>
        <w:jc w:val="both"/>
        <w:rPr>
          <w:rFonts w:ascii="David" w:hAnsi="David"/>
          <w:rtl/>
        </w:rPr>
      </w:pPr>
      <w:r w:rsidRPr="00DA3807">
        <w:rPr>
          <w:rFonts w:ascii="David" w:hAnsi="David" w:hint="cs"/>
          <w:rtl/>
        </w:rPr>
        <w:t>ב.</w:t>
      </w:r>
      <w:r>
        <w:rPr>
          <w:rFonts w:ascii="David" w:hAnsi="David" w:hint="cs"/>
          <w:rtl/>
        </w:rPr>
        <w:t xml:space="preserve"> </w:t>
      </w:r>
      <w:r>
        <w:rPr>
          <w:rFonts w:ascii="David" w:hAnsi="David" w:hint="cs"/>
          <w:rtl/>
        </w:rPr>
        <w:tab/>
        <w:t>8</w:t>
      </w:r>
      <w:r>
        <w:rPr>
          <w:rFonts w:ascii="David" w:hAnsi="David"/>
          <w:rtl/>
        </w:rPr>
        <w:t xml:space="preserve"> חודשי מאסר על תנאי, לבל יעבור הנאשם במשך שלוש שנים מיום שחרורו כל עבירת רכוש</w:t>
      </w:r>
      <w:r>
        <w:rPr>
          <w:rFonts w:ascii="David" w:hAnsi="David" w:hint="cs"/>
          <w:rtl/>
        </w:rPr>
        <w:t xml:space="preserve"> או עבירת סמים </w:t>
      </w:r>
      <w:r>
        <w:rPr>
          <w:rFonts w:ascii="David" w:hAnsi="David"/>
          <w:rtl/>
        </w:rPr>
        <w:t xml:space="preserve">מסוג פשע. </w:t>
      </w:r>
    </w:p>
    <w:p w14:paraId="28542784" w14:textId="77777777" w:rsidR="008B5593" w:rsidRDefault="008B5593" w:rsidP="008B5593">
      <w:pPr>
        <w:spacing w:line="360" w:lineRule="auto"/>
        <w:ind w:left="720" w:hanging="720"/>
        <w:jc w:val="both"/>
        <w:rPr>
          <w:rFonts w:ascii="David" w:hAnsi="David"/>
          <w:rtl/>
        </w:rPr>
      </w:pPr>
      <w:r w:rsidRPr="00DA3807">
        <w:rPr>
          <w:rFonts w:ascii="David" w:hAnsi="David" w:hint="cs"/>
          <w:rtl/>
        </w:rPr>
        <w:t>ג.</w:t>
      </w:r>
      <w:r>
        <w:rPr>
          <w:rFonts w:ascii="David" w:hAnsi="David"/>
          <w:rtl/>
        </w:rPr>
        <w:tab/>
      </w:r>
      <w:r>
        <w:rPr>
          <w:rFonts w:ascii="David" w:hAnsi="David" w:hint="cs"/>
          <w:rtl/>
        </w:rPr>
        <w:t>4</w:t>
      </w:r>
      <w:r>
        <w:rPr>
          <w:rFonts w:ascii="David" w:hAnsi="David"/>
          <w:rtl/>
        </w:rPr>
        <w:t xml:space="preserve"> חודשים מאסר על תנאי, לבל יעבור הנאשם במשך שלוש שנים מיום שחרורו כל עבירה רכוש </w:t>
      </w:r>
      <w:r>
        <w:rPr>
          <w:rFonts w:ascii="David" w:hAnsi="David" w:hint="cs"/>
          <w:rtl/>
        </w:rPr>
        <w:t xml:space="preserve">או עבירת סמים </w:t>
      </w:r>
      <w:r>
        <w:rPr>
          <w:rFonts w:ascii="David" w:hAnsi="David"/>
          <w:rtl/>
        </w:rPr>
        <w:t xml:space="preserve">מסוג עוון למעט עבירה של החזקת רכוש חשוד כגנוב. </w:t>
      </w:r>
    </w:p>
    <w:p w14:paraId="3F7CC4ED" w14:textId="77777777" w:rsidR="008B5593" w:rsidRDefault="008B5593" w:rsidP="008B5593">
      <w:pPr>
        <w:spacing w:line="360" w:lineRule="auto"/>
        <w:ind w:left="720" w:hanging="720"/>
        <w:jc w:val="both"/>
        <w:rPr>
          <w:rFonts w:ascii="David" w:hAnsi="David"/>
        </w:rPr>
      </w:pPr>
      <w:r w:rsidRPr="00DA3807">
        <w:rPr>
          <w:rFonts w:ascii="David" w:hAnsi="David" w:hint="cs"/>
          <w:rtl/>
        </w:rPr>
        <w:t>ד.</w:t>
      </w:r>
      <w:r>
        <w:rPr>
          <w:rFonts w:ascii="David" w:hAnsi="David"/>
          <w:rtl/>
        </w:rPr>
        <w:tab/>
        <w:t>הנאשם ישלם פיצוי כספי בסך 2,000 ₪ לכל אחד מהמתלוננים הבאים:</w:t>
      </w:r>
    </w:p>
    <w:p w14:paraId="309B8700" w14:textId="77777777" w:rsidR="008B5593" w:rsidRDefault="008B5593" w:rsidP="008B5593">
      <w:pPr>
        <w:spacing w:line="360" w:lineRule="auto"/>
        <w:ind w:firstLine="720"/>
        <w:jc w:val="both"/>
        <w:rPr>
          <w:rFonts w:ascii="David" w:hAnsi="David"/>
        </w:rPr>
      </w:pPr>
      <w:r>
        <w:rPr>
          <w:rFonts w:ascii="David" w:hAnsi="David"/>
          <w:rtl/>
        </w:rPr>
        <w:t xml:space="preserve">ע"ת 1 מר אליהו פוקולה ת.ז. </w:t>
      </w:r>
      <w:r w:rsidR="00B97B12">
        <w:rPr>
          <w:rFonts w:ascii="David" w:hAnsi="David"/>
        </w:rPr>
        <w:t>xxxxxxxxxx</w:t>
      </w:r>
    </w:p>
    <w:p w14:paraId="5996C8BD" w14:textId="77777777" w:rsidR="008B5593" w:rsidRDefault="008B5593" w:rsidP="008B5593">
      <w:pPr>
        <w:spacing w:line="360" w:lineRule="auto"/>
        <w:ind w:firstLine="720"/>
        <w:jc w:val="both"/>
        <w:rPr>
          <w:rFonts w:ascii="David" w:hAnsi="David"/>
          <w:rtl/>
        </w:rPr>
      </w:pPr>
      <w:r>
        <w:rPr>
          <w:rFonts w:ascii="David" w:hAnsi="David"/>
          <w:rtl/>
        </w:rPr>
        <w:t xml:space="preserve">ע"ת 2 הגב' יעל אוחיון ת.ז. </w:t>
      </w:r>
      <w:r w:rsidR="00B97B12">
        <w:rPr>
          <w:rFonts w:ascii="David" w:hAnsi="David"/>
        </w:rPr>
        <w:t>xxxxxxxxxx</w:t>
      </w:r>
    </w:p>
    <w:p w14:paraId="089FEE47" w14:textId="77777777" w:rsidR="008B5593" w:rsidRDefault="008B5593" w:rsidP="008B5593">
      <w:pPr>
        <w:spacing w:line="360" w:lineRule="auto"/>
        <w:ind w:firstLine="720"/>
        <w:jc w:val="both"/>
        <w:rPr>
          <w:rFonts w:ascii="David" w:hAnsi="David"/>
          <w:rtl/>
        </w:rPr>
      </w:pPr>
      <w:r>
        <w:rPr>
          <w:rFonts w:ascii="David" w:hAnsi="David"/>
          <w:rtl/>
        </w:rPr>
        <w:t xml:space="preserve">ע"ת 3 הגב' פטריסיה חגבי ת.ז. </w:t>
      </w:r>
      <w:r w:rsidR="00B97B12">
        <w:rPr>
          <w:rFonts w:ascii="David" w:hAnsi="David"/>
        </w:rPr>
        <w:t>xxxxxxxxxx</w:t>
      </w:r>
    </w:p>
    <w:p w14:paraId="7A84D7AE" w14:textId="77777777" w:rsidR="008B5593" w:rsidRDefault="008B5593" w:rsidP="008B5593">
      <w:pPr>
        <w:spacing w:line="360" w:lineRule="auto"/>
        <w:ind w:left="720"/>
        <w:jc w:val="both"/>
        <w:rPr>
          <w:rFonts w:ascii="David" w:hAnsi="David"/>
          <w:rtl/>
        </w:rPr>
      </w:pPr>
      <w:r>
        <w:rPr>
          <w:rFonts w:ascii="David" w:hAnsi="David"/>
          <w:rtl/>
        </w:rPr>
        <w:t>הפיצוי הכולל בסך 6,000 ₪ או 60 ימי מאסר תמורתו ישולם ב-6 תשלומים שווים ורצופים החל מיום 1.</w:t>
      </w:r>
      <w:r>
        <w:rPr>
          <w:rFonts w:ascii="David" w:hAnsi="David" w:hint="cs"/>
          <w:rtl/>
        </w:rPr>
        <w:t>5</w:t>
      </w:r>
      <w:r>
        <w:rPr>
          <w:rFonts w:ascii="David" w:hAnsi="David"/>
          <w:rtl/>
        </w:rPr>
        <w:t xml:space="preserve">.25 ובראשון לכל חודש שאחריו עד סיום מלוא תשלום הפיצוי. התשלום יבוצע בתחילה לע"ת 1, לאחר מכן לע"ת 2 ולבסוף לע"ת </w:t>
      </w:r>
      <w:r>
        <w:rPr>
          <w:rFonts w:ascii="David" w:hAnsi="David" w:hint="cs"/>
          <w:rtl/>
        </w:rPr>
        <w:t>3</w:t>
      </w:r>
      <w:r>
        <w:rPr>
          <w:rFonts w:ascii="David" w:hAnsi="David"/>
          <w:rtl/>
        </w:rPr>
        <w:t>.</w:t>
      </w:r>
    </w:p>
    <w:p w14:paraId="55532FC3" w14:textId="77777777" w:rsidR="008B5593" w:rsidRDefault="008B5593" w:rsidP="008B5593">
      <w:pPr>
        <w:spacing w:line="360" w:lineRule="auto"/>
        <w:ind w:firstLine="720"/>
        <w:jc w:val="both"/>
      </w:pPr>
      <w:r>
        <w:rPr>
          <w:rFonts w:hint="cs"/>
          <w:rtl/>
        </w:rPr>
        <w:t xml:space="preserve">את הפיצוי ניתן לשלם באחת מהדרכים הבאות: </w:t>
      </w:r>
    </w:p>
    <w:p w14:paraId="735C27ED" w14:textId="77777777" w:rsidR="008B5593" w:rsidRDefault="008B5593" w:rsidP="008B5593">
      <w:pPr>
        <w:numPr>
          <w:ilvl w:val="0"/>
          <w:numId w:val="6"/>
        </w:numPr>
        <w:spacing w:line="360" w:lineRule="auto"/>
        <w:jc w:val="both"/>
      </w:pPr>
      <w:r>
        <w:rPr>
          <w:rFonts w:hint="cs"/>
          <w:rtl/>
        </w:rPr>
        <w:t xml:space="preserve">בכרטיס אשראי – באתר המקוון של רשות האכיפה והגבייה, </w:t>
      </w:r>
      <w:hyperlink r:id="rId63" w:history="1">
        <w:r>
          <w:rPr>
            <w:rStyle w:val="Hyperlink"/>
          </w:rPr>
          <w:t>www.eca.gov.il</w:t>
        </w:r>
      </w:hyperlink>
      <w:r>
        <w:t xml:space="preserve"> </w:t>
      </w:r>
      <w:r>
        <w:rPr>
          <w:rFonts w:hint="cs"/>
          <w:rtl/>
        </w:rPr>
        <w:t>.</w:t>
      </w:r>
    </w:p>
    <w:p w14:paraId="31749201" w14:textId="77777777" w:rsidR="008B5593" w:rsidRDefault="008B5593" w:rsidP="008B5593">
      <w:pPr>
        <w:numPr>
          <w:ilvl w:val="0"/>
          <w:numId w:val="6"/>
        </w:numPr>
        <w:spacing w:line="360" w:lineRule="auto"/>
        <w:jc w:val="both"/>
      </w:pPr>
      <w:r>
        <w:rPr>
          <w:rFonts w:hint="cs"/>
          <w:rtl/>
        </w:rPr>
        <w:t>מוקד שירות טלפוני בשרות עצמי (מרכז גבייה)</w:t>
      </w:r>
      <w:r w:rsidR="00B97B12">
        <w:rPr>
          <w:rFonts w:hint="cs"/>
          <w:rtl/>
        </w:rPr>
        <w:t xml:space="preserve"> </w:t>
      </w:r>
      <w:r>
        <w:rPr>
          <w:rFonts w:hint="cs"/>
          <w:rtl/>
        </w:rPr>
        <w:t xml:space="preserve"> – בטלפון 35592* או בטלפון 073-2055000.</w:t>
      </w:r>
    </w:p>
    <w:p w14:paraId="60120136" w14:textId="77777777" w:rsidR="008B5593" w:rsidRDefault="008B5593" w:rsidP="008B5593">
      <w:pPr>
        <w:numPr>
          <w:ilvl w:val="0"/>
          <w:numId w:val="6"/>
        </w:numPr>
        <w:spacing w:line="360" w:lineRule="auto"/>
        <w:jc w:val="both"/>
        <w:rPr>
          <w:rtl/>
        </w:rPr>
      </w:pPr>
      <w:r>
        <w:rPr>
          <w:rFonts w:hint="cs"/>
          <w:rtl/>
        </w:rPr>
        <w:t>במזומן בכל סניף של בנק הדואר – בהצגת תעודת זהות בלבד (אין צורך בהצגת בשוברי תשלום).</w:t>
      </w:r>
    </w:p>
    <w:p w14:paraId="2DC54E15" w14:textId="77777777" w:rsidR="008B5593" w:rsidRPr="00741AF5" w:rsidRDefault="008B5593" w:rsidP="008B5593">
      <w:pPr>
        <w:pStyle w:val="ab"/>
        <w:numPr>
          <w:ilvl w:val="0"/>
          <w:numId w:val="5"/>
        </w:numPr>
        <w:spacing w:line="360" w:lineRule="auto"/>
        <w:ind w:hanging="720"/>
        <w:jc w:val="both"/>
        <w:rPr>
          <w:rFonts w:ascii="David" w:hAnsi="David" w:cs="David"/>
          <w:sz w:val="24"/>
          <w:szCs w:val="24"/>
          <w:rtl/>
        </w:rPr>
      </w:pPr>
      <w:r w:rsidRPr="00741AF5">
        <w:rPr>
          <w:rFonts w:ascii="David" w:hAnsi="David" w:cs="David"/>
          <w:sz w:val="24"/>
          <w:szCs w:val="24"/>
          <w:rtl/>
        </w:rPr>
        <w:t xml:space="preserve">פסילת רישיון נהיגה על תנאי לתקופה של 6 חודשים, ככל ויעבור משך שנתיים מיום שחרורו מהמאסר, עבירה כלשהיא על </w:t>
      </w:r>
      <w:hyperlink r:id="rId64" w:history="1">
        <w:r w:rsidR="00B97B12" w:rsidRPr="00B97B12">
          <w:rPr>
            <w:rFonts w:ascii="David" w:hAnsi="David" w:cs="David"/>
            <w:color w:val="0000FF"/>
            <w:sz w:val="24"/>
            <w:szCs w:val="24"/>
            <w:u w:val="single"/>
            <w:rtl/>
          </w:rPr>
          <w:t>פקודת הסמים המסוכנים</w:t>
        </w:r>
      </w:hyperlink>
      <w:r w:rsidRPr="00741AF5">
        <w:rPr>
          <w:rFonts w:ascii="David" w:hAnsi="David" w:cs="David"/>
          <w:sz w:val="24"/>
          <w:szCs w:val="24"/>
          <w:rtl/>
        </w:rPr>
        <w:t>.</w:t>
      </w:r>
    </w:p>
    <w:p w14:paraId="055150D4" w14:textId="77777777" w:rsidR="008B5593" w:rsidRPr="00741AF5" w:rsidRDefault="008B5593" w:rsidP="008B5593">
      <w:pPr>
        <w:pStyle w:val="ab"/>
        <w:numPr>
          <w:ilvl w:val="0"/>
          <w:numId w:val="5"/>
        </w:numPr>
        <w:spacing w:line="360" w:lineRule="auto"/>
        <w:ind w:hanging="720"/>
        <w:jc w:val="both"/>
        <w:rPr>
          <w:rFonts w:ascii="David" w:hAnsi="David" w:cs="David"/>
          <w:sz w:val="24"/>
          <w:szCs w:val="24"/>
        </w:rPr>
      </w:pPr>
      <w:r w:rsidRPr="00741AF5">
        <w:rPr>
          <w:rFonts w:ascii="David" w:hAnsi="David" w:cs="David"/>
          <w:sz w:val="24"/>
          <w:szCs w:val="24"/>
          <w:rtl/>
        </w:rPr>
        <w:t xml:space="preserve">הנאשם יצהיר על התחייבות כספית על סך 3,000 ₪ למשך שנתיים מיום שחרורו מהמאסר שלא יעבור עבירת רכוש מסוג פשע או כל עבירה על </w:t>
      </w:r>
      <w:hyperlink r:id="rId65" w:history="1">
        <w:r w:rsidR="00B97B12" w:rsidRPr="00B97B12">
          <w:rPr>
            <w:rFonts w:ascii="David" w:hAnsi="David" w:cs="David"/>
            <w:color w:val="0000FF"/>
            <w:sz w:val="24"/>
            <w:szCs w:val="24"/>
            <w:u w:val="single"/>
            <w:rtl/>
          </w:rPr>
          <w:t>פקודת הסמים המסוכנים</w:t>
        </w:r>
      </w:hyperlink>
      <w:r w:rsidRPr="00741AF5">
        <w:rPr>
          <w:rFonts w:ascii="David" w:hAnsi="David" w:cs="David"/>
          <w:sz w:val="24"/>
          <w:szCs w:val="24"/>
          <w:rtl/>
        </w:rPr>
        <w:t>.</w:t>
      </w:r>
    </w:p>
    <w:p w14:paraId="1B967649" w14:textId="77777777" w:rsidR="008B5593" w:rsidRDefault="008B5593" w:rsidP="008B5593">
      <w:pPr>
        <w:spacing w:line="360" w:lineRule="auto"/>
        <w:ind w:left="720"/>
        <w:jc w:val="both"/>
        <w:rPr>
          <w:rFonts w:ascii="David" w:hAnsi="David"/>
          <w:rtl/>
        </w:rPr>
      </w:pPr>
    </w:p>
    <w:p w14:paraId="76449ADE" w14:textId="77777777" w:rsidR="008B5593" w:rsidRPr="00741AF5" w:rsidRDefault="008B5593" w:rsidP="008B5593">
      <w:pPr>
        <w:spacing w:line="360" w:lineRule="auto"/>
        <w:jc w:val="both"/>
        <w:rPr>
          <w:rFonts w:ascii="David" w:hAnsi="David"/>
          <w:b/>
          <w:bCs/>
          <w:rtl/>
        </w:rPr>
      </w:pPr>
      <w:r w:rsidRPr="00741AF5">
        <w:rPr>
          <w:rFonts w:ascii="David" w:hAnsi="David"/>
          <w:b/>
          <w:bCs/>
          <w:rtl/>
        </w:rPr>
        <w:t>מורה על השמדת הסמים.</w:t>
      </w:r>
    </w:p>
    <w:p w14:paraId="40F63A5F" w14:textId="77777777" w:rsidR="008B5593" w:rsidRPr="00B97B12" w:rsidRDefault="00B97B12" w:rsidP="008B5593">
      <w:pPr>
        <w:spacing w:line="360" w:lineRule="auto"/>
        <w:jc w:val="both"/>
        <w:rPr>
          <w:rFonts w:ascii="David" w:hAnsi="David"/>
          <w:b/>
          <w:bCs/>
          <w:color w:val="FFFFFF"/>
          <w:sz w:val="2"/>
          <w:szCs w:val="2"/>
          <w:rtl/>
        </w:rPr>
      </w:pPr>
      <w:r w:rsidRPr="00B97B12">
        <w:rPr>
          <w:rFonts w:ascii="David" w:hAnsi="David"/>
          <w:b/>
          <w:bCs/>
          <w:color w:val="FFFFFF"/>
          <w:sz w:val="2"/>
          <w:szCs w:val="2"/>
          <w:rtl/>
        </w:rPr>
        <w:t>5129371</w:t>
      </w:r>
    </w:p>
    <w:p w14:paraId="412A34F0" w14:textId="77777777" w:rsidR="008B5593" w:rsidRPr="00741AF5" w:rsidRDefault="00B97B12" w:rsidP="008B5593">
      <w:pPr>
        <w:spacing w:line="360" w:lineRule="auto"/>
        <w:jc w:val="both"/>
        <w:rPr>
          <w:rFonts w:ascii="David" w:hAnsi="David"/>
          <w:b/>
          <w:bCs/>
        </w:rPr>
      </w:pPr>
      <w:r w:rsidRPr="00B97B12">
        <w:rPr>
          <w:rFonts w:ascii="David" w:hAnsi="David"/>
          <w:b/>
          <w:bCs/>
          <w:color w:val="FFFFFF"/>
          <w:sz w:val="2"/>
          <w:szCs w:val="2"/>
          <w:rtl/>
        </w:rPr>
        <w:t>54678313</w:t>
      </w:r>
      <w:r w:rsidR="008B5593" w:rsidRPr="00741AF5">
        <w:rPr>
          <w:rFonts w:ascii="David" w:hAnsi="David" w:hint="cs"/>
          <w:b/>
          <w:bCs/>
          <w:rtl/>
        </w:rPr>
        <w:t xml:space="preserve">זכות ערעור לבית-המשפט המחוזי תוך 45 ימים. </w:t>
      </w:r>
    </w:p>
    <w:p w14:paraId="0B3DC0A5" w14:textId="77777777" w:rsidR="008B5593" w:rsidRPr="00741AF5" w:rsidRDefault="008B5593" w:rsidP="008B5593">
      <w:pPr>
        <w:rPr>
          <w:rFonts w:ascii="Arial" w:hAnsi="Arial"/>
          <w:b/>
          <w:bCs/>
          <w:sz w:val="26"/>
          <w:szCs w:val="26"/>
          <w:rtl/>
        </w:rPr>
      </w:pPr>
    </w:p>
    <w:p w14:paraId="5B142B2B" w14:textId="77777777" w:rsidR="008B5593" w:rsidRPr="000F2247" w:rsidRDefault="00B97B12" w:rsidP="008B559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חשוון תשפ"ה, 20 נובמבר 2024, בהעדר הצדדים. </w:t>
      </w:r>
      <w:bookmarkEnd w:id="8"/>
      <w:r w:rsidR="008B5593">
        <w:rPr>
          <w:rFonts w:ascii="Arial" w:hAnsi="Arial"/>
          <w:b/>
          <w:bCs/>
          <w:sz w:val="26"/>
          <w:szCs w:val="26"/>
          <w:rtl/>
        </w:rPr>
        <w:tab/>
      </w:r>
      <w:r w:rsidR="008B5593">
        <w:rPr>
          <w:rFonts w:ascii="Arial" w:hAnsi="Arial"/>
          <w:b/>
          <w:bCs/>
          <w:sz w:val="26"/>
          <w:szCs w:val="26"/>
          <w:rtl/>
        </w:rPr>
        <w:tab/>
      </w:r>
      <w:r w:rsidR="008B5593">
        <w:rPr>
          <w:rFonts w:ascii="Arial" w:hAnsi="Arial"/>
          <w:b/>
          <w:bCs/>
          <w:sz w:val="26"/>
          <w:szCs w:val="26"/>
          <w:rtl/>
        </w:rPr>
        <w:tab/>
      </w:r>
      <w:r w:rsidR="008B5593">
        <w:rPr>
          <w:rFonts w:ascii="Arial" w:hAnsi="Arial"/>
          <w:b/>
          <w:bCs/>
          <w:sz w:val="26"/>
          <w:szCs w:val="26"/>
          <w:rtl/>
        </w:rPr>
        <w:tab/>
      </w:r>
      <w:r w:rsidR="008B5593">
        <w:rPr>
          <w:rFonts w:ascii="Arial" w:hAnsi="Arial"/>
          <w:b/>
          <w:bCs/>
          <w:sz w:val="26"/>
          <w:szCs w:val="26"/>
          <w:rtl/>
        </w:rPr>
        <w:tab/>
      </w:r>
      <w:r w:rsidR="008B5593">
        <w:rPr>
          <w:rFonts w:ascii="Arial" w:hAnsi="Arial"/>
          <w:b/>
          <w:bCs/>
          <w:sz w:val="26"/>
          <w:szCs w:val="26"/>
          <w:rtl/>
        </w:rPr>
        <w:tab/>
      </w:r>
      <w:r w:rsidR="008B5593">
        <w:rPr>
          <w:rFonts w:ascii="Arial" w:hAnsi="Arial"/>
          <w:b/>
          <w:bCs/>
          <w:sz w:val="26"/>
          <w:szCs w:val="26"/>
          <w:rtl/>
        </w:rPr>
        <w:tab/>
      </w:r>
      <w:r w:rsidR="008B5593">
        <w:rPr>
          <w:rFonts w:ascii="Arial" w:hAnsi="Arial" w:hint="cs"/>
          <w:b/>
          <w:bCs/>
          <w:sz w:val="26"/>
          <w:szCs w:val="26"/>
          <w:rtl/>
        </w:rPr>
        <w:t xml:space="preserve">         </w:t>
      </w:r>
    </w:p>
    <w:p w14:paraId="2FC8F76D" w14:textId="77777777" w:rsidR="008B5593" w:rsidRPr="000F2247" w:rsidRDefault="008B5593" w:rsidP="00B97B1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C8CC2A" w14:textId="77777777" w:rsidR="008B5593" w:rsidRPr="000F2247" w:rsidRDefault="008B5593" w:rsidP="008B5593">
      <w:pPr>
        <w:jc w:val="center"/>
        <w:rPr>
          <w:rFonts w:ascii="Arial" w:hAnsi="Arial"/>
          <w:b/>
          <w:bCs/>
          <w:sz w:val="26"/>
          <w:szCs w:val="26"/>
          <w:rtl/>
        </w:rPr>
      </w:pPr>
    </w:p>
    <w:p w14:paraId="714D509B" w14:textId="77777777" w:rsidR="00270E6D" w:rsidRPr="00B97B12" w:rsidRDefault="00270E6D" w:rsidP="00B97B12">
      <w:pPr>
        <w:keepNext/>
        <w:rPr>
          <w:rFonts w:ascii="David" w:hAnsi="David"/>
          <w:color w:val="000000"/>
          <w:sz w:val="22"/>
          <w:szCs w:val="22"/>
          <w:rtl/>
        </w:rPr>
      </w:pPr>
    </w:p>
    <w:p w14:paraId="3E1A32FC" w14:textId="77777777" w:rsidR="00B97B12" w:rsidRPr="00B97B12" w:rsidRDefault="00B97B12" w:rsidP="00B97B12">
      <w:pPr>
        <w:keepNext/>
        <w:rPr>
          <w:rFonts w:ascii="David" w:hAnsi="David"/>
          <w:color w:val="000000"/>
          <w:sz w:val="22"/>
          <w:szCs w:val="22"/>
          <w:rtl/>
        </w:rPr>
      </w:pPr>
      <w:r w:rsidRPr="00B97B12">
        <w:rPr>
          <w:rFonts w:ascii="David" w:hAnsi="David"/>
          <w:color w:val="000000"/>
          <w:sz w:val="22"/>
          <w:szCs w:val="22"/>
          <w:rtl/>
        </w:rPr>
        <w:t>אבישי כהן 54678313</w:t>
      </w:r>
    </w:p>
    <w:p w14:paraId="0E22BDF3" w14:textId="77777777" w:rsidR="00B97B12" w:rsidRDefault="00B97B12" w:rsidP="00B97B12">
      <w:r w:rsidRPr="00B97B12">
        <w:rPr>
          <w:color w:val="000000"/>
          <w:rtl/>
        </w:rPr>
        <w:t>נוסח מסמך זה כפוף לשינויי ניסוח ועריכה</w:t>
      </w:r>
    </w:p>
    <w:p w14:paraId="65DDC2EE" w14:textId="77777777" w:rsidR="00B97B12" w:rsidRDefault="00B97B12" w:rsidP="00B97B12">
      <w:pPr>
        <w:rPr>
          <w:rtl/>
        </w:rPr>
      </w:pPr>
    </w:p>
    <w:p w14:paraId="078C1262" w14:textId="77777777" w:rsidR="00B97B12" w:rsidRDefault="00B97B12" w:rsidP="00B97B1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23A9FEFD" w14:textId="77777777" w:rsidR="00B97B12" w:rsidRPr="00B97B12" w:rsidRDefault="00B97B12" w:rsidP="00B97B12">
      <w:pPr>
        <w:jc w:val="center"/>
        <w:rPr>
          <w:color w:val="0000FF"/>
          <w:u w:val="single"/>
        </w:rPr>
      </w:pPr>
    </w:p>
    <w:sectPr w:rsidR="00B97B12" w:rsidRPr="00B97B12" w:rsidSect="00B97B12">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D41D" w14:textId="77777777" w:rsidR="005B2973" w:rsidRDefault="005B2973" w:rsidP="00125E2C">
      <w:r>
        <w:separator/>
      </w:r>
    </w:p>
  </w:endnote>
  <w:endnote w:type="continuationSeparator" w:id="0">
    <w:p w14:paraId="52A047AF" w14:textId="77777777" w:rsidR="005B2973" w:rsidRDefault="005B2973" w:rsidP="0012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36ADC" w14:textId="77777777" w:rsidR="00B97B12" w:rsidRDefault="00B97B12" w:rsidP="00B97B1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676DC3" w14:textId="77777777" w:rsidR="00D24C56" w:rsidRPr="00B97B12" w:rsidRDefault="00B97B12" w:rsidP="00B97B1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AD009" w14:textId="77777777" w:rsidR="00B97B12" w:rsidRDefault="00B97B12" w:rsidP="00B97B1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4360">
      <w:rPr>
        <w:rFonts w:ascii="FrankRuehl" w:hAnsi="FrankRuehl" w:cs="FrankRuehl"/>
        <w:noProof/>
        <w:rtl/>
      </w:rPr>
      <w:t>1</w:t>
    </w:r>
    <w:r>
      <w:rPr>
        <w:rFonts w:ascii="FrankRuehl" w:hAnsi="FrankRuehl" w:cs="FrankRuehl"/>
        <w:rtl/>
      </w:rPr>
      <w:fldChar w:fldCharType="end"/>
    </w:r>
  </w:p>
  <w:p w14:paraId="54CBECC5" w14:textId="77777777" w:rsidR="00D24C56" w:rsidRPr="00B97B12" w:rsidRDefault="00B97B12" w:rsidP="00B97B1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AE8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05173" w14:textId="77777777" w:rsidR="005B2973" w:rsidRDefault="005B2973" w:rsidP="00125E2C">
      <w:r>
        <w:separator/>
      </w:r>
    </w:p>
  </w:footnote>
  <w:footnote w:type="continuationSeparator" w:id="0">
    <w:p w14:paraId="591AF937" w14:textId="77777777" w:rsidR="005B2973" w:rsidRDefault="005B2973" w:rsidP="00125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F9C81" w14:textId="77777777" w:rsidR="00B97B12" w:rsidRPr="00B97B12" w:rsidRDefault="00B97B12" w:rsidP="00B97B1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43665-08-21</w:t>
    </w:r>
    <w:r>
      <w:rPr>
        <w:rFonts w:ascii="David" w:hAnsi="David"/>
        <w:color w:val="000000"/>
        <w:sz w:val="22"/>
        <w:szCs w:val="22"/>
        <w:rtl/>
      </w:rPr>
      <w:tab/>
      <w:t xml:space="preserve"> מדינת ישראל נ' טימור אחדוב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6C018" w14:textId="77777777" w:rsidR="00B97B12" w:rsidRPr="00B97B12" w:rsidRDefault="00B97B12" w:rsidP="00B97B1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43665-08-21</w:t>
    </w:r>
    <w:r>
      <w:rPr>
        <w:rFonts w:ascii="David" w:hAnsi="David"/>
        <w:color w:val="000000"/>
        <w:sz w:val="22"/>
        <w:szCs w:val="22"/>
        <w:rtl/>
      </w:rPr>
      <w:tab/>
      <w:t xml:space="preserve"> מדינת ישראל נ' טימור אחדוב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034E1D4C"/>
    <w:lvl w:ilvl="0" w:tplc="F0CED98A">
      <w:start w:val="1"/>
      <w:numFmt w:val="decimal"/>
      <w:pStyle w:val="a"/>
      <w:lvlText w:val="%1."/>
      <w:lvlJc w:val="left"/>
      <w:pPr>
        <w:tabs>
          <w:tab w:val="num" w:pos="720"/>
        </w:tabs>
        <w:ind w:left="720" w:hanging="720"/>
      </w:pPr>
      <w:rPr>
        <w:rFonts w:cs="David"/>
      </w:rPr>
    </w:lvl>
    <w:lvl w:ilvl="1" w:tplc="34BA2798">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5E70F38"/>
    <w:multiLevelType w:val="hybridMultilevel"/>
    <w:tmpl w:val="3028E0DA"/>
    <w:lvl w:ilvl="0" w:tplc="DE7001BE">
      <w:start w:val="6"/>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C799D"/>
    <w:multiLevelType w:val="hybridMultilevel"/>
    <w:tmpl w:val="0B701908"/>
    <w:lvl w:ilvl="0" w:tplc="1B6420B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8463E25"/>
    <w:multiLevelType w:val="hybridMultilevel"/>
    <w:tmpl w:val="35A8B6A8"/>
    <w:lvl w:ilvl="0" w:tplc="AEBAB86E">
      <w:start w:val="1"/>
      <w:numFmt w:val="hebrew1"/>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F121931"/>
    <w:multiLevelType w:val="hybridMultilevel"/>
    <w:tmpl w:val="FFA4BC58"/>
    <w:lvl w:ilvl="0" w:tplc="F0603B12">
      <w:start w:val="1"/>
      <w:numFmt w:val="decimal"/>
      <w:lvlText w:val="%1."/>
      <w:lvlJc w:val="left"/>
      <w:pPr>
        <w:ind w:left="720" w:hanging="360"/>
      </w:pPr>
      <w:rPr>
        <w:b w:val="0"/>
        <w:bCs/>
        <w:strike w:val="0"/>
        <w:dstrike w:val="0"/>
        <w:u w:val="none"/>
        <w:effect w:val="none"/>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60309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89536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7853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7200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951887">
    <w:abstractNumId w:val="2"/>
  </w:num>
  <w:num w:numId="6" w16cid:durableId="60708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5593"/>
    <w:rsid w:val="00125E2C"/>
    <w:rsid w:val="00270E6D"/>
    <w:rsid w:val="00322869"/>
    <w:rsid w:val="005B2973"/>
    <w:rsid w:val="00721B2F"/>
    <w:rsid w:val="008B5593"/>
    <w:rsid w:val="00B97B12"/>
    <w:rsid w:val="00D24C56"/>
    <w:rsid w:val="00DD1465"/>
    <w:rsid w:val="00EE4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0D2D25"/>
  <w15:chartTrackingRefBased/>
  <w15:docId w15:val="{AC281915-BAD8-4EFE-8C76-6A026B01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B559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B5593"/>
    <w:pPr>
      <w:tabs>
        <w:tab w:val="center" w:pos="4153"/>
        <w:tab w:val="right" w:pos="8306"/>
      </w:tabs>
    </w:pPr>
  </w:style>
  <w:style w:type="character" w:customStyle="1" w:styleId="a5">
    <w:name w:val="כותרת עליונה תו"/>
    <w:link w:val="a4"/>
    <w:rsid w:val="008B5593"/>
    <w:rPr>
      <w:rFonts w:ascii="Times New Roman" w:eastAsia="Times New Roman" w:hAnsi="Times New Roman" w:cs="David"/>
      <w:sz w:val="24"/>
      <w:szCs w:val="24"/>
    </w:rPr>
  </w:style>
  <w:style w:type="paragraph" w:styleId="a6">
    <w:name w:val="footer"/>
    <w:basedOn w:val="a0"/>
    <w:link w:val="a7"/>
    <w:rsid w:val="008B5593"/>
    <w:pPr>
      <w:tabs>
        <w:tab w:val="center" w:pos="4153"/>
        <w:tab w:val="right" w:pos="8306"/>
      </w:tabs>
    </w:pPr>
  </w:style>
  <w:style w:type="character" w:customStyle="1" w:styleId="a7">
    <w:name w:val="כותרת תחתונה תו"/>
    <w:link w:val="a6"/>
    <w:rsid w:val="008B5593"/>
    <w:rPr>
      <w:rFonts w:ascii="Times New Roman" w:eastAsia="Times New Roman" w:hAnsi="Times New Roman" w:cs="David"/>
      <w:sz w:val="24"/>
      <w:szCs w:val="24"/>
    </w:rPr>
  </w:style>
  <w:style w:type="table" w:styleId="a8">
    <w:name w:val="Table Grid"/>
    <w:basedOn w:val="a2"/>
    <w:rsid w:val="008B55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B5593"/>
  </w:style>
  <w:style w:type="character" w:customStyle="1" w:styleId="aa">
    <w:name w:val="פיסקת רשימה תו"/>
    <w:link w:val="ab"/>
    <w:locked/>
    <w:rsid w:val="008B5593"/>
  </w:style>
  <w:style w:type="paragraph" w:styleId="ab">
    <w:name w:val="List Paragraph"/>
    <w:basedOn w:val="a0"/>
    <w:link w:val="aa"/>
    <w:qFormat/>
    <w:rsid w:val="008B5593"/>
    <w:pPr>
      <w:spacing w:after="160" w:line="256" w:lineRule="auto"/>
      <w:ind w:left="720"/>
      <w:contextualSpacing/>
    </w:pPr>
    <w:rPr>
      <w:rFonts w:ascii="Calibri" w:eastAsia="Calibri" w:hAnsi="Calibri" w:cs="Arial"/>
      <w:sz w:val="22"/>
      <w:szCs w:val="22"/>
    </w:rPr>
  </w:style>
  <w:style w:type="character" w:customStyle="1" w:styleId="ac">
    <w:name w:val="ממוספר תו"/>
    <w:link w:val="a"/>
    <w:locked/>
    <w:rsid w:val="008B5593"/>
    <w:rPr>
      <w:rFonts w:ascii="David" w:hAnsi="David" w:cs="David"/>
      <w:color w:val="000000"/>
      <w:sz w:val="24"/>
      <w:szCs w:val="24"/>
    </w:rPr>
  </w:style>
  <w:style w:type="paragraph" w:customStyle="1" w:styleId="a">
    <w:name w:val="ממוספר"/>
    <w:basedOn w:val="a0"/>
    <w:link w:val="ac"/>
    <w:rsid w:val="008B5593"/>
    <w:pPr>
      <w:numPr>
        <w:numId w:val="1"/>
      </w:numPr>
      <w:spacing w:after="120" w:line="360" w:lineRule="auto"/>
    </w:pPr>
    <w:rPr>
      <w:rFonts w:ascii="David" w:eastAsia="Calibri" w:hAnsi="David"/>
      <w:color w:val="000000"/>
    </w:rPr>
  </w:style>
  <w:style w:type="character" w:styleId="Hyperlink">
    <w:name w:val="Hyperlink"/>
    <w:rsid w:val="008B55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6.b" TargetMode="External"/><Relationship Id="rId42" Type="http://schemas.openxmlformats.org/officeDocument/2006/relationships/hyperlink" Target="http://www.nevo.co.il/case/17954235" TargetMode="External"/><Relationship Id="rId47" Type="http://schemas.openxmlformats.org/officeDocument/2006/relationships/hyperlink" Target="http://www.nevo.co.il/case/5701236" TargetMode="External"/><Relationship Id="rId63" Type="http://schemas.openxmlformats.org/officeDocument/2006/relationships/hyperlink" Target="http://www.eca.gov.il"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159510/40.b.1" TargetMode="External"/><Relationship Id="rId29" Type="http://schemas.openxmlformats.org/officeDocument/2006/relationships/hyperlink" Target="http://www.nevo.co.il/law/159510/40.b.1" TargetMode="External"/><Relationship Id="rId11" Type="http://schemas.openxmlformats.org/officeDocument/2006/relationships/hyperlink" Target="http://www.nevo.co.il/law/70301/406.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159510/40.b.2" TargetMode="External"/><Relationship Id="rId37" Type="http://schemas.openxmlformats.org/officeDocument/2006/relationships/hyperlink" Target="http://www.nevo.co.il/law/4216" TargetMode="External"/><Relationship Id="rId40" Type="http://schemas.openxmlformats.org/officeDocument/2006/relationships/hyperlink" Target="http://www.nevo.co.il/case/28228117" TargetMode="External"/><Relationship Id="rId45" Type="http://schemas.openxmlformats.org/officeDocument/2006/relationships/hyperlink" Target="http://www.nevo.co.il/case/27876135" TargetMode="External"/><Relationship Id="rId53" Type="http://schemas.openxmlformats.org/officeDocument/2006/relationships/hyperlink" Target="http://www.nevo.co.il/case/22793923" TargetMode="External"/><Relationship Id="rId58" Type="http://schemas.openxmlformats.org/officeDocument/2006/relationships/hyperlink" Target="http://www.nevo.co.il/case/29164037"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0301/40i"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6.a" TargetMode="External"/><Relationship Id="rId30" Type="http://schemas.openxmlformats.org/officeDocument/2006/relationships/hyperlink" Target="http://www.nevo.co.il/law/159510" TargetMode="External"/><Relationship Id="rId35" Type="http://schemas.openxmlformats.org/officeDocument/2006/relationships/hyperlink" Target="http://www.nevo.co.il/law/4216/7.a" TargetMode="External"/><Relationship Id="rId43" Type="http://schemas.openxmlformats.org/officeDocument/2006/relationships/hyperlink" Target="http://www.nevo.co.il/case/13101134" TargetMode="External"/><Relationship Id="rId48" Type="http://schemas.openxmlformats.org/officeDocument/2006/relationships/hyperlink" Target="http://www.nevo.co.il/case/28774341" TargetMode="External"/><Relationship Id="rId56" Type="http://schemas.openxmlformats.org/officeDocument/2006/relationships/hyperlink" Target="http://www.nevo.co.il/case/26577623" TargetMode="External"/><Relationship Id="rId64" Type="http://schemas.openxmlformats.org/officeDocument/2006/relationships/hyperlink" Target="http://www.nevo.co.il/law/4216" TargetMode="External"/><Relationship Id="rId69"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2639658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159510/40.b.2" TargetMode="External"/><Relationship Id="rId25" Type="http://schemas.openxmlformats.org/officeDocument/2006/relationships/hyperlink" Target="http://www.nevo.co.il/law/70301/407.b" TargetMode="External"/><Relationship Id="rId33" Type="http://schemas.openxmlformats.org/officeDocument/2006/relationships/hyperlink" Target="http://www.nevo.co.il/law/70301/25" TargetMode="External"/><Relationship Id="rId38" Type="http://schemas.openxmlformats.org/officeDocument/2006/relationships/hyperlink" Target="http://www.nevo.co.il/case/28228117" TargetMode="External"/><Relationship Id="rId46" Type="http://schemas.openxmlformats.org/officeDocument/2006/relationships/hyperlink" Target="http://www.nevo.co.il/case/5673356" TargetMode="External"/><Relationship Id="rId59" Type="http://schemas.openxmlformats.org/officeDocument/2006/relationships/hyperlink" Target="http://www.nevo.co.il/case/29675658" TargetMode="External"/><Relationship Id="rId67" Type="http://schemas.openxmlformats.org/officeDocument/2006/relationships/header" Target="header1.xml"/><Relationship Id="rId20" Type="http://schemas.openxmlformats.org/officeDocument/2006/relationships/hyperlink" Target="http://www.nevo.co.il/law/4216/7.c"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case/10459128" TargetMode="External"/><Relationship Id="rId62" Type="http://schemas.openxmlformats.org/officeDocument/2006/relationships/hyperlink" Target="http://www.nevo.co.il/law/70301/40ja"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159510"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28774341" TargetMode="External"/><Relationship Id="rId57" Type="http://schemas.openxmlformats.org/officeDocument/2006/relationships/hyperlink" Target="http://www.nevo.co.il/case/26116188" TargetMode="External"/><Relationship Id="rId10" Type="http://schemas.openxmlformats.org/officeDocument/2006/relationships/hyperlink" Target="http://www.nevo.co.il/law/70301/384" TargetMode="External"/><Relationship Id="rId31" Type="http://schemas.openxmlformats.org/officeDocument/2006/relationships/hyperlink" Target="http://www.nevo.co.il/law/159510/40.b.2" TargetMode="External"/><Relationship Id="rId44" Type="http://schemas.openxmlformats.org/officeDocument/2006/relationships/hyperlink" Target="http://www.nevo.co.il/case/20033641" TargetMode="External"/><Relationship Id="rId52" Type="http://schemas.openxmlformats.org/officeDocument/2006/relationships/hyperlink" Target="http://www.nevo.co.il/case/27656032" TargetMode="External"/><Relationship Id="rId60" Type="http://schemas.openxmlformats.org/officeDocument/2006/relationships/hyperlink" Target="http://www.nevo.co.il/case/5738608" TargetMode="External"/><Relationship Id="rId65"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7.b"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787613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8262347" TargetMode="External"/><Relationship Id="rId55" Type="http://schemas.openxmlformats.org/officeDocument/2006/relationships/hyperlink" Target="http://www.nevo.co.il/case/76784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4370</Words>
  <Characters>21854</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26172</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7864368</vt:i4>
      </vt:variant>
      <vt:variant>
        <vt:i4>168</vt:i4>
      </vt:variant>
      <vt:variant>
        <vt:i4>0</vt:i4>
      </vt:variant>
      <vt:variant>
        <vt:i4>5</vt:i4>
      </vt:variant>
      <vt:variant>
        <vt:lpwstr>http://www.eca.gov.il/</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3670139</vt:i4>
      </vt:variant>
      <vt:variant>
        <vt:i4>159</vt:i4>
      </vt:variant>
      <vt:variant>
        <vt:i4>0</vt:i4>
      </vt:variant>
      <vt:variant>
        <vt:i4>5</vt:i4>
      </vt:variant>
      <vt:variant>
        <vt:lpwstr>http://www.nevo.co.il/case/5738608</vt:lpwstr>
      </vt:variant>
      <vt:variant>
        <vt:lpwstr/>
      </vt:variant>
      <vt:variant>
        <vt:i4>3407996</vt:i4>
      </vt:variant>
      <vt:variant>
        <vt:i4>156</vt:i4>
      </vt:variant>
      <vt:variant>
        <vt:i4>0</vt:i4>
      </vt:variant>
      <vt:variant>
        <vt:i4>5</vt:i4>
      </vt:variant>
      <vt:variant>
        <vt:lpwstr>http://www.nevo.co.il/case/29675658</vt:lpwstr>
      </vt:variant>
      <vt:variant>
        <vt:lpwstr/>
      </vt:variant>
      <vt:variant>
        <vt:i4>3407995</vt:i4>
      </vt:variant>
      <vt:variant>
        <vt:i4>153</vt:i4>
      </vt:variant>
      <vt:variant>
        <vt:i4>0</vt:i4>
      </vt:variant>
      <vt:variant>
        <vt:i4>5</vt:i4>
      </vt:variant>
      <vt:variant>
        <vt:lpwstr>http://www.nevo.co.il/case/29164037</vt:lpwstr>
      </vt:variant>
      <vt:variant>
        <vt:lpwstr/>
      </vt:variant>
      <vt:variant>
        <vt:i4>3997810</vt:i4>
      </vt:variant>
      <vt:variant>
        <vt:i4>150</vt:i4>
      </vt:variant>
      <vt:variant>
        <vt:i4>0</vt:i4>
      </vt:variant>
      <vt:variant>
        <vt:i4>5</vt:i4>
      </vt:variant>
      <vt:variant>
        <vt:lpwstr>http://www.nevo.co.il/case/26116188</vt:lpwstr>
      </vt:variant>
      <vt:variant>
        <vt:lpwstr/>
      </vt:variant>
      <vt:variant>
        <vt:i4>3276915</vt:i4>
      </vt:variant>
      <vt:variant>
        <vt:i4>147</vt:i4>
      </vt:variant>
      <vt:variant>
        <vt:i4>0</vt:i4>
      </vt:variant>
      <vt:variant>
        <vt:i4>5</vt:i4>
      </vt:variant>
      <vt:variant>
        <vt:lpwstr>http://www.nevo.co.il/case/26577623</vt:lpwstr>
      </vt:variant>
      <vt:variant>
        <vt:lpwstr/>
      </vt:variant>
      <vt:variant>
        <vt:i4>3932284</vt:i4>
      </vt:variant>
      <vt:variant>
        <vt:i4>144</vt:i4>
      </vt:variant>
      <vt:variant>
        <vt:i4>0</vt:i4>
      </vt:variant>
      <vt:variant>
        <vt:i4>5</vt:i4>
      </vt:variant>
      <vt:variant>
        <vt:lpwstr>http://www.nevo.co.il/case/7678468</vt:lpwstr>
      </vt:variant>
      <vt:variant>
        <vt:lpwstr/>
      </vt:variant>
      <vt:variant>
        <vt:i4>4063344</vt:i4>
      </vt:variant>
      <vt:variant>
        <vt:i4>141</vt:i4>
      </vt:variant>
      <vt:variant>
        <vt:i4>0</vt:i4>
      </vt:variant>
      <vt:variant>
        <vt:i4>5</vt:i4>
      </vt:variant>
      <vt:variant>
        <vt:lpwstr>http://www.nevo.co.il/case/10459128</vt:lpwstr>
      </vt:variant>
      <vt:variant>
        <vt:lpwstr/>
      </vt:variant>
      <vt:variant>
        <vt:i4>3407990</vt:i4>
      </vt:variant>
      <vt:variant>
        <vt:i4>138</vt:i4>
      </vt:variant>
      <vt:variant>
        <vt:i4>0</vt:i4>
      </vt:variant>
      <vt:variant>
        <vt:i4>5</vt:i4>
      </vt:variant>
      <vt:variant>
        <vt:lpwstr>http://www.nevo.co.il/case/22793923</vt:lpwstr>
      </vt:variant>
      <vt:variant>
        <vt:lpwstr/>
      </vt:variant>
      <vt:variant>
        <vt:i4>3211382</vt:i4>
      </vt:variant>
      <vt:variant>
        <vt:i4>135</vt:i4>
      </vt:variant>
      <vt:variant>
        <vt:i4>0</vt:i4>
      </vt:variant>
      <vt:variant>
        <vt:i4>5</vt:i4>
      </vt:variant>
      <vt:variant>
        <vt:lpwstr>http://www.nevo.co.il/case/27656032</vt:lpwstr>
      </vt:variant>
      <vt:variant>
        <vt:lpwstr/>
      </vt:variant>
      <vt:variant>
        <vt:i4>4128894</vt:i4>
      </vt:variant>
      <vt:variant>
        <vt:i4>132</vt:i4>
      </vt:variant>
      <vt:variant>
        <vt:i4>0</vt:i4>
      </vt:variant>
      <vt:variant>
        <vt:i4>5</vt:i4>
      </vt:variant>
      <vt:variant>
        <vt:lpwstr>http://www.nevo.co.il/case/26396581</vt:lpwstr>
      </vt:variant>
      <vt:variant>
        <vt:lpwstr/>
      </vt:variant>
      <vt:variant>
        <vt:i4>3539065</vt:i4>
      </vt:variant>
      <vt:variant>
        <vt:i4>129</vt:i4>
      </vt:variant>
      <vt:variant>
        <vt:i4>0</vt:i4>
      </vt:variant>
      <vt:variant>
        <vt:i4>5</vt:i4>
      </vt:variant>
      <vt:variant>
        <vt:lpwstr>http://www.nevo.co.il/case/28262347</vt:lpwstr>
      </vt:variant>
      <vt:variant>
        <vt:lpwstr/>
      </vt:variant>
      <vt:variant>
        <vt:i4>3473528</vt:i4>
      </vt:variant>
      <vt:variant>
        <vt:i4>126</vt:i4>
      </vt:variant>
      <vt:variant>
        <vt:i4>0</vt:i4>
      </vt:variant>
      <vt:variant>
        <vt:i4>5</vt:i4>
      </vt:variant>
      <vt:variant>
        <vt:lpwstr>http://www.nevo.co.il/case/28774341</vt:lpwstr>
      </vt:variant>
      <vt:variant>
        <vt:lpwstr/>
      </vt:variant>
      <vt:variant>
        <vt:i4>3473528</vt:i4>
      </vt:variant>
      <vt:variant>
        <vt:i4>123</vt:i4>
      </vt:variant>
      <vt:variant>
        <vt:i4>0</vt:i4>
      </vt:variant>
      <vt:variant>
        <vt:i4>5</vt:i4>
      </vt:variant>
      <vt:variant>
        <vt:lpwstr>http://www.nevo.co.il/case/28774341</vt:lpwstr>
      </vt:variant>
      <vt:variant>
        <vt:lpwstr/>
      </vt:variant>
      <vt:variant>
        <vt:i4>3211377</vt:i4>
      </vt:variant>
      <vt:variant>
        <vt:i4>120</vt:i4>
      </vt:variant>
      <vt:variant>
        <vt:i4>0</vt:i4>
      </vt:variant>
      <vt:variant>
        <vt:i4>5</vt:i4>
      </vt:variant>
      <vt:variant>
        <vt:lpwstr>http://www.nevo.co.il/case/5701236</vt:lpwstr>
      </vt:variant>
      <vt:variant>
        <vt:lpwstr/>
      </vt:variant>
      <vt:variant>
        <vt:i4>3604596</vt:i4>
      </vt:variant>
      <vt:variant>
        <vt:i4>117</vt:i4>
      </vt:variant>
      <vt:variant>
        <vt:i4>0</vt:i4>
      </vt:variant>
      <vt:variant>
        <vt:i4>5</vt:i4>
      </vt:variant>
      <vt:variant>
        <vt:lpwstr>http://www.nevo.co.il/case/5673356</vt:lpwstr>
      </vt:variant>
      <vt:variant>
        <vt:lpwstr/>
      </vt:variant>
      <vt:variant>
        <vt:i4>4128885</vt:i4>
      </vt:variant>
      <vt:variant>
        <vt:i4>114</vt:i4>
      </vt:variant>
      <vt:variant>
        <vt:i4>0</vt:i4>
      </vt:variant>
      <vt:variant>
        <vt:i4>5</vt:i4>
      </vt:variant>
      <vt:variant>
        <vt:lpwstr>http://www.nevo.co.il/case/27876135</vt:lpwstr>
      </vt:variant>
      <vt:variant>
        <vt:lpwstr/>
      </vt:variant>
      <vt:variant>
        <vt:i4>3473521</vt:i4>
      </vt:variant>
      <vt:variant>
        <vt:i4>111</vt:i4>
      </vt:variant>
      <vt:variant>
        <vt:i4>0</vt:i4>
      </vt:variant>
      <vt:variant>
        <vt:i4>5</vt:i4>
      </vt:variant>
      <vt:variant>
        <vt:lpwstr>http://www.nevo.co.il/case/20033641</vt:lpwstr>
      </vt:variant>
      <vt:variant>
        <vt:lpwstr/>
      </vt:variant>
      <vt:variant>
        <vt:i4>3276918</vt:i4>
      </vt:variant>
      <vt:variant>
        <vt:i4>108</vt:i4>
      </vt:variant>
      <vt:variant>
        <vt:i4>0</vt:i4>
      </vt:variant>
      <vt:variant>
        <vt:i4>5</vt:i4>
      </vt:variant>
      <vt:variant>
        <vt:lpwstr>http://www.nevo.co.il/case/13101134</vt:lpwstr>
      </vt:variant>
      <vt:variant>
        <vt:lpwstr/>
      </vt:variant>
      <vt:variant>
        <vt:i4>4128884</vt:i4>
      </vt:variant>
      <vt:variant>
        <vt:i4>105</vt:i4>
      </vt:variant>
      <vt:variant>
        <vt:i4>0</vt:i4>
      </vt:variant>
      <vt:variant>
        <vt:i4>5</vt:i4>
      </vt:variant>
      <vt:variant>
        <vt:lpwstr>http://www.nevo.co.il/case/17954235</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3735679</vt:i4>
      </vt:variant>
      <vt:variant>
        <vt:i4>99</vt:i4>
      </vt:variant>
      <vt:variant>
        <vt:i4>0</vt:i4>
      </vt:variant>
      <vt:variant>
        <vt:i4>5</vt:i4>
      </vt:variant>
      <vt:variant>
        <vt:lpwstr>http://www.nevo.co.il/case/28228117</vt:lpwstr>
      </vt:variant>
      <vt:variant>
        <vt:lpwstr/>
      </vt:variant>
      <vt:variant>
        <vt:i4>4128885</vt:i4>
      </vt:variant>
      <vt:variant>
        <vt:i4>96</vt:i4>
      </vt:variant>
      <vt:variant>
        <vt:i4>0</vt:i4>
      </vt:variant>
      <vt:variant>
        <vt:i4>5</vt:i4>
      </vt:variant>
      <vt:variant>
        <vt:lpwstr>http://www.nevo.co.il/case/27876135</vt:lpwstr>
      </vt:variant>
      <vt:variant>
        <vt:lpwstr/>
      </vt:variant>
      <vt:variant>
        <vt:i4>3735679</vt:i4>
      </vt:variant>
      <vt:variant>
        <vt:i4>93</vt:i4>
      </vt:variant>
      <vt:variant>
        <vt:i4>0</vt:i4>
      </vt:variant>
      <vt:variant>
        <vt:i4>5</vt:i4>
      </vt:variant>
      <vt:variant>
        <vt:lpwstr>http://www.nevo.co.il/case/28228117</vt:lpwstr>
      </vt:variant>
      <vt:variant>
        <vt:lpwstr/>
      </vt:variant>
      <vt:variant>
        <vt:i4>8257637</vt:i4>
      </vt:variant>
      <vt:variant>
        <vt:i4>90</vt:i4>
      </vt:variant>
      <vt:variant>
        <vt:i4>0</vt:i4>
      </vt:variant>
      <vt:variant>
        <vt:i4>5</vt:i4>
      </vt:variant>
      <vt:variant>
        <vt:lpwstr>http://www.nevo.co.il/law/4216</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8257572</vt:i4>
      </vt:variant>
      <vt:variant>
        <vt:i4>75</vt:i4>
      </vt:variant>
      <vt:variant>
        <vt:i4>0</vt:i4>
      </vt:variant>
      <vt:variant>
        <vt:i4>5</vt:i4>
      </vt:variant>
      <vt:variant>
        <vt:lpwstr>http://www.nevo.co.il/law/159510/40.b.2</vt:lpwstr>
      </vt:variant>
      <vt:variant>
        <vt:lpwstr/>
      </vt:variant>
      <vt:variant>
        <vt:i4>8257572</vt:i4>
      </vt:variant>
      <vt:variant>
        <vt:i4>72</vt:i4>
      </vt:variant>
      <vt:variant>
        <vt:i4>0</vt:i4>
      </vt:variant>
      <vt:variant>
        <vt:i4>5</vt:i4>
      </vt:variant>
      <vt:variant>
        <vt:lpwstr>http://www.nevo.co.il/law/159510/40.b.2</vt:lpwstr>
      </vt:variant>
      <vt:variant>
        <vt:lpwstr/>
      </vt:variant>
      <vt:variant>
        <vt:i4>4849753</vt:i4>
      </vt:variant>
      <vt:variant>
        <vt:i4>69</vt:i4>
      </vt:variant>
      <vt:variant>
        <vt:i4>0</vt:i4>
      </vt:variant>
      <vt:variant>
        <vt:i4>5</vt:i4>
      </vt:variant>
      <vt:variant>
        <vt:lpwstr>http://www.nevo.co.il/law/159510</vt:lpwstr>
      </vt:variant>
      <vt:variant>
        <vt:lpwstr/>
      </vt:variant>
      <vt:variant>
        <vt:i4>8257572</vt:i4>
      </vt:variant>
      <vt:variant>
        <vt:i4>66</vt:i4>
      </vt:variant>
      <vt:variant>
        <vt:i4>0</vt:i4>
      </vt:variant>
      <vt:variant>
        <vt:i4>5</vt:i4>
      </vt:variant>
      <vt:variant>
        <vt:lpwstr>http://www.nevo.co.il/law/159510/40.b.1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4915287</vt:i4>
      </vt:variant>
      <vt:variant>
        <vt:i4>60</vt:i4>
      </vt:variant>
      <vt:variant>
        <vt:i4>0</vt:i4>
      </vt:variant>
      <vt:variant>
        <vt:i4>5</vt:i4>
      </vt:variant>
      <vt:variant>
        <vt:lpwstr>http://www.nevo.co.il/law/70301/406.a</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4915286</vt:i4>
      </vt:variant>
      <vt:variant>
        <vt:i4>54</vt:i4>
      </vt:variant>
      <vt:variant>
        <vt:i4>0</vt:i4>
      </vt:variant>
      <vt:variant>
        <vt:i4>5</vt:i4>
      </vt:variant>
      <vt:variant>
        <vt:lpwstr>http://www.nevo.co.il/law/70301/407.b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4915287</vt:i4>
      </vt:variant>
      <vt:variant>
        <vt:i4>42</vt:i4>
      </vt:variant>
      <vt:variant>
        <vt:i4>0</vt:i4>
      </vt:variant>
      <vt:variant>
        <vt:i4>5</vt:i4>
      </vt:variant>
      <vt:variant>
        <vt:lpwstr>http://www.nevo.co.il/law/70301/406.b</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8257572</vt:i4>
      </vt:variant>
      <vt:variant>
        <vt:i4>30</vt:i4>
      </vt:variant>
      <vt:variant>
        <vt:i4>0</vt:i4>
      </vt:variant>
      <vt:variant>
        <vt:i4>5</vt:i4>
      </vt:variant>
      <vt:variant>
        <vt:lpwstr>http://www.nevo.co.il/law/159510/40.b.2</vt:lpwstr>
      </vt:variant>
      <vt:variant>
        <vt:lpwstr/>
      </vt:variant>
      <vt:variant>
        <vt:i4>8257572</vt:i4>
      </vt:variant>
      <vt:variant>
        <vt:i4>27</vt:i4>
      </vt:variant>
      <vt:variant>
        <vt:i4>0</vt:i4>
      </vt:variant>
      <vt:variant>
        <vt:i4>5</vt:i4>
      </vt:variant>
      <vt:variant>
        <vt:lpwstr>http://www.nevo.co.il/law/159510/40.b.1</vt:lpwstr>
      </vt:variant>
      <vt:variant>
        <vt:lpwstr/>
      </vt:variant>
      <vt:variant>
        <vt:i4>4849753</vt:i4>
      </vt:variant>
      <vt:variant>
        <vt:i4>24</vt:i4>
      </vt:variant>
      <vt:variant>
        <vt:i4>0</vt:i4>
      </vt:variant>
      <vt:variant>
        <vt:i4>5</vt:i4>
      </vt:variant>
      <vt:variant>
        <vt:lpwstr>http://www.nevo.co.il/law/159510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4915286</vt:i4>
      </vt:variant>
      <vt:variant>
        <vt:i4>18</vt:i4>
      </vt:variant>
      <vt:variant>
        <vt:i4>0</vt:i4>
      </vt:variant>
      <vt:variant>
        <vt:i4>5</vt:i4>
      </vt:variant>
      <vt:variant>
        <vt:lpwstr>http://www.nevo.co.il/law/70301/407.b</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4915287</vt:i4>
      </vt:variant>
      <vt:variant>
        <vt:i4>12</vt:i4>
      </vt:variant>
      <vt:variant>
        <vt:i4>0</vt:i4>
      </vt:variant>
      <vt:variant>
        <vt:i4>5</vt:i4>
      </vt:variant>
      <vt:variant>
        <vt:lpwstr>http://www.nevo.co.il/law/70301/406.a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43665</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טימור אחדוב</vt:lpwstr>
  </property>
  <property fmtid="{D5CDD505-2E9C-101B-9397-08002B2CF9AE}" pid="10" name="LAWYER">
    <vt:lpwstr>ליטל פרץ;נאצר אלעטאונה</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28228117:2;27876135:2;13093721;17954235;13101134;20033641;5673356;5701236;28774341:2;28262347;26396581;27656032;22793923;10459128;7678468;26577623;26116188;29164037;29675658;5738608</vt:lpwstr>
  </property>
  <property fmtid="{D5CDD505-2E9C-101B-9397-08002B2CF9AE}" pid="16" name="CASENOTES1">
    <vt:lpwstr>ProcID=209&amp;PartA=1324&amp;PartB=01&amp;PartC=22</vt:lpwstr>
  </property>
  <property fmtid="{D5CDD505-2E9C-101B-9397-08002B2CF9AE}" pid="17" name="WORDNUMPAGES">
    <vt:lpwstr>13</vt:lpwstr>
  </property>
  <property fmtid="{D5CDD505-2E9C-101B-9397-08002B2CF9AE}" pid="18" name="TYPE_ABS_DATE">
    <vt:lpwstr>380020241120</vt:lpwstr>
  </property>
  <property fmtid="{D5CDD505-2E9C-101B-9397-08002B2CF9AE}" pid="19" name="ISABSTRACT">
    <vt:lpwstr>Y</vt:lpwstr>
  </property>
  <property fmtid="{D5CDD505-2E9C-101B-9397-08002B2CF9AE}" pid="20" name="LAWLISTTMP1">
    <vt:lpwstr>70301/406.b;384;407.b;406.a;025;040i;40ja</vt:lpwstr>
  </property>
  <property fmtid="{D5CDD505-2E9C-101B-9397-08002B2CF9AE}" pid="21" name="LAWLISTTMP2">
    <vt:lpwstr>159510/040.b.1;040.b.2:2</vt:lpwstr>
  </property>
  <property fmtid="{D5CDD505-2E9C-101B-9397-08002B2CF9AE}" pid="22" name="LAWLISTTMP3">
    <vt:lpwstr>4216/007.a;007.c</vt:lpwstr>
  </property>
</Properties>
</file>