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5"/>
        <w:gridCol w:w="3578"/>
      </w:tblGrid>
      <w:tr w:rsidR="0038149A" w:rsidRPr="0079746C" w14:paraId="24794E2A" w14:textId="77777777" w:rsidTr="00FF1D9D">
        <w:trPr>
          <w:trHeight w:hRule="exact" w:val="418"/>
          <w:jc w:val="center"/>
        </w:trPr>
        <w:tc>
          <w:tcPr>
            <w:tcW w:w="8523" w:type="dxa"/>
            <w:gridSpan w:val="2"/>
          </w:tcPr>
          <w:p w14:paraId="79895470" w14:textId="77777777" w:rsidR="0038149A" w:rsidRPr="0079746C" w:rsidRDefault="0038149A" w:rsidP="00BA5A7D">
            <w:pPr>
              <w:pStyle w:val="a3"/>
              <w:jc w:val="center"/>
              <w:rPr>
                <w:rFonts w:ascii="Tahoma" w:hAnsi="Tahoma"/>
                <w:color w:val="000080"/>
                <w:sz w:val="32"/>
                <w:szCs w:val="32"/>
                <w:rtl/>
              </w:rPr>
            </w:pPr>
            <w:bookmarkStart w:id="0" w:name="LastJudge"/>
            <w:r w:rsidRPr="0079746C">
              <w:rPr>
                <w:rFonts w:ascii="Tahoma" w:hAnsi="Tahoma"/>
                <w:b/>
                <w:bCs/>
                <w:color w:val="000080"/>
                <w:sz w:val="32"/>
                <w:szCs w:val="32"/>
                <w:rtl/>
              </w:rPr>
              <w:t>בית משפט השלום בתל אביב -יפו</w:t>
            </w:r>
          </w:p>
        </w:tc>
      </w:tr>
      <w:tr w:rsidR="0038149A" w:rsidRPr="0079746C" w14:paraId="189B2F81" w14:textId="77777777" w:rsidTr="00FF1D9D">
        <w:trPr>
          <w:trHeight w:val="337"/>
          <w:jc w:val="center"/>
        </w:trPr>
        <w:tc>
          <w:tcPr>
            <w:tcW w:w="4945" w:type="dxa"/>
          </w:tcPr>
          <w:p w14:paraId="5CB8764D" w14:textId="77777777" w:rsidR="0038149A" w:rsidRPr="0079746C" w:rsidRDefault="0038149A" w:rsidP="00BA5A7D">
            <w:pPr>
              <w:rPr>
                <w:sz w:val="26"/>
                <w:szCs w:val="26"/>
                <w:rtl/>
              </w:rPr>
            </w:pPr>
            <w:r w:rsidRPr="0079746C">
              <w:rPr>
                <w:sz w:val="26"/>
                <w:szCs w:val="26"/>
                <w:rtl/>
              </w:rPr>
              <w:t>ת"פ</w:t>
            </w:r>
            <w:r w:rsidRPr="0079746C">
              <w:rPr>
                <w:rFonts w:hint="cs"/>
                <w:sz w:val="26"/>
                <w:szCs w:val="26"/>
                <w:rtl/>
              </w:rPr>
              <w:t xml:space="preserve"> </w:t>
            </w:r>
            <w:r w:rsidRPr="0079746C">
              <w:rPr>
                <w:sz w:val="26"/>
                <w:szCs w:val="26"/>
                <w:rtl/>
              </w:rPr>
              <w:t>45516-08-21</w:t>
            </w:r>
            <w:r w:rsidRPr="0079746C">
              <w:rPr>
                <w:rFonts w:hint="cs"/>
                <w:sz w:val="26"/>
                <w:szCs w:val="26"/>
                <w:rtl/>
              </w:rPr>
              <w:t xml:space="preserve"> </w:t>
            </w:r>
            <w:r w:rsidRPr="0079746C">
              <w:rPr>
                <w:b/>
                <w:bCs/>
                <w:sz w:val="26"/>
                <w:szCs w:val="26"/>
                <w:rtl/>
              </w:rPr>
              <w:t>מדינת ישראל נ' סער</w:t>
            </w:r>
          </w:p>
        </w:tc>
        <w:tc>
          <w:tcPr>
            <w:tcW w:w="3578" w:type="dxa"/>
          </w:tcPr>
          <w:p w14:paraId="2B9F4808" w14:textId="77777777" w:rsidR="0038149A" w:rsidRPr="0079746C" w:rsidRDefault="0038149A" w:rsidP="00BA5A7D">
            <w:pPr>
              <w:pStyle w:val="a3"/>
              <w:jc w:val="right"/>
              <w:rPr>
                <w:rFonts w:cs="FrankRuehl"/>
                <w:sz w:val="28"/>
                <w:szCs w:val="28"/>
                <w:rtl/>
              </w:rPr>
            </w:pPr>
          </w:p>
        </w:tc>
      </w:tr>
    </w:tbl>
    <w:p w14:paraId="147A1E1D" w14:textId="77777777" w:rsidR="0038149A" w:rsidRPr="0079746C" w:rsidRDefault="0038149A" w:rsidP="0038149A">
      <w:pPr>
        <w:pStyle w:val="a3"/>
        <w:rPr>
          <w:rtl/>
        </w:rPr>
      </w:pPr>
      <w:r w:rsidRPr="0079746C">
        <w:rPr>
          <w:rFonts w:hint="cs"/>
          <w:rtl/>
        </w:rPr>
        <w:t xml:space="preserve"> </w:t>
      </w:r>
    </w:p>
    <w:p w14:paraId="2BE2057E" w14:textId="77777777" w:rsidR="0038149A" w:rsidRPr="0079746C" w:rsidRDefault="0038149A" w:rsidP="0038149A">
      <w:pPr>
        <w:spacing w:line="360" w:lineRule="auto"/>
        <w:rPr>
          <w:rtl/>
        </w:rPr>
      </w:pPr>
    </w:p>
    <w:p w14:paraId="18F98D24" w14:textId="77777777" w:rsidR="0038149A" w:rsidRPr="0079746C" w:rsidRDefault="0038149A" w:rsidP="0038149A">
      <w:pPr>
        <w:spacing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4162"/>
        <w:gridCol w:w="3326"/>
      </w:tblGrid>
      <w:tr w:rsidR="0038149A" w:rsidRPr="0079746C" w14:paraId="2164D417" w14:textId="77777777" w:rsidTr="0038149A">
        <w:trPr>
          <w:trHeight w:val="295"/>
          <w:jc w:val="center"/>
        </w:trPr>
        <w:tc>
          <w:tcPr>
            <w:tcW w:w="8820" w:type="dxa"/>
            <w:gridSpan w:val="3"/>
            <w:tcBorders>
              <w:top w:val="nil"/>
              <w:left w:val="nil"/>
              <w:bottom w:val="nil"/>
              <w:right w:val="nil"/>
            </w:tcBorders>
            <w:shd w:val="clear" w:color="auto" w:fill="auto"/>
          </w:tcPr>
          <w:p w14:paraId="38A853CD" w14:textId="77777777" w:rsidR="0038149A" w:rsidRPr="0079746C" w:rsidRDefault="0038149A" w:rsidP="0038149A">
            <w:pPr>
              <w:spacing w:line="360" w:lineRule="auto"/>
              <w:jc w:val="both"/>
              <w:rPr>
                <w:b/>
                <w:bCs/>
                <w:sz w:val="26"/>
                <w:szCs w:val="26"/>
                <w:rtl/>
              </w:rPr>
            </w:pPr>
            <w:r w:rsidRPr="0079746C">
              <w:rPr>
                <w:rFonts w:ascii="Arial" w:hAnsi="Arial" w:hint="cs"/>
                <w:b/>
                <w:bCs/>
                <w:sz w:val="26"/>
                <w:szCs w:val="26"/>
                <w:rtl/>
              </w:rPr>
              <w:t>ל</w:t>
            </w:r>
            <w:r w:rsidRPr="0079746C">
              <w:rPr>
                <w:rFonts w:ascii="Arial" w:hAnsi="Arial"/>
                <w:b/>
                <w:bCs/>
                <w:sz w:val="26"/>
                <w:szCs w:val="26"/>
                <w:rtl/>
              </w:rPr>
              <w:t xml:space="preserve">פני </w:t>
            </w:r>
            <w:r w:rsidRPr="0079746C">
              <w:rPr>
                <w:rFonts w:ascii="Arial" w:hAnsi="Arial" w:hint="cs"/>
                <w:b/>
                <w:bCs/>
                <w:sz w:val="26"/>
                <w:szCs w:val="26"/>
                <w:rtl/>
              </w:rPr>
              <w:t>כבוד ה</w:t>
            </w:r>
            <w:r w:rsidRPr="0079746C">
              <w:rPr>
                <w:rFonts w:ascii="Arial" w:hAnsi="Arial"/>
                <w:b/>
                <w:bCs/>
                <w:sz w:val="26"/>
                <w:szCs w:val="26"/>
                <w:rtl/>
              </w:rPr>
              <w:t xml:space="preserve">שופט </w:t>
            </w:r>
            <w:r w:rsidRPr="0079746C">
              <w:rPr>
                <w:rFonts w:ascii="Arial" w:hAnsi="Arial" w:hint="cs"/>
                <w:b/>
                <w:bCs/>
                <w:sz w:val="26"/>
                <w:szCs w:val="26"/>
                <w:rtl/>
              </w:rPr>
              <w:t>ה</w:t>
            </w:r>
            <w:r w:rsidRPr="0079746C">
              <w:rPr>
                <w:rFonts w:ascii="Arial" w:hAnsi="Arial"/>
                <w:b/>
                <w:bCs/>
                <w:sz w:val="26"/>
                <w:szCs w:val="26"/>
                <w:rtl/>
              </w:rPr>
              <w:t>בכיר</w:t>
            </w:r>
            <w:r w:rsidRPr="0079746C">
              <w:rPr>
                <w:rFonts w:ascii="Arial" w:hAnsi="Arial" w:hint="cs"/>
                <w:b/>
                <w:bCs/>
                <w:sz w:val="26"/>
                <w:szCs w:val="26"/>
                <w:rtl/>
              </w:rPr>
              <w:t xml:space="preserve"> </w:t>
            </w:r>
            <w:r w:rsidRPr="0079746C">
              <w:rPr>
                <w:rFonts w:ascii="Arial" w:hAnsi="Arial"/>
                <w:b/>
                <w:bCs/>
                <w:sz w:val="26"/>
                <w:szCs w:val="26"/>
                <w:rtl/>
              </w:rPr>
              <w:t>שאול אבינור</w:t>
            </w:r>
          </w:p>
          <w:p w14:paraId="2CA3C261" w14:textId="77777777" w:rsidR="0038149A" w:rsidRPr="0079746C" w:rsidRDefault="0038149A" w:rsidP="0038149A">
            <w:pPr>
              <w:spacing w:line="360" w:lineRule="auto"/>
              <w:jc w:val="both"/>
              <w:rPr>
                <w:rFonts w:ascii="Arial" w:hAnsi="Arial"/>
                <w:b/>
                <w:bCs/>
                <w:sz w:val="26"/>
                <w:szCs w:val="26"/>
              </w:rPr>
            </w:pPr>
          </w:p>
        </w:tc>
      </w:tr>
      <w:tr w:rsidR="0038149A" w:rsidRPr="0079746C" w14:paraId="7BF6CCA9" w14:textId="77777777" w:rsidTr="0038149A">
        <w:trPr>
          <w:trHeight w:val="355"/>
          <w:jc w:val="center"/>
        </w:trPr>
        <w:tc>
          <w:tcPr>
            <w:tcW w:w="885" w:type="dxa"/>
            <w:tcBorders>
              <w:top w:val="nil"/>
              <w:left w:val="nil"/>
              <w:bottom w:val="nil"/>
              <w:right w:val="nil"/>
            </w:tcBorders>
            <w:shd w:val="clear" w:color="auto" w:fill="auto"/>
          </w:tcPr>
          <w:p w14:paraId="34292975" w14:textId="77777777" w:rsidR="0038149A" w:rsidRPr="0079746C" w:rsidRDefault="0038149A" w:rsidP="0038149A">
            <w:pPr>
              <w:spacing w:line="360" w:lineRule="auto"/>
              <w:jc w:val="both"/>
              <w:rPr>
                <w:rFonts w:ascii="Arial" w:hAnsi="Arial"/>
                <w:b/>
                <w:bCs/>
                <w:sz w:val="26"/>
                <w:szCs w:val="26"/>
              </w:rPr>
            </w:pPr>
            <w:bookmarkStart w:id="1" w:name="FirstAppellant"/>
            <w:bookmarkStart w:id="2" w:name="FirstLawyer"/>
            <w:r w:rsidRPr="0079746C">
              <w:rPr>
                <w:rFonts w:ascii="Arial" w:hAnsi="Arial" w:hint="cs"/>
                <w:b/>
                <w:bCs/>
                <w:sz w:val="26"/>
                <w:szCs w:val="26"/>
                <w:rtl/>
              </w:rPr>
              <w:t>ה</w:t>
            </w:r>
            <w:r w:rsidRPr="0079746C">
              <w:rPr>
                <w:rFonts w:ascii="Arial" w:hAnsi="Arial"/>
                <w:b/>
                <w:bCs/>
                <w:sz w:val="26"/>
                <w:szCs w:val="26"/>
                <w:rtl/>
              </w:rPr>
              <w:t>מאשימה</w:t>
            </w:r>
            <w:r w:rsidRPr="0079746C">
              <w:rPr>
                <w:rFonts w:ascii="Arial" w:hAnsi="Arial" w:hint="cs"/>
                <w:b/>
                <w:bCs/>
                <w:sz w:val="26"/>
                <w:szCs w:val="26"/>
                <w:rtl/>
              </w:rPr>
              <w:t>:</w:t>
            </w:r>
          </w:p>
        </w:tc>
        <w:tc>
          <w:tcPr>
            <w:tcW w:w="4384" w:type="dxa"/>
            <w:tcBorders>
              <w:top w:val="nil"/>
              <w:left w:val="nil"/>
              <w:bottom w:val="nil"/>
              <w:right w:val="nil"/>
            </w:tcBorders>
            <w:shd w:val="clear" w:color="auto" w:fill="auto"/>
          </w:tcPr>
          <w:p w14:paraId="2A2842B3" w14:textId="77777777" w:rsidR="0038149A" w:rsidRPr="0079746C" w:rsidRDefault="0038149A" w:rsidP="0038149A">
            <w:pPr>
              <w:spacing w:line="360" w:lineRule="auto"/>
              <w:rPr>
                <w:b/>
                <w:bCs/>
                <w:sz w:val="26"/>
                <w:szCs w:val="26"/>
                <w:rtl/>
              </w:rPr>
            </w:pPr>
            <w:r w:rsidRPr="0079746C">
              <w:rPr>
                <w:rFonts w:ascii="Arial" w:hAnsi="Arial"/>
                <w:b/>
                <w:bCs/>
                <w:sz w:val="26"/>
                <w:szCs w:val="26"/>
                <w:rtl/>
              </w:rPr>
              <w:t>מדינת ישראל</w:t>
            </w:r>
          </w:p>
          <w:p w14:paraId="659394A8" w14:textId="77777777" w:rsidR="0038149A" w:rsidRPr="0079746C" w:rsidRDefault="0038149A" w:rsidP="0038149A">
            <w:pPr>
              <w:spacing w:line="360" w:lineRule="auto"/>
              <w:rPr>
                <w:rtl/>
              </w:rPr>
            </w:pPr>
            <w:r w:rsidRPr="0079746C">
              <w:rPr>
                <w:rFonts w:hint="cs"/>
                <w:rtl/>
              </w:rPr>
              <w:t>ע"י ב"כ עו"ד ניצן פרידמן</w:t>
            </w:r>
          </w:p>
          <w:p w14:paraId="69BAE3BF" w14:textId="77777777" w:rsidR="0038149A" w:rsidRPr="0079746C" w:rsidRDefault="0038149A" w:rsidP="0038149A">
            <w:pPr>
              <w:spacing w:line="360" w:lineRule="auto"/>
              <w:rPr>
                <w:b/>
                <w:bCs/>
                <w:sz w:val="26"/>
                <w:szCs w:val="26"/>
              </w:rPr>
            </w:pPr>
            <w:r w:rsidRPr="0079746C">
              <w:rPr>
                <w:rFonts w:hint="cs"/>
                <w:rtl/>
              </w:rPr>
              <w:t>פרקליטות מחוז תל אביב (פלילי)</w:t>
            </w:r>
          </w:p>
        </w:tc>
        <w:tc>
          <w:tcPr>
            <w:tcW w:w="3551" w:type="dxa"/>
            <w:tcBorders>
              <w:top w:val="nil"/>
              <w:left w:val="nil"/>
              <w:bottom w:val="nil"/>
              <w:right w:val="nil"/>
            </w:tcBorders>
            <w:shd w:val="clear" w:color="auto" w:fill="auto"/>
          </w:tcPr>
          <w:p w14:paraId="41BFF3BF" w14:textId="77777777" w:rsidR="0038149A" w:rsidRPr="0079746C" w:rsidRDefault="0038149A" w:rsidP="0038149A">
            <w:pPr>
              <w:spacing w:line="360" w:lineRule="auto"/>
              <w:jc w:val="both"/>
              <w:rPr>
                <w:rFonts w:ascii="Arial" w:hAnsi="Arial"/>
                <w:b/>
                <w:bCs/>
                <w:sz w:val="26"/>
                <w:szCs w:val="26"/>
              </w:rPr>
            </w:pPr>
          </w:p>
        </w:tc>
      </w:tr>
      <w:bookmarkEnd w:id="1"/>
      <w:bookmarkEnd w:id="2"/>
      <w:tr w:rsidR="0038149A" w:rsidRPr="0079746C" w14:paraId="3DA9F966" w14:textId="77777777" w:rsidTr="0038149A">
        <w:trPr>
          <w:trHeight w:val="373"/>
          <w:jc w:val="center"/>
        </w:trPr>
        <w:tc>
          <w:tcPr>
            <w:tcW w:w="885" w:type="dxa"/>
            <w:tcBorders>
              <w:top w:val="nil"/>
              <w:left w:val="nil"/>
              <w:bottom w:val="nil"/>
              <w:right w:val="nil"/>
            </w:tcBorders>
            <w:shd w:val="clear" w:color="auto" w:fill="auto"/>
          </w:tcPr>
          <w:p w14:paraId="46166D46" w14:textId="77777777" w:rsidR="0038149A" w:rsidRPr="0079746C" w:rsidRDefault="0038149A" w:rsidP="0038149A">
            <w:pPr>
              <w:spacing w:line="360" w:lineRule="auto"/>
              <w:jc w:val="both"/>
              <w:rPr>
                <w:rFonts w:ascii="Arial" w:hAnsi="Arial"/>
                <w:b/>
                <w:bCs/>
                <w:sz w:val="26"/>
                <w:szCs w:val="26"/>
                <w:rtl/>
              </w:rPr>
            </w:pPr>
          </w:p>
        </w:tc>
        <w:tc>
          <w:tcPr>
            <w:tcW w:w="7935" w:type="dxa"/>
            <w:gridSpan w:val="2"/>
            <w:tcBorders>
              <w:top w:val="nil"/>
              <w:left w:val="nil"/>
              <w:bottom w:val="nil"/>
              <w:right w:val="nil"/>
            </w:tcBorders>
            <w:shd w:val="clear" w:color="auto" w:fill="auto"/>
          </w:tcPr>
          <w:p w14:paraId="656AF643" w14:textId="77777777" w:rsidR="0038149A" w:rsidRPr="0079746C" w:rsidRDefault="0038149A" w:rsidP="0038149A">
            <w:pPr>
              <w:spacing w:line="360" w:lineRule="auto"/>
              <w:jc w:val="center"/>
              <w:rPr>
                <w:rFonts w:ascii="Arial" w:hAnsi="Arial"/>
                <w:b/>
                <w:bCs/>
                <w:sz w:val="26"/>
                <w:szCs w:val="26"/>
                <w:rtl/>
              </w:rPr>
            </w:pPr>
          </w:p>
          <w:p w14:paraId="53764E64" w14:textId="77777777" w:rsidR="0038149A" w:rsidRPr="0079746C" w:rsidRDefault="0038149A" w:rsidP="0038149A">
            <w:pPr>
              <w:spacing w:line="360" w:lineRule="auto"/>
              <w:jc w:val="center"/>
              <w:rPr>
                <w:rFonts w:ascii="Arial" w:hAnsi="Arial"/>
                <w:b/>
                <w:bCs/>
                <w:sz w:val="26"/>
                <w:szCs w:val="26"/>
                <w:rtl/>
              </w:rPr>
            </w:pPr>
          </w:p>
          <w:p w14:paraId="7CAA3B4D" w14:textId="77777777" w:rsidR="0038149A" w:rsidRPr="0079746C" w:rsidRDefault="0038149A" w:rsidP="0038149A">
            <w:pPr>
              <w:spacing w:line="360" w:lineRule="auto"/>
              <w:jc w:val="center"/>
              <w:rPr>
                <w:rFonts w:ascii="Arial" w:hAnsi="Arial"/>
                <w:b/>
                <w:bCs/>
                <w:sz w:val="26"/>
                <w:szCs w:val="26"/>
                <w:rtl/>
              </w:rPr>
            </w:pPr>
            <w:r w:rsidRPr="0079746C">
              <w:rPr>
                <w:rFonts w:ascii="Arial" w:hAnsi="Arial"/>
                <w:b/>
                <w:bCs/>
                <w:sz w:val="26"/>
                <w:szCs w:val="26"/>
                <w:rtl/>
              </w:rPr>
              <w:t>נגד</w:t>
            </w:r>
          </w:p>
          <w:p w14:paraId="29B1E52C" w14:textId="77777777" w:rsidR="0038149A" w:rsidRPr="0079746C" w:rsidRDefault="0038149A" w:rsidP="0038149A">
            <w:pPr>
              <w:spacing w:line="360" w:lineRule="auto"/>
              <w:jc w:val="both"/>
              <w:rPr>
                <w:rFonts w:ascii="Arial" w:hAnsi="Arial"/>
                <w:b/>
                <w:bCs/>
                <w:sz w:val="26"/>
                <w:szCs w:val="26"/>
                <w:rtl/>
              </w:rPr>
            </w:pPr>
          </w:p>
          <w:p w14:paraId="28B1878D" w14:textId="77777777" w:rsidR="0038149A" w:rsidRPr="0079746C" w:rsidRDefault="0038149A" w:rsidP="0038149A">
            <w:pPr>
              <w:spacing w:line="360" w:lineRule="auto"/>
              <w:jc w:val="both"/>
              <w:rPr>
                <w:rFonts w:ascii="Arial" w:hAnsi="Arial"/>
                <w:b/>
                <w:bCs/>
                <w:sz w:val="26"/>
                <w:szCs w:val="26"/>
              </w:rPr>
            </w:pPr>
          </w:p>
        </w:tc>
      </w:tr>
      <w:tr w:rsidR="0038149A" w:rsidRPr="0079746C" w14:paraId="339526C8" w14:textId="77777777" w:rsidTr="0038149A">
        <w:trPr>
          <w:trHeight w:val="355"/>
          <w:jc w:val="center"/>
        </w:trPr>
        <w:tc>
          <w:tcPr>
            <w:tcW w:w="885" w:type="dxa"/>
            <w:tcBorders>
              <w:top w:val="nil"/>
              <w:left w:val="nil"/>
              <w:bottom w:val="nil"/>
              <w:right w:val="nil"/>
            </w:tcBorders>
            <w:shd w:val="clear" w:color="auto" w:fill="auto"/>
          </w:tcPr>
          <w:p w14:paraId="3CD19B57" w14:textId="77777777" w:rsidR="0038149A" w:rsidRPr="0079746C" w:rsidRDefault="0038149A" w:rsidP="0038149A">
            <w:pPr>
              <w:spacing w:line="360" w:lineRule="auto"/>
              <w:rPr>
                <w:rFonts w:ascii="Arial" w:hAnsi="Arial"/>
                <w:b/>
                <w:bCs/>
                <w:sz w:val="26"/>
                <w:szCs w:val="26"/>
                <w:rtl/>
              </w:rPr>
            </w:pPr>
            <w:r w:rsidRPr="0079746C">
              <w:rPr>
                <w:rFonts w:ascii="Arial" w:hAnsi="Arial" w:hint="cs"/>
                <w:b/>
                <w:bCs/>
                <w:sz w:val="26"/>
                <w:szCs w:val="26"/>
                <w:rtl/>
              </w:rPr>
              <w:t>ה</w:t>
            </w:r>
            <w:r w:rsidRPr="0079746C">
              <w:rPr>
                <w:rFonts w:ascii="Arial" w:hAnsi="Arial"/>
                <w:b/>
                <w:bCs/>
                <w:sz w:val="26"/>
                <w:szCs w:val="26"/>
                <w:rtl/>
              </w:rPr>
              <w:t>נאשם</w:t>
            </w:r>
            <w:r w:rsidRPr="0079746C">
              <w:rPr>
                <w:rFonts w:ascii="Arial" w:hAnsi="Arial" w:hint="cs"/>
                <w:b/>
                <w:bCs/>
                <w:sz w:val="26"/>
                <w:szCs w:val="26"/>
                <w:rtl/>
              </w:rPr>
              <w:t>:</w:t>
            </w:r>
          </w:p>
        </w:tc>
        <w:tc>
          <w:tcPr>
            <w:tcW w:w="4384" w:type="dxa"/>
            <w:tcBorders>
              <w:top w:val="nil"/>
              <w:left w:val="nil"/>
              <w:bottom w:val="nil"/>
              <w:right w:val="nil"/>
            </w:tcBorders>
            <w:shd w:val="clear" w:color="auto" w:fill="auto"/>
          </w:tcPr>
          <w:p w14:paraId="504137EA" w14:textId="77777777" w:rsidR="0038149A" w:rsidRPr="0079746C" w:rsidRDefault="0038149A" w:rsidP="0038149A">
            <w:pPr>
              <w:spacing w:line="360" w:lineRule="auto"/>
              <w:rPr>
                <w:b/>
                <w:bCs/>
                <w:sz w:val="26"/>
                <w:szCs w:val="26"/>
                <w:rtl/>
              </w:rPr>
            </w:pPr>
            <w:r w:rsidRPr="0079746C">
              <w:rPr>
                <w:rFonts w:ascii="Arial" w:hAnsi="Arial"/>
                <w:b/>
                <w:bCs/>
                <w:sz w:val="26"/>
                <w:szCs w:val="26"/>
                <w:rtl/>
              </w:rPr>
              <w:t>אלירן סער</w:t>
            </w:r>
          </w:p>
          <w:p w14:paraId="710AE7A4" w14:textId="77777777" w:rsidR="0038149A" w:rsidRPr="0079746C" w:rsidRDefault="0038149A" w:rsidP="0038149A">
            <w:pPr>
              <w:spacing w:line="360" w:lineRule="auto"/>
              <w:rPr>
                <w:sz w:val="26"/>
                <w:szCs w:val="26"/>
                <w:rtl/>
              </w:rPr>
            </w:pPr>
            <w:r w:rsidRPr="0079746C">
              <w:rPr>
                <w:rFonts w:hint="cs"/>
                <w:rtl/>
              </w:rPr>
              <w:t>ע"י ב"כ עו"ד שי רודה</w:t>
            </w:r>
          </w:p>
        </w:tc>
        <w:tc>
          <w:tcPr>
            <w:tcW w:w="3551" w:type="dxa"/>
            <w:tcBorders>
              <w:top w:val="nil"/>
              <w:left w:val="nil"/>
              <w:bottom w:val="nil"/>
              <w:right w:val="nil"/>
            </w:tcBorders>
            <w:shd w:val="clear" w:color="auto" w:fill="auto"/>
          </w:tcPr>
          <w:p w14:paraId="4A658466" w14:textId="77777777" w:rsidR="0038149A" w:rsidRPr="0079746C" w:rsidRDefault="0038149A" w:rsidP="0038149A">
            <w:pPr>
              <w:spacing w:line="360" w:lineRule="auto"/>
              <w:jc w:val="right"/>
              <w:rPr>
                <w:rFonts w:ascii="Arial" w:hAnsi="Arial"/>
                <w:b/>
                <w:bCs/>
                <w:sz w:val="26"/>
                <w:szCs w:val="26"/>
              </w:rPr>
            </w:pPr>
          </w:p>
        </w:tc>
      </w:tr>
    </w:tbl>
    <w:p w14:paraId="7BFD8571" w14:textId="77777777" w:rsidR="0038149A" w:rsidRPr="0079746C" w:rsidRDefault="0038149A" w:rsidP="0038149A">
      <w:pPr>
        <w:spacing w:line="360" w:lineRule="auto"/>
        <w:rPr>
          <w:b/>
          <w:bCs/>
          <w:rtl/>
        </w:rPr>
      </w:pPr>
    </w:p>
    <w:p w14:paraId="47F5487F" w14:textId="77777777" w:rsidR="00E02D46" w:rsidRPr="00E02D46" w:rsidRDefault="00E02D46" w:rsidP="00E02D46">
      <w:pPr>
        <w:spacing w:before="120" w:after="120" w:line="240" w:lineRule="exact"/>
        <w:ind w:left="283" w:hanging="283"/>
        <w:jc w:val="both"/>
        <w:rPr>
          <w:rFonts w:ascii="FrankRuehl" w:hAnsi="FrankRuehl" w:cs="FrankRuehl"/>
          <w:rtl/>
        </w:rPr>
      </w:pPr>
    </w:p>
    <w:p w14:paraId="27EB0123" w14:textId="77777777" w:rsidR="00476275" w:rsidRDefault="00476275" w:rsidP="00476275">
      <w:pPr>
        <w:spacing w:line="360" w:lineRule="auto"/>
        <w:rPr>
          <w:rtl/>
        </w:rPr>
      </w:pPr>
      <w:bookmarkStart w:id="3" w:name="LawTable"/>
      <w:bookmarkEnd w:id="3"/>
    </w:p>
    <w:p w14:paraId="7D975CC0" w14:textId="77777777" w:rsidR="00476275" w:rsidRPr="00476275" w:rsidRDefault="00476275" w:rsidP="00476275">
      <w:pPr>
        <w:spacing w:before="120" w:after="120" w:line="240" w:lineRule="exact"/>
        <w:ind w:left="283" w:hanging="283"/>
        <w:jc w:val="both"/>
        <w:rPr>
          <w:rFonts w:ascii="FrankRuehl" w:hAnsi="FrankRuehl" w:cs="FrankRuehl"/>
          <w:rtl/>
        </w:rPr>
      </w:pPr>
    </w:p>
    <w:p w14:paraId="32CE2511" w14:textId="77777777" w:rsidR="00476275" w:rsidRPr="00476275" w:rsidRDefault="00476275" w:rsidP="00476275">
      <w:pPr>
        <w:spacing w:before="120" w:after="120" w:line="240" w:lineRule="exact"/>
        <w:ind w:left="283" w:hanging="283"/>
        <w:jc w:val="both"/>
        <w:rPr>
          <w:rFonts w:ascii="FrankRuehl" w:hAnsi="FrankRuehl" w:cs="FrankRuehl"/>
          <w:rtl/>
        </w:rPr>
      </w:pPr>
    </w:p>
    <w:p w14:paraId="2970C5A2" w14:textId="77777777" w:rsidR="00476275" w:rsidRPr="00476275" w:rsidRDefault="00476275" w:rsidP="00476275">
      <w:pPr>
        <w:spacing w:before="120" w:after="120" w:line="240" w:lineRule="exact"/>
        <w:ind w:left="283" w:hanging="283"/>
        <w:jc w:val="both"/>
        <w:rPr>
          <w:rFonts w:ascii="FrankRuehl" w:hAnsi="FrankRuehl" w:cs="FrankRuehl"/>
          <w:rtl/>
        </w:rPr>
      </w:pPr>
      <w:r w:rsidRPr="00476275">
        <w:rPr>
          <w:rFonts w:ascii="FrankRuehl" w:hAnsi="FrankRuehl" w:cs="FrankRuehl"/>
          <w:rtl/>
        </w:rPr>
        <w:t xml:space="preserve">חקיקה שאוזכרה: </w:t>
      </w:r>
    </w:p>
    <w:p w14:paraId="665AA420" w14:textId="77777777" w:rsidR="00476275" w:rsidRPr="00476275" w:rsidRDefault="00476275" w:rsidP="00476275">
      <w:pPr>
        <w:spacing w:before="120" w:after="120" w:line="240" w:lineRule="exact"/>
        <w:ind w:left="283" w:hanging="283"/>
        <w:jc w:val="both"/>
        <w:rPr>
          <w:rFonts w:ascii="FrankRuehl" w:hAnsi="FrankRuehl" w:cs="FrankRuehl"/>
          <w:rtl/>
        </w:rPr>
      </w:pPr>
      <w:hyperlink r:id="rId7" w:history="1">
        <w:r w:rsidRPr="00476275">
          <w:rPr>
            <w:rFonts w:ascii="FrankRuehl" w:hAnsi="FrankRuehl" w:cs="FrankRuehl"/>
            <w:color w:val="0000FF"/>
            <w:rtl/>
          </w:rPr>
          <w:t>פקודת הסמים המסוכנים [נוסח חדש], תשל"ג-1973</w:t>
        </w:r>
      </w:hyperlink>
      <w:r w:rsidRPr="00476275">
        <w:rPr>
          <w:rFonts w:ascii="FrankRuehl" w:hAnsi="FrankRuehl" w:cs="FrankRuehl"/>
          <w:rtl/>
        </w:rPr>
        <w:t xml:space="preserve">: סע'  </w:t>
      </w:r>
      <w:hyperlink r:id="rId8" w:history="1">
        <w:r w:rsidRPr="00476275">
          <w:rPr>
            <w:rFonts w:ascii="FrankRuehl" w:hAnsi="FrankRuehl" w:cs="FrankRuehl"/>
            <w:color w:val="0000FF"/>
            <w:rtl/>
          </w:rPr>
          <w:t>6</w:t>
        </w:r>
      </w:hyperlink>
      <w:r w:rsidRPr="00476275">
        <w:rPr>
          <w:rFonts w:ascii="FrankRuehl" w:hAnsi="FrankRuehl" w:cs="FrankRuehl"/>
          <w:rtl/>
        </w:rPr>
        <w:t xml:space="preserve">, </w:t>
      </w:r>
      <w:hyperlink r:id="rId9" w:history="1">
        <w:r w:rsidRPr="00476275">
          <w:rPr>
            <w:rFonts w:ascii="FrankRuehl" w:hAnsi="FrankRuehl" w:cs="FrankRuehl"/>
            <w:color w:val="0000FF"/>
            <w:rtl/>
          </w:rPr>
          <w:t>7(א)</w:t>
        </w:r>
      </w:hyperlink>
      <w:r w:rsidRPr="00476275">
        <w:rPr>
          <w:rFonts w:ascii="FrankRuehl" w:hAnsi="FrankRuehl" w:cs="FrankRuehl"/>
          <w:rtl/>
        </w:rPr>
        <w:t xml:space="preserve">, </w:t>
      </w:r>
      <w:hyperlink r:id="rId10" w:history="1">
        <w:r w:rsidRPr="00476275">
          <w:rPr>
            <w:rFonts w:ascii="FrankRuehl" w:hAnsi="FrankRuehl" w:cs="FrankRuehl"/>
            <w:color w:val="0000FF"/>
            <w:rtl/>
          </w:rPr>
          <w:t>7(ג)</w:t>
        </w:r>
      </w:hyperlink>
      <w:r w:rsidRPr="00476275">
        <w:rPr>
          <w:rFonts w:ascii="FrankRuehl" w:hAnsi="FrankRuehl" w:cs="FrankRuehl"/>
          <w:rtl/>
        </w:rPr>
        <w:t xml:space="preserve">, </w:t>
      </w:r>
      <w:hyperlink r:id="rId11" w:history="1">
        <w:r w:rsidRPr="00476275">
          <w:rPr>
            <w:rFonts w:ascii="FrankRuehl" w:hAnsi="FrankRuehl" w:cs="FrankRuehl"/>
            <w:color w:val="0000FF"/>
            <w:rtl/>
          </w:rPr>
          <w:t>9(א)</w:t>
        </w:r>
      </w:hyperlink>
      <w:r w:rsidRPr="00476275">
        <w:rPr>
          <w:rFonts w:ascii="FrankRuehl" w:hAnsi="FrankRuehl" w:cs="FrankRuehl"/>
          <w:rtl/>
        </w:rPr>
        <w:t xml:space="preserve">, </w:t>
      </w:r>
      <w:hyperlink r:id="rId12" w:history="1">
        <w:r w:rsidRPr="00476275">
          <w:rPr>
            <w:rFonts w:ascii="FrankRuehl" w:hAnsi="FrankRuehl" w:cs="FrankRuehl"/>
            <w:color w:val="0000FF"/>
            <w:rtl/>
          </w:rPr>
          <w:t>9(ד)</w:t>
        </w:r>
      </w:hyperlink>
      <w:r w:rsidRPr="00476275">
        <w:rPr>
          <w:rFonts w:ascii="FrankRuehl" w:hAnsi="FrankRuehl" w:cs="FrankRuehl"/>
          <w:rtl/>
        </w:rPr>
        <w:t xml:space="preserve">, </w:t>
      </w:r>
      <w:hyperlink r:id="rId13" w:history="1">
        <w:r w:rsidRPr="00476275">
          <w:rPr>
            <w:rFonts w:ascii="FrankRuehl" w:hAnsi="FrankRuehl" w:cs="FrankRuehl"/>
            <w:color w:val="0000FF"/>
            <w:rtl/>
          </w:rPr>
          <w:t>10</w:t>
        </w:r>
      </w:hyperlink>
    </w:p>
    <w:p w14:paraId="3E575C62" w14:textId="77777777" w:rsidR="00476275" w:rsidRPr="00476275" w:rsidRDefault="00476275" w:rsidP="00476275">
      <w:pPr>
        <w:spacing w:before="120" w:after="120" w:line="240" w:lineRule="exact"/>
        <w:ind w:left="283" w:hanging="283"/>
        <w:jc w:val="both"/>
        <w:rPr>
          <w:rFonts w:ascii="FrankRuehl" w:hAnsi="FrankRuehl" w:cs="FrankRuehl"/>
          <w:rtl/>
        </w:rPr>
      </w:pPr>
      <w:hyperlink r:id="rId14" w:history="1">
        <w:r w:rsidRPr="00476275">
          <w:rPr>
            <w:rFonts w:ascii="FrankRuehl" w:hAnsi="FrankRuehl" w:cs="FrankRuehl"/>
            <w:color w:val="0000FF"/>
            <w:rtl/>
          </w:rPr>
          <w:t>חוק העונשין, תשל"ז-1977</w:t>
        </w:r>
      </w:hyperlink>
      <w:r w:rsidRPr="00476275">
        <w:rPr>
          <w:rFonts w:ascii="FrankRuehl" w:hAnsi="FrankRuehl" w:cs="FrankRuehl"/>
          <w:rtl/>
        </w:rPr>
        <w:t xml:space="preserve">: סע'  </w:t>
      </w:r>
      <w:hyperlink r:id="rId15" w:history="1">
        <w:r w:rsidRPr="00476275">
          <w:rPr>
            <w:rFonts w:ascii="FrankRuehl" w:hAnsi="FrankRuehl" w:cs="FrankRuehl"/>
            <w:color w:val="0000FF"/>
            <w:rtl/>
          </w:rPr>
          <w:t>40ט</w:t>
        </w:r>
      </w:hyperlink>
      <w:r w:rsidRPr="00476275">
        <w:rPr>
          <w:rFonts w:ascii="FrankRuehl" w:hAnsi="FrankRuehl" w:cs="FrankRuehl"/>
          <w:rtl/>
        </w:rPr>
        <w:t xml:space="preserve">, </w:t>
      </w:r>
      <w:hyperlink r:id="rId16" w:history="1">
        <w:r w:rsidRPr="00476275">
          <w:rPr>
            <w:rFonts w:ascii="FrankRuehl" w:hAnsi="FrankRuehl" w:cs="FrankRuehl"/>
            <w:color w:val="0000FF"/>
            <w:rtl/>
          </w:rPr>
          <w:t>400</w:t>
        </w:r>
      </w:hyperlink>
      <w:r w:rsidRPr="00476275">
        <w:rPr>
          <w:rFonts w:ascii="FrankRuehl" w:hAnsi="FrankRuehl" w:cs="FrankRuehl"/>
          <w:rtl/>
        </w:rPr>
        <w:t xml:space="preserve">, </w:t>
      </w:r>
      <w:hyperlink r:id="rId17" w:history="1">
        <w:r w:rsidRPr="00476275">
          <w:rPr>
            <w:rFonts w:ascii="FrankRuehl" w:hAnsi="FrankRuehl" w:cs="FrankRuehl"/>
            <w:color w:val="0000FF"/>
            <w:rtl/>
          </w:rPr>
          <w:t>40יא</w:t>
        </w:r>
      </w:hyperlink>
      <w:r w:rsidRPr="00476275">
        <w:rPr>
          <w:rFonts w:ascii="FrankRuehl" w:hAnsi="FrankRuehl" w:cs="FrankRuehl"/>
          <w:rtl/>
        </w:rPr>
        <w:t xml:space="preserve">, </w:t>
      </w:r>
      <w:hyperlink r:id="rId18" w:history="1">
        <w:r w:rsidRPr="00476275">
          <w:rPr>
            <w:rFonts w:ascii="FrankRuehl" w:hAnsi="FrankRuehl" w:cs="FrankRuehl"/>
            <w:color w:val="0000FF"/>
            <w:rtl/>
          </w:rPr>
          <w:t>40יא(6)</w:t>
        </w:r>
      </w:hyperlink>
    </w:p>
    <w:p w14:paraId="387FDFA3" w14:textId="77777777" w:rsidR="00476275" w:rsidRPr="00476275" w:rsidRDefault="00476275" w:rsidP="00476275">
      <w:pPr>
        <w:spacing w:before="120" w:after="120" w:line="240" w:lineRule="exact"/>
        <w:ind w:left="283" w:hanging="283"/>
        <w:jc w:val="both"/>
        <w:rPr>
          <w:rFonts w:ascii="FrankRuehl" w:hAnsi="FrankRuehl" w:cs="FrankRuehl"/>
          <w:rtl/>
        </w:rPr>
      </w:pPr>
      <w:hyperlink r:id="rId19" w:history="1">
        <w:r w:rsidRPr="00476275">
          <w:rPr>
            <w:rFonts w:ascii="FrankRuehl" w:hAnsi="FrankRuehl" w:cs="FrankRuehl"/>
            <w:color w:val="0000FF"/>
            <w:rtl/>
          </w:rPr>
          <w:t>פקודת סדר הדין הפלילי (מעצר וחיפוש) [נוסח חדש], תשכ"ט-1969</w:t>
        </w:r>
      </w:hyperlink>
    </w:p>
    <w:p w14:paraId="1CB3475C" w14:textId="77777777" w:rsidR="00476275" w:rsidRPr="00476275" w:rsidRDefault="00476275" w:rsidP="00476275">
      <w:pPr>
        <w:spacing w:line="360" w:lineRule="auto"/>
        <w:rPr>
          <w:rtl/>
        </w:rPr>
      </w:pPr>
      <w:bookmarkStart w:id="4" w:name="LawTable_End"/>
      <w:bookmarkEnd w:id="4"/>
    </w:p>
    <w:p w14:paraId="24C5516A" w14:textId="77777777" w:rsidR="0038149A" w:rsidRPr="00E02D46" w:rsidRDefault="0038149A" w:rsidP="00E02D46">
      <w:pPr>
        <w:spacing w:line="360" w:lineRule="auto"/>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8149A" w14:paraId="5BA11CD8" w14:textId="77777777" w:rsidTr="0038149A">
        <w:trPr>
          <w:trHeight w:val="355"/>
          <w:jc w:val="center"/>
        </w:trPr>
        <w:tc>
          <w:tcPr>
            <w:tcW w:w="8820" w:type="dxa"/>
            <w:tcBorders>
              <w:top w:val="nil"/>
              <w:left w:val="nil"/>
              <w:bottom w:val="nil"/>
              <w:right w:val="nil"/>
            </w:tcBorders>
            <w:shd w:val="clear" w:color="auto" w:fill="auto"/>
          </w:tcPr>
          <w:p w14:paraId="40D123CD" w14:textId="77777777" w:rsidR="0079746C" w:rsidRPr="0079746C" w:rsidRDefault="0079746C" w:rsidP="0079746C">
            <w:pPr>
              <w:spacing w:after="120" w:line="360" w:lineRule="auto"/>
              <w:jc w:val="center"/>
              <w:rPr>
                <w:rFonts w:ascii="Arial" w:hAnsi="Arial"/>
                <w:b/>
                <w:bCs/>
                <w:sz w:val="36"/>
                <w:szCs w:val="36"/>
                <w:u w:val="single"/>
                <w:rtl/>
              </w:rPr>
            </w:pPr>
            <w:bookmarkStart w:id="5" w:name="PsakDin" w:colFirst="0" w:colLast="0"/>
            <w:bookmarkEnd w:id="0"/>
            <w:r w:rsidRPr="0079746C">
              <w:rPr>
                <w:rFonts w:ascii="Arial" w:hAnsi="Arial"/>
                <w:b/>
                <w:bCs/>
                <w:sz w:val="36"/>
                <w:szCs w:val="36"/>
                <w:u w:val="single"/>
                <w:rtl/>
              </w:rPr>
              <w:t>גזר דין</w:t>
            </w:r>
          </w:p>
          <w:p w14:paraId="32575693" w14:textId="77777777" w:rsidR="0038149A" w:rsidRPr="0079746C" w:rsidRDefault="0038149A" w:rsidP="0079746C">
            <w:pPr>
              <w:spacing w:after="120" w:line="360" w:lineRule="auto"/>
              <w:jc w:val="center"/>
              <w:rPr>
                <w:rFonts w:ascii="Arial" w:hAnsi="Arial"/>
                <w:bCs/>
                <w:sz w:val="36"/>
                <w:szCs w:val="36"/>
                <w:u w:val="single"/>
                <w:rtl/>
              </w:rPr>
            </w:pPr>
          </w:p>
        </w:tc>
      </w:tr>
    </w:tbl>
    <w:bookmarkEnd w:id="5"/>
    <w:p w14:paraId="4EDC6355" w14:textId="77777777" w:rsidR="0038149A" w:rsidRPr="00683879" w:rsidRDefault="0038149A" w:rsidP="0038149A">
      <w:pPr>
        <w:numPr>
          <w:ilvl w:val="0"/>
          <w:numId w:val="2"/>
        </w:numPr>
        <w:spacing w:after="120" w:line="360" w:lineRule="auto"/>
        <w:ind w:left="368"/>
        <w:jc w:val="both"/>
        <w:rPr>
          <w:rFonts w:ascii="Tahoma" w:hAnsi="Tahoma"/>
          <w:b/>
          <w:bCs/>
          <w:u w:val="single"/>
        </w:rPr>
      </w:pPr>
      <w:r w:rsidRPr="000A7DC1">
        <w:rPr>
          <w:rFonts w:ascii="Tahoma" w:hAnsi="Tahoma"/>
          <w:b/>
          <w:bCs/>
          <w:u w:val="single"/>
          <w:rtl/>
        </w:rPr>
        <w:t>רקע כללי</w:t>
      </w:r>
      <w:r w:rsidRPr="00683879">
        <w:rPr>
          <w:rFonts w:ascii="Tahoma" w:hAnsi="Tahoma" w:hint="cs"/>
          <w:b/>
          <w:bCs/>
          <w:u w:val="single"/>
          <w:rtl/>
        </w:rPr>
        <w:t>:</w:t>
      </w:r>
    </w:p>
    <w:p w14:paraId="77DB9E0D" w14:textId="77777777" w:rsidR="0038149A" w:rsidRDefault="0038149A" w:rsidP="0038149A">
      <w:pPr>
        <w:numPr>
          <w:ilvl w:val="0"/>
          <w:numId w:val="1"/>
        </w:numPr>
        <w:spacing w:after="120" w:line="360" w:lineRule="auto"/>
        <w:ind w:left="360"/>
        <w:jc w:val="both"/>
        <w:rPr>
          <w:rFonts w:ascii="Tahoma" w:hAnsi="Tahoma"/>
        </w:rPr>
      </w:pPr>
      <w:bookmarkStart w:id="6" w:name="ABSTRACT_START"/>
      <w:bookmarkEnd w:id="6"/>
      <w:r w:rsidRPr="007776DA">
        <w:rPr>
          <w:rFonts w:ascii="Tahoma" w:hAnsi="Tahoma" w:hint="cs"/>
          <w:rtl/>
        </w:rPr>
        <w:t xml:space="preserve">הנאשם </w:t>
      </w:r>
      <w:r w:rsidRPr="007776DA">
        <w:rPr>
          <w:rFonts w:ascii="Tahoma" w:hAnsi="Tahoma"/>
          <w:rtl/>
        </w:rPr>
        <w:t>הורשע</w:t>
      </w:r>
      <w:r w:rsidRPr="007776DA">
        <w:rPr>
          <w:rFonts w:ascii="Tahoma" w:hAnsi="Tahoma" w:hint="cs"/>
          <w:rtl/>
        </w:rPr>
        <w:t>,</w:t>
      </w:r>
      <w:r w:rsidRPr="007776DA">
        <w:rPr>
          <w:rFonts w:ascii="Tahoma" w:hAnsi="Tahoma"/>
          <w:rtl/>
        </w:rPr>
        <w:t xml:space="preserve"> </w:t>
      </w:r>
      <w:r w:rsidRPr="007776DA">
        <w:rPr>
          <w:rFonts w:ascii="Tahoma" w:hAnsi="Tahoma" w:hint="cs"/>
          <w:rtl/>
        </w:rPr>
        <w:t xml:space="preserve">לאחר שמיעת הראיות, בביצוע העבירות הבאות: </w:t>
      </w:r>
      <w:r w:rsidRPr="007776DA">
        <w:rPr>
          <w:rFonts w:ascii="Tahoma" w:hAnsi="Tahoma" w:hint="cs"/>
          <w:b/>
          <w:bCs/>
          <w:rtl/>
        </w:rPr>
        <w:t>ייצור, הכנה והפקת סמים מסוכנים</w:t>
      </w:r>
      <w:r w:rsidRPr="007776DA">
        <w:rPr>
          <w:rFonts w:ascii="Tahoma" w:hAnsi="Tahoma" w:hint="cs"/>
          <w:rtl/>
        </w:rPr>
        <w:t xml:space="preserve">, לפי הוראות </w:t>
      </w:r>
      <w:hyperlink r:id="rId20" w:history="1">
        <w:r w:rsidR="00362368" w:rsidRPr="00362368">
          <w:rPr>
            <w:rStyle w:val="Hyperlink"/>
            <w:rFonts w:ascii="Tahoma" w:hAnsi="Tahoma" w:hint="eastAsia"/>
            <w:rtl/>
          </w:rPr>
          <w:t>סעיף</w:t>
        </w:r>
        <w:r w:rsidR="00362368" w:rsidRPr="00362368">
          <w:rPr>
            <w:rStyle w:val="Hyperlink"/>
            <w:rFonts w:ascii="Tahoma" w:hAnsi="Tahoma"/>
            <w:rtl/>
          </w:rPr>
          <w:t xml:space="preserve"> 6</w:t>
        </w:r>
      </w:hyperlink>
      <w:r w:rsidRPr="007776DA">
        <w:rPr>
          <w:rFonts w:ascii="Tahoma" w:hAnsi="Tahoma" w:hint="cs"/>
          <w:rtl/>
        </w:rPr>
        <w:t xml:space="preserve"> ל</w:t>
      </w:r>
      <w:hyperlink r:id="rId21" w:history="1">
        <w:r w:rsidR="0079746C" w:rsidRPr="0079746C">
          <w:rPr>
            <w:rFonts w:ascii="Tahoma" w:hAnsi="Tahoma"/>
            <w:color w:val="0000FF"/>
            <w:u w:val="single"/>
            <w:rtl/>
          </w:rPr>
          <w:t>פקודת הסמים המסוכנים</w:t>
        </w:r>
      </w:hyperlink>
      <w:r w:rsidRPr="007776DA">
        <w:rPr>
          <w:rFonts w:ascii="Tahoma" w:hAnsi="Tahoma" w:hint="cs"/>
          <w:rtl/>
        </w:rPr>
        <w:t xml:space="preserve"> [נוסח חדש], תשל"ג-1973 (להלן </w:t>
      </w:r>
      <w:r w:rsidRPr="007776DA">
        <w:rPr>
          <w:rFonts w:ascii="Tahoma" w:hAnsi="Tahoma"/>
          <w:rtl/>
        </w:rPr>
        <w:t>–</w:t>
      </w:r>
      <w:r w:rsidRPr="007776DA">
        <w:rPr>
          <w:rFonts w:ascii="Tahoma" w:hAnsi="Tahoma" w:hint="cs"/>
          <w:rtl/>
        </w:rPr>
        <w:t xml:space="preserve"> פקודת הסמים המסוכנים); </w:t>
      </w:r>
      <w:r w:rsidRPr="007776DA">
        <w:rPr>
          <w:rFonts w:ascii="Tahoma" w:hAnsi="Tahoma" w:hint="cs"/>
          <w:b/>
          <w:bCs/>
          <w:rtl/>
        </w:rPr>
        <w:t>החזקת סמים מסוכנים שלא לצריכה עצמית</w:t>
      </w:r>
      <w:r w:rsidRPr="007776DA">
        <w:rPr>
          <w:rFonts w:ascii="Tahoma" w:hAnsi="Tahoma" w:hint="cs"/>
          <w:rtl/>
        </w:rPr>
        <w:t xml:space="preserve">, לפי הוראות </w:t>
      </w:r>
      <w:hyperlink r:id="rId22" w:history="1">
        <w:r w:rsidR="00362368" w:rsidRPr="00362368">
          <w:rPr>
            <w:rStyle w:val="Hyperlink"/>
            <w:rFonts w:ascii="Tahoma" w:hAnsi="Tahoma" w:hint="eastAsia"/>
            <w:rtl/>
          </w:rPr>
          <w:t>סעיף</w:t>
        </w:r>
        <w:r w:rsidR="00362368" w:rsidRPr="00362368">
          <w:rPr>
            <w:rStyle w:val="Hyperlink"/>
            <w:rFonts w:ascii="Tahoma" w:hAnsi="Tahoma"/>
            <w:rtl/>
          </w:rPr>
          <w:t xml:space="preserve"> </w:t>
        </w:r>
        <w:r w:rsidR="00362368" w:rsidRPr="00362368">
          <w:rPr>
            <w:rStyle w:val="Hyperlink"/>
            <w:rFonts w:ascii="Tahoma" w:hAnsi="Tahoma"/>
            <w:rtl/>
          </w:rPr>
          <w:lastRenderedPageBreak/>
          <w:t>7(א)</w:t>
        </w:r>
      </w:hyperlink>
      <w:r w:rsidRPr="007776DA">
        <w:rPr>
          <w:rFonts w:ascii="Tahoma" w:hAnsi="Tahoma" w:hint="cs"/>
          <w:rtl/>
        </w:rPr>
        <w:t xml:space="preserve"> יחד עם </w:t>
      </w:r>
      <w:hyperlink r:id="rId23" w:history="1">
        <w:r w:rsidR="00362368" w:rsidRPr="00362368">
          <w:rPr>
            <w:rStyle w:val="Hyperlink"/>
            <w:rFonts w:ascii="Tahoma" w:hAnsi="Tahoma" w:hint="eastAsia"/>
            <w:rtl/>
          </w:rPr>
          <w:t>סעיף</w:t>
        </w:r>
        <w:r w:rsidR="00362368" w:rsidRPr="00362368">
          <w:rPr>
            <w:rStyle w:val="Hyperlink"/>
            <w:rFonts w:ascii="Tahoma" w:hAnsi="Tahoma"/>
            <w:rtl/>
          </w:rPr>
          <w:t xml:space="preserve"> 7(ג)</w:t>
        </w:r>
      </w:hyperlink>
      <w:r w:rsidRPr="007776DA">
        <w:rPr>
          <w:rFonts w:ascii="Tahoma" w:hAnsi="Tahoma" w:hint="cs"/>
          <w:rtl/>
        </w:rPr>
        <w:t xml:space="preserve"> רישא לפקודת הסמים המסוכנים; </w:t>
      </w:r>
      <w:r w:rsidRPr="007776DA">
        <w:rPr>
          <w:rFonts w:ascii="Tahoma" w:hAnsi="Tahoma" w:hint="cs"/>
          <w:b/>
          <w:bCs/>
          <w:rtl/>
        </w:rPr>
        <w:t>חצרים</w:t>
      </w:r>
      <w:r w:rsidRPr="007776DA">
        <w:rPr>
          <w:rFonts w:ascii="Tahoma" w:hAnsi="Tahoma" w:hint="cs"/>
          <w:rtl/>
        </w:rPr>
        <w:t xml:space="preserve">, לפי הוראות </w:t>
      </w:r>
      <w:hyperlink r:id="rId24" w:history="1">
        <w:r w:rsidR="00362368" w:rsidRPr="00362368">
          <w:rPr>
            <w:rStyle w:val="Hyperlink"/>
            <w:rFonts w:ascii="Tahoma" w:hAnsi="Tahoma" w:hint="eastAsia"/>
            <w:rtl/>
          </w:rPr>
          <w:t>סעיף</w:t>
        </w:r>
        <w:r w:rsidR="00362368" w:rsidRPr="00362368">
          <w:rPr>
            <w:rStyle w:val="Hyperlink"/>
            <w:rFonts w:ascii="Tahoma" w:hAnsi="Tahoma"/>
            <w:rtl/>
          </w:rPr>
          <w:t xml:space="preserve"> 9(א)</w:t>
        </w:r>
      </w:hyperlink>
      <w:r w:rsidRPr="007776DA">
        <w:rPr>
          <w:rFonts w:ascii="Tahoma" w:hAnsi="Tahoma" w:hint="cs"/>
          <w:rtl/>
        </w:rPr>
        <w:t xml:space="preserve"> יחד עם </w:t>
      </w:r>
      <w:hyperlink r:id="rId25" w:history="1">
        <w:r w:rsidR="00362368" w:rsidRPr="00362368">
          <w:rPr>
            <w:rStyle w:val="Hyperlink"/>
            <w:rFonts w:ascii="Tahoma" w:hAnsi="Tahoma" w:hint="eastAsia"/>
            <w:rtl/>
          </w:rPr>
          <w:t>סעיף</w:t>
        </w:r>
        <w:r w:rsidR="00362368" w:rsidRPr="00362368">
          <w:rPr>
            <w:rStyle w:val="Hyperlink"/>
            <w:rFonts w:ascii="Tahoma" w:hAnsi="Tahoma"/>
            <w:rtl/>
          </w:rPr>
          <w:t xml:space="preserve"> 9(ד)</w:t>
        </w:r>
      </w:hyperlink>
      <w:r w:rsidRPr="007776DA">
        <w:rPr>
          <w:rFonts w:ascii="Tahoma" w:hAnsi="Tahoma" w:hint="cs"/>
          <w:rtl/>
        </w:rPr>
        <w:t xml:space="preserve"> רישא לפקודת הסמים המסוכנים; </w:t>
      </w:r>
      <w:r w:rsidRPr="007776DA">
        <w:rPr>
          <w:rFonts w:ascii="Tahoma" w:hAnsi="Tahoma" w:hint="cs"/>
          <w:b/>
          <w:bCs/>
          <w:rtl/>
        </w:rPr>
        <w:t>כלים</w:t>
      </w:r>
      <w:r w:rsidRPr="007776DA">
        <w:rPr>
          <w:rFonts w:ascii="Tahoma" w:hAnsi="Tahoma" w:hint="cs"/>
          <w:rtl/>
        </w:rPr>
        <w:t xml:space="preserve">, לפי הוראות </w:t>
      </w:r>
      <w:hyperlink r:id="rId26" w:history="1">
        <w:r w:rsidR="00362368" w:rsidRPr="00362368">
          <w:rPr>
            <w:rStyle w:val="Hyperlink"/>
            <w:rFonts w:ascii="Tahoma" w:hAnsi="Tahoma" w:hint="eastAsia"/>
            <w:rtl/>
          </w:rPr>
          <w:t>סעיף</w:t>
        </w:r>
        <w:r w:rsidR="00362368" w:rsidRPr="00362368">
          <w:rPr>
            <w:rStyle w:val="Hyperlink"/>
            <w:rFonts w:ascii="Tahoma" w:hAnsi="Tahoma"/>
            <w:rtl/>
          </w:rPr>
          <w:t xml:space="preserve"> 10</w:t>
        </w:r>
      </w:hyperlink>
      <w:r w:rsidRPr="007776DA">
        <w:rPr>
          <w:rFonts w:ascii="Tahoma" w:hAnsi="Tahoma" w:hint="cs"/>
          <w:rtl/>
        </w:rPr>
        <w:t xml:space="preserve"> רישא לפקודת הסמים המסוכנים; ו</w:t>
      </w:r>
      <w:r w:rsidRPr="007776DA">
        <w:rPr>
          <w:rFonts w:ascii="Tahoma" w:hAnsi="Tahoma" w:hint="cs"/>
          <w:b/>
          <w:bCs/>
          <w:rtl/>
        </w:rPr>
        <w:t>נטילת חשמל</w:t>
      </w:r>
      <w:r w:rsidRPr="007776DA">
        <w:rPr>
          <w:rFonts w:ascii="Tahoma" w:hAnsi="Tahoma" w:hint="cs"/>
          <w:rtl/>
        </w:rPr>
        <w:t xml:space="preserve">, </w:t>
      </w:r>
      <w:r>
        <w:rPr>
          <w:rFonts w:ascii="Tahoma" w:hAnsi="Tahoma" w:hint="cs"/>
          <w:rtl/>
        </w:rPr>
        <w:t xml:space="preserve">לפי הוראות </w:t>
      </w:r>
      <w:hyperlink r:id="rId27" w:history="1">
        <w:r w:rsidR="00362368" w:rsidRPr="00362368">
          <w:rPr>
            <w:rStyle w:val="Hyperlink"/>
            <w:rFonts w:ascii="Tahoma" w:hAnsi="Tahoma" w:hint="eastAsia"/>
            <w:rtl/>
          </w:rPr>
          <w:t>סעיף</w:t>
        </w:r>
        <w:r w:rsidR="00362368" w:rsidRPr="00362368">
          <w:rPr>
            <w:rStyle w:val="Hyperlink"/>
            <w:rFonts w:ascii="Tahoma" w:hAnsi="Tahoma"/>
            <w:rtl/>
          </w:rPr>
          <w:t xml:space="preserve"> 400</w:t>
        </w:r>
      </w:hyperlink>
      <w:r>
        <w:rPr>
          <w:rFonts w:ascii="Tahoma" w:hAnsi="Tahoma" w:hint="cs"/>
          <w:rtl/>
        </w:rPr>
        <w:t xml:space="preserve"> ל</w:t>
      </w:r>
      <w:hyperlink r:id="rId28" w:history="1">
        <w:r w:rsidR="0079746C" w:rsidRPr="0079746C">
          <w:rPr>
            <w:rFonts w:ascii="Tahoma" w:hAnsi="Tahoma"/>
            <w:color w:val="0000FF"/>
            <w:u w:val="single"/>
            <w:rtl/>
          </w:rPr>
          <w:t>חוק העונשין</w:t>
        </w:r>
      </w:hyperlink>
      <w:r w:rsidRPr="007776DA">
        <w:rPr>
          <w:rFonts w:ascii="Tahoma" w:hAnsi="Tahoma" w:hint="cs"/>
          <w:rtl/>
        </w:rPr>
        <w:t xml:space="preserve">, תשל"ז-1977 (להלן </w:t>
      </w:r>
      <w:r w:rsidRPr="007776DA">
        <w:rPr>
          <w:rFonts w:ascii="Tahoma" w:hAnsi="Tahoma"/>
          <w:rtl/>
        </w:rPr>
        <w:t>–</w:t>
      </w:r>
      <w:r>
        <w:rPr>
          <w:rFonts w:ascii="Tahoma" w:hAnsi="Tahoma" w:hint="cs"/>
          <w:rtl/>
        </w:rPr>
        <w:t xml:space="preserve"> חוק העונשין).</w:t>
      </w:r>
    </w:p>
    <w:p w14:paraId="3F4B4153" w14:textId="77777777" w:rsidR="0038149A" w:rsidRDefault="0038149A" w:rsidP="0038149A">
      <w:pPr>
        <w:numPr>
          <w:ilvl w:val="0"/>
          <w:numId w:val="1"/>
        </w:numPr>
        <w:spacing w:after="120" w:line="360" w:lineRule="auto"/>
        <w:ind w:left="360"/>
        <w:jc w:val="both"/>
        <w:rPr>
          <w:rFonts w:ascii="Tahoma" w:hAnsi="Tahoma"/>
        </w:rPr>
      </w:pPr>
      <w:bookmarkStart w:id="7" w:name="ABSTRACT_END"/>
      <w:bookmarkEnd w:id="7"/>
      <w:r w:rsidRPr="007776DA">
        <w:rPr>
          <w:rFonts w:ascii="Tahoma" w:hAnsi="Tahoma" w:hint="cs"/>
          <w:rtl/>
        </w:rPr>
        <w:t>כפי שנקבע בהכרעת הדין, ב</w:t>
      </w:r>
      <w:r>
        <w:rPr>
          <w:rFonts w:ascii="Tahoma" w:hAnsi="Tahoma" w:hint="cs"/>
          <w:rtl/>
        </w:rPr>
        <w:t xml:space="preserve">משך </w:t>
      </w:r>
      <w:r w:rsidRPr="007776DA">
        <w:rPr>
          <w:rFonts w:ascii="Tahoma" w:hAnsi="Tahoma" w:hint="cs"/>
          <w:rtl/>
        </w:rPr>
        <w:t>תקופה ש</w:t>
      </w:r>
      <w:r>
        <w:rPr>
          <w:rFonts w:ascii="Tahoma" w:hAnsi="Tahoma" w:hint="cs"/>
          <w:rtl/>
        </w:rPr>
        <w:t>ל כחצי שנה (</w:t>
      </w:r>
      <w:r w:rsidRPr="007776DA">
        <w:rPr>
          <w:rFonts w:ascii="Tahoma" w:hAnsi="Tahoma" w:hint="cs"/>
          <w:rtl/>
        </w:rPr>
        <w:t>בין חודש פברואר 2021 לבין יום 10.08.2021</w:t>
      </w:r>
      <w:r>
        <w:rPr>
          <w:rFonts w:ascii="Tahoma" w:hAnsi="Tahoma" w:hint="cs"/>
          <w:rtl/>
        </w:rPr>
        <w:t>) החזיק הנאשם בדירת</w:t>
      </w:r>
      <w:r w:rsidRPr="007776DA">
        <w:rPr>
          <w:rFonts w:ascii="Tahoma" w:hAnsi="Tahoma" w:hint="cs"/>
          <w:rtl/>
        </w:rPr>
        <w:t xml:space="preserve"> </w:t>
      </w:r>
      <w:r>
        <w:rPr>
          <w:rFonts w:ascii="Tahoma" w:hAnsi="Tahoma" w:hint="cs"/>
          <w:rtl/>
        </w:rPr>
        <w:t>מרתף בת שלושה חדרים</w:t>
      </w:r>
      <w:r w:rsidRPr="007776DA">
        <w:rPr>
          <w:rFonts w:ascii="Tahoma" w:hAnsi="Tahoma" w:hint="cs"/>
          <w:rtl/>
        </w:rPr>
        <w:t xml:space="preserve"> </w:t>
      </w:r>
      <w:r>
        <w:rPr>
          <w:rFonts w:ascii="Tahoma" w:hAnsi="Tahoma" w:hint="cs"/>
          <w:rtl/>
        </w:rPr>
        <w:t>במבנה</w:t>
      </w:r>
      <w:r w:rsidRPr="007776DA">
        <w:rPr>
          <w:rFonts w:ascii="Tahoma" w:hAnsi="Tahoma" w:hint="cs"/>
          <w:rtl/>
        </w:rPr>
        <w:t xml:space="preserve"> מגורים ברחוב ז'בוטינסקי בחולון</w:t>
      </w:r>
      <w:r>
        <w:rPr>
          <w:rFonts w:ascii="Tahoma" w:hAnsi="Tahoma" w:hint="cs"/>
          <w:rtl/>
        </w:rPr>
        <w:t>,</w:t>
      </w:r>
      <w:r w:rsidRPr="007776DA">
        <w:rPr>
          <w:rFonts w:ascii="Tahoma" w:hAnsi="Tahoma" w:hint="cs"/>
          <w:rtl/>
        </w:rPr>
        <w:t xml:space="preserve"> </w:t>
      </w:r>
      <w:r>
        <w:rPr>
          <w:rFonts w:ascii="Tahoma" w:hAnsi="Tahoma" w:hint="cs"/>
          <w:rtl/>
        </w:rPr>
        <w:t>השייך להוריו</w:t>
      </w:r>
      <w:r w:rsidRPr="007776DA">
        <w:rPr>
          <w:rFonts w:ascii="Tahoma" w:hAnsi="Tahoma" w:hint="cs"/>
          <w:rtl/>
        </w:rPr>
        <w:t>, וכן ביחידת דיור בח</w:t>
      </w:r>
      <w:r>
        <w:rPr>
          <w:rFonts w:ascii="Tahoma" w:hAnsi="Tahoma" w:hint="cs"/>
          <w:rtl/>
        </w:rPr>
        <w:t>לקו האחורי של המבנה, שבה התגורר.</w:t>
      </w:r>
    </w:p>
    <w:p w14:paraId="4515D682" w14:textId="77777777" w:rsidR="0038149A" w:rsidRDefault="0038149A" w:rsidP="0038149A">
      <w:pPr>
        <w:numPr>
          <w:ilvl w:val="0"/>
          <w:numId w:val="1"/>
        </w:numPr>
        <w:spacing w:after="120" w:line="360" w:lineRule="auto"/>
        <w:ind w:left="360"/>
        <w:jc w:val="both"/>
        <w:rPr>
          <w:rFonts w:ascii="Tahoma" w:hAnsi="Tahoma"/>
        </w:rPr>
      </w:pPr>
      <w:r w:rsidRPr="007776DA">
        <w:rPr>
          <w:rFonts w:ascii="Tahoma" w:hAnsi="Tahoma" w:hint="cs"/>
          <w:rtl/>
        </w:rPr>
        <w:t xml:space="preserve">במהלך חודש פברואר 2021, במועדים שאינם ידועים במדויק למאשימה, הקים הנאשם בדירת המרתף מעבדה לשם גידול, ייצור, הפקה והחזקת סמים מסוכנים מסוג קנבוס, תוך שצייד אותה בציוד </w:t>
      </w:r>
      <w:r>
        <w:rPr>
          <w:rFonts w:ascii="Tahoma" w:hAnsi="Tahoma" w:hint="cs"/>
          <w:rtl/>
        </w:rPr>
        <w:t>ה</w:t>
      </w:r>
      <w:r w:rsidRPr="007776DA">
        <w:rPr>
          <w:rFonts w:ascii="Tahoma" w:hAnsi="Tahoma" w:hint="cs"/>
          <w:rtl/>
        </w:rPr>
        <w:t xml:space="preserve">מתאים לצורך זה. ביום 10.08.2021 החזיק הנאשם במעבדה וביחידת הדיור </w:t>
      </w:r>
      <w:r w:rsidRPr="00DA2B43">
        <w:rPr>
          <w:rFonts w:ascii="Tahoma" w:hAnsi="Tahoma" w:hint="cs"/>
          <w:b/>
          <w:bCs/>
          <w:rtl/>
        </w:rPr>
        <w:t>127 שתילים</w:t>
      </w:r>
      <w:r w:rsidRPr="007776DA">
        <w:rPr>
          <w:rFonts w:ascii="Tahoma" w:hAnsi="Tahoma" w:hint="cs"/>
          <w:rtl/>
        </w:rPr>
        <w:t xml:space="preserve"> ופרחים של סמים מסוכנים מסוג קנבוס, במשקל כולל של </w:t>
      </w:r>
      <w:r w:rsidRPr="007776DA">
        <w:rPr>
          <w:rFonts w:ascii="Tahoma" w:hAnsi="Tahoma" w:hint="cs"/>
          <w:b/>
          <w:bCs/>
          <w:rtl/>
        </w:rPr>
        <w:t>32.7 ק"ג נטו</w:t>
      </w:r>
      <w:r w:rsidRPr="007776DA">
        <w:rPr>
          <w:rFonts w:ascii="Tahoma" w:hAnsi="Tahoma" w:hint="cs"/>
          <w:rtl/>
        </w:rPr>
        <w:t>. עוד החזיק הנאשם במשקל אלקטרוני ו</w:t>
      </w:r>
      <w:r>
        <w:rPr>
          <w:rFonts w:ascii="Tahoma" w:hAnsi="Tahoma" w:hint="cs"/>
          <w:rtl/>
        </w:rPr>
        <w:t>ב</w:t>
      </w:r>
      <w:r w:rsidRPr="007776DA">
        <w:rPr>
          <w:rFonts w:ascii="Tahoma" w:hAnsi="Tahoma" w:hint="cs"/>
          <w:rtl/>
        </w:rPr>
        <w:t xml:space="preserve">מכשיר </w:t>
      </w:r>
      <w:r>
        <w:rPr>
          <w:rFonts w:ascii="Tahoma" w:hAnsi="Tahoma" w:hint="cs"/>
          <w:rtl/>
        </w:rPr>
        <w:t>ה</w:t>
      </w:r>
      <w:r w:rsidRPr="007776DA">
        <w:rPr>
          <w:rFonts w:ascii="Tahoma" w:hAnsi="Tahoma" w:hint="cs"/>
          <w:rtl/>
        </w:rPr>
        <w:t xml:space="preserve">משמש לאידוי הקנבוס ולצריכתו. לשם תפעול המעבדה </w:t>
      </w:r>
      <w:r>
        <w:rPr>
          <w:rFonts w:ascii="Tahoma" w:hAnsi="Tahoma" w:hint="cs"/>
          <w:rtl/>
        </w:rPr>
        <w:t xml:space="preserve">נטל הנאשם </w:t>
      </w:r>
      <w:r w:rsidRPr="007776DA">
        <w:rPr>
          <w:rFonts w:ascii="Tahoma" w:hAnsi="Tahoma" w:hint="cs"/>
          <w:rtl/>
        </w:rPr>
        <w:t>במרמה חשמל בשווי שאינו ידוע למאשימה, על ידי כך שהתחבר לרשת החשמל תו</w:t>
      </w:r>
      <w:r>
        <w:rPr>
          <w:rFonts w:ascii="Tahoma" w:hAnsi="Tahoma" w:hint="cs"/>
          <w:rtl/>
        </w:rPr>
        <w:t>ך עקיפת המונה.</w:t>
      </w:r>
    </w:p>
    <w:p w14:paraId="71D30C65" w14:textId="77777777" w:rsidR="0038149A" w:rsidRDefault="0038149A" w:rsidP="0038149A">
      <w:pPr>
        <w:numPr>
          <w:ilvl w:val="0"/>
          <w:numId w:val="1"/>
        </w:numPr>
        <w:spacing w:after="120" w:line="360" w:lineRule="auto"/>
        <w:ind w:left="360"/>
        <w:jc w:val="both"/>
        <w:rPr>
          <w:rFonts w:ascii="Tahoma" w:hAnsi="Tahoma"/>
        </w:rPr>
      </w:pPr>
      <w:r w:rsidRPr="00793C17">
        <w:rPr>
          <w:rFonts w:ascii="Tahoma" w:hAnsi="Tahoma" w:hint="cs"/>
          <w:rtl/>
        </w:rPr>
        <w:t>הכרעת הדין היא מפורטת ופשיטא כי</w:t>
      </w:r>
      <w:r>
        <w:rPr>
          <w:rFonts w:ascii="Tahoma" w:hAnsi="Tahoma" w:hint="cs"/>
          <w:rtl/>
        </w:rPr>
        <w:t xml:space="preserve"> אין מקום לחזור כאן על כל קביעותיה, כאשר המפורט להלן הוא </w:t>
      </w:r>
      <w:r w:rsidRPr="00793C17">
        <w:rPr>
          <w:rFonts w:ascii="Tahoma" w:hAnsi="Tahoma" w:hint="cs"/>
          <w:rtl/>
        </w:rPr>
        <w:t xml:space="preserve">לצרכי גזר הדין בלבד. יוקדם ויוער כי בתשובה לאישום </w:t>
      </w:r>
      <w:r w:rsidRPr="00793C17">
        <w:rPr>
          <w:rFonts w:ascii="Tahoma" w:hAnsi="Tahoma"/>
          <w:rtl/>
        </w:rPr>
        <w:t>–</w:t>
      </w:r>
      <w:r w:rsidRPr="00793C17">
        <w:rPr>
          <w:rFonts w:ascii="Tahoma" w:hAnsi="Tahoma" w:hint="cs"/>
          <w:rtl/>
        </w:rPr>
        <w:t xml:space="preserve"> שנשמעה </w:t>
      </w:r>
      <w:r>
        <w:rPr>
          <w:rFonts w:ascii="Tahoma" w:hAnsi="Tahoma" w:hint="cs"/>
          <w:rtl/>
        </w:rPr>
        <w:t xml:space="preserve">עוד </w:t>
      </w:r>
      <w:r w:rsidRPr="00793C17">
        <w:rPr>
          <w:rFonts w:ascii="Tahoma" w:hAnsi="Tahoma" w:hint="cs"/>
          <w:rtl/>
        </w:rPr>
        <w:t xml:space="preserve">בהליכים המקדמיים </w:t>
      </w:r>
      <w:r w:rsidRPr="00793C17">
        <w:rPr>
          <w:rFonts w:ascii="Tahoma" w:hAnsi="Tahoma"/>
          <w:rtl/>
        </w:rPr>
        <w:t>–</w:t>
      </w:r>
      <w:r w:rsidRPr="00793C17">
        <w:rPr>
          <w:rFonts w:ascii="Tahoma" w:hAnsi="Tahoma" w:hint="cs"/>
          <w:rtl/>
        </w:rPr>
        <w:t xml:space="preserve"> הוצב </w:t>
      </w:r>
      <w:r>
        <w:rPr>
          <w:rFonts w:ascii="Tahoma" w:hAnsi="Tahoma" w:hint="cs"/>
          <w:rtl/>
        </w:rPr>
        <w:t xml:space="preserve">על ידי ההגנה </w:t>
      </w:r>
      <w:r w:rsidRPr="00793C17">
        <w:rPr>
          <w:rFonts w:ascii="Tahoma" w:hAnsi="Tahoma" w:hint="cs"/>
          <w:rtl/>
        </w:rPr>
        <w:t xml:space="preserve">גדר מחלוקת מצומצם, שעיקרו בטענה </w:t>
      </w:r>
      <w:r>
        <w:rPr>
          <w:rFonts w:ascii="Tahoma" w:hAnsi="Tahoma" w:hint="cs"/>
          <w:rtl/>
        </w:rPr>
        <w:t xml:space="preserve">המשפטית </w:t>
      </w:r>
      <w:r w:rsidRPr="00793C17">
        <w:rPr>
          <w:rFonts w:ascii="Tahoma" w:hAnsi="Tahoma" w:hint="cs"/>
          <w:rtl/>
        </w:rPr>
        <w:t xml:space="preserve">כי הנאשם היה </w:t>
      </w:r>
      <w:r>
        <w:rPr>
          <w:rFonts w:ascii="Tahoma" w:hAnsi="Tahoma" w:hint="cs"/>
          <w:rtl/>
        </w:rPr>
        <w:t xml:space="preserve">בגדר </w:t>
      </w:r>
      <w:r w:rsidRPr="00793C17">
        <w:rPr>
          <w:rFonts w:ascii="Tahoma" w:hAnsi="Tahoma" w:hint="cs"/>
          <w:rtl/>
        </w:rPr>
        <w:t>"מסייע"</w:t>
      </w:r>
      <w:r>
        <w:rPr>
          <w:rFonts w:ascii="Tahoma" w:hAnsi="Tahoma" w:hint="cs"/>
          <w:rtl/>
        </w:rPr>
        <w:t xml:space="preserve"> בלבד, להבדיל מ"מבצע עיקרי", שכן (כך לפי הטענה) הוא</w:t>
      </w:r>
      <w:r w:rsidRPr="00793C17">
        <w:rPr>
          <w:rFonts w:ascii="Tahoma" w:hAnsi="Tahoma" w:hint="cs"/>
          <w:rtl/>
        </w:rPr>
        <w:t xml:space="preserve"> רק עזר לאחרים </w:t>
      </w:r>
      <w:r>
        <w:rPr>
          <w:rFonts w:ascii="Tahoma" w:hAnsi="Tahoma" w:hint="cs"/>
          <w:rtl/>
        </w:rPr>
        <w:t xml:space="preserve">בתפעול המעבדה </w:t>
      </w:r>
      <w:r w:rsidRPr="00793C17">
        <w:rPr>
          <w:rFonts w:ascii="Tahoma" w:hAnsi="Tahoma" w:hint="cs"/>
          <w:rtl/>
        </w:rPr>
        <w:t>ולא היה חלק מהתכנון (ר' בהכרעת הדין, פסקה 3).</w:t>
      </w:r>
      <w:r>
        <w:rPr>
          <w:rFonts w:ascii="Tahoma" w:hAnsi="Tahoma" w:hint="cs"/>
          <w:rtl/>
        </w:rPr>
        <w:t xml:space="preserve"> ואולם, על אף גדר מחלוקת מצומצם-לכאורה </w:t>
      </w:r>
      <w:r w:rsidRPr="00793C17">
        <w:rPr>
          <w:rFonts w:ascii="Tahoma" w:hAnsi="Tahoma" w:hint="cs"/>
          <w:rtl/>
        </w:rPr>
        <w:t xml:space="preserve">זה ניהל הנאשם </w:t>
      </w:r>
      <w:r w:rsidRPr="00793C17">
        <w:rPr>
          <w:rFonts w:ascii="Tahoma" w:hAnsi="Tahoma"/>
          <w:rtl/>
        </w:rPr>
        <w:t>–</w:t>
      </w:r>
      <w:r w:rsidRPr="00793C17">
        <w:rPr>
          <w:rFonts w:ascii="Tahoma" w:hAnsi="Tahoma" w:hint="cs"/>
          <w:rtl/>
        </w:rPr>
        <w:t xml:space="preserve"> כפי זכותו </w:t>
      </w:r>
      <w:r w:rsidRPr="00793C17">
        <w:rPr>
          <w:rFonts w:ascii="Tahoma" w:hAnsi="Tahoma"/>
          <w:rtl/>
        </w:rPr>
        <w:t>–</w:t>
      </w:r>
      <w:r>
        <w:rPr>
          <w:rFonts w:ascii="Tahoma" w:hAnsi="Tahoma" w:hint="cs"/>
          <w:rtl/>
        </w:rPr>
        <w:t xml:space="preserve"> משפט ב</w:t>
      </w:r>
      <w:r w:rsidRPr="00793C17">
        <w:rPr>
          <w:rFonts w:ascii="Tahoma" w:hAnsi="Tahoma" w:hint="cs"/>
          <w:rtl/>
        </w:rPr>
        <w:t>היקף</w:t>
      </w:r>
      <w:r>
        <w:rPr>
          <w:rFonts w:ascii="Tahoma" w:hAnsi="Tahoma" w:hint="cs"/>
          <w:rtl/>
        </w:rPr>
        <w:t xml:space="preserve"> ניכר</w:t>
      </w:r>
      <w:r w:rsidRPr="00793C17">
        <w:rPr>
          <w:rFonts w:ascii="Tahoma" w:hAnsi="Tahoma" w:hint="cs"/>
          <w:rtl/>
        </w:rPr>
        <w:t>, שבמהלכו אף העלה טענות הגנה נוספות.</w:t>
      </w:r>
    </w:p>
    <w:p w14:paraId="488F705C" w14:textId="77777777" w:rsidR="0038149A" w:rsidRDefault="0038149A" w:rsidP="0038149A">
      <w:pPr>
        <w:numPr>
          <w:ilvl w:val="0"/>
          <w:numId w:val="1"/>
        </w:numPr>
        <w:spacing w:after="120" w:line="360" w:lineRule="auto"/>
        <w:ind w:left="360"/>
        <w:jc w:val="both"/>
        <w:rPr>
          <w:rFonts w:ascii="Tahoma" w:hAnsi="Tahoma"/>
        </w:rPr>
      </w:pPr>
      <w:r w:rsidRPr="00B0752D">
        <w:rPr>
          <w:rFonts w:ascii="Tahoma" w:hAnsi="Tahoma" w:hint="cs"/>
          <w:rtl/>
        </w:rPr>
        <w:t xml:space="preserve">מכל מקום, הטענה העיקרית הנ"ל </w:t>
      </w:r>
      <w:r w:rsidRPr="00B0752D">
        <w:rPr>
          <w:rFonts w:ascii="Tahoma" w:hAnsi="Tahoma"/>
          <w:rtl/>
        </w:rPr>
        <w:t>–</w:t>
      </w:r>
      <w:r w:rsidRPr="00B0752D">
        <w:rPr>
          <w:rFonts w:ascii="Tahoma" w:hAnsi="Tahoma" w:hint="cs"/>
          <w:rtl/>
        </w:rPr>
        <w:t xml:space="preserve"> בדבר היות הנאשם מסייע לאחר או לאח</w:t>
      </w:r>
      <w:r>
        <w:rPr>
          <w:rFonts w:ascii="Tahoma" w:hAnsi="Tahoma" w:hint="cs"/>
          <w:rtl/>
        </w:rPr>
        <w:t>רים,</w:t>
      </w:r>
      <w:r w:rsidRPr="00B0752D">
        <w:rPr>
          <w:rFonts w:ascii="Tahoma" w:hAnsi="Tahoma" w:hint="cs"/>
          <w:rtl/>
        </w:rPr>
        <w:t xml:space="preserve"> שהיתה גם טענה כבושה</w:t>
      </w:r>
      <w:r>
        <w:rPr>
          <w:rFonts w:ascii="Tahoma" w:hAnsi="Tahoma" w:hint="cs"/>
          <w:rtl/>
        </w:rPr>
        <w:t xml:space="preserve"> משום ש</w:t>
      </w:r>
      <w:r w:rsidRPr="00B0752D">
        <w:rPr>
          <w:rFonts w:ascii="Tahoma" w:hAnsi="Tahoma" w:hint="cs"/>
          <w:rtl/>
        </w:rPr>
        <w:t xml:space="preserve">הועלתה רק בשלב המשפט </w:t>
      </w:r>
      <w:r w:rsidRPr="00B0752D">
        <w:rPr>
          <w:rFonts w:ascii="Tahoma" w:hAnsi="Tahoma"/>
          <w:rtl/>
        </w:rPr>
        <w:t>–</w:t>
      </w:r>
      <w:r w:rsidRPr="00B0752D">
        <w:rPr>
          <w:rFonts w:ascii="Tahoma" w:hAnsi="Tahoma" w:hint="cs"/>
          <w:rtl/>
        </w:rPr>
        <w:t xml:space="preserve"> נדחתה לחלוטין בהכרעת הדין. נקבע, כי מדובר בגרסה מעורפלת וקלושה, חסרת היגיון פנימי (ר' בהכרעת הדין, פסקה 69 ואילך). עוד נקבע</w:t>
      </w:r>
      <w:r>
        <w:rPr>
          <w:rFonts w:ascii="Tahoma" w:hAnsi="Tahoma" w:hint="cs"/>
          <w:rtl/>
        </w:rPr>
        <w:t>,</w:t>
      </w:r>
      <w:r w:rsidRPr="00B0752D">
        <w:rPr>
          <w:rFonts w:ascii="Tahoma" w:hAnsi="Tahoma" w:hint="cs"/>
          <w:rtl/>
        </w:rPr>
        <w:t xml:space="preserve"> כי מדובר בגרסה הסותרת חזיתית את התוודות הנאשם במ</w:t>
      </w:r>
      <w:r>
        <w:rPr>
          <w:rFonts w:ascii="Tahoma" w:hAnsi="Tahoma" w:hint="cs"/>
          <w:rtl/>
        </w:rPr>
        <w:t>סגרת</w:t>
      </w:r>
      <w:r w:rsidRPr="00B0752D">
        <w:rPr>
          <w:rFonts w:ascii="Tahoma" w:hAnsi="Tahoma" w:hint="cs"/>
          <w:rtl/>
        </w:rPr>
        <w:t xml:space="preserve"> חקירת המשטרה. כפי שהוסבר שם (בפסקה 67),</w:t>
      </w:r>
      <w:r>
        <w:rPr>
          <w:rtl/>
        </w:rPr>
        <w:t xml:space="preserve"> התוודות</w:t>
      </w:r>
      <w:r>
        <w:rPr>
          <w:rFonts w:hint="cs"/>
          <w:rtl/>
        </w:rPr>
        <w:t>ו זו</w:t>
      </w:r>
      <w:r>
        <w:rPr>
          <w:rtl/>
        </w:rPr>
        <w:t xml:space="preserve"> </w:t>
      </w:r>
      <w:r>
        <w:rPr>
          <w:rFonts w:hint="cs"/>
          <w:rtl/>
        </w:rPr>
        <w:t xml:space="preserve">של </w:t>
      </w:r>
      <w:r>
        <w:rPr>
          <w:rtl/>
        </w:rPr>
        <w:t>הנאשם לא היתה התוודות סתמית</w:t>
      </w:r>
      <w:r>
        <w:rPr>
          <w:rFonts w:hint="cs"/>
          <w:rtl/>
        </w:rPr>
        <w:t>,</w:t>
      </w:r>
      <w:r>
        <w:rPr>
          <w:rtl/>
        </w:rPr>
        <w:t xml:space="preserve"> </w:t>
      </w:r>
      <w:r>
        <w:rPr>
          <w:rFonts w:hint="cs"/>
          <w:rtl/>
        </w:rPr>
        <w:t xml:space="preserve">בעלמא, </w:t>
      </w:r>
      <w:r>
        <w:rPr>
          <w:rtl/>
        </w:rPr>
        <w:t>אלא מ</w:t>
      </w:r>
      <w:r>
        <w:rPr>
          <w:rFonts w:hint="cs"/>
          <w:rtl/>
        </w:rPr>
        <w:t>רובת פרטים</w:t>
      </w:r>
      <w:r>
        <w:rPr>
          <w:rtl/>
        </w:rPr>
        <w:t>.</w:t>
      </w:r>
      <w:r>
        <w:rPr>
          <w:rFonts w:hint="cs"/>
          <w:rtl/>
        </w:rPr>
        <w:t xml:space="preserve"> </w:t>
      </w:r>
      <w:r>
        <w:rPr>
          <w:rtl/>
        </w:rPr>
        <w:t xml:space="preserve">הנאשם </w:t>
      </w:r>
      <w:r>
        <w:rPr>
          <w:rFonts w:hint="cs"/>
          <w:rtl/>
        </w:rPr>
        <w:t>תיאר מצוקה כלכלית, שעמדה לדבריו ב</w:t>
      </w:r>
      <w:r>
        <w:rPr>
          <w:rtl/>
        </w:rPr>
        <w:t xml:space="preserve">רקע הקמת המעבדה, </w:t>
      </w:r>
      <w:r>
        <w:rPr>
          <w:rFonts w:hint="cs"/>
          <w:rtl/>
        </w:rPr>
        <w:t xml:space="preserve">הסביר את מקור </w:t>
      </w:r>
      <w:r>
        <w:rPr>
          <w:rtl/>
        </w:rPr>
        <w:t>הכספים ששימשו אותו בהקמתה ומסר התייחסויות מפורטות נוספות</w:t>
      </w:r>
      <w:r>
        <w:rPr>
          <w:rFonts w:hint="cs"/>
          <w:rtl/>
        </w:rPr>
        <w:t xml:space="preserve">, לרבות לעניין </w:t>
      </w:r>
      <w:r>
        <w:rPr>
          <w:rtl/>
        </w:rPr>
        <w:t>משך זמן הפעלת</w:t>
      </w:r>
      <w:r>
        <w:rPr>
          <w:rFonts w:hint="cs"/>
          <w:rtl/>
        </w:rPr>
        <w:t xml:space="preserve"> המעבדה. בנוסף </w:t>
      </w:r>
      <w:r>
        <w:rPr>
          <w:rtl/>
        </w:rPr>
        <w:t xml:space="preserve">הכחיש </w:t>
      </w:r>
      <w:r>
        <w:rPr>
          <w:rFonts w:hint="cs"/>
          <w:rtl/>
        </w:rPr>
        <w:t xml:space="preserve">הנאשם, </w:t>
      </w:r>
      <w:r>
        <w:rPr>
          <w:rtl/>
        </w:rPr>
        <w:t>קטגורית</w:t>
      </w:r>
      <w:r>
        <w:rPr>
          <w:rFonts w:hint="cs"/>
          <w:rtl/>
        </w:rPr>
        <w:t>,</w:t>
      </w:r>
      <w:r>
        <w:rPr>
          <w:rtl/>
        </w:rPr>
        <w:t xml:space="preserve"> כי היו שותפים או מעורבים נוספים ב</w:t>
      </w:r>
      <w:r>
        <w:rPr>
          <w:rFonts w:hint="cs"/>
          <w:rtl/>
        </w:rPr>
        <w:t>מעבד</w:t>
      </w:r>
      <w:r>
        <w:rPr>
          <w:rtl/>
        </w:rPr>
        <w:t>ה.</w:t>
      </w:r>
    </w:p>
    <w:p w14:paraId="41D64207" w14:textId="77777777" w:rsidR="0038149A" w:rsidRPr="0074442D" w:rsidRDefault="0038149A" w:rsidP="0038149A">
      <w:pPr>
        <w:numPr>
          <w:ilvl w:val="0"/>
          <w:numId w:val="1"/>
        </w:numPr>
        <w:spacing w:after="120" w:line="360" w:lineRule="auto"/>
        <w:ind w:left="360"/>
        <w:jc w:val="both"/>
        <w:rPr>
          <w:rFonts w:ascii="Tahoma" w:hAnsi="Tahoma"/>
        </w:rPr>
      </w:pPr>
      <w:r w:rsidRPr="00EC76F5">
        <w:rPr>
          <w:rFonts w:ascii="Tahoma" w:hAnsi="Tahoma" w:hint="cs"/>
          <w:rtl/>
        </w:rPr>
        <w:t xml:space="preserve">על רקע כל אלה </w:t>
      </w:r>
      <w:r w:rsidRPr="00EC76F5">
        <w:rPr>
          <w:rFonts w:ascii="Tahoma" w:hAnsi="Tahoma"/>
          <w:rtl/>
        </w:rPr>
        <w:t>–</w:t>
      </w:r>
      <w:r w:rsidRPr="00EC76F5">
        <w:rPr>
          <w:rFonts w:ascii="Tahoma" w:hAnsi="Tahoma" w:hint="cs"/>
          <w:rtl/>
        </w:rPr>
        <w:t xml:space="preserve"> ובהתחשב במכלול הראיות שהובאו לפני בית המשפט </w:t>
      </w:r>
      <w:r w:rsidRPr="00EC76F5">
        <w:rPr>
          <w:rFonts w:ascii="Tahoma" w:hAnsi="Tahoma"/>
          <w:rtl/>
        </w:rPr>
        <w:t>–</w:t>
      </w:r>
      <w:r w:rsidRPr="00EC76F5">
        <w:rPr>
          <w:rFonts w:ascii="Tahoma" w:hAnsi="Tahoma" w:hint="cs"/>
          <w:rtl/>
        </w:rPr>
        <w:t xml:space="preserve"> נקבע בהכרעת הדין </w:t>
      </w:r>
      <w:r>
        <w:rPr>
          <w:rtl/>
        </w:rPr>
        <w:t>כי הנאשם לא היה בבחינת מסייע גרידא</w:t>
      </w:r>
      <w:r>
        <w:rPr>
          <w:rFonts w:hint="cs"/>
          <w:rtl/>
        </w:rPr>
        <w:t>,</w:t>
      </w:r>
      <w:r>
        <w:rPr>
          <w:rtl/>
        </w:rPr>
        <w:t xml:space="preserve"> לאחר או לאחרים</w:t>
      </w:r>
      <w:r>
        <w:rPr>
          <w:rFonts w:hint="cs"/>
          <w:rtl/>
        </w:rPr>
        <w:t>,</w:t>
      </w:r>
      <w:r>
        <w:rPr>
          <w:rtl/>
        </w:rPr>
        <w:t xml:space="preserve"> אלא בגדר "אדון העבירה"</w:t>
      </w:r>
      <w:r>
        <w:rPr>
          <w:rFonts w:hint="cs"/>
          <w:rtl/>
        </w:rPr>
        <w:t xml:space="preserve"> ממש. זאת, הגם שבקביעה זו </w:t>
      </w:r>
      <w:r>
        <w:rPr>
          <w:rtl/>
        </w:rPr>
        <w:t xml:space="preserve">אין </w:t>
      </w:r>
      <w:r>
        <w:rPr>
          <w:rFonts w:hint="cs"/>
          <w:rtl/>
        </w:rPr>
        <w:t xml:space="preserve">כדי </w:t>
      </w:r>
      <w:r>
        <w:rPr>
          <w:rtl/>
        </w:rPr>
        <w:t xml:space="preserve">לשלול את האפשרות כי מאן </w:t>
      </w:r>
      <w:r>
        <w:rPr>
          <w:rFonts w:hint="cs"/>
          <w:rtl/>
        </w:rPr>
        <w:t>ד</w:t>
      </w:r>
      <w:r>
        <w:rPr>
          <w:rtl/>
        </w:rPr>
        <w:t xml:space="preserve">הוא </w:t>
      </w:r>
      <w:r>
        <w:rPr>
          <w:rFonts w:hint="cs"/>
          <w:rtl/>
        </w:rPr>
        <w:t xml:space="preserve">אמנם </w:t>
      </w:r>
      <w:r>
        <w:rPr>
          <w:rtl/>
        </w:rPr>
        <w:t xml:space="preserve">סייע לנאשם בהקמת המעבדה </w:t>
      </w:r>
      <w:r>
        <w:rPr>
          <w:rFonts w:hint="cs"/>
          <w:rtl/>
        </w:rPr>
        <w:t>א</w:t>
      </w:r>
      <w:r>
        <w:rPr>
          <w:rtl/>
        </w:rPr>
        <w:t>ו</w:t>
      </w:r>
      <w:r>
        <w:rPr>
          <w:rFonts w:hint="cs"/>
          <w:rtl/>
        </w:rPr>
        <w:t xml:space="preserve"> </w:t>
      </w:r>
      <w:r>
        <w:rPr>
          <w:rtl/>
        </w:rPr>
        <w:t>בתפעולה</w:t>
      </w:r>
      <w:r w:rsidRPr="00EC76F5">
        <w:rPr>
          <w:rFonts w:ascii="Tahoma" w:hAnsi="Tahoma" w:hint="cs"/>
          <w:rtl/>
        </w:rPr>
        <w:t xml:space="preserve">, </w:t>
      </w:r>
      <w:r>
        <w:rPr>
          <w:rFonts w:ascii="Tahoma" w:hAnsi="Tahoma" w:hint="cs"/>
          <w:rtl/>
        </w:rPr>
        <w:t xml:space="preserve">כמו גם </w:t>
      </w:r>
      <w:r>
        <w:rPr>
          <w:rtl/>
        </w:rPr>
        <w:t>את האפשרות כי הנאשם ביקש לשבש את החקירה נגד שותף שכזה בהסתרת קיומו ופרטיו</w:t>
      </w:r>
      <w:r>
        <w:rPr>
          <w:rFonts w:hint="cs"/>
          <w:rtl/>
        </w:rPr>
        <w:t xml:space="preserve"> מחוקרי המשטרה (ר' בהכרעת הדין, פסקה 74).</w:t>
      </w:r>
      <w:r>
        <w:rPr>
          <w:rFonts w:ascii="Tahoma" w:hAnsi="Tahoma" w:hint="cs"/>
          <w:rtl/>
        </w:rPr>
        <w:t xml:space="preserve"> עוד יש לציין כי בשולי הכרעת הדין נדחתה בקשת המאשימה </w:t>
      </w:r>
      <w:r>
        <w:rPr>
          <w:rtl/>
        </w:rPr>
        <w:t>להכריז על הנאשם כ"סוחר סמים"</w:t>
      </w:r>
      <w:r>
        <w:rPr>
          <w:rFonts w:hint="cs"/>
          <w:rtl/>
        </w:rPr>
        <w:t xml:space="preserve">, </w:t>
      </w:r>
      <w:r>
        <w:rPr>
          <w:rFonts w:hint="cs"/>
          <w:rtl/>
        </w:rPr>
        <w:lastRenderedPageBreak/>
        <w:t xml:space="preserve">בעיקר משום שסוגיית </w:t>
      </w:r>
      <w:r>
        <w:rPr>
          <w:rtl/>
        </w:rPr>
        <w:t>הרווח שהנאשם הפיק מביצוע העבירות או היה אמור להפיק מ</w:t>
      </w:r>
      <w:r>
        <w:rPr>
          <w:rFonts w:hint="cs"/>
          <w:rtl/>
        </w:rPr>
        <w:t>ביצוען</w:t>
      </w:r>
      <w:r>
        <w:rPr>
          <w:rtl/>
        </w:rPr>
        <w:t xml:space="preserve"> </w:t>
      </w:r>
      <w:r>
        <w:rPr>
          <w:rFonts w:hint="cs"/>
          <w:rtl/>
        </w:rPr>
        <w:t xml:space="preserve">כלל </w:t>
      </w:r>
      <w:r>
        <w:rPr>
          <w:rtl/>
        </w:rPr>
        <w:t xml:space="preserve">לא נדונה במסגרת שמיעת הראיות </w:t>
      </w:r>
      <w:r>
        <w:rPr>
          <w:rFonts w:hint="cs"/>
          <w:rtl/>
        </w:rPr>
        <w:t>(שם, פסקה 84).</w:t>
      </w:r>
    </w:p>
    <w:p w14:paraId="53AFE0C1" w14:textId="77777777" w:rsidR="0038149A" w:rsidRPr="00EC76F5" w:rsidRDefault="0038149A" w:rsidP="0038149A">
      <w:pPr>
        <w:spacing w:after="120" w:line="360" w:lineRule="auto"/>
        <w:jc w:val="both"/>
        <w:rPr>
          <w:rFonts w:ascii="Tahoma" w:hAnsi="Tahoma"/>
          <w:rtl/>
        </w:rPr>
      </w:pPr>
    </w:p>
    <w:p w14:paraId="1D4E40A1" w14:textId="77777777" w:rsidR="0038149A" w:rsidRPr="00DE0478" w:rsidRDefault="0038149A" w:rsidP="0038149A">
      <w:pPr>
        <w:pStyle w:val="a9"/>
        <w:numPr>
          <w:ilvl w:val="0"/>
          <w:numId w:val="2"/>
        </w:numPr>
        <w:spacing w:after="120" w:line="360" w:lineRule="auto"/>
        <w:ind w:left="360"/>
        <w:jc w:val="both"/>
        <w:rPr>
          <w:rFonts w:ascii="Tahoma" w:hAnsi="Tahoma"/>
          <w:b/>
          <w:bCs/>
          <w:u w:val="single"/>
        </w:rPr>
      </w:pPr>
      <w:r>
        <w:rPr>
          <w:rFonts w:ascii="Tahoma" w:hAnsi="Tahoma" w:hint="cs"/>
          <w:b/>
          <w:bCs/>
          <w:u w:val="single"/>
          <w:rtl/>
        </w:rPr>
        <w:t>עיקר טיעוני הצדדים</w:t>
      </w:r>
      <w:r w:rsidRPr="00DE0478">
        <w:rPr>
          <w:rFonts w:ascii="Tahoma" w:hAnsi="Tahoma" w:hint="cs"/>
          <w:b/>
          <w:bCs/>
          <w:u w:val="single"/>
          <w:rtl/>
        </w:rPr>
        <w:t>:</w:t>
      </w:r>
    </w:p>
    <w:p w14:paraId="5E122545" w14:textId="77777777" w:rsidR="0038149A" w:rsidRPr="00B0752D" w:rsidRDefault="0038149A" w:rsidP="0038149A">
      <w:pPr>
        <w:numPr>
          <w:ilvl w:val="0"/>
          <w:numId w:val="1"/>
        </w:numPr>
        <w:spacing w:after="120" w:line="360" w:lineRule="auto"/>
        <w:ind w:left="360"/>
        <w:jc w:val="both"/>
        <w:rPr>
          <w:rFonts w:ascii="Tahoma" w:hAnsi="Tahoma"/>
        </w:rPr>
      </w:pPr>
      <w:r w:rsidRPr="00B0752D">
        <w:rPr>
          <w:rFonts w:ascii="Tahoma" w:hAnsi="Tahoma" w:hint="cs"/>
          <w:rtl/>
        </w:rPr>
        <w:t xml:space="preserve">ב"כ המאשימה לא הגישה ראיות לקביעת העונש. מנגד, ב"כ הנאשם הגיש, כראיות לקביעת העונש, את המסמכים הבאים: (א) תעודת הגירושין </w:t>
      </w:r>
      <w:r>
        <w:rPr>
          <w:rFonts w:ascii="Tahoma" w:hAnsi="Tahoma" w:hint="cs"/>
          <w:rtl/>
        </w:rPr>
        <w:t xml:space="preserve">של הנאשם </w:t>
      </w:r>
      <w:r w:rsidRPr="00B0752D">
        <w:rPr>
          <w:rFonts w:ascii="Tahoma" w:hAnsi="Tahoma" w:hint="cs"/>
          <w:rtl/>
        </w:rPr>
        <w:t>(מיום 12.12.2019)</w:t>
      </w:r>
      <w:r>
        <w:rPr>
          <w:rFonts w:ascii="Tahoma" w:hAnsi="Tahoma" w:hint="cs"/>
          <w:rtl/>
        </w:rPr>
        <w:t xml:space="preserve"> (סומנה ס/1);</w:t>
      </w:r>
      <w:r w:rsidRPr="00B0752D">
        <w:rPr>
          <w:rFonts w:ascii="Tahoma" w:hAnsi="Tahoma" w:hint="cs"/>
          <w:rtl/>
        </w:rPr>
        <w:t xml:space="preserve"> (ב) דוחות </w:t>
      </w:r>
      <w:r>
        <w:rPr>
          <w:rFonts w:ascii="Tahoma" w:hAnsi="Tahoma" w:hint="cs"/>
          <w:rtl/>
        </w:rPr>
        <w:t>אודות תיקי הנאשם ב</w:t>
      </w:r>
      <w:r w:rsidRPr="00B0752D">
        <w:rPr>
          <w:rFonts w:ascii="Tahoma" w:hAnsi="Tahoma" w:hint="cs"/>
          <w:rtl/>
        </w:rPr>
        <w:t>מערכת ההוצאה לפועל (מיום 10.01.2022)</w:t>
      </w:r>
      <w:r>
        <w:rPr>
          <w:rFonts w:ascii="Tahoma" w:hAnsi="Tahoma" w:hint="cs"/>
          <w:rtl/>
        </w:rPr>
        <w:t xml:space="preserve"> (סומנו ס/2); (ג)</w:t>
      </w:r>
      <w:r w:rsidRPr="00B0752D">
        <w:rPr>
          <w:rFonts w:ascii="Tahoma" w:hAnsi="Tahoma" w:hint="cs"/>
          <w:rtl/>
        </w:rPr>
        <w:t xml:space="preserve"> </w:t>
      </w:r>
      <w:r>
        <w:rPr>
          <w:rFonts w:ascii="Tahoma" w:hAnsi="Tahoma" w:hint="cs"/>
          <w:rtl/>
        </w:rPr>
        <w:t>שלושה מסמכים</w:t>
      </w:r>
      <w:r w:rsidRPr="00B0752D">
        <w:rPr>
          <w:rFonts w:ascii="Tahoma" w:hAnsi="Tahoma" w:hint="cs"/>
          <w:rtl/>
        </w:rPr>
        <w:t xml:space="preserve"> בעניין </w:t>
      </w:r>
      <w:r>
        <w:rPr>
          <w:rFonts w:ascii="Tahoma" w:hAnsi="Tahoma" w:hint="cs"/>
          <w:rtl/>
        </w:rPr>
        <w:t xml:space="preserve">מצבו הרפואי של </w:t>
      </w:r>
      <w:r w:rsidRPr="00B0752D">
        <w:rPr>
          <w:rFonts w:ascii="Tahoma" w:hAnsi="Tahoma" w:hint="cs"/>
          <w:rtl/>
        </w:rPr>
        <w:t>אביו של הנאשם (מיום 27.10.2021</w:t>
      </w:r>
      <w:r>
        <w:rPr>
          <w:rFonts w:ascii="Tahoma" w:hAnsi="Tahoma" w:hint="cs"/>
          <w:rtl/>
        </w:rPr>
        <w:t xml:space="preserve">, מיום </w:t>
      </w:r>
      <w:r w:rsidRPr="00B0752D">
        <w:rPr>
          <w:rFonts w:ascii="Tahoma" w:hAnsi="Tahoma" w:hint="cs"/>
          <w:rtl/>
        </w:rPr>
        <w:t xml:space="preserve">02.01.2022 ומיום 29.12.2021) </w:t>
      </w:r>
      <w:r>
        <w:rPr>
          <w:rFonts w:ascii="Tahoma" w:hAnsi="Tahoma" w:hint="cs"/>
          <w:rtl/>
        </w:rPr>
        <w:t xml:space="preserve">(סומנו ס/3 עד </w:t>
      </w:r>
      <w:r w:rsidRPr="00B0752D">
        <w:rPr>
          <w:rFonts w:ascii="Tahoma" w:hAnsi="Tahoma" w:hint="cs"/>
          <w:rtl/>
        </w:rPr>
        <w:t>ס/5).</w:t>
      </w:r>
    </w:p>
    <w:p w14:paraId="792CBE86" w14:textId="77777777" w:rsidR="0038149A" w:rsidRDefault="0038149A" w:rsidP="0038149A">
      <w:pPr>
        <w:numPr>
          <w:ilvl w:val="0"/>
          <w:numId w:val="1"/>
        </w:numPr>
        <w:spacing w:after="120" w:line="360" w:lineRule="auto"/>
        <w:ind w:left="360"/>
        <w:jc w:val="both"/>
        <w:rPr>
          <w:rFonts w:ascii="Tahoma" w:hAnsi="Tahoma"/>
          <w:rtl/>
        </w:rPr>
      </w:pPr>
      <w:r w:rsidRPr="00B0752D">
        <w:rPr>
          <w:rFonts w:ascii="Tahoma" w:hAnsi="Tahoma" w:hint="cs"/>
          <w:rtl/>
        </w:rPr>
        <w:t xml:space="preserve">בטיעוניה </w:t>
      </w:r>
      <w:r>
        <w:rPr>
          <w:rFonts w:ascii="Tahoma" w:hAnsi="Tahoma" w:hint="cs"/>
          <w:rtl/>
        </w:rPr>
        <w:t xml:space="preserve">לעונש </w:t>
      </w:r>
      <w:r w:rsidRPr="00B0752D">
        <w:rPr>
          <w:rFonts w:ascii="Tahoma" w:hAnsi="Tahoma" w:hint="cs"/>
          <w:rtl/>
        </w:rPr>
        <w:t xml:space="preserve">עמדה ב"כ המאשימה על עובדות </w:t>
      </w:r>
      <w:r>
        <w:rPr>
          <w:rFonts w:ascii="Tahoma" w:hAnsi="Tahoma" w:hint="cs"/>
          <w:rtl/>
        </w:rPr>
        <w:t xml:space="preserve">האירוע מושא </w:t>
      </w:r>
      <w:r w:rsidRPr="00B0752D">
        <w:rPr>
          <w:rFonts w:ascii="Tahoma" w:hAnsi="Tahoma" w:hint="cs"/>
          <w:rtl/>
        </w:rPr>
        <w:t xml:space="preserve">כתב האישום, </w:t>
      </w:r>
      <w:r>
        <w:rPr>
          <w:rFonts w:ascii="Tahoma" w:hAnsi="Tahoma" w:hint="cs"/>
          <w:rtl/>
        </w:rPr>
        <w:t xml:space="preserve">כפי שנקבעו בהכרעת הדין. ב"כ המאשימה הדגישה במיוחד את ההיקף המשמעותי של המעבדה, בה גידל הנאשם </w:t>
      </w:r>
      <w:r w:rsidRPr="00DA2B43">
        <w:rPr>
          <w:rFonts w:ascii="Tahoma" w:hAnsi="Tahoma" w:hint="cs"/>
          <w:b/>
          <w:bCs/>
          <w:rtl/>
        </w:rPr>
        <w:t>127 שתילים</w:t>
      </w:r>
      <w:r w:rsidRPr="007776DA">
        <w:rPr>
          <w:rFonts w:ascii="Tahoma" w:hAnsi="Tahoma" w:hint="cs"/>
          <w:rtl/>
        </w:rPr>
        <w:t xml:space="preserve"> </w:t>
      </w:r>
      <w:r>
        <w:rPr>
          <w:rFonts w:ascii="Tahoma" w:hAnsi="Tahoma" w:hint="cs"/>
          <w:rtl/>
        </w:rPr>
        <w:t>של סמים מסוכנים מסוג קנבוס</w:t>
      </w:r>
      <w:r w:rsidRPr="007776DA">
        <w:rPr>
          <w:rFonts w:ascii="Tahoma" w:hAnsi="Tahoma" w:hint="cs"/>
          <w:rtl/>
        </w:rPr>
        <w:t xml:space="preserve"> במשקל כולל </w:t>
      </w:r>
      <w:r>
        <w:rPr>
          <w:rFonts w:ascii="Tahoma" w:hAnsi="Tahoma" w:hint="cs"/>
          <w:rtl/>
        </w:rPr>
        <w:t xml:space="preserve">(כולל סמים נוספים שהחזיק) </w:t>
      </w:r>
      <w:r w:rsidRPr="007776DA">
        <w:rPr>
          <w:rFonts w:ascii="Tahoma" w:hAnsi="Tahoma" w:hint="cs"/>
          <w:rtl/>
        </w:rPr>
        <w:t xml:space="preserve">של </w:t>
      </w:r>
      <w:r w:rsidRPr="007776DA">
        <w:rPr>
          <w:rFonts w:ascii="Tahoma" w:hAnsi="Tahoma" w:hint="cs"/>
          <w:b/>
          <w:bCs/>
          <w:rtl/>
        </w:rPr>
        <w:t>32.7 ק"ג נטו</w:t>
      </w:r>
      <w:r>
        <w:rPr>
          <w:rFonts w:ascii="Tahoma" w:hAnsi="Tahoma" w:hint="cs"/>
          <w:rtl/>
        </w:rPr>
        <w:t xml:space="preserve">. עוד הדגישה ב"כ המאשימה את התכנון וההכנות שנדרשו לצורך הקמת המעבדה, לרבות ברכישת ציוד ייעודי רב </w:t>
      </w:r>
      <w:r w:rsidRPr="00B0752D">
        <w:rPr>
          <w:rFonts w:ascii="Tahoma" w:hAnsi="Tahoma" w:hint="cs"/>
          <w:rtl/>
        </w:rPr>
        <w:t>שכלל דשנים, מאווררים, מנורות ושנאים.</w:t>
      </w:r>
    </w:p>
    <w:p w14:paraId="4496218D" w14:textId="77777777" w:rsidR="0038149A" w:rsidRDefault="0038149A" w:rsidP="0038149A">
      <w:pPr>
        <w:numPr>
          <w:ilvl w:val="0"/>
          <w:numId w:val="1"/>
        </w:numPr>
        <w:spacing w:after="120" w:line="360" w:lineRule="auto"/>
        <w:ind w:left="360"/>
        <w:jc w:val="both"/>
        <w:rPr>
          <w:rFonts w:ascii="Tahoma" w:hAnsi="Tahoma"/>
        </w:rPr>
      </w:pPr>
      <w:r w:rsidRPr="00B0752D">
        <w:rPr>
          <w:rFonts w:ascii="Tahoma" w:hAnsi="Tahoma" w:hint="cs"/>
          <w:rtl/>
        </w:rPr>
        <w:t>אשר לערכים החברתיים</w:t>
      </w:r>
      <w:r>
        <w:rPr>
          <w:rFonts w:ascii="Tahoma" w:hAnsi="Tahoma" w:hint="cs"/>
          <w:rtl/>
        </w:rPr>
        <w:t>,</w:t>
      </w:r>
      <w:r w:rsidRPr="00B0752D">
        <w:rPr>
          <w:rFonts w:ascii="Tahoma" w:hAnsi="Tahoma" w:hint="cs"/>
          <w:rtl/>
        </w:rPr>
        <w:t xml:space="preserve"> שנפגעו כתולדה ממעשי הנאשם, ציינה </w:t>
      </w:r>
      <w:r>
        <w:rPr>
          <w:rFonts w:ascii="Tahoma" w:hAnsi="Tahoma" w:hint="cs"/>
          <w:rtl/>
        </w:rPr>
        <w:t xml:space="preserve">ב"כ המאשימה את ההגנה על </w:t>
      </w:r>
      <w:r w:rsidRPr="00B0752D">
        <w:rPr>
          <w:rFonts w:ascii="Tahoma" w:hAnsi="Tahoma" w:hint="cs"/>
          <w:rtl/>
        </w:rPr>
        <w:t xml:space="preserve">בריאות </w:t>
      </w:r>
      <w:r>
        <w:rPr>
          <w:rFonts w:ascii="Tahoma" w:hAnsi="Tahoma" w:hint="cs"/>
          <w:rtl/>
        </w:rPr>
        <w:t xml:space="preserve">הציבור ואת ההגנה על הציבור מפני ביצוע העבירות המצטרפות לגידול סמים, לרבות הסחר בהם על כל הנלווה לכך. עוד הטעימה </w:t>
      </w:r>
      <w:r w:rsidRPr="00B0752D">
        <w:rPr>
          <w:rFonts w:ascii="Tahoma" w:hAnsi="Tahoma" w:hint="cs"/>
          <w:rtl/>
        </w:rPr>
        <w:t xml:space="preserve">ב"כ המאשימה </w:t>
      </w:r>
      <w:r>
        <w:rPr>
          <w:rFonts w:ascii="Tahoma" w:hAnsi="Tahoma" w:hint="cs"/>
          <w:rtl/>
        </w:rPr>
        <w:t>את גניבת החשמל, באמצעות עקיפת המונה, מעשה שאף יצר סיכון חמור למבנה כולו בשל האפשרות לגרימת שריפה.</w:t>
      </w:r>
    </w:p>
    <w:p w14:paraId="4E91F643" w14:textId="77777777" w:rsidR="0038149A" w:rsidRDefault="0038149A" w:rsidP="0038149A">
      <w:pPr>
        <w:numPr>
          <w:ilvl w:val="0"/>
          <w:numId w:val="1"/>
        </w:numPr>
        <w:spacing w:after="120" w:line="360" w:lineRule="auto"/>
        <w:ind w:left="360"/>
        <w:jc w:val="both"/>
        <w:rPr>
          <w:rFonts w:ascii="Tahoma" w:hAnsi="Tahoma"/>
        </w:rPr>
      </w:pPr>
      <w:r w:rsidRPr="00E20374">
        <w:rPr>
          <w:rFonts w:ascii="Tahoma" w:hAnsi="Tahoma" w:hint="cs"/>
          <w:rtl/>
        </w:rPr>
        <w:t>לעניין מדיניות הענישה הנהוגה הגישה ב"כ המאשימה קלסר פסיקה</w:t>
      </w:r>
      <w:r>
        <w:rPr>
          <w:rFonts w:ascii="Tahoma" w:hAnsi="Tahoma" w:hint="cs"/>
          <w:rtl/>
        </w:rPr>
        <w:t xml:space="preserve"> הכולל אסמכתאות שונות. במיוחד הדגישה התובעת את המקרה מושא </w:t>
      </w:r>
      <w:hyperlink r:id="rId29" w:history="1">
        <w:r w:rsidR="0079746C" w:rsidRPr="0079746C">
          <w:rPr>
            <w:rFonts w:ascii="Tahoma" w:hAnsi="Tahoma"/>
            <w:color w:val="0000FF"/>
            <w:u w:val="single"/>
            <w:rtl/>
          </w:rPr>
          <w:t>רע"פ 3097/22</w:t>
        </w:r>
      </w:hyperlink>
      <w:r w:rsidRPr="00F12D35">
        <w:rPr>
          <w:rFonts w:ascii="Tahoma" w:hAnsi="Tahoma"/>
          <w:b/>
          <w:bCs/>
          <w:rtl/>
        </w:rPr>
        <w:t xml:space="preserve"> פפו נ' מדינת ישראל</w:t>
      </w:r>
      <w:r w:rsidR="0079746C">
        <w:rPr>
          <w:rFonts w:ascii="Tahoma" w:hAnsi="Tahoma"/>
          <w:rtl/>
        </w:rPr>
        <w:t xml:space="preserve"> </w:t>
      </w:r>
      <w:r w:rsidRPr="00F12D35">
        <w:rPr>
          <w:rFonts w:ascii="Tahoma" w:hAnsi="Tahoma"/>
          <w:rtl/>
        </w:rPr>
        <w:t>(10.05.2022)</w:t>
      </w:r>
      <w:r>
        <w:rPr>
          <w:rFonts w:ascii="Tahoma" w:hAnsi="Tahoma" w:hint="cs"/>
          <w:rtl/>
        </w:rPr>
        <w:t xml:space="preserve"> בו נקבע בגין עבירות דומות </w:t>
      </w:r>
      <w:r>
        <w:rPr>
          <w:rFonts w:ascii="Tahoma" w:hAnsi="Tahoma"/>
          <w:rtl/>
        </w:rPr>
        <w:t>–</w:t>
      </w:r>
      <w:r>
        <w:rPr>
          <w:rFonts w:ascii="Tahoma" w:hAnsi="Tahoma" w:hint="cs"/>
          <w:rtl/>
        </w:rPr>
        <w:t xml:space="preserve"> גם במהותן וגם בהיקפן, הגם שללא גניבת חשמל </w:t>
      </w:r>
      <w:r>
        <w:rPr>
          <w:rFonts w:ascii="Tahoma" w:hAnsi="Tahoma"/>
          <w:rtl/>
        </w:rPr>
        <w:t>–</w:t>
      </w:r>
      <w:r>
        <w:rPr>
          <w:rFonts w:ascii="Tahoma" w:hAnsi="Tahoma" w:hint="cs"/>
          <w:rtl/>
        </w:rPr>
        <w:t xml:space="preserve"> </w:t>
      </w:r>
      <w:r w:rsidRPr="00F12D35">
        <w:rPr>
          <w:rFonts w:ascii="Tahoma" w:hAnsi="Tahoma" w:hint="cs"/>
          <w:rtl/>
        </w:rPr>
        <w:t>מתחם עונש הולם שבין 15 חודשי מאסר בפועל לבין 30 חודשי מאסר בפועל. עוד הפנתה ב"כ המאשימה</w:t>
      </w:r>
      <w:r>
        <w:rPr>
          <w:rFonts w:ascii="Tahoma" w:hAnsi="Tahoma" w:hint="cs"/>
          <w:rtl/>
        </w:rPr>
        <w:t xml:space="preserve"> </w:t>
      </w:r>
      <w:r w:rsidRPr="00F12D35">
        <w:rPr>
          <w:rFonts w:ascii="Tahoma" w:hAnsi="Tahoma" w:hint="cs"/>
          <w:rtl/>
        </w:rPr>
        <w:t>ל</w:t>
      </w:r>
      <w:hyperlink r:id="rId30" w:history="1">
        <w:r w:rsidR="0079746C" w:rsidRPr="0079746C">
          <w:rPr>
            <w:rFonts w:ascii="Tahoma" w:hAnsi="Tahoma"/>
            <w:color w:val="0000FF"/>
            <w:u w:val="single"/>
            <w:rtl/>
          </w:rPr>
          <w:t>רע"פ 6041/18</w:t>
        </w:r>
      </w:hyperlink>
      <w:r w:rsidRPr="00F12D35">
        <w:rPr>
          <w:rFonts w:ascii="Tahoma" w:hAnsi="Tahoma" w:hint="cs"/>
          <w:rtl/>
        </w:rPr>
        <w:t xml:space="preserve"> </w:t>
      </w:r>
      <w:r w:rsidRPr="00F12D35">
        <w:rPr>
          <w:rFonts w:ascii="Tahoma" w:hAnsi="Tahoma" w:hint="cs"/>
          <w:b/>
          <w:bCs/>
          <w:rtl/>
        </w:rPr>
        <w:t>כהן נ' מדינת ישראל</w:t>
      </w:r>
      <w:r w:rsidRPr="00F12D35">
        <w:rPr>
          <w:rFonts w:ascii="Tahoma" w:hAnsi="Tahoma" w:hint="cs"/>
          <w:rtl/>
        </w:rPr>
        <w:t xml:space="preserve"> (22.10.2018). </w:t>
      </w:r>
      <w:r>
        <w:rPr>
          <w:rFonts w:ascii="Tahoma" w:hAnsi="Tahoma" w:hint="cs"/>
          <w:rtl/>
        </w:rPr>
        <w:t xml:space="preserve">באותו מקרה דובר במעבדה לגידול קנבוס שבה נתפסו סמים מסוכנים </w:t>
      </w:r>
      <w:r w:rsidRPr="00F12D35">
        <w:rPr>
          <w:rFonts w:ascii="Tahoma" w:hAnsi="Tahoma"/>
          <w:rtl/>
        </w:rPr>
        <w:t>במשקל של 39.5503 ק"ג ו</w:t>
      </w:r>
      <w:r>
        <w:rPr>
          <w:rFonts w:ascii="Tahoma" w:hAnsi="Tahoma" w:hint="cs"/>
          <w:rtl/>
        </w:rPr>
        <w:t>אף בוצעה גניבת חשמל, ונקבע מתחם עונש הולם שבין 18 חודשי מאסר בפועל לבין 36 חודשי מאסר בפועל. ב"כ המאשימה עתרה לאימוץ מתחם זה גם בענייננו.</w:t>
      </w:r>
    </w:p>
    <w:p w14:paraId="50A15296" w14:textId="77777777" w:rsidR="0038149A" w:rsidRDefault="0038149A" w:rsidP="0038149A">
      <w:pPr>
        <w:numPr>
          <w:ilvl w:val="0"/>
          <w:numId w:val="1"/>
        </w:numPr>
        <w:spacing w:after="120" w:line="360" w:lineRule="auto"/>
        <w:ind w:left="360"/>
        <w:jc w:val="both"/>
        <w:rPr>
          <w:rFonts w:ascii="Tahoma" w:hAnsi="Tahoma"/>
        </w:rPr>
      </w:pPr>
      <w:r w:rsidRPr="00F12D35">
        <w:rPr>
          <w:rFonts w:ascii="Tahoma" w:hAnsi="Tahoma" w:hint="cs"/>
          <w:rtl/>
        </w:rPr>
        <w:t xml:space="preserve">אשר לגזירת עונשו של הנאשם בתוך מתחם העונש ההולם ציינה ב"כ המאשימה </w:t>
      </w:r>
      <w:r>
        <w:rPr>
          <w:rFonts w:ascii="Tahoma" w:hAnsi="Tahoma" w:hint="cs"/>
          <w:rtl/>
        </w:rPr>
        <w:t xml:space="preserve">כי </w:t>
      </w:r>
      <w:r w:rsidRPr="00F12D35">
        <w:rPr>
          <w:rFonts w:ascii="Tahoma" w:hAnsi="Tahoma" w:hint="cs"/>
          <w:rtl/>
        </w:rPr>
        <w:t xml:space="preserve">מדובר בנאשם שלא נטל אחריות על מעשיו וניהל </w:t>
      </w:r>
      <w:r>
        <w:rPr>
          <w:rFonts w:ascii="Tahoma" w:hAnsi="Tahoma" w:hint="cs"/>
          <w:rtl/>
        </w:rPr>
        <w:t xml:space="preserve">את </w:t>
      </w:r>
      <w:r w:rsidRPr="00F12D35">
        <w:rPr>
          <w:rFonts w:ascii="Tahoma" w:hAnsi="Tahoma" w:hint="cs"/>
          <w:rtl/>
        </w:rPr>
        <w:t xml:space="preserve">משפט במלואו, </w:t>
      </w:r>
      <w:r>
        <w:rPr>
          <w:rFonts w:ascii="Tahoma" w:hAnsi="Tahoma" w:hint="cs"/>
          <w:rtl/>
        </w:rPr>
        <w:t xml:space="preserve">אך גם בנאשם ללא עבר פלילי ואב לילד קטן. בנסיבות אלה עתרה ב"כ המאשימה למיקום הנאשם </w:t>
      </w:r>
      <w:r w:rsidRPr="00F12D35">
        <w:rPr>
          <w:rFonts w:ascii="Tahoma" w:hAnsi="Tahoma" w:hint="cs"/>
          <w:rtl/>
        </w:rPr>
        <w:t xml:space="preserve">בשליש התחתון של מתחם העונש </w:t>
      </w:r>
      <w:r>
        <w:rPr>
          <w:rFonts w:ascii="Tahoma" w:hAnsi="Tahoma" w:hint="cs"/>
          <w:rtl/>
        </w:rPr>
        <w:t xml:space="preserve">ההולם </w:t>
      </w:r>
      <w:r w:rsidRPr="00F12D35">
        <w:rPr>
          <w:rFonts w:ascii="Tahoma" w:hAnsi="Tahoma" w:hint="cs"/>
          <w:rtl/>
        </w:rPr>
        <w:t xml:space="preserve">לו טענה, לצד השתת ענישה נלווית בדמות מאסר על תנאי וקנס כספי. </w:t>
      </w:r>
    </w:p>
    <w:p w14:paraId="57EA340F" w14:textId="77777777" w:rsidR="0038149A" w:rsidRPr="0074442D" w:rsidRDefault="0038149A" w:rsidP="0038149A">
      <w:pPr>
        <w:numPr>
          <w:ilvl w:val="0"/>
          <w:numId w:val="1"/>
        </w:numPr>
        <w:spacing w:after="120" w:line="360" w:lineRule="auto"/>
        <w:ind w:left="360"/>
        <w:jc w:val="both"/>
        <w:rPr>
          <w:rFonts w:ascii="Tahoma" w:hAnsi="Tahoma"/>
        </w:rPr>
      </w:pPr>
      <w:r w:rsidRPr="0074442D">
        <w:rPr>
          <w:rFonts w:ascii="Tahoma" w:hAnsi="Tahoma" w:hint="cs"/>
          <w:rtl/>
        </w:rPr>
        <w:t>ב"כ הנאשם, מצידו, הרחיב בטיעוניו וביקש בכל לשון של בקשה להקל עם מרשו</w:t>
      </w:r>
      <w:r>
        <w:rPr>
          <w:rFonts w:ascii="Tahoma" w:hAnsi="Tahoma" w:hint="cs"/>
          <w:rtl/>
        </w:rPr>
        <w:t xml:space="preserve"> ולהימנע משליחתו למאסר מאחורי סורג ובריח</w:t>
      </w:r>
      <w:r w:rsidRPr="0074442D">
        <w:rPr>
          <w:rFonts w:ascii="Tahoma" w:hAnsi="Tahoma" w:hint="cs"/>
          <w:rtl/>
        </w:rPr>
        <w:t xml:space="preserve">. ב"כ הנאשם ביקש ללמוד משינויי החקיקה האחרונים </w:t>
      </w:r>
      <w:r w:rsidRPr="0074442D">
        <w:rPr>
          <w:rFonts w:ascii="Tahoma" w:hAnsi="Tahoma"/>
          <w:rtl/>
        </w:rPr>
        <w:t>–</w:t>
      </w:r>
      <w:r w:rsidRPr="0074442D">
        <w:rPr>
          <w:rFonts w:ascii="Tahoma" w:hAnsi="Tahoma" w:hint="cs"/>
          <w:rtl/>
        </w:rPr>
        <w:t xml:space="preserve"> לעניין החזקת סמים מסוכנים מסוג קנבוס לשימוש עצמי </w:t>
      </w:r>
      <w:r w:rsidRPr="0074442D">
        <w:rPr>
          <w:rFonts w:ascii="Tahoma" w:hAnsi="Tahoma"/>
          <w:rtl/>
        </w:rPr>
        <w:t>–</w:t>
      </w:r>
      <w:r w:rsidRPr="0074442D">
        <w:rPr>
          <w:rFonts w:ascii="Tahoma" w:hAnsi="Tahoma" w:hint="cs"/>
          <w:rtl/>
        </w:rPr>
        <w:t xml:space="preserve"> </w:t>
      </w:r>
      <w:r>
        <w:rPr>
          <w:rFonts w:ascii="Tahoma" w:hAnsi="Tahoma" w:hint="cs"/>
          <w:rtl/>
        </w:rPr>
        <w:t>כי</w:t>
      </w:r>
      <w:r w:rsidRPr="0074442D">
        <w:rPr>
          <w:rFonts w:ascii="Tahoma" w:hAnsi="Tahoma" w:hint="cs"/>
          <w:rtl/>
        </w:rPr>
        <w:t xml:space="preserve"> במעשי הנאשם</w:t>
      </w:r>
      <w:r>
        <w:rPr>
          <w:rFonts w:ascii="Tahoma" w:hAnsi="Tahoma" w:hint="cs"/>
          <w:rtl/>
        </w:rPr>
        <w:t>, שעניינם היה בגידול סמים מסוג זה,</w:t>
      </w:r>
      <w:r w:rsidRPr="0074442D">
        <w:rPr>
          <w:rFonts w:ascii="Tahoma" w:hAnsi="Tahoma" w:hint="cs"/>
          <w:rtl/>
        </w:rPr>
        <w:t xml:space="preserve"> </w:t>
      </w:r>
      <w:r>
        <w:rPr>
          <w:rFonts w:ascii="Tahoma" w:hAnsi="Tahoma" w:hint="cs"/>
          <w:rtl/>
        </w:rPr>
        <w:t xml:space="preserve">לא היתה משום </w:t>
      </w:r>
      <w:r w:rsidRPr="0074442D">
        <w:rPr>
          <w:rFonts w:ascii="Tahoma" w:hAnsi="Tahoma" w:hint="cs"/>
          <w:rtl/>
        </w:rPr>
        <w:t xml:space="preserve">פגיעה משמעותית </w:t>
      </w:r>
      <w:r>
        <w:rPr>
          <w:rFonts w:ascii="Tahoma" w:hAnsi="Tahoma" w:hint="cs"/>
          <w:rtl/>
        </w:rPr>
        <w:t xml:space="preserve">או ניכרת </w:t>
      </w:r>
      <w:r w:rsidRPr="0074442D">
        <w:rPr>
          <w:rFonts w:ascii="Tahoma" w:hAnsi="Tahoma" w:hint="cs"/>
          <w:rtl/>
        </w:rPr>
        <w:t xml:space="preserve">בערכים החברתיים המוגנים. </w:t>
      </w:r>
      <w:r>
        <w:rPr>
          <w:rFonts w:ascii="Tahoma" w:hAnsi="Tahoma" w:hint="cs"/>
          <w:rtl/>
        </w:rPr>
        <w:t>עוד ביקש ב"כ הנאשם</w:t>
      </w:r>
      <w:r w:rsidRPr="0074442D">
        <w:rPr>
          <w:rFonts w:ascii="Tahoma" w:hAnsi="Tahoma" w:hint="cs"/>
          <w:rtl/>
        </w:rPr>
        <w:t xml:space="preserve"> ללמוד נסיב</w:t>
      </w:r>
      <w:r>
        <w:rPr>
          <w:rFonts w:ascii="Tahoma" w:hAnsi="Tahoma" w:hint="cs"/>
          <w:rtl/>
        </w:rPr>
        <w:t>ו</w:t>
      </w:r>
      <w:r w:rsidRPr="0074442D">
        <w:rPr>
          <w:rFonts w:ascii="Tahoma" w:hAnsi="Tahoma" w:hint="cs"/>
          <w:rtl/>
        </w:rPr>
        <w:t xml:space="preserve">ת קולה מהקביעה בהכרעת הדין, שלפיה לא ניתן לשלול כי מאן דהוא כזה או אחר סייע לנאשם, כמו גם מהקביעה כי לא הוכח שהנאשם הפיק רווח מביצוע העבירות (ר' בפרוטוקול, עמ' </w:t>
      </w:r>
      <w:r>
        <w:rPr>
          <w:rFonts w:ascii="Tahoma" w:hAnsi="Tahoma" w:hint="cs"/>
          <w:rtl/>
        </w:rPr>
        <w:t>98 שורה 26 ואילך</w:t>
      </w:r>
      <w:r w:rsidRPr="0074442D">
        <w:rPr>
          <w:rFonts w:ascii="Tahoma" w:hAnsi="Tahoma" w:hint="cs"/>
          <w:rtl/>
        </w:rPr>
        <w:t>).</w:t>
      </w:r>
    </w:p>
    <w:p w14:paraId="4EDC0F0C" w14:textId="77777777" w:rsidR="0038149A" w:rsidRDefault="0038149A" w:rsidP="0038149A">
      <w:pPr>
        <w:numPr>
          <w:ilvl w:val="0"/>
          <w:numId w:val="1"/>
        </w:numPr>
        <w:spacing w:after="120" w:line="360" w:lineRule="auto"/>
        <w:ind w:left="360"/>
        <w:jc w:val="both"/>
        <w:rPr>
          <w:rFonts w:ascii="Tahoma" w:hAnsi="Tahoma"/>
        </w:rPr>
      </w:pPr>
      <w:r>
        <w:rPr>
          <w:rFonts w:ascii="Tahoma" w:hAnsi="Tahoma" w:hint="cs"/>
          <w:rtl/>
        </w:rPr>
        <w:t xml:space="preserve">הסניגור אמנם ער לכך שהקמת מעבדה </w:t>
      </w:r>
      <w:r>
        <w:rPr>
          <w:rFonts w:ascii="Tahoma" w:hAnsi="Tahoma"/>
          <w:rtl/>
        </w:rPr>
        <w:t>–</w:t>
      </w:r>
      <w:r>
        <w:rPr>
          <w:rFonts w:ascii="Tahoma" w:hAnsi="Tahoma" w:hint="cs"/>
          <w:rtl/>
        </w:rPr>
        <w:t xml:space="preserve"> כגון זו בה עסקינן </w:t>
      </w:r>
      <w:r>
        <w:rPr>
          <w:rFonts w:ascii="Tahoma" w:hAnsi="Tahoma"/>
          <w:rtl/>
        </w:rPr>
        <w:t>–</w:t>
      </w:r>
      <w:r>
        <w:rPr>
          <w:rFonts w:ascii="Tahoma" w:hAnsi="Tahoma" w:hint="cs"/>
          <w:rtl/>
        </w:rPr>
        <w:t xml:space="preserve"> נדרשת לתכנון ולהכנה. עם זאת, בד בבד הוסיף הסניגור וטען כי </w:t>
      </w:r>
      <w:r w:rsidRPr="00DE366F">
        <w:rPr>
          <w:rFonts w:ascii="Tahoma" w:hAnsi="Tahoma" w:hint="cs"/>
          <w:rtl/>
        </w:rPr>
        <w:t>לא מדובר במעבדה "מתוחכמת", שאף ספק אם ניתן להגדירה</w:t>
      </w:r>
      <w:r>
        <w:rPr>
          <w:rFonts w:ascii="Tahoma" w:hAnsi="Tahoma" w:hint="cs"/>
          <w:rtl/>
        </w:rPr>
        <w:t xml:space="preserve"> כ"מעבדה";</w:t>
      </w:r>
      <w:r w:rsidRPr="00DE366F">
        <w:rPr>
          <w:rFonts w:ascii="Tahoma" w:hAnsi="Tahoma" w:hint="cs"/>
          <w:rtl/>
        </w:rPr>
        <w:t xml:space="preserve"> ומכל מקום אינה מעבדה שלהקמתה נדרשו סכומי כסף גדולים כפי שנקבע במקרים אחרים שנדונו בפ</w:t>
      </w:r>
      <w:r>
        <w:rPr>
          <w:rFonts w:ascii="Tahoma" w:hAnsi="Tahoma" w:hint="cs"/>
          <w:rtl/>
        </w:rPr>
        <w:t xml:space="preserve">סיקה. בהקשר זה הפנה ב"כ הנאשם למקרה מושא </w:t>
      </w:r>
      <w:hyperlink r:id="rId31" w:history="1">
        <w:r w:rsidR="0079746C" w:rsidRPr="0079746C">
          <w:rPr>
            <w:rFonts w:ascii="Tahoma" w:hAnsi="Tahoma"/>
            <w:color w:val="0000FF"/>
            <w:u w:val="single"/>
            <w:rtl/>
          </w:rPr>
          <w:t>רע"פ 5293/18</w:t>
        </w:r>
      </w:hyperlink>
      <w:r w:rsidRPr="00DE366F">
        <w:rPr>
          <w:rFonts w:ascii="Tahoma" w:hAnsi="Tahoma" w:hint="cs"/>
          <w:rtl/>
        </w:rPr>
        <w:t xml:space="preserve"> </w:t>
      </w:r>
      <w:r w:rsidRPr="00DE366F">
        <w:rPr>
          <w:rFonts w:ascii="Tahoma" w:hAnsi="Tahoma" w:hint="cs"/>
          <w:b/>
          <w:bCs/>
          <w:rtl/>
        </w:rPr>
        <w:t>חכים נ' מדינת ישראל</w:t>
      </w:r>
      <w:r w:rsidRPr="00DE366F">
        <w:rPr>
          <w:rFonts w:ascii="Tahoma" w:hAnsi="Tahoma" w:hint="cs"/>
          <w:rtl/>
        </w:rPr>
        <w:t xml:space="preserve"> (12.07.2018), שם דובר </w:t>
      </w:r>
      <w:r>
        <w:rPr>
          <w:rFonts w:ascii="Tahoma" w:hAnsi="Tahoma" w:hint="cs"/>
          <w:rtl/>
        </w:rPr>
        <w:t>ב</w:t>
      </w:r>
      <w:r w:rsidRPr="00DE366F">
        <w:rPr>
          <w:rFonts w:ascii="Tahoma" w:hAnsi="Tahoma" w:hint="cs"/>
          <w:rtl/>
        </w:rPr>
        <w:t xml:space="preserve">נאשם שצייד מעבדה </w:t>
      </w:r>
      <w:r>
        <w:rPr>
          <w:rFonts w:ascii="Tahoma" w:hAnsi="Tahoma"/>
          <w:rtl/>
        </w:rPr>
        <w:t>–</w:t>
      </w:r>
      <w:r>
        <w:rPr>
          <w:rFonts w:ascii="Tahoma" w:hAnsi="Tahoma" w:hint="cs"/>
          <w:rtl/>
        </w:rPr>
        <w:t xml:space="preserve"> בה נתפסה כמות סמים דומה לענייננו </w:t>
      </w:r>
      <w:r>
        <w:rPr>
          <w:rFonts w:ascii="Tahoma" w:hAnsi="Tahoma"/>
          <w:rtl/>
        </w:rPr>
        <w:t>–</w:t>
      </w:r>
      <w:r>
        <w:rPr>
          <w:rFonts w:ascii="Tahoma" w:hAnsi="Tahoma" w:hint="cs"/>
          <w:rtl/>
        </w:rPr>
        <w:t xml:space="preserve"> בציוד </w:t>
      </w:r>
      <w:r w:rsidRPr="00DE366F">
        <w:rPr>
          <w:rFonts w:ascii="Tahoma" w:hAnsi="Tahoma" w:hint="cs"/>
          <w:rtl/>
        </w:rPr>
        <w:t>בשווי כולל של 150,000 ₪</w:t>
      </w:r>
      <w:r>
        <w:rPr>
          <w:rFonts w:ascii="Tahoma" w:hAnsi="Tahoma" w:hint="cs"/>
          <w:rtl/>
        </w:rPr>
        <w:t xml:space="preserve"> (אך ללא גניבת חשמל, ובמשך תקופה של כחודשיים בלבד). באותו מקרה נקבע מתחם עונש הולם ש</w:t>
      </w:r>
      <w:r w:rsidRPr="00DE366F">
        <w:rPr>
          <w:rFonts w:ascii="Tahoma" w:hAnsi="Tahoma" w:hint="cs"/>
          <w:rtl/>
        </w:rPr>
        <w:t>בין 12 חודשי מאסר בפועל לבין 36 חודשי מאסר בפועל</w:t>
      </w:r>
      <w:r>
        <w:rPr>
          <w:rFonts w:ascii="Tahoma" w:hAnsi="Tahoma" w:hint="cs"/>
          <w:rtl/>
        </w:rPr>
        <w:t>, אך למרות זאת עתר הסניגור לקביעת מתחם עונש הולם, בענייננו, שתחילתו בשישה חודשי מאסר לנשיאה בעבודות שירות.</w:t>
      </w:r>
    </w:p>
    <w:p w14:paraId="6B3A12E7" w14:textId="77777777" w:rsidR="0038149A" w:rsidRDefault="0038149A" w:rsidP="0038149A">
      <w:pPr>
        <w:numPr>
          <w:ilvl w:val="0"/>
          <w:numId w:val="1"/>
        </w:numPr>
        <w:spacing w:after="120" w:line="360" w:lineRule="auto"/>
        <w:ind w:left="360"/>
        <w:jc w:val="both"/>
        <w:rPr>
          <w:rFonts w:ascii="Tahoma" w:hAnsi="Tahoma"/>
        </w:rPr>
      </w:pPr>
      <w:r w:rsidRPr="00DE366F">
        <w:rPr>
          <w:rFonts w:ascii="Tahoma" w:hAnsi="Tahoma" w:hint="cs"/>
          <w:rtl/>
        </w:rPr>
        <w:t xml:space="preserve">אשר לגזירת עונשו של הנאשם בתוך מתחם העונש ההולם הרחיב הסניגור בתיאור נסיבותיו האישיות של הנאשם, שהוא גרוש ואב לילד בן 7. הנאשם </w:t>
      </w:r>
      <w:r>
        <w:rPr>
          <w:rFonts w:ascii="Tahoma" w:hAnsi="Tahoma" w:hint="cs"/>
          <w:rtl/>
        </w:rPr>
        <w:t xml:space="preserve">עובד קשה לפרנסתו, מתמודד עם חובות, </w:t>
      </w:r>
      <w:r w:rsidRPr="00DE366F">
        <w:rPr>
          <w:rFonts w:ascii="Tahoma" w:hAnsi="Tahoma" w:hint="cs"/>
          <w:rtl/>
        </w:rPr>
        <w:t xml:space="preserve">משלם מזונות </w:t>
      </w:r>
      <w:r>
        <w:rPr>
          <w:rFonts w:ascii="Tahoma" w:hAnsi="Tahoma" w:hint="cs"/>
          <w:rtl/>
        </w:rPr>
        <w:t xml:space="preserve">לגרושתו </w:t>
      </w:r>
      <w:r w:rsidRPr="00DE366F">
        <w:rPr>
          <w:rFonts w:ascii="Tahoma" w:hAnsi="Tahoma" w:hint="cs"/>
          <w:rtl/>
        </w:rPr>
        <w:t>וג</w:t>
      </w:r>
      <w:r>
        <w:rPr>
          <w:rFonts w:ascii="Tahoma" w:hAnsi="Tahoma" w:hint="cs"/>
          <w:rtl/>
        </w:rPr>
        <w:t xml:space="preserve">ם מחזיק בילד במשמורת משותפת. בנוסף </w:t>
      </w:r>
      <w:r w:rsidRPr="00DE366F">
        <w:rPr>
          <w:rFonts w:ascii="Tahoma" w:hAnsi="Tahoma" w:hint="cs"/>
          <w:rtl/>
        </w:rPr>
        <w:t xml:space="preserve">מטפל </w:t>
      </w:r>
      <w:r>
        <w:rPr>
          <w:rFonts w:ascii="Tahoma" w:hAnsi="Tahoma" w:hint="cs"/>
          <w:rtl/>
        </w:rPr>
        <w:t xml:space="preserve">הנאשם, </w:t>
      </w:r>
      <w:r w:rsidRPr="00DE366F">
        <w:rPr>
          <w:rFonts w:ascii="Tahoma" w:hAnsi="Tahoma" w:hint="cs"/>
          <w:rtl/>
        </w:rPr>
        <w:t>במסירות</w:t>
      </w:r>
      <w:r>
        <w:rPr>
          <w:rFonts w:ascii="Tahoma" w:hAnsi="Tahoma" w:hint="cs"/>
          <w:rtl/>
        </w:rPr>
        <w:t>,</w:t>
      </w:r>
      <w:r w:rsidRPr="00DE366F">
        <w:rPr>
          <w:rFonts w:ascii="Tahoma" w:hAnsi="Tahoma" w:hint="cs"/>
          <w:rtl/>
        </w:rPr>
        <w:t xml:space="preserve"> באביו החולה. בנסיבות אלה, שליחת הנאשם לנשיאת מאסר בפועל תפגע באופן קשה </w:t>
      </w:r>
      <w:r>
        <w:rPr>
          <w:rFonts w:ascii="Tahoma" w:hAnsi="Tahoma" w:hint="cs"/>
          <w:rtl/>
        </w:rPr>
        <w:t xml:space="preserve">לא רק בנאשם אלא גם </w:t>
      </w:r>
      <w:r w:rsidRPr="00DE366F">
        <w:rPr>
          <w:rFonts w:ascii="Tahoma" w:hAnsi="Tahoma" w:hint="cs"/>
          <w:rtl/>
        </w:rPr>
        <w:t xml:space="preserve">במשפחתו ולפיכך </w:t>
      </w:r>
      <w:r>
        <w:rPr>
          <w:rFonts w:ascii="Tahoma" w:hAnsi="Tahoma" w:hint="cs"/>
          <w:rtl/>
        </w:rPr>
        <w:t>ביקש הסניגור מאוד להימנע מכך.</w:t>
      </w:r>
    </w:p>
    <w:p w14:paraId="2DF41610" w14:textId="77777777" w:rsidR="0038149A" w:rsidRPr="00C87F57" w:rsidRDefault="0038149A" w:rsidP="0038149A">
      <w:pPr>
        <w:numPr>
          <w:ilvl w:val="0"/>
          <w:numId w:val="1"/>
        </w:numPr>
        <w:spacing w:after="120" w:line="360" w:lineRule="auto"/>
        <w:ind w:left="360"/>
        <w:jc w:val="both"/>
        <w:rPr>
          <w:rFonts w:ascii="Tahoma" w:hAnsi="Tahoma"/>
        </w:rPr>
      </w:pPr>
      <w:r w:rsidRPr="00C87F57">
        <w:rPr>
          <w:rFonts w:ascii="Tahoma" w:hAnsi="Tahoma" w:hint="cs"/>
          <w:rtl/>
        </w:rPr>
        <w:t xml:space="preserve">עוד הפנה ב"כ הנאשם לחלוף הזמן מאז ביצוע העבירות, לפני כמעט שנתיים ימים, כאשר מאז עושה הנאשם </w:t>
      </w:r>
      <w:r w:rsidRPr="00C87F57">
        <w:rPr>
          <w:rFonts w:ascii="Tahoma" w:hAnsi="Tahoma"/>
          <w:rtl/>
        </w:rPr>
        <w:t>–</w:t>
      </w:r>
      <w:r w:rsidRPr="00C87F57">
        <w:rPr>
          <w:rFonts w:ascii="Tahoma" w:hAnsi="Tahoma" w:hint="cs"/>
          <w:rtl/>
        </w:rPr>
        <w:t xml:space="preserve"> שהוא אדם ללא כל רישומים פליליים קודמים </w:t>
      </w:r>
      <w:r w:rsidRPr="00C87F57">
        <w:rPr>
          <w:rFonts w:ascii="Tahoma" w:hAnsi="Tahoma"/>
          <w:rtl/>
        </w:rPr>
        <w:t>–</w:t>
      </w:r>
      <w:r w:rsidRPr="00C87F57">
        <w:rPr>
          <w:rFonts w:ascii="Tahoma" w:hAnsi="Tahoma" w:hint="cs"/>
          <w:rtl/>
        </w:rPr>
        <w:t xml:space="preserve"> כל שביכולתו על מנת לשוב למוטב ולא ביצע כל עבירה נוספת. ב"כ הנאשם ער לכך שכיוון שהנאשם ניהל משפט הוא אינו זכאי להקלה הניתנת למי שנוטל אחריות על מעשיו, אך ביקש לפנות לרחמי בית המשפט. ב"כ הנאשם הדגיש מאוד את המקום שיש ליתן לרחמים, גם במסגרת גזירת העונש</w:t>
      </w:r>
      <w:r>
        <w:rPr>
          <w:rFonts w:ascii="Tahoma" w:hAnsi="Tahoma" w:hint="cs"/>
          <w:rtl/>
        </w:rPr>
        <w:t xml:space="preserve"> בפלילים</w:t>
      </w:r>
      <w:r w:rsidRPr="00C87F57">
        <w:rPr>
          <w:rFonts w:ascii="Tahoma" w:hAnsi="Tahoma" w:hint="cs"/>
          <w:rtl/>
        </w:rPr>
        <w:t>. בהקשר זה הפנה הנאשם לאופיו הנוח והנעים של הנאשם, כפי שנתגלה גם במהלך ניהול המשפט, ועתר כאמור לרחמי בית המשפט ולה</w:t>
      </w:r>
      <w:r>
        <w:rPr>
          <w:rFonts w:ascii="Tahoma" w:hAnsi="Tahoma" w:hint="cs"/>
          <w:rtl/>
        </w:rPr>
        <w:t>סתפקות בהשתת עבודות שירות בלבד.</w:t>
      </w:r>
    </w:p>
    <w:p w14:paraId="07FF3E41" w14:textId="77777777" w:rsidR="0038149A" w:rsidRDefault="0038149A" w:rsidP="0038149A">
      <w:pPr>
        <w:numPr>
          <w:ilvl w:val="0"/>
          <w:numId w:val="1"/>
        </w:numPr>
        <w:spacing w:after="120" w:line="360" w:lineRule="auto"/>
        <w:ind w:left="360"/>
        <w:jc w:val="both"/>
        <w:rPr>
          <w:rFonts w:ascii="Tahoma" w:hAnsi="Tahoma"/>
        </w:rPr>
      </w:pPr>
      <w:r w:rsidRPr="00496810">
        <w:rPr>
          <w:rFonts w:ascii="Tahoma" w:hAnsi="Tahoma" w:hint="cs"/>
          <w:rtl/>
        </w:rPr>
        <w:t>לבסוף הנאשם, בדברו האחרון לעונש, אמר:</w:t>
      </w:r>
      <w:r>
        <w:rPr>
          <w:rFonts w:ascii="Tahoma" w:hAnsi="Tahoma" w:hint="cs"/>
          <w:rtl/>
        </w:rPr>
        <w:t xml:space="preserve"> "</w:t>
      </w:r>
      <w:r w:rsidRPr="007E5DE2">
        <w:rPr>
          <w:rFonts w:ascii="Tahoma" w:hAnsi="Tahoma"/>
          <w:b/>
          <w:bCs/>
          <w:rtl/>
        </w:rPr>
        <w:t>אני לא מתנער מאחריות</w:t>
      </w:r>
      <w:r w:rsidRPr="007E5DE2">
        <w:rPr>
          <w:rFonts w:ascii="Tahoma" w:hAnsi="Tahoma" w:hint="cs"/>
          <w:b/>
          <w:bCs/>
          <w:rtl/>
        </w:rPr>
        <w:t xml:space="preserve">... </w:t>
      </w:r>
      <w:r w:rsidRPr="007E5DE2">
        <w:rPr>
          <w:rFonts w:ascii="Tahoma" w:hAnsi="Tahoma"/>
          <w:b/>
          <w:bCs/>
          <w:rtl/>
        </w:rPr>
        <w:t>אני ממש ממש רוצה להתחיל לנשום את החיים בצורה אח</w:t>
      </w:r>
      <w:r>
        <w:rPr>
          <w:rFonts w:ascii="Tahoma" w:hAnsi="Tahoma"/>
          <w:b/>
          <w:bCs/>
          <w:rtl/>
        </w:rPr>
        <w:t>רת לכוון אותם בצורה אחרת ויש לי</w:t>
      </w:r>
      <w:r w:rsidRPr="007E5DE2">
        <w:rPr>
          <w:rFonts w:ascii="Tahoma" w:hAnsi="Tahoma"/>
          <w:b/>
          <w:bCs/>
          <w:rtl/>
        </w:rPr>
        <w:t xml:space="preserve"> שאיפות זה תוקע אותי מאוד המהלך הטיפשי שעשיתי. אני כן מבקש מבית משפט להתחשב בעובדה כדי לראות את החומר האנושי לדעת מי ולאיפה בית הכלא ובית מעצר למי שייך. אני כן לוקח אחריות, אני כן רוצה לתת וחשבון</w:t>
      </w:r>
      <w:r w:rsidRPr="007E5DE2">
        <w:rPr>
          <w:rFonts w:ascii="Tahoma" w:hAnsi="Tahoma" w:hint="cs"/>
          <w:b/>
          <w:bCs/>
          <w:rtl/>
        </w:rPr>
        <w:t>...</w:t>
      </w:r>
      <w:r>
        <w:rPr>
          <w:rFonts w:ascii="Tahoma" w:hAnsi="Tahoma" w:hint="cs"/>
          <w:rtl/>
        </w:rPr>
        <w:t xml:space="preserve">" </w:t>
      </w:r>
      <w:r w:rsidRPr="003C54A3">
        <w:rPr>
          <w:rFonts w:ascii="Tahoma" w:hAnsi="Tahoma" w:hint="cs"/>
          <w:rtl/>
        </w:rPr>
        <w:t xml:space="preserve">(בפרוטוקול, עמ' 100 שורה 24 ואילך). </w:t>
      </w:r>
    </w:p>
    <w:p w14:paraId="6604004E" w14:textId="77777777" w:rsidR="0038149A" w:rsidRPr="00C828CC" w:rsidRDefault="0038149A" w:rsidP="0038149A">
      <w:pPr>
        <w:spacing w:after="120" w:line="360" w:lineRule="auto"/>
        <w:jc w:val="both"/>
        <w:rPr>
          <w:rFonts w:ascii="Tahoma" w:hAnsi="Tahoma"/>
          <w:rtl/>
        </w:rPr>
      </w:pPr>
    </w:p>
    <w:p w14:paraId="428C8F1F" w14:textId="77777777" w:rsidR="0038149A" w:rsidRPr="00DE0478" w:rsidRDefault="0038149A" w:rsidP="0038149A">
      <w:pPr>
        <w:pStyle w:val="a9"/>
        <w:numPr>
          <w:ilvl w:val="0"/>
          <w:numId w:val="2"/>
        </w:numPr>
        <w:spacing w:after="120" w:line="360" w:lineRule="auto"/>
        <w:ind w:left="360"/>
        <w:jc w:val="both"/>
        <w:rPr>
          <w:rFonts w:ascii="Tahoma" w:hAnsi="Tahoma"/>
          <w:b/>
          <w:bCs/>
          <w:u w:val="single"/>
        </w:rPr>
      </w:pPr>
      <w:r>
        <w:rPr>
          <w:rFonts w:ascii="Tahoma" w:hAnsi="Tahoma" w:hint="cs"/>
          <w:b/>
          <w:bCs/>
          <w:u w:val="single"/>
          <w:rtl/>
        </w:rPr>
        <w:t>קביעת מתחם העונש ההולם</w:t>
      </w:r>
      <w:r w:rsidRPr="00DE0478">
        <w:rPr>
          <w:rFonts w:ascii="Tahoma" w:hAnsi="Tahoma" w:hint="cs"/>
          <w:b/>
          <w:bCs/>
          <w:u w:val="single"/>
          <w:rtl/>
        </w:rPr>
        <w:t>:</w:t>
      </w:r>
    </w:p>
    <w:p w14:paraId="255B697C" w14:textId="77777777" w:rsidR="0038149A" w:rsidRDefault="0038149A" w:rsidP="0038149A">
      <w:pPr>
        <w:numPr>
          <w:ilvl w:val="0"/>
          <w:numId w:val="1"/>
        </w:numPr>
        <w:spacing w:after="120" w:line="360" w:lineRule="auto"/>
        <w:ind w:left="360"/>
        <w:jc w:val="both"/>
        <w:rPr>
          <w:rFonts w:ascii="Tahoma" w:hAnsi="Tahoma"/>
        </w:rPr>
      </w:pPr>
      <w:r>
        <w:rPr>
          <w:rFonts w:ascii="Tahoma" w:hAnsi="Tahoma" w:hint="cs"/>
          <w:rtl/>
        </w:rPr>
        <w:t xml:space="preserve">בהתאם להוראות </w:t>
      </w:r>
      <w:hyperlink r:id="rId32" w:history="1">
        <w:r w:rsidR="0079746C" w:rsidRPr="0079746C">
          <w:rPr>
            <w:rFonts w:ascii="Tahoma" w:hAnsi="Tahoma"/>
            <w:color w:val="0000FF"/>
            <w:u w:val="single"/>
            <w:rtl/>
          </w:rPr>
          <w:t>חוק העונשין</w:t>
        </w:r>
      </w:hyperlink>
      <w:r>
        <w:rPr>
          <w:rFonts w:ascii="Tahoma" w:hAnsi="Tahoma" w:hint="cs"/>
          <w:rtl/>
        </w:rPr>
        <w:t xml:space="preserve">, </w:t>
      </w:r>
      <w:r w:rsidRPr="00224673">
        <w:rPr>
          <w:rFonts w:ascii="Tahoma" w:hAnsi="Tahoma" w:hint="cs"/>
          <w:rtl/>
        </w:rPr>
        <w:t>בעת גזירת עונשו של נאשם על בית המשפט לקבוע, תחילה, את מתחם העונש ההולם לאירוע שבגינו הורשע הנאשם, וזאת בהתאם לעיקרון ההלימה. בהקשר זה יתחשב בית המשפט, בין השאר, בערכים החברתיים שנפגעו מביצוע העבירות ובמידת הפגיעה בהם, במדיניות הענישה הנהוגה ובנסיבות הקשורו</w:t>
      </w:r>
      <w:r>
        <w:rPr>
          <w:rFonts w:ascii="Tahoma" w:hAnsi="Tahoma" w:hint="cs"/>
          <w:rtl/>
        </w:rPr>
        <w:t xml:space="preserve">ת בביצוע העבירות, לרבות אלה המנויות בהוראות </w:t>
      </w:r>
      <w:hyperlink r:id="rId33" w:history="1">
        <w:r w:rsidR="00362368" w:rsidRPr="00362368">
          <w:rPr>
            <w:rStyle w:val="Hyperlink"/>
            <w:rFonts w:ascii="Tahoma" w:hAnsi="Tahoma" w:hint="eastAsia"/>
            <w:rtl/>
          </w:rPr>
          <w:t>סעיף</w:t>
        </w:r>
        <w:r w:rsidR="00362368" w:rsidRPr="00362368">
          <w:rPr>
            <w:rStyle w:val="Hyperlink"/>
            <w:rFonts w:ascii="Tahoma" w:hAnsi="Tahoma"/>
            <w:rtl/>
          </w:rPr>
          <w:t xml:space="preserve"> 40ט</w:t>
        </w:r>
      </w:hyperlink>
      <w:r>
        <w:rPr>
          <w:rFonts w:ascii="Tahoma" w:hAnsi="Tahoma" w:hint="cs"/>
          <w:rtl/>
        </w:rPr>
        <w:t xml:space="preserve"> ל</w:t>
      </w:r>
      <w:hyperlink r:id="rId34" w:history="1">
        <w:r w:rsidR="0079746C" w:rsidRPr="0079746C">
          <w:rPr>
            <w:rFonts w:ascii="Tahoma" w:hAnsi="Tahoma"/>
            <w:color w:val="0000FF"/>
            <w:u w:val="single"/>
            <w:rtl/>
          </w:rPr>
          <w:t>חוק העונשין</w:t>
        </w:r>
      </w:hyperlink>
      <w:r>
        <w:rPr>
          <w:rFonts w:ascii="Tahoma" w:hAnsi="Tahoma" w:hint="cs"/>
          <w:rtl/>
        </w:rPr>
        <w:t>.</w:t>
      </w:r>
    </w:p>
    <w:p w14:paraId="3EEA8FFD" w14:textId="77777777" w:rsidR="0038149A" w:rsidRDefault="0038149A" w:rsidP="0038149A">
      <w:pPr>
        <w:numPr>
          <w:ilvl w:val="0"/>
          <w:numId w:val="1"/>
        </w:numPr>
        <w:spacing w:after="120" w:line="360" w:lineRule="auto"/>
        <w:ind w:left="360"/>
        <w:jc w:val="both"/>
        <w:rPr>
          <w:rFonts w:ascii="Tahoma" w:hAnsi="Tahoma"/>
        </w:rPr>
      </w:pPr>
      <w:r>
        <w:rPr>
          <w:rFonts w:ascii="Tahoma" w:hAnsi="Tahoma" w:hint="cs"/>
          <w:rtl/>
        </w:rPr>
        <w:t xml:space="preserve">כידוע, </w:t>
      </w:r>
      <w:r w:rsidRPr="003A5FA8">
        <w:rPr>
          <w:rFonts w:ascii="Tahoma" w:hAnsi="Tahoma"/>
          <w:rtl/>
        </w:rPr>
        <w:t xml:space="preserve">הפסיקה </w:t>
      </w:r>
      <w:r>
        <w:rPr>
          <w:rFonts w:ascii="Tahoma" w:hAnsi="Tahoma" w:hint="cs"/>
          <w:rtl/>
        </w:rPr>
        <w:t xml:space="preserve">חוזרת ומדגישה את חומרתן </w:t>
      </w:r>
      <w:r w:rsidRPr="003A5FA8">
        <w:rPr>
          <w:rFonts w:ascii="Tahoma" w:hAnsi="Tahoma"/>
          <w:rtl/>
        </w:rPr>
        <w:t>של עבירות הסמים, הן בשל הסכנה הנשקפת לבריאות הציבור מצריכתם של סמים מסוכנים והן בשל היותן גורם "מחולל פשיעה", דהיינו: גורם הכרוך או אף עומד ביסוד ביצוען של עבירות רבות אחרות. ברי אפוא כי ביצוען של עבירות סמים פוגע, ובמידה משמעותית, בערכים החברתיים של ההגנה על שלום הציבור ועל בריאותו מפני הנזקים הישירים והעקיפים, אשר נגרמים עקב השימוש בסמים מסוכנים. מיד</w:t>
      </w:r>
      <w:r>
        <w:rPr>
          <w:rFonts w:ascii="Tahoma" w:hAnsi="Tahoma"/>
          <w:rtl/>
        </w:rPr>
        <w:t>ת הפגיעה בערכים החברתיים</w:t>
      </w:r>
      <w:r w:rsidRPr="003A5FA8">
        <w:rPr>
          <w:rFonts w:ascii="Tahoma" w:hAnsi="Tahoma"/>
          <w:rtl/>
        </w:rPr>
        <w:t xml:space="preserve"> היא גדולה במיוחד כאשר מדובר בהקמת מעבדות לגידול ולייצור סמים</w:t>
      </w:r>
      <w:r>
        <w:rPr>
          <w:rFonts w:ascii="Tahoma" w:hAnsi="Tahoma" w:hint="cs"/>
          <w:rtl/>
        </w:rPr>
        <w:t xml:space="preserve"> מסוכנים</w:t>
      </w:r>
      <w:r w:rsidRPr="003A5FA8">
        <w:rPr>
          <w:rFonts w:ascii="Tahoma" w:hAnsi="Tahoma"/>
          <w:rtl/>
        </w:rPr>
        <w:t>, שכן מעבדות כאלה מאפשרות ייצור סמים בהיקפים משמעותיים</w:t>
      </w:r>
      <w:r>
        <w:rPr>
          <w:rFonts w:ascii="Tahoma" w:hAnsi="Tahoma" w:hint="cs"/>
          <w:rtl/>
        </w:rPr>
        <w:t>; ועל כן לא ניתן לראות בעובדה שהנאשם גידל "רק" סמים מסוכנים מסוג קנבוס משום נסיבה מקלה משמעותית.</w:t>
      </w:r>
    </w:p>
    <w:p w14:paraId="47A2C3DD" w14:textId="77777777" w:rsidR="0038149A" w:rsidRDefault="0038149A" w:rsidP="0038149A">
      <w:pPr>
        <w:numPr>
          <w:ilvl w:val="0"/>
          <w:numId w:val="1"/>
        </w:numPr>
        <w:spacing w:after="120" w:line="360" w:lineRule="auto"/>
        <w:ind w:left="360"/>
        <w:jc w:val="both"/>
        <w:rPr>
          <w:rFonts w:ascii="Tahoma" w:hAnsi="Tahoma"/>
        </w:rPr>
      </w:pPr>
      <w:r w:rsidRPr="00AB61A3">
        <w:rPr>
          <w:rFonts w:ascii="Tahoma" w:hAnsi="Tahoma" w:hint="cs"/>
          <w:rtl/>
        </w:rPr>
        <w:t xml:space="preserve">ב"כ הנאשם הדגיש שוב ושוב את היות הנאשם אדם נורמטיבי לחלוטין. ואולם, מעבר לכך שמדובר בהיבט שעניינו בגזירת הדין בתוך מתחם העונש ההולם לא למותר לציין כאן, כך למרבה הצער, כי גם </w:t>
      </w:r>
      <w:r w:rsidRPr="00AB61A3">
        <w:rPr>
          <w:rFonts w:ascii="Tahoma" w:hAnsi="Tahoma"/>
          <w:rtl/>
        </w:rPr>
        <w:t>אנשים נורמטיביים העובדים למחייתם, וללא כל הסתבכות קודמת עם החוק בעברם, מתפתים לעיתים להקמתן של מעבדות לגידול וייצור סמים מסוכנים</w:t>
      </w:r>
      <w:r w:rsidRPr="00AB61A3">
        <w:rPr>
          <w:rFonts w:ascii="Tahoma" w:hAnsi="Tahoma" w:hint="cs"/>
          <w:rtl/>
        </w:rPr>
        <w:t>; כאשר דווקא היבט זה מלמד על חשיבות שיקולי ההרתעה</w:t>
      </w:r>
      <w:r w:rsidRPr="00AB61A3">
        <w:rPr>
          <w:rFonts w:ascii="Tahoma" w:hAnsi="Tahoma"/>
          <w:rtl/>
        </w:rPr>
        <w:t xml:space="preserve"> </w:t>
      </w:r>
      <w:r w:rsidRPr="00AB61A3">
        <w:rPr>
          <w:rFonts w:ascii="Tahoma" w:hAnsi="Tahoma" w:hint="cs"/>
          <w:rtl/>
        </w:rPr>
        <w:t xml:space="preserve">בכגון דא </w:t>
      </w:r>
      <w:r w:rsidRPr="00AB61A3">
        <w:rPr>
          <w:rFonts w:ascii="Tahoma" w:hAnsi="Tahoma"/>
          <w:rtl/>
        </w:rPr>
        <w:t>(</w:t>
      </w:r>
      <w:r w:rsidRPr="00AB61A3">
        <w:rPr>
          <w:rFonts w:ascii="Tahoma" w:hAnsi="Tahoma" w:hint="cs"/>
          <w:rtl/>
        </w:rPr>
        <w:t xml:space="preserve">ר' והשווה, </w:t>
      </w:r>
      <w:r w:rsidRPr="00AB61A3">
        <w:rPr>
          <w:rFonts w:ascii="Tahoma" w:hAnsi="Tahoma"/>
          <w:rtl/>
        </w:rPr>
        <w:t>ל</w:t>
      </w:r>
      <w:r w:rsidRPr="00AB61A3">
        <w:rPr>
          <w:rFonts w:ascii="Tahoma" w:hAnsi="Tahoma" w:hint="cs"/>
          <w:rtl/>
        </w:rPr>
        <w:t xml:space="preserve">משל, </w:t>
      </w:r>
      <w:hyperlink r:id="rId35" w:history="1">
        <w:r w:rsidR="0079746C" w:rsidRPr="0079746C">
          <w:rPr>
            <w:rFonts w:ascii="Tahoma" w:hAnsi="Tahoma"/>
            <w:color w:val="0000FF"/>
            <w:u w:val="single"/>
            <w:rtl/>
          </w:rPr>
          <w:t>ת"פ (שלום ת"א) 59811-06-20</w:t>
        </w:r>
      </w:hyperlink>
      <w:r w:rsidRPr="00AB61A3">
        <w:rPr>
          <w:rFonts w:ascii="Tahoma" w:hAnsi="Tahoma"/>
          <w:rtl/>
        </w:rPr>
        <w:t xml:space="preserve"> </w:t>
      </w:r>
      <w:r w:rsidRPr="00AB61A3">
        <w:rPr>
          <w:rFonts w:ascii="Tahoma" w:hAnsi="Tahoma"/>
          <w:b/>
          <w:bCs/>
          <w:rtl/>
        </w:rPr>
        <w:t>מדינת ישראל נ' קושנרקו</w:t>
      </w:r>
      <w:r w:rsidRPr="00AB61A3">
        <w:rPr>
          <w:rFonts w:ascii="Tahoma" w:hAnsi="Tahoma"/>
          <w:rtl/>
        </w:rPr>
        <w:t xml:space="preserve"> (20.10.2021)</w:t>
      </w:r>
      <w:r w:rsidRPr="00AB61A3">
        <w:rPr>
          <w:rFonts w:ascii="Tahoma" w:hAnsi="Tahoma" w:hint="cs"/>
          <w:rtl/>
        </w:rPr>
        <w:t>)</w:t>
      </w:r>
      <w:r w:rsidRPr="00AB61A3">
        <w:rPr>
          <w:rFonts w:ascii="Tahoma" w:hAnsi="Tahoma"/>
          <w:rtl/>
        </w:rPr>
        <w:t>.</w:t>
      </w:r>
    </w:p>
    <w:p w14:paraId="4A40BECA" w14:textId="77777777" w:rsidR="0038149A" w:rsidRPr="00491FC9" w:rsidRDefault="0038149A" w:rsidP="0038149A">
      <w:pPr>
        <w:numPr>
          <w:ilvl w:val="0"/>
          <w:numId w:val="1"/>
        </w:numPr>
        <w:spacing w:after="120" w:line="360" w:lineRule="auto"/>
        <w:ind w:left="360"/>
        <w:jc w:val="both"/>
        <w:rPr>
          <w:rFonts w:ascii="Tahoma" w:hAnsi="Tahoma"/>
        </w:rPr>
      </w:pPr>
      <w:r w:rsidRPr="00491FC9">
        <w:rPr>
          <w:rFonts w:ascii="Tahoma" w:hAnsi="Tahoma" w:hint="cs"/>
          <w:rtl/>
        </w:rPr>
        <w:t xml:space="preserve">עניין </w:t>
      </w:r>
      <w:r w:rsidRPr="00491FC9">
        <w:rPr>
          <w:rFonts w:ascii="Tahoma" w:hAnsi="Tahoma" w:hint="cs"/>
          <w:b/>
          <w:bCs/>
          <w:rtl/>
        </w:rPr>
        <w:t>קושנרקו</w:t>
      </w:r>
      <w:r w:rsidRPr="00491FC9">
        <w:rPr>
          <w:rFonts w:ascii="Tahoma" w:hAnsi="Tahoma" w:hint="cs"/>
          <w:rtl/>
        </w:rPr>
        <w:t xml:space="preserve"> הנ"ל </w:t>
      </w:r>
      <w:r w:rsidRPr="00491FC9">
        <w:rPr>
          <w:rFonts w:ascii="Tahoma" w:hAnsi="Tahoma"/>
          <w:rtl/>
        </w:rPr>
        <w:t>–</w:t>
      </w:r>
      <w:r w:rsidRPr="00491FC9">
        <w:rPr>
          <w:rFonts w:ascii="Tahoma" w:hAnsi="Tahoma" w:hint="cs"/>
          <w:rtl/>
        </w:rPr>
        <w:t xml:space="preserve"> כמו גם האסמכתאות המאוזכרות </w:t>
      </w:r>
      <w:r>
        <w:rPr>
          <w:rFonts w:ascii="Tahoma" w:hAnsi="Tahoma" w:hint="cs"/>
          <w:rtl/>
        </w:rPr>
        <w:t>בו</w:t>
      </w:r>
      <w:r w:rsidRPr="00491FC9">
        <w:rPr>
          <w:rFonts w:ascii="Tahoma" w:hAnsi="Tahoma" w:hint="cs"/>
          <w:rtl/>
        </w:rPr>
        <w:t xml:space="preserve"> </w:t>
      </w:r>
      <w:r w:rsidRPr="00491FC9">
        <w:rPr>
          <w:rFonts w:ascii="Tahoma" w:hAnsi="Tahoma"/>
          <w:rtl/>
        </w:rPr>
        <w:t>–</w:t>
      </w:r>
      <w:r w:rsidRPr="00491FC9">
        <w:rPr>
          <w:rFonts w:ascii="Tahoma" w:hAnsi="Tahoma" w:hint="cs"/>
          <w:rtl/>
        </w:rPr>
        <w:t xml:space="preserve"> רלוואנטי גם לעניין מדיניות הענישה הנהוגה. שם נקבע, לגבי מעבדה בה נתפסה כמות סמים של 40 ק"ג, </w:t>
      </w:r>
      <w:r w:rsidRPr="00491FC9">
        <w:rPr>
          <w:rFonts w:ascii="Tahoma" w:hAnsi="Tahoma"/>
          <w:rtl/>
        </w:rPr>
        <w:t xml:space="preserve">מתחם עונש הולם </w:t>
      </w:r>
      <w:r w:rsidRPr="00491FC9">
        <w:rPr>
          <w:rFonts w:ascii="Tahoma" w:hAnsi="Tahoma" w:hint="cs"/>
          <w:rtl/>
        </w:rPr>
        <w:t>ש</w:t>
      </w:r>
      <w:r w:rsidRPr="00491FC9">
        <w:rPr>
          <w:rFonts w:ascii="Tahoma" w:hAnsi="Tahoma"/>
          <w:rtl/>
        </w:rPr>
        <w:t>בין 14 חודשי מאסר בפועל לבין 24 חודשי מאסר בפועל</w:t>
      </w:r>
      <w:r w:rsidRPr="00491FC9">
        <w:rPr>
          <w:rFonts w:ascii="Tahoma" w:hAnsi="Tahoma" w:hint="cs"/>
          <w:rtl/>
        </w:rPr>
        <w:t xml:space="preserve">. למדיניות הענישה הנהוגה ר' גם </w:t>
      </w:r>
      <w:hyperlink r:id="rId36" w:history="1">
        <w:r w:rsidR="0079746C" w:rsidRPr="0079746C">
          <w:rPr>
            <w:rFonts w:ascii="Tahoma" w:hAnsi="Tahoma"/>
            <w:color w:val="0000FF"/>
            <w:u w:val="single"/>
            <w:rtl/>
          </w:rPr>
          <w:t>ת"פ (שלום ת"א) 61659-01-20</w:t>
        </w:r>
      </w:hyperlink>
      <w:r w:rsidR="0079746C">
        <w:rPr>
          <w:rFonts w:ascii="Tahoma" w:hAnsi="Tahoma"/>
          <w:rtl/>
        </w:rPr>
        <w:t xml:space="preserve"> </w:t>
      </w:r>
      <w:r w:rsidRPr="00491FC9">
        <w:rPr>
          <w:rFonts w:ascii="Tahoma" w:hAnsi="Tahoma"/>
          <w:b/>
          <w:bCs/>
          <w:rtl/>
        </w:rPr>
        <w:t>מדינת ישראל נ' בלולו</w:t>
      </w:r>
      <w:r w:rsidR="0079746C">
        <w:rPr>
          <w:rFonts w:ascii="Tahoma" w:hAnsi="Tahoma"/>
          <w:rtl/>
        </w:rPr>
        <w:t xml:space="preserve"> </w:t>
      </w:r>
      <w:r w:rsidRPr="00491FC9">
        <w:rPr>
          <w:rFonts w:ascii="Tahoma" w:hAnsi="Tahoma"/>
          <w:rtl/>
        </w:rPr>
        <w:t>(30.12.2021)</w:t>
      </w:r>
      <w:r>
        <w:rPr>
          <w:rFonts w:ascii="Tahoma" w:hAnsi="Tahoma" w:hint="cs"/>
          <w:rtl/>
        </w:rPr>
        <w:t>,</w:t>
      </w:r>
      <w:r w:rsidRPr="00491FC9">
        <w:rPr>
          <w:rFonts w:ascii="Tahoma" w:hAnsi="Tahoma" w:hint="cs"/>
          <w:rtl/>
        </w:rPr>
        <w:t xml:space="preserve"> </w:t>
      </w:r>
      <w:hyperlink r:id="rId37" w:history="1">
        <w:r w:rsidR="0079746C" w:rsidRPr="0079746C">
          <w:rPr>
            <w:rFonts w:ascii="Tahoma" w:hAnsi="Tahoma"/>
            <w:color w:val="0000FF"/>
            <w:u w:val="single"/>
            <w:rtl/>
          </w:rPr>
          <w:t>עפ"ג (מחוזי ת"א) 4148-02-22</w:t>
        </w:r>
      </w:hyperlink>
      <w:r w:rsidRPr="00491FC9">
        <w:rPr>
          <w:rFonts w:ascii="Tahoma" w:hAnsi="Tahoma" w:hint="cs"/>
          <w:rtl/>
        </w:rPr>
        <w:t xml:space="preserve"> </w:t>
      </w:r>
      <w:r w:rsidRPr="00491FC9">
        <w:rPr>
          <w:rFonts w:ascii="Tahoma" w:hAnsi="Tahoma" w:hint="cs"/>
          <w:b/>
          <w:bCs/>
          <w:rtl/>
        </w:rPr>
        <w:t>בלולו נ' מדינת ישראל</w:t>
      </w:r>
      <w:r w:rsidRPr="00491FC9">
        <w:rPr>
          <w:rFonts w:ascii="Tahoma" w:hAnsi="Tahoma" w:hint="cs"/>
          <w:rtl/>
        </w:rPr>
        <w:t xml:space="preserve"> (11.07.2022). בערעור דשם נקבע כי ב</w:t>
      </w:r>
      <w:r>
        <w:rPr>
          <w:rFonts w:ascii="Tahoma" w:hAnsi="Tahoma" w:hint="cs"/>
          <w:rtl/>
        </w:rPr>
        <w:t>מתחם עונש זה</w:t>
      </w:r>
      <w:r w:rsidRPr="00491FC9">
        <w:rPr>
          <w:rFonts w:ascii="Tahoma" w:hAnsi="Tahoma" w:hint="cs"/>
          <w:rtl/>
        </w:rPr>
        <w:t xml:space="preserve">ה </w:t>
      </w:r>
      <w:r w:rsidRPr="00491FC9">
        <w:rPr>
          <w:rFonts w:ascii="Tahoma" w:hAnsi="Tahoma"/>
          <w:rtl/>
        </w:rPr>
        <w:t>–</w:t>
      </w:r>
      <w:r w:rsidRPr="00491FC9">
        <w:rPr>
          <w:rFonts w:ascii="Tahoma" w:hAnsi="Tahoma" w:hint="cs"/>
          <w:rtl/>
        </w:rPr>
        <w:t xml:space="preserve"> לגבי מעבדה בה גודלו 290 שתילים של סמים מסוכנים מסוג קנבוס, במשקל כולל של 30 ק"ג נטו </w:t>
      </w:r>
      <w:r w:rsidRPr="00491FC9">
        <w:rPr>
          <w:rFonts w:ascii="Tahoma" w:hAnsi="Tahoma"/>
          <w:rtl/>
        </w:rPr>
        <w:t>–</w:t>
      </w:r>
      <w:r w:rsidRPr="00491FC9">
        <w:rPr>
          <w:rFonts w:ascii="Tahoma" w:hAnsi="Tahoma" w:hint="cs"/>
          <w:rtl/>
        </w:rPr>
        <w:t xml:space="preserve"> אין כל חומרה, הגם שלגבי המקרה הקונקרטי הוחלט לחרוג </w:t>
      </w:r>
      <w:r>
        <w:rPr>
          <w:rFonts w:ascii="Tahoma" w:hAnsi="Tahoma" w:hint="cs"/>
          <w:rtl/>
        </w:rPr>
        <w:t xml:space="preserve">לקולה </w:t>
      </w:r>
      <w:r w:rsidRPr="00491FC9">
        <w:rPr>
          <w:rFonts w:ascii="Tahoma" w:hAnsi="Tahoma" w:hint="cs"/>
          <w:rtl/>
        </w:rPr>
        <w:t>מהמתחם משיקולי שיקום.</w:t>
      </w:r>
    </w:p>
    <w:p w14:paraId="30E42C7E" w14:textId="77777777" w:rsidR="0038149A" w:rsidRPr="00D45B84" w:rsidRDefault="0038149A" w:rsidP="0038149A">
      <w:pPr>
        <w:numPr>
          <w:ilvl w:val="0"/>
          <w:numId w:val="1"/>
        </w:numPr>
        <w:spacing w:after="120" w:line="360" w:lineRule="auto"/>
        <w:ind w:left="360"/>
        <w:jc w:val="both"/>
        <w:rPr>
          <w:rFonts w:ascii="Tahoma" w:hAnsi="Tahoma"/>
        </w:rPr>
      </w:pPr>
      <w:r>
        <w:rPr>
          <w:rFonts w:ascii="Tahoma" w:hAnsi="Tahoma" w:hint="cs"/>
          <w:rtl/>
        </w:rPr>
        <w:t xml:space="preserve">במקרה דנא מדובר בכמות סמים מסוכנים פחותה מזו שנתפסה בעניין </w:t>
      </w:r>
      <w:r w:rsidRPr="00D45B84">
        <w:rPr>
          <w:rFonts w:ascii="Tahoma" w:hAnsi="Tahoma" w:hint="cs"/>
          <w:b/>
          <w:bCs/>
          <w:rtl/>
        </w:rPr>
        <w:t>קושנרקו</w:t>
      </w:r>
      <w:r>
        <w:rPr>
          <w:rFonts w:ascii="Tahoma" w:hAnsi="Tahoma" w:hint="cs"/>
          <w:rtl/>
        </w:rPr>
        <w:t xml:space="preserve">, שכן בסך הכל נתפסו ברשות הנאשם 32.7 ק"ג סמים נטו. עם זאת התקיימו בענייננו נסיבות חומרה נוספות, שכן הנאשם תפעל את המעבדה במשך כחצי שנה, תוך גניבת חשמל, מעשה שמעבר לגניבה כשלעצמה גם העמיד בסיכון את המבנה כולו </w:t>
      </w:r>
      <w:r>
        <w:rPr>
          <w:rFonts w:ascii="Tahoma" w:hAnsi="Tahoma"/>
          <w:rtl/>
        </w:rPr>
        <w:t>–</w:t>
      </w:r>
      <w:r>
        <w:rPr>
          <w:rFonts w:ascii="Tahoma" w:hAnsi="Tahoma" w:hint="cs"/>
          <w:rtl/>
        </w:rPr>
        <w:t xml:space="preserve"> בו לא רק הוא התגורר אלא גם הוריו. במכלול נסיבות אלה אני קובע אפוא את מתחם העונש ההולם, במקרה זה, בין 12 חודשי מאסר בפועל לבין 24 חודשי מאסר בפועל.</w:t>
      </w:r>
    </w:p>
    <w:p w14:paraId="3C8BA0D6" w14:textId="77777777" w:rsidR="0038149A" w:rsidRPr="00C828CC" w:rsidRDefault="0038149A" w:rsidP="0038149A">
      <w:pPr>
        <w:spacing w:after="120" w:line="360" w:lineRule="auto"/>
        <w:jc w:val="both"/>
        <w:rPr>
          <w:rFonts w:ascii="Tahoma" w:hAnsi="Tahoma"/>
          <w:rtl/>
        </w:rPr>
      </w:pPr>
    </w:p>
    <w:p w14:paraId="53A5FB05" w14:textId="77777777" w:rsidR="0038149A" w:rsidRPr="00DE0478" w:rsidRDefault="0038149A" w:rsidP="0038149A">
      <w:pPr>
        <w:pStyle w:val="a9"/>
        <w:numPr>
          <w:ilvl w:val="0"/>
          <w:numId w:val="2"/>
        </w:numPr>
        <w:spacing w:after="120" w:line="360" w:lineRule="auto"/>
        <w:ind w:left="360"/>
        <w:jc w:val="both"/>
        <w:rPr>
          <w:rFonts w:ascii="Tahoma" w:hAnsi="Tahoma"/>
          <w:b/>
          <w:bCs/>
          <w:u w:val="single"/>
        </w:rPr>
      </w:pPr>
      <w:r>
        <w:rPr>
          <w:rFonts w:ascii="Tahoma" w:hAnsi="Tahoma" w:hint="cs"/>
          <w:b/>
          <w:bCs/>
          <w:u w:val="single"/>
          <w:rtl/>
        </w:rPr>
        <w:t>גזירת עונשו של הנאשם בתוך מתחם העונש ההולם</w:t>
      </w:r>
      <w:r w:rsidRPr="00DE0478">
        <w:rPr>
          <w:rFonts w:ascii="Tahoma" w:hAnsi="Tahoma" w:hint="cs"/>
          <w:b/>
          <w:bCs/>
          <w:u w:val="single"/>
          <w:rtl/>
        </w:rPr>
        <w:t>:</w:t>
      </w:r>
    </w:p>
    <w:p w14:paraId="219BE162" w14:textId="77777777" w:rsidR="0038149A" w:rsidRDefault="0038149A" w:rsidP="0038149A">
      <w:pPr>
        <w:numPr>
          <w:ilvl w:val="0"/>
          <w:numId w:val="1"/>
        </w:numPr>
        <w:spacing w:after="120" w:line="360" w:lineRule="auto"/>
        <w:ind w:left="360"/>
        <w:jc w:val="both"/>
        <w:rPr>
          <w:rFonts w:ascii="Tahoma" w:hAnsi="Tahoma"/>
        </w:rPr>
      </w:pPr>
      <w:r w:rsidRPr="00D45B84">
        <w:rPr>
          <w:rFonts w:ascii="Tahoma" w:hAnsi="Tahoma" w:hint="cs"/>
          <w:rtl/>
        </w:rPr>
        <w:t xml:space="preserve">לאחר קביעת מתחם העונש ההולם על בית המשפט לגזור את עונשו של הנאשם בתוך מתחם זה תוך התחשבות בנסיבות שאינן קשורות בביצוע העבירות, לרבות אלה המנויות </w:t>
      </w:r>
      <w:r>
        <w:rPr>
          <w:rFonts w:ascii="Tahoma" w:hAnsi="Tahoma" w:hint="cs"/>
          <w:rtl/>
        </w:rPr>
        <w:t xml:space="preserve">בהוראות </w:t>
      </w:r>
      <w:hyperlink r:id="rId38" w:history="1">
        <w:r w:rsidR="00362368" w:rsidRPr="00362368">
          <w:rPr>
            <w:rStyle w:val="Hyperlink"/>
            <w:rFonts w:ascii="Tahoma" w:hAnsi="Tahoma" w:hint="eastAsia"/>
            <w:rtl/>
          </w:rPr>
          <w:t>סעיף</w:t>
        </w:r>
        <w:r w:rsidR="00362368" w:rsidRPr="00362368">
          <w:rPr>
            <w:rStyle w:val="Hyperlink"/>
            <w:rFonts w:ascii="Tahoma" w:hAnsi="Tahoma"/>
            <w:rtl/>
          </w:rPr>
          <w:t xml:space="preserve"> 40יא</w:t>
        </w:r>
      </w:hyperlink>
      <w:r>
        <w:rPr>
          <w:rFonts w:ascii="Tahoma" w:hAnsi="Tahoma" w:hint="cs"/>
          <w:rtl/>
        </w:rPr>
        <w:t xml:space="preserve"> ל</w:t>
      </w:r>
      <w:hyperlink r:id="rId39" w:history="1">
        <w:r w:rsidR="0079746C" w:rsidRPr="0079746C">
          <w:rPr>
            <w:rFonts w:ascii="Tahoma" w:hAnsi="Tahoma"/>
            <w:color w:val="0000FF"/>
            <w:u w:val="single"/>
            <w:rtl/>
          </w:rPr>
          <w:t>חוק העונשין</w:t>
        </w:r>
      </w:hyperlink>
      <w:r>
        <w:rPr>
          <w:rFonts w:ascii="Tahoma" w:hAnsi="Tahoma" w:hint="cs"/>
          <w:rtl/>
        </w:rPr>
        <w:t>.</w:t>
      </w:r>
    </w:p>
    <w:p w14:paraId="74223C06" w14:textId="77777777" w:rsidR="0038149A" w:rsidRDefault="0038149A" w:rsidP="0038149A">
      <w:pPr>
        <w:numPr>
          <w:ilvl w:val="0"/>
          <w:numId w:val="1"/>
        </w:numPr>
        <w:spacing w:after="120" w:line="360" w:lineRule="auto"/>
        <w:ind w:left="360"/>
        <w:jc w:val="both"/>
        <w:rPr>
          <w:rFonts w:ascii="Tahoma" w:hAnsi="Tahoma"/>
        </w:rPr>
      </w:pPr>
      <w:r>
        <w:rPr>
          <w:rFonts w:hint="cs"/>
          <w:rtl/>
        </w:rPr>
        <w:t>אשר לנאשם שלפניי, השיקולים הרלוואנטיים לגזירת עונשו הם כלהלן:</w:t>
      </w:r>
    </w:p>
    <w:p w14:paraId="6065A0B3" w14:textId="77777777" w:rsidR="0038149A" w:rsidRDefault="0038149A" w:rsidP="0038149A">
      <w:pPr>
        <w:snapToGrid w:val="0"/>
        <w:spacing w:after="120" w:line="360" w:lineRule="auto"/>
        <w:ind w:left="720"/>
        <w:jc w:val="both"/>
        <w:rPr>
          <w:rtl/>
        </w:rPr>
      </w:pPr>
      <w:r w:rsidRPr="00627467">
        <w:rPr>
          <w:rFonts w:hint="cs"/>
          <w:b/>
          <w:bCs/>
          <w:rtl/>
        </w:rPr>
        <w:t xml:space="preserve">עברו הפלילי של הנאשם </w:t>
      </w:r>
      <w:r w:rsidRPr="00627467">
        <w:rPr>
          <w:b/>
          <w:bCs/>
          <w:rtl/>
        </w:rPr>
        <w:t>–</w:t>
      </w:r>
      <w:r w:rsidRPr="00627467">
        <w:rPr>
          <w:rFonts w:hint="cs"/>
          <w:b/>
          <w:bCs/>
          <w:rtl/>
        </w:rPr>
        <w:t xml:space="preserve"> </w:t>
      </w:r>
      <w:r>
        <w:rPr>
          <w:rFonts w:hint="cs"/>
          <w:rtl/>
        </w:rPr>
        <w:t>לנאשם, יליד שנת 1985 (כבן 38 שנים כיום), אין הרשעות קודמות. מדובר, כמובן, בנסיבה מהותית לקולת העונש.</w:t>
      </w:r>
    </w:p>
    <w:p w14:paraId="35D2C9DF" w14:textId="77777777" w:rsidR="0038149A" w:rsidRDefault="0038149A" w:rsidP="0038149A">
      <w:pPr>
        <w:snapToGrid w:val="0"/>
        <w:spacing w:after="120" w:line="360" w:lineRule="auto"/>
        <w:ind w:left="720"/>
        <w:jc w:val="both"/>
        <w:rPr>
          <w:rtl/>
        </w:rPr>
      </w:pPr>
      <w:r w:rsidRPr="0047118D">
        <w:rPr>
          <w:rFonts w:hint="cs"/>
          <w:b/>
          <w:bCs/>
          <w:rtl/>
        </w:rPr>
        <w:t>הפגיעה של העונש בנאשם ובמשפחתו –</w:t>
      </w:r>
      <w:r w:rsidRPr="0047118D">
        <w:rPr>
          <w:rFonts w:hint="cs"/>
          <w:rtl/>
        </w:rPr>
        <w:t xml:space="preserve"> הטלת עונש של מאסר בפועל תפגע הן בנאשם והן במשפחתו</w:t>
      </w:r>
      <w:r>
        <w:rPr>
          <w:rFonts w:hint="cs"/>
          <w:rtl/>
        </w:rPr>
        <w:t xml:space="preserve"> (בנו הקטן ואביו המבוגר), ויש להתחשב בנתון זה.</w:t>
      </w:r>
    </w:p>
    <w:p w14:paraId="7297377E" w14:textId="77777777" w:rsidR="0038149A" w:rsidRDefault="0038149A" w:rsidP="0038149A">
      <w:pPr>
        <w:snapToGrid w:val="0"/>
        <w:spacing w:after="120" w:line="360" w:lineRule="auto"/>
        <w:ind w:left="720"/>
        <w:jc w:val="both"/>
        <w:rPr>
          <w:rFonts w:ascii="Tahoma" w:hAnsi="Tahoma"/>
          <w:rtl/>
        </w:rPr>
      </w:pPr>
      <w:r w:rsidRPr="00627467">
        <w:rPr>
          <w:rFonts w:hint="cs"/>
          <w:b/>
          <w:bCs/>
          <w:rtl/>
        </w:rPr>
        <w:t xml:space="preserve">הודאה ונטילת אחריות </w:t>
      </w:r>
      <w:r>
        <w:rPr>
          <w:rtl/>
        </w:rPr>
        <w:t>–</w:t>
      </w:r>
      <w:r>
        <w:rPr>
          <w:rFonts w:hint="cs"/>
          <w:rtl/>
        </w:rPr>
        <w:t xml:space="preserve"> על אף גדר מחלוקת מצומצם לכאורה ניהל הנאשם משפט בהיקף נרחב למדיי, שבמהלכו נשמעו עדים רבים. </w:t>
      </w:r>
      <w:r>
        <w:rPr>
          <w:rFonts w:ascii="Tahoma" w:hAnsi="Tahoma" w:hint="cs"/>
          <w:rtl/>
        </w:rPr>
        <w:t xml:space="preserve">זו היתה כמובן זכותו הבסיסית של הנאשם לנהוג כך וממילא אין לזקוף זאת לחובתו (ור' גם בהוראות </w:t>
      </w:r>
      <w:hyperlink r:id="rId40" w:history="1">
        <w:r w:rsidR="00362368" w:rsidRPr="00362368">
          <w:rPr>
            <w:rStyle w:val="Hyperlink"/>
            <w:rFonts w:ascii="Tahoma" w:hAnsi="Tahoma" w:hint="eastAsia"/>
            <w:rtl/>
          </w:rPr>
          <w:t>סעיף</w:t>
        </w:r>
        <w:r w:rsidR="00362368" w:rsidRPr="00362368">
          <w:rPr>
            <w:rStyle w:val="Hyperlink"/>
            <w:rFonts w:ascii="Tahoma" w:hAnsi="Tahoma"/>
            <w:rtl/>
          </w:rPr>
          <w:t xml:space="preserve"> 40יא(6)</w:t>
        </w:r>
      </w:hyperlink>
      <w:r>
        <w:rPr>
          <w:rFonts w:ascii="Tahoma" w:hAnsi="Tahoma" w:hint="cs"/>
          <w:rtl/>
        </w:rPr>
        <w:t xml:space="preserve"> סיפא ל</w:t>
      </w:r>
      <w:hyperlink r:id="rId41" w:history="1">
        <w:r w:rsidR="0079746C" w:rsidRPr="0079746C">
          <w:rPr>
            <w:rFonts w:ascii="Tahoma" w:hAnsi="Tahoma"/>
            <w:color w:val="0000FF"/>
            <w:u w:val="single"/>
            <w:rtl/>
          </w:rPr>
          <w:t>חוק העונשין</w:t>
        </w:r>
      </w:hyperlink>
      <w:r>
        <w:rPr>
          <w:rFonts w:ascii="Tahoma" w:hAnsi="Tahoma" w:hint="cs"/>
          <w:rtl/>
        </w:rPr>
        <w:t>). עם זאת, בנסיבות אלה אין הנאשם זכאי להקלה הניתנת למי שמודה באשמה ונוטל אחריות על מעשיו.</w:t>
      </w:r>
    </w:p>
    <w:p w14:paraId="2E38C18E" w14:textId="77777777" w:rsidR="0038149A" w:rsidRDefault="0038149A" w:rsidP="0038149A">
      <w:pPr>
        <w:snapToGrid w:val="0"/>
        <w:spacing w:after="120" w:line="360" w:lineRule="auto"/>
        <w:ind w:left="720"/>
        <w:jc w:val="both"/>
        <w:rPr>
          <w:rtl/>
        </w:rPr>
      </w:pPr>
      <w:r w:rsidRPr="00627467">
        <w:rPr>
          <w:rFonts w:hint="cs"/>
          <w:b/>
          <w:bCs/>
          <w:rtl/>
        </w:rPr>
        <w:t xml:space="preserve">נתוניו האישיים של הנאשם ונסיבות חייו </w:t>
      </w:r>
      <w:r>
        <w:rPr>
          <w:rtl/>
        </w:rPr>
        <w:t>–</w:t>
      </w:r>
      <w:r>
        <w:rPr>
          <w:rFonts w:hint="cs"/>
          <w:rtl/>
        </w:rPr>
        <w:t xml:space="preserve"> לנאשם נסיבות חיים מורכבות, כאמור בטיעון הסניגור, הגם שלא מדובר בנסיבות חיים יוצאות דופן. במהלך המשפט גם נתברר כי הנאשם הוא אדם נעים הליכות, תכונה שניכרת בין השאר בדרך התבטאותו. עם זאת, בהקשר זה לא למותר להזכיר כי הנאשם העיד על עצמו כאדם שבמצבי מצוקה נכון לעבור על החוק, לרבות בדרך של אמירת שקרים לבלשים ולחוקרי משטרה לצורך שיבוש חקירה (ר' בפסקה 61 להכרעת הדין).</w:t>
      </w:r>
    </w:p>
    <w:p w14:paraId="526623E6" w14:textId="77777777" w:rsidR="0038149A" w:rsidRDefault="0038149A" w:rsidP="0038149A">
      <w:pPr>
        <w:snapToGrid w:val="0"/>
        <w:spacing w:after="120" w:line="360" w:lineRule="auto"/>
        <w:ind w:left="720"/>
        <w:jc w:val="both"/>
        <w:rPr>
          <w:rtl/>
        </w:rPr>
      </w:pPr>
      <w:r>
        <w:rPr>
          <w:rFonts w:hint="cs"/>
          <w:b/>
          <w:bCs/>
          <w:rtl/>
        </w:rPr>
        <w:t>חלוף הזמן מעת ביצוע העבירות –</w:t>
      </w:r>
      <w:r>
        <w:rPr>
          <w:rFonts w:hint="cs"/>
          <w:rtl/>
        </w:rPr>
        <w:t xml:space="preserve"> מאז תום ביצוע העבירות חלפו כבר כמעט שנתיים ימים. ואולם, הנאשם הוא זה שבחר לנהל משפט ממושך, הן בשלב הדיונים המקדמיים והן בשלב שמיעת הראיות. שוב, כמובן שהיתה זו זכותו המלאה של הנאשם לנהוג באופן זה </w:t>
      </w:r>
      <w:r>
        <w:rPr>
          <w:rtl/>
        </w:rPr>
        <w:t>–</w:t>
      </w:r>
      <w:r>
        <w:rPr>
          <w:rFonts w:hint="cs"/>
          <w:rtl/>
        </w:rPr>
        <w:t xml:space="preserve"> אך בנסיבות אלה אין לזקוף את חלוף הזמן לחובתה של המאשימה.</w:t>
      </w:r>
    </w:p>
    <w:p w14:paraId="337C1B0D" w14:textId="77777777" w:rsidR="0038149A" w:rsidRDefault="0038149A" w:rsidP="0038149A">
      <w:pPr>
        <w:numPr>
          <w:ilvl w:val="0"/>
          <w:numId w:val="1"/>
        </w:numPr>
        <w:spacing w:after="120" w:line="360" w:lineRule="auto"/>
        <w:ind w:left="360"/>
        <w:jc w:val="both"/>
        <w:rPr>
          <w:rFonts w:ascii="Tahoma" w:hAnsi="Tahoma"/>
        </w:rPr>
      </w:pPr>
      <w:r>
        <w:rPr>
          <w:rFonts w:hint="cs"/>
          <w:rtl/>
        </w:rPr>
        <w:t xml:space="preserve">המסקנה המתבקשת ממכלול הנסיבות והשיקולים שפורטו לעיל מלמד כי במקרה זה נסיבות הקולה עולות במשקלן על נסיבות החומרה. עם זאת, נסיבות החומרה אינן מאפשרות, כפי שטענה ב"כ המאשימה, לגזור את דינו של הנאשם בתחתית מתחם העונש </w:t>
      </w:r>
      <w:r>
        <w:rPr>
          <w:rFonts w:ascii="Tahoma" w:hAnsi="Tahoma" w:hint="cs"/>
          <w:rtl/>
        </w:rPr>
        <w:t>ההולם. אני קובע אפוא את עונשו של הנאשם, ברכיב המאסר בפועל, לתקופה של 14 חודשים.</w:t>
      </w:r>
    </w:p>
    <w:p w14:paraId="3B269C29" w14:textId="77777777" w:rsidR="0038149A" w:rsidRPr="00247EA6" w:rsidRDefault="0038149A" w:rsidP="0038149A">
      <w:pPr>
        <w:numPr>
          <w:ilvl w:val="0"/>
          <w:numId w:val="1"/>
        </w:numPr>
        <w:spacing w:after="120" w:line="360" w:lineRule="auto"/>
        <w:ind w:left="360"/>
        <w:jc w:val="both"/>
        <w:rPr>
          <w:rFonts w:ascii="Tahoma" w:hAnsi="Tahoma"/>
        </w:rPr>
      </w:pPr>
      <w:r w:rsidRPr="00247EA6">
        <w:rPr>
          <w:rFonts w:ascii="Tahoma" w:hAnsi="Tahoma" w:hint="cs"/>
          <w:rtl/>
        </w:rPr>
        <w:t xml:space="preserve">נוכח טיב העבירות יש להשית </w:t>
      </w:r>
      <w:r>
        <w:rPr>
          <w:rFonts w:ascii="Tahoma" w:hAnsi="Tahoma" w:hint="cs"/>
          <w:rtl/>
        </w:rPr>
        <w:t xml:space="preserve">על הנאשם </w:t>
      </w:r>
      <w:r w:rsidRPr="00247EA6">
        <w:rPr>
          <w:rFonts w:ascii="Tahoma" w:hAnsi="Tahoma" w:hint="cs"/>
          <w:rtl/>
        </w:rPr>
        <w:t xml:space="preserve">גם ענישה כלכלית. עם זאת, בהתחשב בכך שסוגיית הרווח שהנאשם הפיק או אמור היה להפיק מביצוע העבירות כאמור לא נדונה בפניי, ותוך התחשבות גם </w:t>
      </w:r>
      <w:r>
        <w:rPr>
          <w:rFonts w:ascii="Tahoma" w:hAnsi="Tahoma" w:hint="cs"/>
          <w:rtl/>
        </w:rPr>
        <w:t xml:space="preserve">במצבו הכלכלי של הנאשם וגם </w:t>
      </w:r>
      <w:r w:rsidRPr="00247EA6">
        <w:rPr>
          <w:rFonts w:ascii="Tahoma" w:hAnsi="Tahoma" w:hint="cs"/>
          <w:rtl/>
        </w:rPr>
        <w:t xml:space="preserve">בכך שדינו נגזר </w:t>
      </w:r>
      <w:r>
        <w:rPr>
          <w:rFonts w:ascii="Tahoma" w:hAnsi="Tahoma" w:hint="cs"/>
          <w:rtl/>
        </w:rPr>
        <w:t xml:space="preserve">בזה </w:t>
      </w:r>
      <w:r w:rsidRPr="00247EA6">
        <w:rPr>
          <w:rFonts w:ascii="Tahoma" w:hAnsi="Tahoma" w:hint="cs"/>
          <w:rtl/>
        </w:rPr>
        <w:t xml:space="preserve">למאסר בפועל מאחורי סורג ובריח </w:t>
      </w:r>
      <w:r w:rsidRPr="00247EA6">
        <w:rPr>
          <w:rFonts w:ascii="Tahoma" w:hAnsi="Tahoma"/>
          <w:rtl/>
        </w:rPr>
        <w:t>–</w:t>
      </w:r>
      <w:r w:rsidRPr="00247EA6">
        <w:rPr>
          <w:rFonts w:ascii="Tahoma" w:hAnsi="Tahoma" w:hint="cs"/>
          <w:rtl/>
        </w:rPr>
        <w:t xml:space="preserve"> שיפגע כמובן ביכולתו </w:t>
      </w:r>
      <w:r>
        <w:rPr>
          <w:rFonts w:ascii="Tahoma" w:hAnsi="Tahoma" w:hint="cs"/>
          <w:rtl/>
        </w:rPr>
        <w:t>להתפרנס</w:t>
      </w:r>
      <w:r w:rsidRPr="00247EA6">
        <w:rPr>
          <w:rFonts w:ascii="Tahoma" w:hAnsi="Tahoma" w:hint="cs"/>
          <w:rtl/>
        </w:rPr>
        <w:t xml:space="preserve"> </w:t>
      </w:r>
      <w:r w:rsidRPr="00247EA6">
        <w:rPr>
          <w:rFonts w:ascii="Tahoma" w:hAnsi="Tahoma"/>
          <w:rtl/>
        </w:rPr>
        <w:t>–</w:t>
      </w:r>
      <w:r w:rsidRPr="00247EA6">
        <w:rPr>
          <w:rFonts w:ascii="Tahoma" w:hAnsi="Tahoma" w:hint="cs"/>
          <w:rtl/>
        </w:rPr>
        <w:t xml:space="preserve"> איני מוצא מקום להחמיר </w:t>
      </w:r>
      <w:r>
        <w:rPr>
          <w:rFonts w:ascii="Tahoma" w:hAnsi="Tahoma" w:hint="cs"/>
          <w:rtl/>
        </w:rPr>
        <w:t>עם</w:t>
      </w:r>
      <w:r w:rsidRPr="00247EA6">
        <w:rPr>
          <w:rFonts w:ascii="Tahoma" w:hAnsi="Tahoma" w:hint="cs"/>
          <w:rtl/>
        </w:rPr>
        <w:t xml:space="preserve"> הנאשם ברכיב </w:t>
      </w:r>
      <w:r>
        <w:rPr>
          <w:rFonts w:ascii="Tahoma" w:hAnsi="Tahoma" w:hint="cs"/>
          <w:rtl/>
        </w:rPr>
        <w:t>ה</w:t>
      </w:r>
      <w:r w:rsidRPr="00247EA6">
        <w:rPr>
          <w:rFonts w:ascii="Tahoma" w:hAnsi="Tahoma" w:hint="cs"/>
          <w:rtl/>
        </w:rPr>
        <w:t xml:space="preserve">ענישה </w:t>
      </w:r>
      <w:r>
        <w:rPr>
          <w:rFonts w:ascii="Tahoma" w:hAnsi="Tahoma" w:hint="cs"/>
          <w:rtl/>
        </w:rPr>
        <w:t>הכלכלי</w:t>
      </w:r>
      <w:r w:rsidRPr="00247EA6">
        <w:rPr>
          <w:rFonts w:ascii="Tahoma" w:hAnsi="Tahoma" w:hint="cs"/>
          <w:rtl/>
        </w:rPr>
        <w:t>.</w:t>
      </w:r>
    </w:p>
    <w:p w14:paraId="5341B3F3" w14:textId="77777777" w:rsidR="0038149A" w:rsidRPr="00BF601D" w:rsidRDefault="0038149A" w:rsidP="0038149A">
      <w:pPr>
        <w:spacing w:after="120" w:line="360" w:lineRule="auto"/>
        <w:jc w:val="both"/>
        <w:rPr>
          <w:rFonts w:ascii="Tahoma" w:hAnsi="Tahoma"/>
          <w:rtl/>
        </w:rPr>
      </w:pPr>
    </w:p>
    <w:p w14:paraId="1AA15010" w14:textId="77777777" w:rsidR="0038149A" w:rsidRPr="00D41BC3" w:rsidRDefault="0038149A" w:rsidP="0038149A">
      <w:pPr>
        <w:pStyle w:val="a9"/>
        <w:numPr>
          <w:ilvl w:val="0"/>
          <w:numId w:val="2"/>
        </w:numPr>
        <w:spacing w:after="120" w:line="360" w:lineRule="auto"/>
        <w:ind w:left="360"/>
        <w:jc w:val="both"/>
        <w:rPr>
          <w:rFonts w:ascii="Tahoma" w:hAnsi="Tahoma"/>
          <w:b/>
          <w:bCs/>
          <w:u w:val="single"/>
          <w:rtl/>
        </w:rPr>
      </w:pPr>
      <w:r w:rsidRPr="00D41BC3">
        <w:rPr>
          <w:rFonts w:hint="cs"/>
          <w:b/>
          <w:bCs/>
          <w:u w:val="single"/>
          <w:rtl/>
        </w:rPr>
        <w:t>סוף דבר:</w:t>
      </w:r>
    </w:p>
    <w:p w14:paraId="39894709" w14:textId="77777777" w:rsidR="0038149A" w:rsidRPr="00A039EC" w:rsidRDefault="0038149A" w:rsidP="0038149A">
      <w:pPr>
        <w:numPr>
          <w:ilvl w:val="0"/>
          <w:numId w:val="1"/>
        </w:numPr>
        <w:spacing w:after="120" w:line="360" w:lineRule="auto"/>
        <w:ind w:left="360"/>
        <w:jc w:val="both"/>
        <w:rPr>
          <w:rFonts w:ascii="Tahoma" w:hAnsi="Tahoma"/>
          <w:rtl/>
        </w:rPr>
      </w:pPr>
      <w:r>
        <w:rPr>
          <w:rFonts w:hint="cs"/>
          <w:rtl/>
        </w:rPr>
        <w:t xml:space="preserve">אשר על כן </w:t>
      </w:r>
      <w:r>
        <w:rPr>
          <w:rtl/>
        </w:rPr>
        <w:t>–</w:t>
      </w:r>
      <w:r>
        <w:rPr>
          <w:rFonts w:hint="cs"/>
          <w:rtl/>
        </w:rPr>
        <w:t xml:space="preserve"> ובהתחשב בשיקולים לכף חומרה ולכף קולה, אשר פורטו לעיל </w:t>
      </w:r>
      <w:r>
        <w:rPr>
          <w:rtl/>
        </w:rPr>
        <w:t>–</w:t>
      </w:r>
      <w:r>
        <w:rPr>
          <w:rFonts w:hint="cs"/>
          <w:rtl/>
        </w:rPr>
        <w:t xml:space="preserve"> אני גוזר על הנאשם את העונשים הבאים:</w:t>
      </w:r>
    </w:p>
    <w:p w14:paraId="6276FA36" w14:textId="77777777" w:rsidR="0038149A" w:rsidRDefault="0038149A" w:rsidP="0038149A">
      <w:pPr>
        <w:spacing w:after="120" w:line="360" w:lineRule="auto"/>
        <w:ind w:left="1080" w:hanging="720"/>
        <w:jc w:val="both"/>
        <w:rPr>
          <w:rFonts w:ascii="Tahoma" w:hAnsi="Tahoma"/>
          <w:rtl/>
        </w:rPr>
      </w:pPr>
      <w:r>
        <w:rPr>
          <w:rFonts w:hint="cs"/>
          <w:rtl/>
        </w:rPr>
        <w:t>(א)</w:t>
      </w:r>
      <w:r>
        <w:rPr>
          <w:rtl/>
        </w:rPr>
        <w:tab/>
      </w:r>
      <w:r>
        <w:rPr>
          <w:rFonts w:hint="cs"/>
          <w:rtl/>
        </w:rPr>
        <w:t>14 חודשי מאסר בפועל, בניכוי ימי מעצרו בהתאם לרישומי שירות בתי הסוהר.</w:t>
      </w:r>
    </w:p>
    <w:p w14:paraId="0969D093" w14:textId="77777777" w:rsidR="0038149A" w:rsidRDefault="0038149A" w:rsidP="0038149A">
      <w:pPr>
        <w:spacing w:after="120" w:line="360" w:lineRule="auto"/>
        <w:ind w:left="1080"/>
        <w:jc w:val="both"/>
        <w:rPr>
          <w:rFonts w:ascii="Tahoma" w:hAnsi="Tahoma"/>
        </w:rPr>
      </w:pPr>
      <w:r>
        <w:rPr>
          <w:rFonts w:ascii="Tahoma" w:hAnsi="Tahoma" w:hint="cs"/>
          <w:rtl/>
        </w:rPr>
        <w:t>על הנאשם להתייצב לנשיאת עונשו בבית המעצר ניצן, או במקום אחר שייקבע שירות בתי הסוהר, ביום 20.08.2023 עד השעה 10:00.</w:t>
      </w:r>
    </w:p>
    <w:p w14:paraId="3B733A8B" w14:textId="77777777" w:rsidR="0038149A" w:rsidRDefault="0038149A" w:rsidP="0038149A">
      <w:pPr>
        <w:spacing w:after="120" w:line="360" w:lineRule="auto"/>
        <w:ind w:left="1080"/>
        <w:jc w:val="both"/>
        <w:rPr>
          <w:rFonts w:ascii="Tahoma" w:hAnsi="Tahoma"/>
          <w:rtl/>
        </w:rPr>
      </w:pPr>
      <w:r>
        <w:rPr>
          <w:rFonts w:ascii="Tahoma" w:hAnsi="Tahoma" w:hint="cs"/>
          <w:rtl/>
        </w:rPr>
        <w:t xml:space="preserve">ב"כ הנאשם יתאם את הכניסה למאסר עם </w:t>
      </w:r>
      <w:r>
        <w:rPr>
          <w:rFonts w:hint="cs"/>
          <w:rtl/>
        </w:rPr>
        <w:t>ענף אבחון ומיון של</w:t>
      </w:r>
      <w:r>
        <w:rPr>
          <w:rFonts w:ascii="Tahoma" w:hAnsi="Tahoma" w:hint="cs"/>
          <w:rtl/>
        </w:rPr>
        <w:t xml:space="preserve"> שירות בתי הסוהר, על מנת להבטיח עריכת "מיון מוקדם" לנאשם אשר יקל על קליטתו בבית הסוהר.</w:t>
      </w:r>
    </w:p>
    <w:p w14:paraId="4E99C79A" w14:textId="77777777" w:rsidR="0038149A" w:rsidRDefault="0038149A" w:rsidP="0038149A">
      <w:pPr>
        <w:spacing w:after="120" w:line="360" w:lineRule="auto"/>
        <w:ind w:left="1080" w:hanging="720"/>
        <w:jc w:val="both"/>
        <w:rPr>
          <w:rFonts w:ascii="Tahoma" w:hAnsi="Tahoma"/>
          <w:rtl/>
        </w:rPr>
      </w:pPr>
      <w:r>
        <w:rPr>
          <w:rFonts w:hint="cs"/>
          <w:rtl/>
        </w:rPr>
        <w:t>(ב)</w:t>
      </w:r>
      <w:r>
        <w:rPr>
          <w:rtl/>
        </w:rPr>
        <w:tab/>
      </w:r>
      <w:r>
        <w:rPr>
          <w:rFonts w:hint="cs"/>
          <w:rtl/>
        </w:rPr>
        <w:t xml:space="preserve">מאסר על תנאי למשך 6 חודשים, אותו לא יישא הנאשם אלא אם כן יעבור, תוך שלוש שנים מיום שחרורו מן המאסר, עבירה </w:t>
      </w:r>
      <w:r>
        <w:rPr>
          <w:rFonts w:ascii="Tahoma" w:hAnsi="Tahoma" w:hint="cs"/>
          <w:rtl/>
        </w:rPr>
        <w:t xml:space="preserve">לפי הוראות </w:t>
      </w:r>
      <w:hyperlink r:id="rId42" w:history="1">
        <w:r w:rsidR="0079746C" w:rsidRPr="0079746C">
          <w:rPr>
            <w:rFonts w:ascii="Tahoma" w:hAnsi="Tahoma"/>
            <w:color w:val="0000FF"/>
            <w:u w:val="single"/>
            <w:rtl/>
          </w:rPr>
          <w:t>פקודת הסמים המסוכנים</w:t>
        </w:r>
      </w:hyperlink>
      <w:r>
        <w:rPr>
          <w:rFonts w:ascii="Tahoma" w:hAnsi="Tahoma" w:hint="cs"/>
          <w:rtl/>
        </w:rPr>
        <w:t xml:space="preserve"> מסוג פשע.</w:t>
      </w:r>
    </w:p>
    <w:p w14:paraId="7C8B485E" w14:textId="77777777" w:rsidR="0038149A" w:rsidRDefault="0038149A" w:rsidP="0038149A">
      <w:pPr>
        <w:spacing w:after="120" w:line="360" w:lineRule="auto"/>
        <w:ind w:left="1080" w:hanging="720"/>
        <w:jc w:val="both"/>
        <w:rPr>
          <w:rtl/>
        </w:rPr>
      </w:pPr>
      <w:r>
        <w:rPr>
          <w:rFonts w:hint="cs"/>
          <w:rtl/>
        </w:rPr>
        <w:t>(ד)</w:t>
      </w:r>
      <w:r>
        <w:rPr>
          <w:rtl/>
        </w:rPr>
        <w:tab/>
      </w:r>
      <w:r>
        <w:rPr>
          <w:rFonts w:hint="cs"/>
          <w:rtl/>
        </w:rPr>
        <w:t>קנס בסך של 5,000 ₪, או 30 ימי מאסר תמורתו.</w:t>
      </w:r>
    </w:p>
    <w:p w14:paraId="06642DCC" w14:textId="77777777" w:rsidR="0038149A" w:rsidRDefault="0038149A" w:rsidP="0038149A">
      <w:pPr>
        <w:spacing w:after="120" w:line="360" w:lineRule="auto"/>
        <w:ind w:left="1080"/>
        <w:jc w:val="both"/>
        <w:rPr>
          <w:rFonts w:ascii="Tahoma" w:hAnsi="Tahoma"/>
          <w:rtl/>
        </w:rPr>
      </w:pPr>
      <w:r>
        <w:rPr>
          <w:rFonts w:hint="cs"/>
          <w:rtl/>
        </w:rPr>
        <w:t>הקנס ישולם ב-10 תשלומים חודשיים, שווים ורצופים, החל מיום 01.11.2023 ובכל אחד בחודש שלאחריו. היה והנאשם לא ישלם את אחד התשלומים במועד תועמד כל יתרת הקנס לפירעון מידי.</w:t>
      </w:r>
    </w:p>
    <w:p w14:paraId="4C3D9119" w14:textId="77777777" w:rsidR="0038149A" w:rsidRPr="0038149A" w:rsidRDefault="0038149A" w:rsidP="0038149A">
      <w:pPr>
        <w:spacing w:after="120" w:line="360" w:lineRule="auto"/>
        <w:ind w:left="1080" w:hanging="720"/>
        <w:jc w:val="both"/>
        <w:rPr>
          <w:rFonts w:ascii="Calibri" w:hAnsi="Calibri"/>
        </w:rPr>
      </w:pPr>
      <w:r w:rsidRPr="0038149A">
        <w:rPr>
          <w:rFonts w:ascii="Calibri" w:hAnsi="Calibri" w:hint="cs"/>
          <w:rtl/>
        </w:rPr>
        <w:t>(ה)</w:t>
      </w:r>
      <w:r w:rsidRPr="0038149A">
        <w:rPr>
          <w:rFonts w:ascii="Calibri" w:hAnsi="Calibri"/>
          <w:rtl/>
        </w:rPr>
        <w:tab/>
      </w:r>
      <w:r w:rsidRPr="0038149A">
        <w:rPr>
          <w:rFonts w:ascii="Calibri" w:hAnsi="Calibri" w:hint="cs"/>
          <w:rtl/>
        </w:rPr>
        <w:t xml:space="preserve">חילוט הרכוש ששימש לביצוע העבירות, כמפורט בבקשה שבסיפא לכתב האישום, וזאת מכוח </w:t>
      </w:r>
      <w:r>
        <w:rPr>
          <w:rtl/>
        </w:rPr>
        <w:t xml:space="preserve">הוראות </w:t>
      </w:r>
      <w:hyperlink r:id="rId43" w:history="1">
        <w:r w:rsidR="0079746C" w:rsidRPr="0079746C">
          <w:rPr>
            <w:color w:val="0000FF"/>
            <w:u w:val="single"/>
            <w:rtl/>
          </w:rPr>
          <w:t>פקודת סדר הדין הפלילי (מעצר וחיפוש)</w:t>
        </w:r>
      </w:hyperlink>
      <w:r>
        <w:rPr>
          <w:rtl/>
        </w:rPr>
        <w:t xml:space="preserve"> [נוסח חדש), תשכ"ט-1969.</w:t>
      </w:r>
    </w:p>
    <w:p w14:paraId="70F44971" w14:textId="77777777" w:rsidR="0038149A" w:rsidRDefault="0038149A" w:rsidP="0038149A">
      <w:pPr>
        <w:spacing w:after="120" w:line="360" w:lineRule="auto"/>
        <w:jc w:val="both"/>
        <w:rPr>
          <w:rtl/>
        </w:rPr>
      </w:pPr>
      <w:r w:rsidRPr="00BF022E">
        <w:rPr>
          <w:rtl/>
        </w:rPr>
        <w:t>ככל ש</w:t>
      </w:r>
      <w:r>
        <w:rPr>
          <w:rFonts w:hint="cs"/>
          <w:rtl/>
        </w:rPr>
        <w:t xml:space="preserve">נותר בתיק בית המשפט </w:t>
      </w:r>
      <w:r>
        <w:rPr>
          <w:rtl/>
        </w:rPr>
        <w:t>–</w:t>
      </w:r>
      <w:r>
        <w:rPr>
          <w:rFonts w:hint="cs"/>
          <w:rtl/>
        </w:rPr>
        <w:t xml:space="preserve"> או בתיקים קשורים </w:t>
      </w:r>
      <w:r>
        <w:rPr>
          <w:rtl/>
        </w:rPr>
        <w:t>–</w:t>
      </w:r>
      <w:r>
        <w:rPr>
          <w:rFonts w:hint="cs"/>
          <w:rtl/>
        </w:rPr>
        <w:t xml:space="preserve"> פיקדון שהופקד מטעם הנאשם, בהסכמת ההגנה יקוזז הפיקדון לתשלום הקנס, כאשר הנאשם יידרש לשלם רק את יתרת הסכום שתיוותר.</w:t>
      </w:r>
    </w:p>
    <w:p w14:paraId="66B25A53" w14:textId="77777777" w:rsidR="0038149A" w:rsidRDefault="0038149A" w:rsidP="0038149A">
      <w:pPr>
        <w:spacing w:after="120" w:line="360" w:lineRule="auto"/>
        <w:jc w:val="both"/>
        <w:rPr>
          <w:rtl/>
        </w:rPr>
      </w:pPr>
      <w:r>
        <w:rPr>
          <w:rFonts w:hint="cs"/>
          <w:rtl/>
        </w:rPr>
        <w:t>ניתן בזה צו כללי, לעניין מוצגים, לשיקול דעתו של קצין משטרה. הסמים יושמדו.</w:t>
      </w:r>
    </w:p>
    <w:p w14:paraId="6340201B" w14:textId="77777777" w:rsidR="0038149A" w:rsidRDefault="0079746C" w:rsidP="0038149A">
      <w:pPr>
        <w:snapToGrid w:val="0"/>
        <w:spacing w:after="120" w:line="360" w:lineRule="auto"/>
        <w:jc w:val="both"/>
        <w:rPr>
          <w:rtl/>
        </w:rPr>
      </w:pPr>
      <w:r w:rsidRPr="0079746C">
        <w:rPr>
          <w:color w:val="FFFFFF"/>
          <w:sz w:val="2"/>
          <w:szCs w:val="2"/>
          <w:rtl/>
        </w:rPr>
        <w:t>5129371</w:t>
      </w:r>
      <w:r w:rsidR="0038149A">
        <w:rPr>
          <w:rFonts w:hint="cs"/>
          <w:rtl/>
        </w:rPr>
        <w:t>זכות ערעור בתוך 45 יום מהיום.</w:t>
      </w:r>
    </w:p>
    <w:p w14:paraId="2E1C929D" w14:textId="77777777" w:rsidR="0038149A" w:rsidRPr="00250B83" w:rsidRDefault="0079746C" w:rsidP="0038149A">
      <w:pPr>
        <w:rPr>
          <w:rtl/>
        </w:rPr>
      </w:pPr>
      <w:bookmarkStart w:id="8" w:name="Nitan"/>
      <w:r w:rsidRPr="0079746C">
        <w:rPr>
          <w:rFonts w:ascii="Arial" w:hAnsi="Arial"/>
          <w:color w:val="FFFFFF"/>
          <w:sz w:val="2"/>
          <w:szCs w:val="2"/>
          <w:rtl/>
        </w:rPr>
        <w:t>54678313</w:t>
      </w:r>
      <w:r>
        <w:rPr>
          <w:rFonts w:ascii="Arial" w:hAnsi="Arial"/>
          <w:rtl/>
        </w:rPr>
        <w:t xml:space="preserve">ניתן היום, ט"ז תמוז תשפ"ג, 05 יולי 2023, במעמד הצדדים. </w:t>
      </w:r>
      <w:bookmarkEnd w:id="8"/>
    </w:p>
    <w:p w14:paraId="19314C9B" w14:textId="77777777" w:rsidR="0038149A" w:rsidRPr="00250B83" w:rsidRDefault="0038149A" w:rsidP="0079746C">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1354994C" w14:textId="77777777" w:rsidR="0038149A" w:rsidRPr="00250B83" w:rsidRDefault="0038149A" w:rsidP="0038149A">
      <w:pPr>
        <w:jc w:val="center"/>
        <w:rPr>
          <w:rFonts w:ascii="Arial" w:hAnsi="Arial"/>
          <w:rtl/>
        </w:rPr>
      </w:pPr>
    </w:p>
    <w:p w14:paraId="2F89BAEC" w14:textId="77777777" w:rsidR="0038149A" w:rsidRPr="00250B83" w:rsidRDefault="0038149A" w:rsidP="0038149A">
      <w:pPr>
        <w:rPr>
          <w:rtl/>
        </w:rPr>
      </w:pPr>
    </w:p>
    <w:p w14:paraId="51D4C00F" w14:textId="77777777" w:rsidR="0038149A" w:rsidRDefault="0038149A" w:rsidP="0038149A">
      <w:pPr>
        <w:pStyle w:val="a3"/>
        <w:jc w:val="center"/>
        <w:rPr>
          <w:rtl/>
        </w:rPr>
      </w:pPr>
    </w:p>
    <w:p w14:paraId="69D8CE7F" w14:textId="77777777" w:rsidR="001239BD" w:rsidRPr="0079746C" w:rsidRDefault="001239BD" w:rsidP="0079746C">
      <w:pPr>
        <w:keepNext/>
        <w:rPr>
          <w:rFonts w:ascii="David" w:hAnsi="David"/>
          <w:color w:val="000000"/>
          <w:sz w:val="22"/>
          <w:szCs w:val="22"/>
          <w:rtl/>
        </w:rPr>
      </w:pPr>
    </w:p>
    <w:p w14:paraId="3D76D02E" w14:textId="77777777" w:rsidR="0079746C" w:rsidRPr="0079746C" w:rsidRDefault="0079746C" w:rsidP="0079746C">
      <w:pPr>
        <w:keepNext/>
        <w:rPr>
          <w:rFonts w:ascii="David" w:hAnsi="David"/>
          <w:color w:val="000000"/>
          <w:sz w:val="22"/>
          <w:szCs w:val="22"/>
          <w:rtl/>
        </w:rPr>
      </w:pPr>
      <w:r w:rsidRPr="0079746C">
        <w:rPr>
          <w:rFonts w:ascii="David" w:hAnsi="David"/>
          <w:color w:val="000000"/>
          <w:sz w:val="22"/>
          <w:szCs w:val="22"/>
          <w:rtl/>
        </w:rPr>
        <w:t>שאול אבינור 54678313</w:t>
      </w:r>
    </w:p>
    <w:p w14:paraId="121D39B9" w14:textId="77777777" w:rsidR="0079746C" w:rsidRDefault="0079746C" w:rsidP="0079746C">
      <w:r w:rsidRPr="0079746C">
        <w:rPr>
          <w:color w:val="000000"/>
          <w:rtl/>
        </w:rPr>
        <w:t>נוסח מסמך זה כפוף לשינויי ניסוח ועריכה</w:t>
      </w:r>
    </w:p>
    <w:p w14:paraId="063C2CDA" w14:textId="77777777" w:rsidR="0079746C" w:rsidRDefault="0079746C" w:rsidP="0079746C">
      <w:pPr>
        <w:rPr>
          <w:rtl/>
        </w:rPr>
      </w:pPr>
    </w:p>
    <w:p w14:paraId="4D9154FA" w14:textId="77777777" w:rsidR="0079746C" w:rsidRDefault="0079746C" w:rsidP="0079746C">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5B75D3FC" w14:textId="77777777" w:rsidR="0079746C" w:rsidRPr="0079746C" w:rsidRDefault="0079746C" w:rsidP="0079746C">
      <w:pPr>
        <w:jc w:val="center"/>
        <w:rPr>
          <w:color w:val="0000FF"/>
          <w:u w:val="single"/>
        </w:rPr>
      </w:pPr>
    </w:p>
    <w:sectPr w:rsidR="0079746C" w:rsidRPr="0079746C" w:rsidSect="0079746C">
      <w:headerReference w:type="even" r:id="rId45"/>
      <w:headerReference w:type="default" r:id="rId46"/>
      <w:footerReference w:type="even" r:id="rId47"/>
      <w:footerReference w:type="default" r:id="rId48"/>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305B5C" w14:textId="77777777" w:rsidR="005945F6" w:rsidRDefault="005945F6" w:rsidP="00F64995">
      <w:r>
        <w:separator/>
      </w:r>
    </w:p>
  </w:endnote>
  <w:endnote w:type="continuationSeparator" w:id="0">
    <w:p w14:paraId="69110687" w14:textId="77777777" w:rsidR="005945F6" w:rsidRDefault="005945F6" w:rsidP="00F6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6B5EB" w14:textId="77777777" w:rsidR="0079746C" w:rsidRDefault="0079746C" w:rsidP="0079746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07DA1E1" w14:textId="77777777" w:rsidR="00BA5A7D" w:rsidRPr="0079746C" w:rsidRDefault="0079746C" w:rsidP="0079746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1ABCC" w14:textId="77777777" w:rsidR="0079746C" w:rsidRDefault="0079746C" w:rsidP="0079746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51603">
      <w:rPr>
        <w:rFonts w:ascii="FrankRuehl" w:hAnsi="FrankRuehl" w:cs="FrankRuehl"/>
        <w:noProof/>
        <w:rtl/>
      </w:rPr>
      <w:t>1</w:t>
    </w:r>
    <w:r>
      <w:rPr>
        <w:rFonts w:ascii="FrankRuehl" w:hAnsi="FrankRuehl" w:cs="FrankRuehl"/>
        <w:rtl/>
      </w:rPr>
      <w:fldChar w:fldCharType="end"/>
    </w:r>
  </w:p>
  <w:p w14:paraId="001873E0" w14:textId="77777777" w:rsidR="00BA5A7D" w:rsidRPr="0079746C" w:rsidRDefault="0079746C" w:rsidP="0079746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5AE5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F6918D" w14:textId="77777777" w:rsidR="005945F6" w:rsidRDefault="005945F6" w:rsidP="00F64995">
      <w:r>
        <w:separator/>
      </w:r>
    </w:p>
  </w:footnote>
  <w:footnote w:type="continuationSeparator" w:id="0">
    <w:p w14:paraId="3A0F595A" w14:textId="77777777" w:rsidR="005945F6" w:rsidRDefault="005945F6" w:rsidP="00F649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638DD6" w14:textId="77777777" w:rsidR="0079746C" w:rsidRPr="0079746C" w:rsidRDefault="0079746C" w:rsidP="0079746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45516-08-21</w:t>
    </w:r>
    <w:r>
      <w:rPr>
        <w:rFonts w:ascii="David" w:hAnsi="David"/>
        <w:color w:val="000000"/>
        <w:sz w:val="22"/>
        <w:szCs w:val="22"/>
        <w:rtl/>
      </w:rPr>
      <w:tab/>
      <w:t xml:space="preserve"> מדינת ישראל נ' אלירן סער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CC5E3" w14:textId="77777777" w:rsidR="0079746C" w:rsidRPr="0079746C" w:rsidRDefault="0079746C" w:rsidP="0079746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45516-08-21</w:t>
    </w:r>
    <w:r>
      <w:rPr>
        <w:rFonts w:ascii="David" w:hAnsi="David"/>
        <w:color w:val="000000"/>
        <w:sz w:val="22"/>
        <w:szCs w:val="22"/>
        <w:rtl/>
      </w:rPr>
      <w:tab/>
      <w:t xml:space="preserve"> מדינת ישראל נ' אלירן סער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C4461A"/>
    <w:multiLevelType w:val="hybridMultilevel"/>
    <w:tmpl w:val="7C8202F8"/>
    <w:lvl w:ilvl="0" w:tplc="2960ADDA">
      <w:start w:val="1"/>
      <w:numFmt w:val="decimal"/>
      <w:lvlText w:val="%1."/>
      <w:lvlJc w:val="left"/>
      <w:pPr>
        <w:ind w:left="720" w:hanging="360"/>
      </w:pPr>
      <w:rPr>
        <w:rFonts w:hint="default"/>
        <w:sz w:val="24"/>
        <w:szCs w:val="24"/>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65310C"/>
    <w:multiLevelType w:val="hybridMultilevel"/>
    <w:tmpl w:val="9448F7A0"/>
    <w:lvl w:ilvl="0" w:tplc="29AC2444">
      <w:start w:val="1"/>
      <w:numFmt w:val="hebrew1"/>
      <w:lvlText w:val="%1."/>
      <w:lvlJc w:val="left"/>
      <w:pPr>
        <w:ind w:left="728" w:hanging="360"/>
      </w:pPr>
      <w:rPr>
        <w:rFonts w:hint="default"/>
        <w:u w:val="none"/>
      </w:rPr>
    </w:lvl>
    <w:lvl w:ilvl="1" w:tplc="04090019" w:tentative="1">
      <w:start w:val="1"/>
      <w:numFmt w:val="lowerLetter"/>
      <w:lvlText w:val="%2."/>
      <w:lvlJc w:val="left"/>
      <w:pPr>
        <w:ind w:left="1448" w:hanging="360"/>
      </w:pPr>
    </w:lvl>
    <w:lvl w:ilvl="2" w:tplc="0409001B" w:tentative="1">
      <w:start w:val="1"/>
      <w:numFmt w:val="lowerRoman"/>
      <w:lvlText w:val="%3."/>
      <w:lvlJc w:val="right"/>
      <w:pPr>
        <w:ind w:left="2168" w:hanging="180"/>
      </w:pPr>
    </w:lvl>
    <w:lvl w:ilvl="3" w:tplc="0409000F" w:tentative="1">
      <w:start w:val="1"/>
      <w:numFmt w:val="decimal"/>
      <w:lvlText w:val="%4."/>
      <w:lvlJc w:val="left"/>
      <w:pPr>
        <w:ind w:left="2888" w:hanging="360"/>
      </w:pPr>
    </w:lvl>
    <w:lvl w:ilvl="4" w:tplc="04090019" w:tentative="1">
      <w:start w:val="1"/>
      <w:numFmt w:val="lowerLetter"/>
      <w:lvlText w:val="%5."/>
      <w:lvlJc w:val="left"/>
      <w:pPr>
        <w:ind w:left="3608" w:hanging="360"/>
      </w:pPr>
    </w:lvl>
    <w:lvl w:ilvl="5" w:tplc="0409001B" w:tentative="1">
      <w:start w:val="1"/>
      <w:numFmt w:val="lowerRoman"/>
      <w:lvlText w:val="%6."/>
      <w:lvlJc w:val="right"/>
      <w:pPr>
        <w:ind w:left="4328" w:hanging="180"/>
      </w:pPr>
    </w:lvl>
    <w:lvl w:ilvl="6" w:tplc="0409000F" w:tentative="1">
      <w:start w:val="1"/>
      <w:numFmt w:val="decimal"/>
      <w:lvlText w:val="%7."/>
      <w:lvlJc w:val="left"/>
      <w:pPr>
        <w:ind w:left="5048" w:hanging="360"/>
      </w:pPr>
    </w:lvl>
    <w:lvl w:ilvl="7" w:tplc="04090019" w:tentative="1">
      <w:start w:val="1"/>
      <w:numFmt w:val="lowerLetter"/>
      <w:lvlText w:val="%8."/>
      <w:lvlJc w:val="left"/>
      <w:pPr>
        <w:ind w:left="5768" w:hanging="360"/>
      </w:pPr>
    </w:lvl>
    <w:lvl w:ilvl="8" w:tplc="0409001B" w:tentative="1">
      <w:start w:val="1"/>
      <w:numFmt w:val="lowerRoman"/>
      <w:lvlText w:val="%9."/>
      <w:lvlJc w:val="right"/>
      <w:pPr>
        <w:ind w:left="6488" w:hanging="180"/>
      </w:pPr>
    </w:lvl>
  </w:abstractNum>
  <w:num w:numId="1" w16cid:durableId="818618314">
    <w:abstractNumId w:val="0"/>
  </w:num>
  <w:num w:numId="2" w16cid:durableId="1127696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8149A"/>
    <w:rsid w:val="000B6708"/>
    <w:rsid w:val="001239BD"/>
    <w:rsid w:val="001B5A3B"/>
    <w:rsid w:val="00362368"/>
    <w:rsid w:val="0038149A"/>
    <w:rsid w:val="00476275"/>
    <w:rsid w:val="004D3063"/>
    <w:rsid w:val="005945F6"/>
    <w:rsid w:val="007368B8"/>
    <w:rsid w:val="0079746C"/>
    <w:rsid w:val="008277B0"/>
    <w:rsid w:val="008E5695"/>
    <w:rsid w:val="008F0635"/>
    <w:rsid w:val="00B51603"/>
    <w:rsid w:val="00BA5A7D"/>
    <w:rsid w:val="00E02D46"/>
    <w:rsid w:val="00F64995"/>
    <w:rsid w:val="00FF1D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94FD4F6"/>
  <w15:chartTrackingRefBased/>
  <w15:docId w15:val="{D8FD9134-A3F3-493C-87F8-64B0A5560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8149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8149A"/>
    <w:pPr>
      <w:tabs>
        <w:tab w:val="center" w:pos="4153"/>
        <w:tab w:val="right" w:pos="8306"/>
      </w:tabs>
    </w:pPr>
  </w:style>
  <w:style w:type="character" w:customStyle="1" w:styleId="a4">
    <w:name w:val="כותרת עליונה תו"/>
    <w:link w:val="a3"/>
    <w:rsid w:val="0038149A"/>
    <w:rPr>
      <w:rFonts w:ascii="Times New Roman" w:eastAsia="Times New Roman" w:hAnsi="Times New Roman" w:cs="David"/>
      <w:sz w:val="24"/>
      <w:szCs w:val="24"/>
    </w:rPr>
  </w:style>
  <w:style w:type="paragraph" w:styleId="a5">
    <w:name w:val="footer"/>
    <w:basedOn w:val="a"/>
    <w:link w:val="a6"/>
    <w:rsid w:val="0038149A"/>
    <w:pPr>
      <w:tabs>
        <w:tab w:val="center" w:pos="4153"/>
        <w:tab w:val="right" w:pos="8306"/>
      </w:tabs>
    </w:pPr>
  </w:style>
  <w:style w:type="character" w:customStyle="1" w:styleId="a6">
    <w:name w:val="כותרת תחתונה תו"/>
    <w:link w:val="a5"/>
    <w:rsid w:val="0038149A"/>
    <w:rPr>
      <w:rFonts w:ascii="Times New Roman" w:eastAsia="Times New Roman" w:hAnsi="Times New Roman" w:cs="David"/>
      <w:sz w:val="24"/>
      <w:szCs w:val="24"/>
    </w:rPr>
  </w:style>
  <w:style w:type="table" w:styleId="a7">
    <w:name w:val="Table Grid"/>
    <w:basedOn w:val="a1"/>
    <w:rsid w:val="0038149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8149A"/>
  </w:style>
  <w:style w:type="paragraph" w:styleId="a9">
    <w:name w:val="List Paragraph"/>
    <w:basedOn w:val="a"/>
    <w:qFormat/>
    <w:rsid w:val="0038149A"/>
    <w:pPr>
      <w:ind w:left="720"/>
      <w:contextualSpacing/>
    </w:pPr>
    <w:rPr>
      <w:rFonts w:ascii="Arial (W1)" w:hAnsi="Arial (W1)"/>
    </w:rPr>
  </w:style>
  <w:style w:type="character" w:styleId="Hyperlink">
    <w:name w:val="Hyperlink"/>
    <w:rsid w:val="007974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0" TargetMode="External"/><Relationship Id="rId18" Type="http://schemas.openxmlformats.org/officeDocument/2006/relationships/hyperlink" Target="http://www.nevo.co.il/law/70301/40ja.6" TargetMode="External"/><Relationship Id="rId26" Type="http://schemas.openxmlformats.org/officeDocument/2006/relationships/hyperlink" Target="http://www.nevo.co.il/law/4216/10" TargetMode="External"/><Relationship Id="rId39" Type="http://schemas.openxmlformats.org/officeDocument/2006/relationships/hyperlink" Target="http://www.nevo.co.il/law/70301" TargetMode="External"/><Relationship Id="rId21" Type="http://schemas.openxmlformats.org/officeDocument/2006/relationships/hyperlink" Target="http://www.nevo.co.il/law/4216" TargetMode="External"/><Relationship Id="rId34" Type="http://schemas.openxmlformats.org/officeDocument/2006/relationships/hyperlink" Target="http://www.nevo.co.il/law/70301" TargetMode="External"/><Relationship Id="rId42" Type="http://schemas.openxmlformats.org/officeDocument/2006/relationships/hyperlink" Target="http://www.nevo.co.il/law/4216"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0" TargetMode="External"/><Relationship Id="rId29" Type="http://schemas.openxmlformats.org/officeDocument/2006/relationships/hyperlink" Target="http://www.nevo.co.il/case/28589181" TargetMode="External"/><Relationship Id="rId11" Type="http://schemas.openxmlformats.org/officeDocument/2006/relationships/hyperlink" Target="http://www.nevo.co.il/law/4216/9.a" TargetMode="External"/><Relationship Id="rId24" Type="http://schemas.openxmlformats.org/officeDocument/2006/relationships/hyperlink" Target="http://www.nevo.co.il/law/4216/9.a"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28288400" TargetMode="External"/><Relationship Id="rId40" Type="http://schemas.openxmlformats.org/officeDocument/2006/relationships/hyperlink" Target="http://www.nevo.co.il/law/70301/40ja.6"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0301/40i" TargetMode="External"/><Relationship Id="rId23" Type="http://schemas.openxmlformats.org/officeDocument/2006/relationships/hyperlink" Target="http://www.nevo.co.il/law/4216/7.c"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6397178" TargetMode="External"/><Relationship Id="rId49" Type="http://schemas.openxmlformats.org/officeDocument/2006/relationships/fontTable" Target="fontTable.xml"/><Relationship Id="rId10" Type="http://schemas.openxmlformats.org/officeDocument/2006/relationships/hyperlink" Target="http://www.nevo.co.il/law/4216/7.c" TargetMode="External"/><Relationship Id="rId19" Type="http://schemas.openxmlformats.org/officeDocument/2006/relationships/hyperlink" Target="http://www.nevo.co.il/law/74918" TargetMode="External"/><Relationship Id="rId31" Type="http://schemas.openxmlformats.org/officeDocument/2006/relationships/hyperlink" Target="http://www.nevo.co.il/case/24492983"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 TargetMode="External"/><Relationship Id="rId22" Type="http://schemas.openxmlformats.org/officeDocument/2006/relationships/hyperlink" Target="http://www.nevo.co.il/law/4216/7.a" TargetMode="External"/><Relationship Id="rId27" Type="http://schemas.openxmlformats.org/officeDocument/2006/relationships/hyperlink" Target="http://www.nevo.co.il/law/70301/400" TargetMode="External"/><Relationship Id="rId30" Type="http://schemas.openxmlformats.org/officeDocument/2006/relationships/hyperlink" Target="http://www.nevo.co.il/case/24929127" TargetMode="External"/><Relationship Id="rId35" Type="http://schemas.openxmlformats.org/officeDocument/2006/relationships/hyperlink" Target="http://www.nevo.co.il/case/26787852" TargetMode="External"/><Relationship Id="rId43" Type="http://schemas.openxmlformats.org/officeDocument/2006/relationships/hyperlink" Target="http://www.nevo.co.il/law/74918" TargetMode="External"/><Relationship Id="rId48" Type="http://schemas.openxmlformats.org/officeDocument/2006/relationships/footer" Target="footer2.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4216/9.d"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law/4216/9.d" TargetMode="External"/><Relationship Id="rId33" Type="http://schemas.openxmlformats.org/officeDocument/2006/relationships/hyperlink" Target="http://www.nevo.co.il/law/70301/40i" TargetMode="External"/><Relationship Id="rId38" Type="http://schemas.openxmlformats.org/officeDocument/2006/relationships/hyperlink" Target="http://www.nevo.co.il/law/70301/40ja" TargetMode="External"/><Relationship Id="rId46" Type="http://schemas.openxmlformats.org/officeDocument/2006/relationships/header" Target="header2.xml"/><Relationship Id="rId20" Type="http://schemas.openxmlformats.org/officeDocument/2006/relationships/hyperlink" Target="http://www.nevo.co.il/law/4216/6" TargetMode="External"/><Relationship Id="rId41"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2643</Words>
  <Characters>13217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15829</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8323182</vt:i4>
      </vt:variant>
      <vt:variant>
        <vt:i4>108</vt:i4>
      </vt:variant>
      <vt:variant>
        <vt:i4>0</vt:i4>
      </vt:variant>
      <vt:variant>
        <vt:i4>5</vt:i4>
      </vt:variant>
      <vt:variant>
        <vt:lpwstr>http://www.nevo.co.il/law/74918</vt:lpwstr>
      </vt:variant>
      <vt:variant>
        <vt:lpwstr/>
      </vt:variant>
      <vt:variant>
        <vt:i4>8257637</vt:i4>
      </vt:variant>
      <vt:variant>
        <vt:i4>105</vt:i4>
      </vt:variant>
      <vt:variant>
        <vt:i4>0</vt:i4>
      </vt:variant>
      <vt:variant>
        <vt:i4>5</vt:i4>
      </vt:variant>
      <vt:variant>
        <vt:lpwstr>http://www.nevo.co.il/law/4216</vt:lpwstr>
      </vt:variant>
      <vt:variant>
        <vt:lpwstr/>
      </vt:variant>
      <vt:variant>
        <vt:i4>7995492</vt:i4>
      </vt:variant>
      <vt:variant>
        <vt:i4>102</vt:i4>
      </vt:variant>
      <vt:variant>
        <vt:i4>0</vt:i4>
      </vt:variant>
      <vt:variant>
        <vt:i4>5</vt:i4>
      </vt:variant>
      <vt:variant>
        <vt:lpwstr>http://www.nevo.co.il/law/70301</vt:lpwstr>
      </vt:variant>
      <vt:variant>
        <vt:lpwstr/>
      </vt:variant>
      <vt:variant>
        <vt:i4>3276837</vt:i4>
      </vt:variant>
      <vt:variant>
        <vt:i4>99</vt:i4>
      </vt:variant>
      <vt:variant>
        <vt:i4>0</vt:i4>
      </vt:variant>
      <vt:variant>
        <vt:i4>5</vt:i4>
      </vt:variant>
      <vt:variant>
        <vt:lpwstr>http://www.nevo.co.il/law/70301/40ja.6</vt:lpwstr>
      </vt:variant>
      <vt:variant>
        <vt:lpwstr/>
      </vt:variant>
      <vt:variant>
        <vt:i4>7995492</vt:i4>
      </vt:variant>
      <vt:variant>
        <vt:i4>96</vt:i4>
      </vt:variant>
      <vt:variant>
        <vt:i4>0</vt:i4>
      </vt:variant>
      <vt:variant>
        <vt:i4>5</vt:i4>
      </vt:variant>
      <vt:variant>
        <vt:lpwstr>http://www.nevo.co.il/law/70301</vt:lpwstr>
      </vt:variant>
      <vt:variant>
        <vt:lpwstr/>
      </vt:variant>
      <vt:variant>
        <vt:i4>262155</vt:i4>
      </vt:variant>
      <vt:variant>
        <vt:i4>93</vt:i4>
      </vt:variant>
      <vt:variant>
        <vt:i4>0</vt:i4>
      </vt:variant>
      <vt:variant>
        <vt:i4>5</vt:i4>
      </vt:variant>
      <vt:variant>
        <vt:lpwstr>http://www.nevo.co.il/law/70301/40ja</vt:lpwstr>
      </vt:variant>
      <vt:variant>
        <vt:lpwstr/>
      </vt:variant>
      <vt:variant>
        <vt:i4>3670128</vt:i4>
      </vt:variant>
      <vt:variant>
        <vt:i4>90</vt:i4>
      </vt:variant>
      <vt:variant>
        <vt:i4>0</vt:i4>
      </vt:variant>
      <vt:variant>
        <vt:i4>5</vt:i4>
      </vt:variant>
      <vt:variant>
        <vt:lpwstr>http://www.nevo.co.il/case/28288400</vt:lpwstr>
      </vt:variant>
      <vt:variant>
        <vt:lpwstr/>
      </vt:variant>
      <vt:variant>
        <vt:i4>3211386</vt:i4>
      </vt:variant>
      <vt:variant>
        <vt:i4>87</vt:i4>
      </vt:variant>
      <vt:variant>
        <vt:i4>0</vt:i4>
      </vt:variant>
      <vt:variant>
        <vt:i4>5</vt:i4>
      </vt:variant>
      <vt:variant>
        <vt:lpwstr>http://www.nevo.co.il/case/26397178</vt:lpwstr>
      </vt:variant>
      <vt:variant>
        <vt:lpwstr/>
      </vt:variant>
      <vt:variant>
        <vt:i4>3604594</vt:i4>
      </vt:variant>
      <vt:variant>
        <vt:i4>84</vt:i4>
      </vt:variant>
      <vt:variant>
        <vt:i4>0</vt:i4>
      </vt:variant>
      <vt:variant>
        <vt:i4>5</vt:i4>
      </vt:variant>
      <vt:variant>
        <vt:lpwstr>http://www.nevo.co.il/case/26787852</vt:lpwstr>
      </vt:variant>
      <vt:variant>
        <vt:lpwstr/>
      </vt:variant>
      <vt:variant>
        <vt:i4>7995492</vt:i4>
      </vt:variant>
      <vt:variant>
        <vt:i4>81</vt:i4>
      </vt:variant>
      <vt:variant>
        <vt:i4>0</vt:i4>
      </vt:variant>
      <vt:variant>
        <vt:i4>5</vt:i4>
      </vt:variant>
      <vt:variant>
        <vt:lpwstr>http://www.nevo.co.il/law/70301</vt:lpwstr>
      </vt:variant>
      <vt:variant>
        <vt:lpwstr/>
      </vt:variant>
      <vt:variant>
        <vt:i4>6619233</vt:i4>
      </vt:variant>
      <vt:variant>
        <vt:i4>78</vt:i4>
      </vt:variant>
      <vt:variant>
        <vt:i4>0</vt:i4>
      </vt:variant>
      <vt:variant>
        <vt:i4>5</vt:i4>
      </vt:variant>
      <vt:variant>
        <vt:lpwstr>http://www.nevo.co.il/law/70301/40i</vt:lpwstr>
      </vt:variant>
      <vt:variant>
        <vt:lpwstr/>
      </vt:variant>
      <vt:variant>
        <vt:i4>7995492</vt:i4>
      </vt:variant>
      <vt:variant>
        <vt:i4>75</vt:i4>
      </vt:variant>
      <vt:variant>
        <vt:i4>0</vt:i4>
      </vt:variant>
      <vt:variant>
        <vt:i4>5</vt:i4>
      </vt:variant>
      <vt:variant>
        <vt:lpwstr>http://www.nevo.co.il/law/70301</vt:lpwstr>
      </vt:variant>
      <vt:variant>
        <vt:lpwstr/>
      </vt:variant>
      <vt:variant>
        <vt:i4>3932272</vt:i4>
      </vt:variant>
      <vt:variant>
        <vt:i4>72</vt:i4>
      </vt:variant>
      <vt:variant>
        <vt:i4>0</vt:i4>
      </vt:variant>
      <vt:variant>
        <vt:i4>5</vt:i4>
      </vt:variant>
      <vt:variant>
        <vt:lpwstr>http://www.nevo.co.il/case/24492983</vt:lpwstr>
      </vt:variant>
      <vt:variant>
        <vt:lpwstr/>
      </vt:variant>
      <vt:variant>
        <vt:i4>3145843</vt:i4>
      </vt:variant>
      <vt:variant>
        <vt:i4>69</vt:i4>
      </vt:variant>
      <vt:variant>
        <vt:i4>0</vt:i4>
      </vt:variant>
      <vt:variant>
        <vt:i4>5</vt:i4>
      </vt:variant>
      <vt:variant>
        <vt:lpwstr>http://www.nevo.co.il/case/24929127</vt:lpwstr>
      </vt:variant>
      <vt:variant>
        <vt:lpwstr/>
      </vt:variant>
      <vt:variant>
        <vt:i4>3539061</vt:i4>
      </vt:variant>
      <vt:variant>
        <vt:i4>66</vt:i4>
      </vt:variant>
      <vt:variant>
        <vt:i4>0</vt:i4>
      </vt:variant>
      <vt:variant>
        <vt:i4>5</vt:i4>
      </vt:variant>
      <vt:variant>
        <vt:lpwstr>http://www.nevo.co.il/case/28589181</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6619233</vt:i4>
      </vt:variant>
      <vt:variant>
        <vt:i4>60</vt:i4>
      </vt:variant>
      <vt:variant>
        <vt:i4>0</vt:i4>
      </vt:variant>
      <vt:variant>
        <vt:i4>5</vt:i4>
      </vt:variant>
      <vt:variant>
        <vt:lpwstr>http://www.nevo.co.il/law/70301/400</vt:lpwstr>
      </vt:variant>
      <vt:variant>
        <vt:lpwstr/>
      </vt:variant>
      <vt:variant>
        <vt:i4>5177418</vt:i4>
      </vt:variant>
      <vt:variant>
        <vt:i4>57</vt:i4>
      </vt:variant>
      <vt:variant>
        <vt:i4>0</vt:i4>
      </vt:variant>
      <vt:variant>
        <vt:i4>5</vt:i4>
      </vt:variant>
      <vt:variant>
        <vt:lpwstr>http://www.nevo.co.il/law/4216/10</vt:lpwstr>
      </vt:variant>
      <vt:variant>
        <vt:lpwstr/>
      </vt:variant>
      <vt:variant>
        <vt:i4>2293860</vt:i4>
      </vt:variant>
      <vt:variant>
        <vt:i4>54</vt:i4>
      </vt:variant>
      <vt:variant>
        <vt:i4>0</vt:i4>
      </vt:variant>
      <vt:variant>
        <vt:i4>5</vt:i4>
      </vt:variant>
      <vt:variant>
        <vt:lpwstr>http://www.nevo.co.il/law/4216/9.d</vt:lpwstr>
      </vt:variant>
      <vt:variant>
        <vt:lpwstr/>
      </vt:variant>
      <vt:variant>
        <vt:i4>2490468</vt:i4>
      </vt:variant>
      <vt:variant>
        <vt:i4>51</vt:i4>
      </vt:variant>
      <vt:variant>
        <vt:i4>0</vt:i4>
      </vt:variant>
      <vt:variant>
        <vt:i4>5</vt:i4>
      </vt:variant>
      <vt:variant>
        <vt:lpwstr>http://www.nevo.co.il/law/4216/9.a</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8257637</vt:i4>
      </vt:variant>
      <vt:variant>
        <vt:i4>42</vt:i4>
      </vt:variant>
      <vt:variant>
        <vt:i4>0</vt:i4>
      </vt:variant>
      <vt:variant>
        <vt:i4>5</vt:i4>
      </vt:variant>
      <vt:variant>
        <vt:lpwstr>http://www.nevo.co.il/law/4216</vt:lpwstr>
      </vt:variant>
      <vt:variant>
        <vt:lpwstr/>
      </vt:variant>
      <vt:variant>
        <vt:i4>4718666</vt:i4>
      </vt:variant>
      <vt:variant>
        <vt:i4>39</vt:i4>
      </vt:variant>
      <vt:variant>
        <vt:i4>0</vt:i4>
      </vt:variant>
      <vt:variant>
        <vt:i4>5</vt:i4>
      </vt:variant>
      <vt:variant>
        <vt:lpwstr>http://www.nevo.co.il/law/4216/6</vt:lpwstr>
      </vt:variant>
      <vt:variant>
        <vt:lpwstr/>
      </vt:variant>
      <vt:variant>
        <vt:i4>8323182</vt:i4>
      </vt:variant>
      <vt:variant>
        <vt:i4>36</vt:i4>
      </vt:variant>
      <vt:variant>
        <vt:i4>0</vt:i4>
      </vt:variant>
      <vt:variant>
        <vt:i4>5</vt:i4>
      </vt:variant>
      <vt:variant>
        <vt:lpwstr>http://www.nevo.co.il/law/74918</vt:lpwstr>
      </vt:variant>
      <vt:variant>
        <vt:lpwstr/>
      </vt:variant>
      <vt:variant>
        <vt:i4>3276837</vt:i4>
      </vt:variant>
      <vt:variant>
        <vt:i4>33</vt:i4>
      </vt:variant>
      <vt:variant>
        <vt:i4>0</vt:i4>
      </vt:variant>
      <vt:variant>
        <vt:i4>5</vt:i4>
      </vt:variant>
      <vt:variant>
        <vt:lpwstr>http://www.nevo.co.il/law/70301/40ja.6</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6619233</vt:i4>
      </vt:variant>
      <vt:variant>
        <vt:i4>27</vt:i4>
      </vt:variant>
      <vt:variant>
        <vt:i4>0</vt:i4>
      </vt:variant>
      <vt:variant>
        <vt:i4>5</vt:i4>
      </vt:variant>
      <vt:variant>
        <vt:lpwstr>http://www.nevo.co.il/law/70301/400</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5177418</vt:i4>
      </vt:variant>
      <vt:variant>
        <vt:i4>18</vt:i4>
      </vt:variant>
      <vt:variant>
        <vt:i4>0</vt:i4>
      </vt:variant>
      <vt:variant>
        <vt:i4>5</vt:i4>
      </vt:variant>
      <vt:variant>
        <vt:lpwstr>http://www.nevo.co.il/law/4216/10</vt:lpwstr>
      </vt:variant>
      <vt:variant>
        <vt:lpwstr/>
      </vt:variant>
      <vt:variant>
        <vt:i4>2293860</vt:i4>
      </vt:variant>
      <vt:variant>
        <vt:i4>15</vt:i4>
      </vt:variant>
      <vt:variant>
        <vt:i4>0</vt:i4>
      </vt:variant>
      <vt:variant>
        <vt:i4>5</vt:i4>
      </vt:variant>
      <vt:variant>
        <vt:lpwstr>http://www.nevo.co.il/law/4216/9.d</vt:lpwstr>
      </vt:variant>
      <vt:variant>
        <vt:lpwstr/>
      </vt:variant>
      <vt:variant>
        <vt:i4>2490468</vt:i4>
      </vt:variant>
      <vt:variant>
        <vt:i4>12</vt:i4>
      </vt:variant>
      <vt:variant>
        <vt:i4>0</vt:i4>
      </vt:variant>
      <vt:variant>
        <vt:i4>5</vt:i4>
      </vt:variant>
      <vt:variant>
        <vt:lpwstr>http://www.nevo.co.il/law/4216/9.a</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2025-04-23T01:09:00Z</dcterms:created>
  <dcterms:modified xsi:type="dcterms:W3CDTF">2025-04-23T01:09:00Z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45516</vt:lpwstr>
  </property>
  <property fmtid="{D5CDD505-2E9C-101B-9397-08002B2CF9AE}" pid="6" name="NEWPARTB">
    <vt:lpwstr>08</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אלירן סער</vt:lpwstr>
  </property>
  <property fmtid="{D5CDD505-2E9C-101B-9397-08002B2CF9AE}" pid="10" name="LAWYER">
    <vt:lpwstr>ניצן פרידמן;שי רודה</vt:lpwstr>
  </property>
  <property fmtid="{D5CDD505-2E9C-101B-9397-08002B2CF9AE}" pid="11" name="JUDGE">
    <vt:lpwstr>שאול אבינור</vt:lpwstr>
  </property>
  <property fmtid="{D5CDD505-2E9C-101B-9397-08002B2CF9AE}" pid="12" name="CITY">
    <vt:lpwstr>ת"א</vt:lpwstr>
  </property>
  <property fmtid="{D5CDD505-2E9C-101B-9397-08002B2CF9AE}" pid="13" name="DATE">
    <vt:lpwstr>20230705</vt:lpwstr>
  </property>
  <property fmtid="{D5CDD505-2E9C-101B-9397-08002B2CF9AE}" pid="14" name="TYPE_N_DATE">
    <vt:lpwstr>38020230705</vt:lpwstr>
  </property>
  <property fmtid="{D5CDD505-2E9C-101B-9397-08002B2CF9AE}" pid="15" name="WORDNUMPAGES">
    <vt:lpwstr>7</vt:lpwstr>
  </property>
  <property fmtid="{D5CDD505-2E9C-101B-9397-08002B2CF9AE}" pid="16" name="TYPE_ABS_DATE">
    <vt:lpwstr>380020230705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28589181;24929127;24492983;26787852;26397178;28288400</vt:lpwstr>
  </property>
  <property fmtid="{D5CDD505-2E9C-101B-9397-08002B2CF9AE}" pid="36" name="LAWLISTTMP1">
    <vt:lpwstr>4216/006;007.a;007.c;009.a;009.d;010</vt:lpwstr>
  </property>
  <property fmtid="{D5CDD505-2E9C-101B-9397-08002B2CF9AE}" pid="37" name="LAWLISTTMP2">
    <vt:lpwstr>70301/400;040i;40ja;40ja.6</vt:lpwstr>
  </property>
  <property fmtid="{D5CDD505-2E9C-101B-9397-08002B2CF9AE}" pid="38" name="LAWLISTTMP3">
    <vt:lpwstr>74918</vt:lpwstr>
  </property>
</Properties>
</file>