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A642D7" w:rsidRPr="00DA3E1B" w14:paraId="2E018D0C" w14:textId="77777777" w:rsidTr="00007F88">
        <w:trPr>
          <w:trHeight w:hRule="exact" w:val="418"/>
          <w:jc w:val="center"/>
        </w:trPr>
        <w:tc>
          <w:tcPr>
            <w:tcW w:w="8523" w:type="dxa"/>
            <w:gridSpan w:val="2"/>
          </w:tcPr>
          <w:p w14:paraId="60DA33C9" w14:textId="77777777" w:rsidR="00A642D7" w:rsidRPr="00DA3E1B" w:rsidRDefault="00A642D7" w:rsidP="00072598">
            <w:pPr>
              <w:pStyle w:val="a3"/>
              <w:jc w:val="center"/>
              <w:rPr>
                <w:rFonts w:ascii="Tahoma" w:hAnsi="Tahoma" w:cs="Tahoma"/>
                <w:color w:val="000080"/>
                <w:rtl/>
              </w:rPr>
            </w:pPr>
            <w:r w:rsidRPr="00DA3E1B">
              <w:rPr>
                <w:rFonts w:ascii="Tahoma" w:hAnsi="Tahoma" w:cs="Tahoma"/>
                <w:b/>
                <w:bCs/>
                <w:color w:val="000080"/>
                <w:rtl/>
              </w:rPr>
              <w:t>בית משפט השלום בנתניה</w:t>
            </w:r>
          </w:p>
        </w:tc>
      </w:tr>
      <w:tr w:rsidR="00A642D7" w:rsidRPr="00DA3E1B" w14:paraId="62134640" w14:textId="77777777" w:rsidTr="00007F88">
        <w:trPr>
          <w:trHeight w:val="337"/>
          <w:jc w:val="center"/>
        </w:trPr>
        <w:tc>
          <w:tcPr>
            <w:tcW w:w="4946" w:type="dxa"/>
          </w:tcPr>
          <w:p w14:paraId="0C8CD5D6" w14:textId="77777777" w:rsidR="00A642D7" w:rsidRPr="00DA3E1B" w:rsidRDefault="00A642D7" w:rsidP="00072598">
            <w:pPr>
              <w:rPr>
                <w:rFonts w:cs="FrankRuehl"/>
                <w:sz w:val="28"/>
                <w:szCs w:val="28"/>
                <w:rtl/>
              </w:rPr>
            </w:pPr>
            <w:r w:rsidRPr="00DA3E1B">
              <w:rPr>
                <w:rFonts w:cs="FrankRuehl"/>
                <w:sz w:val="28"/>
                <w:szCs w:val="28"/>
                <w:rtl/>
              </w:rPr>
              <w:t>ת"פ</w:t>
            </w:r>
            <w:r w:rsidRPr="00DA3E1B">
              <w:rPr>
                <w:rFonts w:cs="FrankRuehl" w:hint="cs"/>
                <w:sz w:val="28"/>
                <w:szCs w:val="28"/>
                <w:rtl/>
              </w:rPr>
              <w:t xml:space="preserve"> </w:t>
            </w:r>
            <w:r w:rsidRPr="00DA3E1B">
              <w:rPr>
                <w:rFonts w:cs="FrankRuehl"/>
                <w:sz w:val="28"/>
                <w:szCs w:val="28"/>
                <w:rtl/>
              </w:rPr>
              <w:t>58944-08-21</w:t>
            </w:r>
            <w:r w:rsidRPr="00DA3E1B">
              <w:rPr>
                <w:rFonts w:cs="FrankRuehl" w:hint="cs"/>
                <w:sz w:val="28"/>
                <w:szCs w:val="28"/>
                <w:rtl/>
              </w:rPr>
              <w:t xml:space="preserve"> </w:t>
            </w:r>
            <w:r w:rsidRPr="00DA3E1B">
              <w:rPr>
                <w:rFonts w:cs="FrankRuehl"/>
                <w:sz w:val="28"/>
                <w:szCs w:val="28"/>
                <w:rtl/>
              </w:rPr>
              <w:t>מדינת ישראל נ' חג'ג'</w:t>
            </w:r>
          </w:p>
          <w:p w14:paraId="11F4295E" w14:textId="77777777" w:rsidR="00A642D7" w:rsidRPr="00DA3E1B" w:rsidRDefault="00A642D7" w:rsidP="00072598">
            <w:pPr>
              <w:pStyle w:val="a3"/>
              <w:rPr>
                <w:rFonts w:cs="FrankRuehl"/>
                <w:sz w:val="28"/>
                <w:szCs w:val="28"/>
                <w:rtl/>
              </w:rPr>
            </w:pPr>
          </w:p>
        </w:tc>
        <w:tc>
          <w:tcPr>
            <w:tcW w:w="3577" w:type="dxa"/>
          </w:tcPr>
          <w:p w14:paraId="5EE3BE95" w14:textId="77777777" w:rsidR="00A642D7" w:rsidRPr="00DA3E1B" w:rsidRDefault="00A642D7" w:rsidP="00072598">
            <w:pPr>
              <w:pStyle w:val="a3"/>
              <w:jc w:val="right"/>
              <w:rPr>
                <w:rFonts w:cs="FrankRuehl"/>
                <w:sz w:val="28"/>
                <w:szCs w:val="28"/>
                <w:rtl/>
              </w:rPr>
            </w:pPr>
          </w:p>
        </w:tc>
      </w:tr>
    </w:tbl>
    <w:p w14:paraId="187AE336" w14:textId="77777777" w:rsidR="00A642D7" w:rsidRPr="00DA3E1B" w:rsidRDefault="00A642D7" w:rsidP="00A642D7">
      <w:pPr>
        <w:pStyle w:val="a3"/>
        <w:rPr>
          <w:rtl/>
        </w:rPr>
      </w:pPr>
      <w:r w:rsidRPr="00DA3E1B">
        <w:rPr>
          <w:rFonts w:hint="cs"/>
          <w:rtl/>
        </w:rPr>
        <w:t xml:space="preserve"> </w:t>
      </w:r>
    </w:p>
    <w:p w14:paraId="3D6B5FEA" w14:textId="77777777" w:rsidR="00A642D7" w:rsidRPr="00DA3E1B" w:rsidRDefault="00A642D7" w:rsidP="00A642D7">
      <w:pPr>
        <w:rPr>
          <w:sz w:val="26"/>
          <w:szCs w:val="26"/>
          <w:rtl/>
        </w:rPr>
      </w:pPr>
    </w:p>
    <w:p w14:paraId="5B4B70EB" w14:textId="77777777" w:rsidR="00A642D7" w:rsidRPr="00DA3E1B" w:rsidRDefault="00A642D7" w:rsidP="00A642D7">
      <w:pPr>
        <w:rPr>
          <w:sz w:val="26"/>
          <w:szCs w:val="26"/>
          <w:rtl/>
        </w:rPr>
      </w:pP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2959"/>
        <w:gridCol w:w="4174"/>
      </w:tblGrid>
      <w:tr w:rsidR="00A642D7" w:rsidRPr="00DA3E1B" w14:paraId="118389BB" w14:textId="77777777" w:rsidTr="00A642D7">
        <w:trPr>
          <w:trHeight w:val="295"/>
          <w:jc w:val="center"/>
        </w:trPr>
        <w:tc>
          <w:tcPr>
            <w:tcW w:w="1231" w:type="dxa"/>
            <w:tcBorders>
              <w:top w:val="nil"/>
              <w:left w:val="nil"/>
              <w:bottom w:val="nil"/>
              <w:right w:val="nil"/>
            </w:tcBorders>
            <w:shd w:val="clear" w:color="auto" w:fill="auto"/>
          </w:tcPr>
          <w:p w14:paraId="7837CA33" w14:textId="77777777" w:rsidR="00A642D7" w:rsidRPr="00DA3E1B" w:rsidRDefault="00A642D7" w:rsidP="00A642D7">
            <w:pPr>
              <w:jc w:val="both"/>
              <w:rPr>
                <w:rFonts w:ascii="David" w:hAnsi="David"/>
                <w:sz w:val="26"/>
                <w:szCs w:val="26"/>
              </w:rPr>
            </w:pPr>
            <w:r w:rsidRPr="00DA3E1B">
              <w:rPr>
                <w:rFonts w:ascii="David" w:hAnsi="David" w:hint="cs"/>
                <w:sz w:val="26"/>
                <w:szCs w:val="26"/>
                <w:rtl/>
              </w:rPr>
              <w:t>ל</w:t>
            </w:r>
            <w:r w:rsidRPr="00DA3E1B">
              <w:rPr>
                <w:rFonts w:ascii="David" w:hAnsi="David"/>
                <w:sz w:val="26"/>
                <w:szCs w:val="26"/>
                <w:rtl/>
              </w:rPr>
              <w:t xml:space="preserve">פני </w:t>
            </w:r>
          </w:p>
        </w:tc>
        <w:tc>
          <w:tcPr>
            <w:tcW w:w="7133" w:type="dxa"/>
            <w:gridSpan w:val="2"/>
            <w:tcBorders>
              <w:top w:val="nil"/>
              <w:left w:val="nil"/>
              <w:bottom w:val="nil"/>
              <w:right w:val="nil"/>
            </w:tcBorders>
            <w:shd w:val="clear" w:color="auto" w:fill="auto"/>
          </w:tcPr>
          <w:p w14:paraId="0F54F6C6" w14:textId="77777777" w:rsidR="00A642D7" w:rsidRPr="00DA3E1B" w:rsidRDefault="00A642D7" w:rsidP="00072598">
            <w:pPr>
              <w:rPr>
                <w:rFonts w:ascii="David" w:hAnsi="David"/>
                <w:b/>
                <w:bCs/>
                <w:sz w:val="26"/>
                <w:szCs w:val="26"/>
                <w:rtl/>
              </w:rPr>
            </w:pPr>
            <w:r w:rsidRPr="00DA3E1B">
              <w:rPr>
                <w:rFonts w:ascii="David" w:hAnsi="David"/>
                <w:b/>
                <w:bCs/>
                <w:sz w:val="26"/>
                <w:szCs w:val="26"/>
                <w:rtl/>
              </w:rPr>
              <w:t>כבוד השופטת, סגנית הנשיא זהר דיבון סגל</w:t>
            </w:r>
          </w:p>
          <w:p w14:paraId="498BC14D" w14:textId="77777777" w:rsidR="00A642D7" w:rsidRPr="00DA3E1B" w:rsidRDefault="00A642D7" w:rsidP="00A642D7">
            <w:pPr>
              <w:jc w:val="both"/>
              <w:rPr>
                <w:rFonts w:ascii="David" w:hAnsi="David"/>
                <w:sz w:val="26"/>
                <w:szCs w:val="26"/>
              </w:rPr>
            </w:pPr>
          </w:p>
        </w:tc>
      </w:tr>
      <w:tr w:rsidR="00A642D7" w:rsidRPr="00DA3E1B" w14:paraId="49DAA71F" w14:textId="77777777" w:rsidTr="00A642D7">
        <w:trPr>
          <w:trHeight w:val="355"/>
          <w:jc w:val="center"/>
        </w:trPr>
        <w:tc>
          <w:tcPr>
            <w:tcW w:w="1231" w:type="dxa"/>
            <w:tcBorders>
              <w:top w:val="nil"/>
              <w:left w:val="nil"/>
              <w:bottom w:val="nil"/>
              <w:right w:val="nil"/>
            </w:tcBorders>
            <w:shd w:val="clear" w:color="auto" w:fill="auto"/>
          </w:tcPr>
          <w:p w14:paraId="7E478DD7" w14:textId="77777777" w:rsidR="00A642D7" w:rsidRPr="00DA3E1B" w:rsidRDefault="00A642D7" w:rsidP="00A642D7">
            <w:pPr>
              <w:jc w:val="both"/>
              <w:rPr>
                <w:rFonts w:ascii="David" w:hAnsi="David"/>
                <w:sz w:val="26"/>
                <w:szCs w:val="26"/>
                <w:rtl/>
              </w:rPr>
            </w:pPr>
            <w:bookmarkStart w:id="0" w:name="FirstAppellant"/>
            <w:bookmarkStart w:id="1" w:name="FirstLawyer"/>
            <w:bookmarkStart w:id="2" w:name="LastJudge"/>
            <w:bookmarkEnd w:id="2"/>
            <w:r w:rsidRPr="00DA3E1B">
              <w:rPr>
                <w:rFonts w:ascii="David" w:hAnsi="David"/>
                <w:sz w:val="26"/>
                <w:szCs w:val="26"/>
                <w:rtl/>
              </w:rPr>
              <w:t>בעניין:</w:t>
            </w:r>
          </w:p>
          <w:p w14:paraId="1A19792E" w14:textId="77777777" w:rsidR="00A642D7" w:rsidRPr="00DA3E1B" w:rsidRDefault="00A642D7" w:rsidP="00A642D7">
            <w:pPr>
              <w:suppressLineNumbers/>
            </w:pPr>
            <w:r w:rsidRPr="00DA3E1B">
              <w:rPr>
                <w:rFonts w:ascii="Arial" w:hAnsi="Arial" w:hint="cs"/>
                <w:b/>
                <w:bCs/>
                <w:sz w:val="26"/>
                <w:szCs w:val="26"/>
                <w:rtl/>
              </w:rPr>
              <w:t>ה</w:t>
            </w:r>
            <w:r w:rsidRPr="00DA3E1B">
              <w:rPr>
                <w:rFonts w:ascii="Arial" w:hAnsi="Arial"/>
                <w:b/>
                <w:bCs/>
                <w:sz w:val="26"/>
                <w:szCs w:val="26"/>
                <w:rtl/>
              </w:rPr>
              <w:t>מאשימה</w:t>
            </w:r>
          </w:p>
          <w:p w14:paraId="5E4A87CA" w14:textId="77777777" w:rsidR="00A642D7" w:rsidRPr="00DA3E1B" w:rsidRDefault="00A642D7" w:rsidP="00A642D7">
            <w:pPr>
              <w:jc w:val="both"/>
              <w:rPr>
                <w:rFonts w:ascii="David" w:hAnsi="David"/>
                <w:sz w:val="26"/>
                <w:szCs w:val="26"/>
              </w:rPr>
            </w:pPr>
          </w:p>
        </w:tc>
        <w:tc>
          <w:tcPr>
            <w:tcW w:w="2959" w:type="dxa"/>
            <w:tcBorders>
              <w:top w:val="nil"/>
              <w:left w:val="nil"/>
              <w:bottom w:val="nil"/>
              <w:right w:val="nil"/>
            </w:tcBorders>
            <w:shd w:val="clear" w:color="auto" w:fill="auto"/>
          </w:tcPr>
          <w:p w14:paraId="6C48456B" w14:textId="77777777" w:rsidR="00A642D7" w:rsidRPr="00DA3E1B" w:rsidRDefault="00A642D7" w:rsidP="00A642D7">
            <w:pPr>
              <w:suppressLineNumbers/>
              <w:rPr>
                <w:rFonts w:ascii="David" w:hAnsi="David"/>
                <w:sz w:val="26"/>
                <w:szCs w:val="26"/>
                <w:rtl/>
              </w:rPr>
            </w:pPr>
          </w:p>
          <w:p w14:paraId="2B9C0F6F" w14:textId="77777777" w:rsidR="00A642D7" w:rsidRPr="00DA3E1B" w:rsidRDefault="00A642D7" w:rsidP="00A642D7">
            <w:pPr>
              <w:suppressLineNumbers/>
              <w:rPr>
                <w:rFonts w:ascii="Arial" w:hAnsi="Arial"/>
                <w:b/>
                <w:bCs/>
                <w:sz w:val="26"/>
                <w:szCs w:val="26"/>
                <w:rtl/>
              </w:rPr>
            </w:pPr>
            <w:r w:rsidRPr="00DA3E1B">
              <w:rPr>
                <w:rFonts w:ascii="Arial" w:hAnsi="Arial"/>
                <w:b/>
                <w:bCs/>
                <w:sz w:val="26"/>
                <w:szCs w:val="26"/>
                <w:rtl/>
              </w:rPr>
              <w:t>מדינת ישראל</w:t>
            </w:r>
            <w:r w:rsidRPr="00DA3E1B">
              <w:rPr>
                <w:rFonts w:ascii="Arial" w:hAnsi="Arial" w:hint="cs"/>
                <w:b/>
                <w:bCs/>
                <w:sz w:val="26"/>
                <w:szCs w:val="26"/>
                <w:rtl/>
              </w:rPr>
              <w:t xml:space="preserve"> </w:t>
            </w:r>
          </w:p>
          <w:p w14:paraId="1D08EF04" w14:textId="77777777" w:rsidR="00A642D7" w:rsidRPr="00DA3E1B" w:rsidRDefault="00A642D7" w:rsidP="00A642D7">
            <w:pPr>
              <w:suppressLineNumbers/>
              <w:rPr>
                <w:rFonts w:ascii="Arial" w:hAnsi="Arial"/>
                <w:b/>
                <w:bCs/>
                <w:sz w:val="26"/>
                <w:szCs w:val="26"/>
                <w:rtl/>
              </w:rPr>
            </w:pPr>
            <w:r w:rsidRPr="00DA3E1B">
              <w:rPr>
                <w:rFonts w:ascii="Arial" w:hAnsi="Arial" w:hint="cs"/>
                <w:b/>
                <w:bCs/>
                <w:sz w:val="26"/>
                <w:szCs w:val="26"/>
                <w:rtl/>
              </w:rPr>
              <w:t xml:space="preserve">יחידת תביעות שלוחת נתניה </w:t>
            </w:r>
          </w:p>
          <w:p w14:paraId="7AC6302F" w14:textId="77777777" w:rsidR="00A642D7" w:rsidRPr="00DA3E1B" w:rsidRDefault="00A642D7" w:rsidP="00A642D7">
            <w:pPr>
              <w:suppressLineNumbers/>
            </w:pPr>
            <w:r w:rsidRPr="00DA3E1B">
              <w:rPr>
                <w:rFonts w:ascii="Arial" w:hAnsi="Arial"/>
                <w:b/>
                <w:bCs/>
                <w:sz w:val="26"/>
                <w:szCs w:val="26"/>
                <w:rtl/>
              </w:rPr>
              <w:t>ע"י ב"כ עוה"</w:t>
            </w:r>
            <w:r w:rsidRPr="00DA3E1B">
              <w:rPr>
                <w:rFonts w:ascii="Arial" w:hAnsi="Arial" w:hint="cs"/>
                <w:b/>
                <w:bCs/>
                <w:sz w:val="26"/>
                <w:szCs w:val="26"/>
                <w:rtl/>
              </w:rPr>
              <w:t xml:space="preserve">ד דור כהן ועו"ד מנטסון </w:t>
            </w:r>
          </w:p>
          <w:p w14:paraId="20338312" w14:textId="77777777" w:rsidR="00A642D7" w:rsidRPr="00DA3E1B" w:rsidRDefault="00A642D7" w:rsidP="00A642D7">
            <w:pPr>
              <w:suppressLineNumbers/>
              <w:rPr>
                <w:rFonts w:ascii="David" w:hAnsi="David"/>
                <w:sz w:val="26"/>
                <w:szCs w:val="26"/>
              </w:rPr>
            </w:pPr>
          </w:p>
        </w:tc>
        <w:tc>
          <w:tcPr>
            <w:tcW w:w="4174" w:type="dxa"/>
            <w:tcBorders>
              <w:top w:val="nil"/>
              <w:left w:val="nil"/>
              <w:bottom w:val="nil"/>
              <w:right w:val="nil"/>
            </w:tcBorders>
            <w:shd w:val="clear" w:color="auto" w:fill="auto"/>
            <w:vAlign w:val="center"/>
          </w:tcPr>
          <w:p w14:paraId="73381716" w14:textId="77777777" w:rsidR="00A642D7" w:rsidRPr="00DA3E1B" w:rsidRDefault="00A642D7" w:rsidP="00A642D7">
            <w:pPr>
              <w:suppressLineNumbers/>
              <w:rPr>
                <w:rFonts w:ascii="David" w:hAnsi="David"/>
                <w:sz w:val="26"/>
                <w:szCs w:val="26"/>
              </w:rPr>
            </w:pPr>
          </w:p>
        </w:tc>
      </w:tr>
      <w:bookmarkEnd w:id="0"/>
      <w:bookmarkEnd w:id="1"/>
      <w:tr w:rsidR="00A642D7" w:rsidRPr="00DA3E1B" w14:paraId="6A68E21F" w14:textId="77777777" w:rsidTr="00A642D7">
        <w:trPr>
          <w:trHeight w:val="355"/>
          <w:jc w:val="center"/>
        </w:trPr>
        <w:tc>
          <w:tcPr>
            <w:tcW w:w="1231" w:type="dxa"/>
            <w:tcBorders>
              <w:top w:val="nil"/>
              <w:left w:val="nil"/>
              <w:bottom w:val="nil"/>
              <w:right w:val="nil"/>
            </w:tcBorders>
            <w:shd w:val="clear" w:color="auto" w:fill="auto"/>
          </w:tcPr>
          <w:p w14:paraId="644A1B1D" w14:textId="77777777" w:rsidR="00A642D7" w:rsidRPr="00DA3E1B" w:rsidRDefault="00A642D7" w:rsidP="00A642D7">
            <w:pPr>
              <w:jc w:val="both"/>
              <w:rPr>
                <w:rFonts w:ascii="David" w:hAnsi="David"/>
                <w:sz w:val="26"/>
                <w:szCs w:val="26"/>
                <w:rtl/>
              </w:rPr>
            </w:pPr>
          </w:p>
        </w:tc>
        <w:tc>
          <w:tcPr>
            <w:tcW w:w="7133" w:type="dxa"/>
            <w:gridSpan w:val="2"/>
            <w:tcBorders>
              <w:top w:val="nil"/>
              <w:left w:val="nil"/>
              <w:bottom w:val="nil"/>
              <w:right w:val="nil"/>
            </w:tcBorders>
            <w:shd w:val="clear" w:color="auto" w:fill="auto"/>
          </w:tcPr>
          <w:p w14:paraId="09FF12FC" w14:textId="77777777" w:rsidR="00A642D7" w:rsidRPr="00DA3E1B" w:rsidRDefault="00A642D7" w:rsidP="00A642D7">
            <w:pPr>
              <w:jc w:val="center"/>
              <w:rPr>
                <w:rFonts w:ascii="David" w:hAnsi="David"/>
                <w:b/>
                <w:bCs/>
                <w:sz w:val="26"/>
                <w:szCs w:val="26"/>
                <w:rtl/>
              </w:rPr>
            </w:pPr>
          </w:p>
          <w:p w14:paraId="19881328" w14:textId="77777777" w:rsidR="00A642D7" w:rsidRPr="00DA3E1B" w:rsidRDefault="00A642D7" w:rsidP="00072598">
            <w:pPr>
              <w:rPr>
                <w:rFonts w:ascii="David" w:hAnsi="David"/>
                <w:b/>
                <w:bCs/>
                <w:sz w:val="26"/>
                <w:szCs w:val="26"/>
                <w:rtl/>
              </w:rPr>
            </w:pPr>
            <w:r w:rsidRPr="00DA3E1B">
              <w:rPr>
                <w:rFonts w:ascii="David" w:hAnsi="David" w:hint="cs"/>
                <w:b/>
                <w:bCs/>
                <w:sz w:val="26"/>
                <w:szCs w:val="26"/>
              </w:rPr>
              <w:t xml:space="preserve">                  </w:t>
            </w:r>
            <w:r w:rsidRPr="00DA3E1B">
              <w:rPr>
                <w:rFonts w:ascii="David" w:hAnsi="David"/>
                <w:b/>
                <w:bCs/>
                <w:sz w:val="26"/>
                <w:szCs w:val="26"/>
                <w:rtl/>
              </w:rPr>
              <w:t>נגד</w:t>
            </w:r>
          </w:p>
          <w:p w14:paraId="1453B58F" w14:textId="77777777" w:rsidR="00A642D7" w:rsidRPr="00DA3E1B" w:rsidRDefault="00A642D7" w:rsidP="00A642D7">
            <w:pPr>
              <w:jc w:val="both"/>
              <w:rPr>
                <w:rFonts w:ascii="David" w:hAnsi="David"/>
                <w:sz w:val="26"/>
                <w:szCs w:val="26"/>
              </w:rPr>
            </w:pPr>
          </w:p>
        </w:tc>
      </w:tr>
      <w:tr w:rsidR="00A642D7" w:rsidRPr="00DA3E1B" w14:paraId="5A57B445" w14:textId="77777777" w:rsidTr="00A642D7">
        <w:trPr>
          <w:trHeight w:val="355"/>
          <w:jc w:val="center"/>
        </w:trPr>
        <w:tc>
          <w:tcPr>
            <w:tcW w:w="1231" w:type="dxa"/>
            <w:tcBorders>
              <w:top w:val="nil"/>
              <w:left w:val="nil"/>
              <w:bottom w:val="nil"/>
              <w:right w:val="nil"/>
            </w:tcBorders>
            <w:shd w:val="clear" w:color="auto" w:fill="auto"/>
          </w:tcPr>
          <w:p w14:paraId="54B7C1C9" w14:textId="77777777" w:rsidR="00A642D7" w:rsidRPr="00DA3E1B" w:rsidRDefault="00A642D7" w:rsidP="00072598">
            <w:pPr>
              <w:rPr>
                <w:rFonts w:ascii="David" w:hAnsi="David"/>
                <w:sz w:val="26"/>
                <w:szCs w:val="26"/>
                <w:rtl/>
              </w:rPr>
            </w:pPr>
            <w:r w:rsidRPr="00DA3E1B">
              <w:rPr>
                <w:rFonts w:ascii="Arial" w:hAnsi="Arial"/>
                <w:b/>
                <w:bCs/>
                <w:sz w:val="26"/>
                <w:szCs w:val="26"/>
                <w:rtl/>
              </w:rPr>
              <w:t>הנאשם</w:t>
            </w:r>
          </w:p>
        </w:tc>
        <w:tc>
          <w:tcPr>
            <w:tcW w:w="2959" w:type="dxa"/>
            <w:tcBorders>
              <w:top w:val="nil"/>
              <w:left w:val="nil"/>
              <w:bottom w:val="nil"/>
              <w:right w:val="nil"/>
            </w:tcBorders>
            <w:shd w:val="clear" w:color="auto" w:fill="auto"/>
          </w:tcPr>
          <w:p w14:paraId="289225E5" w14:textId="77777777" w:rsidR="00A642D7" w:rsidRPr="00DA3E1B" w:rsidRDefault="00A642D7" w:rsidP="00A642D7">
            <w:pPr>
              <w:suppressLineNumbers/>
              <w:rPr>
                <w:rFonts w:ascii="Arial" w:hAnsi="Arial"/>
                <w:b/>
                <w:bCs/>
                <w:sz w:val="26"/>
                <w:szCs w:val="26"/>
                <w:rtl/>
              </w:rPr>
            </w:pPr>
            <w:r w:rsidRPr="00DA3E1B">
              <w:rPr>
                <w:rFonts w:ascii="Arial" w:hAnsi="Arial"/>
                <w:b/>
                <w:bCs/>
                <w:sz w:val="26"/>
                <w:szCs w:val="26"/>
                <w:rtl/>
              </w:rPr>
              <w:t>שי חג'ג'</w:t>
            </w:r>
            <w:r w:rsidRPr="00DA3E1B">
              <w:rPr>
                <w:rFonts w:ascii="Arial" w:hAnsi="Arial" w:hint="cs"/>
                <w:b/>
                <w:bCs/>
                <w:sz w:val="26"/>
                <w:szCs w:val="26"/>
                <w:rtl/>
              </w:rPr>
              <w:t xml:space="preserve"> </w:t>
            </w:r>
          </w:p>
          <w:p w14:paraId="09C48EEC" w14:textId="77777777" w:rsidR="00A642D7" w:rsidRPr="00DA3E1B" w:rsidRDefault="00A642D7" w:rsidP="00A642D7">
            <w:pPr>
              <w:suppressLineNumbers/>
            </w:pPr>
            <w:r w:rsidRPr="00DA3E1B">
              <w:rPr>
                <w:rFonts w:ascii="Arial" w:hAnsi="Arial"/>
                <w:b/>
                <w:bCs/>
                <w:sz w:val="26"/>
                <w:szCs w:val="26"/>
                <w:rtl/>
              </w:rPr>
              <w:t>ע"י ב"כ עוה"</w:t>
            </w:r>
            <w:r w:rsidRPr="00DA3E1B">
              <w:rPr>
                <w:rFonts w:ascii="Arial" w:hAnsi="Arial" w:hint="cs"/>
                <w:b/>
                <w:bCs/>
                <w:sz w:val="26"/>
                <w:szCs w:val="26"/>
                <w:rtl/>
              </w:rPr>
              <w:t xml:space="preserve">ד נודל </w:t>
            </w:r>
          </w:p>
          <w:p w14:paraId="54ABA736" w14:textId="77777777" w:rsidR="00A642D7" w:rsidRPr="00DA3E1B" w:rsidRDefault="00A642D7" w:rsidP="00072598">
            <w:pPr>
              <w:rPr>
                <w:rFonts w:ascii="Arial" w:hAnsi="Arial"/>
                <w:b/>
                <w:bCs/>
                <w:sz w:val="26"/>
                <w:szCs w:val="26"/>
                <w:rtl/>
              </w:rPr>
            </w:pPr>
          </w:p>
        </w:tc>
        <w:tc>
          <w:tcPr>
            <w:tcW w:w="4174" w:type="dxa"/>
            <w:tcBorders>
              <w:top w:val="nil"/>
              <w:left w:val="nil"/>
              <w:bottom w:val="nil"/>
              <w:right w:val="nil"/>
            </w:tcBorders>
            <w:shd w:val="clear" w:color="auto" w:fill="auto"/>
            <w:vAlign w:val="center"/>
          </w:tcPr>
          <w:p w14:paraId="583A944A" w14:textId="77777777" w:rsidR="00A642D7" w:rsidRPr="00DA3E1B" w:rsidRDefault="00A642D7" w:rsidP="00A642D7">
            <w:pPr>
              <w:suppressLineNumbers/>
              <w:rPr>
                <w:rFonts w:ascii="David" w:hAnsi="David"/>
                <w:sz w:val="26"/>
                <w:szCs w:val="26"/>
              </w:rPr>
            </w:pPr>
          </w:p>
        </w:tc>
      </w:tr>
    </w:tbl>
    <w:p w14:paraId="71ABAFA7" w14:textId="77777777" w:rsidR="00B931F1" w:rsidRPr="00B931F1" w:rsidRDefault="00B931F1" w:rsidP="00B931F1">
      <w:pPr>
        <w:pStyle w:val="aa"/>
        <w:tabs>
          <w:tab w:val="left" w:pos="-58"/>
        </w:tabs>
        <w:spacing w:before="120" w:beforeAutospacing="1" w:after="120" w:line="240" w:lineRule="exact"/>
        <w:ind w:left="283" w:hanging="283"/>
        <w:jc w:val="both"/>
        <w:rPr>
          <w:rFonts w:ascii="FrankRuehl" w:hAnsi="FrankRuehl" w:cs="FrankRuehl"/>
          <w:noProof/>
          <w:rtl/>
        </w:rPr>
      </w:pPr>
    </w:p>
    <w:p w14:paraId="627E8BC8" w14:textId="77777777" w:rsidR="007F314E" w:rsidRDefault="007F314E" w:rsidP="007F314E">
      <w:pPr>
        <w:pStyle w:val="aa"/>
        <w:tabs>
          <w:tab w:val="left" w:pos="-58"/>
        </w:tabs>
        <w:spacing w:before="100" w:beforeAutospacing="1" w:after="120" w:line="360" w:lineRule="auto"/>
        <w:ind w:left="360"/>
        <w:jc w:val="both"/>
        <w:rPr>
          <w:rFonts w:ascii="FrankRuehl" w:hAnsi="FrankRuehl" w:cs="FrankRuehl"/>
          <w:noProof/>
          <w:sz w:val="28"/>
          <w:szCs w:val="28"/>
          <w:rtl/>
        </w:rPr>
      </w:pPr>
      <w:bookmarkStart w:id="3" w:name="LawTable"/>
      <w:bookmarkEnd w:id="3"/>
    </w:p>
    <w:p w14:paraId="2BC56A13" w14:textId="77777777" w:rsidR="007F314E" w:rsidRPr="007F314E" w:rsidRDefault="007F314E" w:rsidP="007F314E">
      <w:pPr>
        <w:pStyle w:val="aa"/>
        <w:tabs>
          <w:tab w:val="left" w:pos="-58"/>
        </w:tabs>
        <w:spacing w:before="120" w:beforeAutospacing="1" w:after="120" w:line="240" w:lineRule="exact"/>
        <w:ind w:left="283" w:hanging="283"/>
        <w:jc w:val="both"/>
        <w:rPr>
          <w:rFonts w:ascii="FrankRuehl" w:hAnsi="FrankRuehl" w:cs="FrankRuehl"/>
          <w:noProof/>
          <w:rtl/>
        </w:rPr>
      </w:pPr>
    </w:p>
    <w:p w14:paraId="4F831C64" w14:textId="77777777" w:rsidR="007F314E" w:rsidRPr="007F314E" w:rsidRDefault="007F314E" w:rsidP="007F314E">
      <w:pPr>
        <w:pStyle w:val="aa"/>
        <w:tabs>
          <w:tab w:val="left" w:pos="-58"/>
        </w:tabs>
        <w:spacing w:before="120" w:beforeAutospacing="1" w:after="120" w:line="240" w:lineRule="exact"/>
        <w:ind w:left="283" w:hanging="283"/>
        <w:jc w:val="both"/>
        <w:rPr>
          <w:rFonts w:ascii="FrankRuehl" w:hAnsi="FrankRuehl" w:cs="FrankRuehl"/>
          <w:noProof/>
          <w:rtl/>
        </w:rPr>
      </w:pPr>
    </w:p>
    <w:p w14:paraId="73E4F8B9" w14:textId="77777777" w:rsidR="007F314E" w:rsidRPr="007F314E" w:rsidRDefault="007F314E" w:rsidP="007F314E">
      <w:pPr>
        <w:pStyle w:val="aa"/>
        <w:tabs>
          <w:tab w:val="left" w:pos="-58"/>
        </w:tabs>
        <w:spacing w:before="120" w:beforeAutospacing="1" w:after="120" w:line="240" w:lineRule="exact"/>
        <w:ind w:left="283" w:hanging="283"/>
        <w:jc w:val="both"/>
        <w:rPr>
          <w:rFonts w:ascii="FrankRuehl" w:hAnsi="FrankRuehl" w:cs="FrankRuehl"/>
          <w:noProof/>
          <w:rtl/>
        </w:rPr>
      </w:pPr>
      <w:r w:rsidRPr="007F314E">
        <w:rPr>
          <w:rFonts w:ascii="FrankRuehl" w:hAnsi="FrankRuehl" w:cs="FrankRuehl"/>
          <w:noProof/>
          <w:rtl/>
        </w:rPr>
        <w:t xml:space="preserve">חקיקה שאוזכרה: </w:t>
      </w:r>
    </w:p>
    <w:p w14:paraId="3226CD97" w14:textId="77777777" w:rsidR="007F314E" w:rsidRPr="007F314E" w:rsidRDefault="007F314E" w:rsidP="007F314E">
      <w:pPr>
        <w:pStyle w:val="aa"/>
        <w:tabs>
          <w:tab w:val="left" w:pos="-58"/>
        </w:tabs>
        <w:spacing w:before="120" w:beforeAutospacing="1" w:after="120" w:line="240" w:lineRule="exact"/>
        <w:ind w:left="283" w:hanging="283"/>
        <w:jc w:val="both"/>
        <w:rPr>
          <w:rFonts w:ascii="FrankRuehl" w:hAnsi="FrankRuehl" w:cs="FrankRuehl"/>
          <w:noProof/>
          <w:rtl/>
        </w:rPr>
      </w:pPr>
      <w:hyperlink r:id="rId7" w:history="1">
        <w:r w:rsidRPr="007F314E">
          <w:rPr>
            <w:rFonts w:ascii="FrankRuehl" w:hAnsi="FrankRuehl" w:cs="FrankRuehl"/>
            <w:noProof/>
            <w:color w:val="0000FF"/>
            <w:rtl/>
          </w:rPr>
          <w:t>פקודת הסמים המסוכנים [נוסח חדש], תשל"ג-1973</w:t>
        </w:r>
      </w:hyperlink>
      <w:r w:rsidRPr="007F314E">
        <w:rPr>
          <w:rFonts w:ascii="FrankRuehl" w:hAnsi="FrankRuehl" w:cs="FrankRuehl"/>
          <w:noProof/>
          <w:rtl/>
        </w:rPr>
        <w:t xml:space="preserve">: סע'  </w:t>
      </w:r>
      <w:hyperlink r:id="rId8" w:history="1">
        <w:r w:rsidRPr="007F314E">
          <w:rPr>
            <w:rFonts w:ascii="FrankRuehl" w:hAnsi="FrankRuehl" w:cs="FrankRuehl"/>
            <w:noProof/>
            <w:color w:val="0000FF"/>
            <w:rtl/>
          </w:rPr>
          <w:t>6</w:t>
        </w:r>
      </w:hyperlink>
      <w:r w:rsidRPr="007F314E">
        <w:rPr>
          <w:rFonts w:ascii="FrankRuehl" w:hAnsi="FrankRuehl" w:cs="FrankRuehl"/>
          <w:noProof/>
          <w:rtl/>
        </w:rPr>
        <w:t xml:space="preserve">, </w:t>
      </w:r>
      <w:hyperlink r:id="rId9" w:history="1">
        <w:r w:rsidRPr="007F314E">
          <w:rPr>
            <w:rFonts w:ascii="FrankRuehl" w:hAnsi="FrankRuehl" w:cs="FrankRuehl"/>
            <w:noProof/>
            <w:color w:val="0000FF"/>
            <w:rtl/>
          </w:rPr>
          <w:t>9(א)</w:t>
        </w:r>
      </w:hyperlink>
      <w:r w:rsidRPr="007F314E">
        <w:rPr>
          <w:rFonts w:ascii="FrankRuehl" w:hAnsi="FrankRuehl" w:cs="FrankRuehl"/>
          <w:noProof/>
          <w:rtl/>
        </w:rPr>
        <w:t xml:space="preserve">, </w:t>
      </w:r>
      <w:hyperlink r:id="rId10" w:history="1">
        <w:r w:rsidRPr="007F314E">
          <w:rPr>
            <w:rFonts w:ascii="FrankRuehl" w:hAnsi="FrankRuehl" w:cs="FrankRuehl"/>
            <w:noProof/>
            <w:color w:val="0000FF"/>
            <w:rtl/>
          </w:rPr>
          <w:t>9(ד)</w:t>
        </w:r>
      </w:hyperlink>
      <w:r w:rsidRPr="007F314E">
        <w:rPr>
          <w:rFonts w:ascii="FrankRuehl" w:hAnsi="FrankRuehl" w:cs="FrankRuehl"/>
          <w:noProof/>
          <w:rtl/>
        </w:rPr>
        <w:t xml:space="preserve">, </w:t>
      </w:r>
      <w:hyperlink r:id="rId11" w:history="1">
        <w:r w:rsidRPr="007F314E">
          <w:rPr>
            <w:rFonts w:ascii="FrankRuehl" w:hAnsi="FrankRuehl" w:cs="FrankRuehl"/>
            <w:noProof/>
            <w:color w:val="0000FF"/>
            <w:rtl/>
          </w:rPr>
          <w:t>10</w:t>
        </w:r>
      </w:hyperlink>
      <w:r w:rsidRPr="007F314E">
        <w:rPr>
          <w:rFonts w:ascii="FrankRuehl" w:hAnsi="FrankRuehl" w:cs="FrankRuehl"/>
          <w:noProof/>
          <w:rtl/>
        </w:rPr>
        <w:t xml:space="preserve">, </w:t>
      </w:r>
      <w:hyperlink r:id="rId12" w:history="1">
        <w:r w:rsidRPr="007F314E">
          <w:rPr>
            <w:rFonts w:ascii="FrankRuehl" w:hAnsi="FrankRuehl" w:cs="FrankRuehl"/>
            <w:noProof/>
            <w:color w:val="0000FF"/>
            <w:rtl/>
          </w:rPr>
          <w:t>36 א(ב)</w:t>
        </w:r>
      </w:hyperlink>
    </w:p>
    <w:p w14:paraId="15A9E16A" w14:textId="77777777" w:rsidR="007F314E" w:rsidRPr="007F314E" w:rsidRDefault="007F314E" w:rsidP="007F314E">
      <w:pPr>
        <w:pStyle w:val="aa"/>
        <w:tabs>
          <w:tab w:val="left" w:pos="-58"/>
        </w:tabs>
        <w:spacing w:before="120" w:beforeAutospacing="1" w:after="120" w:line="240" w:lineRule="exact"/>
        <w:ind w:left="283" w:hanging="283"/>
        <w:jc w:val="both"/>
        <w:rPr>
          <w:rFonts w:ascii="FrankRuehl" w:hAnsi="FrankRuehl" w:cs="FrankRuehl"/>
          <w:noProof/>
          <w:rtl/>
        </w:rPr>
      </w:pPr>
      <w:hyperlink r:id="rId13" w:history="1">
        <w:r w:rsidRPr="007F314E">
          <w:rPr>
            <w:rFonts w:ascii="FrankRuehl" w:hAnsi="FrankRuehl" w:cs="FrankRuehl"/>
            <w:noProof/>
            <w:color w:val="0000FF"/>
            <w:rtl/>
          </w:rPr>
          <w:t>חוק העונשין, תשל"ז-1977</w:t>
        </w:r>
      </w:hyperlink>
      <w:r w:rsidRPr="007F314E">
        <w:rPr>
          <w:rFonts w:ascii="FrankRuehl" w:hAnsi="FrankRuehl" w:cs="FrankRuehl"/>
          <w:noProof/>
          <w:rtl/>
        </w:rPr>
        <w:t xml:space="preserve">: סע'  </w:t>
      </w:r>
      <w:hyperlink r:id="rId14" w:history="1">
        <w:r w:rsidRPr="007F314E">
          <w:rPr>
            <w:rFonts w:ascii="FrankRuehl" w:hAnsi="FrankRuehl" w:cs="FrankRuehl"/>
            <w:noProof/>
            <w:color w:val="0000FF"/>
            <w:rtl/>
          </w:rPr>
          <w:t>40יא'</w:t>
        </w:r>
      </w:hyperlink>
    </w:p>
    <w:p w14:paraId="313964E5" w14:textId="77777777" w:rsidR="007F314E" w:rsidRPr="007F314E" w:rsidRDefault="007F314E" w:rsidP="007F314E">
      <w:pPr>
        <w:pStyle w:val="aa"/>
        <w:tabs>
          <w:tab w:val="left" w:pos="-58"/>
        </w:tabs>
        <w:spacing w:before="100" w:beforeAutospacing="1" w:after="120" w:line="360" w:lineRule="auto"/>
        <w:ind w:left="360"/>
        <w:jc w:val="both"/>
        <w:rPr>
          <w:rFonts w:ascii="FrankRuehl" w:hAnsi="FrankRuehl" w:cs="FrankRuehl"/>
          <w:noProof/>
          <w:sz w:val="28"/>
          <w:szCs w:val="28"/>
          <w:rtl/>
        </w:rPr>
      </w:pPr>
      <w:bookmarkStart w:id="4" w:name="LawTable_End"/>
      <w:bookmarkEnd w:id="4"/>
    </w:p>
    <w:p w14:paraId="01E06050" w14:textId="77777777" w:rsidR="00DA3E1B" w:rsidRPr="00B931F1" w:rsidRDefault="00DA3E1B" w:rsidP="00B931F1">
      <w:pPr>
        <w:pStyle w:val="aa"/>
        <w:tabs>
          <w:tab w:val="left" w:pos="-58"/>
        </w:tabs>
        <w:spacing w:before="100" w:beforeAutospacing="1" w:after="120" w:line="360" w:lineRule="auto"/>
        <w:ind w:left="360"/>
        <w:jc w:val="both"/>
        <w:rPr>
          <w:rFonts w:ascii="FrankRuehl" w:hAnsi="FrankRuehl" w:cs="FrankRuehl"/>
          <w:noProof/>
          <w:sz w:val="28"/>
          <w:szCs w:val="28"/>
          <w:rtl/>
        </w:rPr>
      </w:pP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4"/>
      </w:tblGrid>
      <w:tr w:rsidR="00A642D7" w14:paraId="0E2D9AA1" w14:textId="77777777" w:rsidTr="00A642D7">
        <w:trPr>
          <w:trHeight w:val="355"/>
          <w:jc w:val="center"/>
        </w:trPr>
        <w:tc>
          <w:tcPr>
            <w:tcW w:w="8364" w:type="dxa"/>
            <w:tcBorders>
              <w:top w:val="nil"/>
              <w:left w:val="nil"/>
              <w:bottom w:val="nil"/>
              <w:right w:val="nil"/>
            </w:tcBorders>
            <w:shd w:val="clear" w:color="auto" w:fill="auto"/>
          </w:tcPr>
          <w:p w14:paraId="17DB9C9B" w14:textId="77777777" w:rsidR="00DA3E1B" w:rsidRPr="00DA3E1B" w:rsidRDefault="00DA3E1B" w:rsidP="00DA3E1B">
            <w:pPr>
              <w:jc w:val="center"/>
              <w:rPr>
                <w:rFonts w:ascii="David" w:hAnsi="David"/>
                <w:b/>
                <w:bCs/>
                <w:sz w:val="32"/>
                <w:szCs w:val="32"/>
                <w:u w:val="single"/>
                <w:rtl/>
              </w:rPr>
            </w:pPr>
            <w:bookmarkStart w:id="5" w:name="PsakDin" w:colFirst="0" w:colLast="0"/>
            <w:r w:rsidRPr="00DA3E1B">
              <w:rPr>
                <w:rFonts w:ascii="David" w:hAnsi="David"/>
                <w:b/>
                <w:bCs/>
                <w:sz w:val="32"/>
                <w:szCs w:val="32"/>
                <w:u w:val="single"/>
                <w:rtl/>
              </w:rPr>
              <w:t>גזר דין</w:t>
            </w:r>
          </w:p>
          <w:p w14:paraId="5F139AFC" w14:textId="77777777" w:rsidR="00A642D7" w:rsidRPr="00DA3E1B" w:rsidRDefault="00A642D7" w:rsidP="00DA3E1B">
            <w:pPr>
              <w:jc w:val="center"/>
              <w:rPr>
                <w:rFonts w:ascii="David" w:hAnsi="David"/>
                <w:bCs/>
                <w:sz w:val="32"/>
                <w:szCs w:val="32"/>
                <w:u w:val="single"/>
                <w:rtl/>
              </w:rPr>
            </w:pPr>
          </w:p>
        </w:tc>
      </w:tr>
    </w:tbl>
    <w:p w14:paraId="0691C73E"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bookmarkStart w:id="6" w:name="ABSTRACT_START"/>
      <w:bookmarkEnd w:id="5"/>
      <w:bookmarkEnd w:id="6"/>
      <w:r>
        <w:rPr>
          <w:rFonts w:cs="FrankRuehl"/>
          <w:sz w:val="28"/>
          <w:szCs w:val="28"/>
          <w:rtl/>
        </w:rPr>
        <w:t>הנאשם הורשע על פי הודאתו ב</w:t>
      </w:r>
      <w:r>
        <w:rPr>
          <w:rFonts w:ascii="Miriam" w:hAnsi="Miriam" w:cs="Miriam"/>
          <w:rtl/>
        </w:rPr>
        <w:t xml:space="preserve">גידול יצור </w:t>
      </w:r>
      <w:r>
        <w:rPr>
          <w:rFonts w:ascii="Miriam" w:hAnsi="Miriam" w:cs="Miriam" w:hint="cs"/>
          <w:rtl/>
        </w:rPr>
        <w:t>ו</w:t>
      </w:r>
      <w:r>
        <w:rPr>
          <w:rFonts w:ascii="Miriam" w:hAnsi="Miriam" w:cs="Miriam"/>
          <w:rtl/>
        </w:rPr>
        <w:t>הכנת סמים מסוכנים</w:t>
      </w:r>
      <w:r>
        <w:rPr>
          <w:rFonts w:cs="FrankRuehl"/>
          <w:sz w:val="28"/>
          <w:szCs w:val="28"/>
          <w:rtl/>
        </w:rPr>
        <w:t xml:space="preserve">, עבירה לפי </w:t>
      </w:r>
      <w:hyperlink r:id="rId15" w:history="1">
        <w:r w:rsidR="00007F88" w:rsidRPr="00007F88">
          <w:rPr>
            <w:rStyle w:val="Hyperlink"/>
            <w:rFonts w:cs="FrankRuehl"/>
            <w:sz w:val="28"/>
            <w:szCs w:val="28"/>
            <w:rtl/>
          </w:rPr>
          <w:t>סעיף 6</w:t>
        </w:r>
      </w:hyperlink>
      <w:r>
        <w:rPr>
          <w:rFonts w:cs="FrankRuehl"/>
          <w:sz w:val="28"/>
          <w:szCs w:val="28"/>
          <w:rtl/>
        </w:rPr>
        <w:t xml:space="preserve"> </w:t>
      </w:r>
      <w:r>
        <w:rPr>
          <w:rFonts w:cs="FrankRuehl" w:hint="cs"/>
          <w:sz w:val="28"/>
          <w:szCs w:val="28"/>
          <w:rtl/>
        </w:rPr>
        <w:t>ל</w:t>
      </w:r>
      <w:hyperlink r:id="rId16" w:history="1">
        <w:r w:rsidR="00DA3E1B" w:rsidRPr="00DA3E1B">
          <w:rPr>
            <w:rFonts w:cs="FrankRuehl" w:hint="cs"/>
            <w:color w:val="0000FF"/>
            <w:sz w:val="28"/>
            <w:szCs w:val="28"/>
            <w:u w:val="single"/>
            <w:rtl/>
          </w:rPr>
          <w:t>פקודת</w:t>
        </w:r>
        <w:r w:rsidR="00DA3E1B" w:rsidRPr="00DA3E1B">
          <w:rPr>
            <w:rFonts w:cs="FrankRuehl"/>
            <w:color w:val="0000FF"/>
            <w:sz w:val="28"/>
            <w:szCs w:val="28"/>
            <w:u w:val="single"/>
            <w:rtl/>
          </w:rPr>
          <w:t xml:space="preserve"> </w:t>
        </w:r>
        <w:r w:rsidR="00DA3E1B" w:rsidRPr="00DA3E1B">
          <w:rPr>
            <w:rFonts w:cs="FrankRuehl" w:hint="cs"/>
            <w:color w:val="0000FF"/>
            <w:sz w:val="28"/>
            <w:szCs w:val="28"/>
            <w:u w:val="single"/>
            <w:rtl/>
          </w:rPr>
          <w:t>הסמים</w:t>
        </w:r>
        <w:r w:rsidR="00DA3E1B" w:rsidRPr="00DA3E1B">
          <w:rPr>
            <w:rFonts w:cs="FrankRuehl"/>
            <w:color w:val="0000FF"/>
            <w:sz w:val="28"/>
            <w:szCs w:val="28"/>
            <w:u w:val="single"/>
            <w:rtl/>
          </w:rPr>
          <w:t xml:space="preserve"> </w:t>
        </w:r>
        <w:r w:rsidR="00DA3E1B" w:rsidRPr="00DA3E1B">
          <w:rPr>
            <w:rFonts w:cs="FrankRuehl" w:hint="cs"/>
            <w:color w:val="0000FF"/>
            <w:sz w:val="28"/>
            <w:szCs w:val="28"/>
            <w:u w:val="single"/>
            <w:rtl/>
          </w:rPr>
          <w:t>המסוכנים</w:t>
        </w:r>
      </w:hyperlink>
      <w:r>
        <w:rPr>
          <w:rFonts w:cs="FrankRuehl" w:hint="cs"/>
          <w:sz w:val="28"/>
          <w:szCs w:val="28"/>
        </w:rPr>
        <w:t xml:space="preserve"> </w:t>
      </w:r>
      <w:r>
        <w:rPr>
          <w:rFonts w:cs="FrankRuehl" w:hint="cs"/>
          <w:sz w:val="28"/>
          <w:szCs w:val="28"/>
          <w:rtl/>
        </w:rPr>
        <w:t>[נוסח חדש]</w:t>
      </w:r>
      <w:r>
        <w:rPr>
          <w:rFonts w:cs="FrankRuehl"/>
          <w:sz w:val="28"/>
          <w:szCs w:val="28"/>
          <w:rtl/>
        </w:rPr>
        <w:t xml:space="preserve"> התשל"ג–1973</w:t>
      </w:r>
      <w:r>
        <w:rPr>
          <w:rFonts w:ascii="Miriam" w:hAnsi="Miriam" w:cs="Miriam"/>
          <w:rtl/>
        </w:rPr>
        <w:t xml:space="preserve"> (</w:t>
      </w:r>
      <w:r>
        <w:rPr>
          <w:rFonts w:cs="FrankRuehl"/>
          <w:sz w:val="28"/>
          <w:szCs w:val="28"/>
          <w:rtl/>
        </w:rPr>
        <w:t xml:space="preserve">להלן: </w:t>
      </w:r>
      <w:r>
        <w:rPr>
          <w:rFonts w:ascii="Miriam" w:hAnsi="Miriam" w:cs="Miriam"/>
          <w:rtl/>
        </w:rPr>
        <w:t>פקודת הסמים המסוכנים</w:t>
      </w:r>
      <w:r>
        <w:rPr>
          <w:rFonts w:cs="FrankRuehl"/>
          <w:sz w:val="28"/>
          <w:szCs w:val="28"/>
          <w:rtl/>
        </w:rPr>
        <w:t>), ב</w:t>
      </w:r>
      <w:r>
        <w:rPr>
          <w:rFonts w:ascii="Miriam" w:hAnsi="Miriam" w:cs="Miriam"/>
          <w:rtl/>
        </w:rPr>
        <w:t>החזקת חצרים לעישון או הכנת סמים או מכירתו או עשיית עסקה אחרת שלא בהיתר</w:t>
      </w:r>
      <w:r>
        <w:rPr>
          <w:rFonts w:cs="FrankRuehl"/>
          <w:sz w:val="28"/>
          <w:szCs w:val="28"/>
          <w:rtl/>
        </w:rPr>
        <w:t xml:space="preserve">, עבירה לפי </w:t>
      </w:r>
      <w:hyperlink r:id="rId17" w:history="1">
        <w:r w:rsidR="00007F88" w:rsidRPr="00007F88">
          <w:rPr>
            <w:rStyle w:val="Hyperlink"/>
            <w:rFonts w:cs="FrankRuehl"/>
            <w:sz w:val="28"/>
            <w:szCs w:val="28"/>
            <w:rtl/>
          </w:rPr>
          <w:t>סעיפים 9(א)</w:t>
        </w:r>
      </w:hyperlink>
      <w:r>
        <w:rPr>
          <w:rFonts w:cs="FrankRuehl"/>
          <w:sz w:val="28"/>
          <w:szCs w:val="28"/>
          <w:rtl/>
        </w:rPr>
        <w:t xml:space="preserve"> + </w:t>
      </w:r>
      <w:hyperlink r:id="rId18" w:history="1">
        <w:r w:rsidR="00007F88" w:rsidRPr="00007F88">
          <w:rPr>
            <w:rStyle w:val="Hyperlink"/>
            <w:rFonts w:cs="FrankRuehl"/>
            <w:sz w:val="28"/>
            <w:szCs w:val="28"/>
            <w:rtl/>
          </w:rPr>
          <w:t>9(ד)</w:t>
        </w:r>
      </w:hyperlink>
      <w:r>
        <w:rPr>
          <w:rFonts w:cs="FrankRuehl"/>
          <w:sz w:val="28"/>
          <w:szCs w:val="28"/>
          <w:rtl/>
        </w:rPr>
        <w:t xml:space="preserve"> לפקודת הסמים המסוכנים, וב</w:t>
      </w:r>
      <w:r>
        <w:rPr>
          <w:rFonts w:ascii="Miriam" w:hAnsi="Miriam" w:cs="Miriam"/>
          <w:rtl/>
        </w:rPr>
        <w:t xml:space="preserve">החזקת כלים להכנת סם </w:t>
      </w:r>
      <w:r>
        <w:rPr>
          <w:rFonts w:ascii="Miriam" w:hAnsi="Miriam" w:cs="Miriam" w:hint="cs"/>
          <w:rtl/>
        </w:rPr>
        <w:t xml:space="preserve">שלא </w:t>
      </w:r>
      <w:r>
        <w:rPr>
          <w:rFonts w:ascii="Miriam" w:hAnsi="Miriam" w:cs="Miriam"/>
          <w:rtl/>
        </w:rPr>
        <w:t>לצריכה עצמית</w:t>
      </w:r>
      <w:r>
        <w:rPr>
          <w:rFonts w:cs="FrankRuehl"/>
          <w:sz w:val="28"/>
          <w:szCs w:val="28"/>
          <w:rtl/>
        </w:rPr>
        <w:t xml:space="preserve">, עבירה לפי </w:t>
      </w:r>
      <w:hyperlink r:id="rId19" w:history="1">
        <w:r w:rsidR="00007F88" w:rsidRPr="00007F88">
          <w:rPr>
            <w:rStyle w:val="Hyperlink"/>
            <w:rFonts w:cs="FrankRuehl"/>
            <w:sz w:val="28"/>
            <w:szCs w:val="28"/>
            <w:rtl/>
          </w:rPr>
          <w:t>סעיף 10</w:t>
        </w:r>
      </w:hyperlink>
      <w:r>
        <w:rPr>
          <w:rFonts w:cs="FrankRuehl"/>
          <w:sz w:val="28"/>
          <w:szCs w:val="28"/>
          <w:rtl/>
        </w:rPr>
        <w:t xml:space="preserve"> סיפא לפקודת הסמים המסוכנים.</w:t>
      </w:r>
    </w:p>
    <w:p w14:paraId="21954435" w14:textId="77777777" w:rsidR="00A642D7" w:rsidRPr="00675633" w:rsidRDefault="00A642D7" w:rsidP="00A642D7">
      <w:pPr>
        <w:pStyle w:val="aa"/>
        <w:tabs>
          <w:tab w:val="left" w:pos="-58"/>
        </w:tabs>
        <w:spacing w:before="100" w:beforeAutospacing="1" w:after="120"/>
        <w:ind w:left="-58"/>
        <w:jc w:val="both"/>
        <w:rPr>
          <w:rFonts w:ascii="FrankRuehl" w:hAnsi="FrankRuehl" w:cs="FrankRuehl"/>
          <w:noProof/>
          <w:sz w:val="28"/>
          <w:szCs w:val="28"/>
        </w:rPr>
      </w:pPr>
      <w:bookmarkStart w:id="7" w:name="ABSTRACT_END"/>
      <w:bookmarkEnd w:id="7"/>
    </w:p>
    <w:p w14:paraId="76665EF2"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Pr>
          <w:rFonts w:ascii="FrankRuehl" w:hAnsi="FrankRuehl" w:cs="FrankRuehl"/>
          <w:noProof/>
          <w:sz w:val="28"/>
          <w:szCs w:val="28"/>
          <w:rtl/>
        </w:rPr>
        <w:t xml:space="preserve">בין הצדדים לא גובשה הסכמה לעניין העונש שראוי שיושת על הנאשם. בעניין זה כל צד טען כראות עיניו וכמיטב שיקול דעתו המקצועי. </w:t>
      </w:r>
    </w:p>
    <w:p w14:paraId="505564DF" w14:textId="77777777" w:rsidR="00A642D7" w:rsidRPr="00EC452D" w:rsidRDefault="00A642D7" w:rsidP="00A642D7">
      <w:pPr>
        <w:pStyle w:val="aa"/>
        <w:rPr>
          <w:rFonts w:ascii="FrankRuehl" w:hAnsi="FrankRuehl" w:cs="FrankRuehl"/>
          <w:noProof/>
          <w:sz w:val="28"/>
          <w:szCs w:val="28"/>
          <w:rtl/>
        </w:rPr>
      </w:pPr>
    </w:p>
    <w:p w14:paraId="770B9BB2" w14:textId="77777777" w:rsidR="00A642D7" w:rsidRDefault="00A642D7" w:rsidP="00A642D7">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 xml:space="preserve">עובדות כתב האישום  </w:t>
      </w:r>
    </w:p>
    <w:p w14:paraId="1360EFF5" w14:textId="77777777" w:rsidR="00A642D7" w:rsidRDefault="00A642D7" w:rsidP="00A642D7">
      <w:pPr>
        <w:pStyle w:val="aa"/>
        <w:tabs>
          <w:tab w:val="left" w:pos="-58"/>
        </w:tabs>
        <w:spacing w:before="100" w:beforeAutospacing="1" w:after="120"/>
        <w:ind w:left="-58"/>
        <w:jc w:val="both"/>
        <w:rPr>
          <w:rFonts w:ascii="Miriam" w:hAnsi="Miriam" w:cs="Miriam"/>
          <w:rtl/>
        </w:rPr>
      </w:pPr>
    </w:p>
    <w:p w14:paraId="08E239E3"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Miriam" w:hAnsi="Miriam" w:cs="Miriam"/>
          <w:rtl/>
        </w:rPr>
      </w:pPr>
      <w:r>
        <w:rPr>
          <w:rFonts w:ascii="FrankRuehl" w:hAnsi="FrankRuehl" w:cs="FrankRuehl"/>
          <w:noProof/>
          <w:sz w:val="28"/>
          <w:szCs w:val="28"/>
          <w:rtl/>
        </w:rPr>
        <w:lastRenderedPageBreak/>
        <w:t>החל מיום 10.4.2021 שכר הנאשם בית פרטי המונה 3 קומות, 5 חדרים, חצר וחניה. במהלך השכירות ובמועד שאינו ידוע במדויק למאשימה, הקים הנאשם בבית מעבדה לגידול סם מסוכן מסוג קנבוס ולשם כך רכש שתילי קנבוס קטנים, חומרי דישון ואמצעים רבים לצורך גידול הסם ובהם 9 נורות, 41 שנאים ושני מפוחים. בהמשך ועד ליום 19.8.2021 גידל הנאשם 916 שתילים וסך הסם המסוכן שגידל הועמד במשקל של כ- 9.158 ק"ג נטו (בחדר הראשון גידל 62 שתילים במשקל 4.34 ק"ג; בחדר השני גידל 20 שתילים במשקל 2.48 ק"ג; בחדר השלישי גידל 264 שתילים במשקל 1.358 ק"ג; בקומת המרתף גידל 570 שתילים במשקל 0.98 ק"ג).</w:t>
      </w:r>
    </w:p>
    <w:p w14:paraId="69D36F90" w14:textId="77777777" w:rsidR="00A642D7" w:rsidRDefault="00A642D7" w:rsidP="00A642D7">
      <w:pPr>
        <w:pStyle w:val="aa"/>
        <w:tabs>
          <w:tab w:val="left" w:pos="-58"/>
        </w:tabs>
        <w:spacing w:before="100" w:beforeAutospacing="1" w:after="120" w:line="360" w:lineRule="auto"/>
        <w:ind w:left="-58"/>
        <w:jc w:val="both"/>
        <w:rPr>
          <w:rFonts w:ascii="Miriam" w:hAnsi="Miriam" w:cs="Miriam"/>
          <w:rtl/>
        </w:rPr>
      </w:pPr>
    </w:p>
    <w:p w14:paraId="6F6BC6B2" w14:textId="77777777" w:rsidR="00A642D7" w:rsidRDefault="00A642D7" w:rsidP="00A642D7">
      <w:pPr>
        <w:pStyle w:val="aa"/>
        <w:tabs>
          <w:tab w:val="left" w:pos="-58"/>
        </w:tabs>
        <w:spacing w:before="100" w:beforeAutospacing="1" w:after="120" w:line="360" w:lineRule="auto"/>
        <w:ind w:left="-58"/>
        <w:jc w:val="both"/>
        <w:rPr>
          <w:rFonts w:ascii="Miriam" w:hAnsi="Miriam" w:cs="Miriam"/>
        </w:rPr>
      </w:pPr>
      <w:r>
        <w:rPr>
          <w:rFonts w:ascii="Miriam" w:hAnsi="Miriam" w:cs="Miriam"/>
          <w:rtl/>
        </w:rPr>
        <w:t>תסקירי מבחן</w:t>
      </w:r>
    </w:p>
    <w:p w14:paraId="14B27D46" w14:textId="77777777" w:rsidR="00A642D7" w:rsidRPr="00EC452D" w:rsidRDefault="00A642D7" w:rsidP="00A642D7">
      <w:pPr>
        <w:pStyle w:val="aa"/>
        <w:tabs>
          <w:tab w:val="left" w:pos="-58"/>
        </w:tabs>
        <w:spacing w:before="100" w:beforeAutospacing="1" w:after="120"/>
        <w:ind w:left="-58"/>
        <w:jc w:val="both"/>
        <w:rPr>
          <w:rFonts w:ascii="Miriam" w:hAnsi="Miriam" w:cs="Miriam"/>
        </w:rPr>
      </w:pPr>
    </w:p>
    <w:p w14:paraId="1E7C9B68"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Miriam" w:hAnsi="Miriam" w:cs="Miriam"/>
          <w:rtl/>
        </w:rPr>
      </w:pPr>
      <w:r>
        <w:rPr>
          <w:rFonts w:ascii="FrankRuehl" w:hAnsi="FrankRuehl" w:cs="FrankRuehl"/>
          <w:sz w:val="28"/>
          <w:szCs w:val="28"/>
          <w:rtl/>
        </w:rPr>
        <w:t xml:space="preserve">בפני בית המשפט מונחים שלושה תסקירים (7.7.2022, 6.11.2022, 18.6.2023) המגוללים את הרקע האישי והמשפחתי של הנאשם, היסטוריה עבריינית והתייחסותו לעבירות, הערכת הסיכון כמו גם הסיכוי לשיקום. בסופו של תהליך אבחון וטיפול המליץ שירות המבחן על ענישה המהווה אלטרנטיבה עונשית בדמות הטלת צו של"צ בהיקף שעות נרחב. כמו כן, </w:t>
      </w:r>
      <w:r>
        <w:rPr>
          <w:rFonts w:cs="FrankRuehl"/>
          <w:sz w:val="28"/>
          <w:szCs w:val="28"/>
          <w:rtl/>
        </w:rPr>
        <w:t xml:space="preserve">לפי </w:t>
      </w:r>
      <w:r>
        <w:rPr>
          <w:rFonts w:ascii="Miriam" w:hAnsi="Miriam" w:cs="Miriam"/>
          <w:rtl/>
        </w:rPr>
        <w:t>חוות דעת הממונה על עבודות השירות מיום</w:t>
      </w:r>
      <w:r>
        <w:rPr>
          <w:rFonts w:cs="FrankRuehl"/>
          <w:sz w:val="28"/>
          <w:szCs w:val="28"/>
          <w:rtl/>
        </w:rPr>
        <w:t xml:space="preserve"> </w:t>
      </w:r>
      <w:r>
        <w:rPr>
          <w:rFonts w:ascii="Miriam" w:hAnsi="Miriam" w:cs="Miriam"/>
          <w:rtl/>
        </w:rPr>
        <w:t>28.9.2023</w:t>
      </w:r>
      <w:r>
        <w:rPr>
          <w:rFonts w:cs="FrankRuehl"/>
          <w:sz w:val="28"/>
          <w:szCs w:val="28"/>
          <w:rtl/>
        </w:rPr>
        <w:t>, נמצא הנאשם מתאים לביצוע עבודות שירות. אפרט בקצרה.</w:t>
      </w:r>
    </w:p>
    <w:p w14:paraId="2D62A85E" w14:textId="77777777" w:rsidR="00A642D7" w:rsidRDefault="00A642D7" w:rsidP="00A642D7">
      <w:pPr>
        <w:pStyle w:val="aa"/>
        <w:tabs>
          <w:tab w:val="left" w:pos="-58"/>
        </w:tabs>
        <w:spacing w:before="100" w:beforeAutospacing="1" w:after="120"/>
        <w:ind w:left="-58"/>
        <w:jc w:val="both"/>
        <w:rPr>
          <w:rFonts w:ascii="Miriam" w:hAnsi="Miriam" w:cs="Miriam"/>
          <w:rtl/>
        </w:rPr>
      </w:pPr>
    </w:p>
    <w:p w14:paraId="3CE1F1D8" w14:textId="77777777" w:rsidR="00A642D7" w:rsidRDefault="00A642D7" w:rsidP="00A642D7">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תסקיר מיום 7.7.2022 (להלן: התסקיר הראשון)</w:t>
      </w:r>
    </w:p>
    <w:p w14:paraId="4307C130" w14:textId="77777777" w:rsidR="00A642D7" w:rsidRDefault="00A642D7" w:rsidP="00A642D7">
      <w:pPr>
        <w:pStyle w:val="aa"/>
        <w:tabs>
          <w:tab w:val="left" w:pos="-58"/>
        </w:tabs>
        <w:spacing w:before="100" w:beforeAutospacing="1" w:after="120"/>
        <w:ind w:left="-58"/>
        <w:jc w:val="both"/>
        <w:rPr>
          <w:rFonts w:ascii="Miriam" w:hAnsi="Miriam" w:cs="Miriam"/>
        </w:rPr>
      </w:pPr>
    </w:p>
    <w:p w14:paraId="1B8B207D"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התסקיר התבסס על פגישות שקיים שירות המבחן עם הנאשם, בדיקת שתן שמסר האחרון, עיון במסמכים שהציג ובהם תמליל דוח משטרה ומכתב המלצה ממעסיקו, כתב האישום, פרוטוקול דיון מיום 9.12.2021, הכרעת הדין וגיליון רישום פלילי מיום 30.6.2022.</w:t>
      </w:r>
    </w:p>
    <w:p w14:paraId="436A0AEA"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563192FD"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בן 39, רווק, מתגורר בבית הוריו בכפר יונה ועובד כמנהל אזור בחברה המספקת ציוד לפלאפונים. הנאשם הינו הילד הרביעי מבין אחיו, הוריו בשנות ה-70 לחייהם, אמו עובדת במשק בית ואביו עובד כנהג. הנאשם תיאר קשר חיובי ותומך עם משפחתו. לדבריו, סיים 12 שנות לימוד ושירות צבאי מלא ולאורך השנים עבד באופן יציב. </w:t>
      </w:r>
    </w:p>
    <w:p w14:paraId="46E0E7E6"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3D2D434A"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ממכתב ההמלצה שהציג הנאשם, עולה כי מעסיקו רואה בנאשם כעובד מסור, אמין, ישר ומחויב לעבודתו וצוין כי היעדרות מעבודה לאורך מספר חודשים תוביל לפיטוריו. במהלך הפגישה עם שירות המבחן, הביע הנאשם את חששו מהתוצאות האפשריות של ההליך המשפטי הנוכחי בשל האמור.</w:t>
      </w:r>
    </w:p>
    <w:p w14:paraId="0C7B3478"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6D98971D"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lastRenderedPageBreak/>
        <w:t>עיון בגיליון הרישום הפלילי מגלה כי המדובר במעורבות ראשונה ויחידה של הנאשם בפלילים וכי לא עומדים ותלויים כנגדו תיקים נוספים. הנאשם שלל שימוש בחומרים פסיכואקטיביים ובדיקת שתן ביצע נמצאה נקיה משרידי סם.</w:t>
      </w:r>
    </w:p>
    <w:p w14:paraId="11EA243B"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5E7CA61A"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לקח אחריות על מעשיו כפי שתוארו בכתב האישום, תיאר כי בזמנו רצה למכור הסם לצורך רווח כספי אך כאשר היה הסם מוכן, הצליח לבחון את חומרת מעשיו ובחר שלא לממש את תכניותיו ואף הסגיר עצמו לגורמי אכיפת החוק. בהקשר זה, ביטא הנאשם הבנה לחומרת מעשיו והכיר בהתנהגותו הפסולה. עם זאת, הביע אמביוולנטיות לאפשרות להתחיל טיפול בקבוצה המיועדת למבוגרים עוברי חוק בהתאם להמלצת שירות המבחן, לצורך הכרה במניעים שבבסיס התנהגותו ובזיהוי מצבי סיכון אפשריים עבורו וחיזוק כוחותיו. </w:t>
      </w:r>
    </w:p>
    <w:p w14:paraId="6EFD15E6"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7E3E0C51"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שירות המבחן התרשם מנאשם שלאורך השנים גילה תפקוד תקין ויציב, לא מאופיין בדפוסים עברייניים או התמכרותיים, אך ישנו פער בין תפיסתו העצמית החיובית והנורמטיבית ובין מעורבותו בעבירות הנוכחיות, והרקע להם אינו ברור דיה. בין גורמי הסיכון שקל שירות המבחן את חומרת העבירות, התכנון וההתארגנות בביצוען ועמדתו המתקשה של הנאשם להכיר בצורך במעורבות טיפולית במצבו. בין גורמי הסיכוי לשיקום, נשקל כי מדובר במעורבות ראשונה ויחידה של הנאשם עם החוק, ההתרשמות מתפקוד תקין בשלל מסגרות חייו, קיומם של יכולות, כישורים ומערכת ערכים נורמטיבית, העובדה כי הסגיר עצמו לגורמי אכיפת החוק – דבר שמשקף לקיחת אחריות והבנה לאיסור החוקי שבהתנהלותו והעובדה כי ההליכים המשפטיים היוו עבור הנאשם אלמנט מרתיע ומציב גבול.</w:t>
      </w:r>
    </w:p>
    <w:p w14:paraId="2D6B71B1" w14:textId="77777777" w:rsidR="00A642D7" w:rsidRPr="00675633" w:rsidRDefault="00A642D7" w:rsidP="00A642D7">
      <w:pPr>
        <w:pStyle w:val="aa"/>
        <w:rPr>
          <w:rFonts w:ascii="FrankRuehl" w:hAnsi="FrankRuehl" w:cs="FrankRuehl"/>
          <w:sz w:val="28"/>
          <w:szCs w:val="28"/>
          <w:rtl/>
        </w:rPr>
      </w:pPr>
    </w:p>
    <w:p w14:paraId="0DF56D4B"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לאור האמור, סבר שירות המבחן כי יש חשיבות לבחון האפשרות השיקומית והעריך כי עונש מאסר, גם אם במסגרת עבודות שירות, עשוי לפגוע בתפקודו התעסוקתי הנוכחי ולהוביל לרגרסיה במצבו ולהחליש כוחותיו. משום כך, המליץ שירות המבחן על ענישה במסגרת הטלת צו של"צ בהיקף שעות נרחב. </w:t>
      </w:r>
    </w:p>
    <w:p w14:paraId="1B6E8F7E" w14:textId="77777777" w:rsidR="00A642D7" w:rsidRPr="00675633" w:rsidRDefault="00A642D7" w:rsidP="00A642D7">
      <w:pPr>
        <w:pStyle w:val="aa"/>
        <w:rPr>
          <w:rFonts w:ascii="FrankRuehl" w:hAnsi="FrankRuehl" w:cs="FrankRuehl"/>
          <w:sz w:val="28"/>
          <w:szCs w:val="28"/>
          <w:rtl/>
        </w:rPr>
      </w:pPr>
    </w:p>
    <w:p w14:paraId="7B83A5EB" w14:textId="77777777" w:rsidR="00A642D7" w:rsidRDefault="00A642D7" w:rsidP="00A642D7">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תסקיר מיום 6.11.2022 (להלן: התסקיר השני)</w:t>
      </w:r>
    </w:p>
    <w:p w14:paraId="04811DB6" w14:textId="77777777" w:rsidR="00A642D7" w:rsidRDefault="00A642D7" w:rsidP="00A642D7">
      <w:pPr>
        <w:pStyle w:val="aa"/>
        <w:tabs>
          <w:tab w:val="left" w:pos="-58"/>
        </w:tabs>
        <w:spacing w:before="100" w:beforeAutospacing="1" w:after="120"/>
        <w:ind w:left="-58"/>
        <w:jc w:val="both"/>
        <w:rPr>
          <w:rFonts w:ascii="Miriam" w:hAnsi="Miriam" w:cs="Miriam"/>
        </w:rPr>
      </w:pPr>
    </w:p>
    <w:p w14:paraId="685D93F9"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בתסקיר נמסר כי לאורך תקופת הדחייה הראשונית, עמד הנאשם על קשר רצוף עם שירות המבחן, שב ולקח אחריות והביע נכונות מילולית ראשונית להעמיק בבחירותיו השוליות ולהשתלב בהליך טיפולי. כמו כן, בדיקת שתן שמסר הייתה נקיה משרידי סם ובתקופת הדחייה לא נפתחו כנגד הנאשם תיקים נוספים. הנאשם מסר לשירות המבחן כי מזה חודשיים סיים עבודתו על רקע שיקולים כלכליים ולא החל בעבודה חדשה משום חוסר הוודאות באשר לתוצאות ההליך. אולם הדגיש את יכולותיו ליציבות ותפקוד תעסוקתי והביע חשש מתוצאות ההליך המשפטי כשלדבריו ענישה בדמות מאסר, גם אם עבודות שירות, עשויה לפגוע ביכולת שלו להשתלב בחזרה בשוק העבודה. </w:t>
      </w:r>
    </w:p>
    <w:p w14:paraId="6902B4E3"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27E244DA"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לאור האמור, המליץ שירות המבחן על תקופת דחייה נוספת בת ארבעה חודשים.</w:t>
      </w:r>
    </w:p>
    <w:p w14:paraId="2E78379D" w14:textId="77777777" w:rsidR="00A642D7" w:rsidRDefault="00A642D7" w:rsidP="00A642D7">
      <w:pPr>
        <w:pStyle w:val="aa"/>
        <w:tabs>
          <w:tab w:val="left" w:pos="-58"/>
        </w:tabs>
        <w:spacing w:before="100" w:beforeAutospacing="1" w:after="120"/>
        <w:ind w:left="-58"/>
        <w:jc w:val="both"/>
        <w:rPr>
          <w:rFonts w:ascii="Miriam" w:hAnsi="Miriam" w:cs="Miriam"/>
        </w:rPr>
      </w:pPr>
    </w:p>
    <w:p w14:paraId="54FA4266" w14:textId="77777777" w:rsidR="00A642D7" w:rsidRDefault="00A642D7" w:rsidP="00A642D7">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תסקיר מיום 18.6.2023 (להלן: התסקיר השלישי)</w:t>
      </w:r>
    </w:p>
    <w:p w14:paraId="1FD21E05"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5AD66CEC"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כעולה מהתסקיר האחרון, הנאשם השתלב בקבוצה קצרת טווח בשירות המבחן, הגיע לכל המפגשים, שיתף באופן פעיל, התייחס באופן מותאם ומכבד לחברי הקבוצה, שיתף על אודות התנהלותו בעבירות, במניעים ובבושה שחווה סביב ההליך המשפטי וכן בלקחים שהפיק. בשיחות עם שירות המבחן הנאשם שב ולקח אחריות על מעשיו, הביע צער בגין התנהלותו השולית, הביע חשש מעונש שיפגע בתפקודו התעסוקתי וניסיונותיו לנהל אורח חיים תקין ויציב, וכן הביע שביעות רצון מהשתלבותו בקבוצה אך מסר לא זקוק למעורבות טיפולית נוספת משום היעילות שבטיפול שהשתתף בו זה מכבר. כמו כן, בדיקת השתן שמסר נמצאה נקיה משרידי סם ולא נפתחו כנגדו תיקים נוספים בתקופת הדחייה. </w:t>
      </w:r>
    </w:p>
    <w:p w14:paraId="6F1D8208"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5A12671D"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hint="cs"/>
          <w:sz w:val="28"/>
          <w:szCs w:val="28"/>
          <w:rtl/>
        </w:rPr>
        <w:t xml:space="preserve">משכך, </w:t>
      </w:r>
      <w:r>
        <w:rPr>
          <w:rFonts w:ascii="FrankRuehl" w:hAnsi="FrankRuehl" w:cs="FrankRuehl"/>
          <w:sz w:val="28"/>
          <w:szCs w:val="28"/>
          <w:rtl/>
        </w:rPr>
        <w:t>סבר שירות המבחן כי עונש מאסר, גם אם במסגרת עבודות שירות, עלול להוביל לרגרסיה במצבו של הנאשם. על כן, המליץ שירות המבחן על הטלת צו של"צ בהיקף 250 שעות.</w:t>
      </w:r>
    </w:p>
    <w:p w14:paraId="0F0AA745" w14:textId="77777777" w:rsidR="00A642D7" w:rsidRDefault="00A642D7" w:rsidP="00A642D7">
      <w:pPr>
        <w:tabs>
          <w:tab w:val="left" w:pos="-58"/>
        </w:tabs>
        <w:spacing w:before="100" w:beforeAutospacing="1" w:after="120" w:line="360" w:lineRule="auto"/>
        <w:ind w:left="-58"/>
        <w:jc w:val="both"/>
        <w:rPr>
          <w:rFonts w:ascii="Miriam" w:hAnsi="Miriam" w:cs="Miriam"/>
          <w:rtl/>
        </w:rPr>
      </w:pPr>
      <w:r>
        <w:rPr>
          <w:rFonts w:ascii="Miriam" w:hAnsi="Miriam" w:cs="Miriam"/>
          <w:rtl/>
        </w:rPr>
        <w:t>טיעוני הצדדים לעונש</w:t>
      </w:r>
    </w:p>
    <w:p w14:paraId="26BFAC7A"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Miriam" w:hAnsi="Miriam" w:cs="Miriam"/>
          <w:rtl/>
        </w:rPr>
        <w:t>המאשימה</w:t>
      </w:r>
      <w:r>
        <w:rPr>
          <w:rFonts w:cs="FrankRuehl"/>
          <w:sz w:val="28"/>
          <w:szCs w:val="28"/>
          <w:rtl/>
        </w:rPr>
        <w:t xml:space="preserve"> עמדה בטיעוניה על הערכים החברתיים המוגנים שנפגעו כתוצאה מביצוע העבירות בהן הורשע הנאשם ובהם הגנה על שלמות גופו ובטחונו ובריאותו של הציבור בפרט נוכח היותו של נגע הסמים כמחולל פשיעה. חומרה יתרה ביקשה המאשימה לראות בעובדה כי הנאשם עומד בראש שרשרת הכנת הסם לצורך הפצתו, מספר השתילים הרב שהחזיק, משקלם, התכנון שקדם לביצוע העבירות, לרבות שכירת בית ואבזורו בציוד מותאם לגידול הסם והזמן שהקדיש לשם כך. עוד ביקשה המאשימה לתת משקל לפוטנציאל הנזק הגדול הגלום בביצוע העבירות. לאור זאת ומשום שהקמתם של מעבדות לגידול סמים הפכו לתופעה נפוצה ומסוכנת, עתרה המאשימה לקבוע מתחם שבין 12 ועד 36 חודשי מאסר בפועל. עמדתה תמכה בפסיקה. </w:t>
      </w:r>
    </w:p>
    <w:p w14:paraId="224896D2" w14:textId="77777777" w:rsidR="00A642D7" w:rsidRDefault="00A642D7" w:rsidP="00A642D7">
      <w:pPr>
        <w:pStyle w:val="aa"/>
        <w:tabs>
          <w:tab w:val="left" w:pos="-58"/>
        </w:tabs>
        <w:spacing w:before="100" w:beforeAutospacing="1" w:after="120"/>
        <w:ind w:left="-58"/>
        <w:jc w:val="both"/>
        <w:rPr>
          <w:rFonts w:cs="FrankRuehl"/>
          <w:sz w:val="28"/>
          <w:szCs w:val="28"/>
        </w:rPr>
      </w:pPr>
    </w:p>
    <w:p w14:paraId="55CEA93D"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באשר לקביעת העונש בגדרי המתחם זקפה המאשימה את גילו של הנאשם, העדר הרשעות קודמות והודאתו במיוחס לו. כמו כן, המאשימה סבורה כי אין כל טעם ענייני לחרוג ממתחם הענישה על אף ההמלצה החיובית שהובאה בתסקיר המבחן, שכן זו אינה הולמת את חומרת העבירה, מאפיינה והשלכותיה, ולא הוכח קיומו של פוטנציאל שיקומי מבטיח. אליבא המאשימה, העונש הראוי לנאשם מצוי בתחתית המתחם לו עתרה, דהיינו, 12 חודשי מאסר ורכיבי ענישה נוספים. עמדתה זו תמכה בפסיקה.</w:t>
      </w:r>
    </w:p>
    <w:p w14:paraId="743F76C7" w14:textId="77777777" w:rsidR="00A642D7" w:rsidRDefault="00A642D7" w:rsidP="00A642D7">
      <w:pPr>
        <w:pStyle w:val="aa"/>
        <w:tabs>
          <w:tab w:val="left" w:pos="-58"/>
        </w:tabs>
        <w:spacing w:before="100" w:beforeAutospacing="1" w:after="120"/>
        <w:ind w:left="-58"/>
        <w:jc w:val="both"/>
        <w:rPr>
          <w:rFonts w:cs="FrankRuehl"/>
          <w:sz w:val="28"/>
          <w:szCs w:val="28"/>
        </w:rPr>
      </w:pPr>
    </w:p>
    <w:p w14:paraId="41BCA688"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מנגד טען ב"כ הנאשם כי עתירתה של המאשימה מחמירה יתר על המידה אינה הולמת את נסיבות ביצוע העבירה כמו גם הפסיקה הנוהגת. לשיטתו, עניין לנו במקרה חריג שבחריגים המתאים הן לקביעת מתחם מקל והן לסטייה מהמתחם משיקולי שיקום. בתוך כך נטען כי המאשימה עצמה עיניה מהפרמטר העיקרי והמכריע הנוגע בהתנהלות הנאשם אשר עשה כמיטב יכולתו לתקן את תוצאות מעשיו האסורים. לאחר שנתקף בייסורי מצפון, שם פעמיו למשטרה והודיע בריש גלי על מעשה העבירה והביע חרטה. בהמשך הוביל את השוטרים לבית שם גודלו הסמים ונעצר למספר ימים. בנסיבות אלו, נטען כי העבירה המוגמרת של גידול והחזקת הסמים אמנם בוצעה אך ברור שהתכנון הראשוני היה להביא למכירת הסם. תכנית זו לא הושלמה במלואה ובסופו של דבר לא נגרם נזק לציבור. לפיכך נטען כי מדובר במקרה המתקרב לפטור מעונשין עקב חרטה שצריך לקבל ביטוי ממשי בקביעת גבולות המתחם.   </w:t>
      </w:r>
    </w:p>
    <w:p w14:paraId="7D4D7B28" w14:textId="77777777" w:rsidR="00A642D7" w:rsidRDefault="00A642D7" w:rsidP="00A642D7">
      <w:pPr>
        <w:pStyle w:val="aa"/>
        <w:tabs>
          <w:tab w:val="left" w:pos="-58"/>
        </w:tabs>
        <w:spacing w:before="100" w:beforeAutospacing="1" w:after="120"/>
        <w:ind w:left="-58"/>
        <w:jc w:val="both"/>
        <w:rPr>
          <w:rFonts w:cs="FrankRuehl"/>
          <w:sz w:val="28"/>
          <w:szCs w:val="28"/>
        </w:rPr>
      </w:pPr>
    </w:p>
    <w:p w14:paraId="207A9FE0"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עוד עמד ב"כ הנאשם על הנסיבות המצדיקות לטעמו חריגה ממתחם הענישה משיקולי שיקום תוך הפנייה לתסקירי שירות המבחן, הנאשם השתלב בטיפול בהצלחה, מסר בדיקות שתן נקיות משרידי סם, שיתף פעולה לאורך כל ההליך ורמת המסוכנות בעניינו שממילא הייתה נמוכה פחתה. לכל זאת הוסיף את העובדה כי מדובר באדם נורמטיבי, שזוהי הסתבכותו היחידה עם החוק, הודה והביע חרטה וצער, נרתע מההליך הפלילי, הפיק לקחיו. לסיום הדגיש כי עונש מאסר, גם בדרך של עבודות שירות, עלול להוביל לרגרסיה לא רצויה במצבו של הנאשם. בהתאם, עתר לאמץ את המלצת שירות המבחן במלואה ולהשית על הנאשם ענישה שיקומית וחינוכית בדמות מאסר על תנאי, צו מבחן ושל"צ. </w:t>
      </w:r>
    </w:p>
    <w:p w14:paraId="1B540F0C" w14:textId="77777777" w:rsidR="00A642D7" w:rsidRPr="00675633" w:rsidRDefault="00A642D7" w:rsidP="00A642D7">
      <w:pPr>
        <w:pStyle w:val="aa"/>
        <w:tabs>
          <w:tab w:val="left" w:pos="-58"/>
        </w:tabs>
        <w:spacing w:before="100" w:beforeAutospacing="1" w:after="120"/>
        <w:ind w:left="-58"/>
        <w:jc w:val="both"/>
        <w:rPr>
          <w:rFonts w:cs="FrankRuehl"/>
          <w:sz w:val="28"/>
          <w:szCs w:val="28"/>
        </w:rPr>
      </w:pPr>
    </w:p>
    <w:p w14:paraId="02D1FB75"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Miriam" w:hAnsi="Miriam" w:cs="Miriam"/>
          <w:rtl/>
        </w:rPr>
        <w:t>הנאשם בדברו האחרון</w:t>
      </w:r>
      <w:r>
        <w:rPr>
          <w:rFonts w:cs="FrankRuehl"/>
          <w:sz w:val="28"/>
          <w:szCs w:val="28"/>
          <w:rtl/>
        </w:rPr>
        <w:t xml:space="preserve"> אמר את הדברים הבאים: "אני מביע חרטה עמוקה. זה לא משהו שתואם לערכים שגדלתי עליהם בכלל. מאז המקרה וגם לאחר מכן קיבלו אותי לעבודה, שילמו למלווה שילווה אותי, סמכו עלי להמשיך בעבודתי. כיום אני עובד בעבודה מסודרת ומשפר את המצב הכלכלי שלי. פשוט אם אקבל עבודות שירות לא אוכל להמשיך לעבוד, וזה יפגע במצב הכלכלי שלי. אני מבין שאני צריך לקבל עונש, אקבל כל עונש שיתנו לי. אבקש להתחשב בי מבחינת העבודה".</w:t>
      </w:r>
    </w:p>
    <w:p w14:paraId="4CA85E8B" w14:textId="77777777" w:rsidR="00A642D7" w:rsidRDefault="00A642D7" w:rsidP="00A642D7">
      <w:pPr>
        <w:pStyle w:val="aa"/>
        <w:tabs>
          <w:tab w:val="left" w:pos="-58"/>
        </w:tabs>
        <w:spacing w:before="100" w:beforeAutospacing="1" w:after="120"/>
        <w:ind w:left="-58"/>
        <w:jc w:val="both"/>
        <w:rPr>
          <w:rFonts w:ascii="Miriam" w:hAnsi="Miriam" w:cs="Miriam"/>
          <w:rtl/>
        </w:rPr>
      </w:pPr>
    </w:p>
    <w:p w14:paraId="723FC653" w14:textId="77777777" w:rsidR="00A642D7" w:rsidRDefault="00A642D7" w:rsidP="00A642D7">
      <w:pPr>
        <w:pStyle w:val="aa"/>
        <w:tabs>
          <w:tab w:val="left" w:pos="-58"/>
        </w:tabs>
        <w:spacing w:before="100" w:beforeAutospacing="1" w:after="120" w:line="360" w:lineRule="auto"/>
        <w:ind w:left="-58"/>
        <w:jc w:val="both"/>
        <w:rPr>
          <w:rFonts w:ascii="Miriam" w:hAnsi="Miriam" w:cs="Miriam"/>
        </w:rPr>
      </w:pPr>
      <w:r>
        <w:rPr>
          <w:rFonts w:ascii="Miriam" w:hAnsi="Miriam" w:cs="Miriam"/>
          <w:rtl/>
        </w:rPr>
        <w:t>דיון והכרעה</w:t>
      </w:r>
    </w:p>
    <w:p w14:paraId="13A8481B" w14:textId="77777777" w:rsidR="00A642D7" w:rsidRDefault="00A642D7" w:rsidP="00A642D7">
      <w:pPr>
        <w:pStyle w:val="aa"/>
        <w:tabs>
          <w:tab w:val="left" w:pos="-58"/>
        </w:tabs>
        <w:spacing w:before="100" w:beforeAutospacing="1" w:after="120"/>
        <w:ind w:left="-58"/>
        <w:jc w:val="both"/>
        <w:rPr>
          <w:rFonts w:ascii="Miriam" w:hAnsi="Miriam" w:cs="Miriam"/>
          <w:rtl/>
        </w:rPr>
      </w:pPr>
    </w:p>
    <w:p w14:paraId="39E2E14A" w14:textId="77777777" w:rsidR="00A642D7" w:rsidRDefault="00A642D7" w:rsidP="00A642D7">
      <w:pPr>
        <w:pStyle w:val="aa"/>
        <w:tabs>
          <w:tab w:val="left" w:pos="-58"/>
        </w:tabs>
        <w:spacing w:before="100" w:beforeAutospacing="1" w:after="120" w:line="360" w:lineRule="auto"/>
        <w:ind w:left="-58"/>
        <w:jc w:val="both"/>
        <w:rPr>
          <w:rFonts w:ascii="Miriam" w:hAnsi="Miriam" w:cs="Miriam"/>
        </w:rPr>
      </w:pPr>
      <w:r>
        <w:rPr>
          <w:rFonts w:ascii="Miriam" w:hAnsi="Miriam" w:cs="Miriam"/>
          <w:rtl/>
        </w:rPr>
        <w:t>מתחם העונש ההולם</w:t>
      </w:r>
    </w:p>
    <w:p w14:paraId="4FE9B789" w14:textId="77777777" w:rsidR="00A642D7" w:rsidRPr="00675633" w:rsidRDefault="00A642D7" w:rsidP="00A642D7">
      <w:pPr>
        <w:pStyle w:val="aa"/>
        <w:tabs>
          <w:tab w:val="left" w:pos="-58"/>
        </w:tabs>
        <w:spacing w:before="100" w:beforeAutospacing="1" w:after="120"/>
        <w:ind w:left="-58"/>
        <w:jc w:val="both"/>
        <w:rPr>
          <w:rFonts w:cs="FrankRuehl"/>
          <w:sz w:val="28"/>
          <w:szCs w:val="28"/>
        </w:rPr>
      </w:pPr>
    </w:p>
    <w:p w14:paraId="5432F2F0"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Cs w:val="28"/>
          <w:rtl/>
        </w:rPr>
        <w:t>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w:t>
      </w:r>
    </w:p>
    <w:p w14:paraId="419EB7CE" w14:textId="77777777" w:rsidR="00A642D7" w:rsidRPr="00675633" w:rsidRDefault="00A642D7" w:rsidP="00A642D7">
      <w:pPr>
        <w:pStyle w:val="aa"/>
        <w:tabs>
          <w:tab w:val="left" w:pos="-58"/>
        </w:tabs>
        <w:spacing w:before="100" w:beforeAutospacing="1" w:after="120"/>
        <w:ind w:left="-58"/>
        <w:jc w:val="both"/>
        <w:rPr>
          <w:rFonts w:cs="FrankRuehl"/>
          <w:sz w:val="28"/>
          <w:szCs w:val="28"/>
        </w:rPr>
      </w:pPr>
    </w:p>
    <w:p w14:paraId="00FE32C8"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הערכים החברתיים שנפגעו מביצוע העבירה הם הגנה על בריאות הציבור מפני הנזקים הישירים שנגרמים לגופם של הצרכנים הפוטנציאליים עקב השימוש בסמים והנזקים העקיפים שנגרמים כתוצאה מביצוע עבירות הנלוות לצריכת הסם בהיותן מחולל פשיעה. </w:t>
      </w:r>
    </w:p>
    <w:p w14:paraId="32EEC713" w14:textId="77777777" w:rsidR="00A642D7" w:rsidRPr="00675633" w:rsidRDefault="00A642D7" w:rsidP="00A642D7">
      <w:pPr>
        <w:pStyle w:val="aa"/>
        <w:tabs>
          <w:tab w:val="left" w:pos="-58"/>
        </w:tabs>
        <w:spacing w:before="100" w:beforeAutospacing="1" w:after="120"/>
        <w:ind w:left="-58"/>
        <w:jc w:val="both"/>
        <w:rPr>
          <w:rFonts w:cs="FrankRuehl"/>
          <w:sz w:val="28"/>
          <w:szCs w:val="28"/>
        </w:rPr>
      </w:pPr>
    </w:p>
    <w:p w14:paraId="0D57E206"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לאחרונה התרבו המקרים בהם מוקמות מעבדות לגידול סמים בדירות ייעודיות והתופעה הופכת לנפוצה מאוד ומסוכנת מאוד. עסקינן בחוליה הראשונה והעיקרית בשרשרת הפצת הסם, כאשר הכנסת כמות סם חדשה מגדילה את מצאי הסמים בשוק וכן, בסופו של דבר, את היקף השימוש בסמים ולהרחבת הנזקים הכרוכים מעצם שימוש בסמים. על כן, נקבע כי על בית המשפט להרים תרומה במלחמה בנגע הסמים בנקיטת יד קשה כלפי מבצעי עבירות אלו. </w:t>
      </w:r>
    </w:p>
    <w:p w14:paraId="7F86AF0B" w14:textId="77777777" w:rsidR="00A642D7" w:rsidRPr="00675633" w:rsidRDefault="00A642D7" w:rsidP="00A642D7">
      <w:pPr>
        <w:pStyle w:val="aa"/>
        <w:tabs>
          <w:tab w:val="left" w:pos="-58"/>
        </w:tabs>
        <w:spacing w:before="100" w:beforeAutospacing="1" w:after="120"/>
        <w:ind w:left="-58"/>
        <w:jc w:val="both"/>
        <w:rPr>
          <w:rFonts w:cs="FrankRuehl"/>
          <w:sz w:val="28"/>
          <w:szCs w:val="28"/>
        </w:rPr>
      </w:pPr>
    </w:p>
    <w:p w14:paraId="6CF63DA7"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על ההכרח במדיניות ענישה מרתיעה כלפי אלו הלוקחים חלק בייצור והפצה של סמים מסוכנים עמד בית המשפט העליון פעמים רבות. ראו מיני רבים: </w:t>
      </w:r>
      <w:hyperlink r:id="rId20" w:history="1">
        <w:r w:rsidR="00DA3E1B" w:rsidRPr="00DA3E1B">
          <w:rPr>
            <w:rFonts w:ascii="FrankRuehl" w:hAnsi="FrankRuehl" w:cs="FrankRuehl"/>
            <w:color w:val="0000FF"/>
            <w:sz w:val="28"/>
            <w:szCs w:val="28"/>
            <w:u w:val="single"/>
            <w:rtl/>
          </w:rPr>
          <w:t>ע"פ 6029/03</w:t>
        </w:r>
      </w:hyperlink>
      <w:r>
        <w:rPr>
          <w:rFonts w:ascii="FrankRuehl" w:hAnsi="FrankRuehl" w:cs="FrankRuehl"/>
          <w:sz w:val="28"/>
          <w:szCs w:val="28"/>
          <w:rtl/>
        </w:rPr>
        <w:t xml:space="preserve"> </w:t>
      </w:r>
      <w:r>
        <w:rPr>
          <w:rFonts w:ascii="Miriam" w:hAnsi="Miriam" w:cs="Miriam"/>
          <w:b/>
          <w:rtl/>
        </w:rPr>
        <w:t>מדינת ישראל נ' שמאי</w:t>
      </w:r>
      <w:r>
        <w:rPr>
          <w:rFonts w:ascii="FrankRuehl" w:hAnsi="FrankRuehl" w:cs="FrankRuehl"/>
          <w:sz w:val="28"/>
          <w:szCs w:val="28"/>
          <w:rtl/>
        </w:rPr>
        <w:t xml:space="preserve">, פ"ד נח (2) 734 (9.2.2004); </w:t>
      </w:r>
      <w:hyperlink r:id="rId21" w:history="1">
        <w:r w:rsidR="00DA3E1B" w:rsidRPr="00DA3E1B">
          <w:rPr>
            <w:rFonts w:ascii="FrankRuehl" w:hAnsi="FrankRuehl" w:cs="FrankRuehl"/>
            <w:color w:val="0000FF"/>
            <w:sz w:val="28"/>
            <w:szCs w:val="28"/>
            <w:u w:val="single"/>
            <w:rtl/>
          </w:rPr>
          <w:t>ע"פ 6021/95</w:t>
        </w:r>
      </w:hyperlink>
      <w:r>
        <w:rPr>
          <w:rFonts w:ascii="FrankRuehl" w:hAnsi="FrankRuehl" w:cs="FrankRuehl"/>
          <w:sz w:val="28"/>
          <w:szCs w:val="28"/>
          <w:rtl/>
        </w:rPr>
        <w:t xml:space="preserve">, 4998/95, 5267/95, 5313/95 </w:t>
      </w:r>
      <w:r>
        <w:rPr>
          <w:rFonts w:ascii="Miriam" w:hAnsi="Miriam" w:cs="Miriam"/>
          <w:b/>
          <w:rtl/>
        </w:rPr>
        <w:t>מדינת ישראל נ' גומז</w:t>
      </w:r>
      <w:r>
        <w:rPr>
          <w:rFonts w:ascii="FrankRuehl" w:hAnsi="FrankRuehl" w:cs="FrankRuehl"/>
          <w:b/>
          <w:bCs/>
          <w:sz w:val="28"/>
          <w:szCs w:val="28"/>
          <w:rtl/>
        </w:rPr>
        <w:t xml:space="preserve"> </w:t>
      </w:r>
      <w:r>
        <w:rPr>
          <w:rFonts w:ascii="FrankRuehl" w:hAnsi="FrankRuehl" w:cs="FrankRuehl"/>
          <w:sz w:val="28"/>
          <w:szCs w:val="28"/>
          <w:rtl/>
        </w:rPr>
        <w:t xml:space="preserve">(31.7.1997); </w:t>
      </w:r>
      <w:hyperlink r:id="rId22" w:history="1">
        <w:r w:rsidR="00DA3E1B" w:rsidRPr="00DA3E1B">
          <w:rPr>
            <w:rFonts w:ascii="FrankRuehl" w:hAnsi="FrankRuehl" w:cs="FrankRuehl"/>
            <w:color w:val="0000FF"/>
            <w:sz w:val="28"/>
            <w:szCs w:val="28"/>
            <w:u w:val="single"/>
            <w:rtl/>
          </w:rPr>
          <w:t>ע"פ 575/88</w:t>
        </w:r>
      </w:hyperlink>
      <w:r>
        <w:rPr>
          <w:rFonts w:ascii="FrankRuehl" w:hAnsi="FrankRuehl" w:cs="FrankRuehl"/>
          <w:sz w:val="28"/>
          <w:szCs w:val="28"/>
          <w:rtl/>
        </w:rPr>
        <w:t xml:space="preserve"> </w:t>
      </w:r>
      <w:r>
        <w:rPr>
          <w:rFonts w:ascii="Miriam" w:hAnsi="Miriam" w:cs="Miriam"/>
          <w:b/>
          <w:rtl/>
        </w:rPr>
        <w:t>עודה נ' מדינת ישראל</w:t>
      </w:r>
      <w:r>
        <w:rPr>
          <w:rFonts w:ascii="FrankRuehl" w:hAnsi="FrankRuehl" w:cs="FrankRuehl"/>
          <w:sz w:val="28"/>
          <w:szCs w:val="28"/>
          <w:rtl/>
        </w:rPr>
        <w:t>, פ"ד מב (4) 242 (11.12.1988)). ובמיוחד ראו דברי בית המשפט העליון ב</w:t>
      </w:r>
      <w:hyperlink r:id="rId23" w:history="1">
        <w:r w:rsidR="00DA3E1B" w:rsidRPr="00DA3E1B">
          <w:rPr>
            <w:rFonts w:ascii="FrankRuehl" w:hAnsi="FrankRuehl" w:cs="FrankRuehl"/>
            <w:color w:val="0000FF"/>
            <w:sz w:val="28"/>
            <w:szCs w:val="28"/>
            <w:u w:val="single"/>
            <w:rtl/>
          </w:rPr>
          <w:t>ע"פ 6990/13</w:t>
        </w:r>
      </w:hyperlink>
      <w:r>
        <w:rPr>
          <w:rFonts w:ascii="FrankRuehl" w:hAnsi="FrankRuehl" w:cs="FrankRuehl"/>
          <w:sz w:val="28"/>
          <w:szCs w:val="28"/>
          <w:rtl/>
        </w:rPr>
        <w:t xml:space="preserve"> </w:t>
      </w:r>
      <w:r>
        <w:rPr>
          <w:rFonts w:ascii="Miriam" w:hAnsi="Miriam" w:cs="Miriam"/>
          <w:b/>
          <w:rtl/>
        </w:rPr>
        <w:t>חט</w:t>
      </w:r>
      <w:r>
        <w:rPr>
          <w:rFonts w:ascii="Miriam" w:hAnsi="Miriam" w:cs="Miriam"/>
          <w:b/>
        </w:rPr>
        <w:t>'</w:t>
      </w:r>
      <w:r>
        <w:rPr>
          <w:rFonts w:ascii="Miriam" w:hAnsi="Miriam" w:cs="Miriam"/>
          <w:b/>
          <w:rtl/>
        </w:rPr>
        <w:t>יב נגד מדינת ישראל</w:t>
      </w:r>
      <w:r>
        <w:rPr>
          <w:rFonts w:ascii="FrankRuehl" w:hAnsi="FrankRuehl" w:cs="FrankRuehl"/>
          <w:sz w:val="28"/>
          <w:szCs w:val="28"/>
          <w:rtl/>
        </w:rPr>
        <w:t xml:space="preserve"> (24.2.2014):</w:t>
      </w:r>
    </w:p>
    <w:p w14:paraId="3DA8339E" w14:textId="77777777" w:rsidR="00A642D7" w:rsidRDefault="00A642D7" w:rsidP="00A642D7">
      <w:pPr>
        <w:pStyle w:val="aa"/>
        <w:tabs>
          <w:tab w:val="left" w:pos="-58"/>
        </w:tabs>
        <w:spacing w:before="100" w:beforeAutospacing="1" w:after="120" w:line="360" w:lineRule="auto"/>
        <w:ind w:right="851"/>
        <w:jc w:val="both"/>
        <w:rPr>
          <w:rFonts w:ascii="FrankRuehl" w:hAnsi="FrankRuehl" w:cs="FrankRuehl"/>
          <w:sz w:val="28"/>
          <w:szCs w:val="28"/>
        </w:rPr>
      </w:pPr>
      <w:r>
        <w:rPr>
          <w:rFonts w:ascii="FrankRuehl" w:hAnsi="FrankRuehl" w:cs="FrankRuehl"/>
          <w:sz w:val="28"/>
          <w:szCs w:val="28"/>
          <w:rtl/>
        </w:rPr>
        <w:t xml:space="preserve">"בית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p>
    <w:p w14:paraId="78D1094A" w14:textId="77777777" w:rsidR="00A642D7" w:rsidRPr="00675633" w:rsidRDefault="00A642D7" w:rsidP="00A642D7">
      <w:pPr>
        <w:pStyle w:val="aa"/>
        <w:tabs>
          <w:tab w:val="left" w:pos="-58"/>
        </w:tabs>
        <w:spacing w:before="100" w:beforeAutospacing="1" w:after="120"/>
        <w:ind w:left="-58"/>
        <w:jc w:val="both"/>
        <w:rPr>
          <w:rFonts w:cs="FrankRuehl"/>
          <w:sz w:val="28"/>
          <w:szCs w:val="28"/>
        </w:rPr>
      </w:pPr>
    </w:p>
    <w:p w14:paraId="065E545F"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tl/>
        </w:rPr>
      </w:pPr>
      <w:r>
        <w:rPr>
          <w:rFonts w:ascii="FrankRuehl" w:hAnsi="FrankRuehl" w:cs="FrankRuehl"/>
          <w:sz w:val="28"/>
          <w:szCs w:val="28"/>
          <w:rtl/>
        </w:rPr>
        <w:t xml:space="preserve">עסקינן בסם מסוג קנבוס, אשר חומרתו פחותה בהשוואה לסוגי סמים אחרים, כגון קוקאין והרואין ראו: </w:t>
      </w:r>
      <w:hyperlink r:id="rId24" w:history="1">
        <w:r w:rsidR="00DA3E1B" w:rsidRPr="00DA3E1B">
          <w:rPr>
            <w:rFonts w:ascii="FrankRuehl" w:hAnsi="FrankRuehl" w:cs="FrankRuehl"/>
            <w:color w:val="0000FF"/>
            <w:sz w:val="28"/>
            <w:szCs w:val="28"/>
            <w:u w:val="single"/>
            <w:rtl/>
          </w:rPr>
          <w:t>בש"פ 8640/20</w:t>
        </w:r>
      </w:hyperlink>
      <w:r>
        <w:rPr>
          <w:rFonts w:ascii="FrankRuehl" w:hAnsi="FrankRuehl" w:cs="FrankRuehl"/>
          <w:sz w:val="28"/>
          <w:szCs w:val="28"/>
          <w:rtl/>
        </w:rPr>
        <w:t xml:space="preserve"> </w:t>
      </w:r>
      <w:r>
        <w:rPr>
          <w:rFonts w:ascii="Miriam" w:hAnsi="Miriam" w:cs="Miriam"/>
          <w:b/>
          <w:rtl/>
        </w:rPr>
        <w:t>אבו קרינאת נ' מדינת ישראל</w:t>
      </w:r>
      <w:r>
        <w:rPr>
          <w:rFonts w:ascii="FrankRuehl" w:hAnsi="FrankRuehl" w:cs="FrankRuehl"/>
          <w:sz w:val="28"/>
          <w:szCs w:val="28"/>
          <w:rtl/>
        </w:rPr>
        <w:t xml:space="preserve"> (23.12.2020), </w:t>
      </w:r>
      <w:hyperlink r:id="rId25" w:history="1">
        <w:r w:rsidR="00DA3E1B" w:rsidRPr="00DA3E1B">
          <w:rPr>
            <w:rFonts w:ascii="FrankRuehl" w:hAnsi="FrankRuehl" w:cs="FrankRuehl"/>
            <w:color w:val="0000FF"/>
            <w:sz w:val="28"/>
            <w:szCs w:val="28"/>
            <w:u w:val="single"/>
            <w:rtl/>
          </w:rPr>
          <w:t>בש"פ 3812/21</w:t>
        </w:r>
      </w:hyperlink>
      <w:r>
        <w:rPr>
          <w:rFonts w:ascii="FrankRuehl" w:hAnsi="FrankRuehl" w:cs="FrankRuehl"/>
          <w:sz w:val="28"/>
          <w:szCs w:val="28"/>
          <w:rtl/>
        </w:rPr>
        <w:t xml:space="preserve"> </w:t>
      </w:r>
      <w:r>
        <w:rPr>
          <w:rFonts w:ascii="Miriam" w:hAnsi="Miriam" w:cs="Miriam"/>
          <w:b/>
          <w:rtl/>
        </w:rPr>
        <w:t>מוקלד נ' מדינת ישראל</w:t>
      </w:r>
      <w:r>
        <w:rPr>
          <w:rFonts w:ascii="FrankRuehl" w:hAnsi="FrankRuehl" w:cs="FrankRuehl"/>
          <w:sz w:val="28"/>
          <w:szCs w:val="28"/>
          <w:rtl/>
        </w:rPr>
        <w:t xml:space="preserve"> (15.6.2021), </w:t>
      </w:r>
      <w:hyperlink r:id="rId26" w:history="1">
        <w:r w:rsidR="00DA3E1B" w:rsidRPr="00DA3E1B">
          <w:rPr>
            <w:rFonts w:ascii="FrankRuehl" w:hAnsi="FrankRuehl" w:cs="FrankRuehl"/>
            <w:color w:val="0000FF"/>
            <w:sz w:val="28"/>
            <w:szCs w:val="28"/>
            <w:u w:val="single"/>
            <w:rtl/>
          </w:rPr>
          <w:t>ת"פ (מחוזי מרכז) 4435-07-19</w:t>
        </w:r>
      </w:hyperlink>
      <w:r>
        <w:rPr>
          <w:rFonts w:ascii="FrankRuehl" w:hAnsi="FrankRuehl" w:cs="FrankRuehl"/>
          <w:sz w:val="28"/>
          <w:szCs w:val="28"/>
          <w:rtl/>
        </w:rPr>
        <w:t xml:space="preserve"> </w:t>
      </w:r>
      <w:r>
        <w:rPr>
          <w:rFonts w:ascii="Miriam" w:hAnsi="Miriam" w:cs="Miriam"/>
          <w:b/>
          <w:rtl/>
        </w:rPr>
        <w:t>מדינת ישראל נ' אליהו</w:t>
      </w:r>
      <w:r>
        <w:rPr>
          <w:rFonts w:ascii="FrankRuehl" w:hAnsi="FrankRuehl" w:cs="FrankRuehl"/>
          <w:sz w:val="28"/>
          <w:szCs w:val="28"/>
          <w:rtl/>
        </w:rPr>
        <w:t xml:space="preserve"> (4.5.2021). אולם, מדיניות האכיפה והענישה המקלה אשר ננקטת בשנים אחרונות כלפי המשתמשים בסמים מסוג קנבוס, אינה חלה על מי שמגדל לשם הפצה או סוחר בסמים מסוג זה. </w:t>
      </w:r>
    </w:p>
    <w:p w14:paraId="6BD776FB" w14:textId="77777777" w:rsidR="00A642D7" w:rsidRPr="00675633" w:rsidRDefault="00A642D7" w:rsidP="00A642D7">
      <w:pPr>
        <w:pStyle w:val="aa"/>
        <w:tabs>
          <w:tab w:val="left" w:pos="-58"/>
        </w:tabs>
        <w:spacing w:before="100" w:beforeAutospacing="1" w:after="120"/>
        <w:ind w:left="-58"/>
        <w:jc w:val="both"/>
        <w:rPr>
          <w:rFonts w:cs="FrankRuehl"/>
          <w:sz w:val="28"/>
          <w:szCs w:val="28"/>
        </w:rPr>
      </w:pPr>
    </w:p>
    <w:p w14:paraId="43FC7D69"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מדיניות הענישה כלפי העוסקים בשלבי הייצור או ההספקה של הסמים, נותרה ועודנה ממשית ומרתיעה, ובתי המשפט עמדו לא אחת על ההכרח בנקיטת יד קשה כלפי מקימי ומפעילי המעבדות על מנת למגר את תופעת המעבדות "שפשטה במחוזותינו כאש בשדה קוצים". ולעניין זה יפים הדברים שנקבעו </w:t>
      </w:r>
      <w:r>
        <w:rPr>
          <w:rFonts w:ascii="FrankRuehl" w:hAnsi="FrankRuehl" w:cs="FrankRuehl" w:hint="cs"/>
          <w:sz w:val="28"/>
          <w:szCs w:val="28"/>
          <w:rtl/>
        </w:rPr>
        <w:t>ב</w:t>
      </w:r>
      <w:hyperlink r:id="rId27" w:history="1">
        <w:r w:rsidR="00DA3E1B" w:rsidRPr="00DA3E1B">
          <w:rPr>
            <w:rFonts w:ascii="FrankRuehl" w:hAnsi="FrankRuehl" w:cs="FrankRuehl"/>
            <w:color w:val="0000FF"/>
            <w:sz w:val="28"/>
            <w:szCs w:val="28"/>
            <w:u w:val="single"/>
            <w:rtl/>
          </w:rPr>
          <w:t>ע"פ 2596/18</w:t>
        </w:r>
      </w:hyperlink>
      <w:r>
        <w:rPr>
          <w:rFonts w:ascii="FrankRuehl" w:hAnsi="FrankRuehl" w:cs="FrankRuehl" w:hint="cs"/>
          <w:sz w:val="28"/>
          <w:szCs w:val="28"/>
          <w:rtl/>
        </w:rPr>
        <w:t xml:space="preserve"> </w:t>
      </w:r>
      <w:r>
        <w:rPr>
          <w:rFonts w:ascii="Miriam" w:hAnsi="Miriam" w:cs="Miriam"/>
          <w:rtl/>
        </w:rPr>
        <w:t>זנזורי נ' מדינת ישראל</w:t>
      </w:r>
      <w:r>
        <w:rPr>
          <w:rFonts w:ascii="FrankRuehl" w:hAnsi="FrankRuehl" w:cs="FrankRuehl"/>
          <w:sz w:val="28"/>
          <w:szCs w:val="28"/>
          <w:rtl/>
        </w:rPr>
        <w:t xml:space="preserve"> (12.8.2018):</w:t>
      </w:r>
    </w:p>
    <w:p w14:paraId="4863F34B" w14:textId="77777777" w:rsidR="00A642D7" w:rsidRDefault="00A642D7" w:rsidP="00A642D7">
      <w:pPr>
        <w:pStyle w:val="aa"/>
        <w:tabs>
          <w:tab w:val="left" w:pos="-58"/>
        </w:tabs>
        <w:spacing w:before="100" w:beforeAutospacing="1" w:after="120" w:line="360" w:lineRule="auto"/>
        <w:ind w:right="851"/>
        <w:jc w:val="both"/>
        <w:rPr>
          <w:rFonts w:cs="FrankRuehl"/>
          <w:sz w:val="28"/>
          <w:szCs w:val="28"/>
          <w:rtl/>
        </w:rPr>
      </w:pPr>
      <w:r>
        <w:rPr>
          <w:rFonts w:ascii="FrankRuehl" w:hAnsi="FrankRuehl" w:cs="FrankRuehl"/>
          <w:sz w:val="28"/>
          <w:szCs w:val="28"/>
          <w:rtl/>
        </w:rPr>
        <w:t xml:space="preserve">"צרכנים ומשתמשים ואנשים נורמטיביים, שבעבר לא היו מוכנים ליטול על עצמם סיכון להסתבך בעולם הפלילי, נכונים כיום לילך צעד נוסף ולהפוך למגדלים וסוחרים בסם... ברם, סחר בסמים הוא סחר בסמים. ידע כל מי שמהרהר בדרכים לעשיית כסך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3D796F65" w14:textId="77777777" w:rsidR="00A642D7" w:rsidRDefault="00A642D7" w:rsidP="00A642D7">
      <w:pPr>
        <w:pStyle w:val="aa"/>
        <w:tabs>
          <w:tab w:val="left" w:pos="-58"/>
        </w:tabs>
        <w:spacing w:before="100" w:beforeAutospacing="1" w:after="120"/>
        <w:ind w:right="851"/>
        <w:jc w:val="both"/>
        <w:rPr>
          <w:rFonts w:cs="FrankRuehl"/>
          <w:sz w:val="28"/>
          <w:szCs w:val="28"/>
        </w:rPr>
      </w:pPr>
    </w:p>
    <w:p w14:paraId="76B345C9"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וכן ראו בהקשר זה </w:t>
      </w:r>
      <w:hyperlink r:id="rId28" w:history="1">
        <w:r w:rsidR="00DA3E1B" w:rsidRPr="00DA3E1B">
          <w:rPr>
            <w:rFonts w:ascii="FrankRuehl" w:hAnsi="FrankRuehl" w:cs="FrankRuehl"/>
            <w:color w:val="0000FF"/>
            <w:sz w:val="28"/>
            <w:szCs w:val="28"/>
            <w:u w:val="single"/>
            <w:rtl/>
          </w:rPr>
          <w:t>ע"פ 2139/22</w:t>
        </w:r>
      </w:hyperlink>
      <w:r>
        <w:rPr>
          <w:rFonts w:ascii="FrankRuehl" w:hAnsi="FrankRuehl" w:cs="FrankRuehl"/>
          <w:sz w:val="28"/>
          <w:szCs w:val="28"/>
          <w:rtl/>
        </w:rPr>
        <w:t xml:space="preserve"> </w:t>
      </w:r>
      <w:r>
        <w:rPr>
          <w:rFonts w:ascii="Miriam" w:hAnsi="Miriam" w:cs="Miriam"/>
          <w:rtl/>
        </w:rPr>
        <w:t>ג'אנח נ' מדינת ישראל</w:t>
      </w:r>
      <w:r>
        <w:rPr>
          <w:rFonts w:ascii="FrankRuehl" w:hAnsi="FrankRuehl" w:cs="FrankRuehl"/>
          <w:sz w:val="28"/>
          <w:szCs w:val="28"/>
          <w:rtl/>
        </w:rPr>
        <w:t xml:space="preserve"> (14.7.2022): </w:t>
      </w:r>
    </w:p>
    <w:p w14:paraId="568936E4" w14:textId="77777777" w:rsidR="00A642D7" w:rsidRDefault="00A642D7" w:rsidP="00A642D7">
      <w:pPr>
        <w:pStyle w:val="aa"/>
        <w:tabs>
          <w:tab w:val="left" w:pos="-58"/>
        </w:tabs>
        <w:spacing w:before="100" w:beforeAutospacing="1" w:after="120" w:line="360" w:lineRule="auto"/>
        <w:ind w:right="993"/>
        <w:jc w:val="both"/>
        <w:rPr>
          <w:rFonts w:ascii="FrankRuehl" w:hAnsi="FrankRuehl" w:cs="FrankRuehl"/>
          <w:sz w:val="28"/>
          <w:szCs w:val="28"/>
        </w:rPr>
      </w:pPr>
      <w:r>
        <w:rPr>
          <w:rFonts w:ascii="FrankRuehl" w:hAnsi="FrankRuehl" w:cs="FrankRuehl"/>
          <w:sz w:val="28"/>
          <w:szCs w:val="28"/>
          <w:rtl/>
        </w:rPr>
        <w:t xml:space="preserve">"אין להסכים עם מציאות שבה פונים אזרחים מן השורה לשמש כחוליה בשרשרת אספקת הסמים וזאת כדי לגרוף רווח כלכלי "מהיר וקל". ההזדמנות העסקית קורצת לאלו שבמצוקה, והם נענים לה אף מתוך מודעות לאיסור שבמעשים, לנזק שייגרם כתוצאה מכל ולמחיר אותו ישלמו היה וייתפסו בעבירתם. משכך, יש צורך בענישה ממשית ואפקטיבית אשר תרתיע עבריינים פוטנציאליים מביצוע עבירות סמים. כך ענישה מתאימה תעביר את המסר כי ניסיונות הקמת מעבדות סמים בהיקף נרחב אינן בעלות תוחלת כלכלית". </w:t>
      </w:r>
    </w:p>
    <w:p w14:paraId="690BA0DE" w14:textId="77777777" w:rsidR="00A642D7" w:rsidRPr="00675633" w:rsidRDefault="00A642D7" w:rsidP="00A642D7">
      <w:pPr>
        <w:pStyle w:val="aa"/>
        <w:tabs>
          <w:tab w:val="left" w:pos="-58"/>
        </w:tabs>
        <w:spacing w:before="100" w:beforeAutospacing="1" w:after="120"/>
        <w:ind w:left="-58"/>
        <w:jc w:val="both"/>
        <w:rPr>
          <w:rFonts w:cs="FrankRuehl"/>
          <w:sz w:val="28"/>
          <w:szCs w:val="28"/>
        </w:rPr>
      </w:pPr>
    </w:p>
    <w:p w14:paraId="7E274EE5"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tl/>
        </w:rPr>
      </w:pPr>
      <w:r>
        <w:rPr>
          <w:rFonts w:ascii="FrankRuehl" w:hAnsi="FrankRuehl" w:cs="FrankRuehl"/>
          <w:sz w:val="28"/>
          <w:szCs w:val="28"/>
          <w:rtl/>
        </w:rPr>
        <w:t xml:space="preserve">וכן, </w:t>
      </w:r>
      <w:hyperlink r:id="rId29" w:history="1">
        <w:r w:rsidR="00DA3E1B" w:rsidRPr="00DA3E1B">
          <w:rPr>
            <w:rFonts w:ascii="FrankRuehl" w:hAnsi="FrankRuehl" w:cs="FrankRuehl"/>
            <w:color w:val="0000FF"/>
            <w:sz w:val="28"/>
            <w:szCs w:val="28"/>
            <w:u w:val="single"/>
            <w:rtl/>
          </w:rPr>
          <w:t>רע"פ 1530/23</w:t>
        </w:r>
      </w:hyperlink>
      <w:r>
        <w:rPr>
          <w:rFonts w:ascii="FrankRuehl" w:hAnsi="FrankRuehl" w:cs="FrankRuehl"/>
          <w:sz w:val="28"/>
          <w:szCs w:val="28"/>
          <w:rtl/>
        </w:rPr>
        <w:t xml:space="preserve"> </w:t>
      </w:r>
      <w:r>
        <w:rPr>
          <w:rFonts w:ascii="Miriam" w:hAnsi="Miriam" w:cs="Miriam"/>
          <w:rtl/>
        </w:rPr>
        <w:t>רגב נ' מדינת ישראל</w:t>
      </w:r>
      <w:r>
        <w:rPr>
          <w:rFonts w:ascii="FrankRuehl" w:hAnsi="FrankRuehl" w:cs="FrankRuehl"/>
          <w:sz w:val="28"/>
          <w:szCs w:val="28"/>
          <w:rtl/>
        </w:rPr>
        <w:t xml:space="preserve"> (15.3.2023);</w:t>
      </w:r>
      <w:r>
        <w:rPr>
          <w:rFonts w:ascii="FrankRuehl" w:hAnsi="FrankRuehl" w:cs="FrankRuehl"/>
          <w:sz w:val="28"/>
          <w:szCs w:val="28"/>
        </w:rPr>
        <w:t xml:space="preserve"> </w:t>
      </w:r>
      <w:r>
        <w:rPr>
          <w:rFonts w:ascii="FrankRuehl" w:hAnsi="FrankRuehl" w:cs="FrankRuehl"/>
          <w:sz w:val="28"/>
          <w:szCs w:val="28"/>
          <w:rtl/>
        </w:rPr>
        <w:t xml:space="preserve"> </w:t>
      </w:r>
      <w:hyperlink r:id="rId30" w:history="1">
        <w:r w:rsidR="00DA3E1B" w:rsidRPr="00DA3E1B">
          <w:rPr>
            <w:rFonts w:ascii="FrankRuehl" w:hAnsi="FrankRuehl" w:cs="FrankRuehl"/>
            <w:color w:val="0000FF"/>
            <w:sz w:val="28"/>
            <w:szCs w:val="28"/>
            <w:u w:val="single"/>
            <w:rtl/>
          </w:rPr>
          <w:t>רע"פ 3287/21</w:t>
        </w:r>
      </w:hyperlink>
      <w:r>
        <w:rPr>
          <w:rFonts w:ascii="FrankRuehl" w:hAnsi="FrankRuehl" w:cs="FrankRuehl"/>
          <w:sz w:val="28"/>
          <w:szCs w:val="28"/>
          <w:rtl/>
        </w:rPr>
        <w:t xml:space="preserve"> </w:t>
      </w:r>
      <w:r>
        <w:rPr>
          <w:rFonts w:ascii="Miriam" w:hAnsi="Miriam" w:cs="Miriam"/>
          <w:rtl/>
        </w:rPr>
        <w:t>עתמין נ' מדינת ישראל</w:t>
      </w:r>
      <w:r>
        <w:rPr>
          <w:rFonts w:ascii="FrankRuehl" w:hAnsi="FrankRuehl" w:cs="FrankRuehl"/>
          <w:sz w:val="28"/>
          <w:szCs w:val="28"/>
          <w:rtl/>
        </w:rPr>
        <w:t xml:space="preserve"> (12.5.2021) (להלן: עניין </w:t>
      </w:r>
      <w:r>
        <w:rPr>
          <w:rFonts w:ascii="Miriam" w:hAnsi="Miriam" w:cs="Miriam"/>
          <w:rtl/>
        </w:rPr>
        <w:t>עתמין</w:t>
      </w:r>
      <w:r>
        <w:rPr>
          <w:rFonts w:ascii="FrankRuehl" w:hAnsi="FrankRuehl" w:cs="FrankRuehl"/>
          <w:sz w:val="28"/>
          <w:szCs w:val="28"/>
          <w:rtl/>
        </w:rPr>
        <w:t xml:space="preserve">); </w:t>
      </w:r>
      <w:hyperlink r:id="rId31" w:history="1">
        <w:r w:rsidR="00DA3E1B" w:rsidRPr="00DA3E1B">
          <w:rPr>
            <w:rFonts w:ascii="FrankRuehl" w:hAnsi="FrankRuehl" w:cs="FrankRuehl"/>
            <w:color w:val="0000FF"/>
            <w:sz w:val="28"/>
            <w:szCs w:val="28"/>
            <w:u w:val="single"/>
            <w:rtl/>
          </w:rPr>
          <w:t>ע"פ 126/22</w:t>
        </w:r>
      </w:hyperlink>
      <w:r>
        <w:rPr>
          <w:rFonts w:ascii="FrankRuehl" w:hAnsi="FrankRuehl" w:cs="FrankRuehl"/>
          <w:sz w:val="28"/>
          <w:szCs w:val="28"/>
          <w:rtl/>
        </w:rPr>
        <w:t xml:space="preserve"> </w:t>
      </w:r>
      <w:r>
        <w:rPr>
          <w:rFonts w:ascii="Miriam" w:hAnsi="Miriam" w:cs="Miriam"/>
          <w:rtl/>
        </w:rPr>
        <w:t>מדינת ישראל נ' פלוני</w:t>
      </w:r>
      <w:r>
        <w:rPr>
          <w:rFonts w:ascii="FrankRuehl" w:hAnsi="FrankRuehl" w:cs="FrankRuehl"/>
          <w:sz w:val="28"/>
          <w:szCs w:val="28"/>
          <w:rtl/>
        </w:rPr>
        <w:t xml:space="preserve"> (27.4.2022) (להלן" עניין פלוני);</w:t>
      </w:r>
      <w:r>
        <w:rPr>
          <w:rFonts w:ascii="FrankRuehl" w:hAnsi="FrankRuehl" w:cs="FrankRuehl" w:hint="cs"/>
          <w:sz w:val="28"/>
          <w:szCs w:val="28"/>
          <w:rtl/>
        </w:rPr>
        <w:t xml:space="preserve"> </w:t>
      </w:r>
      <w:hyperlink r:id="rId32" w:history="1">
        <w:r w:rsidR="00DA3E1B" w:rsidRPr="00DA3E1B">
          <w:rPr>
            <w:rFonts w:ascii="FrankRuehl" w:hAnsi="FrankRuehl" w:cs="FrankRuehl"/>
            <w:color w:val="0000FF"/>
            <w:sz w:val="28"/>
            <w:szCs w:val="28"/>
            <w:u w:val="single"/>
            <w:rtl/>
          </w:rPr>
          <w:t>ע"פ 5807/17</w:t>
        </w:r>
      </w:hyperlink>
      <w:r>
        <w:rPr>
          <w:rFonts w:ascii="FrankRuehl" w:hAnsi="FrankRuehl" w:cs="FrankRuehl" w:hint="cs"/>
          <w:sz w:val="28"/>
          <w:szCs w:val="28"/>
          <w:rtl/>
        </w:rPr>
        <w:t xml:space="preserve"> </w:t>
      </w:r>
      <w:r>
        <w:rPr>
          <w:rFonts w:ascii="Miriam" w:hAnsi="Miriam" w:cs="Miriam"/>
          <w:rtl/>
        </w:rPr>
        <w:t>דרחי נ' מדינת ישראל</w:t>
      </w:r>
      <w:r>
        <w:rPr>
          <w:rFonts w:ascii="FrankRuehl" w:hAnsi="FrankRuehl" w:cs="FrankRuehl"/>
          <w:sz w:val="28"/>
          <w:szCs w:val="28"/>
          <w:rtl/>
        </w:rPr>
        <w:t xml:space="preserve"> (18.6.2018);</w:t>
      </w:r>
      <w:r>
        <w:rPr>
          <w:rFonts w:ascii="FrankRuehl" w:hAnsi="FrankRuehl" w:cs="FrankRuehl" w:hint="cs"/>
          <w:sz w:val="28"/>
          <w:szCs w:val="28"/>
          <w:rtl/>
        </w:rPr>
        <w:t xml:space="preserve"> </w:t>
      </w:r>
      <w:hyperlink r:id="rId33" w:history="1">
        <w:r w:rsidR="00DA3E1B" w:rsidRPr="00DA3E1B">
          <w:rPr>
            <w:rFonts w:ascii="FrankRuehl" w:hAnsi="FrankRuehl" w:cs="FrankRuehl"/>
            <w:color w:val="0000FF"/>
            <w:sz w:val="28"/>
            <w:szCs w:val="28"/>
            <w:u w:val="single"/>
            <w:rtl/>
          </w:rPr>
          <w:t>רע"פ 174/21</w:t>
        </w:r>
      </w:hyperlink>
      <w:r>
        <w:rPr>
          <w:rFonts w:ascii="FrankRuehl" w:hAnsi="FrankRuehl" w:cs="FrankRuehl" w:hint="cs"/>
          <w:sz w:val="28"/>
          <w:szCs w:val="28"/>
          <w:rtl/>
        </w:rPr>
        <w:t xml:space="preserve"> </w:t>
      </w:r>
      <w:r>
        <w:rPr>
          <w:rFonts w:ascii="Miriam" w:hAnsi="Miriam" w:cs="Miriam"/>
          <w:rtl/>
        </w:rPr>
        <w:t>סויסה נ' מדינת ישראל</w:t>
      </w:r>
      <w:r>
        <w:rPr>
          <w:rFonts w:ascii="FrankRuehl" w:hAnsi="FrankRuehl" w:cs="FrankRuehl"/>
          <w:sz w:val="28"/>
          <w:szCs w:val="28"/>
          <w:rtl/>
        </w:rPr>
        <w:t xml:space="preserve"> (25.2.2021) וכן </w:t>
      </w:r>
      <w:hyperlink r:id="rId34" w:history="1">
        <w:r w:rsidR="00DA3E1B" w:rsidRPr="00DA3E1B">
          <w:rPr>
            <w:rFonts w:ascii="FrankRuehl" w:hAnsi="FrankRuehl" w:cs="FrankRuehl"/>
            <w:color w:val="0000FF"/>
            <w:sz w:val="28"/>
            <w:szCs w:val="28"/>
            <w:u w:val="single"/>
            <w:rtl/>
          </w:rPr>
          <w:t>ע"פ 6299/20</w:t>
        </w:r>
      </w:hyperlink>
      <w:r>
        <w:rPr>
          <w:rFonts w:ascii="FrankRuehl" w:hAnsi="FrankRuehl" w:cs="FrankRuehl" w:hint="cs"/>
          <w:sz w:val="28"/>
          <w:szCs w:val="28"/>
          <w:rtl/>
        </w:rPr>
        <w:t xml:space="preserve"> </w:t>
      </w:r>
      <w:r>
        <w:rPr>
          <w:rFonts w:ascii="Miriam" w:hAnsi="Miriam" w:cs="Miriam"/>
          <w:rtl/>
        </w:rPr>
        <w:t>חן נ' מדינת ישראל</w:t>
      </w:r>
      <w:r>
        <w:rPr>
          <w:rFonts w:ascii="FrankRuehl" w:hAnsi="FrankRuehl" w:cs="FrankRuehl"/>
          <w:sz w:val="28"/>
          <w:szCs w:val="28"/>
          <w:rtl/>
        </w:rPr>
        <w:t xml:space="preserve"> (4.2.2021). </w:t>
      </w:r>
    </w:p>
    <w:p w14:paraId="450A96C2" w14:textId="77777777" w:rsidR="00A642D7" w:rsidRPr="00675633" w:rsidRDefault="00A642D7" w:rsidP="00A642D7">
      <w:pPr>
        <w:pStyle w:val="aa"/>
        <w:tabs>
          <w:tab w:val="left" w:pos="-58"/>
        </w:tabs>
        <w:spacing w:before="100" w:beforeAutospacing="1" w:after="120"/>
        <w:ind w:left="-58"/>
        <w:jc w:val="both"/>
        <w:rPr>
          <w:rFonts w:cs="FrankRuehl"/>
          <w:sz w:val="28"/>
          <w:szCs w:val="28"/>
        </w:rPr>
      </w:pPr>
    </w:p>
    <w:p w14:paraId="42467C26"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העיון בפסיקה המקובלת מגלה כי בעת קביעת המתחם, מובאים בחשבון מספר פרמטרים ובהם: גודל המעבדה, ומקום הימצאותה; היקף המשאבים שהושקעו במיזם העברייני לרבות ההשקעה להקמת תשתית המעבדה וברכישת ציוד ואביזרים לתפעולה; מספר השותפים במיזם העברייני; תקופת פעילותה של המעבדה; מספר השתילים שגודלו והשלב בו נמצאו; משקלם הסופי של השתילים וכמות הסם המוגמרת. בהתאם לפרמטרים אלו, ומשום הצורך לנהוג ביד קשה כלפי מגדלי הסמים נוהגים בתי המשפט לקבוע מתחמים שהגבול התחתון בהם מתחיל במאסר בפועל ובין 1</w:t>
      </w:r>
      <w:r>
        <w:rPr>
          <w:rFonts w:ascii="FrankRuehl" w:hAnsi="FrankRuehl" w:cs="FrankRuehl" w:hint="cs"/>
          <w:sz w:val="28"/>
          <w:szCs w:val="28"/>
          <w:rtl/>
        </w:rPr>
        <w:t>2</w:t>
      </w:r>
      <w:r>
        <w:rPr>
          <w:rFonts w:ascii="FrankRuehl" w:hAnsi="FrankRuehl" w:cs="FrankRuehl"/>
          <w:sz w:val="28"/>
          <w:szCs w:val="28"/>
          <w:rtl/>
        </w:rPr>
        <w:t xml:space="preserve">-14 חודשים ועד 36-30 בגבול העליון ולעיתים אף יותר.  </w:t>
      </w:r>
    </w:p>
    <w:p w14:paraId="25159852" w14:textId="77777777" w:rsidR="00A642D7" w:rsidRPr="00675633" w:rsidRDefault="00A642D7" w:rsidP="00A642D7">
      <w:pPr>
        <w:pStyle w:val="aa"/>
        <w:tabs>
          <w:tab w:val="left" w:pos="-58"/>
        </w:tabs>
        <w:spacing w:before="100" w:beforeAutospacing="1" w:after="120"/>
        <w:ind w:left="-58"/>
        <w:jc w:val="both"/>
        <w:rPr>
          <w:rFonts w:cs="FrankRuehl"/>
          <w:sz w:val="28"/>
          <w:szCs w:val="28"/>
        </w:rPr>
      </w:pPr>
    </w:p>
    <w:p w14:paraId="48814573"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להלן פסקי הדין אותם מצאתי כרלבנטיים לקביעת המתחם, אבהיר כי חלקם נופלים מעניינו של הנאשם וחלקם עולים בחומרתם. כך למשל, חלק מהמקרים נידונו בבית המשפט המחוזי והיקף הגידול נאמד ב-50  ועד ל-100 קילו ואף למעלה מכך. מטבע הדברים, העונש אשר הוטל בסופו של דבר תלוי בנסיבות המעשה והעושה.  </w:t>
      </w:r>
    </w:p>
    <w:p w14:paraId="22522771"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44BFEBA6" w14:textId="77777777" w:rsidR="00A642D7" w:rsidRDefault="00DA3E1B"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5" w:history="1">
        <w:r w:rsidRPr="00DA3E1B">
          <w:rPr>
            <w:rFonts w:ascii="FrankRuehl" w:hAnsi="FrankRuehl" w:cs="FrankRuehl"/>
            <w:color w:val="0000FF"/>
            <w:sz w:val="28"/>
            <w:szCs w:val="28"/>
            <w:u w:val="single"/>
            <w:rtl/>
          </w:rPr>
          <w:t>ע"פ 3378/21</w:t>
        </w:r>
      </w:hyperlink>
      <w:r w:rsidR="00A642D7">
        <w:rPr>
          <w:rFonts w:ascii="FrankRuehl" w:hAnsi="FrankRuehl" w:cs="FrankRuehl"/>
          <w:sz w:val="28"/>
          <w:szCs w:val="28"/>
          <w:rtl/>
        </w:rPr>
        <w:t xml:space="preserve"> </w:t>
      </w:r>
      <w:r w:rsidR="00A642D7">
        <w:rPr>
          <w:rFonts w:ascii="Miriam" w:hAnsi="Miriam" w:cs="Miriam"/>
          <w:rtl/>
        </w:rPr>
        <w:t>אליהו נ' מדינת ישראל</w:t>
      </w:r>
      <w:r w:rsidR="00A642D7">
        <w:rPr>
          <w:rFonts w:ascii="FrankRuehl" w:hAnsi="FrankRuehl" w:cs="FrankRuehl"/>
          <w:sz w:val="28"/>
          <w:szCs w:val="28"/>
          <w:rtl/>
        </w:rPr>
        <w:t xml:space="preserve"> (5.07.2021) – הנאשם הורשע בהתאם להודאתו בכתב אישום המייחס לו ייצור והכנת סם וכן נטילת חשמל במרמה. הנאשם ואחר שכרו בית תמורת תשלום חודשי בסך 11,000 ₪ והקים מעבדה לגידול סם מסוג קאנביס לשם כך צייד את המעבדה בציוד רב ויקר ערך. במעבדה נתפסו מספר רב של שתילים במשקל של כ-54 ק"ג. כן נטל הנאשם חשמל במרמה בשווי 36,818 ₪. בבית המשפט המחוזי, נקבע מתחם ענישה בין 36-14 חודשי מאסר בפועל ורכיבי ענישה נוספים. בית המשפט מצא לסטות ממתחם העונש משיקולי שיקום וגזר על הנאשם 10 חודשי מאסר לריצוי בפועל וענישה נלווית. ערעור לבית המשפט העליון על חומרת העונש התקבל, בהסכמת המדינה ולנוכח הליך שיקומי הועמד עונשו של המערער על 9 חודשי מאסר לריצוי בעבודות שירות, יתר רכיבי הענישה ללא שינוי.</w:t>
      </w:r>
    </w:p>
    <w:p w14:paraId="11C011BB"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1074DEEB" w14:textId="77777777" w:rsidR="00A642D7" w:rsidRDefault="00DA3E1B"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6" w:history="1">
        <w:r w:rsidRPr="00DA3E1B">
          <w:rPr>
            <w:rFonts w:ascii="FrankRuehl" w:hAnsi="FrankRuehl" w:cs="FrankRuehl"/>
            <w:color w:val="0000FF"/>
            <w:sz w:val="28"/>
            <w:szCs w:val="28"/>
            <w:u w:val="single"/>
            <w:rtl/>
          </w:rPr>
          <w:t>ע"פ 4285/17</w:t>
        </w:r>
      </w:hyperlink>
      <w:r w:rsidR="00A642D7">
        <w:rPr>
          <w:rFonts w:ascii="FrankRuehl" w:hAnsi="FrankRuehl" w:cs="FrankRuehl"/>
          <w:sz w:val="28"/>
          <w:szCs w:val="28"/>
          <w:rtl/>
        </w:rPr>
        <w:t xml:space="preserve"> </w:t>
      </w:r>
      <w:r w:rsidR="00A642D7">
        <w:rPr>
          <w:rFonts w:ascii="Miriam" w:hAnsi="Miriam" w:cs="Miriam"/>
          <w:rtl/>
        </w:rPr>
        <w:t>יצחקי נ' מדינת ישראל</w:t>
      </w:r>
      <w:r w:rsidR="00A642D7">
        <w:rPr>
          <w:rFonts w:ascii="FrankRuehl" w:hAnsi="FrankRuehl" w:cs="FrankRuehl"/>
          <w:sz w:val="28"/>
          <w:szCs w:val="28"/>
          <w:rtl/>
        </w:rPr>
        <w:t xml:space="preserve"> (8.7.2018) – הנאשמת נעדרת עבר פלילי הורשעה בהתאם להודאתה בעבירות של גידול סמים בכך שהצטיידה ביחד עם אחר בציוד יקר ערך לצורך תפעולה של מעבדה לגידול קנבוס ובמשך כשלושה חודשים הפיקה וגידלה כ 1,000 עציצים במשקל כולל של כ 100 ק"ג וכן נתפס קנביס במשקל של 9.1 ק"ג. בית-המשפט המחוזי מרכז קבע מתחם ענישה 48-24 חודשי מאסר בפועל ומצא לסטות ממתחם העונש מטעמי שיקום והשית על הנאשמת עונש מאסר בן 12 חודשים. ערעור על חומרת העונש התקבל ועונשה של הנאשם הועמד על שישה חודשי מאסר לריצוי בדרך של עבודות שירות, יתר רכיבי הענישה ללא שינוי. </w:t>
      </w:r>
    </w:p>
    <w:p w14:paraId="6E98A8BF"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718E9D3F"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עניין </w:t>
      </w:r>
      <w:r>
        <w:rPr>
          <w:rFonts w:ascii="Miriam" w:hAnsi="Miriam" w:cs="Miriam"/>
          <w:rtl/>
        </w:rPr>
        <w:t>עתמין</w:t>
      </w:r>
      <w:r>
        <w:rPr>
          <w:rFonts w:ascii="FrankRuehl" w:hAnsi="FrankRuehl" w:cs="FrankRuehl"/>
          <w:sz w:val="28"/>
          <w:szCs w:val="28"/>
          <w:rtl/>
        </w:rPr>
        <w:t xml:space="preserve"> – הנאשם הורשע על פי הודאתו בעבירות של ייצור סם והחזקת סם שלא לצריכה עצמית, בכך שגידל בביתו ובחממה בחצרו בסם מסוכן מסוג קנבוס במשקל של 57 ק"ג. בית המשפט השלום קבע מתחם ענישה 40-20 חודשי מאסר אך מצא לחרוג מטעמי שיקום והטיל על הנאשם 9 חודשי מאסר לריצוי בעבודות שירות. ערעור המדינה על קולת העונש התקבל, בית המשפט המחוזי קבע את מתחם הענישה 48-24 חודשים ובהתחשב בשיקולי שיקום ומשום שערכאת הערעור אינה ממצה את הדין, השית על הנאשם 20 חודשי מאסר לצד ענישה נלווית. בקשת רשות לערער נדחתה. </w:t>
      </w:r>
    </w:p>
    <w:p w14:paraId="07336F74" w14:textId="77777777" w:rsidR="00A642D7" w:rsidRPr="00675633" w:rsidRDefault="00A642D7" w:rsidP="00A642D7">
      <w:pPr>
        <w:pStyle w:val="aa"/>
        <w:rPr>
          <w:rFonts w:ascii="FrankRuehl" w:hAnsi="FrankRuehl" w:cs="FrankRuehl"/>
          <w:sz w:val="28"/>
          <w:szCs w:val="28"/>
          <w:rtl/>
        </w:rPr>
      </w:pPr>
    </w:p>
    <w:p w14:paraId="5B476877" w14:textId="77777777" w:rsidR="00A642D7" w:rsidRDefault="00DA3E1B"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7" w:history="1">
        <w:r w:rsidRPr="00DA3E1B">
          <w:rPr>
            <w:rFonts w:ascii="FrankRuehl" w:hAnsi="FrankRuehl" w:cs="FrankRuehl"/>
            <w:color w:val="0000FF"/>
            <w:sz w:val="28"/>
            <w:szCs w:val="28"/>
            <w:u w:val="single"/>
            <w:rtl/>
          </w:rPr>
          <w:t>רע"פ 174/21</w:t>
        </w:r>
      </w:hyperlink>
      <w:r w:rsidR="00A642D7">
        <w:rPr>
          <w:rFonts w:hint="cs"/>
          <w:rtl/>
        </w:rPr>
        <w:t xml:space="preserve"> </w:t>
      </w:r>
      <w:r w:rsidR="00A642D7">
        <w:rPr>
          <w:rFonts w:ascii="Miriam" w:hAnsi="Miriam" w:cs="Miriam"/>
          <w:rtl/>
        </w:rPr>
        <w:t>סויסה נ' מדינת ישראל</w:t>
      </w:r>
      <w:r w:rsidR="00A642D7">
        <w:rPr>
          <w:rFonts w:ascii="FrankRuehl" w:hAnsi="FrankRuehl" w:cs="FrankRuehl"/>
          <w:sz w:val="28"/>
          <w:szCs w:val="28"/>
          <w:rtl/>
        </w:rPr>
        <w:t xml:space="preserve"> (25.2.2021) – הנאשם בעל עבר פלילי בין היתר בעבירות סמים הורשע בעבירת ייצור סם והחזקת סם שלא לצריכה עצמית. הנאשם שכר מבנה ייעודי תמורת תשלום חודשי שנאמד באלפי שקלים לחודש והקים מעבדה וגידל בה מאות שתילים של סם מסוג קנאביס במשקל של כ-38 ק"ג. הסמים נתפסו מחולקים ל 420 מכלים. בית משפט השלום קבע מתחם עונש שבין 10 ל-28 חודשי מאסר, חרג מהמתחם, והשית על הנאשם 9 חודשי עבודות שירות. בית המשפט המחוזי קבע כי מתחם עונש בין 15 ל-30 חודשי מאסר בפועל, והעמיד את עונשו של הנאשם, משיקולי שיקום, על 12 חודשי מאסר בפועל לצד רכיבי ענישה נוספים. בקשת רשות ערעור נדחת</w:t>
      </w:r>
      <w:r w:rsidR="00A642D7">
        <w:rPr>
          <w:rFonts w:ascii="FrankRuehl" w:hAnsi="FrankRuehl" w:cs="FrankRuehl" w:hint="cs"/>
          <w:sz w:val="28"/>
          <w:szCs w:val="28"/>
          <w:rtl/>
        </w:rPr>
        <w:t>ה</w:t>
      </w:r>
      <w:r w:rsidR="00A642D7">
        <w:rPr>
          <w:rFonts w:ascii="FrankRuehl" w:hAnsi="FrankRuehl" w:cs="FrankRuehl"/>
          <w:sz w:val="28"/>
          <w:szCs w:val="28"/>
          <w:rtl/>
        </w:rPr>
        <w:t xml:space="preserve">. </w:t>
      </w:r>
    </w:p>
    <w:p w14:paraId="5D7F8754" w14:textId="77777777" w:rsidR="00A642D7" w:rsidRPr="00A247FF" w:rsidRDefault="00A642D7" w:rsidP="00A642D7">
      <w:pPr>
        <w:pStyle w:val="aa"/>
        <w:rPr>
          <w:rFonts w:ascii="FrankRuehl" w:hAnsi="FrankRuehl" w:cs="FrankRuehl"/>
          <w:sz w:val="28"/>
          <w:szCs w:val="28"/>
          <w:rtl/>
        </w:rPr>
      </w:pPr>
    </w:p>
    <w:p w14:paraId="00778327" w14:textId="77777777" w:rsidR="00A642D7" w:rsidRDefault="00DA3E1B"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8" w:history="1">
        <w:r w:rsidRPr="00DA3E1B">
          <w:rPr>
            <w:rFonts w:ascii="FrankRuehl" w:hAnsi="FrankRuehl" w:cs="FrankRuehl"/>
            <w:color w:val="0000FF"/>
            <w:sz w:val="28"/>
            <w:szCs w:val="28"/>
            <w:u w:val="single"/>
            <w:rtl/>
          </w:rPr>
          <w:t>רע"פ 6041/18</w:t>
        </w:r>
      </w:hyperlink>
      <w:r w:rsidR="00A642D7" w:rsidRPr="00A247FF">
        <w:rPr>
          <w:rFonts w:ascii="FrankRuehl" w:hAnsi="FrankRuehl" w:cs="FrankRuehl" w:hint="cs"/>
          <w:sz w:val="28"/>
          <w:szCs w:val="28"/>
          <w:rtl/>
        </w:rPr>
        <w:t xml:space="preserve"> </w:t>
      </w:r>
      <w:r w:rsidR="00A642D7">
        <w:rPr>
          <w:rFonts w:ascii="Miriam" w:hAnsi="Miriam" w:cs="Miriam" w:hint="cs"/>
          <w:rtl/>
        </w:rPr>
        <w:t>ד</w:t>
      </w:r>
      <w:r w:rsidR="00A642D7" w:rsidRPr="00A247FF">
        <w:rPr>
          <w:rFonts w:ascii="Miriam" w:hAnsi="Miriam" w:cs="Miriam"/>
          <w:rtl/>
        </w:rPr>
        <w:t>הן נ' מדינת ישראל</w:t>
      </w:r>
      <w:r w:rsidR="00A642D7" w:rsidRPr="00A247FF">
        <w:rPr>
          <w:rFonts w:ascii="FrankRuehl" w:hAnsi="FrankRuehl" w:cs="FrankRuehl"/>
          <w:sz w:val="28"/>
          <w:szCs w:val="28"/>
          <w:rtl/>
        </w:rPr>
        <w:t xml:space="preserve"> (2.10.2018) – הנאשם ללא עבר פלילי הורשע על פי הודאתו בעבירות של ייצור והפקת סם בתקופה של כ-5 חודשים, וגניבת חשמל שנאמדה ב 40,000 ש"ח. הנאשם שכר דירת גג בת 5 חדרים לצורך המעבדה הקים וניהל מעבדה לגידול סם מסוג קנאביס והצטייד לשם כך בציוד ששוויו כ-50,000 ש"ח וביצע שינויים במערכת החשמל. במעבדה נתפסו סמים מסוג קנאביס במשקל של כ-40 ק"ג בתוצר הסופי (לא צמחים או שתילים). בית המשפט קבע מתחם עונש בין 18 ל-36 חודשי מאסר בפועל. הנאשם נידון לעונש של 20 חודשי מאסר בפועל לצד רכיבי ענישה נוספים. בקשת רשות ערעור נדחתה (הוצג על ידי המאשימה).</w:t>
      </w:r>
    </w:p>
    <w:p w14:paraId="03EF1649" w14:textId="77777777" w:rsidR="00A642D7" w:rsidRPr="00A247FF" w:rsidRDefault="00A642D7" w:rsidP="00A642D7">
      <w:pPr>
        <w:pStyle w:val="aa"/>
        <w:rPr>
          <w:rFonts w:ascii="FrankRuehl" w:hAnsi="FrankRuehl" w:cs="FrankRuehl"/>
          <w:sz w:val="28"/>
          <w:szCs w:val="28"/>
          <w:rtl/>
        </w:rPr>
      </w:pPr>
    </w:p>
    <w:p w14:paraId="06369AF5" w14:textId="77777777" w:rsidR="00A642D7" w:rsidRDefault="00DA3E1B"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9" w:history="1">
        <w:r w:rsidRPr="00DA3E1B">
          <w:rPr>
            <w:rFonts w:ascii="FrankRuehl" w:hAnsi="FrankRuehl" w:cs="FrankRuehl"/>
            <w:color w:val="0000FF"/>
            <w:sz w:val="28"/>
            <w:szCs w:val="28"/>
            <w:u w:val="single"/>
            <w:rtl/>
          </w:rPr>
          <w:t>רע"פ 8095/17</w:t>
        </w:r>
      </w:hyperlink>
      <w:r w:rsidR="00A642D7">
        <w:rPr>
          <w:rFonts w:ascii="FrankRuehl" w:hAnsi="FrankRuehl" w:cs="FrankRuehl"/>
          <w:sz w:val="28"/>
          <w:szCs w:val="28"/>
          <w:rtl/>
        </w:rPr>
        <w:t xml:space="preserve"> </w:t>
      </w:r>
      <w:r w:rsidR="00A642D7">
        <w:rPr>
          <w:rFonts w:ascii="Miriam" w:hAnsi="Miriam" w:cs="Miriam"/>
          <w:rtl/>
        </w:rPr>
        <w:t>סטרוסטה נ' מדינת ישראל</w:t>
      </w:r>
      <w:r w:rsidR="00A642D7">
        <w:rPr>
          <w:rFonts w:ascii="FrankRuehl" w:hAnsi="FrankRuehl" w:cs="FrankRuehl"/>
          <w:sz w:val="28"/>
          <w:szCs w:val="28"/>
          <w:rtl/>
        </w:rPr>
        <w:t xml:space="preserve"> (26.10.2017) – הנאשם ללא עבר פלילי הורשע על פי הודאתו בעבירות של ייצור סם. הנאשם החזיק במספר רב של עציצים ובהם סם מסוג קנאביס במשקל של 52.3 ק"ג וכן מספר עציצים קטנים ובהם קנאביס במשקל של 611 גרם. נקבע מתחם עונש הולם בין 20- 32 חודשי מאסר. הנאשם נידון לעונש מאסר בן 16 חודשים לצד רכיבי ענישה נוספים. </w:t>
      </w:r>
    </w:p>
    <w:p w14:paraId="77E35CF5"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68722D85" w14:textId="77777777" w:rsidR="00A642D7" w:rsidRDefault="00DA3E1B"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40" w:history="1">
        <w:r w:rsidRPr="00DA3E1B">
          <w:rPr>
            <w:rFonts w:ascii="FrankRuehl" w:hAnsi="FrankRuehl" w:cs="FrankRuehl"/>
            <w:color w:val="0000FF"/>
            <w:sz w:val="28"/>
            <w:szCs w:val="28"/>
            <w:u w:val="single"/>
            <w:rtl/>
          </w:rPr>
          <w:t>עפ"ג (מחוזי מרכז) 45104-03-20</w:t>
        </w:r>
      </w:hyperlink>
      <w:r w:rsidR="00A642D7">
        <w:rPr>
          <w:rFonts w:ascii="FrankRuehl" w:hAnsi="FrankRuehl" w:cs="FrankRuehl"/>
          <w:sz w:val="28"/>
          <w:szCs w:val="28"/>
          <w:rtl/>
        </w:rPr>
        <w:t xml:space="preserve"> </w:t>
      </w:r>
      <w:r w:rsidR="00A642D7">
        <w:rPr>
          <w:rFonts w:ascii="Miriam" w:hAnsi="Miriam" w:cs="Miriam"/>
          <w:rtl/>
        </w:rPr>
        <w:t>מעידי נ' מדינת ישראל</w:t>
      </w:r>
      <w:r w:rsidR="00A642D7">
        <w:rPr>
          <w:rFonts w:ascii="FrankRuehl" w:hAnsi="FrankRuehl" w:cs="FrankRuehl"/>
          <w:sz w:val="28"/>
          <w:szCs w:val="28"/>
          <w:rtl/>
        </w:rPr>
        <w:t xml:space="preserve"> (20.7.2020) – נדחה ערעור של נאשם אשר הורשע על פי הודאתו בעבירות של גידול סמים ונטילת חשמל. הנאשם הקים מעבדה לייצור סם, צייד אותה בציוד רב, וגנב חשמל. במעבדה נמצאו סמים מסוג קנאביס במשקל של 40 ק"ג. בית המשפט קבע מתחם ענישה בין 18 ל-30 חודשי מאסר בפועל, וחרג מהמתחם משיקולי שיקום וגזר על הנאשם 15 חודשי מאסר בפועל. </w:t>
      </w:r>
    </w:p>
    <w:p w14:paraId="7F49421F" w14:textId="77777777" w:rsidR="00A642D7" w:rsidRPr="00A247FF" w:rsidRDefault="00A642D7" w:rsidP="00A642D7">
      <w:pPr>
        <w:pStyle w:val="aa"/>
        <w:tabs>
          <w:tab w:val="left" w:pos="-58"/>
        </w:tabs>
        <w:spacing w:before="100" w:beforeAutospacing="1" w:after="120"/>
        <w:ind w:left="-58"/>
        <w:jc w:val="both"/>
        <w:rPr>
          <w:rFonts w:ascii="FrankRuehl" w:hAnsi="FrankRuehl" w:cs="FrankRuehl"/>
          <w:sz w:val="28"/>
          <w:szCs w:val="28"/>
        </w:rPr>
      </w:pPr>
    </w:p>
    <w:p w14:paraId="387A944D" w14:textId="77777777" w:rsidR="00A642D7" w:rsidRDefault="00DA3E1B"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41" w:history="1">
        <w:r w:rsidRPr="00DA3E1B">
          <w:rPr>
            <w:rFonts w:ascii="FrankRuehl" w:hAnsi="FrankRuehl" w:cs="FrankRuehl"/>
            <w:color w:val="0000FF"/>
            <w:sz w:val="28"/>
            <w:szCs w:val="28"/>
            <w:u w:val="single"/>
            <w:rtl/>
          </w:rPr>
          <w:t>עפ"ג (מחוזי חיפה) 71508-12-19</w:t>
        </w:r>
      </w:hyperlink>
      <w:r w:rsidR="00A642D7">
        <w:rPr>
          <w:rFonts w:ascii="FrankRuehl" w:hAnsi="FrankRuehl" w:cs="FrankRuehl"/>
          <w:sz w:val="28"/>
          <w:szCs w:val="28"/>
          <w:rtl/>
        </w:rPr>
        <w:t xml:space="preserve"> </w:t>
      </w:r>
      <w:r w:rsidR="00A642D7">
        <w:rPr>
          <w:rFonts w:ascii="Miriam" w:hAnsi="Miriam" w:cs="Miriam"/>
          <w:rtl/>
        </w:rPr>
        <w:t>מדינת ישראל נ' בן חיים</w:t>
      </w:r>
      <w:r w:rsidR="00A642D7">
        <w:rPr>
          <w:rFonts w:ascii="FrankRuehl" w:hAnsi="FrankRuehl" w:cs="FrankRuehl"/>
          <w:sz w:val="28"/>
          <w:szCs w:val="28"/>
          <w:rtl/>
        </w:rPr>
        <w:t xml:space="preserve"> (27.2.2020) – הנאשם הורשע על פי הודאתו בעבירות של ייצור, הכנה והפקת סם, ועבירות נלוות. הנאשם הקים מעבדה לגידול סם במשקל של 38.6 ק"ג וחלקי צמח במשקל של 49.4 ג'. בית משפט השלום קבע מתחם עונש הנע בין 8 ל-24 חודשי מאסר בפועל והטיל עונש של 10 חודשי מאסר בפועל. בית המשפט המחוזי קיבל את ערעור המדינה והעמיד את עונשו של הנאשם על 15 חודשי מאסר בפועל.</w:t>
      </w:r>
      <w:r w:rsidR="00A642D7">
        <w:rPr>
          <w:rFonts w:ascii="FrankRuehl" w:hAnsi="FrankRuehl" w:cs="FrankRuehl"/>
          <w:sz w:val="28"/>
          <w:szCs w:val="28"/>
        </w:rPr>
        <w:t xml:space="preserve"> </w:t>
      </w:r>
    </w:p>
    <w:p w14:paraId="51981D52" w14:textId="77777777" w:rsidR="00A642D7" w:rsidRPr="00A247FF" w:rsidRDefault="00A642D7" w:rsidP="00A642D7">
      <w:pPr>
        <w:pStyle w:val="aa"/>
        <w:rPr>
          <w:rFonts w:ascii="FrankRuehl" w:hAnsi="FrankRuehl" w:cs="FrankRuehl"/>
          <w:sz w:val="28"/>
          <w:szCs w:val="28"/>
          <w:rtl/>
        </w:rPr>
      </w:pPr>
    </w:p>
    <w:p w14:paraId="53A9BA57" w14:textId="77777777" w:rsidR="00A642D7" w:rsidRDefault="00DA3E1B"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42" w:history="1">
        <w:r w:rsidRPr="00DA3E1B">
          <w:rPr>
            <w:rFonts w:ascii="FrankRuehl" w:hAnsi="FrankRuehl" w:cs="FrankRuehl"/>
            <w:color w:val="0000FF"/>
            <w:sz w:val="28"/>
            <w:szCs w:val="28"/>
            <w:u w:val="single"/>
            <w:rtl/>
          </w:rPr>
          <w:t>עפ"ג (מחוזי מרכז) 33120-05-19</w:t>
        </w:r>
      </w:hyperlink>
      <w:r w:rsidR="00A642D7">
        <w:rPr>
          <w:rFonts w:ascii="FrankRuehl" w:hAnsi="FrankRuehl" w:cs="FrankRuehl"/>
          <w:sz w:val="28"/>
          <w:szCs w:val="28"/>
          <w:rtl/>
        </w:rPr>
        <w:t xml:space="preserve"> </w:t>
      </w:r>
      <w:r w:rsidR="00A642D7">
        <w:rPr>
          <w:rFonts w:ascii="Miriam" w:hAnsi="Miriam" w:cs="Miriam"/>
          <w:rtl/>
        </w:rPr>
        <w:t>מדינת ישראל נ' שחר</w:t>
      </w:r>
      <w:r w:rsidR="00A642D7">
        <w:rPr>
          <w:rFonts w:ascii="FrankRuehl" w:hAnsi="FrankRuehl" w:cs="FrankRuehl"/>
          <w:sz w:val="28"/>
          <w:szCs w:val="28"/>
          <w:rtl/>
        </w:rPr>
        <w:t xml:space="preserve"> (28.1.2020) – הנאשם הורשע על פי הודאתו בעבירות של גידול סם וגניבת חשמל. הנאשם שכר בית והקים מעבדה לגידול סם, רכש ציוד מעבדה בשווי של כ-220,000 ₪. במעבדה נתפסו סמים מסוג קנאביס במשקל של 45.8 ק"ג כ-200 שתילים. בית משפט השלום קבע מתחם עונש בין 18 ל-36 חודשי מאסר בפועל, ומצא לחרוג מהמתחם משיקולי שיקום והשית על הנאשם 9 חודשי עבודות שירות. בית המשפט המחוזי קבע כי מתחם העונש נכון, ואולם השיקום אינו מצדיק חריגה משמעותית, והעמיד את עונשו על 15 חודשי מאסר בפועל.  </w:t>
      </w:r>
    </w:p>
    <w:p w14:paraId="315E767F"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0FF4A647"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ב</w:t>
      </w:r>
      <w:hyperlink r:id="rId43" w:history="1">
        <w:r w:rsidR="00DA3E1B" w:rsidRPr="00DA3E1B">
          <w:rPr>
            <w:rFonts w:ascii="FrankRuehl" w:hAnsi="FrankRuehl" w:cs="FrankRuehl"/>
            <w:color w:val="0000FF"/>
            <w:sz w:val="28"/>
            <w:szCs w:val="28"/>
            <w:u w:val="single"/>
            <w:rtl/>
          </w:rPr>
          <w:t>עפ"ג (מחוזי מרכז) 66585-03-19</w:t>
        </w:r>
      </w:hyperlink>
      <w:r>
        <w:rPr>
          <w:rFonts w:ascii="FrankRuehl" w:hAnsi="FrankRuehl" w:cs="FrankRuehl"/>
          <w:sz w:val="28"/>
          <w:szCs w:val="28"/>
          <w:rtl/>
        </w:rPr>
        <w:t xml:space="preserve"> </w:t>
      </w:r>
      <w:r>
        <w:rPr>
          <w:rFonts w:ascii="Miriam" w:hAnsi="Miriam" w:cs="Miriam"/>
          <w:rtl/>
        </w:rPr>
        <w:t>מדינת ישראל נ' אבו עלאן</w:t>
      </w:r>
      <w:r>
        <w:rPr>
          <w:rFonts w:ascii="FrankRuehl" w:hAnsi="FrankRuehl" w:cs="FrankRuehl"/>
          <w:sz w:val="28"/>
          <w:szCs w:val="28"/>
          <w:rtl/>
        </w:rPr>
        <w:t xml:space="preserve"> (18.6.2019) – הנאשם ללא עבר פלילי הורשע בהתאם להודאתו בעבירה של ייצור סמים. הנאשם שכר חנייה פרטית עם מרתף, תחם אותה באמצעות קיר מיוחד, הצטייד בציוד מתאים לגידול סמים הקים מעבדה לגידול סמים מסוג קנאביס, 191 שתילים במשקל של 42.5 ק"ג. בית משפט השלום קבע מתחם עונש שנע בין 36-10 חודשי מאסר בפועל וגזר עליו 6 חודשי מאסר לריצוי בעבודות שירות, בית בית המשפט המחוזי קבע כי מתחם ענישה בין 36-14 חודשי מאסר בפועל לצד רכיבי ענישה נוספים והעמיד את עונשו של הנאשם על 10 חודשי מאסר בפועל.  </w:t>
      </w:r>
    </w:p>
    <w:p w14:paraId="379BB7DA" w14:textId="77777777" w:rsidR="00A642D7" w:rsidRPr="00A247FF" w:rsidRDefault="00A642D7" w:rsidP="00A642D7">
      <w:pPr>
        <w:pStyle w:val="aa"/>
        <w:rPr>
          <w:rFonts w:ascii="FrankRuehl" w:hAnsi="FrankRuehl" w:cs="FrankRuehl"/>
          <w:sz w:val="28"/>
          <w:szCs w:val="28"/>
          <w:rtl/>
        </w:rPr>
      </w:pPr>
    </w:p>
    <w:p w14:paraId="6BE8F9AA" w14:textId="77777777" w:rsidR="00A642D7" w:rsidRDefault="00DA3E1B"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44" w:history="1">
        <w:r w:rsidRPr="00DA3E1B">
          <w:rPr>
            <w:rFonts w:ascii="FrankRuehl" w:hAnsi="FrankRuehl" w:cs="FrankRuehl"/>
            <w:color w:val="0000FF"/>
            <w:sz w:val="28"/>
            <w:szCs w:val="28"/>
            <w:u w:val="single"/>
            <w:rtl/>
          </w:rPr>
          <w:t>ת"פ 53769-12-21</w:t>
        </w:r>
      </w:hyperlink>
      <w:r w:rsidR="00A642D7">
        <w:rPr>
          <w:rFonts w:ascii="FrankRuehl" w:hAnsi="FrankRuehl" w:cs="FrankRuehl"/>
          <w:sz w:val="28"/>
          <w:szCs w:val="28"/>
          <w:rtl/>
        </w:rPr>
        <w:t xml:space="preserve"> </w:t>
      </w:r>
      <w:r w:rsidR="00A642D7">
        <w:rPr>
          <w:rFonts w:ascii="Miriam" w:hAnsi="Miriam" w:cs="Miriam"/>
          <w:rtl/>
        </w:rPr>
        <w:t>מדינת ישראל נ' כהן</w:t>
      </w:r>
      <w:r w:rsidR="00A642D7">
        <w:rPr>
          <w:rFonts w:ascii="FrankRuehl" w:hAnsi="FrankRuehl" w:cs="FrankRuehl"/>
          <w:sz w:val="28"/>
          <w:szCs w:val="28"/>
          <w:rtl/>
        </w:rPr>
        <w:t xml:space="preserve"> (3.1.2024) – הנאשם הורשע על יסוד הודאתו בקשירת קשר לביצוע פשע, ייצור הפקה והכנת סם, נטילת חשמל לצורך כך והחזקה. שם דובר על סם מסוג קנבוס. תסקיר שירות מבחן בעניינו היה חיובי ומתחם הענישה שנקבע שם נע בין 14 ועד 30 חודשי מאסר לצד ענישה נלווית. העונש שנגזר היה 14 חודשי מאסר בפועל. </w:t>
      </w:r>
    </w:p>
    <w:p w14:paraId="63BED5EF" w14:textId="77777777" w:rsidR="00A642D7" w:rsidRPr="00A247FF" w:rsidRDefault="00A642D7" w:rsidP="00A642D7">
      <w:pPr>
        <w:pStyle w:val="aa"/>
        <w:rPr>
          <w:rFonts w:ascii="FrankRuehl" w:hAnsi="FrankRuehl" w:cs="FrankRuehl"/>
          <w:sz w:val="28"/>
          <w:szCs w:val="28"/>
          <w:rtl/>
        </w:rPr>
      </w:pPr>
    </w:p>
    <w:p w14:paraId="2B22104F" w14:textId="77777777" w:rsidR="00A642D7" w:rsidRDefault="00DA3E1B"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45" w:history="1">
        <w:r w:rsidRPr="00DA3E1B">
          <w:rPr>
            <w:rFonts w:ascii="FrankRuehl" w:hAnsi="FrankRuehl" w:cs="FrankRuehl"/>
            <w:color w:val="0000FF"/>
            <w:sz w:val="28"/>
            <w:szCs w:val="28"/>
            <w:u w:val="single"/>
            <w:rtl/>
          </w:rPr>
          <w:t>ת"פ (מחוזי ת"א) 60183-03-21</w:t>
        </w:r>
      </w:hyperlink>
      <w:r w:rsidR="00A642D7">
        <w:rPr>
          <w:rFonts w:ascii="FrankRuehl" w:hAnsi="FrankRuehl" w:cs="FrankRuehl"/>
          <w:sz w:val="28"/>
          <w:szCs w:val="28"/>
          <w:rtl/>
        </w:rPr>
        <w:t xml:space="preserve"> </w:t>
      </w:r>
      <w:r w:rsidR="00A642D7">
        <w:rPr>
          <w:rFonts w:ascii="Miriam" w:hAnsi="Miriam" w:cs="Miriam"/>
          <w:rtl/>
        </w:rPr>
        <w:t>מדינת ישראל נ' אוחיין</w:t>
      </w:r>
      <w:r w:rsidR="00A642D7">
        <w:rPr>
          <w:rFonts w:ascii="FrankRuehl" w:hAnsi="FrankRuehl" w:cs="FrankRuehl"/>
          <w:sz w:val="28"/>
          <w:szCs w:val="28"/>
          <w:rtl/>
        </w:rPr>
        <w:t xml:space="preserve"> (26.12.2022) – הנאשם הורשע על פי הודאתו בביצוע עבירות של ייצוג הכנה והפקה של סם מסוכן, החזקת סם מסוכן שלא לצריכה עצמית והחזקת כלים להכנת סם מסוכן. על פי עובדות כתב האישום, שכר הנאשם בית פרטי בן 3 קומות והפעיל בו מעבדת סמים שכללה ציוד רב. ומשך תקופה של מספר חודשיים גידל 456 שתילים סם מסוכן מסוג קנבוס במשקל כולל של 45 ק"ג שלא לשימוש עצמי וכן החזיק במקום סם מסוכן מסוג חשיש במשקל 398.9 גרם. בית המשפט המחוזי קבע מתחם ענישה 48-22 חודשי מאסר ורכיבי ענישה נוספים, וגזר על הנאשם 22 חודשי מאסר וענישה נלווית.</w:t>
      </w:r>
    </w:p>
    <w:p w14:paraId="54D88269"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110FDC93" w14:textId="77777777" w:rsidR="00A642D7" w:rsidRDefault="00DA3E1B"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46" w:history="1">
        <w:r w:rsidRPr="00DA3E1B">
          <w:rPr>
            <w:rFonts w:ascii="FrankRuehl" w:hAnsi="FrankRuehl" w:cs="FrankRuehl"/>
            <w:color w:val="0000FF"/>
            <w:sz w:val="28"/>
            <w:szCs w:val="28"/>
            <w:u w:val="single"/>
            <w:rtl/>
          </w:rPr>
          <w:t>ת"פ (מחוזי ת"א) 28847-09-20</w:t>
        </w:r>
      </w:hyperlink>
      <w:r w:rsidR="00A642D7">
        <w:rPr>
          <w:rFonts w:ascii="FrankRuehl" w:hAnsi="FrankRuehl" w:cs="FrankRuehl"/>
          <w:sz w:val="28"/>
          <w:szCs w:val="28"/>
          <w:rtl/>
        </w:rPr>
        <w:t xml:space="preserve"> </w:t>
      </w:r>
      <w:r w:rsidR="00A642D7">
        <w:rPr>
          <w:rFonts w:ascii="Miriam" w:hAnsi="Miriam" w:cs="Miriam"/>
          <w:rtl/>
        </w:rPr>
        <w:t>מדינת ישראל נ' יבלונקה</w:t>
      </w:r>
      <w:r w:rsidR="00A642D7">
        <w:rPr>
          <w:rFonts w:ascii="FrankRuehl" w:hAnsi="FrankRuehl" w:cs="FrankRuehl"/>
          <w:sz w:val="28"/>
          <w:szCs w:val="28"/>
          <w:rtl/>
        </w:rPr>
        <w:t xml:space="preserve"> (12.9.2021) – הנאשם נעדר הרשעות קודמות הורשע על יסוד הודאתו בביצוע עבירות של ייצור, הכנה והפקה של סם מסוכן, החזקה סם מסוכן שלא לצריכה עצמית והחזקת חצרים לשם הכנת סם מסוכן והחזקת כלים המשמשים להכנת סם מסוכן. הנאשם הקים מעבדה בבית פרטי ששכר ובסיוע אחר וגידל בה סמים מסוכנים מסוג קנבוס במשקל כולל של 47 ק"ג. בית המשפט המחוזי קבע מתחם ענישה 45-20 חודשי מאסר בפועל וענישה נלווית. על הנאשם נגזרו 24 חודשי מאסר בפועל.</w:t>
      </w:r>
    </w:p>
    <w:p w14:paraId="288DB27E"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ב</w:t>
      </w:r>
      <w:hyperlink r:id="rId47" w:history="1">
        <w:r w:rsidR="00DA3E1B" w:rsidRPr="00DA3E1B">
          <w:rPr>
            <w:rFonts w:ascii="FrankRuehl" w:hAnsi="FrankRuehl" w:cs="FrankRuehl"/>
            <w:color w:val="0000FF"/>
            <w:sz w:val="28"/>
            <w:szCs w:val="28"/>
            <w:u w:val="single"/>
            <w:rtl/>
          </w:rPr>
          <w:t>ת"פ (מחוזי מרכז) 14488-04-19</w:t>
        </w:r>
      </w:hyperlink>
      <w:r>
        <w:rPr>
          <w:rFonts w:ascii="FrankRuehl" w:hAnsi="FrankRuehl" w:cs="FrankRuehl"/>
          <w:sz w:val="28"/>
          <w:szCs w:val="28"/>
          <w:rtl/>
        </w:rPr>
        <w:t xml:space="preserve"> </w:t>
      </w:r>
      <w:r>
        <w:rPr>
          <w:rFonts w:ascii="Miriam" w:hAnsi="Miriam" w:cs="Miriam"/>
          <w:rtl/>
        </w:rPr>
        <w:t>מדינת ישראל נ' וקנין</w:t>
      </w:r>
      <w:r>
        <w:rPr>
          <w:rFonts w:ascii="FrankRuehl" w:hAnsi="FrankRuehl" w:cs="FrankRuehl"/>
          <w:sz w:val="28"/>
          <w:szCs w:val="28"/>
          <w:rtl/>
        </w:rPr>
        <w:t xml:space="preserve"> (23.2.2021) – הנאשם ללא עבר פלילי הורשע על פי הודאתו בעבירות של ייצור והפקת סם, נטילת חשמל, החזקת נשק ועוד. הנאשם שכר בית והקים בו מעבדה לגידול סם מסוג קנאביס, במשקל של 51.15 ק"ג וכן נמצא אקדח ללא הנוקר. בית המשפט קבע מתחם עונש לעבירות הסמים ונטילת החשמל בין 14 ל-36 חודשי מאסר בפועל (ולאירוע כולו 17 עד 40 חודשים). הנאשם נדון לעונש של 18 חודשי מאסר בפועל לצד רכיבי ענישה נוספים. </w:t>
      </w:r>
    </w:p>
    <w:p w14:paraId="5F05635D"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6CC1CD96" w14:textId="77777777" w:rsidR="00A642D7" w:rsidRDefault="00DA3E1B"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48" w:history="1">
        <w:r w:rsidRPr="00DA3E1B">
          <w:rPr>
            <w:rFonts w:ascii="FrankRuehl" w:hAnsi="FrankRuehl" w:cs="FrankRuehl"/>
            <w:color w:val="0000FF"/>
            <w:sz w:val="28"/>
            <w:szCs w:val="28"/>
            <w:u w:val="single"/>
            <w:rtl/>
          </w:rPr>
          <w:t>ת"פ 49034-02-19</w:t>
        </w:r>
      </w:hyperlink>
      <w:r w:rsidR="00A642D7">
        <w:rPr>
          <w:rFonts w:ascii="FrankRuehl" w:hAnsi="FrankRuehl" w:cs="FrankRuehl"/>
          <w:sz w:val="28"/>
          <w:szCs w:val="28"/>
          <w:rtl/>
        </w:rPr>
        <w:t xml:space="preserve"> (מחוזי ת"א) </w:t>
      </w:r>
      <w:r w:rsidR="00A642D7">
        <w:rPr>
          <w:rFonts w:ascii="Miriam" w:hAnsi="Miriam" w:cs="Miriam"/>
          <w:rtl/>
        </w:rPr>
        <w:t>מדינת ישראל נ' אוחיון</w:t>
      </w:r>
      <w:r w:rsidR="00A642D7">
        <w:rPr>
          <w:rFonts w:ascii="FrankRuehl" w:hAnsi="FrankRuehl" w:cs="FrankRuehl"/>
          <w:sz w:val="28"/>
          <w:szCs w:val="28"/>
          <w:rtl/>
        </w:rPr>
        <w:t xml:space="preserve"> (7.1.2020) – הנאשם הורשע על פי הודאתו בעבירה של ייצור סם ונטילת חשמל, בכך שבצוותא עם אחרים, שכר בית צמוד קרקע עם מרתף ושלושה חדרים הפרושים על פני שלוש קומות לצורך הקמת מעבדה לגידול סם מסוכן מסוג קאנביס ולשם כך התחבר באופן פירטי לרשת החשמל. הנאשם החזיק בלא פחות מ- 725 שתילים של צמח הקאנבוס וכן הפיק סם מסוכן במשקל כולל של 114 ק"ג. בית המשפט קבע כי מתחם העונש ההולם בין 40-18 חודשי מאסר וגזר על הנאשם 20 חודשי מאסר לצד רכיבי ענישה נוספים. </w:t>
      </w:r>
    </w:p>
    <w:p w14:paraId="61F8D56C"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222079A9"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הרי אם כן, ככלל, עמדת בתי המשפט עקבית ומחייבת השתת עונשי מאסר מוחשיים, לרוב בדרך של מאסר מאחורי סורג ובריח. עם זאת, ומכיוון שהענישה היא אינדיבידואלית, אפשר גם למצוא פסקי דין החורגים ממדיניות מחמירה זו, ברוב המקרים משום ששיקולי שיקום משמעותי הם אלו שהכריעו את הכף (ראו לדוגמה: </w:t>
      </w:r>
      <w:hyperlink r:id="rId49" w:history="1">
        <w:r w:rsidR="00DA3E1B" w:rsidRPr="00DA3E1B">
          <w:rPr>
            <w:rFonts w:ascii="FrankRuehl" w:hAnsi="FrankRuehl" w:cs="FrankRuehl"/>
            <w:color w:val="0000FF"/>
            <w:sz w:val="28"/>
            <w:szCs w:val="28"/>
            <w:u w:val="single"/>
            <w:rtl/>
          </w:rPr>
          <w:t>ע"פ 6162/21</w:t>
        </w:r>
      </w:hyperlink>
      <w:r>
        <w:rPr>
          <w:rFonts w:ascii="FrankRuehl" w:hAnsi="FrankRuehl" w:cs="FrankRuehl"/>
          <w:sz w:val="28"/>
          <w:szCs w:val="28"/>
          <w:rtl/>
        </w:rPr>
        <w:t xml:space="preserve"> </w:t>
      </w:r>
      <w:r>
        <w:rPr>
          <w:rFonts w:ascii="Miriam" w:hAnsi="Miriam" w:cs="Miriam"/>
          <w:rtl/>
        </w:rPr>
        <w:t>אזיזוב נ' מדינת ישראל</w:t>
      </w:r>
      <w:r>
        <w:rPr>
          <w:rFonts w:ascii="FrankRuehl" w:hAnsi="FrankRuehl" w:cs="FrankRuehl"/>
          <w:sz w:val="28"/>
          <w:szCs w:val="28"/>
          <w:rtl/>
        </w:rPr>
        <w:t xml:space="preserve"> (28.2.2022); </w:t>
      </w:r>
      <w:hyperlink r:id="rId50" w:history="1">
        <w:r w:rsidR="00DA3E1B" w:rsidRPr="00DA3E1B">
          <w:rPr>
            <w:rFonts w:ascii="FrankRuehl" w:hAnsi="FrankRuehl" w:cs="FrankRuehl"/>
            <w:color w:val="0000FF"/>
            <w:sz w:val="28"/>
            <w:szCs w:val="28"/>
            <w:u w:val="single"/>
            <w:rtl/>
          </w:rPr>
          <w:t>ת"פ 31559-08-20</w:t>
        </w:r>
      </w:hyperlink>
      <w:r>
        <w:rPr>
          <w:rFonts w:ascii="FrankRuehl" w:hAnsi="FrankRuehl" w:cs="FrankRuehl"/>
          <w:sz w:val="28"/>
          <w:szCs w:val="28"/>
          <w:rtl/>
        </w:rPr>
        <w:t xml:space="preserve"> </w:t>
      </w:r>
      <w:r>
        <w:rPr>
          <w:rFonts w:ascii="Miriam" w:hAnsi="Miriam" w:cs="Miriam"/>
          <w:rtl/>
        </w:rPr>
        <w:t>מדינת ישראל נ' בוזגלו</w:t>
      </w:r>
      <w:r>
        <w:rPr>
          <w:rFonts w:ascii="FrankRuehl" w:hAnsi="FrankRuehl" w:cs="FrankRuehl"/>
          <w:sz w:val="28"/>
          <w:szCs w:val="28"/>
          <w:rtl/>
        </w:rPr>
        <w:t xml:space="preserve"> (1.3.2023); </w:t>
      </w:r>
      <w:hyperlink r:id="rId51" w:history="1">
        <w:r w:rsidR="00DA3E1B" w:rsidRPr="00DA3E1B">
          <w:rPr>
            <w:rFonts w:ascii="FrankRuehl" w:hAnsi="FrankRuehl" w:cs="FrankRuehl"/>
            <w:color w:val="0000FF"/>
            <w:sz w:val="28"/>
            <w:szCs w:val="28"/>
            <w:u w:val="single"/>
            <w:rtl/>
          </w:rPr>
          <w:t>ת"פ 16097-08-21</w:t>
        </w:r>
      </w:hyperlink>
      <w:r>
        <w:rPr>
          <w:rFonts w:ascii="FrankRuehl" w:hAnsi="FrankRuehl" w:cs="FrankRuehl"/>
          <w:sz w:val="28"/>
          <w:szCs w:val="28"/>
          <w:rtl/>
        </w:rPr>
        <w:t xml:space="preserve"> </w:t>
      </w:r>
      <w:r>
        <w:rPr>
          <w:rFonts w:ascii="Miriam" w:hAnsi="Miriam" w:cs="Miriam"/>
          <w:rtl/>
        </w:rPr>
        <w:t xml:space="preserve">מדינת ישראל נ' חמו </w:t>
      </w:r>
      <w:r>
        <w:rPr>
          <w:rFonts w:ascii="FrankRuehl" w:hAnsi="FrankRuehl" w:cs="FrankRuehl"/>
          <w:sz w:val="28"/>
          <w:szCs w:val="28"/>
          <w:rtl/>
        </w:rPr>
        <w:t xml:space="preserve">(17.1.2023); </w:t>
      </w:r>
      <w:hyperlink r:id="rId52" w:history="1">
        <w:r w:rsidR="00DA3E1B" w:rsidRPr="00DA3E1B">
          <w:rPr>
            <w:rFonts w:ascii="FrankRuehl" w:hAnsi="FrankRuehl" w:cs="FrankRuehl"/>
            <w:color w:val="0000FF"/>
            <w:sz w:val="28"/>
            <w:szCs w:val="28"/>
            <w:u w:val="single"/>
            <w:rtl/>
          </w:rPr>
          <w:t>ת"פ 30039-04-20</w:t>
        </w:r>
      </w:hyperlink>
      <w:r>
        <w:rPr>
          <w:rFonts w:ascii="FrankRuehl" w:hAnsi="FrankRuehl" w:cs="FrankRuehl"/>
          <w:sz w:val="28"/>
          <w:szCs w:val="28"/>
          <w:rtl/>
        </w:rPr>
        <w:t xml:space="preserve"> </w:t>
      </w:r>
      <w:r>
        <w:rPr>
          <w:rFonts w:ascii="Miriam" w:hAnsi="Miriam" w:cs="Miriam"/>
          <w:rtl/>
        </w:rPr>
        <w:t>מדינת ישראל נ' זלצברג</w:t>
      </w:r>
      <w:r>
        <w:rPr>
          <w:rFonts w:ascii="FrankRuehl" w:hAnsi="FrankRuehl" w:cs="FrankRuehl"/>
          <w:sz w:val="28"/>
          <w:szCs w:val="28"/>
          <w:rtl/>
        </w:rPr>
        <w:t xml:space="preserve"> (16.11.2021); </w:t>
      </w:r>
      <w:hyperlink r:id="rId53" w:history="1">
        <w:r w:rsidR="00DA3E1B" w:rsidRPr="00DA3E1B">
          <w:rPr>
            <w:rFonts w:ascii="FrankRuehl" w:hAnsi="FrankRuehl" w:cs="FrankRuehl"/>
            <w:color w:val="0000FF"/>
            <w:sz w:val="28"/>
            <w:szCs w:val="28"/>
            <w:u w:val="single"/>
            <w:rtl/>
          </w:rPr>
          <w:t>ת"פ 51797-01-21</w:t>
        </w:r>
      </w:hyperlink>
      <w:r>
        <w:rPr>
          <w:rFonts w:ascii="FrankRuehl" w:hAnsi="FrankRuehl" w:cs="FrankRuehl"/>
          <w:sz w:val="28"/>
          <w:szCs w:val="28"/>
          <w:rtl/>
        </w:rPr>
        <w:t xml:space="preserve"> </w:t>
      </w:r>
      <w:r>
        <w:rPr>
          <w:rFonts w:ascii="Miriam" w:hAnsi="Miriam" w:cs="Miriam"/>
          <w:rtl/>
        </w:rPr>
        <w:t>מדינת ישראל נ' יוסף</w:t>
      </w:r>
      <w:r>
        <w:rPr>
          <w:rFonts w:ascii="FrankRuehl" w:hAnsi="FrankRuehl" w:cs="FrankRuehl"/>
          <w:sz w:val="28"/>
          <w:szCs w:val="28"/>
          <w:rtl/>
        </w:rPr>
        <w:t xml:space="preserve"> (27.6.2022); </w:t>
      </w:r>
      <w:hyperlink r:id="rId54" w:history="1">
        <w:r w:rsidR="00DA3E1B" w:rsidRPr="00DA3E1B">
          <w:rPr>
            <w:rFonts w:ascii="FrankRuehl" w:hAnsi="FrankRuehl" w:cs="FrankRuehl"/>
            <w:color w:val="0000FF"/>
            <w:sz w:val="28"/>
            <w:szCs w:val="28"/>
            <w:u w:val="single"/>
            <w:rtl/>
          </w:rPr>
          <w:t>ת"פ 686-05-21</w:t>
        </w:r>
      </w:hyperlink>
      <w:r>
        <w:rPr>
          <w:rFonts w:ascii="FrankRuehl" w:hAnsi="FrankRuehl" w:cs="FrankRuehl"/>
          <w:sz w:val="28"/>
          <w:szCs w:val="28"/>
          <w:rtl/>
        </w:rPr>
        <w:t xml:space="preserve"> </w:t>
      </w:r>
      <w:r>
        <w:rPr>
          <w:rFonts w:ascii="Miriam" w:hAnsi="Miriam" w:cs="Miriam"/>
          <w:rtl/>
        </w:rPr>
        <w:t>מדינת ישראל נ' סופיוב</w:t>
      </w:r>
      <w:r>
        <w:rPr>
          <w:rFonts w:ascii="FrankRuehl" w:hAnsi="FrankRuehl" w:cs="FrankRuehl"/>
          <w:sz w:val="28"/>
          <w:szCs w:val="28"/>
          <w:rtl/>
        </w:rPr>
        <w:t xml:space="preserve"> (28.11.2022). </w:t>
      </w:r>
    </w:p>
    <w:p w14:paraId="52E811AC"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2BFAE60D"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להשלמת התמונה אומר כי עיינתי ביתר פסקי הדין אליהם הפנו הצדדים ולא מצאתי כי יש בהם לשנות מהקו שתואר מעלה, ויש לזכור כי מדיניות הענישה הנהוגה היא רק אחד מבין הפרמטרים שעל בית המשפט לשקול בעת קביעת גבולות המתחם ובסופו של דבר הדגש מושם על נסיבות ביצוע העבירות. </w:t>
      </w:r>
    </w:p>
    <w:p w14:paraId="53585025"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7E0789F5"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ובעניינינו שלנו, נסיבות ביצוע העבירות הן כה חריגות בנוף התיקים המובאים בדרך כלל לפתחו של בית המשפט ומצדיקות קביעת מתחם קל בהרבה מהמקובל. אסביר.  </w:t>
      </w:r>
    </w:p>
    <w:p w14:paraId="02447923" w14:textId="77777777" w:rsidR="00A642D7" w:rsidRPr="00A247FF" w:rsidRDefault="00A642D7" w:rsidP="00A642D7">
      <w:pPr>
        <w:pStyle w:val="aa"/>
        <w:tabs>
          <w:tab w:val="left" w:pos="-58"/>
        </w:tabs>
        <w:spacing w:before="100" w:beforeAutospacing="1" w:after="120" w:line="360" w:lineRule="auto"/>
        <w:ind w:left="-58"/>
        <w:jc w:val="both"/>
        <w:rPr>
          <w:rFonts w:cs="FrankRuehl"/>
          <w:szCs w:val="28"/>
        </w:rPr>
      </w:pPr>
    </w:p>
    <w:p w14:paraId="17E7F461"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cs="FrankRuehl"/>
          <w:szCs w:val="28"/>
        </w:rPr>
      </w:pPr>
      <w:r>
        <w:rPr>
          <w:rFonts w:ascii="FrankRuehl" w:hAnsi="FrankRuehl" w:cs="FrankRuehl"/>
          <w:sz w:val="28"/>
          <w:szCs w:val="28"/>
          <w:rtl/>
        </w:rPr>
        <w:t xml:space="preserve">הנאשם </w:t>
      </w:r>
      <w:r>
        <w:rPr>
          <w:rFonts w:ascii="FrankRuehl" w:hAnsi="FrankRuehl" w:cs="FrankRuehl" w:hint="cs"/>
          <w:sz w:val="28"/>
          <w:szCs w:val="28"/>
          <w:rtl/>
        </w:rPr>
        <w:t xml:space="preserve">אכן </w:t>
      </w:r>
      <w:r>
        <w:rPr>
          <w:rFonts w:ascii="FrankRuehl" w:hAnsi="FrankRuehl" w:cs="FrankRuehl"/>
          <w:sz w:val="28"/>
          <w:szCs w:val="28"/>
          <w:rtl/>
        </w:rPr>
        <w:t xml:space="preserve">ממוקם בראש שרשרת חוליית הסמים, ולייצור ולגידול הסמים קדמו תכנון, מחשבה והכנה רבה. אלו באו לידי ביטוי בין השאר בשכירת דירה וברכישת אביזרים וציוד מעבדה יקר ערך, ובכלל זה, </w:t>
      </w:r>
      <w:r>
        <w:rPr>
          <w:rFonts w:ascii="FrankRuehl" w:hAnsi="FrankRuehl" w:cs="FrankRuehl"/>
          <w:noProof/>
          <w:sz w:val="28"/>
          <w:szCs w:val="28"/>
          <w:rtl/>
        </w:rPr>
        <w:t>חומרי דישון, בהם 9 נורות, 41 שנאים ושני מפוחים. אולם, בניגוד למקרים רבים אחרים, הנאשם ביצע את העבירות בעצמו, לאחר שלמד על גידול הסמים במרשתת, הוא לא נעזר באחרים לצורך הקמת המעבדה או באנשי קש לצורך שכירת הבית והוא אף לא התחבר לחשמל בדרך פיראטית כדי להסוות את מעשי גידול הסמים.</w:t>
      </w:r>
    </w:p>
    <w:p w14:paraId="3896FDB7" w14:textId="77777777" w:rsidR="00A642D7" w:rsidRPr="00A247FF" w:rsidRDefault="00A642D7" w:rsidP="00A642D7">
      <w:pPr>
        <w:pStyle w:val="aa"/>
        <w:rPr>
          <w:rFonts w:cs="FrankRuehl"/>
          <w:szCs w:val="28"/>
          <w:rtl/>
        </w:rPr>
      </w:pPr>
    </w:p>
    <w:p w14:paraId="1390231C" w14:textId="77777777" w:rsidR="00A642D7" w:rsidRPr="00A247FF" w:rsidRDefault="00A642D7" w:rsidP="00A642D7">
      <w:pPr>
        <w:pStyle w:val="aa"/>
        <w:numPr>
          <w:ilvl w:val="0"/>
          <w:numId w:val="1"/>
        </w:numPr>
        <w:tabs>
          <w:tab w:val="left" w:pos="-58"/>
        </w:tabs>
        <w:spacing w:before="100" w:beforeAutospacing="1" w:after="120" w:line="360" w:lineRule="auto"/>
        <w:ind w:left="-58" w:firstLine="0"/>
        <w:jc w:val="both"/>
        <w:rPr>
          <w:rFonts w:cs="FrankRuehl"/>
          <w:sz w:val="28"/>
          <w:szCs w:val="28"/>
        </w:rPr>
      </w:pPr>
      <w:r w:rsidRPr="00A247FF">
        <w:rPr>
          <w:rFonts w:ascii="FrankRuehl" w:hAnsi="FrankRuehl" w:cs="FrankRuehl"/>
          <w:noProof/>
          <w:sz w:val="28"/>
          <w:szCs w:val="28"/>
          <w:rtl/>
        </w:rPr>
        <w:t xml:space="preserve">בהמשך גידל הנאשם 916 שתילים, במשקל של כ- 9.158 ק"ג נטו (בחדר הראשון גידל 62 שתילים במשקל 4.34 ק"ג; בחדר השני גידל 20 שתילים במשקל 2.48 ק"ג; בחדר השלישי גידל 264 שתילים במשקל 1.358 ק"ג; בקומת המרתף גידל 570 שתילים במשקל 0.98 ק"ג). </w:t>
      </w:r>
      <w:r w:rsidRPr="00A247FF">
        <w:rPr>
          <w:rFonts w:ascii="FrankRuehl" w:hAnsi="FrankRuehl" w:cs="FrankRuehl"/>
          <w:sz w:val="28"/>
          <w:szCs w:val="28"/>
          <w:rtl/>
        </w:rPr>
        <w:t xml:space="preserve">בהקשר זה, יש לתת את הדעת לכך שלא מדובר בכמות סם מוגמרת, וכמות השתילים הגדולה מלמדת הן על הנזק שצפוי היה להיגרם בשל זליגת הסמים לציבור המשתמשים הפוטנציאליים והן על הרווח שעתיד היה הנאשם להפיק ממכירתם של הסמים. </w:t>
      </w:r>
    </w:p>
    <w:p w14:paraId="1B9FA38B" w14:textId="77777777" w:rsidR="00A642D7" w:rsidRPr="00A247FF" w:rsidRDefault="00A642D7" w:rsidP="00A642D7">
      <w:pPr>
        <w:pStyle w:val="aa"/>
        <w:tabs>
          <w:tab w:val="left" w:pos="-58"/>
        </w:tabs>
        <w:spacing w:before="100" w:beforeAutospacing="1" w:after="120"/>
        <w:ind w:left="-58"/>
        <w:jc w:val="both"/>
        <w:rPr>
          <w:rFonts w:cs="FrankRuehl"/>
          <w:sz w:val="28"/>
          <w:szCs w:val="28"/>
        </w:rPr>
      </w:pPr>
    </w:p>
    <w:p w14:paraId="5651D214"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sidRPr="00EE38B7">
        <w:rPr>
          <w:rFonts w:ascii="FrankRuehl" w:hAnsi="FrankRuehl" w:cs="FrankRuehl"/>
          <w:sz w:val="28"/>
          <w:szCs w:val="28"/>
          <w:rtl/>
        </w:rPr>
        <w:t>עם זאת, גודלם של השתילים מלמד על כך שמדובר בגידול חדש יחסית. וחשוב מכך וזה העיקר, העביר</w:t>
      </w:r>
      <w:r w:rsidRPr="00EE38B7">
        <w:rPr>
          <w:rFonts w:ascii="FrankRuehl" w:hAnsi="FrankRuehl" w:cs="FrankRuehl" w:hint="cs"/>
          <w:sz w:val="28"/>
          <w:szCs w:val="28"/>
          <w:rtl/>
        </w:rPr>
        <w:t>ות ה</w:t>
      </w:r>
      <w:r w:rsidRPr="00EE38B7">
        <w:rPr>
          <w:rFonts w:ascii="FrankRuehl" w:hAnsi="FrankRuehl" w:cs="FrankRuehl"/>
          <w:sz w:val="28"/>
          <w:szCs w:val="28"/>
          <w:rtl/>
        </w:rPr>
        <w:t>ופסק</w:t>
      </w:r>
      <w:r w:rsidRPr="00EE38B7">
        <w:rPr>
          <w:rFonts w:ascii="FrankRuehl" w:hAnsi="FrankRuehl" w:cs="FrankRuehl" w:hint="cs"/>
          <w:sz w:val="28"/>
          <w:szCs w:val="28"/>
          <w:rtl/>
        </w:rPr>
        <w:t>ו</w:t>
      </w:r>
      <w:r w:rsidRPr="00EE38B7">
        <w:rPr>
          <w:rFonts w:ascii="FrankRuehl" w:hAnsi="FrankRuehl" w:cs="FrankRuehl"/>
          <w:sz w:val="28"/>
          <w:szCs w:val="28"/>
          <w:rtl/>
        </w:rPr>
        <w:t xml:space="preserve"> בטרם הניבו השתילים כמות סם מספקת למכירתם בשוק החופשי</w:t>
      </w:r>
      <w:r w:rsidRPr="00EE38B7">
        <w:rPr>
          <w:rFonts w:ascii="FrankRuehl" w:hAnsi="FrankRuehl" w:cs="FrankRuehl" w:hint="cs"/>
          <w:sz w:val="28"/>
          <w:szCs w:val="28"/>
          <w:rtl/>
        </w:rPr>
        <w:t>, ולא נתפסו סמים מוכנים להפצה</w:t>
      </w:r>
      <w:r w:rsidRPr="00EE38B7">
        <w:rPr>
          <w:rFonts w:ascii="FrankRuehl" w:hAnsi="FrankRuehl" w:cs="FrankRuehl"/>
          <w:sz w:val="28"/>
          <w:szCs w:val="28"/>
          <w:rtl/>
        </w:rPr>
        <w:t xml:space="preserve"> (</w:t>
      </w:r>
      <w:r w:rsidRPr="00EE38B7">
        <w:rPr>
          <w:rFonts w:ascii="Miriam" w:hAnsi="Miriam" w:cs="Miriam"/>
          <w:rtl/>
        </w:rPr>
        <w:t>טעת/1</w:t>
      </w:r>
      <w:r w:rsidRPr="00EE38B7">
        <w:rPr>
          <w:rFonts w:ascii="FrankRuehl" w:hAnsi="FrankRuehl" w:cs="FrankRuehl"/>
          <w:sz w:val="28"/>
          <w:szCs w:val="28"/>
          <w:rtl/>
        </w:rPr>
        <w:t>). בשונה ממקרים אחרים</w:t>
      </w:r>
      <w:r w:rsidRPr="00EE38B7">
        <w:rPr>
          <w:rFonts w:ascii="FrankRuehl" w:hAnsi="FrankRuehl" w:cs="FrankRuehl" w:hint="cs"/>
          <w:sz w:val="28"/>
          <w:szCs w:val="28"/>
          <w:rtl/>
        </w:rPr>
        <w:t>,</w:t>
      </w:r>
      <w:r w:rsidRPr="00EE38B7">
        <w:rPr>
          <w:rFonts w:ascii="FrankRuehl" w:hAnsi="FrankRuehl" w:cs="FrankRuehl"/>
          <w:sz w:val="28"/>
          <w:szCs w:val="28"/>
          <w:rtl/>
        </w:rPr>
        <w:t xml:space="preserve"> בהם התוכנית העבריינית מופסקת הודות למאמצים שמשקיעות רשויות האכיפה. במקרה דנן, הנאשם הוא זה שפעל בעצמו וביוזמתו לסיכול המיזם העברייני </w:t>
      </w:r>
      <w:r w:rsidRPr="00EE38B7">
        <w:rPr>
          <w:rFonts w:ascii="FrankRuehl" w:hAnsi="FrankRuehl" w:cs="FrankRuehl" w:hint="cs"/>
          <w:sz w:val="28"/>
          <w:szCs w:val="28"/>
          <w:rtl/>
        </w:rPr>
        <w:t xml:space="preserve">שהקים במיטב כספו </w:t>
      </w:r>
      <w:r w:rsidRPr="00EE38B7">
        <w:rPr>
          <w:rFonts w:ascii="FrankRuehl" w:hAnsi="FrankRuehl" w:cs="FrankRuehl"/>
          <w:sz w:val="28"/>
          <w:szCs w:val="28"/>
          <w:rtl/>
        </w:rPr>
        <w:t>משום החר</w:t>
      </w:r>
      <w:r>
        <w:rPr>
          <w:rFonts w:ascii="FrankRuehl" w:hAnsi="FrankRuehl" w:cs="FrankRuehl"/>
          <w:sz w:val="28"/>
          <w:szCs w:val="28"/>
          <w:rtl/>
        </w:rPr>
        <w:t>טה הכבדה שחש עקב מעשיו האסורים.</w:t>
      </w:r>
    </w:p>
    <w:p w14:paraId="1BF52727" w14:textId="77777777" w:rsidR="00A642D7" w:rsidRPr="00EE38B7" w:rsidRDefault="00A642D7" w:rsidP="00A642D7">
      <w:pPr>
        <w:pStyle w:val="aa"/>
        <w:rPr>
          <w:rFonts w:ascii="FrankRuehl" w:hAnsi="FrankRuehl" w:cs="FrankRuehl"/>
          <w:sz w:val="28"/>
          <w:szCs w:val="28"/>
          <w:rtl/>
        </w:rPr>
      </w:pPr>
    </w:p>
    <w:p w14:paraId="26EBCD80"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sidRPr="00EE38B7">
        <w:rPr>
          <w:rFonts w:ascii="FrankRuehl" w:hAnsi="FrankRuehl" w:cs="FrankRuehl"/>
          <w:sz w:val="28"/>
          <w:szCs w:val="28"/>
          <w:rtl/>
        </w:rPr>
        <w:t xml:space="preserve">לנאשם הייתה שליטה מלאה על </w:t>
      </w:r>
      <w:r w:rsidRPr="00EE38B7">
        <w:rPr>
          <w:rFonts w:ascii="FrankRuehl" w:hAnsi="FrankRuehl" w:cs="FrankRuehl" w:hint="cs"/>
          <w:sz w:val="28"/>
          <w:szCs w:val="28"/>
          <w:rtl/>
        </w:rPr>
        <w:t>המעבדה</w:t>
      </w:r>
      <w:r w:rsidRPr="00EE38B7">
        <w:rPr>
          <w:rFonts w:ascii="FrankRuehl" w:hAnsi="FrankRuehl" w:cs="FrankRuehl"/>
          <w:sz w:val="28"/>
          <w:szCs w:val="28"/>
          <w:rtl/>
        </w:rPr>
        <w:t xml:space="preserve">, הוא יכול היה לפעול להשמיד את הסמים ולמכור את </w:t>
      </w:r>
      <w:r w:rsidRPr="00EE38B7">
        <w:rPr>
          <w:rFonts w:ascii="FrankRuehl" w:hAnsi="FrankRuehl" w:cs="FrankRuehl" w:hint="cs"/>
          <w:sz w:val="28"/>
          <w:szCs w:val="28"/>
          <w:rtl/>
        </w:rPr>
        <w:t>ה</w:t>
      </w:r>
      <w:r w:rsidRPr="00EE38B7">
        <w:rPr>
          <w:rFonts w:ascii="FrankRuehl" w:hAnsi="FrankRuehl" w:cs="FrankRuehl"/>
          <w:sz w:val="28"/>
          <w:szCs w:val="28"/>
          <w:rtl/>
        </w:rPr>
        <w:t xml:space="preserve">ציוד </w:t>
      </w:r>
      <w:r w:rsidRPr="00EE38B7">
        <w:rPr>
          <w:rFonts w:ascii="FrankRuehl" w:hAnsi="FrankRuehl" w:cs="FrankRuehl" w:hint="cs"/>
          <w:sz w:val="28"/>
          <w:szCs w:val="28"/>
          <w:rtl/>
        </w:rPr>
        <w:t xml:space="preserve">ששימש להקמתה של המעבדה, </w:t>
      </w:r>
      <w:r w:rsidRPr="00EE38B7">
        <w:rPr>
          <w:rFonts w:ascii="FrankRuehl" w:hAnsi="FrankRuehl" w:cs="FrankRuehl"/>
          <w:sz w:val="28"/>
          <w:szCs w:val="28"/>
          <w:rtl/>
        </w:rPr>
        <w:t xml:space="preserve">וסביר מאוד להניח כי באם היה נוהג בצורה זו, מעשיו הרעים לא היו נודעים ברבים. אך הנאשם פעל בניגוד לאינטרס האישי שלו, בחר בפעולה ממשית אחרת להפסקת </w:t>
      </w:r>
      <w:r>
        <w:rPr>
          <w:rFonts w:ascii="FrankRuehl" w:hAnsi="FrankRuehl" w:cs="FrankRuehl" w:hint="cs"/>
          <w:sz w:val="28"/>
          <w:szCs w:val="28"/>
          <w:rtl/>
        </w:rPr>
        <w:t xml:space="preserve">מעשי </w:t>
      </w:r>
      <w:r w:rsidRPr="00EE38B7">
        <w:rPr>
          <w:rFonts w:ascii="FrankRuehl" w:hAnsi="FrankRuehl" w:cs="FrankRuehl"/>
          <w:sz w:val="28"/>
          <w:szCs w:val="28"/>
          <w:rtl/>
        </w:rPr>
        <w:t xml:space="preserve">העבירה ועשה כמיטב יכולתו לתקן את תוצאות </w:t>
      </w:r>
      <w:r>
        <w:rPr>
          <w:rFonts w:ascii="FrankRuehl" w:hAnsi="FrankRuehl" w:cs="FrankRuehl" w:hint="cs"/>
          <w:sz w:val="28"/>
          <w:szCs w:val="28"/>
          <w:rtl/>
        </w:rPr>
        <w:t>ה</w:t>
      </w:r>
      <w:r w:rsidRPr="00EE38B7">
        <w:rPr>
          <w:rFonts w:ascii="FrankRuehl" w:hAnsi="FrankRuehl" w:cs="FrankRuehl"/>
          <w:sz w:val="28"/>
          <w:szCs w:val="28"/>
          <w:rtl/>
        </w:rPr>
        <w:t xml:space="preserve">מעשים. הוא הודיע לרשויות על העבירות, התוודה ללא כחל וסרק על מעשיו האסורים, על אף הידיעה שבעתיד יהיה עליו לשאת בתוצאות מעשיו והעונש צפוי להיות כבד. </w:t>
      </w:r>
    </w:p>
    <w:p w14:paraId="3F37622B" w14:textId="77777777" w:rsidR="00A642D7" w:rsidRPr="00EE38B7" w:rsidRDefault="00A642D7" w:rsidP="00A642D7">
      <w:pPr>
        <w:pStyle w:val="aa"/>
        <w:rPr>
          <w:rFonts w:ascii="FrankRuehl" w:hAnsi="FrankRuehl" w:cs="FrankRuehl"/>
          <w:sz w:val="28"/>
          <w:szCs w:val="28"/>
          <w:rtl/>
        </w:rPr>
      </w:pPr>
    </w:p>
    <w:p w14:paraId="4ABDEE14" w14:textId="77777777" w:rsidR="00A642D7" w:rsidRPr="00EE38B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sidRPr="00EE38B7">
        <w:rPr>
          <w:rFonts w:ascii="FrankRuehl" w:hAnsi="FrankRuehl" w:cs="FrankRuehl"/>
          <w:sz w:val="28"/>
          <w:szCs w:val="28"/>
          <w:rtl/>
        </w:rPr>
        <w:t xml:space="preserve">צודק ב"כ הנאשם כי התנהלות זו היא חריגה </w:t>
      </w:r>
      <w:r>
        <w:rPr>
          <w:rFonts w:ascii="FrankRuehl" w:hAnsi="FrankRuehl" w:cs="FrankRuehl" w:hint="cs"/>
          <w:sz w:val="28"/>
          <w:szCs w:val="28"/>
          <w:rtl/>
        </w:rPr>
        <w:t xml:space="preserve">ביותר </w:t>
      </w:r>
      <w:r w:rsidRPr="00EE38B7">
        <w:rPr>
          <w:rFonts w:ascii="FrankRuehl" w:hAnsi="FrankRuehl" w:cs="FrankRuehl"/>
          <w:sz w:val="28"/>
          <w:szCs w:val="28"/>
          <w:rtl/>
        </w:rPr>
        <w:t>ואינה מאפיינת בדרך כלל עבריינים</w:t>
      </w:r>
      <w:r w:rsidRPr="00EE38B7">
        <w:rPr>
          <w:rFonts w:ascii="FrankRuehl" w:hAnsi="FrankRuehl" w:cs="FrankRuehl" w:hint="cs"/>
          <w:sz w:val="28"/>
          <w:szCs w:val="28"/>
          <w:rtl/>
        </w:rPr>
        <w:t xml:space="preserve">, ובצדק רב הלין </w:t>
      </w:r>
      <w:r>
        <w:rPr>
          <w:rFonts w:ascii="FrankRuehl" w:hAnsi="FrankRuehl" w:cs="FrankRuehl" w:hint="cs"/>
          <w:sz w:val="28"/>
          <w:szCs w:val="28"/>
          <w:rtl/>
        </w:rPr>
        <w:t xml:space="preserve">ב"כ הנאשם </w:t>
      </w:r>
      <w:r w:rsidRPr="00EE38B7">
        <w:rPr>
          <w:rFonts w:ascii="FrankRuehl" w:hAnsi="FrankRuehl" w:cs="FrankRuehl" w:hint="cs"/>
          <w:sz w:val="28"/>
          <w:szCs w:val="28"/>
          <w:rtl/>
        </w:rPr>
        <w:t xml:space="preserve">על </w:t>
      </w:r>
      <w:r>
        <w:rPr>
          <w:rFonts w:ascii="FrankRuehl" w:hAnsi="FrankRuehl" w:cs="FrankRuehl" w:hint="cs"/>
          <w:sz w:val="28"/>
          <w:szCs w:val="28"/>
          <w:rtl/>
        </w:rPr>
        <w:t>ה</w:t>
      </w:r>
      <w:r w:rsidRPr="00EE38B7">
        <w:rPr>
          <w:rFonts w:ascii="FrankRuehl" w:hAnsi="FrankRuehl" w:cs="FrankRuehl" w:hint="cs"/>
          <w:sz w:val="28"/>
          <w:szCs w:val="28"/>
          <w:rtl/>
        </w:rPr>
        <w:t>מאשימה</w:t>
      </w:r>
      <w:r>
        <w:rPr>
          <w:rFonts w:ascii="FrankRuehl" w:hAnsi="FrankRuehl" w:cs="FrankRuehl" w:hint="cs"/>
          <w:sz w:val="28"/>
          <w:szCs w:val="28"/>
          <w:rtl/>
        </w:rPr>
        <w:t>,</w:t>
      </w:r>
      <w:r w:rsidRPr="00EE38B7">
        <w:rPr>
          <w:rFonts w:ascii="FrankRuehl" w:hAnsi="FrankRuehl" w:cs="FrankRuehl" w:hint="cs"/>
          <w:sz w:val="28"/>
          <w:szCs w:val="28"/>
          <w:rtl/>
        </w:rPr>
        <w:t xml:space="preserve"> שלא </w:t>
      </w:r>
      <w:r>
        <w:rPr>
          <w:rFonts w:ascii="FrankRuehl" w:hAnsi="FrankRuehl" w:cs="FrankRuehl" w:hint="cs"/>
          <w:sz w:val="28"/>
          <w:szCs w:val="28"/>
          <w:rtl/>
        </w:rPr>
        <w:t xml:space="preserve">מצאה לנכון להביא </w:t>
      </w:r>
      <w:r w:rsidRPr="00EE38B7">
        <w:rPr>
          <w:rFonts w:ascii="FrankRuehl" w:hAnsi="FrankRuehl" w:cs="FrankRuehl" w:hint="cs"/>
          <w:sz w:val="28"/>
          <w:szCs w:val="28"/>
          <w:rtl/>
        </w:rPr>
        <w:t xml:space="preserve">פרמטר קריטי זה במניין שיקוליה בעת שגיבשה עמדתה ביחס למתחם הראוי, ואף לא </w:t>
      </w:r>
      <w:r>
        <w:rPr>
          <w:rFonts w:ascii="FrankRuehl" w:hAnsi="FrankRuehl" w:cs="FrankRuehl" w:hint="cs"/>
          <w:sz w:val="28"/>
          <w:szCs w:val="28"/>
          <w:rtl/>
        </w:rPr>
        <w:t xml:space="preserve">מצאה לנכון </w:t>
      </w:r>
      <w:r w:rsidRPr="00EE38B7">
        <w:rPr>
          <w:rFonts w:ascii="FrankRuehl" w:hAnsi="FrankRuehl" w:cs="FrankRuehl" w:hint="cs"/>
          <w:sz w:val="28"/>
          <w:szCs w:val="28"/>
          <w:rtl/>
        </w:rPr>
        <w:t>להזכיר פרמטר זה בטיעוניה לעונש</w:t>
      </w:r>
      <w:r>
        <w:rPr>
          <w:rFonts w:ascii="FrankRuehl" w:hAnsi="FrankRuehl" w:cs="FrankRuehl" w:hint="cs"/>
          <w:sz w:val="28"/>
          <w:szCs w:val="28"/>
          <w:rtl/>
        </w:rPr>
        <w:t>,</w:t>
      </w:r>
      <w:r w:rsidRPr="00EE38B7">
        <w:rPr>
          <w:rFonts w:ascii="FrankRuehl" w:hAnsi="FrankRuehl" w:cs="FrankRuehl" w:hint="cs"/>
          <w:sz w:val="28"/>
          <w:szCs w:val="28"/>
          <w:rtl/>
        </w:rPr>
        <w:t xml:space="preserve"> אפילו לא בחצי מילה. </w:t>
      </w:r>
    </w:p>
    <w:p w14:paraId="736342AA"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420165F3"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בנסיבות העניין, התוכנית העבריינית כבר יצאה לפעול ולכן הנאשם לא יוכל לזכות בפטור עקב חרטה. עם זאת, יש לתת משקל מוגבר לעובדה כי החרטה של הנאשם היא זו שהובילה להפסקת הפעילות העבריינית ותרמה באופן ממשי למניעת תוצאות המעשים. דברים אלו נכונים בפרט שהנאשם גידל את הסמים ב</w:t>
      </w:r>
      <w:r>
        <w:rPr>
          <w:rFonts w:ascii="FrankRuehl" w:hAnsi="FrankRuehl" w:cs="FrankRuehl" w:hint="cs"/>
          <w:sz w:val="28"/>
          <w:szCs w:val="28"/>
          <w:rtl/>
        </w:rPr>
        <w:t xml:space="preserve">כוונה </w:t>
      </w:r>
      <w:r>
        <w:rPr>
          <w:rFonts w:ascii="FrankRuehl" w:hAnsi="FrankRuehl" w:cs="FrankRuehl"/>
          <w:sz w:val="28"/>
          <w:szCs w:val="28"/>
          <w:rtl/>
        </w:rPr>
        <w:t xml:space="preserve">להשיג מטרה מסוימת, דהיינו, גידול כמות נכבדה של סמים </w:t>
      </w:r>
      <w:r>
        <w:rPr>
          <w:rFonts w:ascii="FrankRuehl" w:hAnsi="FrankRuehl" w:cs="FrankRuehl" w:hint="cs"/>
          <w:sz w:val="28"/>
          <w:szCs w:val="28"/>
          <w:rtl/>
        </w:rPr>
        <w:t xml:space="preserve">שנועדו למכירה </w:t>
      </w:r>
      <w:r>
        <w:rPr>
          <w:rFonts w:ascii="FrankRuehl" w:hAnsi="FrankRuehl" w:cs="FrankRuehl"/>
          <w:sz w:val="28"/>
          <w:szCs w:val="28"/>
          <w:rtl/>
        </w:rPr>
        <w:t xml:space="preserve">לציבור המשתמשים ורצון לגרוף כסף קל ומהיר, גידול הסמים לא היווה מטרה העומדת בפני עצמה. לאחר שהחל תהליך הגידול, פעל הנאשם לסכל את הגשמת המטרה המקורית, ומשום שמעשה הגידול לא הבשיל במלואו, לא נגרם כל נזק משמעותי לציבור, כך שחומרת העבירה שהושלמה היא פחותה. </w:t>
      </w:r>
    </w:p>
    <w:p w14:paraId="4AB0EE39"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00AFDD79"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מכיוון שמידת האשם של הנאשם היא מופחתת ואף משיקולים של מתן תמריץ לעבריינים להפסקת המעשה הפלילי, אין להעניש את הנאשם באותה רמת חומרה שהיה נענש אחר בנסיבותיו שלא פעל להפסקת העבירה. במילים פשוטות, הרצון לעודד נאשמים שלא להשלים את התוכנית העבריינית צריך להשליך במידה </w:t>
      </w:r>
      <w:r>
        <w:rPr>
          <w:rFonts w:ascii="FrankRuehl" w:hAnsi="FrankRuehl" w:cs="FrankRuehl" w:hint="cs"/>
          <w:sz w:val="28"/>
          <w:szCs w:val="28"/>
          <w:rtl/>
        </w:rPr>
        <w:t>רבה</w:t>
      </w:r>
      <w:r>
        <w:rPr>
          <w:rFonts w:ascii="FrankRuehl" w:hAnsi="FrankRuehl" w:cs="FrankRuehl"/>
          <w:sz w:val="28"/>
          <w:szCs w:val="28"/>
          <w:rtl/>
        </w:rPr>
        <w:t xml:space="preserve"> גם על גבולות מתחם הענישה.  </w:t>
      </w:r>
    </w:p>
    <w:p w14:paraId="75D0197C" w14:textId="77777777" w:rsidR="00A642D7" w:rsidRPr="00A247FF" w:rsidRDefault="00A642D7" w:rsidP="00A642D7">
      <w:pPr>
        <w:pStyle w:val="aa"/>
        <w:tabs>
          <w:tab w:val="left" w:pos="-58"/>
        </w:tabs>
        <w:spacing w:before="100" w:beforeAutospacing="1" w:after="120"/>
        <w:ind w:left="-58"/>
        <w:jc w:val="both"/>
        <w:rPr>
          <w:rFonts w:ascii="FrankRuehl" w:hAnsi="FrankRuehl" w:cs="FrankRuehl"/>
          <w:sz w:val="28"/>
          <w:szCs w:val="28"/>
        </w:rPr>
      </w:pPr>
    </w:p>
    <w:p w14:paraId="4B6EA288"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cs="FrankRuehl"/>
          <w:sz w:val="28"/>
          <w:szCs w:val="28"/>
          <w:rtl/>
        </w:rPr>
        <w:t xml:space="preserve">לאור כל האמור ובהתחשב בנסיבות ביצוע העבירות, מידת הפגיעה בערכים המוגנים ומדיניות הענישה הנהוגה, מצאתי לקבוע את מתחם העונש בין 8 חודשי מאסר ועד 24 חודשים לצד רכיבי ענישה נוספים ובהם קנס, שנועד ללמד כי </w:t>
      </w:r>
      <w:r>
        <w:rPr>
          <w:rFonts w:ascii="FrankRuehl" w:hAnsi="FrankRuehl" w:cs="FrankRuehl"/>
          <w:sz w:val="28"/>
          <w:szCs w:val="28"/>
          <w:rtl/>
        </w:rPr>
        <w:t xml:space="preserve">אין תועלת בביצוע עבירות מעין אלו. </w:t>
      </w:r>
      <w:r>
        <w:rPr>
          <w:rFonts w:cs="FrankRuehl"/>
          <w:szCs w:val="28"/>
          <w:rtl/>
        </w:rPr>
        <w:t>כמו כן בקביעת שיעור הקנס יש להתחשב במצבו הכלכלי של הנאשם.</w:t>
      </w:r>
    </w:p>
    <w:p w14:paraId="6E5E23C7" w14:textId="77777777" w:rsidR="00A642D7" w:rsidRPr="00A247FF" w:rsidRDefault="00A642D7" w:rsidP="00A642D7">
      <w:pPr>
        <w:pStyle w:val="aa"/>
        <w:tabs>
          <w:tab w:val="left" w:pos="-58"/>
        </w:tabs>
        <w:spacing w:before="100" w:beforeAutospacing="1" w:after="120"/>
        <w:ind w:left="-58"/>
        <w:jc w:val="both"/>
        <w:rPr>
          <w:rFonts w:ascii="FrankRuehl" w:hAnsi="FrankRuehl" w:cs="FrankRuehl"/>
          <w:sz w:val="28"/>
          <w:szCs w:val="28"/>
        </w:rPr>
      </w:pPr>
    </w:p>
    <w:p w14:paraId="2C8F8A79" w14:textId="77777777" w:rsidR="00A642D7" w:rsidRDefault="00A642D7" w:rsidP="00A642D7">
      <w:pPr>
        <w:pStyle w:val="aa"/>
        <w:tabs>
          <w:tab w:val="left" w:pos="-58"/>
        </w:tabs>
        <w:spacing w:before="100" w:beforeAutospacing="1" w:after="120" w:line="360" w:lineRule="auto"/>
        <w:ind w:left="-58"/>
        <w:jc w:val="both"/>
        <w:rPr>
          <w:rFonts w:ascii="FrankRuehl" w:hAnsi="FrankRuehl" w:cs="FrankRuehl"/>
          <w:sz w:val="28"/>
          <w:szCs w:val="28"/>
        </w:rPr>
      </w:pPr>
      <w:r>
        <w:rPr>
          <w:rFonts w:ascii="Miriam" w:hAnsi="Miriam" w:cs="Miriam"/>
          <w:rtl/>
        </w:rPr>
        <w:t>גזירת העונש המתאים לנאשם</w:t>
      </w:r>
    </w:p>
    <w:p w14:paraId="19BFFD21"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755EA52A"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לא מצאתי נסיבות לחומרה או לקולה המצדיקות חריגה ממתחם העונש ההולם. לפיכך, יש לקבוע עונשו של הנאשם בתוך המתחם תוך התחשבות בנסיבות שאינן קשורות בביצוע העבירה (</w:t>
      </w:r>
      <w:hyperlink r:id="rId55" w:history="1">
        <w:r w:rsidR="00007F88" w:rsidRPr="00007F88">
          <w:rPr>
            <w:rStyle w:val="Hyperlink"/>
            <w:rFonts w:ascii="FrankRuehl" w:hAnsi="FrankRuehl" w:cs="FrankRuehl"/>
            <w:sz w:val="28"/>
            <w:szCs w:val="28"/>
            <w:rtl/>
          </w:rPr>
          <w:t>סעיף 40יא'</w:t>
        </w:r>
      </w:hyperlink>
      <w:r>
        <w:rPr>
          <w:rFonts w:ascii="FrankRuehl" w:hAnsi="FrankRuehl" w:cs="FrankRuehl"/>
          <w:sz w:val="28"/>
          <w:szCs w:val="28"/>
          <w:rtl/>
        </w:rPr>
        <w:t xml:space="preserve"> ל</w:t>
      </w:r>
      <w:hyperlink r:id="rId56" w:history="1">
        <w:r w:rsidR="00DA3E1B" w:rsidRPr="00DA3E1B">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כדלקמן: </w:t>
      </w:r>
    </w:p>
    <w:p w14:paraId="4AF335B7"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6F609840"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יליד 1982, רווק ללא ילדים, מתגורר בבית הוריו בכפר יונה. הנאשם השלים 12 שנות לימוד ושירת בצבא כתומך לחימה בחיל הצנחנים. הנאשם עובד מזה שנים רבות בתחום התקשורת כמתקין, תחילה כשכיר, בהמשך כמנהל אזור ומזה כשנה עצמאי בתחום. </w:t>
      </w:r>
    </w:p>
    <w:p w14:paraId="67BDC93B"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76DDD18B"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אין לחובת הנאשם הרשעות קודמות ומאז ביצוע העבירות בגינן נותן את הדין חלף זמן ניכר ולא עומדת נגדו כל טענה בפרק זמן זה. </w:t>
      </w:r>
    </w:p>
    <w:p w14:paraId="36BCBE07"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01D2E831"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לא רק שקיבל אחריות מלאה על מעשיו במשטרה ושיתף פעולה עם חוקריו באופן מלא, הוא נטל אחריות גם בבית המשפט והודה בכתב האישום מבלי שגובש הסדר לעניין העונש, והביע צער ובושה על מעשיו. היה בהודאה זו לחסוך זמן שיפוטי ניכר. </w:t>
      </w:r>
    </w:p>
    <w:p w14:paraId="13224485"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24AB55F2"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תסקירי המבחן כאמור בעלי אלמנטים חיובים וכבר </w:t>
      </w:r>
      <w:r>
        <w:rPr>
          <w:rFonts w:ascii="FrankRuehl" w:hAnsi="FrankRuehl" w:cs="FrankRuehl" w:hint="cs"/>
          <w:sz w:val="28"/>
          <w:szCs w:val="28"/>
          <w:rtl/>
        </w:rPr>
        <w:t>ב</w:t>
      </w:r>
      <w:r>
        <w:rPr>
          <w:rFonts w:ascii="FrankRuehl" w:hAnsi="FrankRuehl" w:cs="FrankRuehl"/>
          <w:sz w:val="28"/>
          <w:szCs w:val="28"/>
          <w:rtl/>
        </w:rPr>
        <w:t>תסקיר הראשון המליץ שירות המבחן להעדיף את הפן השיקומי חינוכי, על אף שהנאשם הביע אמביוולנטיות ביחס להשתלבות בהליך טיפולי. בקצרה, הנאשם גדל במערכת משפחתית תקינה, מעורבותו בפלילים היא על רקע חובות כלכליים, הוא אינו מאופיין בדפוסים עבריינים או התמכרותים</w:t>
      </w:r>
      <w:r>
        <w:rPr>
          <w:rFonts w:ascii="FrankRuehl" w:hAnsi="FrankRuehl" w:cs="FrankRuehl" w:hint="cs"/>
          <w:sz w:val="28"/>
          <w:szCs w:val="28"/>
          <w:rtl/>
        </w:rPr>
        <w:t>, ו</w:t>
      </w:r>
      <w:r>
        <w:rPr>
          <w:rFonts w:ascii="FrankRuehl" w:hAnsi="FrankRuehl" w:cs="FrankRuehl"/>
          <w:sz w:val="28"/>
          <w:szCs w:val="28"/>
          <w:rtl/>
        </w:rPr>
        <w:t xml:space="preserve">הליך הפלילי נוצל כולו כדי לאפשר לנאשם להכיר בדפוסי התנהגותו, לזהות גורמי סיכון אפשריים ולחזק את כוחותיו ויכולותיו. משכך, שולב הנאשם בקבוצה טיפולית המתואמת לצרכיו והתקדם בה לשביעות רצון גורמי הטיפול. שירות המבחן נותר איתן בהמלצתו לפיה יש לנקוט בענישה חינוכית והדגיש כי השתת עונש מאסר עשוי להוביל לרגרסיה במצבו ולהחלשת כוחותיו. </w:t>
      </w:r>
    </w:p>
    <w:p w14:paraId="5C0CF529"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78261456"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שקלתי בכובד את המלצת שירות המבחן, אך המלצה זו לא אוכל לקבל. </w:t>
      </w:r>
      <w:r>
        <w:rPr>
          <w:rFonts w:ascii="Corbel" w:hAnsi="Corbel" w:cs="FrankRuehl"/>
          <w:sz w:val="28"/>
          <w:szCs w:val="28"/>
          <w:rtl/>
        </w:rPr>
        <w:t>מהתסקירים ניכר כי השיקול</w:t>
      </w:r>
      <w:r>
        <w:rPr>
          <w:rFonts w:ascii="Corbel" w:hAnsi="Corbel" w:cs="FrankRuehl" w:hint="cs"/>
          <w:sz w:val="28"/>
          <w:szCs w:val="28"/>
          <w:rtl/>
        </w:rPr>
        <w:t>ים</w:t>
      </w:r>
      <w:r>
        <w:rPr>
          <w:rFonts w:ascii="Corbel" w:hAnsi="Corbel" w:cs="FrankRuehl"/>
          <w:sz w:val="28"/>
          <w:szCs w:val="28"/>
          <w:rtl/>
        </w:rPr>
        <w:t xml:space="preserve"> המרכזי</w:t>
      </w:r>
      <w:r>
        <w:rPr>
          <w:rFonts w:ascii="Corbel" w:hAnsi="Corbel" w:cs="FrankRuehl" w:hint="cs"/>
          <w:sz w:val="28"/>
          <w:szCs w:val="28"/>
          <w:rtl/>
        </w:rPr>
        <w:t>ים</w:t>
      </w:r>
      <w:r>
        <w:rPr>
          <w:rFonts w:ascii="Corbel" w:hAnsi="Corbel" w:cs="FrankRuehl"/>
          <w:sz w:val="28"/>
          <w:szCs w:val="28"/>
          <w:rtl/>
        </w:rPr>
        <w:t>, אם לא לומר הבלעדי</w:t>
      </w:r>
      <w:r>
        <w:rPr>
          <w:rFonts w:ascii="Corbel" w:hAnsi="Corbel" w:cs="FrankRuehl" w:hint="cs"/>
          <w:sz w:val="28"/>
          <w:szCs w:val="28"/>
          <w:rtl/>
        </w:rPr>
        <w:t>ים</w:t>
      </w:r>
      <w:r>
        <w:rPr>
          <w:rFonts w:ascii="Corbel" w:hAnsi="Corbel" w:cs="FrankRuehl"/>
          <w:sz w:val="28"/>
          <w:szCs w:val="28"/>
          <w:rtl/>
        </w:rPr>
        <w:t>, שעמד לנגד עיני שירות המבחן הוא היות הנאשם בחור צעיר נעדר הרשעות קודמות שבאופן חריג התוודה על מעשיו האסורים, בעוד שחומרת העבירות נדחקו לקרן פינה. נכון כי מדובר בשיקולים חשובים, אך הם אינם בלעדיים או מכריעים ולבטח אין יתר שיקולי הענישה ובהם גמול והרתעה נסוגים מפני</w:t>
      </w:r>
      <w:r>
        <w:rPr>
          <w:rFonts w:ascii="Corbel" w:hAnsi="Corbel" w:cs="FrankRuehl" w:hint="cs"/>
          <w:sz w:val="28"/>
          <w:szCs w:val="28"/>
          <w:rtl/>
        </w:rPr>
        <w:t>הם</w:t>
      </w:r>
      <w:r>
        <w:rPr>
          <w:rFonts w:ascii="Corbel" w:hAnsi="Corbel" w:cs="FrankRuehl"/>
          <w:sz w:val="28"/>
          <w:szCs w:val="28"/>
          <w:rtl/>
        </w:rPr>
        <w:t xml:space="preserve">. </w:t>
      </w:r>
      <w:r>
        <w:rPr>
          <w:rFonts w:ascii="FrankRuehl" w:hAnsi="FrankRuehl" w:cs="FrankRuehl"/>
          <w:sz w:val="28"/>
          <w:szCs w:val="28"/>
          <w:rtl/>
        </w:rPr>
        <w:t xml:space="preserve">ומשום שרוב מגדלי הסמים שהם אנשים לכאורה נורמטיביים, שאין לחובתם הרשעות קודמות, אשר מתפתים לנצל "הזדמנות עסקית" לעשיית כסף קל ומהיר, תוך שהם אדישים לנזק שעלול להיגרם ממעשיהם, הרי המשקל שיש להעניק לנתונים אלו מוגבל מזה שניתן בגזירת הדין בעבירות האחרות. </w:t>
      </w:r>
    </w:p>
    <w:p w14:paraId="67E71D67" w14:textId="77777777" w:rsidR="00A642D7" w:rsidRDefault="00A642D7" w:rsidP="00A642D7">
      <w:pPr>
        <w:pStyle w:val="aa"/>
        <w:tabs>
          <w:tab w:val="left" w:pos="-58"/>
        </w:tabs>
        <w:spacing w:before="100" w:beforeAutospacing="1" w:after="120"/>
        <w:ind w:left="-58"/>
        <w:jc w:val="both"/>
        <w:rPr>
          <w:rFonts w:ascii="FrankRuehl" w:hAnsi="FrankRuehl" w:cs="FrankRuehl"/>
          <w:sz w:val="28"/>
          <w:szCs w:val="28"/>
        </w:rPr>
      </w:pPr>
    </w:p>
    <w:p w14:paraId="285FE37E" w14:textId="77777777" w:rsidR="00A642D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השיקולים בדבר העדר עבר פלילי, קבלת אחריות, נשקלים ב</w:t>
      </w:r>
      <w:r>
        <w:rPr>
          <w:rFonts w:ascii="FrankRuehl" w:hAnsi="FrankRuehl" w:cs="FrankRuehl" w:hint="cs"/>
          <w:sz w:val="28"/>
          <w:szCs w:val="28"/>
          <w:rtl/>
        </w:rPr>
        <w:t xml:space="preserve">גדר </w:t>
      </w:r>
      <w:r>
        <w:rPr>
          <w:rFonts w:ascii="FrankRuehl" w:hAnsi="FrankRuehl" w:cs="FrankRuehl"/>
          <w:sz w:val="28"/>
          <w:szCs w:val="28"/>
          <w:rtl/>
        </w:rPr>
        <w:t>מתחם הע</w:t>
      </w:r>
      <w:r>
        <w:rPr>
          <w:rFonts w:ascii="FrankRuehl" w:hAnsi="FrankRuehl" w:cs="FrankRuehl" w:hint="cs"/>
          <w:sz w:val="28"/>
          <w:szCs w:val="28"/>
          <w:rtl/>
        </w:rPr>
        <w:t xml:space="preserve">נישה </w:t>
      </w:r>
      <w:r>
        <w:rPr>
          <w:rFonts w:ascii="FrankRuehl" w:hAnsi="FrankRuehl" w:cs="FrankRuehl"/>
          <w:sz w:val="28"/>
          <w:szCs w:val="28"/>
          <w:rtl/>
        </w:rPr>
        <w:t xml:space="preserve">ופועלים לטובת הנאשם אך הם אינם מצדיקים בהכרח סטייה ממתחם הענישה כטענת ההגנה. ונזכיר כי במלחמה במערכת הפצת הסם יש לתת משקל בכורה לעיקרון ההלימה ולשיקולים של הגנה על האינטרס הציבורי ומשקל מועט לנסיבותיו האישיות של הנאשם (ראו מיני רבים, עניין </w:t>
      </w:r>
      <w:r>
        <w:rPr>
          <w:rFonts w:ascii="Miriam" w:hAnsi="Miriam" w:cs="Miriam"/>
          <w:rtl/>
        </w:rPr>
        <w:t>יוסי כהן</w:t>
      </w:r>
      <w:r>
        <w:rPr>
          <w:rFonts w:ascii="FrankRuehl" w:hAnsi="FrankRuehl" w:cs="FrankRuehl"/>
          <w:sz w:val="28"/>
          <w:szCs w:val="28"/>
          <w:rtl/>
        </w:rPr>
        <w:t xml:space="preserve">; </w:t>
      </w:r>
      <w:hyperlink r:id="rId57" w:history="1">
        <w:r w:rsidR="00DA3E1B" w:rsidRPr="00DA3E1B">
          <w:rPr>
            <w:rFonts w:ascii="FrankRuehl" w:hAnsi="FrankRuehl" w:cs="FrankRuehl"/>
            <w:color w:val="0000FF"/>
            <w:sz w:val="28"/>
            <w:szCs w:val="28"/>
            <w:u w:val="single"/>
            <w:rtl/>
          </w:rPr>
          <w:t>ע"פ 2194/14</w:t>
        </w:r>
      </w:hyperlink>
      <w:r>
        <w:rPr>
          <w:rFonts w:ascii="FrankRuehl" w:hAnsi="FrankRuehl" w:cs="FrankRuehl"/>
          <w:sz w:val="28"/>
          <w:szCs w:val="28"/>
          <w:rtl/>
        </w:rPr>
        <w:t xml:space="preserve"> </w:t>
      </w:r>
      <w:r>
        <w:rPr>
          <w:rFonts w:ascii="Miriam" w:hAnsi="Miriam" w:cs="Miriam"/>
          <w:rtl/>
        </w:rPr>
        <w:t>בן שמעון נ' מדינת ישראל</w:t>
      </w:r>
      <w:r>
        <w:rPr>
          <w:rFonts w:ascii="FrankRuehl" w:hAnsi="FrankRuehl" w:cs="FrankRuehl"/>
          <w:sz w:val="28"/>
          <w:szCs w:val="28"/>
          <w:rtl/>
        </w:rPr>
        <w:t xml:space="preserve"> (10.9.2014)). ואין צורך לשוב ולחזור על האינטרס הציבורי המובהק במיגור תופעת ה"מעבדות" שהפכה לנפוצה ומסוכנת מאוד. </w:t>
      </w:r>
    </w:p>
    <w:p w14:paraId="01A721E8" w14:textId="77777777" w:rsidR="00A642D7" w:rsidRPr="00A247FF" w:rsidRDefault="00A642D7" w:rsidP="00A642D7">
      <w:pPr>
        <w:pStyle w:val="aa"/>
        <w:tabs>
          <w:tab w:val="left" w:pos="-58"/>
        </w:tabs>
        <w:spacing w:before="100" w:beforeAutospacing="1" w:after="120"/>
        <w:ind w:left="-58"/>
        <w:jc w:val="both"/>
        <w:rPr>
          <w:rFonts w:ascii="FrankRuehl" w:hAnsi="FrankRuehl" w:cs="FrankRuehl"/>
          <w:sz w:val="28"/>
          <w:szCs w:val="28"/>
        </w:rPr>
      </w:pPr>
    </w:p>
    <w:p w14:paraId="03CC7F8D" w14:textId="77777777" w:rsidR="00A642D7" w:rsidRPr="00EE38B7" w:rsidRDefault="00A642D7" w:rsidP="00A642D7">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Corbel" w:hAnsi="Corbel" w:cs="FrankRuehl"/>
          <w:sz w:val="28"/>
          <w:szCs w:val="28"/>
          <w:rtl/>
        </w:rPr>
        <w:t xml:space="preserve">בסופו של דבר, המלצת </w:t>
      </w:r>
      <w:r>
        <w:rPr>
          <w:rFonts w:ascii="Corbel" w:hAnsi="Corbel" w:cs="FrankRuehl" w:hint="cs"/>
          <w:sz w:val="28"/>
          <w:szCs w:val="28"/>
          <w:rtl/>
        </w:rPr>
        <w:t xml:space="preserve">התסקיר </w:t>
      </w:r>
      <w:r>
        <w:rPr>
          <w:rFonts w:ascii="Corbel" w:hAnsi="Corbel" w:cs="FrankRuehl"/>
          <w:sz w:val="28"/>
          <w:szCs w:val="28"/>
          <w:rtl/>
        </w:rPr>
        <w:t>ל</w:t>
      </w:r>
      <w:r>
        <w:rPr>
          <w:rFonts w:ascii="Corbel" w:hAnsi="Corbel" w:cs="FrankRuehl" w:hint="cs"/>
          <w:sz w:val="28"/>
          <w:szCs w:val="28"/>
          <w:rtl/>
        </w:rPr>
        <w:t>עניין ה</w:t>
      </w:r>
      <w:r>
        <w:rPr>
          <w:rFonts w:ascii="Corbel" w:hAnsi="Corbel" w:cs="FrankRuehl"/>
          <w:sz w:val="28"/>
          <w:szCs w:val="28"/>
          <w:rtl/>
        </w:rPr>
        <w:t>עונש אינה הולמת את נסיבות המעשה והעושה. ו</w:t>
      </w:r>
      <w:r>
        <w:rPr>
          <w:rFonts w:ascii="David" w:hAnsi="David" w:cs="FrankRuehl"/>
          <w:sz w:val="28"/>
          <w:szCs w:val="28"/>
          <w:rtl/>
        </w:rPr>
        <w:t>למותר לציין כי השיקולים לאורם פועל שירות המבחן במלאכת גיבוש המלצותיו, אינם בהכרח חופפים באופן מלא למגוון השיקולים שבית המשפט נדרש לאזן ביניהם בגזירת העונש</w:t>
      </w:r>
      <w:r>
        <w:rPr>
          <w:rFonts w:ascii="Corbel" w:hAnsi="Corbel" w:cs="FrankRuehl"/>
          <w:sz w:val="28"/>
          <w:szCs w:val="28"/>
          <w:rtl/>
        </w:rPr>
        <w:t>.  המלצת שירות המבחן כשמה כן היא – המלצה ואין באמור בה לכבול את ידי בית המשפט (</w:t>
      </w:r>
      <w:r>
        <w:rPr>
          <w:rFonts w:ascii="David" w:hAnsi="David" w:cs="FrankRuehl"/>
          <w:sz w:val="28"/>
          <w:szCs w:val="28"/>
          <w:rtl/>
        </w:rPr>
        <w:t xml:space="preserve">ראו: </w:t>
      </w:r>
      <w:hyperlink r:id="rId58" w:history="1">
        <w:r w:rsidR="00DA3E1B" w:rsidRPr="00DA3E1B">
          <w:rPr>
            <w:rFonts w:ascii="David" w:hAnsi="David" w:cs="FrankRuehl"/>
            <w:color w:val="0000FF"/>
            <w:sz w:val="28"/>
            <w:szCs w:val="28"/>
            <w:u w:val="single"/>
            <w:rtl/>
          </w:rPr>
          <w:t>רע"פ 1756/16</w:t>
        </w:r>
      </w:hyperlink>
      <w:r>
        <w:rPr>
          <w:rFonts w:ascii="David" w:hAnsi="David" w:cs="FrankRuehl"/>
          <w:sz w:val="28"/>
          <w:szCs w:val="28"/>
          <w:rtl/>
        </w:rPr>
        <w:t xml:space="preserve"> </w:t>
      </w:r>
      <w:r>
        <w:rPr>
          <w:rFonts w:ascii="Miriam" w:hAnsi="Miriam" w:cs="Miriam"/>
          <w:rtl/>
        </w:rPr>
        <w:t>ימיני נ' מדינת ישראל</w:t>
      </w:r>
      <w:r>
        <w:rPr>
          <w:rFonts w:ascii="David" w:hAnsi="David" w:cs="FrankRuehl"/>
          <w:sz w:val="28"/>
          <w:szCs w:val="28"/>
          <w:rtl/>
        </w:rPr>
        <w:t xml:space="preserve">, </w:t>
      </w:r>
      <w:r>
        <w:rPr>
          <w:rFonts w:ascii="David" w:hAnsi="David" w:cs="FrankRuehl" w:hint="cs"/>
          <w:sz w:val="28"/>
          <w:szCs w:val="28"/>
          <w:rtl/>
        </w:rPr>
        <w:t>פס</w:t>
      </w:r>
      <w:r>
        <w:rPr>
          <w:rFonts w:ascii="David" w:hAnsi="David" w:cs="FrankRuehl"/>
          <w:sz w:val="28"/>
          <w:szCs w:val="28"/>
          <w:rtl/>
        </w:rPr>
        <w:t xml:space="preserve">קה 11 (16.3.2016); </w:t>
      </w:r>
      <w:hyperlink r:id="rId59" w:history="1">
        <w:r w:rsidR="00DA3E1B" w:rsidRPr="00DA3E1B">
          <w:rPr>
            <w:rFonts w:ascii="David" w:hAnsi="David" w:cs="FrankRuehl"/>
            <w:color w:val="0000FF"/>
            <w:sz w:val="28"/>
            <w:szCs w:val="28"/>
            <w:u w:val="single"/>
            <w:rtl/>
          </w:rPr>
          <w:t>רע"פ 10904/04</w:t>
        </w:r>
      </w:hyperlink>
      <w:r>
        <w:rPr>
          <w:rFonts w:ascii="David" w:hAnsi="David" w:cs="FrankRuehl"/>
          <w:sz w:val="28"/>
          <w:szCs w:val="28"/>
          <w:rtl/>
        </w:rPr>
        <w:t xml:space="preserve"> </w:t>
      </w:r>
      <w:r>
        <w:rPr>
          <w:rFonts w:ascii="Miriam" w:hAnsi="Miriam" w:cs="Miriam"/>
          <w:rtl/>
        </w:rPr>
        <w:t>מיארה נ' מדינת ישראל</w:t>
      </w:r>
      <w:r>
        <w:rPr>
          <w:rFonts w:ascii="David" w:hAnsi="David" w:cs="Miriam"/>
          <w:rtl/>
        </w:rPr>
        <w:t>,</w:t>
      </w:r>
      <w:r>
        <w:rPr>
          <w:rFonts w:ascii="David" w:hAnsi="David" w:cs="FrankRuehl"/>
          <w:sz w:val="28"/>
          <w:szCs w:val="28"/>
          <w:rtl/>
        </w:rPr>
        <w:t xml:space="preserve"> פסקה 6 (9.12.2004); </w:t>
      </w:r>
      <w:hyperlink r:id="rId60" w:history="1">
        <w:r w:rsidR="00DA3E1B" w:rsidRPr="00DA3E1B">
          <w:rPr>
            <w:rFonts w:ascii="David" w:hAnsi="David" w:cs="FrankRuehl"/>
            <w:color w:val="0000FF"/>
            <w:sz w:val="28"/>
            <w:szCs w:val="28"/>
            <w:u w:val="single"/>
            <w:rtl/>
          </w:rPr>
          <w:t>רע"פ 6908/04</w:t>
        </w:r>
      </w:hyperlink>
      <w:r>
        <w:rPr>
          <w:rFonts w:ascii="David" w:hAnsi="David" w:cs="FrankRuehl"/>
          <w:sz w:val="28"/>
          <w:szCs w:val="28"/>
          <w:rtl/>
        </w:rPr>
        <w:t xml:space="preserve"> </w:t>
      </w:r>
      <w:r>
        <w:rPr>
          <w:rFonts w:ascii="Miriam" w:hAnsi="Miriam" w:cs="Miriam"/>
          <w:rtl/>
        </w:rPr>
        <w:t>איבגי נ' מדינת ישראל</w:t>
      </w:r>
      <w:r>
        <w:rPr>
          <w:rFonts w:ascii="David" w:hAnsi="David" w:cs="FrankRuehl"/>
          <w:sz w:val="28"/>
          <w:szCs w:val="28"/>
          <w:rtl/>
        </w:rPr>
        <w:t xml:space="preserve"> (27.7.2004); </w:t>
      </w:r>
      <w:hyperlink r:id="rId61" w:history="1">
        <w:r w:rsidR="00DA3E1B" w:rsidRPr="00DA3E1B">
          <w:rPr>
            <w:rFonts w:ascii="David" w:hAnsi="David" w:cs="FrankRuehl"/>
            <w:color w:val="0000FF"/>
            <w:sz w:val="28"/>
            <w:szCs w:val="28"/>
            <w:u w:val="single"/>
            <w:rtl/>
          </w:rPr>
          <w:t>ע"פ 2048/18</w:t>
        </w:r>
      </w:hyperlink>
      <w:r>
        <w:rPr>
          <w:rFonts w:ascii="David" w:hAnsi="David" w:cs="FrankRuehl"/>
          <w:sz w:val="28"/>
          <w:szCs w:val="28"/>
          <w:rtl/>
        </w:rPr>
        <w:t xml:space="preserve"> </w:t>
      </w:r>
      <w:r>
        <w:rPr>
          <w:rFonts w:ascii="Miriam" w:hAnsi="Miriam" w:cs="Miriam"/>
          <w:rtl/>
        </w:rPr>
        <w:t>פלוני נ' מדינת ישראל</w:t>
      </w:r>
      <w:r>
        <w:rPr>
          <w:rFonts w:ascii="David" w:hAnsi="David" w:cs="FrankRuehl"/>
          <w:sz w:val="28"/>
          <w:szCs w:val="28"/>
          <w:rtl/>
        </w:rPr>
        <w:t xml:space="preserve">, פסקה 13 (14.11.2018); </w:t>
      </w:r>
      <w:hyperlink r:id="rId62" w:history="1">
        <w:r w:rsidR="00DA3E1B" w:rsidRPr="00DA3E1B">
          <w:rPr>
            <w:rFonts w:ascii="David" w:hAnsi="David" w:cs="FrankRuehl"/>
            <w:color w:val="0000FF"/>
            <w:sz w:val="28"/>
            <w:szCs w:val="28"/>
            <w:u w:val="single"/>
            <w:rtl/>
          </w:rPr>
          <w:t>ע"פ 4472/16</w:t>
        </w:r>
      </w:hyperlink>
      <w:r>
        <w:rPr>
          <w:rFonts w:ascii="David" w:hAnsi="David" w:cs="FrankRuehl"/>
          <w:sz w:val="28"/>
          <w:szCs w:val="28"/>
          <w:rtl/>
        </w:rPr>
        <w:t xml:space="preserve"> </w:t>
      </w:r>
      <w:r>
        <w:rPr>
          <w:rFonts w:ascii="David" w:hAnsi="David" w:cs="Miriam"/>
          <w:rtl/>
        </w:rPr>
        <w:t>עווד נ' מדינת ישראל</w:t>
      </w:r>
      <w:r>
        <w:rPr>
          <w:rFonts w:ascii="David" w:hAnsi="David" w:cs="FrankRuehl"/>
          <w:sz w:val="28"/>
          <w:szCs w:val="28"/>
          <w:rtl/>
        </w:rPr>
        <w:t xml:space="preserve">, פסקה 7 (15.06.2016); </w:t>
      </w:r>
      <w:hyperlink r:id="rId63" w:history="1">
        <w:r w:rsidR="00DA3E1B" w:rsidRPr="00DA3E1B">
          <w:rPr>
            <w:rFonts w:ascii="David" w:hAnsi="David" w:cs="FrankRuehl"/>
            <w:color w:val="0000FF"/>
            <w:sz w:val="28"/>
            <w:szCs w:val="28"/>
            <w:u w:val="single"/>
            <w:rtl/>
          </w:rPr>
          <w:t>ע"פ 2015/13</w:t>
        </w:r>
      </w:hyperlink>
      <w:r>
        <w:rPr>
          <w:rFonts w:ascii="David" w:hAnsi="David" w:cs="FrankRuehl"/>
          <w:sz w:val="28"/>
          <w:szCs w:val="28"/>
          <w:rtl/>
        </w:rPr>
        <w:t xml:space="preserve"> </w:t>
      </w:r>
      <w:r>
        <w:rPr>
          <w:rFonts w:ascii="David" w:hAnsi="David" w:cs="Miriam"/>
          <w:rtl/>
        </w:rPr>
        <w:t>פלוני נ' מדינת ישראל</w:t>
      </w:r>
      <w:r>
        <w:rPr>
          <w:rFonts w:ascii="David" w:hAnsi="David" w:cs="FrankRuehl"/>
          <w:sz w:val="28"/>
          <w:szCs w:val="28"/>
          <w:rtl/>
        </w:rPr>
        <w:t>, פסקה 10 (5.8.2013)).</w:t>
      </w:r>
    </w:p>
    <w:p w14:paraId="5745F587" w14:textId="77777777" w:rsidR="00A642D7" w:rsidRPr="00EE38B7" w:rsidRDefault="00A642D7" w:rsidP="00A642D7">
      <w:pPr>
        <w:pStyle w:val="aa"/>
        <w:rPr>
          <w:rFonts w:ascii="FrankRuehl" w:hAnsi="FrankRuehl" w:cs="FrankRuehl"/>
          <w:sz w:val="28"/>
          <w:szCs w:val="28"/>
          <w:rtl/>
        </w:rPr>
      </w:pPr>
    </w:p>
    <w:p w14:paraId="31E90EF3" w14:textId="77777777" w:rsidR="00A642D7" w:rsidRDefault="00A642D7" w:rsidP="00A642D7">
      <w:pPr>
        <w:pStyle w:val="aa"/>
        <w:tabs>
          <w:tab w:val="left" w:pos="-58"/>
        </w:tabs>
        <w:spacing w:before="100" w:beforeAutospacing="1" w:after="120" w:line="360" w:lineRule="auto"/>
        <w:ind w:left="-58"/>
        <w:jc w:val="both"/>
        <w:rPr>
          <w:rFonts w:ascii="FrankRuehl" w:hAnsi="FrankRuehl" w:cs="FrankRuehl"/>
          <w:sz w:val="28"/>
          <w:szCs w:val="28"/>
        </w:rPr>
      </w:pPr>
      <w:r>
        <w:rPr>
          <w:rFonts w:ascii="Miriam" w:hAnsi="Miriam" w:cs="Miriam"/>
          <w:rtl/>
        </w:rPr>
        <w:t xml:space="preserve">תוצאה </w:t>
      </w:r>
    </w:p>
    <w:p w14:paraId="54EF3EC4" w14:textId="77777777" w:rsidR="00A642D7" w:rsidRDefault="00A642D7" w:rsidP="00A642D7">
      <w:pPr>
        <w:pStyle w:val="aa"/>
        <w:numPr>
          <w:ilvl w:val="0"/>
          <w:numId w:val="2"/>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לנוכח האמור ובאיזון בין הנסיבות לזכותו של הנאשם לבין הנסיבות העומדות לחובתו אני גוזרת על</w:t>
      </w:r>
      <w:r>
        <w:rPr>
          <w:rFonts w:ascii="FrankRuehl" w:hAnsi="FrankRuehl" w:cs="FrankRuehl" w:hint="cs"/>
          <w:sz w:val="28"/>
          <w:szCs w:val="28"/>
          <w:rtl/>
        </w:rPr>
        <w:t xml:space="preserve">יו </w:t>
      </w:r>
      <w:r>
        <w:rPr>
          <w:rFonts w:ascii="FrankRuehl" w:hAnsi="FrankRuehl" w:cs="FrankRuehl"/>
          <w:sz w:val="28"/>
          <w:szCs w:val="28"/>
          <w:rtl/>
        </w:rPr>
        <w:t xml:space="preserve">את העונשים הבאים: </w:t>
      </w:r>
    </w:p>
    <w:p w14:paraId="7947D1C5" w14:textId="77777777" w:rsidR="00A642D7" w:rsidRDefault="00A642D7" w:rsidP="00A642D7">
      <w:pPr>
        <w:pStyle w:val="aa"/>
        <w:numPr>
          <w:ilvl w:val="0"/>
          <w:numId w:val="3"/>
        </w:numPr>
        <w:spacing w:line="360" w:lineRule="auto"/>
        <w:jc w:val="both"/>
        <w:rPr>
          <w:rFonts w:ascii="FrankRuehl" w:hAnsi="FrankRuehl" w:cs="FrankRuehl"/>
          <w:sz w:val="28"/>
          <w:szCs w:val="28"/>
        </w:rPr>
      </w:pPr>
      <w:r>
        <w:rPr>
          <w:rFonts w:ascii="FrankRuehl" w:hAnsi="FrankRuehl" w:cs="FrankRuehl"/>
          <w:sz w:val="28"/>
          <w:szCs w:val="28"/>
          <w:rtl/>
        </w:rPr>
        <w:t xml:space="preserve">8 חודשי מאסר שירוצה בדרך של עבודות שירות בהתאם לחוות דעת הממונה על עבודות שירות מיום </w:t>
      </w:r>
      <w:r>
        <w:rPr>
          <w:rFonts w:ascii="FrankRuehl" w:hAnsi="FrankRuehl" w:cs="FrankRuehl" w:hint="cs"/>
          <w:sz w:val="28"/>
          <w:szCs w:val="28"/>
          <w:rtl/>
        </w:rPr>
        <w:t>28.9.2023</w:t>
      </w:r>
      <w:r>
        <w:rPr>
          <w:rFonts w:ascii="FrankRuehl" w:hAnsi="FrankRuehl" w:cs="FrankRuehl"/>
          <w:sz w:val="28"/>
          <w:szCs w:val="28"/>
          <w:rtl/>
        </w:rPr>
        <w:t xml:space="preserve"> הנאשם יתייצב ביום </w:t>
      </w:r>
      <w:r>
        <w:rPr>
          <w:rFonts w:ascii="FrankRuehl" w:hAnsi="FrankRuehl" w:cs="FrankRuehl" w:hint="cs"/>
          <w:sz w:val="28"/>
          <w:szCs w:val="28"/>
          <w:rtl/>
        </w:rPr>
        <w:t xml:space="preserve">1.3.2024 </w:t>
      </w:r>
      <w:r>
        <w:rPr>
          <w:rFonts w:ascii="FrankRuehl" w:hAnsi="FrankRuehl" w:cs="FrankRuehl"/>
          <w:sz w:val="28"/>
          <w:szCs w:val="28"/>
          <w:rtl/>
        </w:rPr>
        <w:t>בשעה 8:00 במשרדי הממונה במפקדת מחוז מרכז של שב"ס. 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53477A56" w14:textId="77777777" w:rsidR="00A642D7" w:rsidRDefault="00A642D7" w:rsidP="00A642D7">
      <w:pPr>
        <w:pStyle w:val="aa"/>
        <w:numPr>
          <w:ilvl w:val="0"/>
          <w:numId w:val="3"/>
        </w:numPr>
        <w:spacing w:line="360" w:lineRule="auto"/>
        <w:jc w:val="both"/>
        <w:rPr>
          <w:rFonts w:ascii="FrankRuehl" w:hAnsi="FrankRuehl" w:cs="FrankRuehl"/>
          <w:sz w:val="28"/>
          <w:szCs w:val="28"/>
        </w:rPr>
      </w:pPr>
      <w:r>
        <w:rPr>
          <w:rFonts w:ascii="FrankRuehl" w:hAnsi="FrankRuehl" w:cs="FrankRuehl"/>
          <w:sz w:val="28"/>
          <w:szCs w:val="28"/>
          <w:rtl/>
        </w:rPr>
        <w:t xml:space="preserve">6 חודשי מאסר אותם לא ירצה הנאשם אלא אם יעבור בתוך שלוש שנים מיום שחרורו כל עבירת פשע לפי </w:t>
      </w:r>
      <w:hyperlink r:id="rId64" w:history="1">
        <w:r w:rsidR="00DA3E1B" w:rsidRPr="00DA3E1B">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w:t>
      </w:r>
    </w:p>
    <w:p w14:paraId="782D142C" w14:textId="77777777" w:rsidR="00A642D7" w:rsidRDefault="00A642D7" w:rsidP="00A642D7">
      <w:pPr>
        <w:spacing w:line="360" w:lineRule="auto"/>
        <w:ind w:left="793" w:hanging="720"/>
        <w:jc w:val="both"/>
        <w:rPr>
          <w:rFonts w:ascii="FrankRuehl" w:hAnsi="FrankRuehl" w:cs="FrankRuehl"/>
          <w:sz w:val="28"/>
          <w:szCs w:val="28"/>
          <w:rtl/>
        </w:rPr>
      </w:pPr>
      <w:r>
        <w:rPr>
          <w:rFonts w:ascii="FrankRuehl" w:hAnsi="FrankRuehl" w:cs="FrankRuehl"/>
          <w:sz w:val="28"/>
          <w:szCs w:val="28"/>
          <w:rtl/>
        </w:rPr>
        <w:t xml:space="preserve">ג.        3 חודשי מאסר אותם לא ירצה הנאשם אלא אם יעבור בתוך שלוש שנים מיום שחרורו כל עבירת עוון לפי </w:t>
      </w:r>
      <w:hyperlink r:id="rId65" w:history="1">
        <w:r w:rsidR="00DA3E1B" w:rsidRPr="00DA3E1B">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w:t>
      </w:r>
    </w:p>
    <w:p w14:paraId="746BE181" w14:textId="77777777" w:rsidR="00A642D7" w:rsidRDefault="00A642D7" w:rsidP="00A642D7">
      <w:pPr>
        <w:spacing w:line="360" w:lineRule="auto"/>
        <w:ind w:left="793" w:hanging="720"/>
        <w:jc w:val="both"/>
        <w:rPr>
          <w:rFonts w:ascii="FrankRuehl" w:hAnsi="FrankRuehl" w:cs="FrankRuehl"/>
          <w:sz w:val="28"/>
          <w:szCs w:val="28"/>
          <w:rtl/>
        </w:rPr>
      </w:pPr>
      <w:r>
        <w:rPr>
          <w:rFonts w:ascii="FrankRuehl" w:hAnsi="FrankRuehl" w:cs="FrankRuehl"/>
          <w:sz w:val="28"/>
          <w:szCs w:val="28"/>
          <w:rtl/>
        </w:rPr>
        <w:t>ד</w:t>
      </w:r>
      <w:r>
        <w:rPr>
          <w:rFonts w:ascii="FrankRuehl" w:hAnsi="FrankRuehl" w:cs="FrankRuehl"/>
          <w:sz w:val="28"/>
          <w:szCs w:val="28"/>
          <w:rtl/>
        </w:rPr>
        <w:tab/>
        <w:t xml:space="preserve">קנס בסך 4,000 ₪ או 30 ימי מאסר תמורתו. הקנס ישולם ב- 2 תשלומים חודשיים שווים ורצופים, החל מיום 1.3.2024 לא ישולם איזה מהתשלומים במועדו, תעמוד יתרת הקנס לפירעון מידי. </w:t>
      </w:r>
    </w:p>
    <w:p w14:paraId="69B70613" w14:textId="77777777" w:rsidR="00A642D7" w:rsidRDefault="00A642D7" w:rsidP="00A642D7">
      <w:pPr>
        <w:spacing w:line="360" w:lineRule="auto"/>
        <w:ind w:left="793" w:hanging="720"/>
        <w:jc w:val="both"/>
        <w:rPr>
          <w:rFonts w:ascii="FrankRuehl" w:hAnsi="FrankRuehl" w:cs="FrankRuehl"/>
          <w:sz w:val="28"/>
          <w:szCs w:val="28"/>
          <w:rtl/>
        </w:rPr>
      </w:pPr>
      <w:r>
        <w:rPr>
          <w:rFonts w:ascii="FrankRuehl" w:hAnsi="FrankRuehl" w:cs="FrankRuehl"/>
          <w:sz w:val="28"/>
          <w:szCs w:val="28"/>
          <w:rtl/>
        </w:rPr>
        <w:t>ה.</w:t>
      </w:r>
      <w:r>
        <w:rPr>
          <w:rFonts w:ascii="FrankRuehl" w:hAnsi="FrankRuehl" w:cs="FrankRuehl"/>
          <w:sz w:val="28"/>
          <w:szCs w:val="28"/>
          <w:rtl/>
        </w:rPr>
        <w:tab/>
        <w:t>לבקשת הנאשם, הקנס ישולם מתוך ערבון שהופקד מטעם הנאשם בהליך המעצר, והיתרה תושב לנאשם בכפוף לכל דין. מובהר, כי רכיב זה בגזר הדין כפוף לכל מניעה חוקית לרבות עיקול.</w:t>
      </w:r>
    </w:p>
    <w:p w14:paraId="2D70FC9E" w14:textId="77777777" w:rsidR="00A642D7" w:rsidRDefault="00DA3E1B" w:rsidP="00A642D7">
      <w:pPr>
        <w:spacing w:line="360" w:lineRule="auto"/>
        <w:ind w:left="793" w:hanging="720"/>
        <w:jc w:val="both"/>
        <w:rPr>
          <w:rFonts w:ascii="FrankRuehl" w:hAnsi="FrankRuehl" w:cs="FrankRuehl"/>
          <w:sz w:val="28"/>
          <w:szCs w:val="28"/>
          <w:rtl/>
        </w:rPr>
      </w:pPr>
      <w:r w:rsidRPr="00DA3E1B">
        <w:rPr>
          <w:rFonts w:ascii="FrankRuehl" w:hAnsi="FrankRuehl" w:cs="FrankRuehl"/>
          <w:color w:val="FFFFFF"/>
          <w:sz w:val="2"/>
          <w:szCs w:val="2"/>
          <w:rtl/>
        </w:rPr>
        <w:t>5129371</w:t>
      </w:r>
      <w:r w:rsidR="00A642D7">
        <w:rPr>
          <w:rFonts w:ascii="FrankRuehl" w:hAnsi="FrankRuehl" w:cs="FrankRuehl"/>
          <w:sz w:val="28"/>
          <w:szCs w:val="28"/>
          <w:rtl/>
        </w:rPr>
        <w:t xml:space="preserve">ו. </w:t>
      </w:r>
      <w:r w:rsidR="00A642D7">
        <w:rPr>
          <w:rFonts w:ascii="FrankRuehl" w:hAnsi="FrankRuehl" w:cs="FrankRuehl"/>
          <w:sz w:val="28"/>
          <w:szCs w:val="28"/>
          <w:rtl/>
        </w:rPr>
        <w:tab/>
        <w:t xml:space="preserve">אני מכריזה על הנאשם כסוחר סמים – לפי </w:t>
      </w:r>
      <w:r w:rsidR="00A642D7">
        <w:rPr>
          <w:rFonts w:ascii="Miriam" w:hAnsi="Miriam" w:cs="Miriam"/>
          <w:rtl/>
        </w:rPr>
        <w:t xml:space="preserve">סעיף </w:t>
      </w:r>
      <w:hyperlink r:id="rId66" w:history="1">
        <w:r w:rsidR="00007F88" w:rsidRPr="00007F88">
          <w:rPr>
            <w:rStyle w:val="Hyperlink"/>
            <w:rFonts w:ascii="Miriam" w:hAnsi="Miriam" w:cs="Miriam"/>
            <w:rtl/>
          </w:rPr>
          <w:t>36 א(ב)</w:t>
        </w:r>
      </w:hyperlink>
      <w:r w:rsidR="00A642D7">
        <w:rPr>
          <w:rFonts w:ascii="Miriam" w:hAnsi="Miriam" w:cs="Miriam"/>
          <w:rtl/>
        </w:rPr>
        <w:t xml:space="preserve"> לפקודת הסמים</w:t>
      </w:r>
      <w:r w:rsidR="00A642D7">
        <w:rPr>
          <w:rFonts w:ascii="FrankRuehl" w:hAnsi="FrankRuehl" w:cs="FrankRuehl"/>
          <w:sz w:val="28"/>
          <w:szCs w:val="28"/>
          <w:rtl/>
        </w:rPr>
        <w:t xml:space="preserve"> ומורה על חילוט ציוד המעבדה אשר נתפסו ושימשו לביצוע העבירות, לאוצר המדינה – קרן החילוט האפוטרופוס הכללי. </w:t>
      </w:r>
    </w:p>
    <w:p w14:paraId="6297FA96" w14:textId="77777777" w:rsidR="00A642D7" w:rsidRDefault="00DA3E1B" w:rsidP="00A642D7">
      <w:pPr>
        <w:spacing w:before="100" w:beforeAutospacing="1" w:after="120"/>
        <w:ind w:left="-58"/>
        <w:jc w:val="both"/>
        <w:rPr>
          <w:rFonts w:ascii="Corbel" w:hAnsi="Corbel" w:cs="FrankRuehl"/>
          <w:sz w:val="28"/>
          <w:szCs w:val="28"/>
          <w:rtl/>
        </w:rPr>
      </w:pPr>
      <w:r w:rsidRPr="00DA3E1B">
        <w:rPr>
          <w:rFonts w:ascii="Corbel" w:hAnsi="Corbel" w:cs="FrankRuehl"/>
          <w:color w:val="FFFFFF"/>
          <w:sz w:val="2"/>
          <w:szCs w:val="2"/>
          <w:rtl/>
        </w:rPr>
        <w:t>54678313</w:t>
      </w:r>
      <w:r w:rsidR="00A642D7">
        <w:rPr>
          <w:rFonts w:ascii="Corbel" w:hAnsi="Corbel" w:cs="FrankRuehl"/>
          <w:sz w:val="28"/>
          <w:szCs w:val="28"/>
          <w:rtl/>
        </w:rPr>
        <w:t xml:space="preserve">זכות ערעור כחוק צו כללי למוצגים </w:t>
      </w:r>
    </w:p>
    <w:p w14:paraId="7B752760" w14:textId="77777777" w:rsidR="00A642D7" w:rsidRPr="000F2247" w:rsidRDefault="00A642D7" w:rsidP="00A642D7">
      <w:pPr>
        <w:rPr>
          <w:rFonts w:ascii="Arial" w:hAnsi="Arial"/>
          <w:b/>
          <w:bCs/>
          <w:sz w:val="26"/>
          <w:szCs w:val="26"/>
          <w:rtl/>
        </w:rPr>
      </w:pPr>
    </w:p>
    <w:p w14:paraId="58749ABD" w14:textId="77777777" w:rsidR="00A642D7" w:rsidRPr="000F2247" w:rsidRDefault="00DA3E1B" w:rsidP="00A642D7">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י"ד שבט תשפ"ד, 24 ינואר 2024, במעמד הצדדים.   </w:t>
      </w:r>
      <w:bookmarkEnd w:id="8"/>
      <w:r w:rsidR="00A642D7">
        <w:rPr>
          <w:rFonts w:ascii="Arial" w:hAnsi="Arial"/>
          <w:b/>
          <w:bCs/>
          <w:sz w:val="26"/>
          <w:szCs w:val="26"/>
          <w:rtl/>
        </w:rPr>
        <w:tab/>
      </w:r>
      <w:r w:rsidR="00A642D7">
        <w:rPr>
          <w:rFonts w:ascii="Arial" w:hAnsi="Arial"/>
          <w:b/>
          <w:bCs/>
          <w:sz w:val="26"/>
          <w:szCs w:val="26"/>
          <w:rtl/>
        </w:rPr>
        <w:tab/>
      </w:r>
      <w:r w:rsidR="00A642D7">
        <w:rPr>
          <w:rFonts w:ascii="Arial" w:hAnsi="Arial" w:hint="cs"/>
          <w:b/>
          <w:bCs/>
          <w:sz w:val="26"/>
          <w:szCs w:val="26"/>
          <w:rtl/>
        </w:rPr>
        <w:t xml:space="preserve">         </w:t>
      </w:r>
    </w:p>
    <w:p w14:paraId="0C613116" w14:textId="77777777" w:rsidR="00A642D7" w:rsidRPr="000F2247" w:rsidRDefault="00A642D7" w:rsidP="00DA3E1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7A4C61A" w14:textId="77777777" w:rsidR="00A642D7" w:rsidRPr="00007F88" w:rsidRDefault="00007F88" w:rsidP="00A642D7">
      <w:pPr>
        <w:jc w:val="center"/>
        <w:rPr>
          <w:rFonts w:ascii="Arial" w:hAnsi="Arial"/>
          <w:b/>
          <w:bCs/>
          <w:color w:val="FFFFFF"/>
          <w:sz w:val="2"/>
          <w:szCs w:val="2"/>
          <w:rtl/>
        </w:rPr>
      </w:pPr>
      <w:r w:rsidRPr="00007F88">
        <w:rPr>
          <w:rFonts w:ascii="Arial" w:hAnsi="Arial"/>
          <w:b/>
          <w:bCs/>
          <w:color w:val="FFFFFF"/>
          <w:sz w:val="2"/>
          <w:szCs w:val="2"/>
          <w:rtl/>
        </w:rPr>
        <w:t>5129371</w:t>
      </w:r>
    </w:p>
    <w:p w14:paraId="57509442" w14:textId="77777777" w:rsidR="00827F93" w:rsidRPr="00007F88" w:rsidRDefault="00007F88" w:rsidP="00DA3E1B">
      <w:pPr>
        <w:keepNext/>
        <w:rPr>
          <w:rFonts w:ascii="David" w:hAnsi="David"/>
          <w:color w:val="FFFFFF"/>
          <w:sz w:val="2"/>
          <w:szCs w:val="2"/>
          <w:rtl/>
        </w:rPr>
      </w:pPr>
      <w:r w:rsidRPr="00007F88">
        <w:rPr>
          <w:rFonts w:ascii="David" w:hAnsi="David"/>
          <w:color w:val="FFFFFF"/>
          <w:sz w:val="2"/>
          <w:szCs w:val="2"/>
          <w:rtl/>
        </w:rPr>
        <w:t>54678313</w:t>
      </w:r>
    </w:p>
    <w:p w14:paraId="49548663" w14:textId="77777777" w:rsidR="00DA3E1B" w:rsidRPr="00DA3E1B" w:rsidRDefault="00DA3E1B" w:rsidP="00DA3E1B">
      <w:pPr>
        <w:keepNext/>
        <w:rPr>
          <w:rFonts w:ascii="David" w:hAnsi="David"/>
          <w:color w:val="000000"/>
          <w:sz w:val="22"/>
          <w:szCs w:val="22"/>
          <w:rtl/>
        </w:rPr>
      </w:pPr>
      <w:r w:rsidRPr="00DA3E1B">
        <w:rPr>
          <w:rFonts w:ascii="David" w:hAnsi="David"/>
          <w:color w:val="000000"/>
          <w:sz w:val="22"/>
          <w:szCs w:val="22"/>
          <w:rtl/>
        </w:rPr>
        <w:t>זהר דיבון סגל 54678313</w:t>
      </w:r>
    </w:p>
    <w:p w14:paraId="4AB458B5" w14:textId="77777777" w:rsidR="00DA3E1B" w:rsidRDefault="00DA3E1B" w:rsidP="00DA3E1B">
      <w:r w:rsidRPr="00DA3E1B">
        <w:rPr>
          <w:color w:val="000000"/>
          <w:rtl/>
        </w:rPr>
        <w:t>נוסח מסמך זה כפוף לשינויי ניסוח ועריכה</w:t>
      </w:r>
    </w:p>
    <w:p w14:paraId="03BC024E" w14:textId="77777777" w:rsidR="00DA3E1B" w:rsidRDefault="00DA3E1B" w:rsidP="00DA3E1B">
      <w:pPr>
        <w:rPr>
          <w:rtl/>
        </w:rPr>
      </w:pPr>
    </w:p>
    <w:p w14:paraId="5EB1290D" w14:textId="77777777" w:rsidR="00DA3E1B" w:rsidRDefault="00DA3E1B" w:rsidP="00DA3E1B">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4D80B2D6" w14:textId="77777777" w:rsidR="00007F88" w:rsidRPr="00007F88" w:rsidRDefault="00007F88" w:rsidP="00007F88">
      <w:pPr>
        <w:keepNext/>
        <w:rPr>
          <w:rFonts w:ascii="David" w:hAnsi="David"/>
          <w:color w:val="000000"/>
          <w:sz w:val="22"/>
          <w:szCs w:val="22"/>
          <w:rtl/>
        </w:rPr>
      </w:pPr>
    </w:p>
    <w:sectPr w:rsidR="00007F88" w:rsidRPr="00007F88" w:rsidSect="00007F88">
      <w:headerReference w:type="even" r:id="rId68"/>
      <w:headerReference w:type="default" r:id="rId69"/>
      <w:footerReference w:type="even" r:id="rId70"/>
      <w:footerReference w:type="default" r:id="rId7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A21EE" w14:textId="77777777" w:rsidR="00491597" w:rsidRDefault="00491597" w:rsidP="006C07E4">
      <w:r>
        <w:separator/>
      </w:r>
    </w:p>
  </w:endnote>
  <w:endnote w:type="continuationSeparator" w:id="0">
    <w:p w14:paraId="0B0732A1" w14:textId="77777777" w:rsidR="00491597" w:rsidRDefault="00491597" w:rsidP="006C0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A6834" w14:textId="77777777" w:rsidR="00007F88" w:rsidRDefault="00007F88" w:rsidP="00007F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6CC4132" w14:textId="77777777" w:rsidR="00072598" w:rsidRPr="00007F88" w:rsidRDefault="00007F88" w:rsidP="00007F88">
    <w:pPr>
      <w:pStyle w:val="a5"/>
      <w:pBdr>
        <w:top w:val="single" w:sz="4" w:space="1" w:color="auto"/>
        <w:between w:val="single" w:sz="4" w:space="0" w:color="auto"/>
      </w:pBdr>
      <w:spacing w:after="60"/>
      <w:jc w:val="center"/>
      <w:rPr>
        <w:rFonts w:ascii="FrankRuehl" w:hAnsi="FrankRuehl" w:cs="FrankRuehl"/>
        <w:color w:val="000000"/>
      </w:rPr>
    </w:pPr>
    <w:r w:rsidRPr="00007F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2A838" w14:textId="77777777" w:rsidR="00007F88" w:rsidRDefault="00007F88" w:rsidP="00007F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F33AD">
      <w:rPr>
        <w:rFonts w:ascii="FrankRuehl" w:hAnsi="FrankRuehl" w:cs="FrankRuehl"/>
        <w:noProof/>
        <w:rtl/>
      </w:rPr>
      <w:t>1</w:t>
    </w:r>
    <w:r>
      <w:rPr>
        <w:rFonts w:ascii="FrankRuehl" w:hAnsi="FrankRuehl" w:cs="FrankRuehl"/>
        <w:rtl/>
      </w:rPr>
      <w:fldChar w:fldCharType="end"/>
    </w:r>
  </w:p>
  <w:p w14:paraId="230C6D73" w14:textId="77777777" w:rsidR="00072598" w:rsidRPr="00007F88" w:rsidRDefault="00007F88" w:rsidP="00007F88">
    <w:pPr>
      <w:pStyle w:val="a5"/>
      <w:pBdr>
        <w:top w:val="single" w:sz="4" w:space="1" w:color="auto"/>
        <w:between w:val="single" w:sz="4" w:space="0" w:color="auto"/>
      </w:pBdr>
      <w:spacing w:after="60"/>
      <w:jc w:val="center"/>
      <w:rPr>
        <w:rFonts w:ascii="FrankRuehl" w:hAnsi="FrankRuehl" w:cs="FrankRuehl"/>
        <w:color w:val="000000"/>
      </w:rPr>
    </w:pPr>
    <w:r w:rsidRPr="00007F88">
      <w:rPr>
        <w:rFonts w:ascii="FrankRuehl" w:hAnsi="FrankRuehl" w:cs="FrankRuehl"/>
        <w:color w:val="000000"/>
      </w:rPr>
      <w:pict w14:anchorId="69307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44F14" w14:textId="77777777" w:rsidR="00491597" w:rsidRDefault="00491597" w:rsidP="006C07E4">
      <w:r>
        <w:separator/>
      </w:r>
    </w:p>
  </w:footnote>
  <w:footnote w:type="continuationSeparator" w:id="0">
    <w:p w14:paraId="18848289" w14:textId="77777777" w:rsidR="00491597" w:rsidRDefault="00491597" w:rsidP="006C0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721E5" w14:textId="77777777" w:rsidR="00DA3E1B" w:rsidRPr="00007F88" w:rsidRDefault="00007F88" w:rsidP="00007F8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58944-08-21</w:t>
    </w:r>
    <w:r>
      <w:rPr>
        <w:rFonts w:ascii="David" w:hAnsi="David"/>
        <w:color w:val="000000"/>
        <w:sz w:val="22"/>
        <w:szCs w:val="22"/>
        <w:rtl/>
      </w:rPr>
      <w:tab/>
      <w:t xml:space="preserve"> מדינת ישראל נ' שי חג'ג'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4B3F3" w14:textId="77777777" w:rsidR="00DA3E1B" w:rsidRPr="00007F88" w:rsidRDefault="00007F88" w:rsidP="00007F8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58944-08-21</w:t>
    </w:r>
    <w:r>
      <w:rPr>
        <w:rFonts w:ascii="David" w:hAnsi="David"/>
        <w:color w:val="000000"/>
        <w:sz w:val="22"/>
        <w:szCs w:val="22"/>
        <w:rtl/>
      </w:rPr>
      <w:tab/>
      <w:t xml:space="preserve"> מדינת ישראל נ' שי חג'ג'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619C8"/>
    <w:multiLevelType w:val="hybridMultilevel"/>
    <w:tmpl w:val="0596CE78"/>
    <w:lvl w:ilvl="0" w:tplc="9376B63E">
      <w:start w:val="1"/>
      <w:numFmt w:val="hebrew1"/>
      <w:lvlText w:val="%1."/>
      <w:lvlJc w:val="left"/>
      <w:pPr>
        <w:ind w:left="827" w:hanging="885"/>
      </w:pPr>
    </w:lvl>
    <w:lvl w:ilvl="1" w:tplc="04090019">
      <w:start w:val="1"/>
      <w:numFmt w:val="lowerLetter"/>
      <w:lvlText w:val="%2."/>
      <w:lvlJc w:val="left"/>
      <w:pPr>
        <w:ind w:left="1022" w:hanging="360"/>
      </w:pPr>
    </w:lvl>
    <w:lvl w:ilvl="2" w:tplc="0409001B">
      <w:start w:val="1"/>
      <w:numFmt w:val="lowerRoman"/>
      <w:lvlText w:val="%3."/>
      <w:lvlJc w:val="right"/>
      <w:pPr>
        <w:ind w:left="1742" w:hanging="180"/>
      </w:pPr>
    </w:lvl>
    <w:lvl w:ilvl="3" w:tplc="0409000F">
      <w:start w:val="1"/>
      <w:numFmt w:val="decimal"/>
      <w:lvlText w:val="%4."/>
      <w:lvlJc w:val="left"/>
      <w:pPr>
        <w:ind w:left="2462" w:hanging="360"/>
      </w:pPr>
    </w:lvl>
    <w:lvl w:ilvl="4" w:tplc="04090019">
      <w:start w:val="1"/>
      <w:numFmt w:val="lowerLetter"/>
      <w:lvlText w:val="%5."/>
      <w:lvlJc w:val="left"/>
      <w:pPr>
        <w:ind w:left="3182" w:hanging="360"/>
      </w:pPr>
    </w:lvl>
    <w:lvl w:ilvl="5" w:tplc="0409001B">
      <w:start w:val="1"/>
      <w:numFmt w:val="lowerRoman"/>
      <w:lvlText w:val="%6."/>
      <w:lvlJc w:val="right"/>
      <w:pPr>
        <w:ind w:left="3902" w:hanging="180"/>
      </w:pPr>
    </w:lvl>
    <w:lvl w:ilvl="6" w:tplc="0409000F">
      <w:start w:val="1"/>
      <w:numFmt w:val="decimal"/>
      <w:lvlText w:val="%7."/>
      <w:lvlJc w:val="left"/>
      <w:pPr>
        <w:ind w:left="4622" w:hanging="360"/>
      </w:pPr>
    </w:lvl>
    <w:lvl w:ilvl="7" w:tplc="04090019">
      <w:start w:val="1"/>
      <w:numFmt w:val="lowerLetter"/>
      <w:lvlText w:val="%8."/>
      <w:lvlJc w:val="left"/>
      <w:pPr>
        <w:ind w:left="5342" w:hanging="360"/>
      </w:pPr>
    </w:lvl>
    <w:lvl w:ilvl="8" w:tplc="0409001B">
      <w:start w:val="1"/>
      <w:numFmt w:val="lowerRoman"/>
      <w:lvlText w:val="%9."/>
      <w:lvlJc w:val="right"/>
      <w:pPr>
        <w:ind w:left="6062" w:hanging="180"/>
      </w:pPr>
    </w:lvl>
  </w:abstractNum>
  <w:abstractNum w:abstractNumId="1" w15:restartNumberingAfterBreak="0">
    <w:nsid w:val="40BC1FE7"/>
    <w:multiLevelType w:val="hybridMultilevel"/>
    <w:tmpl w:val="DF7651D0"/>
    <w:lvl w:ilvl="0" w:tplc="F008E216">
      <w:start w:val="1"/>
      <w:numFmt w:val="decimal"/>
      <w:lvlText w:val="%1."/>
      <w:lvlJc w:val="left"/>
      <w:pPr>
        <w:ind w:left="720" w:hanging="360"/>
      </w:pPr>
      <w:rPr>
        <w:rFonts w:ascii="FrankRuehl" w:hAnsi="FrankRuehl" w:cs="FrankRuehl"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BDE7E8E"/>
    <w:multiLevelType w:val="hybridMultilevel"/>
    <w:tmpl w:val="DF7651D0"/>
    <w:lvl w:ilvl="0" w:tplc="F008E216">
      <w:start w:val="1"/>
      <w:numFmt w:val="decimal"/>
      <w:lvlText w:val="%1."/>
      <w:lvlJc w:val="left"/>
      <w:pPr>
        <w:ind w:left="720" w:hanging="360"/>
      </w:pPr>
      <w:rPr>
        <w:rFonts w:ascii="FrankRuehl" w:hAnsi="FrankRuehl" w:cs="FrankRuehl"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01644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4674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26025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42D7"/>
    <w:rsid w:val="00007F88"/>
    <w:rsid w:val="00072598"/>
    <w:rsid w:val="00083E1E"/>
    <w:rsid w:val="001B5A3B"/>
    <w:rsid w:val="002F5624"/>
    <w:rsid w:val="00491597"/>
    <w:rsid w:val="004F33AD"/>
    <w:rsid w:val="005A75C9"/>
    <w:rsid w:val="006C07E4"/>
    <w:rsid w:val="007F314E"/>
    <w:rsid w:val="00827F93"/>
    <w:rsid w:val="008E2A4A"/>
    <w:rsid w:val="008F4067"/>
    <w:rsid w:val="00A642D7"/>
    <w:rsid w:val="00B931F1"/>
    <w:rsid w:val="00D92E0A"/>
    <w:rsid w:val="00DA3E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86657E"/>
  <w15:chartTrackingRefBased/>
  <w15:docId w15:val="{5180399A-BEBF-4715-A3BA-29AB624A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42D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642D7"/>
    <w:pPr>
      <w:tabs>
        <w:tab w:val="center" w:pos="4153"/>
        <w:tab w:val="right" w:pos="8306"/>
      </w:tabs>
    </w:pPr>
  </w:style>
  <w:style w:type="character" w:customStyle="1" w:styleId="a4">
    <w:name w:val="כותרת עליונה תו"/>
    <w:link w:val="a3"/>
    <w:rsid w:val="00A642D7"/>
    <w:rPr>
      <w:rFonts w:ascii="Times New Roman" w:eastAsia="Times New Roman" w:hAnsi="Times New Roman" w:cs="David"/>
      <w:sz w:val="24"/>
      <w:szCs w:val="24"/>
    </w:rPr>
  </w:style>
  <w:style w:type="paragraph" w:styleId="a5">
    <w:name w:val="footer"/>
    <w:basedOn w:val="a"/>
    <w:link w:val="a6"/>
    <w:rsid w:val="00A642D7"/>
    <w:pPr>
      <w:tabs>
        <w:tab w:val="center" w:pos="4153"/>
        <w:tab w:val="right" w:pos="8306"/>
      </w:tabs>
    </w:pPr>
  </w:style>
  <w:style w:type="character" w:customStyle="1" w:styleId="a6">
    <w:name w:val="כותרת תחתונה תו"/>
    <w:link w:val="a5"/>
    <w:rsid w:val="00A642D7"/>
    <w:rPr>
      <w:rFonts w:ascii="Times New Roman" w:eastAsia="Times New Roman" w:hAnsi="Times New Roman" w:cs="David"/>
      <w:sz w:val="24"/>
      <w:szCs w:val="24"/>
    </w:rPr>
  </w:style>
  <w:style w:type="table" w:styleId="a7">
    <w:name w:val="Table Grid"/>
    <w:basedOn w:val="a1"/>
    <w:rsid w:val="00A642D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642D7"/>
  </w:style>
  <w:style w:type="character" w:customStyle="1" w:styleId="a9">
    <w:name w:val="פיסקת רשימה תו"/>
    <w:link w:val="aa"/>
    <w:locked/>
    <w:rsid w:val="00A642D7"/>
    <w:rPr>
      <w:rFonts w:cs="David"/>
      <w:sz w:val="24"/>
      <w:szCs w:val="24"/>
    </w:rPr>
  </w:style>
  <w:style w:type="paragraph" w:styleId="aa">
    <w:name w:val="List Paragraph"/>
    <w:basedOn w:val="a"/>
    <w:link w:val="a9"/>
    <w:qFormat/>
    <w:rsid w:val="00A642D7"/>
    <w:pPr>
      <w:ind w:left="720"/>
      <w:contextualSpacing/>
    </w:pPr>
    <w:rPr>
      <w:rFonts w:ascii="Calibri" w:eastAsia="Calibri" w:hAnsi="Calibri"/>
    </w:rPr>
  </w:style>
  <w:style w:type="character" w:styleId="Hyperlink">
    <w:name w:val="Hyperlink"/>
    <w:rsid w:val="00DA3E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5829832" TargetMode="External"/><Relationship Id="rId21" Type="http://schemas.openxmlformats.org/officeDocument/2006/relationships/hyperlink" Target="http://www.nevo.co.il/case/6045416" TargetMode="External"/><Relationship Id="rId42" Type="http://schemas.openxmlformats.org/officeDocument/2006/relationships/hyperlink" Target="http://www.nevo.co.il/case/25695748" TargetMode="External"/><Relationship Id="rId47" Type="http://schemas.openxmlformats.org/officeDocument/2006/relationships/hyperlink" Target="http://www.nevo.co.il/case/25601866" TargetMode="External"/><Relationship Id="rId63" Type="http://schemas.openxmlformats.org/officeDocument/2006/relationships/hyperlink" Target="http://www.nevo.co.il/case/10442453"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9428682" TargetMode="External"/><Relationship Id="rId11" Type="http://schemas.openxmlformats.org/officeDocument/2006/relationships/hyperlink" Target="http://www.nevo.co.il/law/4216/10" TargetMode="External"/><Relationship Id="rId24" Type="http://schemas.openxmlformats.org/officeDocument/2006/relationships/hyperlink" Target="http://www.nevo.co.il/case/27229615" TargetMode="External"/><Relationship Id="rId32" Type="http://schemas.openxmlformats.org/officeDocument/2006/relationships/hyperlink" Target="http://www.nevo.co.il/case/22841413" TargetMode="External"/><Relationship Id="rId37" Type="http://schemas.openxmlformats.org/officeDocument/2006/relationships/hyperlink" Target="http://www.nevo.co.il/case/27313460" TargetMode="External"/><Relationship Id="rId40" Type="http://schemas.openxmlformats.org/officeDocument/2006/relationships/hyperlink" Target="http://www.nevo.co.il/case/26559623" TargetMode="External"/><Relationship Id="rId45" Type="http://schemas.openxmlformats.org/officeDocument/2006/relationships/hyperlink" Target="http://www.nevo.co.il/case/27507413" TargetMode="External"/><Relationship Id="rId53" Type="http://schemas.openxmlformats.org/officeDocument/2006/relationships/hyperlink" Target="http://www.nevo.co.il/case/27355740" TargetMode="External"/><Relationship Id="rId58" Type="http://schemas.openxmlformats.org/officeDocument/2006/relationships/hyperlink" Target="http://www.nevo.co.il/case/21037797" TargetMode="External"/><Relationship Id="rId66" Type="http://schemas.openxmlformats.org/officeDocument/2006/relationships/hyperlink" Target="http://www.nevo.co.il/law/4216/36a.b" TargetMode="External"/><Relationship Id="rId5" Type="http://schemas.openxmlformats.org/officeDocument/2006/relationships/footnotes" Target="footnotes.xml"/><Relationship Id="rId61" Type="http://schemas.openxmlformats.org/officeDocument/2006/relationships/hyperlink" Target="http://www.nevo.co.il/case/23775111" TargetMode="External"/><Relationship Id="rId19" Type="http://schemas.openxmlformats.org/officeDocument/2006/relationships/hyperlink" Target="http://www.nevo.co.il/law/4216/10"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17939812" TargetMode="External"/><Relationship Id="rId27" Type="http://schemas.openxmlformats.org/officeDocument/2006/relationships/hyperlink" Target="http://www.nevo.co.il/case/23827604" TargetMode="External"/><Relationship Id="rId30" Type="http://schemas.openxmlformats.org/officeDocument/2006/relationships/hyperlink" Target="http://www.nevo.co.il/case/27615803" TargetMode="External"/><Relationship Id="rId35" Type="http://schemas.openxmlformats.org/officeDocument/2006/relationships/hyperlink" Target="http://www.nevo.co.il/case/27624179" TargetMode="External"/><Relationship Id="rId43" Type="http://schemas.openxmlformats.org/officeDocument/2006/relationships/hyperlink" Target="http://www.nevo.co.il/case/25578635" TargetMode="External"/><Relationship Id="rId48" Type="http://schemas.openxmlformats.org/officeDocument/2006/relationships/hyperlink" Target="http://www.nevo.co.il/case/25469088" TargetMode="External"/><Relationship Id="rId56" Type="http://schemas.openxmlformats.org/officeDocument/2006/relationships/hyperlink" Target="http://www.nevo.co.il/law/70301" TargetMode="External"/><Relationship Id="rId64" Type="http://schemas.openxmlformats.org/officeDocument/2006/relationships/hyperlink" Target="http://www.nevo.co.il/law/4216" TargetMode="External"/><Relationship Id="rId69"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hyperlink" Target="http://www.nevo.co.il/case/27843374"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9.a" TargetMode="External"/><Relationship Id="rId25" Type="http://schemas.openxmlformats.org/officeDocument/2006/relationships/hyperlink" Target="http://www.nevo.co.il/case/27665264" TargetMode="External"/><Relationship Id="rId33" Type="http://schemas.openxmlformats.org/officeDocument/2006/relationships/hyperlink" Target="http://www.nevo.co.il/case/27313460" TargetMode="External"/><Relationship Id="rId38" Type="http://schemas.openxmlformats.org/officeDocument/2006/relationships/hyperlink" Target="http://www.nevo.co.il/case/24929127" TargetMode="External"/><Relationship Id="rId46" Type="http://schemas.openxmlformats.org/officeDocument/2006/relationships/hyperlink" Target="http://www.nevo.co.il/case/26998241" TargetMode="External"/><Relationship Id="rId59" Type="http://schemas.openxmlformats.org/officeDocument/2006/relationships/hyperlink" Target="http://www.nevo.co.il/case/5937094"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case/5786821" TargetMode="External"/><Relationship Id="rId41" Type="http://schemas.openxmlformats.org/officeDocument/2006/relationships/hyperlink" Target="http://www.nevo.co.il/case/26316101" TargetMode="External"/><Relationship Id="rId54" Type="http://schemas.openxmlformats.org/officeDocument/2006/relationships/hyperlink" Target="http://www.nevo.co.il/case/27586867" TargetMode="External"/><Relationship Id="rId62" Type="http://schemas.openxmlformats.org/officeDocument/2006/relationships/hyperlink" Target="http://www.nevo.co.il/case/2147502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11269774" TargetMode="External"/><Relationship Id="rId28" Type="http://schemas.openxmlformats.org/officeDocument/2006/relationships/hyperlink" Target="http://www.nevo.co.il/case/28437031" TargetMode="External"/><Relationship Id="rId36" Type="http://schemas.openxmlformats.org/officeDocument/2006/relationships/hyperlink" Target="http://www.nevo.co.il/case/22695050" TargetMode="External"/><Relationship Id="rId49" Type="http://schemas.openxmlformats.org/officeDocument/2006/relationships/hyperlink" Target="http://www.nevo.co.il/case/27922147" TargetMode="External"/><Relationship Id="rId57" Type="http://schemas.openxmlformats.org/officeDocument/2006/relationships/hyperlink" Target="http://www.nevo.co.il/case/13070717" TargetMode="External"/><Relationship Id="rId10" Type="http://schemas.openxmlformats.org/officeDocument/2006/relationships/hyperlink" Target="http://www.nevo.co.il/law/4216/9.d" TargetMode="External"/><Relationship Id="rId31" Type="http://schemas.openxmlformats.org/officeDocument/2006/relationships/hyperlink" Target="http://www.nevo.co.il/case/28226828" TargetMode="External"/><Relationship Id="rId44" Type="http://schemas.openxmlformats.org/officeDocument/2006/relationships/hyperlink" Target="http://www.nevo.co.il/case/28197788" TargetMode="External"/><Relationship Id="rId52" Type="http://schemas.openxmlformats.org/officeDocument/2006/relationships/hyperlink" Target="http://www.nevo.co.il/case/26619911" TargetMode="External"/><Relationship Id="rId60" Type="http://schemas.openxmlformats.org/officeDocument/2006/relationships/hyperlink" Target="http://www.nevo.co.il/case/6089504" TargetMode="External"/><Relationship Id="rId65" Type="http://schemas.openxmlformats.org/officeDocument/2006/relationships/hyperlink" Target="http://www.nevo.co.il/law/4216"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9.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9.d" TargetMode="External"/><Relationship Id="rId39" Type="http://schemas.openxmlformats.org/officeDocument/2006/relationships/hyperlink" Target="http://www.nevo.co.il/case/23226235" TargetMode="External"/><Relationship Id="rId34" Type="http://schemas.openxmlformats.org/officeDocument/2006/relationships/hyperlink" Target="http://www.nevo.co.il/case/26991436" TargetMode="External"/><Relationship Id="rId50" Type="http://schemas.openxmlformats.org/officeDocument/2006/relationships/hyperlink" Target="http://www.nevo.co.il/case/26925331" TargetMode="External"/><Relationship Id="rId55" Type="http://schemas.openxmlformats.org/officeDocument/2006/relationships/hyperlink" Target="http://www.nevo.co.il/law/70301/40ja" TargetMode="External"/><Relationship Id="rId7" Type="http://schemas.openxmlformats.org/officeDocument/2006/relationships/hyperlink" Target="http://www.nevo.co.il/law/4216"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5418</Words>
  <Characters>27095</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32449</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5111890</vt:i4>
      </vt:variant>
      <vt:variant>
        <vt:i4>177</vt:i4>
      </vt:variant>
      <vt:variant>
        <vt:i4>0</vt:i4>
      </vt:variant>
      <vt:variant>
        <vt:i4>5</vt:i4>
      </vt:variant>
      <vt:variant>
        <vt:lpwstr>http://www.nevo.co.il/law/4216/36a.b</vt:lpwstr>
      </vt:variant>
      <vt:variant>
        <vt:lpwstr/>
      </vt:variant>
      <vt:variant>
        <vt:i4>8257637</vt:i4>
      </vt:variant>
      <vt:variant>
        <vt:i4>174</vt:i4>
      </vt:variant>
      <vt:variant>
        <vt:i4>0</vt:i4>
      </vt:variant>
      <vt:variant>
        <vt:i4>5</vt:i4>
      </vt:variant>
      <vt:variant>
        <vt:lpwstr>http://www.nevo.co.il/law/4216</vt:lpwstr>
      </vt:variant>
      <vt:variant>
        <vt:lpwstr/>
      </vt:variant>
      <vt:variant>
        <vt:i4>8257637</vt:i4>
      </vt:variant>
      <vt:variant>
        <vt:i4>171</vt:i4>
      </vt:variant>
      <vt:variant>
        <vt:i4>0</vt:i4>
      </vt:variant>
      <vt:variant>
        <vt:i4>5</vt:i4>
      </vt:variant>
      <vt:variant>
        <vt:lpwstr>http://www.nevo.co.il/law/4216</vt:lpwstr>
      </vt:variant>
      <vt:variant>
        <vt:lpwstr/>
      </vt:variant>
      <vt:variant>
        <vt:i4>3276916</vt:i4>
      </vt:variant>
      <vt:variant>
        <vt:i4>168</vt:i4>
      </vt:variant>
      <vt:variant>
        <vt:i4>0</vt:i4>
      </vt:variant>
      <vt:variant>
        <vt:i4>5</vt:i4>
      </vt:variant>
      <vt:variant>
        <vt:lpwstr>http://www.nevo.co.il/case/10442453</vt:lpwstr>
      </vt:variant>
      <vt:variant>
        <vt:lpwstr/>
      </vt:variant>
      <vt:variant>
        <vt:i4>3211378</vt:i4>
      </vt:variant>
      <vt:variant>
        <vt:i4>165</vt:i4>
      </vt:variant>
      <vt:variant>
        <vt:i4>0</vt:i4>
      </vt:variant>
      <vt:variant>
        <vt:i4>5</vt:i4>
      </vt:variant>
      <vt:variant>
        <vt:lpwstr>http://www.nevo.co.il/case/21475024</vt:lpwstr>
      </vt:variant>
      <vt:variant>
        <vt:lpwstr/>
      </vt:variant>
      <vt:variant>
        <vt:i4>3211377</vt:i4>
      </vt:variant>
      <vt:variant>
        <vt:i4>162</vt:i4>
      </vt:variant>
      <vt:variant>
        <vt:i4>0</vt:i4>
      </vt:variant>
      <vt:variant>
        <vt:i4>5</vt:i4>
      </vt:variant>
      <vt:variant>
        <vt:lpwstr>http://www.nevo.co.il/case/23775111</vt:lpwstr>
      </vt:variant>
      <vt:variant>
        <vt:lpwstr/>
      </vt:variant>
      <vt:variant>
        <vt:i4>4128893</vt:i4>
      </vt:variant>
      <vt:variant>
        <vt:i4>159</vt:i4>
      </vt:variant>
      <vt:variant>
        <vt:i4>0</vt:i4>
      </vt:variant>
      <vt:variant>
        <vt:i4>5</vt:i4>
      </vt:variant>
      <vt:variant>
        <vt:lpwstr>http://www.nevo.co.il/case/6089504</vt:lpwstr>
      </vt:variant>
      <vt:variant>
        <vt:lpwstr/>
      </vt:variant>
      <vt:variant>
        <vt:i4>3276915</vt:i4>
      </vt:variant>
      <vt:variant>
        <vt:i4>156</vt:i4>
      </vt:variant>
      <vt:variant>
        <vt:i4>0</vt:i4>
      </vt:variant>
      <vt:variant>
        <vt:i4>5</vt:i4>
      </vt:variant>
      <vt:variant>
        <vt:lpwstr>http://www.nevo.co.il/case/5937094</vt:lpwstr>
      </vt:variant>
      <vt:variant>
        <vt:lpwstr/>
      </vt:variant>
      <vt:variant>
        <vt:i4>3932273</vt:i4>
      </vt:variant>
      <vt:variant>
        <vt:i4>153</vt:i4>
      </vt:variant>
      <vt:variant>
        <vt:i4>0</vt:i4>
      </vt:variant>
      <vt:variant>
        <vt:i4>5</vt:i4>
      </vt:variant>
      <vt:variant>
        <vt:lpwstr>http://www.nevo.co.il/case/21037797</vt:lpwstr>
      </vt:variant>
      <vt:variant>
        <vt:lpwstr/>
      </vt:variant>
      <vt:variant>
        <vt:i4>3145847</vt:i4>
      </vt:variant>
      <vt:variant>
        <vt:i4>150</vt:i4>
      </vt:variant>
      <vt:variant>
        <vt:i4>0</vt:i4>
      </vt:variant>
      <vt:variant>
        <vt:i4>5</vt:i4>
      </vt:variant>
      <vt:variant>
        <vt:lpwstr>http://www.nevo.co.il/case/13070717</vt:lpwstr>
      </vt:variant>
      <vt:variant>
        <vt:lpwstr/>
      </vt:variant>
      <vt:variant>
        <vt:i4>7995492</vt:i4>
      </vt:variant>
      <vt:variant>
        <vt:i4>147</vt:i4>
      </vt:variant>
      <vt:variant>
        <vt:i4>0</vt:i4>
      </vt:variant>
      <vt:variant>
        <vt:i4>5</vt:i4>
      </vt:variant>
      <vt:variant>
        <vt:lpwstr>http://www.nevo.co.il/law/70301</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3604595</vt:i4>
      </vt:variant>
      <vt:variant>
        <vt:i4>141</vt:i4>
      </vt:variant>
      <vt:variant>
        <vt:i4>0</vt:i4>
      </vt:variant>
      <vt:variant>
        <vt:i4>5</vt:i4>
      </vt:variant>
      <vt:variant>
        <vt:lpwstr>http://www.nevo.co.il/case/27586867</vt:lpwstr>
      </vt:variant>
      <vt:variant>
        <vt:lpwstr/>
      </vt:variant>
      <vt:variant>
        <vt:i4>3145841</vt:i4>
      </vt:variant>
      <vt:variant>
        <vt:i4>138</vt:i4>
      </vt:variant>
      <vt:variant>
        <vt:i4>0</vt:i4>
      </vt:variant>
      <vt:variant>
        <vt:i4>5</vt:i4>
      </vt:variant>
      <vt:variant>
        <vt:lpwstr>http://www.nevo.co.il/case/27355740</vt:lpwstr>
      </vt:variant>
      <vt:variant>
        <vt:lpwstr/>
      </vt:variant>
      <vt:variant>
        <vt:i4>3932282</vt:i4>
      </vt:variant>
      <vt:variant>
        <vt:i4>135</vt:i4>
      </vt:variant>
      <vt:variant>
        <vt:i4>0</vt:i4>
      </vt:variant>
      <vt:variant>
        <vt:i4>5</vt:i4>
      </vt:variant>
      <vt:variant>
        <vt:lpwstr>http://www.nevo.co.il/case/26619911</vt:lpwstr>
      </vt:variant>
      <vt:variant>
        <vt:lpwstr/>
      </vt:variant>
      <vt:variant>
        <vt:i4>4063348</vt:i4>
      </vt:variant>
      <vt:variant>
        <vt:i4>132</vt:i4>
      </vt:variant>
      <vt:variant>
        <vt:i4>0</vt:i4>
      </vt:variant>
      <vt:variant>
        <vt:i4>5</vt:i4>
      </vt:variant>
      <vt:variant>
        <vt:lpwstr>http://www.nevo.co.il/case/27843374</vt:lpwstr>
      </vt:variant>
      <vt:variant>
        <vt:lpwstr/>
      </vt:variant>
      <vt:variant>
        <vt:i4>3997811</vt:i4>
      </vt:variant>
      <vt:variant>
        <vt:i4>129</vt:i4>
      </vt:variant>
      <vt:variant>
        <vt:i4>0</vt:i4>
      </vt:variant>
      <vt:variant>
        <vt:i4>5</vt:i4>
      </vt:variant>
      <vt:variant>
        <vt:lpwstr>http://www.nevo.co.il/case/26925331</vt:lpwstr>
      </vt:variant>
      <vt:variant>
        <vt:lpwstr/>
      </vt:variant>
      <vt:variant>
        <vt:i4>3997808</vt:i4>
      </vt:variant>
      <vt:variant>
        <vt:i4>126</vt:i4>
      </vt:variant>
      <vt:variant>
        <vt:i4>0</vt:i4>
      </vt:variant>
      <vt:variant>
        <vt:i4>5</vt:i4>
      </vt:variant>
      <vt:variant>
        <vt:lpwstr>http://www.nevo.co.il/case/27922147</vt:lpwstr>
      </vt:variant>
      <vt:variant>
        <vt:lpwstr/>
      </vt:variant>
      <vt:variant>
        <vt:i4>3604599</vt:i4>
      </vt:variant>
      <vt:variant>
        <vt:i4>123</vt:i4>
      </vt:variant>
      <vt:variant>
        <vt:i4>0</vt:i4>
      </vt:variant>
      <vt:variant>
        <vt:i4>5</vt:i4>
      </vt:variant>
      <vt:variant>
        <vt:lpwstr>http://www.nevo.co.il/case/25469088</vt:lpwstr>
      </vt:variant>
      <vt:variant>
        <vt:lpwstr/>
      </vt:variant>
      <vt:variant>
        <vt:i4>3342457</vt:i4>
      </vt:variant>
      <vt:variant>
        <vt:i4>120</vt:i4>
      </vt:variant>
      <vt:variant>
        <vt:i4>0</vt:i4>
      </vt:variant>
      <vt:variant>
        <vt:i4>5</vt:i4>
      </vt:variant>
      <vt:variant>
        <vt:lpwstr>http://www.nevo.co.il/case/25601866</vt:lpwstr>
      </vt:variant>
      <vt:variant>
        <vt:lpwstr/>
      </vt:variant>
      <vt:variant>
        <vt:i4>3604601</vt:i4>
      </vt:variant>
      <vt:variant>
        <vt:i4>117</vt:i4>
      </vt:variant>
      <vt:variant>
        <vt:i4>0</vt:i4>
      </vt:variant>
      <vt:variant>
        <vt:i4>5</vt:i4>
      </vt:variant>
      <vt:variant>
        <vt:lpwstr>http://www.nevo.co.il/case/26998241</vt:lpwstr>
      </vt:variant>
      <vt:variant>
        <vt:lpwstr/>
      </vt:variant>
      <vt:variant>
        <vt:i4>3211383</vt:i4>
      </vt:variant>
      <vt:variant>
        <vt:i4>114</vt:i4>
      </vt:variant>
      <vt:variant>
        <vt:i4>0</vt:i4>
      </vt:variant>
      <vt:variant>
        <vt:i4>5</vt:i4>
      </vt:variant>
      <vt:variant>
        <vt:lpwstr>http://www.nevo.co.il/case/27507413</vt:lpwstr>
      </vt:variant>
      <vt:variant>
        <vt:lpwstr/>
      </vt:variant>
      <vt:variant>
        <vt:i4>3932274</vt:i4>
      </vt:variant>
      <vt:variant>
        <vt:i4>111</vt:i4>
      </vt:variant>
      <vt:variant>
        <vt:i4>0</vt:i4>
      </vt:variant>
      <vt:variant>
        <vt:i4>5</vt:i4>
      </vt:variant>
      <vt:variant>
        <vt:lpwstr>http://www.nevo.co.il/case/28197788</vt:lpwstr>
      </vt:variant>
      <vt:variant>
        <vt:lpwstr/>
      </vt:variant>
      <vt:variant>
        <vt:i4>3932272</vt:i4>
      </vt:variant>
      <vt:variant>
        <vt:i4>108</vt:i4>
      </vt:variant>
      <vt:variant>
        <vt:i4>0</vt:i4>
      </vt:variant>
      <vt:variant>
        <vt:i4>5</vt:i4>
      </vt:variant>
      <vt:variant>
        <vt:lpwstr>http://www.nevo.co.il/case/25578635</vt:lpwstr>
      </vt:variant>
      <vt:variant>
        <vt:lpwstr/>
      </vt:variant>
      <vt:variant>
        <vt:i4>3473535</vt:i4>
      </vt:variant>
      <vt:variant>
        <vt:i4>105</vt:i4>
      </vt:variant>
      <vt:variant>
        <vt:i4>0</vt:i4>
      </vt:variant>
      <vt:variant>
        <vt:i4>5</vt:i4>
      </vt:variant>
      <vt:variant>
        <vt:lpwstr>http://www.nevo.co.il/case/25695748</vt:lpwstr>
      </vt:variant>
      <vt:variant>
        <vt:lpwstr/>
      </vt:variant>
      <vt:variant>
        <vt:i4>3604594</vt:i4>
      </vt:variant>
      <vt:variant>
        <vt:i4>102</vt:i4>
      </vt:variant>
      <vt:variant>
        <vt:i4>0</vt:i4>
      </vt:variant>
      <vt:variant>
        <vt:i4>5</vt:i4>
      </vt:variant>
      <vt:variant>
        <vt:lpwstr>http://www.nevo.co.il/case/26316101</vt:lpwstr>
      </vt:variant>
      <vt:variant>
        <vt:lpwstr/>
      </vt:variant>
      <vt:variant>
        <vt:i4>3932273</vt:i4>
      </vt:variant>
      <vt:variant>
        <vt:i4>99</vt:i4>
      </vt:variant>
      <vt:variant>
        <vt:i4>0</vt:i4>
      </vt:variant>
      <vt:variant>
        <vt:i4>5</vt:i4>
      </vt:variant>
      <vt:variant>
        <vt:lpwstr>http://www.nevo.co.il/case/26559623</vt:lpwstr>
      </vt:variant>
      <vt:variant>
        <vt:lpwstr/>
      </vt:variant>
      <vt:variant>
        <vt:i4>3473527</vt:i4>
      </vt:variant>
      <vt:variant>
        <vt:i4>96</vt:i4>
      </vt:variant>
      <vt:variant>
        <vt:i4>0</vt:i4>
      </vt:variant>
      <vt:variant>
        <vt:i4>5</vt:i4>
      </vt:variant>
      <vt:variant>
        <vt:lpwstr>http://www.nevo.co.il/case/23226235</vt:lpwstr>
      </vt:variant>
      <vt:variant>
        <vt:lpwstr/>
      </vt:variant>
      <vt:variant>
        <vt:i4>3145843</vt:i4>
      </vt:variant>
      <vt:variant>
        <vt:i4>93</vt:i4>
      </vt:variant>
      <vt:variant>
        <vt:i4>0</vt:i4>
      </vt:variant>
      <vt:variant>
        <vt:i4>5</vt:i4>
      </vt:variant>
      <vt:variant>
        <vt:lpwstr>http://www.nevo.co.il/case/24929127</vt:lpwstr>
      </vt:variant>
      <vt:variant>
        <vt:lpwstr/>
      </vt:variant>
      <vt:variant>
        <vt:i4>3407990</vt:i4>
      </vt:variant>
      <vt:variant>
        <vt:i4>90</vt:i4>
      </vt:variant>
      <vt:variant>
        <vt:i4>0</vt:i4>
      </vt:variant>
      <vt:variant>
        <vt:i4>5</vt:i4>
      </vt:variant>
      <vt:variant>
        <vt:lpwstr>http://www.nevo.co.il/case/27313460</vt:lpwstr>
      </vt:variant>
      <vt:variant>
        <vt:lpwstr/>
      </vt:variant>
      <vt:variant>
        <vt:i4>3407999</vt:i4>
      </vt:variant>
      <vt:variant>
        <vt:i4>87</vt:i4>
      </vt:variant>
      <vt:variant>
        <vt:i4>0</vt:i4>
      </vt:variant>
      <vt:variant>
        <vt:i4>5</vt:i4>
      </vt:variant>
      <vt:variant>
        <vt:lpwstr>http://www.nevo.co.il/case/22695050</vt:lpwstr>
      </vt:variant>
      <vt:variant>
        <vt:lpwstr/>
      </vt:variant>
      <vt:variant>
        <vt:i4>3604592</vt:i4>
      </vt:variant>
      <vt:variant>
        <vt:i4>84</vt:i4>
      </vt:variant>
      <vt:variant>
        <vt:i4>0</vt:i4>
      </vt:variant>
      <vt:variant>
        <vt:i4>5</vt:i4>
      </vt:variant>
      <vt:variant>
        <vt:lpwstr>http://www.nevo.co.il/case/27624179</vt:lpwstr>
      </vt:variant>
      <vt:variant>
        <vt:lpwstr/>
      </vt:variant>
      <vt:variant>
        <vt:i4>3735679</vt:i4>
      </vt:variant>
      <vt:variant>
        <vt:i4>81</vt:i4>
      </vt:variant>
      <vt:variant>
        <vt:i4>0</vt:i4>
      </vt:variant>
      <vt:variant>
        <vt:i4>5</vt:i4>
      </vt:variant>
      <vt:variant>
        <vt:lpwstr>http://www.nevo.co.il/case/26991436</vt:lpwstr>
      </vt:variant>
      <vt:variant>
        <vt:lpwstr/>
      </vt:variant>
      <vt:variant>
        <vt:i4>3407990</vt:i4>
      </vt:variant>
      <vt:variant>
        <vt:i4>78</vt:i4>
      </vt:variant>
      <vt:variant>
        <vt:i4>0</vt:i4>
      </vt:variant>
      <vt:variant>
        <vt:i4>5</vt:i4>
      </vt:variant>
      <vt:variant>
        <vt:lpwstr>http://www.nevo.co.il/case/27313460</vt:lpwstr>
      </vt:variant>
      <vt:variant>
        <vt:lpwstr/>
      </vt:variant>
      <vt:variant>
        <vt:i4>3801206</vt:i4>
      </vt:variant>
      <vt:variant>
        <vt:i4>75</vt:i4>
      </vt:variant>
      <vt:variant>
        <vt:i4>0</vt:i4>
      </vt:variant>
      <vt:variant>
        <vt:i4>5</vt:i4>
      </vt:variant>
      <vt:variant>
        <vt:lpwstr>http://www.nevo.co.il/case/22841413</vt:lpwstr>
      </vt:variant>
      <vt:variant>
        <vt:lpwstr/>
      </vt:variant>
      <vt:variant>
        <vt:i4>3407990</vt:i4>
      </vt:variant>
      <vt:variant>
        <vt:i4>72</vt:i4>
      </vt:variant>
      <vt:variant>
        <vt:i4>0</vt:i4>
      </vt:variant>
      <vt:variant>
        <vt:i4>5</vt:i4>
      </vt:variant>
      <vt:variant>
        <vt:lpwstr>http://www.nevo.co.il/case/28226828</vt:lpwstr>
      </vt:variant>
      <vt:variant>
        <vt:lpwstr/>
      </vt:variant>
      <vt:variant>
        <vt:i4>3211386</vt:i4>
      </vt:variant>
      <vt:variant>
        <vt:i4>69</vt:i4>
      </vt:variant>
      <vt:variant>
        <vt:i4>0</vt:i4>
      </vt:variant>
      <vt:variant>
        <vt:i4>5</vt:i4>
      </vt:variant>
      <vt:variant>
        <vt:lpwstr>http://www.nevo.co.il/case/27615803</vt:lpwstr>
      </vt:variant>
      <vt:variant>
        <vt:lpwstr/>
      </vt:variant>
      <vt:variant>
        <vt:i4>3539065</vt:i4>
      </vt:variant>
      <vt:variant>
        <vt:i4>66</vt:i4>
      </vt:variant>
      <vt:variant>
        <vt:i4>0</vt:i4>
      </vt:variant>
      <vt:variant>
        <vt:i4>5</vt:i4>
      </vt:variant>
      <vt:variant>
        <vt:lpwstr>http://www.nevo.co.il/case/29428682</vt:lpwstr>
      </vt:variant>
      <vt:variant>
        <vt:lpwstr/>
      </vt:variant>
      <vt:variant>
        <vt:i4>3276927</vt:i4>
      </vt:variant>
      <vt:variant>
        <vt:i4>63</vt:i4>
      </vt:variant>
      <vt:variant>
        <vt:i4>0</vt:i4>
      </vt:variant>
      <vt:variant>
        <vt:i4>5</vt:i4>
      </vt:variant>
      <vt:variant>
        <vt:lpwstr>http://www.nevo.co.il/case/28437031</vt:lpwstr>
      </vt:variant>
      <vt:variant>
        <vt:lpwstr/>
      </vt:variant>
      <vt:variant>
        <vt:i4>3997811</vt:i4>
      </vt:variant>
      <vt:variant>
        <vt:i4>60</vt:i4>
      </vt:variant>
      <vt:variant>
        <vt:i4>0</vt:i4>
      </vt:variant>
      <vt:variant>
        <vt:i4>5</vt:i4>
      </vt:variant>
      <vt:variant>
        <vt:lpwstr>http://www.nevo.co.il/case/23827604</vt:lpwstr>
      </vt:variant>
      <vt:variant>
        <vt:lpwstr/>
      </vt:variant>
      <vt:variant>
        <vt:i4>3145851</vt:i4>
      </vt:variant>
      <vt:variant>
        <vt:i4>57</vt:i4>
      </vt:variant>
      <vt:variant>
        <vt:i4>0</vt:i4>
      </vt:variant>
      <vt:variant>
        <vt:i4>5</vt:i4>
      </vt:variant>
      <vt:variant>
        <vt:lpwstr>http://www.nevo.co.il/case/25829832</vt:lpwstr>
      </vt:variant>
      <vt:variant>
        <vt:lpwstr/>
      </vt:variant>
      <vt:variant>
        <vt:i4>3604599</vt:i4>
      </vt:variant>
      <vt:variant>
        <vt:i4>54</vt:i4>
      </vt:variant>
      <vt:variant>
        <vt:i4>0</vt:i4>
      </vt:variant>
      <vt:variant>
        <vt:i4>5</vt:i4>
      </vt:variant>
      <vt:variant>
        <vt:lpwstr>http://www.nevo.co.il/case/27665264</vt:lpwstr>
      </vt:variant>
      <vt:variant>
        <vt:lpwstr/>
      </vt:variant>
      <vt:variant>
        <vt:i4>3670135</vt:i4>
      </vt:variant>
      <vt:variant>
        <vt:i4>51</vt:i4>
      </vt:variant>
      <vt:variant>
        <vt:i4>0</vt:i4>
      </vt:variant>
      <vt:variant>
        <vt:i4>5</vt:i4>
      </vt:variant>
      <vt:variant>
        <vt:lpwstr>http://www.nevo.co.il/case/27229615</vt:lpwstr>
      </vt:variant>
      <vt:variant>
        <vt:lpwstr/>
      </vt:variant>
      <vt:variant>
        <vt:i4>3997812</vt:i4>
      </vt:variant>
      <vt:variant>
        <vt:i4>48</vt:i4>
      </vt:variant>
      <vt:variant>
        <vt:i4>0</vt:i4>
      </vt:variant>
      <vt:variant>
        <vt:i4>5</vt:i4>
      </vt:variant>
      <vt:variant>
        <vt:lpwstr>http://www.nevo.co.il/case/11269774</vt:lpwstr>
      </vt:variant>
      <vt:variant>
        <vt:lpwstr/>
      </vt:variant>
      <vt:variant>
        <vt:i4>3145848</vt:i4>
      </vt:variant>
      <vt:variant>
        <vt:i4>45</vt:i4>
      </vt:variant>
      <vt:variant>
        <vt:i4>0</vt:i4>
      </vt:variant>
      <vt:variant>
        <vt:i4>5</vt:i4>
      </vt:variant>
      <vt:variant>
        <vt:lpwstr>http://www.nevo.co.il/case/17939812</vt:lpwstr>
      </vt:variant>
      <vt:variant>
        <vt:lpwstr/>
      </vt:variant>
      <vt:variant>
        <vt:i4>3145840</vt:i4>
      </vt:variant>
      <vt:variant>
        <vt:i4>42</vt:i4>
      </vt:variant>
      <vt:variant>
        <vt:i4>0</vt:i4>
      </vt:variant>
      <vt:variant>
        <vt:i4>5</vt:i4>
      </vt:variant>
      <vt:variant>
        <vt:lpwstr>http://www.nevo.co.il/case/6045416</vt:lpwstr>
      </vt:variant>
      <vt:variant>
        <vt:lpwstr/>
      </vt:variant>
      <vt:variant>
        <vt:i4>3407991</vt:i4>
      </vt:variant>
      <vt:variant>
        <vt:i4>39</vt:i4>
      </vt:variant>
      <vt:variant>
        <vt:i4>0</vt:i4>
      </vt:variant>
      <vt:variant>
        <vt:i4>5</vt:i4>
      </vt:variant>
      <vt:variant>
        <vt:lpwstr>http://www.nevo.co.il/case/5786821</vt:lpwstr>
      </vt:variant>
      <vt:variant>
        <vt:lpwstr/>
      </vt:variant>
      <vt:variant>
        <vt:i4>5177418</vt:i4>
      </vt:variant>
      <vt:variant>
        <vt:i4>36</vt:i4>
      </vt:variant>
      <vt:variant>
        <vt:i4>0</vt:i4>
      </vt:variant>
      <vt:variant>
        <vt:i4>5</vt:i4>
      </vt:variant>
      <vt:variant>
        <vt:lpwstr>http://www.nevo.co.il/law/4216/10</vt:lpwstr>
      </vt:variant>
      <vt:variant>
        <vt:lpwstr/>
      </vt:variant>
      <vt:variant>
        <vt:i4>2293860</vt:i4>
      </vt:variant>
      <vt:variant>
        <vt:i4>33</vt:i4>
      </vt:variant>
      <vt:variant>
        <vt:i4>0</vt:i4>
      </vt:variant>
      <vt:variant>
        <vt:i4>5</vt:i4>
      </vt:variant>
      <vt:variant>
        <vt:lpwstr>http://www.nevo.co.il/law/4216/9.d</vt:lpwstr>
      </vt:variant>
      <vt:variant>
        <vt:lpwstr/>
      </vt:variant>
      <vt:variant>
        <vt:i4>2490468</vt:i4>
      </vt:variant>
      <vt:variant>
        <vt:i4>30</vt:i4>
      </vt:variant>
      <vt:variant>
        <vt:i4>0</vt:i4>
      </vt:variant>
      <vt:variant>
        <vt:i4>5</vt:i4>
      </vt:variant>
      <vt:variant>
        <vt:lpwstr>http://www.nevo.co.il/law/4216/9.a</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2293860</vt:i4>
      </vt:variant>
      <vt:variant>
        <vt:i4>9</vt:i4>
      </vt:variant>
      <vt:variant>
        <vt:i4>0</vt:i4>
      </vt:variant>
      <vt:variant>
        <vt:i4>5</vt:i4>
      </vt:variant>
      <vt:variant>
        <vt:lpwstr>http://www.nevo.co.il/law/4216/9.d</vt:lpwstr>
      </vt:variant>
      <vt:variant>
        <vt:lpwstr/>
      </vt:variant>
      <vt:variant>
        <vt:i4>2490468</vt:i4>
      </vt:variant>
      <vt:variant>
        <vt:i4>6</vt:i4>
      </vt:variant>
      <vt:variant>
        <vt:i4>0</vt:i4>
      </vt:variant>
      <vt:variant>
        <vt:i4>5</vt:i4>
      </vt:variant>
      <vt:variant>
        <vt:lpwstr>http://www.nevo.co.il/law/4216/9.a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2025-04-23T01:09:00Z</dcterms:created>
  <dcterms:modified xsi:type="dcterms:W3CDTF">2025-04-23T01:09:00Z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58944</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שי חג'ג'</vt:lpwstr>
  </property>
  <property fmtid="{D5CDD505-2E9C-101B-9397-08002B2CF9AE}" pid="10" name="LAWYER">
    <vt:lpwstr>דור כהן ;מנטסון;נודל</vt:lpwstr>
  </property>
  <property fmtid="{D5CDD505-2E9C-101B-9397-08002B2CF9AE}" pid="11" name="JUDGE">
    <vt:lpwstr>זהר דיבון סגל</vt:lpwstr>
  </property>
  <property fmtid="{D5CDD505-2E9C-101B-9397-08002B2CF9AE}" pid="12" name="CITY">
    <vt:lpwstr>נת'</vt:lpwstr>
  </property>
  <property fmtid="{D5CDD505-2E9C-101B-9397-08002B2CF9AE}" pid="13" name="DATE">
    <vt:lpwstr>20240124</vt:lpwstr>
  </property>
  <property fmtid="{D5CDD505-2E9C-101B-9397-08002B2CF9AE}" pid="14" name="TYPE_N_DATE">
    <vt:lpwstr>38020240124</vt:lpwstr>
  </property>
  <property fmtid="{D5CDD505-2E9C-101B-9397-08002B2CF9AE}" pid="15" name="WORDNUMPAGES">
    <vt:lpwstr>17</vt:lpwstr>
  </property>
  <property fmtid="{D5CDD505-2E9C-101B-9397-08002B2CF9AE}" pid="16" name="TYPE_ABS_DATE">
    <vt:lpwstr>380020240124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5786821;6045416;17939812;11269774;27229615;27665264;25829832;23827604;28437031;29428682;27615803;28226828;22841413;27313460:2;26991436;27624179;22695050;24929127;23226235;26559623;26316101;25695748;25578635;28197788;27507413;26998241;25601866;25469088</vt:lpwstr>
  </property>
  <property fmtid="{D5CDD505-2E9C-101B-9397-08002B2CF9AE}" pid="36" name="CASESLISTTMP2">
    <vt:lpwstr>27922147;26925331;27843374;26619911;27355740;27586867;13070717;21037797;5937094;6089504;23775111;21475024;10442453</vt:lpwstr>
  </property>
  <property fmtid="{D5CDD505-2E9C-101B-9397-08002B2CF9AE}" pid="37" name="LAWLISTTMP1">
    <vt:lpwstr>4216/006;009.a;009.d;010;036a.b</vt:lpwstr>
  </property>
  <property fmtid="{D5CDD505-2E9C-101B-9397-08002B2CF9AE}" pid="38" name="LAWLISTTMP2">
    <vt:lpwstr>70301/40ja</vt:lpwstr>
  </property>
</Properties>
</file>