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07961" w:rsidRPr="00DA5739" w14:paraId="4CB2BDF0" w14:textId="77777777" w:rsidTr="00903C2E">
        <w:trPr>
          <w:gridAfter w:val="1"/>
          <w:wAfter w:w="99" w:type="dxa"/>
          <w:trHeight w:hRule="exact" w:val="418"/>
          <w:jc w:val="center"/>
        </w:trPr>
        <w:tc>
          <w:tcPr>
            <w:tcW w:w="8721" w:type="dxa"/>
            <w:gridSpan w:val="4"/>
          </w:tcPr>
          <w:p w14:paraId="7724753E" w14:textId="77777777" w:rsidR="00707961" w:rsidRPr="00DA5739" w:rsidRDefault="00707961" w:rsidP="00F80F0F">
            <w:pPr>
              <w:pStyle w:val="a3"/>
              <w:jc w:val="center"/>
              <w:rPr>
                <w:rFonts w:ascii="Tahoma" w:hAnsi="Tahoma" w:cs="Tahoma"/>
                <w:color w:val="000080"/>
                <w:rtl/>
              </w:rPr>
            </w:pPr>
            <w:bookmarkStart w:id="0" w:name="FirstLawyer"/>
            <w:bookmarkStart w:id="1" w:name="LastJudge"/>
            <w:r w:rsidRPr="00DA5739">
              <w:rPr>
                <w:rFonts w:ascii="Tahoma" w:hAnsi="Tahoma" w:cs="Tahoma"/>
                <w:b/>
                <w:bCs/>
                <w:color w:val="000080"/>
                <w:rtl/>
              </w:rPr>
              <w:t>בית משפט השלום באילת</w:t>
            </w:r>
          </w:p>
        </w:tc>
      </w:tr>
      <w:tr w:rsidR="00707961" w:rsidRPr="00DA5739" w14:paraId="32360A52" w14:textId="77777777" w:rsidTr="00903C2E">
        <w:trPr>
          <w:gridAfter w:val="1"/>
          <w:wAfter w:w="99" w:type="dxa"/>
          <w:trHeight w:val="337"/>
          <w:jc w:val="center"/>
        </w:trPr>
        <w:tc>
          <w:tcPr>
            <w:tcW w:w="5054" w:type="dxa"/>
            <w:gridSpan w:val="3"/>
          </w:tcPr>
          <w:p w14:paraId="002D881E" w14:textId="77777777" w:rsidR="00707961" w:rsidRPr="00DA5739" w:rsidRDefault="00707961" w:rsidP="00F80F0F">
            <w:pPr>
              <w:rPr>
                <w:rFonts w:cs="FrankRuehl"/>
                <w:sz w:val="28"/>
                <w:szCs w:val="28"/>
                <w:rtl/>
              </w:rPr>
            </w:pPr>
            <w:r w:rsidRPr="00DA5739">
              <w:rPr>
                <w:rFonts w:cs="FrankRuehl"/>
                <w:sz w:val="28"/>
                <w:szCs w:val="28"/>
                <w:rtl/>
              </w:rPr>
              <w:t>ת"פ</w:t>
            </w:r>
            <w:r w:rsidRPr="00DA5739">
              <w:rPr>
                <w:rFonts w:cs="FrankRuehl" w:hint="cs"/>
                <w:sz w:val="28"/>
                <w:szCs w:val="28"/>
                <w:rtl/>
              </w:rPr>
              <w:t xml:space="preserve"> </w:t>
            </w:r>
            <w:r w:rsidRPr="00DA5739">
              <w:rPr>
                <w:rFonts w:cs="FrankRuehl"/>
                <w:sz w:val="28"/>
                <w:szCs w:val="28"/>
                <w:rtl/>
              </w:rPr>
              <w:t>22371-09-21</w:t>
            </w:r>
            <w:r w:rsidRPr="00DA5739">
              <w:rPr>
                <w:rFonts w:cs="FrankRuehl" w:hint="cs"/>
                <w:sz w:val="28"/>
                <w:szCs w:val="28"/>
                <w:rtl/>
              </w:rPr>
              <w:t xml:space="preserve"> </w:t>
            </w:r>
            <w:r w:rsidRPr="00DA5739">
              <w:rPr>
                <w:rFonts w:cs="FrankRuehl"/>
                <w:sz w:val="28"/>
                <w:szCs w:val="28"/>
                <w:rtl/>
              </w:rPr>
              <w:t>מדינת ישראל נ' לנדה</w:t>
            </w:r>
          </w:p>
          <w:p w14:paraId="6DCB97E6" w14:textId="77777777" w:rsidR="00707961" w:rsidRPr="00DA5739" w:rsidRDefault="00707961" w:rsidP="00F80F0F">
            <w:pPr>
              <w:pStyle w:val="a3"/>
              <w:rPr>
                <w:rFonts w:cs="FrankRuehl"/>
                <w:sz w:val="28"/>
                <w:szCs w:val="28"/>
                <w:rtl/>
              </w:rPr>
            </w:pPr>
          </w:p>
        </w:tc>
        <w:tc>
          <w:tcPr>
            <w:tcW w:w="3667" w:type="dxa"/>
          </w:tcPr>
          <w:p w14:paraId="368F4AD1" w14:textId="77777777" w:rsidR="00707961" w:rsidRPr="00DA5739" w:rsidRDefault="00707961" w:rsidP="00F80F0F">
            <w:pPr>
              <w:pStyle w:val="a3"/>
              <w:jc w:val="right"/>
              <w:rPr>
                <w:rFonts w:cs="FrankRuehl"/>
                <w:sz w:val="28"/>
                <w:szCs w:val="28"/>
                <w:rtl/>
              </w:rPr>
            </w:pPr>
          </w:p>
        </w:tc>
      </w:tr>
      <w:tr w:rsidR="00707961" w:rsidRPr="00DA5739" w14:paraId="28605D94" w14:textId="77777777" w:rsidTr="00903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E36AFD3" w14:textId="77777777" w:rsidR="00707961" w:rsidRPr="00DA5739" w:rsidRDefault="00707961" w:rsidP="00707961">
            <w:pPr>
              <w:jc w:val="both"/>
              <w:rPr>
                <w:rFonts w:ascii="David" w:hAnsi="David"/>
                <w:sz w:val="26"/>
                <w:szCs w:val="26"/>
              </w:rPr>
            </w:pPr>
            <w:r w:rsidRPr="00DA5739">
              <w:rPr>
                <w:rFonts w:hint="cs"/>
                <w:rtl/>
              </w:rPr>
              <w:t xml:space="preserve"> </w:t>
            </w:r>
            <w:r w:rsidRPr="00DA573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30408CB" w14:textId="77777777" w:rsidR="00707961" w:rsidRPr="00DA5739" w:rsidRDefault="00707961" w:rsidP="00F80F0F">
            <w:pPr>
              <w:rPr>
                <w:rFonts w:ascii="David" w:hAnsi="David"/>
                <w:b/>
                <w:bCs/>
                <w:sz w:val="26"/>
                <w:szCs w:val="26"/>
                <w:rtl/>
              </w:rPr>
            </w:pPr>
            <w:r w:rsidRPr="00DA5739">
              <w:rPr>
                <w:rFonts w:ascii="David" w:hAnsi="David"/>
                <w:b/>
                <w:bCs/>
                <w:sz w:val="26"/>
                <w:szCs w:val="26"/>
                <w:rtl/>
              </w:rPr>
              <w:t>כבוד השופט  גיל אדלמן</w:t>
            </w:r>
          </w:p>
          <w:p w14:paraId="7CD23719" w14:textId="77777777" w:rsidR="00707961" w:rsidRPr="00DA5739" w:rsidRDefault="00707961" w:rsidP="00F80F0F">
            <w:pPr>
              <w:rPr>
                <w:rFonts w:ascii="David" w:hAnsi="David"/>
                <w:sz w:val="26"/>
                <w:szCs w:val="26"/>
                <w:rtl/>
              </w:rPr>
            </w:pPr>
          </w:p>
          <w:p w14:paraId="2798B4E4" w14:textId="77777777" w:rsidR="00707961" w:rsidRPr="00DA5739" w:rsidRDefault="00707961" w:rsidP="00707961">
            <w:pPr>
              <w:jc w:val="both"/>
              <w:rPr>
                <w:rFonts w:ascii="David" w:hAnsi="David"/>
                <w:sz w:val="26"/>
                <w:szCs w:val="26"/>
              </w:rPr>
            </w:pPr>
          </w:p>
        </w:tc>
      </w:tr>
      <w:tr w:rsidR="00707961" w:rsidRPr="00DA5739" w14:paraId="6F201A3C" w14:textId="77777777" w:rsidTr="00903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F2CCF0" w14:textId="77777777" w:rsidR="00707961" w:rsidRPr="00DA5739" w:rsidRDefault="00707961" w:rsidP="00707961">
            <w:pPr>
              <w:jc w:val="both"/>
              <w:rPr>
                <w:rFonts w:ascii="David" w:hAnsi="David"/>
                <w:sz w:val="26"/>
                <w:szCs w:val="26"/>
              </w:rPr>
            </w:pPr>
            <w:bookmarkStart w:id="2" w:name="FirstAppellant"/>
            <w:r w:rsidRPr="00DA5739">
              <w:rPr>
                <w:rFonts w:ascii="David" w:hAnsi="David"/>
                <w:sz w:val="26"/>
                <w:szCs w:val="26"/>
                <w:rtl/>
              </w:rPr>
              <w:t>בעניין:</w:t>
            </w:r>
          </w:p>
        </w:tc>
        <w:tc>
          <w:tcPr>
            <w:tcW w:w="3219" w:type="dxa"/>
            <w:tcBorders>
              <w:top w:val="nil"/>
              <w:left w:val="nil"/>
              <w:bottom w:val="nil"/>
              <w:right w:val="nil"/>
            </w:tcBorders>
            <w:shd w:val="clear" w:color="auto" w:fill="auto"/>
          </w:tcPr>
          <w:p w14:paraId="64ACC251" w14:textId="77777777" w:rsidR="00707961" w:rsidRPr="00DA5739" w:rsidRDefault="00707961" w:rsidP="00707961">
            <w:pPr>
              <w:suppressLineNumbers/>
            </w:pPr>
            <w:r w:rsidRPr="00DA5739">
              <w:rPr>
                <w:rFonts w:ascii="Arial" w:hAnsi="Arial" w:hint="cs"/>
                <w:b/>
                <w:bCs/>
                <w:sz w:val="26"/>
                <w:szCs w:val="26"/>
                <w:rtl/>
              </w:rPr>
              <w:t>ה</w:t>
            </w:r>
            <w:r w:rsidRPr="00DA5739">
              <w:rPr>
                <w:rFonts w:ascii="Arial" w:hAnsi="Arial"/>
                <w:b/>
                <w:bCs/>
                <w:sz w:val="26"/>
                <w:szCs w:val="26"/>
                <w:rtl/>
              </w:rPr>
              <w:t>מאשימה</w:t>
            </w:r>
          </w:p>
          <w:p w14:paraId="52A780EE" w14:textId="77777777" w:rsidR="00707961" w:rsidRPr="00DA5739" w:rsidRDefault="00707961" w:rsidP="00F80F0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F0A0CB0" w14:textId="77777777" w:rsidR="00707961" w:rsidRPr="00DA5739" w:rsidRDefault="00707961" w:rsidP="00707961">
            <w:pPr>
              <w:suppressLineNumbers/>
            </w:pPr>
            <w:r w:rsidRPr="00DA5739">
              <w:rPr>
                <w:rFonts w:ascii="Arial" w:hAnsi="Arial"/>
                <w:b/>
                <w:bCs/>
                <w:sz w:val="26"/>
                <w:szCs w:val="26"/>
                <w:rtl/>
              </w:rPr>
              <w:t>מדינת ישראל</w:t>
            </w:r>
            <w:r w:rsidRPr="00DA5739">
              <w:rPr>
                <w:rFonts w:ascii="Arial" w:hAnsi="Arial" w:hint="cs"/>
                <w:b/>
                <w:bCs/>
                <w:sz w:val="26"/>
                <w:szCs w:val="26"/>
                <w:rtl/>
              </w:rPr>
              <w:t xml:space="preserve"> </w:t>
            </w:r>
            <w:r w:rsidRPr="00DA5739">
              <w:rPr>
                <w:rFonts w:ascii="Arial" w:hAnsi="Arial"/>
                <w:rtl/>
              </w:rPr>
              <w:t>ע"י ב"כ עוה"ד</w:t>
            </w:r>
            <w:r w:rsidRPr="00DA5739">
              <w:rPr>
                <w:rFonts w:hint="cs"/>
                <w:rtl/>
              </w:rPr>
              <w:t xml:space="preserve"> שירלי הדר</w:t>
            </w:r>
          </w:p>
          <w:p w14:paraId="3F95C129" w14:textId="77777777" w:rsidR="00707961" w:rsidRPr="00DA5739" w:rsidRDefault="00707961" w:rsidP="00F80F0F">
            <w:pPr>
              <w:rPr>
                <w:rFonts w:ascii="David" w:hAnsi="David"/>
                <w:sz w:val="26"/>
                <w:szCs w:val="26"/>
              </w:rPr>
            </w:pPr>
          </w:p>
        </w:tc>
      </w:tr>
      <w:bookmarkEnd w:id="2"/>
      <w:tr w:rsidR="00707961" w:rsidRPr="00DA5739" w14:paraId="46D71854" w14:textId="77777777" w:rsidTr="00903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9B4F8E" w14:textId="77777777" w:rsidR="00707961" w:rsidRPr="00DA5739" w:rsidRDefault="00707961" w:rsidP="0070796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A47D9D3" w14:textId="77777777" w:rsidR="00707961" w:rsidRPr="00DA5739" w:rsidRDefault="00707961" w:rsidP="00707961">
            <w:pPr>
              <w:jc w:val="center"/>
              <w:rPr>
                <w:rFonts w:ascii="David" w:hAnsi="David"/>
                <w:b/>
                <w:bCs/>
                <w:sz w:val="26"/>
                <w:szCs w:val="26"/>
                <w:rtl/>
              </w:rPr>
            </w:pPr>
          </w:p>
          <w:p w14:paraId="017C21F6" w14:textId="77777777" w:rsidR="00707961" w:rsidRPr="00DA5739" w:rsidRDefault="00707961" w:rsidP="00707961">
            <w:pPr>
              <w:jc w:val="center"/>
              <w:rPr>
                <w:rFonts w:ascii="David" w:hAnsi="David"/>
                <w:b/>
                <w:bCs/>
                <w:sz w:val="26"/>
                <w:szCs w:val="26"/>
                <w:rtl/>
              </w:rPr>
            </w:pPr>
            <w:r w:rsidRPr="00DA5739">
              <w:rPr>
                <w:rFonts w:ascii="David" w:hAnsi="David"/>
                <w:b/>
                <w:bCs/>
                <w:sz w:val="26"/>
                <w:szCs w:val="26"/>
                <w:rtl/>
              </w:rPr>
              <w:t>נגד</w:t>
            </w:r>
          </w:p>
          <w:p w14:paraId="122F9796" w14:textId="77777777" w:rsidR="00707961" w:rsidRPr="00DA5739" w:rsidRDefault="00707961" w:rsidP="00707961">
            <w:pPr>
              <w:jc w:val="both"/>
              <w:rPr>
                <w:rFonts w:ascii="David" w:hAnsi="David"/>
                <w:sz w:val="26"/>
                <w:szCs w:val="26"/>
              </w:rPr>
            </w:pPr>
          </w:p>
        </w:tc>
      </w:tr>
      <w:tr w:rsidR="00707961" w:rsidRPr="00DA5739" w14:paraId="229041AA" w14:textId="77777777" w:rsidTr="00903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CD34C1" w14:textId="77777777" w:rsidR="00707961" w:rsidRPr="00DA5739" w:rsidRDefault="00707961" w:rsidP="00F80F0F">
            <w:pPr>
              <w:rPr>
                <w:rFonts w:ascii="David" w:hAnsi="David"/>
                <w:sz w:val="26"/>
                <w:szCs w:val="26"/>
                <w:rtl/>
              </w:rPr>
            </w:pPr>
          </w:p>
        </w:tc>
        <w:tc>
          <w:tcPr>
            <w:tcW w:w="3219" w:type="dxa"/>
            <w:tcBorders>
              <w:top w:val="nil"/>
              <w:left w:val="nil"/>
              <w:bottom w:val="nil"/>
              <w:right w:val="nil"/>
            </w:tcBorders>
            <w:shd w:val="clear" w:color="auto" w:fill="auto"/>
          </w:tcPr>
          <w:p w14:paraId="0F6DB75E" w14:textId="77777777" w:rsidR="00707961" w:rsidRPr="00DA5739" w:rsidRDefault="00707961" w:rsidP="00F80F0F">
            <w:pPr>
              <w:rPr>
                <w:rFonts w:ascii="Arial" w:hAnsi="Arial"/>
                <w:b/>
                <w:bCs/>
                <w:sz w:val="26"/>
                <w:szCs w:val="26"/>
                <w:rtl/>
              </w:rPr>
            </w:pPr>
            <w:r w:rsidRPr="00DA5739">
              <w:rPr>
                <w:rFonts w:ascii="Arial" w:hAnsi="Arial"/>
                <w:b/>
                <w:bCs/>
                <w:sz w:val="26"/>
                <w:szCs w:val="26"/>
                <w:rtl/>
              </w:rPr>
              <w:t>הנאש</w:t>
            </w:r>
            <w:r w:rsidRPr="00DA5739">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7F205029" w14:textId="77777777" w:rsidR="00707961" w:rsidRPr="00DA5739" w:rsidRDefault="00707961" w:rsidP="00707961">
            <w:pPr>
              <w:suppressLineNumbers/>
            </w:pPr>
            <w:r w:rsidRPr="00DA5739">
              <w:rPr>
                <w:rFonts w:ascii="Arial" w:hAnsi="Arial"/>
                <w:b/>
                <w:bCs/>
                <w:sz w:val="26"/>
                <w:szCs w:val="26"/>
                <w:rtl/>
              </w:rPr>
              <w:t>רומן לנדה</w:t>
            </w:r>
            <w:r w:rsidRPr="00DA5739">
              <w:rPr>
                <w:rFonts w:ascii="Arial" w:hAnsi="Arial" w:hint="cs"/>
                <w:b/>
                <w:bCs/>
                <w:sz w:val="26"/>
                <w:szCs w:val="26"/>
                <w:rtl/>
              </w:rPr>
              <w:t xml:space="preserve"> </w:t>
            </w:r>
            <w:r w:rsidRPr="00DA5739">
              <w:rPr>
                <w:rFonts w:ascii="Arial" w:hAnsi="Arial"/>
                <w:rtl/>
              </w:rPr>
              <w:t>ע"י ב"כ עוה"ד</w:t>
            </w:r>
            <w:r w:rsidRPr="00DA5739">
              <w:rPr>
                <w:rFonts w:hint="cs"/>
                <w:rtl/>
              </w:rPr>
              <w:t xml:space="preserve"> נמרוד אבירם</w:t>
            </w:r>
          </w:p>
          <w:p w14:paraId="15B02BE2" w14:textId="77777777" w:rsidR="00707961" w:rsidRPr="00DA5739" w:rsidRDefault="00707961" w:rsidP="00F80F0F">
            <w:pPr>
              <w:rPr>
                <w:rFonts w:ascii="David" w:hAnsi="David"/>
                <w:sz w:val="26"/>
                <w:szCs w:val="26"/>
              </w:rPr>
            </w:pPr>
          </w:p>
        </w:tc>
      </w:tr>
    </w:tbl>
    <w:p w14:paraId="1333D1F4" w14:textId="77777777" w:rsidR="00903C2E" w:rsidRDefault="00903C2E" w:rsidP="00DA5739">
      <w:pPr>
        <w:rPr>
          <w:sz w:val="26"/>
          <w:szCs w:val="26"/>
          <w:rtl/>
        </w:rPr>
      </w:pPr>
    </w:p>
    <w:p w14:paraId="460A4426" w14:textId="77777777" w:rsidR="00903C2E" w:rsidRPr="00903C2E" w:rsidRDefault="00903C2E" w:rsidP="00903C2E">
      <w:pPr>
        <w:spacing w:after="120" w:line="240" w:lineRule="exact"/>
        <w:ind w:left="283" w:hanging="283"/>
        <w:jc w:val="both"/>
        <w:rPr>
          <w:rFonts w:ascii="FrankRuehl" w:hAnsi="FrankRuehl" w:cs="FrankRuehl"/>
          <w:rtl/>
        </w:rPr>
      </w:pPr>
    </w:p>
    <w:p w14:paraId="12E53CB9" w14:textId="77777777" w:rsidR="00B754BE" w:rsidRPr="00B754BE" w:rsidRDefault="00B754BE" w:rsidP="00B754BE">
      <w:pPr>
        <w:spacing w:before="120" w:after="120" w:line="240" w:lineRule="exact"/>
        <w:ind w:left="283" w:hanging="283"/>
        <w:jc w:val="both"/>
        <w:rPr>
          <w:rFonts w:ascii="FrankRuehl" w:hAnsi="FrankRuehl" w:cs="FrankRuehl"/>
          <w:rtl/>
        </w:rPr>
      </w:pPr>
    </w:p>
    <w:p w14:paraId="7F5753A7" w14:textId="77777777" w:rsidR="001416E3" w:rsidRDefault="001416E3" w:rsidP="001416E3">
      <w:pPr>
        <w:rPr>
          <w:sz w:val="26"/>
          <w:szCs w:val="26"/>
          <w:rtl/>
        </w:rPr>
      </w:pPr>
      <w:bookmarkStart w:id="3" w:name="LawTable"/>
      <w:bookmarkEnd w:id="3"/>
    </w:p>
    <w:p w14:paraId="543134B0" w14:textId="77777777" w:rsidR="001416E3" w:rsidRPr="001416E3" w:rsidRDefault="001416E3" w:rsidP="001416E3">
      <w:pPr>
        <w:spacing w:before="120" w:after="120" w:line="240" w:lineRule="exact"/>
        <w:ind w:left="283" w:hanging="283"/>
        <w:jc w:val="both"/>
        <w:rPr>
          <w:rFonts w:ascii="FrankRuehl" w:hAnsi="FrankRuehl" w:cs="FrankRuehl"/>
          <w:rtl/>
        </w:rPr>
      </w:pPr>
    </w:p>
    <w:p w14:paraId="7EBF2A10" w14:textId="77777777" w:rsidR="001416E3" w:rsidRPr="001416E3" w:rsidRDefault="001416E3" w:rsidP="001416E3">
      <w:pPr>
        <w:spacing w:before="120" w:after="120" w:line="240" w:lineRule="exact"/>
        <w:ind w:left="283" w:hanging="283"/>
        <w:jc w:val="both"/>
        <w:rPr>
          <w:rFonts w:ascii="FrankRuehl" w:hAnsi="FrankRuehl" w:cs="FrankRuehl"/>
          <w:rtl/>
        </w:rPr>
      </w:pPr>
    </w:p>
    <w:p w14:paraId="06BD97C2" w14:textId="77777777" w:rsidR="001416E3" w:rsidRPr="001416E3" w:rsidRDefault="001416E3" w:rsidP="001416E3">
      <w:pPr>
        <w:spacing w:before="120" w:after="120" w:line="240" w:lineRule="exact"/>
        <w:ind w:left="283" w:hanging="283"/>
        <w:jc w:val="both"/>
        <w:rPr>
          <w:rFonts w:ascii="FrankRuehl" w:hAnsi="FrankRuehl" w:cs="FrankRuehl"/>
          <w:rtl/>
        </w:rPr>
      </w:pPr>
      <w:r w:rsidRPr="001416E3">
        <w:rPr>
          <w:rFonts w:ascii="FrankRuehl" w:hAnsi="FrankRuehl" w:cs="FrankRuehl"/>
          <w:rtl/>
        </w:rPr>
        <w:t xml:space="preserve">חקיקה שאוזכרה: </w:t>
      </w:r>
    </w:p>
    <w:p w14:paraId="3273AF57" w14:textId="77777777" w:rsidR="001416E3" w:rsidRPr="001416E3" w:rsidRDefault="001416E3" w:rsidP="001416E3">
      <w:pPr>
        <w:spacing w:before="120" w:after="120" w:line="240" w:lineRule="exact"/>
        <w:ind w:left="283" w:hanging="283"/>
        <w:jc w:val="both"/>
        <w:rPr>
          <w:rFonts w:ascii="FrankRuehl" w:hAnsi="FrankRuehl" w:cs="FrankRuehl"/>
          <w:rtl/>
        </w:rPr>
      </w:pPr>
      <w:hyperlink r:id="rId7" w:history="1">
        <w:r w:rsidRPr="001416E3">
          <w:rPr>
            <w:rFonts w:ascii="FrankRuehl" w:hAnsi="FrankRuehl" w:cs="FrankRuehl"/>
            <w:color w:val="0000FF"/>
            <w:rtl/>
          </w:rPr>
          <w:t>פקודת הסמים המסוכנים [נוסח חדש], תשל"ג-1973</w:t>
        </w:r>
      </w:hyperlink>
      <w:r w:rsidRPr="001416E3">
        <w:rPr>
          <w:rFonts w:ascii="FrankRuehl" w:hAnsi="FrankRuehl" w:cs="FrankRuehl"/>
          <w:rtl/>
        </w:rPr>
        <w:t xml:space="preserve">: סע'  </w:t>
      </w:r>
      <w:hyperlink r:id="rId8" w:history="1">
        <w:r w:rsidRPr="001416E3">
          <w:rPr>
            <w:rFonts w:ascii="FrankRuehl" w:hAnsi="FrankRuehl" w:cs="FrankRuehl"/>
            <w:color w:val="0000FF"/>
            <w:rtl/>
          </w:rPr>
          <w:t>7(א)</w:t>
        </w:r>
      </w:hyperlink>
      <w:r w:rsidRPr="001416E3">
        <w:rPr>
          <w:rFonts w:ascii="FrankRuehl" w:hAnsi="FrankRuehl" w:cs="FrankRuehl"/>
          <w:rtl/>
        </w:rPr>
        <w:t xml:space="preserve">, </w:t>
      </w:r>
      <w:hyperlink r:id="rId9" w:history="1">
        <w:r w:rsidRPr="001416E3">
          <w:rPr>
            <w:rFonts w:ascii="FrankRuehl" w:hAnsi="FrankRuehl" w:cs="FrankRuehl"/>
            <w:color w:val="0000FF"/>
            <w:rtl/>
          </w:rPr>
          <w:t>7(ג)</w:t>
        </w:r>
      </w:hyperlink>
      <w:r w:rsidRPr="001416E3">
        <w:rPr>
          <w:rFonts w:ascii="FrankRuehl" w:hAnsi="FrankRuehl" w:cs="FrankRuehl"/>
          <w:rtl/>
        </w:rPr>
        <w:t xml:space="preserve">, </w:t>
      </w:r>
      <w:hyperlink r:id="rId10" w:history="1">
        <w:r w:rsidRPr="001416E3">
          <w:rPr>
            <w:rFonts w:ascii="FrankRuehl" w:hAnsi="FrankRuehl" w:cs="FrankRuehl"/>
            <w:color w:val="0000FF"/>
            <w:rtl/>
          </w:rPr>
          <w:t>13</w:t>
        </w:r>
      </w:hyperlink>
      <w:r w:rsidRPr="001416E3">
        <w:rPr>
          <w:rFonts w:ascii="FrankRuehl" w:hAnsi="FrankRuehl" w:cs="FrankRuehl"/>
          <w:rtl/>
        </w:rPr>
        <w:t xml:space="preserve">, </w:t>
      </w:r>
      <w:hyperlink r:id="rId11" w:history="1">
        <w:r w:rsidRPr="001416E3">
          <w:rPr>
            <w:rFonts w:ascii="FrankRuehl" w:hAnsi="FrankRuehl" w:cs="FrankRuehl"/>
            <w:color w:val="0000FF"/>
            <w:rtl/>
          </w:rPr>
          <w:t>19א</w:t>
        </w:r>
      </w:hyperlink>
    </w:p>
    <w:p w14:paraId="1B1A697C" w14:textId="77777777" w:rsidR="001416E3" w:rsidRPr="001416E3" w:rsidRDefault="001416E3" w:rsidP="001416E3">
      <w:pPr>
        <w:spacing w:before="120" w:after="120" w:line="240" w:lineRule="exact"/>
        <w:ind w:left="283" w:hanging="283"/>
        <w:jc w:val="both"/>
        <w:rPr>
          <w:rFonts w:ascii="FrankRuehl" w:hAnsi="FrankRuehl" w:cs="FrankRuehl"/>
          <w:rtl/>
        </w:rPr>
      </w:pPr>
      <w:hyperlink r:id="rId12" w:history="1">
        <w:r w:rsidRPr="001416E3">
          <w:rPr>
            <w:rFonts w:ascii="FrankRuehl" w:hAnsi="FrankRuehl" w:cs="FrankRuehl"/>
            <w:color w:val="0000FF"/>
            <w:rtl/>
          </w:rPr>
          <w:t>חוק העונשין, תשל"ז-1977</w:t>
        </w:r>
      </w:hyperlink>
      <w:r w:rsidRPr="001416E3">
        <w:rPr>
          <w:rFonts w:ascii="FrankRuehl" w:hAnsi="FrankRuehl" w:cs="FrankRuehl"/>
          <w:rtl/>
        </w:rPr>
        <w:t xml:space="preserve">: סע'  </w:t>
      </w:r>
      <w:hyperlink r:id="rId13" w:history="1">
        <w:r w:rsidRPr="001416E3">
          <w:rPr>
            <w:rFonts w:ascii="FrankRuehl" w:hAnsi="FrankRuehl" w:cs="FrankRuehl"/>
            <w:color w:val="0000FF"/>
            <w:rtl/>
          </w:rPr>
          <w:t>40ד</w:t>
        </w:r>
      </w:hyperlink>
      <w:r w:rsidRPr="001416E3">
        <w:rPr>
          <w:rFonts w:ascii="FrankRuehl" w:hAnsi="FrankRuehl" w:cs="FrankRuehl"/>
          <w:rtl/>
        </w:rPr>
        <w:t xml:space="preserve">, </w:t>
      </w:r>
      <w:hyperlink r:id="rId14" w:history="1">
        <w:r w:rsidRPr="001416E3">
          <w:rPr>
            <w:rFonts w:ascii="FrankRuehl" w:hAnsi="FrankRuehl" w:cs="FrankRuehl"/>
            <w:color w:val="0000FF"/>
            <w:rtl/>
          </w:rPr>
          <w:t>40יא</w:t>
        </w:r>
      </w:hyperlink>
    </w:p>
    <w:p w14:paraId="5F4D7B75" w14:textId="77777777" w:rsidR="001416E3" w:rsidRPr="001416E3" w:rsidRDefault="001416E3" w:rsidP="001416E3">
      <w:pPr>
        <w:rPr>
          <w:sz w:val="26"/>
          <w:szCs w:val="26"/>
          <w:rtl/>
        </w:rPr>
      </w:pPr>
      <w:bookmarkStart w:id="4" w:name="LawTable_End"/>
      <w:bookmarkEnd w:id="4"/>
    </w:p>
    <w:p w14:paraId="3A86274C" w14:textId="77777777" w:rsidR="00707961" w:rsidRPr="00B754BE" w:rsidRDefault="00707961" w:rsidP="00B754B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7961" w14:paraId="6A381DBA" w14:textId="77777777" w:rsidTr="00707961">
        <w:trPr>
          <w:trHeight w:val="355"/>
          <w:jc w:val="center"/>
        </w:trPr>
        <w:tc>
          <w:tcPr>
            <w:tcW w:w="8820" w:type="dxa"/>
            <w:tcBorders>
              <w:top w:val="nil"/>
              <w:left w:val="nil"/>
              <w:bottom w:val="nil"/>
              <w:right w:val="nil"/>
            </w:tcBorders>
            <w:shd w:val="clear" w:color="auto" w:fill="auto"/>
          </w:tcPr>
          <w:p w14:paraId="479E68BF" w14:textId="77777777" w:rsidR="00DA5739" w:rsidRPr="00DA5739" w:rsidRDefault="00DA5739" w:rsidP="00DA5739">
            <w:pPr>
              <w:jc w:val="center"/>
              <w:rPr>
                <w:rFonts w:ascii="David" w:hAnsi="David"/>
                <w:b/>
                <w:bCs/>
                <w:sz w:val="32"/>
                <w:szCs w:val="32"/>
                <w:u w:val="single"/>
                <w:rtl/>
              </w:rPr>
            </w:pPr>
            <w:bookmarkStart w:id="5" w:name="PsakDin" w:colFirst="0" w:colLast="0"/>
            <w:bookmarkEnd w:id="0"/>
            <w:bookmarkEnd w:id="1"/>
            <w:r w:rsidRPr="00DA5739">
              <w:rPr>
                <w:rFonts w:ascii="David" w:hAnsi="David"/>
                <w:b/>
                <w:bCs/>
                <w:sz w:val="32"/>
                <w:szCs w:val="32"/>
                <w:u w:val="single"/>
                <w:rtl/>
              </w:rPr>
              <w:t>גזר דין</w:t>
            </w:r>
          </w:p>
          <w:p w14:paraId="232554EF" w14:textId="77777777" w:rsidR="00707961" w:rsidRPr="00DA5739" w:rsidRDefault="00707961" w:rsidP="00DA5739">
            <w:pPr>
              <w:jc w:val="center"/>
              <w:rPr>
                <w:rFonts w:ascii="David" w:hAnsi="David"/>
                <w:bCs/>
                <w:sz w:val="32"/>
                <w:szCs w:val="32"/>
                <w:u w:val="single"/>
                <w:rtl/>
              </w:rPr>
            </w:pPr>
          </w:p>
        </w:tc>
      </w:tr>
      <w:bookmarkEnd w:id="5"/>
    </w:tbl>
    <w:p w14:paraId="05D95EA9" w14:textId="77777777" w:rsidR="00707961" w:rsidRPr="000F2247" w:rsidRDefault="00707961" w:rsidP="00707961">
      <w:pPr>
        <w:rPr>
          <w:rFonts w:ascii="Arial" w:hAnsi="Arial"/>
          <w:b/>
          <w:bCs/>
          <w:sz w:val="26"/>
          <w:szCs w:val="26"/>
          <w:rtl/>
        </w:rPr>
      </w:pPr>
    </w:p>
    <w:p w14:paraId="7F11370F" w14:textId="77777777" w:rsidR="00707961" w:rsidRDefault="00707961" w:rsidP="00707961">
      <w:pPr>
        <w:spacing w:line="360" w:lineRule="auto"/>
        <w:jc w:val="both"/>
        <w:rPr>
          <w:rFonts w:ascii="David" w:hAnsi="David"/>
          <w:b/>
          <w:bCs/>
          <w:u w:val="single"/>
          <w:rtl/>
        </w:rPr>
      </w:pPr>
      <w:r>
        <w:rPr>
          <w:rFonts w:ascii="David" w:hAnsi="David"/>
          <w:b/>
          <w:bCs/>
          <w:u w:val="single"/>
          <w:rtl/>
        </w:rPr>
        <w:t xml:space="preserve">המסגרת העובדתית </w:t>
      </w:r>
    </w:p>
    <w:p w14:paraId="527A2718" w14:textId="77777777" w:rsidR="00707961" w:rsidRDefault="00707961" w:rsidP="00707961">
      <w:pPr>
        <w:spacing w:line="360" w:lineRule="auto"/>
        <w:jc w:val="both"/>
        <w:rPr>
          <w:rFonts w:ascii="David" w:hAnsi="David"/>
          <w:rtl/>
        </w:rPr>
      </w:pPr>
    </w:p>
    <w:p w14:paraId="333AAC3F" w14:textId="77777777" w:rsidR="00707961" w:rsidRDefault="00707961" w:rsidP="00707961">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רומן לנדה, הורשע על פי הודאתו במסגרת הסדר טיעון בכתב אישום מתוקן המייחס לו עבירות של החזקת סם לצריכה עצמית – עבירה לפי </w:t>
      </w:r>
      <w:hyperlink r:id="rId15" w:history="1">
        <w:r w:rsidR="00903C2E" w:rsidRPr="00903C2E">
          <w:rPr>
            <w:rStyle w:val="Hyperlink"/>
            <w:rFonts w:ascii="David" w:hAnsi="David" w:cs="David"/>
            <w:sz w:val="24"/>
            <w:szCs w:val="24"/>
            <w:rtl/>
          </w:rPr>
          <w:t>סעיף 7(א)</w:t>
        </w:r>
      </w:hyperlink>
      <w:r>
        <w:rPr>
          <w:rFonts w:ascii="David" w:hAnsi="David" w:cs="David"/>
          <w:sz w:val="24"/>
          <w:szCs w:val="24"/>
          <w:rtl/>
        </w:rPr>
        <w:t xml:space="preserve"> + </w:t>
      </w:r>
      <w:hyperlink r:id="rId16" w:history="1">
        <w:r w:rsidR="00903C2E" w:rsidRPr="00903C2E">
          <w:rPr>
            <w:rStyle w:val="Hyperlink"/>
            <w:rFonts w:ascii="David" w:hAnsi="David" w:cs="David"/>
            <w:sz w:val="24"/>
            <w:szCs w:val="24"/>
            <w:rtl/>
          </w:rPr>
          <w:t>7(ג)</w:t>
        </w:r>
      </w:hyperlink>
      <w:r>
        <w:rPr>
          <w:rFonts w:ascii="David" w:hAnsi="David" w:cs="David"/>
          <w:sz w:val="24"/>
          <w:szCs w:val="24"/>
          <w:rtl/>
        </w:rPr>
        <w:t xml:space="preserve"> סיפא ל</w:t>
      </w:r>
      <w:hyperlink r:id="rId17" w:history="1">
        <w:r w:rsidR="00DA5739" w:rsidRPr="00DA573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ובשתי עבירות של סחר בסמים מסוכנים –לפי </w:t>
      </w:r>
      <w:hyperlink r:id="rId18" w:history="1">
        <w:r w:rsidR="00903C2E" w:rsidRPr="00903C2E">
          <w:rPr>
            <w:rStyle w:val="Hyperlink"/>
            <w:rFonts w:ascii="David" w:hAnsi="David" w:cs="David"/>
            <w:sz w:val="24"/>
            <w:szCs w:val="24"/>
            <w:rtl/>
          </w:rPr>
          <w:t>סעיף 13</w:t>
        </w:r>
      </w:hyperlink>
      <w:r>
        <w:rPr>
          <w:rFonts w:ascii="David" w:hAnsi="David" w:cs="David"/>
          <w:sz w:val="24"/>
          <w:szCs w:val="24"/>
          <w:rtl/>
        </w:rPr>
        <w:t xml:space="preserve"> + </w:t>
      </w:r>
      <w:hyperlink r:id="rId19" w:history="1">
        <w:r w:rsidR="00903C2E" w:rsidRPr="00903C2E">
          <w:rPr>
            <w:rStyle w:val="Hyperlink"/>
            <w:rFonts w:ascii="David" w:hAnsi="David" w:cs="David"/>
            <w:sz w:val="24"/>
            <w:szCs w:val="24"/>
            <w:rtl/>
          </w:rPr>
          <w:t>19א</w:t>
        </w:r>
      </w:hyperlink>
      <w:r>
        <w:rPr>
          <w:rFonts w:ascii="David" w:hAnsi="David" w:cs="David"/>
          <w:sz w:val="24"/>
          <w:szCs w:val="24"/>
          <w:rtl/>
        </w:rPr>
        <w:t xml:space="preserve"> לפקודת הסמים.</w:t>
      </w:r>
    </w:p>
    <w:p w14:paraId="6CEEAF45" w14:textId="77777777" w:rsidR="00707961" w:rsidRDefault="00707961" w:rsidP="00707961">
      <w:pPr>
        <w:pStyle w:val="aa"/>
        <w:spacing w:line="360" w:lineRule="auto"/>
        <w:ind w:left="360"/>
        <w:jc w:val="both"/>
        <w:rPr>
          <w:rFonts w:ascii="David" w:hAnsi="David" w:cs="David"/>
          <w:sz w:val="24"/>
          <w:szCs w:val="24"/>
        </w:rPr>
      </w:pPr>
      <w:bookmarkStart w:id="7" w:name="ABSTRACT_END"/>
      <w:bookmarkEnd w:id="7"/>
    </w:p>
    <w:p w14:paraId="1BC6E7B9"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כתב האישום המתוקן מחזיק שני אישומים; על פי האישום הראשון,  בתאריך 2.9.2021, בשעה 18:57 לערך, ברח' עין נטפים 16 באילת,  מכר הנאשם לאחר, אופק ריחני מיסק,  סם מסוכן מסוג קנבוס במשקל של 6.78 גרם נטו בתמורה ל 400 ₪.</w:t>
      </w:r>
    </w:p>
    <w:p w14:paraId="38B46F36" w14:textId="77777777" w:rsidR="00707961" w:rsidRDefault="00707961" w:rsidP="00707961">
      <w:pPr>
        <w:pStyle w:val="aa"/>
        <w:spacing w:line="360" w:lineRule="auto"/>
        <w:ind w:left="360"/>
        <w:jc w:val="both"/>
        <w:rPr>
          <w:rFonts w:ascii="David" w:hAnsi="David" w:cs="David"/>
          <w:sz w:val="24"/>
          <w:szCs w:val="24"/>
          <w:rtl/>
        </w:rPr>
      </w:pPr>
    </w:p>
    <w:p w14:paraId="7D1B3DA2"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lastRenderedPageBreak/>
        <w:t>עוד מספר כתב האישום כי באותו המועד  החזיק הנאשם סם מסוכן מסוג קנבוס במשקל של 4.54 ו 4.74 גרם נטו. את הסמים החזיק ללא היתר, לצריכתו העצמית.</w:t>
      </w:r>
    </w:p>
    <w:p w14:paraId="191879F2" w14:textId="77777777" w:rsidR="00707961" w:rsidRDefault="00707961" w:rsidP="00707961">
      <w:pPr>
        <w:pStyle w:val="aa"/>
        <w:spacing w:line="360" w:lineRule="auto"/>
        <w:ind w:left="360"/>
        <w:jc w:val="both"/>
        <w:rPr>
          <w:rFonts w:ascii="David" w:hAnsi="David" w:cs="David"/>
          <w:sz w:val="24"/>
          <w:szCs w:val="24"/>
        </w:rPr>
      </w:pPr>
    </w:p>
    <w:p w14:paraId="5B0B09C3"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 xml:space="preserve">על פי האישום השני, במהלך החודשים אוגוסט – ספטמבר 2021, מכר לאחד, שקד סעדון,  סם מסוכן מסוג קנבוס במשקל 5 גרם בתמורה ל 400 ₪. </w:t>
      </w:r>
    </w:p>
    <w:p w14:paraId="5182574E" w14:textId="77777777" w:rsidR="00707961" w:rsidRDefault="00707961" w:rsidP="00707961">
      <w:pPr>
        <w:pStyle w:val="aa"/>
        <w:spacing w:line="360" w:lineRule="auto"/>
        <w:ind w:left="360"/>
        <w:jc w:val="both"/>
        <w:rPr>
          <w:rFonts w:ascii="David" w:hAnsi="David" w:cs="David"/>
          <w:sz w:val="24"/>
          <w:szCs w:val="24"/>
          <w:rtl/>
        </w:rPr>
      </w:pPr>
    </w:p>
    <w:p w14:paraId="105C2088"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בדיון שהתקיים ביום 1.12.2021 הציגו הצדדים הסדר טיעון דיוני, במסגרתו הודה הנאשם בכתב אישום מתוקן, והורשע על פי הודאתו; הנאשם הופנה, בהסכמת הצדדים, לקבלת תסקיר שירות המבחן, והדיון נדחה לטיעונים לעונש. בעניינו של הנאשם התקבל תסקיר ולבקשת שירות המבחן נדחה הדיון לטובת גיבוש המלצה סופית והגשת תסקיר משלים. </w:t>
      </w:r>
    </w:p>
    <w:p w14:paraId="3958C90A" w14:textId="77777777" w:rsidR="00707961" w:rsidRDefault="00707961" w:rsidP="00707961">
      <w:pPr>
        <w:pStyle w:val="aa"/>
        <w:spacing w:line="360" w:lineRule="auto"/>
        <w:ind w:left="360"/>
        <w:jc w:val="both"/>
        <w:rPr>
          <w:rFonts w:ascii="David" w:hAnsi="David" w:cs="David"/>
          <w:sz w:val="24"/>
          <w:szCs w:val="24"/>
        </w:rPr>
      </w:pPr>
    </w:p>
    <w:p w14:paraId="1E2550FD"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במועד 28.6.2022,לאחר שהתקבל התסקיר בעניינו של הנאשם, טענו הצדדים לעונש.</w:t>
      </w:r>
    </w:p>
    <w:p w14:paraId="18A0B0E9" w14:textId="77777777" w:rsidR="00707961" w:rsidRPr="00CC7859" w:rsidRDefault="00707961" w:rsidP="00707961">
      <w:pPr>
        <w:spacing w:line="360" w:lineRule="auto"/>
        <w:jc w:val="both"/>
        <w:rPr>
          <w:rFonts w:ascii="David" w:hAnsi="David"/>
          <w:b/>
          <w:bCs/>
          <w:rtl/>
        </w:rPr>
      </w:pPr>
      <w:r w:rsidRPr="00CC7859">
        <w:rPr>
          <w:rFonts w:ascii="David" w:hAnsi="David"/>
          <w:b/>
          <w:bCs/>
          <w:u w:val="single"/>
          <w:rtl/>
        </w:rPr>
        <w:t>תסקירי שירות המבחן</w:t>
      </w:r>
    </w:p>
    <w:p w14:paraId="67AF9A8E" w14:textId="77777777" w:rsidR="00707961" w:rsidRDefault="00707961" w:rsidP="00707961">
      <w:pPr>
        <w:pStyle w:val="aa"/>
        <w:spacing w:line="360" w:lineRule="auto"/>
        <w:ind w:left="360"/>
        <w:jc w:val="both"/>
        <w:rPr>
          <w:rFonts w:ascii="David" w:hAnsi="David" w:cs="David"/>
          <w:sz w:val="24"/>
          <w:szCs w:val="24"/>
          <w:rtl/>
        </w:rPr>
      </w:pPr>
    </w:p>
    <w:p w14:paraId="56C93777"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בתסקיר שהוגש ביום 22.2.2022  (להלן: התסקיר הראשון) פרט שירות המבחן את נתוניו האישיים של הנאשם. </w:t>
      </w:r>
    </w:p>
    <w:p w14:paraId="0061B011"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התסקיר גולל את הרקע לשימוש הנאשם בסמים, ובהמשך, פרט התסקיר את התייחסותו של הנאשם לעבירות המיוחסות לו. קצינת המבחן התרשמה כי מדובר בצעיר בעל מערכת ערכים  נורמטיבית ושאיפות תקינות. לאור זאת התבקשה דחייה של הדיון לטובת שילובו של הנאשם בקבוצת צעירים בשירות המבחן, אשר עשויה לקדם את הנאשם ולסייע לו בהליך גיבוש זהותו.</w:t>
      </w:r>
    </w:p>
    <w:p w14:paraId="3EAC3BDE" w14:textId="77777777" w:rsidR="00707961" w:rsidRDefault="00707961" w:rsidP="00707961">
      <w:pPr>
        <w:pStyle w:val="aa"/>
        <w:spacing w:line="360" w:lineRule="auto"/>
        <w:ind w:left="360"/>
        <w:jc w:val="both"/>
        <w:rPr>
          <w:rFonts w:ascii="David" w:hAnsi="David" w:cs="David"/>
          <w:sz w:val="24"/>
          <w:szCs w:val="24"/>
          <w:rtl/>
        </w:rPr>
      </w:pPr>
    </w:p>
    <w:p w14:paraId="70817642" w14:textId="77777777" w:rsidR="00707961" w:rsidRDefault="00707961" w:rsidP="00707961">
      <w:pPr>
        <w:pStyle w:val="aa"/>
        <w:spacing w:line="360" w:lineRule="auto"/>
        <w:ind w:left="360"/>
        <w:jc w:val="both"/>
        <w:rPr>
          <w:rFonts w:ascii="David" w:hAnsi="David" w:cs="David"/>
          <w:sz w:val="24"/>
          <w:szCs w:val="24"/>
          <w:rtl/>
        </w:rPr>
      </w:pPr>
    </w:p>
    <w:p w14:paraId="31A2BC8F" w14:textId="77777777" w:rsidR="00707961" w:rsidRDefault="00707961" w:rsidP="0070796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בתסקיר המשלים, שהוגש ביום 16.6.2022 (להלן: התסקיר המשלים), חזר שירות המבחן על ההתרשמות מהנאשם כפי שעלתה בתסקיר הקודם. עוד צוין כי הנאשם אכן השתלב החל מחודש מרץ בקבוצת הצעירים בשירות המבחן. </w:t>
      </w:r>
    </w:p>
    <w:p w14:paraId="4B289A15"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 xml:space="preserve">קצינת המבחן הדגישה כי הנאשם הגיע לכל המפגשים בזמן שנקבע. בהמשך, אף שיתף באופן נרחב אודות אירוע העבירה, נסיבותיו והתנהלותו. התרשמות הצוות הטיפולי היתה כי הנאשם מייחס חשיבות להזדמנות שנתנה לו על ידי בית המשפט. קצינת המבחן העריכה כי המשך שילובו של הנאשם בקבוצה יסייע בהליך החיובי אותו הוא עובר. הכוונה, בין היתר, לבחינת התנהלותו טרם אירוע העבירה והמניעים לה. כן החל הנאשם לבחון את בחירותיו ויחסיו החברתיים. </w:t>
      </w:r>
    </w:p>
    <w:p w14:paraId="6FABF330"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לאור האמור, המליץ שירות המבחן על המשך שילובו של הנאשם בטיפול הקבוצתי במסגרת צו מבחן למשך שנה, בליווי בדיקות לגילוי שרידי סם. עוד הומלץ העמדתו של הנאשם בצו של"צ נרחב למשך 300 שעות והטלת התחייבות כספית. </w:t>
      </w:r>
    </w:p>
    <w:p w14:paraId="329D774B" w14:textId="77777777" w:rsidR="00707961" w:rsidRDefault="00707961" w:rsidP="00707961">
      <w:pPr>
        <w:pStyle w:val="aa"/>
        <w:spacing w:line="360" w:lineRule="auto"/>
        <w:ind w:left="360"/>
        <w:jc w:val="both"/>
        <w:rPr>
          <w:rFonts w:ascii="David" w:hAnsi="David" w:cs="David"/>
          <w:sz w:val="24"/>
          <w:szCs w:val="24"/>
          <w:rtl/>
        </w:rPr>
      </w:pPr>
    </w:p>
    <w:p w14:paraId="5DF63FA7" w14:textId="77777777" w:rsidR="00707961" w:rsidRPr="00CC7859" w:rsidRDefault="00707961" w:rsidP="00707961">
      <w:pPr>
        <w:pStyle w:val="aa"/>
        <w:spacing w:line="360" w:lineRule="auto"/>
        <w:ind w:left="0"/>
        <w:jc w:val="both"/>
        <w:rPr>
          <w:rFonts w:ascii="David" w:hAnsi="David" w:cs="David"/>
          <w:b/>
          <w:bCs/>
          <w:sz w:val="24"/>
          <w:szCs w:val="24"/>
          <w:rtl/>
        </w:rPr>
      </w:pPr>
      <w:r w:rsidRPr="00CC7859">
        <w:rPr>
          <w:rFonts w:ascii="David" w:hAnsi="David" w:cs="David"/>
          <w:b/>
          <w:bCs/>
          <w:sz w:val="24"/>
          <w:szCs w:val="24"/>
          <w:u w:val="single"/>
          <w:rtl/>
        </w:rPr>
        <w:lastRenderedPageBreak/>
        <w:t>טיעוני המאשימה לעונש</w:t>
      </w:r>
    </w:p>
    <w:p w14:paraId="4AF4C77A" w14:textId="77777777" w:rsidR="00707961" w:rsidRDefault="00707961" w:rsidP="00707961">
      <w:pPr>
        <w:pStyle w:val="aa"/>
        <w:spacing w:line="360" w:lineRule="auto"/>
        <w:ind w:left="360"/>
        <w:jc w:val="both"/>
        <w:rPr>
          <w:rFonts w:ascii="David" w:hAnsi="David" w:cs="David"/>
          <w:sz w:val="24"/>
          <w:szCs w:val="24"/>
          <w:rtl/>
        </w:rPr>
      </w:pPr>
    </w:p>
    <w:p w14:paraId="2B957D0C"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התובעת בטיעוניה לעונש, ביקשה מבית המשפט לקבוע כי העבירות המיוחסות לנאשם, הנוגעות לסחר בסמים, מגלמות 2 אירועים שונים, בגינם יש לקבוע מתחמי ענישה נפרדים.  </w:t>
      </w:r>
    </w:p>
    <w:p w14:paraId="20EAF427" w14:textId="77777777" w:rsidR="00707961" w:rsidRDefault="00707961" w:rsidP="00707961">
      <w:pPr>
        <w:pStyle w:val="aa"/>
        <w:spacing w:line="360" w:lineRule="auto"/>
        <w:ind w:left="360"/>
        <w:jc w:val="both"/>
        <w:rPr>
          <w:rFonts w:ascii="David" w:hAnsi="David" w:cs="David"/>
          <w:sz w:val="24"/>
          <w:szCs w:val="24"/>
        </w:rPr>
      </w:pPr>
    </w:p>
    <w:p w14:paraId="70A537E2"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 לשיטת המאשימה, יש לקבוע מתחם הנע בין 6 חודשים ועד ל 12 חודשי מאסר בפועל בגין כל אירוע, ולמקם את עונשו של הנאשם ברף הבינוני נמוך של המתחם. </w:t>
      </w:r>
    </w:p>
    <w:p w14:paraId="0D5DD064" w14:textId="77777777" w:rsidR="00707961" w:rsidRDefault="00707961" w:rsidP="00707961">
      <w:pPr>
        <w:pStyle w:val="aa"/>
        <w:spacing w:line="360" w:lineRule="auto"/>
        <w:ind w:left="360"/>
        <w:jc w:val="both"/>
        <w:rPr>
          <w:rFonts w:ascii="David" w:hAnsi="David" w:cs="David"/>
          <w:sz w:val="24"/>
          <w:szCs w:val="24"/>
          <w:rtl/>
        </w:rPr>
      </w:pPr>
    </w:p>
    <w:p w14:paraId="63104665"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התביעה עתרה להטלת מאסר אשר ניתן לרצותו בדרך של עבודות שירות לתקופה של 9 חודשים; כן עתרה המאשימה להשתת ענישה נלווית הכוללת מאסרים מותנים מרתיעים, קנס משמעותי, פסילת רישיון נהיגה ופסילה מותנית.</w:t>
      </w:r>
    </w:p>
    <w:p w14:paraId="02698822" w14:textId="77777777" w:rsidR="00707961" w:rsidRDefault="00707961" w:rsidP="00707961">
      <w:pPr>
        <w:pStyle w:val="aa"/>
        <w:spacing w:line="360" w:lineRule="auto"/>
        <w:ind w:left="360"/>
        <w:jc w:val="both"/>
        <w:rPr>
          <w:rFonts w:ascii="David" w:hAnsi="David" w:cs="David"/>
          <w:sz w:val="24"/>
          <w:szCs w:val="24"/>
        </w:rPr>
      </w:pPr>
    </w:p>
    <w:p w14:paraId="259821FF"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לטענת המאשימה, הנאשם במעשיו פגע בערכים המוגנים של שמירה על בריאותו של הציבור וצרכני הסמים. התובעת הוסיפה וטענה כי אף נפגע הערך של הגנה על שלום הציבור בכללותו "בפני עבירות שמבוצעות בידי משתמשי הסמים הנוהגים באופן תדיר מנעד (צ"ל מנהג – ג.א.) עברייני על מנת להשיג את הכספים הדרושים להם לצורך השגת הסם."</w:t>
      </w:r>
    </w:p>
    <w:p w14:paraId="585CFC78" w14:textId="77777777" w:rsidR="00707961" w:rsidRDefault="00707961" w:rsidP="00707961">
      <w:pPr>
        <w:pStyle w:val="aa"/>
        <w:rPr>
          <w:rFonts w:ascii="David" w:hAnsi="David" w:cs="David"/>
          <w:sz w:val="24"/>
          <w:szCs w:val="24"/>
        </w:rPr>
      </w:pPr>
    </w:p>
    <w:p w14:paraId="024E675B"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ב"כ המאשימה הדגישה כי הגם שהנאשם בדבריו לשירות המבחן ציין כי ביצע את העבירות שלא בעבור גמול כספי, אלא על רקע השתייכות חברתית, כתב האישום מציין כי עבור מכירת הסמים קיבל סכום כספי בסך 400 ₪ בכל פעם. </w:t>
      </w:r>
    </w:p>
    <w:p w14:paraId="14DFC6C8" w14:textId="77777777" w:rsidR="00707961" w:rsidRDefault="00707961" w:rsidP="00707961">
      <w:pPr>
        <w:pStyle w:val="aa"/>
        <w:rPr>
          <w:rFonts w:ascii="David" w:hAnsi="David" w:cs="David"/>
          <w:sz w:val="24"/>
          <w:szCs w:val="24"/>
        </w:rPr>
      </w:pPr>
    </w:p>
    <w:p w14:paraId="67D9AD64"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בהתייחסה לתסקירי שירות המבחן וההמלצה המפורטת בתסקיר האחרון, טענה המאשימה כי תפקידו של שירות המבחן להאיר בפני בית המשפט שיקול אחד ויחיד מבין שיקולי הענישה, שיקול השיקום. עוד ציינה כי שירות המבחן הוא גורם ממליץ ועל כתפי בית המשפט נתונה הסמכות לאזן בין כלל שיקולי הענישה. </w:t>
      </w:r>
    </w:p>
    <w:p w14:paraId="24DDB1CB" w14:textId="77777777" w:rsidR="00707961" w:rsidRDefault="00707961" w:rsidP="00707961">
      <w:pPr>
        <w:pStyle w:val="aa"/>
        <w:spacing w:line="360" w:lineRule="auto"/>
        <w:ind w:left="360"/>
        <w:jc w:val="both"/>
        <w:rPr>
          <w:rFonts w:ascii="David" w:hAnsi="David" w:cs="David"/>
          <w:sz w:val="24"/>
          <w:szCs w:val="24"/>
          <w:rtl/>
        </w:rPr>
      </w:pPr>
    </w:p>
    <w:p w14:paraId="67FA71C4"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ב"כ המאשימה הפנתה לפסיקה בעבירות דומות התומכת לשיטתה בעמדתה העונשית.</w:t>
      </w:r>
    </w:p>
    <w:p w14:paraId="0DEB4ED0" w14:textId="77777777" w:rsidR="00707961" w:rsidRDefault="00707961" w:rsidP="00707961">
      <w:pPr>
        <w:pStyle w:val="aa"/>
        <w:spacing w:line="360" w:lineRule="auto"/>
        <w:ind w:left="360"/>
        <w:jc w:val="both"/>
        <w:rPr>
          <w:rFonts w:ascii="David" w:hAnsi="David" w:cs="David"/>
          <w:sz w:val="24"/>
          <w:szCs w:val="24"/>
        </w:rPr>
      </w:pPr>
    </w:p>
    <w:p w14:paraId="173B368A" w14:textId="77777777" w:rsidR="00707961" w:rsidRPr="00CC7859" w:rsidRDefault="00707961" w:rsidP="00707961">
      <w:pPr>
        <w:pStyle w:val="aa"/>
        <w:spacing w:line="360" w:lineRule="auto"/>
        <w:ind w:left="0"/>
        <w:jc w:val="both"/>
        <w:rPr>
          <w:rFonts w:ascii="David" w:hAnsi="David" w:cs="David"/>
          <w:b/>
          <w:bCs/>
          <w:sz w:val="24"/>
          <w:szCs w:val="24"/>
        </w:rPr>
      </w:pPr>
      <w:r w:rsidRPr="00CC7859">
        <w:rPr>
          <w:rFonts w:ascii="David" w:hAnsi="David" w:cs="David"/>
          <w:b/>
          <w:bCs/>
          <w:sz w:val="24"/>
          <w:szCs w:val="24"/>
          <w:u w:val="single"/>
          <w:rtl/>
        </w:rPr>
        <w:t>טיעוני ההגנה לעונש</w:t>
      </w:r>
    </w:p>
    <w:p w14:paraId="55A80FB8" w14:textId="77777777" w:rsidR="00707961" w:rsidRDefault="00707961" w:rsidP="00707961">
      <w:pPr>
        <w:pStyle w:val="aa"/>
        <w:spacing w:line="360" w:lineRule="auto"/>
        <w:ind w:left="0"/>
        <w:jc w:val="both"/>
        <w:rPr>
          <w:rFonts w:ascii="David" w:hAnsi="David" w:cs="David"/>
          <w:sz w:val="24"/>
          <w:szCs w:val="24"/>
          <w:rtl/>
        </w:rPr>
      </w:pPr>
    </w:p>
    <w:p w14:paraId="2B6FD98A" w14:textId="77777777" w:rsidR="00707961" w:rsidRDefault="00707961" w:rsidP="0070796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בפתח טיעוניו לעונש עתר ב"כ הנאשם לאמץ את המלצות שירות המבחן. </w:t>
      </w:r>
    </w:p>
    <w:p w14:paraId="7CF958D9" w14:textId="77777777" w:rsidR="00707961" w:rsidRDefault="00707961" w:rsidP="00707961">
      <w:pPr>
        <w:pStyle w:val="aa"/>
        <w:spacing w:line="360" w:lineRule="auto"/>
        <w:ind w:left="360"/>
        <w:jc w:val="both"/>
        <w:rPr>
          <w:rFonts w:ascii="David" w:hAnsi="David" w:cs="David"/>
          <w:sz w:val="24"/>
          <w:szCs w:val="24"/>
        </w:rPr>
      </w:pPr>
    </w:p>
    <w:p w14:paraId="04D2753F"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הסניגור הפנה את בית המשפט לכתב האישום המתוקן , וטען כי בהתאם להלכת ג'אבר (</w:t>
      </w:r>
      <w:hyperlink r:id="rId20" w:history="1">
        <w:r w:rsidR="00DA5739" w:rsidRPr="00DA5739">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 xml:space="preserve">אחמד בני ג'אבר נ' מדינת ישראל </w:t>
      </w:r>
      <w:r>
        <w:rPr>
          <w:rFonts w:ascii="David" w:hAnsi="David" w:cs="David"/>
          <w:sz w:val="24"/>
          <w:szCs w:val="24"/>
          <w:rtl/>
        </w:rPr>
        <w:t xml:space="preserve">(29.10.14) – להלן: עניין ג'אבר) ומבחן הקשר ההדוק שנקבע בה, יש להתייחס לכלל האירועים המפורטים בכתב האישום כאל אירוע אחד, לצורך קביעת מתחם הענישה. </w:t>
      </w:r>
    </w:p>
    <w:p w14:paraId="18E8A178" w14:textId="77777777" w:rsidR="00707961" w:rsidRDefault="00707961" w:rsidP="00707961">
      <w:pPr>
        <w:pStyle w:val="aa"/>
        <w:spacing w:line="360" w:lineRule="auto"/>
        <w:ind w:left="360"/>
        <w:jc w:val="both"/>
        <w:rPr>
          <w:rFonts w:ascii="David" w:hAnsi="David" w:cs="David"/>
          <w:sz w:val="24"/>
          <w:szCs w:val="24"/>
        </w:rPr>
      </w:pPr>
    </w:p>
    <w:p w14:paraId="2F87392F"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ב"כ הנאשם טען כי הנאשם נחשף לסם מסוג קנאבוס על רקע כאבים כרוניים מהם סבל לאחר שנפגע בתאונת דרכים. עוד הטעים הסניגור, כי העבירות המיוחסות לנאשם לא בוצעו על רקע בצע כסף, אלא על רקע קשרים והיכרות חברתית. </w:t>
      </w:r>
    </w:p>
    <w:p w14:paraId="71A98993" w14:textId="77777777" w:rsidR="00707961" w:rsidRDefault="00707961" w:rsidP="00707961">
      <w:pPr>
        <w:pStyle w:val="aa"/>
        <w:spacing w:line="360" w:lineRule="auto"/>
        <w:ind w:left="360"/>
        <w:jc w:val="both"/>
        <w:rPr>
          <w:rFonts w:ascii="David" w:hAnsi="David" w:cs="David"/>
          <w:sz w:val="24"/>
          <w:szCs w:val="24"/>
          <w:rtl/>
        </w:rPr>
      </w:pPr>
    </w:p>
    <w:p w14:paraId="100FD3E0"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 xml:space="preserve">ביחס לערכים המוגנים שנפגעו,  הדגיש ב"כ הנאשם כי המדובר בסם מסוג קנאבוס, אשר אינו נחשב כ"סם קשה", ואין להתייחס אליו כנמנה על משפחת הסמים הקשים יותר.  לעניין זה הפנה הסניגור אף לשינוי בחוק ביחס לעבירות החזקת סם מסוג קנאבוס וביקש כמסקנה יוצאת מכך, לצמצם מחומרת העבירות שיוחסו לנאשם,  אף בעבירות הסחר. </w:t>
      </w:r>
    </w:p>
    <w:p w14:paraId="4A3FFB6F" w14:textId="77777777" w:rsidR="00707961" w:rsidRDefault="00707961" w:rsidP="00707961">
      <w:pPr>
        <w:pStyle w:val="aa"/>
        <w:spacing w:line="360" w:lineRule="auto"/>
        <w:ind w:left="360"/>
        <w:jc w:val="both"/>
        <w:rPr>
          <w:rFonts w:ascii="David" w:hAnsi="David" w:cs="David"/>
          <w:sz w:val="24"/>
          <w:szCs w:val="24"/>
          <w:rtl/>
        </w:rPr>
      </w:pPr>
    </w:p>
    <w:p w14:paraId="139DC0F8"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ב"כ הנאשם ביקש כי בית המשפט יחרוג לקולא ממתחם הענישה במקרה זה, אף אם מדובר בעבודות שירות, לאור ההליך השיקומי המוצלח אותו עבר הנאשם באמצעות שירות המבחן. הסניגור הפנה לתסקירים ולתפקודו של הנאשם במסגרת הקבוצה הטיפולית בה שולב, בציינו כי הנאשם לא הסתפק בהשתתפות פורמאלית, אלא השתתף ותרם לשיח הקבוצתי וניצל את ההזדמנות שנתנה לו. </w:t>
      </w:r>
    </w:p>
    <w:p w14:paraId="2600B64C" w14:textId="77777777" w:rsidR="00707961" w:rsidRDefault="00707961" w:rsidP="00707961">
      <w:pPr>
        <w:pStyle w:val="aa"/>
        <w:spacing w:line="360" w:lineRule="auto"/>
        <w:ind w:left="360"/>
        <w:jc w:val="both"/>
        <w:rPr>
          <w:rFonts w:ascii="David" w:hAnsi="David" w:cs="David"/>
          <w:sz w:val="24"/>
          <w:szCs w:val="24"/>
          <w:rtl/>
        </w:rPr>
      </w:pPr>
    </w:p>
    <w:p w14:paraId="045E510A"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משכך, עתר הסניגור לאמץ כאמור את המלצת שירות המבחן בתוספת "ענישה כספית מתונה", שכן לשיטתו "לבחור כזה, עצם ההרשעה היא עונש כבד שילווה אותו עד גיל 40".</w:t>
      </w:r>
    </w:p>
    <w:p w14:paraId="31578E6D" w14:textId="77777777" w:rsidR="00707961" w:rsidRDefault="00707961" w:rsidP="00707961">
      <w:pPr>
        <w:pStyle w:val="aa"/>
        <w:spacing w:line="360" w:lineRule="auto"/>
        <w:ind w:left="360"/>
        <w:jc w:val="both"/>
        <w:rPr>
          <w:rFonts w:ascii="David" w:hAnsi="David" w:cs="David"/>
          <w:sz w:val="24"/>
          <w:szCs w:val="24"/>
          <w:rtl/>
        </w:rPr>
      </w:pPr>
    </w:p>
    <w:p w14:paraId="06FFC25E"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ב"כ הנאשם הפנה לפסיקה מטעמו התומכת לשיטתו בעמדתו העונשית. </w:t>
      </w:r>
    </w:p>
    <w:p w14:paraId="1CD050AA" w14:textId="77777777" w:rsidR="00707961" w:rsidRDefault="00707961" w:rsidP="00707961">
      <w:pPr>
        <w:pStyle w:val="aa"/>
        <w:spacing w:line="360" w:lineRule="auto"/>
        <w:ind w:left="360"/>
        <w:jc w:val="both"/>
        <w:rPr>
          <w:rFonts w:ascii="David" w:hAnsi="David" w:cs="David"/>
          <w:sz w:val="24"/>
          <w:szCs w:val="24"/>
          <w:rtl/>
        </w:rPr>
      </w:pPr>
    </w:p>
    <w:p w14:paraId="7EB34C4A" w14:textId="77777777" w:rsidR="00707961" w:rsidRDefault="00707961" w:rsidP="0070796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בדברו ביחס לעונש אמר הנאשם כך: </w:t>
      </w:r>
    </w:p>
    <w:p w14:paraId="3F82BE79" w14:textId="77777777" w:rsidR="00707961" w:rsidRDefault="00707961" w:rsidP="00707961">
      <w:pPr>
        <w:pStyle w:val="aa"/>
        <w:spacing w:line="360" w:lineRule="auto"/>
        <w:ind w:left="360"/>
        <w:jc w:val="both"/>
        <w:rPr>
          <w:rFonts w:ascii="David" w:hAnsi="David" w:cs="David"/>
          <w:sz w:val="24"/>
          <w:szCs w:val="24"/>
        </w:rPr>
      </w:pPr>
    </w:p>
    <w:p w14:paraId="15D21116" w14:textId="77777777" w:rsidR="00707961" w:rsidRDefault="00707961" w:rsidP="00707961">
      <w:pPr>
        <w:pStyle w:val="aa"/>
        <w:spacing w:line="360" w:lineRule="auto"/>
        <w:ind w:left="360"/>
        <w:jc w:val="both"/>
        <w:rPr>
          <w:rFonts w:ascii="David" w:hAnsi="David" w:cs="David"/>
          <w:sz w:val="24"/>
          <w:szCs w:val="24"/>
        </w:rPr>
      </w:pPr>
      <w:r>
        <w:rPr>
          <w:rFonts w:ascii="David" w:hAnsi="David" w:cs="David"/>
          <w:sz w:val="24"/>
          <w:szCs w:val="24"/>
          <w:rtl/>
        </w:rPr>
        <w:t>"אני רוצה להתחיל בזה שאני מצטער על הדרך שהלכתי בה. זה לא דברים שאופניים (צ"ל שאופייניים – ג.א.) לי. במהלך הטיפול שלי אצל קצינת המבחן עזרו לי מאד להבין את הדרך שלי והמטרות שלי בחיים ובקבלת החלטות. שוב פעם אני מתנצל על הדרך שבה הלכתי ועל המקרה שקרה לי והעבירה שביצעתי".</w:t>
      </w:r>
    </w:p>
    <w:p w14:paraId="36E62666" w14:textId="77777777" w:rsidR="00707961" w:rsidRDefault="00707961" w:rsidP="00707961">
      <w:pPr>
        <w:spacing w:line="360" w:lineRule="auto"/>
        <w:jc w:val="both"/>
        <w:rPr>
          <w:rFonts w:ascii="David" w:hAnsi="David"/>
          <w:u w:val="single"/>
        </w:rPr>
      </w:pPr>
    </w:p>
    <w:p w14:paraId="365BF3BE" w14:textId="77777777" w:rsidR="00707961" w:rsidRDefault="00707961" w:rsidP="00707961">
      <w:pPr>
        <w:spacing w:line="360" w:lineRule="auto"/>
        <w:jc w:val="both"/>
        <w:rPr>
          <w:rFonts w:ascii="David" w:hAnsi="David"/>
          <w:b/>
          <w:bCs/>
          <w:u w:val="single"/>
          <w:rtl/>
        </w:rPr>
      </w:pPr>
      <w:r>
        <w:rPr>
          <w:rFonts w:ascii="David" w:hAnsi="David"/>
          <w:b/>
          <w:bCs/>
          <w:u w:val="single"/>
          <w:rtl/>
        </w:rPr>
        <w:t xml:space="preserve">דיון והכרעה </w:t>
      </w:r>
    </w:p>
    <w:p w14:paraId="00A28DF4" w14:textId="77777777" w:rsidR="00707961" w:rsidRDefault="00707961" w:rsidP="00707961">
      <w:pPr>
        <w:pStyle w:val="aa"/>
        <w:spacing w:line="360" w:lineRule="auto"/>
        <w:ind w:left="360"/>
        <w:jc w:val="both"/>
        <w:rPr>
          <w:rFonts w:ascii="David" w:hAnsi="David" w:cs="David"/>
          <w:sz w:val="24"/>
          <w:szCs w:val="24"/>
          <w:rtl/>
        </w:rPr>
      </w:pPr>
    </w:p>
    <w:p w14:paraId="772C7984"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לאחר ששמעתי טיעוני הצדדים, אני סבור כי יש לראות במסכת העובדות המפורטת בכתב האישום המתוקן והנוגעת למעשיו של הנאשם  אירוע אחד, לצורך קביעת מתחם הענישה. </w:t>
      </w:r>
    </w:p>
    <w:p w14:paraId="003EBFC9" w14:textId="77777777" w:rsidR="00707961" w:rsidRDefault="00707961" w:rsidP="00707961">
      <w:pPr>
        <w:pStyle w:val="aa"/>
        <w:spacing w:line="360" w:lineRule="auto"/>
        <w:ind w:left="360"/>
        <w:jc w:val="both"/>
        <w:rPr>
          <w:rFonts w:ascii="David" w:hAnsi="David" w:cs="David"/>
          <w:sz w:val="24"/>
          <w:szCs w:val="24"/>
        </w:rPr>
      </w:pPr>
    </w:p>
    <w:p w14:paraId="02502038"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מדובר באירועים סמוכים, הנוגעים לאותו סוג סם, אותו מכר הנאשם בשתי הזדמנויות, לאחרים. הסם שנמכר הוא  בכמות דומה  בכל אחד משני האירועים ותמורת אותו סכום כספי. מיד לאחר האירוע נשוא האישום הראשון נתפס בחזקתו של הנאשם סם זהה, מסוג קנבוס – אף הוא לא במשקל גבוה, לצריכתו העצמית. </w:t>
      </w:r>
    </w:p>
    <w:p w14:paraId="56F0BF8A" w14:textId="77777777" w:rsidR="00707961" w:rsidRDefault="00707961" w:rsidP="00707961">
      <w:pPr>
        <w:pStyle w:val="aa"/>
        <w:spacing w:line="360" w:lineRule="auto"/>
        <w:ind w:left="360"/>
        <w:jc w:val="both"/>
        <w:rPr>
          <w:rFonts w:ascii="David" w:hAnsi="David" w:cs="David"/>
          <w:sz w:val="24"/>
          <w:szCs w:val="24"/>
          <w:rtl/>
        </w:rPr>
      </w:pPr>
    </w:p>
    <w:p w14:paraId="6CF0E603"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לפיכך, ומאחר ומצאתי כי קיים "קשר הדוק" בין האירועים, כפי שהותווה בעניין ג'אבר, לפיו עבירות שיש ביניהן קשר הדוק ייחשבו לאירוע אחד, מצאתי לנכון לקבוע מתחם ענישה יחיד.</w:t>
      </w:r>
    </w:p>
    <w:p w14:paraId="70B4F9A6" w14:textId="77777777" w:rsidR="00707961" w:rsidRPr="00D26EC3" w:rsidRDefault="00707961" w:rsidP="00707961">
      <w:pPr>
        <w:pStyle w:val="aa"/>
        <w:spacing w:line="360" w:lineRule="auto"/>
        <w:ind w:left="360"/>
        <w:jc w:val="both"/>
        <w:rPr>
          <w:rFonts w:ascii="David" w:hAnsi="David" w:cs="David"/>
          <w:sz w:val="16"/>
          <w:szCs w:val="16"/>
          <w:rtl/>
        </w:rPr>
      </w:pPr>
    </w:p>
    <w:p w14:paraId="69DA392F" w14:textId="77777777" w:rsidR="00707961" w:rsidRPr="00CC7859" w:rsidRDefault="00707961" w:rsidP="00707961">
      <w:pPr>
        <w:spacing w:line="360" w:lineRule="auto"/>
        <w:jc w:val="both"/>
        <w:rPr>
          <w:rFonts w:ascii="David" w:hAnsi="David"/>
          <w:b/>
          <w:bCs/>
        </w:rPr>
      </w:pPr>
      <w:r w:rsidRPr="00CC7859">
        <w:rPr>
          <w:rFonts w:ascii="David" w:hAnsi="David"/>
          <w:b/>
          <w:bCs/>
          <w:u w:val="single"/>
          <w:rtl/>
        </w:rPr>
        <w:t>מתחם העונש ההולם</w:t>
      </w:r>
    </w:p>
    <w:p w14:paraId="73D09EDB" w14:textId="77777777" w:rsidR="00707961" w:rsidRDefault="00707961" w:rsidP="00707961">
      <w:pPr>
        <w:pStyle w:val="aa"/>
        <w:numPr>
          <w:ilvl w:val="0"/>
          <w:numId w:val="1"/>
        </w:numPr>
        <w:spacing w:line="360" w:lineRule="auto"/>
        <w:jc w:val="both"/>
        <w:rPr>
          <w:rFonts w:ascii="David" w:hAnsi="David" w:cs="David"/>
          <w:sz w:val="24"/>
          <w:szCs w:val="24"/>
          <w:rtl/>
        </w:rPr>
      </w:pPr>
      <w:r>
        <w:rPr>
          <w:rFonts w:ascii="David" w:hAnsi="David" w:cs="David"/>
          <w:sz w:val="24"/>
          <w:szCs w:val="24"/>
          <w:rtl/>
        </w:rPr>
        <w:t>הערכים המוגנים שנפגעו במקרה דנא הם שמירה על בריאות הציבור, וההגנה מפני נגע הסמים והפצתם.</w:t>
      </w:r>
    </w:p>
    <w:p w14:paraId="256B2F25" w14:textId="77777777" w:rsidR="00707961" w:rsidRDefault="00707961" w:rsidP="00707961">
      <w:pPr>
        <w:pStyle w:val="aa"/>
        <w:rPr>
          <w:rFonts w:ascii="David" w:hAnsi="David" w:cs="David"/>
          <w:sz w:val="24"/>
          <w:szCs w:val="24"/>
        </w:rPr>
      </w:pPr>
    </w:p>
    <w:p w14:paraId="1BFC7463"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החזיק סם מסוג קנבוס לצריכתו העצמית וסיפק סמים מסוג זה בשתי הזדמנויות לאחרים, בכמות קטנה של 6.78 גרם, ו 5 גרם. </w:t>
      </w:r>
    </w:p>
    <w:p w14:paraId="3F09BA8E" w14:textId="77777777" w:rsidR="00707961" w:rsidRDefault="00707961" w:rsidP="00707961">
      <w:pPr>
        <w:pStyle w:val="aa"/>
        <w:spacing w:line="360" w:lineRule="auto"/>
        <w:ind w:left="360"/>
        <w:jc w:val="both"/>
        <w:rPr>
          <w:rFonts w:ascii="David" w:hAnsi="David" w:cs="David"/>
          <w:sz w:val="24"/>
          <w:szCs w:val="24"/>
          <w:rtl/>
        </w:rPr>
      </w:pPr>
    </w:p>
    <w:p w14:paraId="7346A316" w14:textId="77777777" w:rsidR="00707961" w:rsidRDefault="00707961" w:rsidP="00707961">
      <w:pPr>
        <w:pStyle w:val="aa"/>
        <w:spacing w:line="360" w:lineRule="auto"/>
        <w:ind w:left="360"/>
        <w:jc w:val="both"/>
        <w:rPr>
          <w:rFonts w:ascii="David" w:hAnsi="David" w:cs="David"/>
          <w:sz w:val="24"/>
          <w:szCs w:val="24"/>
          <w:rtl/>
        </w:rPr>
      </w:pPr>
      <w:r>
        <w:rPr>
          <w:rFonts w:ascii="David" w:hAnsi="David" w:cs="David"/>
          <w:sz w:val="24"/>
          <w:szCs w:val="24"/>
          <w:rtl/>
        </w:rPr>
        <w:t xml:space="preserve">מידת הפגיעה בערכים המוגנים במקרה דנא היא במידה בינונית – נמוכה, וזאת בשים לב לכמויות הסם בהן סחר הנאשם, שאינן גבוהות ונוכח סוג הסם, שאינו מן הקשים. </w:t>
      </w:r>
    </w:p>
    <w:p w14:paraId="77EB8A76" w14:textId="77777777" w:rsidR="00707961" w:rsidRDefault="00707961" w:rsidP="00707961">
      <w:pPr>
        <w:spacing w:line="360" w:lineRule="auto"/>
        <w:jc w:val="both"/>
        <w:rPr>
          <w:rFonts w:ascii="David" w:hAnsi="David"/>
          <w:rtl/>
        </w:rPr>
      </w:pPr>
    </w:p>
    <w:p w14:paraId="222BBA4B" w14:textId="77777777" w:rsidR="00707961" w:rsidRDefault="00707961" w:rsidP="00707961">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אשר לנסיבות הקשורות בביצוע העבירה, התכנון שקדם לביצוע העבירה וחלקו היחסי של הנאשם בביצוע העבירה: הנאשם הוא המבצע היחיד ומעובדות כתב האישום לא ברור אם קדם תכנון משמעותי לביצוע העבירות בהן הורשע הנאשם. </w:t>
      </w:r>
    </w:p>
    <w:p w14:paraId="0296989B" w14:textId="77777777" w:rsidR="00707961" w:rsidRDefault="00707961" w:rsidP="00707961">
      <w:pPr>
        <w:pStyle w:val="aa"/>
        <w:spacing w:after="0" w:line="360" w:lineRule="auto"/>
        <w:ind w:left="360"/>
        <w:jc w:val="both"/>
        <w:rPr>
          <w:rFonts w:ascii="David" w:hAnsi="David" w:cs="David"/>
          <w:sz w:val="24"/>
          <w:szCs w:val="24"/>
        </w:rPr>
      </w:pPr>
    </w:p>
    <w:p w14:paraId="66691F1D" w14:textId="77777777" w:rsidR="00707961" w:rsidRDefault="00707961" w:rsidP="00707961">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הנזק שנגרם במקרה דנן הוא למשתמשי הסמים, ולחברה בכללותה כפי שבא לידי ביטוי בפגיעה בערכים המוגנים. </w:t>
      </w:r>
    </w:p>
    <w:p w14:paraId="69DB8D34" w14:textId="77777777" w:rsidR="00707961" w:rsidRDefault="00707961" w:rsidP="00707961">
      <w:pPr>
        <w:pStyle w:val="aa"/>
        <w:spacing w:line="360" w:lineRule="auto"/>
        <w:ind w:left="360"/>
        <w:jc w:val="both"/>
        <w:rPr>
          <w:rFonts w:ascii="David" w:hAnsi="David" w:cs="David"/>
          <w:sz w:val="24"/>
          <w:szCs w:val="24"/>
        </w:rPr>
      </w:pPr>
    </w:p>
    <w:p w14:paraId="26C4E36D"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מדיניות הענישה הנהוגה: מסקירת הפסיקה בעבירות בהן הורשע הנאשם ניתן ללמוד כי  בעבירות של סחר בסמים מסוג קנבוס מתחמי הענישה נעים בדרך כלל ממאסר של מספר חודשים ועד תקופות מאסר של שנה ומעלה.</w:t>
      </w:r>
    </w:p>
    <w:p w14:paraId="6A5596C6" w14:textId="77777777" w:rsidR="00707961" w:rsidRDefault="00707961" w:rsidP="00707961">
      <w:pPr>
        <w:pStyle w:val="aa"/>
        <w:spacing w:line="360" w:lineRule="auto"/>
        <w:ind w:left="360"/>
        <w:jc w:val="both"/>
        <w:rPr>
          <w:rFonts w:ascii="David" w:hAnsi="David" w:cs="David"/>
          <w:sz w:val="24"/>
          <w:szCs w:val="24"/>
        </w:rPr>
      </w:pPr>
    </w:p>
    <w:p w14:paraId="70862363"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ניתן לראות זאת אף בפסיקה שהוגשה מטעם הצדדים; מצאתי לנכון להתייחס לפסקי הדין המפורטים להלן.</w:t>
      </w:r>
    </w:p>
    <w:p w14:paraId="650877A9" w14:textId="77777777" w:rsidR="00707961" w:rsidRDefault="00707961" w:rsidP="00707961">
      <w:pPr>
        <w:pStyle w:val="aa"/>
        <w:rPr>
          <w:rFonts w:ascii="David" w:hAnsi="David" w:cs="David"/>
          <w:sz w:val="24"/>
          <w:szCs w:val="24"/>
        </w:rPr>
      </w:pPr>
    </w:p>
    <w:p w14:paraId="10E3816A" w14:textId="77777777" w:rsidR="00707961" w:rsidRDefault="00DA5739" w:rsidP="00707961">
      <w:pPr>
        <w:pStyle w:val="aa"/>
        <w:numPr>
          <w:ilvl w:val="0"/>
          <w:numId w:val="2"/>
        </w:numPr>
        <w:spacing w:line="360" w:lineRule="auto"/>
        <w:jc w:val="both"/>
        <w:rPr>
          <w:rFonts w:ascii="David" w:hAnsi="David" w:cs="David"/>
          <w:sz w:val="24"/>
          <w:szCs w:val="24"/>
          <w:rtl/>
        </w:rPr>
      </w:pPr>
      <w:hyperlink r:id="rId21" w:history="1">
        <w:r w:rsidRPr="00DA5739">
          <w:rPr>
            <w:rFonts w:ascii="David" w:hAnsi="David" w:cs="David"/>
            <w:color w:val="0000FF"/>
            <w:sz w:val="24"/>
            <w:szCs w:val="24"/>
            <w:u w:val="single"/>
            <w:rtl/>
          </w:rPr>
          <w:t>עפ"ג (מחוזי ב"ש) 60762-02-22</w:t>
        </w:r>
      </w:hyperlink>
      <w:r w:rsidR="00707961">
        <w:rPr>
          <w:rFonts w:ascii="David" w:hAnsi="David" w:cs="David"/>
          <w:sz w:val="24"/>
          <w:szCs w:val="24"/>
          <w:rtl/>
        </w:rPr>
        <w:t xml:space="preserve"> </w:t>
      </w:r>
      <w:r w:rsidR="00707961">
        <w:rPr>
          <w:rFonts w:ascii="David" w:hAnsi="David" w:cs="David"/>
          <w:b/>
          <w:bCs/>
          <w:sz w:val="24"/>
          <w:szCs w:val="24"/>
          <w:rtl/>
        </w:rPr>
        <w:t xml:space="preserve">נאזל נ' מדינת ישראל </w:t>
      </w:r>
      <w:r w:rsidR="00707961">
        <w:rPr>
          <w:rFonts w:ascii="David" w:hAnsi="David" w:cs="David"/>
          <w:sz w:val="24"/>
          <w:szCs w:val="24"/>
          <w:rtl/>
        </w:rPr>
        <w:t xml:space="preserve">(25.5.2022): בית המשפט המחוזי מקבל בהסכמת הצדדים ערעור שהוגש נגד גזר דין שהוטל על המערער. המערער הורשע בבית משפט השלום בשתי עבירות של סחר בסם מסוכן חשיש וקנבוס ובעבירה של תיווך בסם מסוכן. בית משפט השלום קבע מתחם ענישה הנע בין 8 ועד 24 חודשי מאסר בפועל. במקרה זה סטה בית המשפט לקולא ממתחם הענישה משיקולי שיקום וגזר על המערער 7 חודשי מאסר לריצוי בעבודות שירות, בניכוי ימי מעצרו. כן הוארך מאסר מותנה שהיה תלוי ועומד נגד המערער והוטלה עליו ענישה נלווית. עוד הועמד בצו מבחן למשך שנתיים. בית המשפט המחוזי מצא לנכון, לאור הסכמת הצדדים ונסיבותיו הייחודיות של המקרה, לבטל את עונש המאסר שהוטל על המערער. </w:t>
      </w:r>
    </w:p>
    <w:p w14:paraId="02E86C05" w14:textId="77777777" w:rsidR="00707961" w:rsidRDefault="00707961" w:rsidP="00707961">
      <w:pPr>
        <w:pStyle w:val="aa"/>
        <w:spacing w:line="360" w:lineRule="auto"/>
        <w:ind w:left="360"/>
        <w:jc w:val="both"/>
        <w:rPr>
          <w:rFonts w:ascii="David" w:hAnsi="David" w:cs="David"/>
          <w:sz w:val="24"/>
          <w:szCs w:val="24"/>
        </w:rPr>
      </w:pPr>
    </w:p>
    <w:p w14:paraId="2984AB3F" w14:textId="77777777" w:rsidR="00707961" w:rsidRDefault="00DA5739" w:rsidP="00707961">
      <w:pPr>
        <w:pStyle w:val="aa"/>
        <w:numPr>
          <w:ilvl w:val="0"/>
          <w:numId w:val="2"/>
        </w:numPr>
        <w:spacing w:line="360" w:lineRule="auto"/>
        <w:jc w:val="both"/>
        <w:rPr>
          <w:rFonts w:ascii="David" w:hAnsi="David" w:cs="David"/>
          <w:sz w:val="24"/>
          <w:szCs w:val="24"/>
        </w:rPr>
      </w:pPr>
      <w:hyperlink r:id="rId22" w:history="1">
        <w:r w:rsidRPr="00DA5739">
          <w:rPr>
            <w:rFonts w:ascii="David" w:hAnsi="David" w:cs="David"/>
            <w:color w:val="0000FF"/>
            <w:sz w:val="24"/>
            <w:szCs w:val="24"/>
            <w:u w:val="single"/>
            <w:rtl/>
          </w:rPr>
          <w:t>עפ"ג (מחוזי ב"ש) 13522-02-20</w:t>
        </w:r>
      </w:hyperlink>
      <w:r w:rsidR="00707961">
        <w:rPr>
          <w:rFonts w:ascii="David" w:hAnsi="David" w:cs="David"/>
          <w:sz w:val="24"/>
          <w:szCs w:val="24"/>
          <w:rtl/>
        </w:rPr>
        <w:t xml:space="preserve"> </w:t>
      </w:r>
      <w:r w:rsidR="00707961">
        <w:rPr>
          <w:rFonts w:ascii="David" w:hAnsi="David" w:cs="David"/>
          <w:b/>
          <w:bCs/>
          <w:sz w:val="24"/>
          <w:szCs w:val="24"/>
          <w:rtl/>
        </w:rPr>
        <w:t xml:space="preserve">צ'כמן נ' מדינת ישראל </w:t>
      </w:r>
      <w:r w:rsidR="00707961">
        <w:rPr>
          <w:rFonts w:ascii="David" w:hAnsi="David" w:cs="David"/>
          <w:sz w:val="24"/>
          <w:szCs w:val="24"/>
          <w:rtl/>
        </w:rPr>
        <w:t>(13.5.2020): בית המשפט המחוזי מקבל באופן חלקי, בהסכמת הצדדים ערעור נגד חומרת העונש שנגזר על המערער. המערער הורשע בבית משפט השלום בארבע עבירות של תיווך בסם מסוכן מסוג קנבוס. בית משפט השלום קבע מתחם ענישה הנע בין 6 חודשי מאסר, שניתן לרצות בדרך של עבודות שירות, ועד 20 חודשי מאסר בפועל. על המערער הושתו 8 חודשי מאסר לריצוי בעבודות שירות וכן ענישה נלווית. בית המשפט המחוזי מצא לנכון, בהסכמת הצדדים להפחית מתוך העונש חודש אחד.</w:t>
      </w:r>
    </w:p>
    <w:p w14:paraId="61AA68E7" w14:textId="77777777" w:rsidR="00707961" w:rsidRDefault="00707961" w:rsidP="00707961">
      <w:pPr>
        <w:pStyle w:val="aa"/>
        <w:spacing w:line="360" w:lineRule="auto"/>
        <w:ind w:left="360"/>
        <w:jc w:val="both"/>
        <w:rPr>
          <w:rFonts w:ascii="David" w:hAnsi="David" w:cs="David"/>
          <w:sz w:val="24"/>
          <w:szCs w:val="24"/>
        </w:rPr>
      </w:pPr>
    </w:p>
    <w:p w14:paraId="61874EAA" w14:textId="77777777" w:rsidR="00707961" w:rsidRDefault="00DA5739" w:rsidP="00707961">
      <w:pPr>
        <w:pStyle w:val="aa"/>
        <w:numPr>
          <w:ilvl w:val="0"/>
          <w:numId w:val="2"/>
        </w:numPr>
        <w:spacing w:line="360" w:lineRule="auto"/>
        <w:jc w:val="both"/>
        <w:rPr>
          <w:rFonts w:ascii="David" w:hAnsi="David" w:cs="David"/>
          <w:sz w:val="24"/>
          <w:szCs w:val="24"/>
        </w:rPr>
      </w:pPr>
      <w:hyperlink r:id="rId23" w:history="1">
        <w:r w:rsidRPr="00DA5739">
          <w:rPr>
            <w:rFonts w:ascii="David" w:hAnsi="David" w:cs="David"/>
            <w:color w:val="0000FF"/>
            <w:sz w:val="24"/>
            <w:szCs w:val="24"/>
            <w:u w:val="single"/>
            <w:rtl/>
          </w:rPr>
          <w:t>ע"פ (מחוזי ת"א) 70683/05</w:t>
        </w:r>
      </w:hyperlink>
      <w:r w:rsidR="00707961">
        <w:rPr>
          <w:rFonts w:ascii="David" w:hAnsi="David" w:cs="David"/>
          <w:sz w:val="24"/>
          <w:szCs w:val="24"/>
          <w:rtl/>
        </w:rPr>
        <w:t xml:space="preserve"> </w:t>
      </w:r>
      <w:r w:rsidR="00707961">
        <w:rPr>
          <w:rFonts w:ascii="David" w:hAnsi="David" w:cs="David"/>
          <w:b/>
          <w:bCs/>
          <w:sz w:val="24"/>
          <w:szCs w:val="24"/>
          <w:rtl/>
        </w:rPr>
        <w:t xml:space="preserve">לבקוביץ' נ' מדינת ישראל </w:t>
      </w:r>
      <w:r w:rsidR="00707961">
        <w:rPr>
          <w:rFonts w:ascii="David" w:hAnsi="David" w:cs="David"/>
          <w:sz w:val="24"/>
          <w:szCs w:val="24"/>
          <w:rtl/>
        </w:rPr>
        <w:t xml:space="preserve">(21.1.2007): בית המשפט המחוזי דוחה ערעור שהוגש נגד גזר דינו של בית משפט השלום. המערער הורשע בשתי עבירות של סחר בסם מסוכן ועבירה של הספקת סם מסוכן ונדון לשישה חודשי עבודות שירות, פיקוח של שירות מבחן וענישה נלווית. בית המשפט המחוזי דוחה הערעור על עצם הרשעתו של הנאשם (על אף תסקיר שהמליץ לעשות כן) ולעניין העונש, מציין כי מדובר בענישה קלה ובדרך כלל עבירת הסחר בסם "גוררת אחריה ככלל מאסר מאחורי סורג בריח". </w:t>
      </w:r>
    </w:p>
    <w:p w14:paraId="1EE1CD6A" w14:textId="77777777" w:rsidR="00707961" w:rsidRDefault="00707961" w:rsidP="00707961">
      <w:pPr>
        <w:pStyle w:val="aa"/>
        <w:rPr>
          <w:rFonts w:ascii="David" w:hAnsi="David" w:cs="David"/>
          <w:sz w:val="24"/>
          <w:szCs w:val="24"/>
        </w:rPr>
      </w:pPr>
    </w:p>
    <w:p w14:paraId="5792266F" w14:textId="77777777" w:rsidR="00707961" w:rsidRDefault="00DA5739" w:rsidP="00707961">
      <w:pPr>
        <w:pStyle w:val="aa"/>
        <w:numPr>
          <w:ilvl w:val="0"/>
          <w:numId w:val="2"/>
        </w:numPr>
        <w:spacing w:line="360" w:lineRule="auto"/>
        <w:jc w:val="both"/>
        <w:rPr>
          <w:rFonts w:ascii="David" w:hAnsi="David" w:cs="David"/>
          <w:sz w:val="24"/>
          <w:szCs w:val="24"/>
          <w:rtl/>
        </w:rPr>
      </w:pPr>
      <w:hyperlink r:id="rId24" w:history="1">
        <w:r w:rsidRPr="00DA5739">
          <w:rPr>
            <w:rFonts w:ascii="David" w:hAnsi="David" w:cs="David"/>
            <w:color w:val="0000FF"/>
            <w:sz w:val="24"/>
            <w:szCs w:val="24"/>
            <w:u w:val="single"/>
            <w:rtl/>
          </w:rPr>
          <w:t>ת"פ (אי') 28215-11-17</w:t>
        </w:r>
      </w:hyperlink>
      <w:r w:rsidR="00707961">
        <w:rPr>
          <w:rFonts w:ascii="David" w:hAnsi="David" w:cs="David"/>
          <w:sz w:val="24"/>
          <w:szCs w:val="24"/>
          <w:rtl/>
        </w:rPr>
        <w:t xml:space="preserve"> </w:t>
      </w:r>
      <w:r w:rsidR="00707961">
        <w:rPr>
          <w:rFonts w:ascii="David" w:hAnsi="David" w:cs="David"/>
          <w:b/>
          <w:bCs/>
          <w:sz w:val="24"/>
          <w:szCs w:val="24"/>
          <w:rtl/>
        </w:rPr>
        <w:t xml:space="preserve">מדינת ישראל נ' רובשקין </w:t>
      </w:r>
      <w:r w:rsidR="00707961">
        <w:rPr>
          <w:rFonts w:ascii="David" w:hAnsi="David" w:cs="David"/>
          <w:sz w:val="24"/>
          <w:szCs w:val="24"/>
          <w:rtl/>
        </w:rPr>
        <w:t xml:space="preserve">(6.11.2018): הנאשם הורשע בעבירות של סחר בסם מסוכן מסוג חשיש ובעבירה של ניסיון לסחר באותו סוג סם. מתחם העונש ההולם שנקבע נע בין 6 חודשי מאסר בפועל, שניתן לרצותם בעבודות שירות, ועד למאסר לתקופה של 12-16 חודשים. במקרה זה סטה בית המשפט ממתחם הענישה משיקולי שיקום והטיל על הנאשם צו מבחן בליווי של"צ וקנס וכן ענישה נלווית צופה פני עתיד. </w:t>
      </w:r>
    </w:p>
    <w:p w14:paraId="1CD962BE" w14:textId="77777777" w:rsidR="00707961" w:rsidRDefault="00707961" w:rsidP="00707961">
      <w:pPr>
        <w:pStyle w:val="aa"/>
        <w:rPr>
          <w:rFonts w:ascii="David" w:hAnsi="David" w:cs="David"/>
          <w:sz w:val="24"/>
          <w:szCs w:val="24"/>
        </w:rPr>
      </w:pPr>
    </w:p>
    <w:p w14:paraId="5AADD482" w14:textId="77777777" w:rsidR="00707961" w:rsidRDefault="00DA5739" w:rsidP="00707961">
      <w:pPr>
        <w:pStyle w:val="aa"/>
        <w:numPr>
          <w:ilvl w:val="0"/>
          <w:numId w:val="2"/>
        </w:numPr>
        <w:spacing w:line="360" w:lineRule="auto"/>
        <w:jc w:val="both"/>
        <w:rPr>
          <w:rFonts w:ascii="David" w:hAnsi="David" w:cs="David"/>
          <w:sz w:val="24"/>
          <w:szCs w:val="24"/>
          <w:rtl/>
        </w:rPr>
      </w:pPr>
      <w:hyperlink r:id="rId25" w:history="1">
        <w:r w:rsidRPr="00DA5739">
          <w:rPr>
            <w:rFonts w:ascii="David" w:hAnsi="David" w:cs="David"/>
            <w:color w:val="0000FF"/>
            <w:sz w:val="24"/>
            <w:szCs w:val="24"/>
            <w:u w:val="single"/>
            <w:rtl/>
          </w:rPr>
          <w:t>ת"פ (אי') 53195-07-15</w:t>
        </w:r>
      </w:hyperlink>
      <w:r w:rsidR="00707961">
        <w:rPr>
          <w:rFonts w:ascii="David" w:hAnsi="David" w:cs="David"/>
          <w:sz w:val="24"/>
          <w:szCs w:val="24"/>
          <w:rtl/>
        </w:rPr>
        <w:t xml:space="preserve"> </w:t>
      </w:r>
      <w:r w:rsidR="00707961">
        <w:rPr>
          <w:rFonts w:ascii="David" w:hAnsi="David" w:cs="David"/>
          <w:b/>
          <w:bCs/>
          <w:sz w:val="24"/>
          <w:szCs w:val="24"/>
          <w:rtl/>
        </w:rPr>
        <w:t>מדינת ישראל נ' שטרית</w:t>
      </w:r>
      <w:r w:rsidR="00707961">
        <w:rPr>
          <w:rFonts w:ascii="David" w:hAnsi="David" w:cs="David"/>
          <w:sz w:val="24"/>
          <w:szCs w:val="24"/>
          <w:rtl/>
        </w:rPr>
        <w:t xml:space="preserve"> (24.1.2017): הנאשם הורשע בעבירה של סחר בסם מסוכן מסוג קנביס. בית המשפט קבע מתחם ענישה הנע בין מספר חודשי מאסר, שניתן לרצות בדרך של עבודות שירות, ועד 11 חודשי מאסר לצד ענישה נלווית. במקרה זה מצא בית המשפט לנכון לחרוג מהמתחם משיקולי שיקום. על הנאשם הוטלו צו של"צ, קנס וכן ענישה נלווית, צופה פני עתיד. </w:t>
      </w:r>
    </w:p>
    <w:p w14:paraId="59BE75FD" w14:textId="77777777" w:rsidR="00707961" w:rsidRDefault="00707961" w:rsidP="00707961">
      <w:pPr>
        <w:pStyle w:val="aa"/>
        <w:rPr>
          <w:rFonts w:ascii="David" w:hAnsi="David" w:cs="David"/>
          <w:sz w:val="24"/>
          <w:szCs w:val="24"/>
          <w:rtl/>
        </w:rPr>
      </w:pPr>
    </w:p>
    <w:p w14:paraId="7AC140ED" w14:textId="77777777" w:rsidR="00707961" w:rsidRDefault="00707961" w:rsidP="00707961">
      <w:pPr>
        <w:pStyle w:val="aa"/>
        <w:rPr>
          <w:rFonts w:ascii="David" w:hAnsi="David" w:cs="David"/>
          <w:sz w:val="24"/>
          <w:szCs w:val="24"/>
          <w:rtl/>
        </w:rPr>
      </w:pPr>
    </w:p>
    <w:p w14:paraId="62E4B204" w14:textId="77777777" w:rsidR="00707961" w:rsidRDefault="00707961" w:rsidP="00707961">
      <w:pPr>
        <w:pStyle w:val="aa"/>
        <w:numPr>
          <w:ilvl w:val="0"/>
          <w:numId w:val="1"/>
        </w:numPr>
        <w:spacing w:after="0" w:line="360" w:lineRule="auto"/>
        <w:jc w:val="both"/>
        <w:rPr>
          <w:rFonts w:ascii="David" w:hAnsi="David" w:cs="David"/>
          <w:b/>
          <w:bCs/>
          <w:sz w:val="24"/>
          <w:szCs w:val="24"/>
          <w:rtl/>
        </w:rPr>
      </w:pPr>
      <w:r>
        <w:rPr>
          <w:rFonts w:ascii="David" w:hAnsi="David" w:cs="David"/>
          <w:sz w:val="24"/>
          <w:szCs w:val="24"/>
          <w:rtl/>
        </w:rPr>
        <w:t>לאור האמור לעיל מצאתי לנכון לקבוע כי מתחם העונש ההולם במקרה זה נע בין 6 חודשי מאסר ועד 12 חודשי מאסר.</w:t>
      </w:r>
    </w:p>
    <w:p w14:paraId="7A8E2F46" w14:textId="77777777" w:rsidR="00707961" w:rsidRDefault="00707961" w:rsidP="00707961">
      <w:pPr>
        <w:spacing w:line="360" w:lineRule="auto"/>
        <w:jc w:val="both"/>
        <w:rPr>
          <w:rFonts w:ascii="David" w:hAnsi="David"/>
          <w:b/>
          <w:bCs/>
        </w:rPr>
      </w:pPr>
    </w:p>
    <w:p w14:paraId="3BB878E1" w14:textId="77777777" w:rsidR="00707961" w:rsidRPr="00CC7859" w:rsidRDefault="00707961" w:rsidP="00707961">
      <w:pPr>
        <w:spacing w:line="360" w:lineRule="auto"/>
        <w:jc w:val="both"/>
        <w:rPr>
          <w:rFonts w:ascii="David" w:hAnsi="David"/>
          <w:b/>
          <w:bCs/>
          <w:rtl/>
        </w:rPr>
      </w:pPr>
      <w:r w:rsidRPr="00CC7859">
        <w:rPr>
          <w:rFonts w:ascii="David" w:hAnsi="David"/>
          <w:b/>
          <w:bCs/>
          <w:u w:val="single"/>
          <w:rtl/>
        </w:rPr>
        <w:t xml:space="preserve">העונש המתאים לנאשם – חריגה לקולא ממתחם העונש ההולם </w:t>
      </w:r>
    </w:p>
    <w:p w14:paraId="2F0231AC" w14:textId="77777777" w:rsidR="00707961" w:rsidRDefault="00707961" w:rsidP="00707961">
      <w:pPr>
        <w:pStyle w:val="aa"/>
        <w:spacing w:line="360" w:lineRule="auto"/>
        <w:ind w:left="360"/>
        <w:jc w:val="both"/>
        <w:rPr>
          <w:rFonts w:ascii="David" w:hAnsi="David" w:cs="David"/>
          <w:sz w:val="24"/>
          <w:szCs w:val="24"/>
          <w:rtl/>
        </w:rPr>
      </w:pPr>
    </w:p>
    <w:p w14:paraId="02385679" w14:textId="77777777" w:rsidR="00707961" w:rsidRDefault="00707961" w:rsidP="0070796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w:t>
      </w:r>
      <w:hyperlink r:id="rId26" w:history="1">
        <w:r w:rsidR="00903C2E" w:rsidRPr="00903C2E">
          <w:rPr>
            <w:rStyle w:val="Hyperlink"/>
            <w:rFonts w:ascii="David" w:hAnsi="David" w:cs="David"/>
            <w:sz w:val="24"/>
            <w:szCs w:val="24"/>
            <w:rtl/>
          </w:rPr>
          <w:t>סעיף 40ד</w:t>
        </w:r>
      </w:hyperlink>
      <w:r>
        <w:rPr>
          <w:rFonts w:ascii="David" w:hAnsi="David" w:cs="David"/>
          <w:sz w:val="24"/>
          <w:szCs w:val="24"/>
          <w:rtl/>
        </w:rPr>
        <w:t xml:space="preserve"> ל</w:t>
      </w:r>
      <w:hyperlink r:id="rId27" w:history="1">
        <w:r w:rsidR="00DA5739" w:rsidRPr="00DA5739">
          <w:rPr>
            <w:rFonts w:ascii="David" w:hAnsi="David" w:cs="David"/>
            <w:color w:val="0000FF"/>
            <w:sz w:val="24"/>
            <w:szCs w:val="24"/>
            <w:u w:val="single"/>
            <w:rtl/>
          </w:rPr>
          <w:t>חוק העונשין</w:t>
        </w:r>
      </w:hyperlink>
      <w:r>
        <w:rPr>
          <w:rFonts w:ascii="David" w:hAnsi="David" w:cs="David"/>
          <w:sz w:val="24"/>
          <w:szCs w:val="24"/>
          <w:rtl/>
        </w:rPr>
        <w:t xml:space="preserve">, בית המשפט רשאי לחרוג לקולא ממתחם העונש ההולם, משיקולי שיקום הנאשם. זאת, אם הנאשם השתקם, או יש סיכוי של ממש שהוא ישתקם. </w:t>
      </w:r>
    </w:p>
    <w:p w14:paraId="465A2245" w14:textId="77777777" w:rsidR="00707961" w:rsidRDefault="00707961" w:rsidP="00707961">
      <w:pPr>
        <w:pStyle w:val="aa"/>
        <w:spacing w:line="360" w:lineRule="auto"/>
        <w:ind w:left="360"/>
        <w:jc w:val="both"/>
        <w:rPr>
          <w:rFonts w:ascii="David" w:hAnsi="David" w:cs="David"/>
          <w:sz w:val="24"/>
          <w:szCs w:val="24"/>
        </w:rPr>
      </w:pPr>
    </w:p>
    <w:p w14:paraId="0AE18165" w14:textId="77777777" w:rsidR="00707961" w:rsidRDefault="00707961" w:rsidP="00707961">
      <w:pPr>
        <w:pStyle w:val="aa"/>
        <w:spacing w:line="360" w:lineRule="auto"/>
        <w:ind w:left="360"/>
        <w:jc w:val="both"/>
        <w:rPr>
          <w:rFonts w:ascii="David" w:hAnsi="David" w:cs="David"/>
          <w:color w:val="000000"/>
          <w:sz w:val="24"/>
          <w:szCs w:val="24"/>
        </w:rPr>
      </w:pPr>
      <w:r>
        <w:rPr>
          <w:rFonts w:ascii="David" w:hAnsi="David" w:cs="David"/>
          <w:sz w:val="24"/>
          <w:szCs w:val="24"/>
          <w:rtl/>
        </w:rPr>
        <w:t>במסגרת</w:t>
      </w:r>
      <w:r w:rsidR="00DA5739">
        <w:rPr>
          <w:rFonts w:ascii="David" w:hAnsi="David" w:cs="David"/>
          <w:sz w:val="24"/>
          <w:szCs w:val="24"/>
          <w:rtl/>
        </w:rPr>
        <w:t xml:space="preserve"> </w:t>
      </w:r>
      <w:hyperlink r:id="rId28" w:history="1">
        <w:r w:rsidR="00DA5739" w:rsidRPr="00DA5739">
          <w:rPr>
            <w:rFonts w:ascii="David" w:hAnsi="David" w:cs="David"/>
            <w:color w:val="0000FF"/>
            <w:sz w:val="24"/>
            <w:szCs w:val="24"/>
            <w:u w:val="single"/>
            <w:rtl/>
          </w:rPr>
          <w:t>ע"פ 6637/17</w:t>
        </w:r>
      </w:hyperlink>
      <w:r w:rsidR="00DA5739">
        <w:rPr>
          <w:rFonts w:ascii="David" w:hAnsi="David" w:cs="David"/>
          <w:sz w:val="24"/>
          <w:szCs w:val="24"/>
        </w:rPr>
        <w:t xml:space="preserve"> </w:t>
      </w:r>
      <w:r>
        <w:rPr>
          <w:rFonts w:ascii="David" w:hAnsi="David" w:cs="David"/>
          <w:b/>
          <w:bCs/>
          <w:sz w:val="24"/>
          <w:szCs w:val="24"/>
          <w:rtl/>
        </w:rPr>
        <w:t>קרנדל נ' מדינת ישראל</w:t>
      </w:r>
      <w:r w:rsidR="00DA5739">
        <w:rPr>
          <w:rFonts w:ascii="David" w:hAnsi="David" w:cs="David"/>
          <w:sz w:val="24"/>
          <w:szCs w:val="24"/>
          <w:rtl/>
        </w:rPr>
        <w:t xml:space="preserve"> </w:t>
      </w:r>
      <w:r>
        <w:rPr>
          <w:rFonts w:ascii="David" w:hAnsi="David" w:cs="David"/>
          <w:sz w:val="24"/>
          <w:szCs w:val="24"/>
          <w:rtl/>
        </w:rPr>
        <w:t xml:space="preserve">(18.4.2018)  קבע בית המשפט העליון כי את התשתית העובדתית להוכחת סיכויי השיקום ניתן לגבש באמצעים ראייתיים שונים, ובראשם תסקיר שירות המבחן; </w:t>
      </w:r>
      <w:r>
        <w:rPr>
          <w:rFonts w:ascii="David" w:hAnsi="David" w:cs="David"/>
          <w:color w:val="000000"/>
          <w:sz w:val="24"/>
          <w:szCs w:val="24"/>
          <w:rtl/>
        </w:rPr>
        <w:t>בית המשפט קבע, ביחס לשיקולים המנחים בהערכת שיקומו של הנאשם, בין היתר, כך:</w:t>
      </w:r>
    </w:p>
    <w:p w14:paraId="082DBF62" w14:textId="77777777" w:rsidR="00707961" w:rsidRDefault="00707961" w:rsidP="00707961">
      <w:pPr>
        <w:pStyle w:val="aa"/>
        <w:spacing w:line="360" w:lineRule="auto"/>
        <w:ind w:left="360"/>
        <w:jc w:val="both"/>
        <w:rPr>
          <w:rFonts w:ascii="David" w:hAnsi="David" w:cs="David"/>
          <w:color w:val="000000"/>
          <w:sz w:val="24"/>
          <w:szCs w:val="24"/>
          <w:rtl/>
        </w:rPr>
      </w:pPr>
    </w:p>
    <w:p w14:paraId="5E13D536" w14:textId="77777777" w:rsidR="00707961" w:rsidRDefault="00707961" w:rsidP="00707961">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"...בקווים כלליים ניתן להצביע על כך ש</w:t>
      </w:r>
      <w:r>
        <w:rPr>
          <w:rFonts w:ascii="David" w:hAnsi="David" w:cs="David"/>
          <w:b/>
          <w:bCs/>
          <w:color w:val="000000"/>
          <w:sz w:val="24"/>
          <w:szCs w:val="24"/>
          <w:rtl/>
        </w:rPr>
        <w:t xml:space="preserve">הפעלת הסמכות </w:t>
      </w:r>
      <w:hyperlink r:id="rId29" w:history="1">
        <w:r w:rsidR="00903C2E" w:rsidRPr="00903C2E">
          <w:rPr>
            <w:rStyle w:val="Hyperlink"/>
            <w:rFonts w:ascii="David" w:hAnsi="David" w:cs="David"/>
            <w:b/>
            <w:bCs/>
            <w:sz w:val="24"/>
            <w:szCs w:val="24"/>
            <w:rtl/>
          </w:rPr>
          <w:t>בסעיף 40ד</w:t>
        </w:r>
      </w:hyperlink>
      <w:r>
        <w:rPr>
          <w:rFonts w:ascii="David" w:hAnsi="David" w:cs="David"/>
          <w:b/>
          <w:bCs/>
          <w:color w:val="000000"/>
          <w:sz w:val="24"/>
          <w:szCs w:val="24"/>
          <w:rtl/>
        </w:rPr>
        <w:t xml:space="preserve"> אינה מוגבלת לעבירות קלות בלבד </w:t>
      </w:r>
      <w:r>
        <w:rPr>
          <w:rFonts w:ascii="David" w:hAnsi="David" w:cs="David"/>
          <w:color w:val="000000"/>
          <w:sz w:val="24"/>
          <w:szCs w:val="24"/>
          <w:rtl/>
        </w:rPr>
        <w:t xml:space="preserve">(ראו למשל: </w:t>
      </w:r>
      <w:hyperlink r:id="rId30" w:history="1">
        <w:r w:rsidR="00DA5739" w:rsidRPr="00DA5739">
          <w:rPr>
            <w:rFonts w:ascii="David" w:hAnsi="David" w:cs="David"/>
            <w:color w:val="0000FF"/>
            <w:sz w:val="24"/>
            <w:szCs w:val="24"/>
            <w:u w:val="single"/>
            <w:rtl/>
          </w:rPr>
          <w:t>ע"פ 779/15</w:t>
        </w:r>
      </w:hyperlink>
      <w:r>
        <w:rPr>
          <w:rFonts w:ascii="David" w:hAnsi="David" w:cs="David"/>
          <w:color w:val="000000"/>
          <w:sz w:val="24"/>
          <w:szCs w:val="24"/>
          <w:rtl/>
        </w:rPr>
        <w:t xml:space="preserve"> פלוני נ' מדינת ישראל [פורסם בנבו] (12.4.2015) (להלן: </w:t>
      </w:r>
      <w:hyperlink r:id="rId31" w:history="1">
        <w:r w:rsidR="00DA5739" w:rsidRPr="00DA5739">
          <w:rPr>
            <w:rFonts w:ascii="David" w:hAnsi="David" w:cs="David"/>
            <w:color w:val="0000FF"/>
            <w:sz w:val="24"/>
            <w:szCs w:val="24"/>
            <w:u w:val="single"/>
            <w:rtl/>
          </w:rPr>
          <w:t>ע"פ 779/15</w:t>
        </w:r>
      </w:hyperlink>
      <w:r>
        <w:rPr>
          <w:rFonts w:ascii="David" w:hAnsi="David" w:cs="David"/>
          <w:color w:val="000000"/>
          <w:sz w:val="24"/>
          <w:szCs w:val="24"/>
          <w:rtl/>
        </w:rPr>
        <w:t xml:space="preserve">); </w:t>
      </w:r>
      <w:hyperlink r:id="rId32" w:history="1">
        <w:r w:rsidR="00DA5739" w:rsidRPr="00DA5739">
          <w:rPr>
            <w:rFonts w:ascii="David" w:hAnsi="David" w:cs="David"/>
            <w:color w:val="0000FF"/>
            <w:sz w:val="24"/>
            <w:szCs w:val="24"/>
            <w:u w:val="single"/>
            <w:rtl/>
          </w:rPr>
          <w:t>ע"פ 3381/16</w:t>
        </w:r>
      </w:hyperlink>
      <w:r>
        <w:rPr>
          <w:rFonts w:ascii="David" w:hAnsi="David" w:cs="David"/>
          <w:color w:val="000000"/>
          <w:sz w:val="24"/>
          <w:szCs w:val="24"/>
          <w:rtl/>
        </w:rPr>
        <w:t xml:space="preserve"> אלקרינאוי נ' מדינת ישראל [פורסם בנבו] (10.7.2016) (להלן: עניין אלקרינאוי); </w:t>
      </w:r>
      <w:hyperlink r:id="rId33" w:history="1">
        <w:r w:rsidR="00DA5739" w:rsidRPr="00DA5739">
          <w:rPr>
            <w:rFonts w:ascii="David" w:hAnsi="David" w:cs="David"/>
            <w:color w:val="0000FF"/>
            <w:sz w:val="24"/>
            <w:szCs w:val="24"/>
            <w:u w:val="single"/>
            <w:rtl/>
          </w:rPr>
          <w:t>ע"פ 5611/16</w:t>
        </w:r>
      </w:hyperlink>
      <w:r>
        <w:rPr>
          <w:rFonts w:ascii="David" w:hAnsi="David" w:cs="David"/>
          <w:color w:val="000000"/>
          <w:sz w:val="24"/>
          <w:szCs w:val="24"/>
          <w:rtl/>
        </w:rPr>
        <w:t xml:space="preserve"> סלב נ' מדינת ישראל [פורסם בנבו] (14.9.2017) (להלן: עניין סלב); </w:t>
      </w:r>
      <w:hyperlink r:id="rId34" w:history="1">
        <w:r w:rsidR="00DA5739" w:rsidRPr="00DA5739">
          <w:rPr>
            <w:rFonts w:ascii="David" w:hAnsi="David" w:cs="David"/>
            <w:color w:val="0000FF"/>
            <w:sz w:val="24"/>
            <w:szCs w:val="24"/>
            <w:u w:val="single"/>
            <w:rtl/>
          </w:rPr>
          <w:t>ע"פ 1288/17</w:t>
        </w:r>
      </w:hyperlink>
      <w:r>
        <w:rPr>
          <w:rFonts w:ascii="David" w:hAnsi="David" w:cs="David"/>
          <w:color w:val="000000"/>
          <w:sz w:val="24"/>
          <w:szCs w:val="24"/>
          <w:rtl/>
        </w:rPr>
        <w:t xml:space="preserve"> מדינת ישראל נ' שנהר [פורסם בנבו] (3.10.2017) (להלן: עניין שנהר)). במקרים קודמים שבהם נדרש בית המשפט להעריך את סיכויי השיקום במסגרת </w:t>
      </w:r>
      <w:hyperlink r:id="rId35" w:history="1">
        <w:r w:rsidR="00903C2E" w:rsidRPr="00903C2E">
          <w:rPr>
            <w:rStyle w:val="Hyperlink"/>
            <w:rFonts w:ascii="David" w:hAnsi="David" w:cs="David"/>
            <w:sz w:val="24"/>
            <w:szCs w:val="24"/>
            <w:rtl/>
          </w:rPr>
          <w:t>סעיף 40ד</w:t>
        </w:r>
      </w:hyperlink>
      <w:r>
        <w:rPr>
          <w:rFonts w:ascii="David" w:hAnsi="David" w:cs="David"/>
          <w:color w:val="000000"/>
          <w:sz w:val="24"/>
          <w:szCs w:val="24"/>
          <w:rtl/>
        </w:rPr>
        <w:t xml:space="preserve"> ל</w:t>
      </w:r>
      <w:hyperlink r:id="rId36" w:history="1">
        <w:r w:rsidR="00DA5739" w:rsidRPr="00DA5739">
          <w:rPr>
            <w:rFonts w:ascii="David" w:hAnsi="David" w:cs="David"/>
            <w:color w:val="0000FF"/>
            <w:sz w:val="24"/>
            <w:szCs w:val="24"/>
            <w:u w:val="single"/>
            <w:rtl/>
          </w:rPr>
          <w:t>חוק העונשין</w:t>
        </w:r>
      </w:hyperlink>
      <w:r>
        <w:rPr>
          <w:rFonts w:ascii="David" w:hAnsi="David" w:cs="David"/>
          <w:color w:val="000000"/>
          <w:sz w:val="24"/>
          <w:szCs w:val="24"/>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37" w:history="1">
        <w:r w:rsidR="00DA5739" w:rsidRPr="00DA5739">
          <w:rPr>
            <w:rFonts w:ascii="David" w:hAnsi="David" w:cs="David"/>
            <w:color w:val="0000FF"/>
            <w:sz w:val="24"/>
            <w:szCs w:val="24"/>
            <w:u w:val="single"/>
            <w:rtl/>
          </w:rPr>
          <w:t>ע"פ 7459/12</w:t>
        </w:r>
      </w:hyperlink>
      <w:r>
        <w:rPr>
          <w:rFonts w:ascii="David" w:hAnsi="David" w:cs="David"/>
          <w:color w:val="000000"/>
          <w:sz w:val="24"/>
          <w:szCs w:val="24"/>
          <w:rtl/>
        </w:rPr>
        <w:t xml:space="preserve"> שיבר נ' מדינת ישראל, [פורסם בנבו] פסקה 6 (20.6.2013); </w:t>
      </w:r>
      <w:hyperlink r:id="rId38" w:history="1">
        <w:r w:rsidR="00DA5739" w:rsidRPr="00DA5739">
          <w:rPr>
            <w:rFonts w:ascii="David" w:hAnsi="David" w:cs="David"/>
            <w:color w:val="0000FF"/>
            <w:sz w:val="24"/>
            <w:szCs w:val="24"/>
            <w:u w:val="single"/>
            <w:rtl/>
          </w:rPr>
          <w:t>ע"פ 779/15</w:t>
        </w:r>
      </w:hyperlink>
      <w:r>
        <w:rPr>
          <w:rFonts w:ascii="David" w:hAnsi="David" w:cs="David"/>
          <w:color w:val="000000"/>
          <w:sz w:val="24"/>
          <w:szCs w:val="24"/>
          <w:rtl/>
        </w:rPr>
        <w:t>, בפסקה 11; עניין אלקרינאוי, בפסקה 12; עניין סלב, בפסקאות 17-16; עניין שנהר, בפסקה 24).</w:t>
      </w:r>
    </w:p>
    <w:p w14:paraId="39E764D0" w14:textId="77777777" w:rsidR="00707961" w:rsidRDefault="00707961" w:rsidP="00707961">
      <w:pPr>
        <w:pStyle w:val="aa"/>
        <w:spacing w:line="360" w:lineRule="auto"/>
        <w:ind w:left="360"/>
        <w:jc w:val="both"/>
        <w:rPr>
          <w:rFonts w:ascii="David" w:hAnsi="David" w:cs="David"/>
          <w:color w:val="000000"/>
          <w:sz w:val="24"/>
          <w:szCs w:val="24"/>
          <w:rtl/>
        </w:rPr>
      </w:pPr>
    </w:p>
    <w:p w14:paraId="7D13647D" w14:textId="77777777" w:rsidR="00707961" w:rsidRDefault="00707961" w:rsidP="00707961">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39" w:history="1">
        <w:r w:rsidR="00903C2E" w:rsidRPr="00903C2E">
          <w:rPr>
            <w:rStyle w:val="Hyperlink"/>
            <w:rFonts w:ascii="David" w:hAnsi="David" w:cs="David"/>
            <w:sz w:val="24"/>
            <w:szCs w:val="24"/>
            <w:rtl/>
          </w:rPr>
          <w:t>סעיף 40יא</w:t>
        </w:r>
      </w:hyperlink>
      <w:r>
        <w:rPr>
          <w:rFonts w:ascii="David" w:hAnsi="David" w:cs="David"/>
          <w:color w:val="000000"/>
          <w:sz w:val="24"/>
          <w:szCs w:val="24"/>
          <w:rtl/>
        </w:rPr>
        <w:t xml:space="preserve"> ל</w:t>
      </w:r>
      <w:hyperlink r:id="rId40" w:history="1">
        <w:r w:rsidR="00DA5739" w:rsidRPr="00DA5739">
          <w:rPr>
            <w:rFonts w:ascii="David" w:hAnsi="David" w:cs="David"/>
            <w:color w:val="0000FF"/>
            <w:sz w:val="24"/>
            <w:szCs w:val="24"/>
            <w:u w:val="single"/>
            <w:rtl/>
          </w:rPr>
          <w:t>חוק העונשין</w:t>
        </w:r>
      </w:hyperlink>
      <w:r>
        <w:rPr>
          <w:rFonts w:ascii="David" w:hAnsi="David" w:cs="David"/>
          <w:color w:val="000000"/>
          <w:sz w:val="24"/>
          <w:szCs w:val="24"/>
          <w:rtl/>
        </w:rPr>
        <w:t xml:space="preserve">). עם זאת, ומבלי לקבוע מסמרות, ניתן לציין </w:t>
      </w:r>
      <w:r>
        <w:rPr>
          <w:rFonts w:ascii="David" w:hAnsi="David" w:cs="David"/>
          <w:b/>
          <w:bCs/>
          <w:color w:val="000000"/>
          <w:sz w:val="24"/>
          <w:szCs w:val="24"/>
          <w:rtl/>
        </w:rPr>
        <w:t>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w:t>
      </w:r>
      <w:r>
        <w:rPr>
          <w:rFonts w:ascii="David" w:hAnsi="David" w:cs="David"/>
          <w:color w:val="000000"/>
          <w:sz w:val="24"/>
          <w:szCs w:val="24"/>
          <w:rtl/>
        </w:rPr>
        <w:t xml:space="preserve"> דברים אלה זוכים למשנה חיזוק מקום בו מדובר באדם צעיר נעדר עבר פלילי (עניין סלב, בפסקה 16)".</w:t>
      </w:r>
    </w:p>
    <w:p w14:paraId="6C0302F2" w14:textId="77777777" w:rsidR="00707961" w:rsidRDefault="00707961" w:rsidP="00707961">
      <w:pPr>
        <w:pStyle w:val="aa"/>
        <w:spacing w:line="360" w:lineRule="auto"/>
        <w:ind w:left="360"/>
        <w:jc w:val="both"/>
        <w:rPr>
          <w:rFonts w:ascii="David" w:hAnsi="David" w:cs="David"/>
          <w:color w:val="000000"/>
          <w:sz w:val="24"/>
          <w:szCs w:val="24"/>
          <w:rtl/>
        </w:rPr>
      </w:pPr>
    </w:p>
    <w:p w14:paraId="4A9501B6" w14:textId="77777777" w:rsidR="00707961" w:rsidRDefault="00707961" w:rsidP="00707961">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במקרה דנא, שוכנעתי כי הנאשם – השתקם, או למצער קיים סיכוי ממש שהוא ישתקם ועל כן יש להשית עליו עונש החורג לקולא ממתחם הענישה שנקבע לעיל. </w:t>
      </w:r>
    </w:p>
    <w:p w14:paraId="516F9070" w14:textId="77777777" w:rsidR="00707961" w:rsidRDefault="00707961" w:rsidP="00707961">
      <w:pPr>
        <w:pStyle w:val="aa"/>
        <w:spacing w:line="360" w:lineRule="auto"/>
        <w:ind w:left="360"/>
        <w:jc w:val="both"/>
        <w:rPr>
          <w:rFonts w:ascii="David" w:hAnsi="David" w:cs="David"/>
          <w:color w:val="000000"/>
          <w:sz w:val="24"/>
          <w:szCs w:val="24"/>
        </w:rPr>
      </w:pPr>
    </w:p>
    <w:p w14:paraId="4004F30D" w14:textId="77777777" w:rsidR="00707961" w:rsidRDefault="00707961" w:rsidP="00707961">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הנאשם ללא כל עבר פלילי. בעל תעודת בגרות ולאחר שירות צבאי מלא בתפקיד נהג מבצעי. </w:t>
      </w:r>
    </w:p>
    <w:p w14:paraId="18ED15D0" w14:textId="77777777" w:rsidR="00707961" w:rsidRDefault="00707961" w:rsidP="00707961">
      <w:pPr>
        <w:bidi w:val="0"/>
        <w:rPr>
          <w:rFonts w:ascii="David" w:hAnsi="David"/>
          <w:color w:val="000000"/>
        </w:rPr>
      </w:pPr>
      <w:r>
        <w:rPr>
          <w:rFonts w:ascii="David" w:hAnsi="David"/>
          <w:color w:val="000000"/>
        </w:rPr>
        <w:br w:type="page"/>
      </w:r>
    </w:p>
    <w:p w14:paraId="5A6A891A" w14:textId="77777777" w:rsidR="00707961" w:rsidRDefault="00707961" w:rsidP="00707961">
      <w:pPr>
        <w:pStyle w:val="aa"/>
        <w:rPr>
          <w:rFonts w:ascii="David" w:hAnsi="David" w:cs="David"/>
          <w:color w:val="000000"/>
          <w:sz w:val="24"/>
          <w:szCs w:val="24"/>
          <w:rtl/>
        </w:rPr>
      </w:pPr>
    </w:p>
    <w:p w14:paraId="441AA1A8" w14:textId="77777777" w:rsidR="00707961" w:rsidRDefault="00707961" w:rsidP="00707961">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כך תסקיר שירות המבחן הראשון שהוגש בעניינו של הנאשם:</w:t>
      </w:r>
    </w:p>
    <w:p w14:paraId="4CB8837F" w14:textId="77777777" w:rsidR="00707961" w:rsidRDefault="00707961" w:rsidP="00707961">
      <w:pPr>
        <w:pStyle w:val="aa"/>
        <w:rPr>
          <w:rFonts w:ascii="David" w:hAnsi="David" w:cs="David"/>
          <w:color w:val="000000"/>
          <w:sz w:val="24"/>
          <w:szCs w:val="24"/>
        </w:rPr>
      </w:pPr>
    </w:p>
    <w:p w14:paraId="5D997454" w14:textId="77777777" w:rsidR="00707961" w:rsidRDefault="00707961" w:rsidP="00707961">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 xml:space="preserve">"התרשמנו מצעיר בעל  מערכת ערכים נורמטיבית ושאיפות תקינות, אשר מהווה בסיס המאפשר קידום מטרותיו ושיקום חייו.... התרשמנו כי עולה צורך להעמיק הבנתו באשר למשמעות מעשי העבירה, והעומד ברקע להם... לאור כך אנו מעריכים כי שילובו בקבוצת צעירים בשירותנו תקדם את אור (צ"ל רומן - ג.א.) בהתנהלות נורמטיבית ותסייע בהליך גיבוש זהותו". </w:t>
      </w:r>
    </w:p>
    <w:p w14:paraId="6310A882" w14:textId="77777777" w:rsidR="00707961" w:rsidRDefault="00707961" w:rsidP="00707961">
      <w:pPr>
        <w:pStyle w:val="aa"/>
        <w:spacing w:line="360" w:lineRule="auto"/>
        <w:ind w:left="360"/>
        <w:jc w:val="both"/>
        <w:rPr>
          <w:rFonts w:ascii="David" w:hAnsi="David" w:cs="David"/>
          <w:color w:val="000000"/>
          <w:sz w:val="24"/>
          <w:szCs w:val="24"/>
        </w:rPr>
      </w:pPr>
    </w:p>
    <w:p w14:paraId="111D75F2" w14:textId="77777777" w:rsidR="00707961" w:rsidRDefault="00707961" w:rsidP="00707961">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בתסקיר המשלים שהוגש, ולאחר שילובו של הנאשם בקבוצת הצעירים, כתבה קצינת המבחן כך:</w:t>
      </w:r>
    </w:p>
    <w:p w14:paraId="32427BEA" w14:textId="77777777" w:rsidR="00707961" w:rsidRDefault="00707961" w:rsidP="00707961">
      <w:pPr>
        <w:pStyle w:val="aa"/>
        <w:spacing w:line="360" w:lineRule="auto"/>
        <w:ind w:left="360"/>
        <w:jc w:val="both"/>
        <w:rPr>
          <w:rFonts w:ascii="David" w:hAnsi="David" w:cs="David"/>
          <w:color w:val="000000"/>
          <w:sz w:val="24"/>
          <w:szCs w:val="24"/>
          <w:rtl/>
        </w:rPr>
      </w:pPr>
    </w:p>
    <w:p w14:paraId="3B987FEC" w14:textId="77777777" w:rsidR="00707961" w:rsidRDefault="00707961" w:rsidP="00707961">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"התרשמנו כי רומן נמצא בעיצומו של תהליך בחינה של מאפייני התנהלותו ותפקודו וכי שילובו בקבוצה מסייע בתהליך של גיבוש זהותו. במהלך השתתפותו בקבוצה, רומן בוחן את דימויו העצמי ומקורותיו, וההקשר בינו לבין בחירותיו והתנהלותו. בנוסף, התרשמנו, כי השתתפותו בקבוצה סייעה בגיבוש תהליך קבלת אחריות באשר להתנהלותו ומעשיו ובאופן בו יפעל בעתיד ובכלל זה, במצבי סיכון במסגרת חברתית. להערכתנו המשך שילובו בקבוצה יסייע בתהליך אותו עובר. כן התרשמנו כי קיים רצון כן להימנע ממעורבות נוספת בפלילים וכי מגויס לתהליך הטיפולי. ולאור כך, אנו סבורים כי יש לאפשר לרומן להמשיך בתהליך החיובי שהחל</w:t>
      </w:r>
      <w:r>
        <w:rPr>
          <w:rFonts w:ascii="David" w:hAnsi="David" w:cs="David" w:hint="cs"/>
          <w:color w:val="000000"/>
          <w:sz w:val="24"/>
          <w:szCs w:val="24"/>
          <w:rtl/>
        </w:rPr>
        <w:t>"</w:t>
      </w:r>
      <w:r>
        <w:rPr>
          <w:rFonts w:ascii="David" w:hAnsi="David" w:cs="David"/>
          <w:color w:val="000000"/>
          <w:sz w:val="24"/>
          <w:szCs w:val="24"/>
          <w:rtl/>
        </w:rPr>
        <w:t xml:space="preserve">. </w:t>
      </w:r>
    </w:p>
    <w:p w14:paraId="64705840" w14:textId="77777777" w:rsidR="00707961" w:rsidRDefault="00707961" w:rsidP="00707961">
      <w:pPr>
        <w:pStyle w:val="aa"/>
        <w:spacing w:line="360" w:lineRule="auto"/>
        <w:ind w:left="360"/>
        <w:jc w:val="both"/>
        <w:rPr>
          <w:rFonts w:ascii="David" w:hAnsi="David" w:cs="David"/>
          <w:color w:val="000000"/>
          <w:sz w:val="24"/>
          <w:szCs w:val="24"/>
        </w:rPr>
      </w:pPr>
    </w:p>
    <w:p w14:paraId="44F66F15" w14:textId="77777777" w:rsidR="00707961" w:rsidRDefault="00707961" w:rsidP="00707961">
      <w:pPr>
        <w:pStyle w:val="aa"/>
        <w:numPr>
          <w:ilvl w:val="0"/>
          <w:numId w:val="1"/>
        </w:numPr>
        <w:spacing w:line="360" w:lineRule="auto"/>
        <w:jc w:val="both"/>
        <w:rPr>
          <w:rFonts w:ascii="David" w:hAnsi="David" w:cs="David"/>
          <w:sz w:val="24"/>
          <w:szCs w:val="24"/>
          <w:rtl/>
        </w:rPr>
      </w:pPr>
      <w:r>
        <w:rPr>
          <w:rFonts w:ascii="David" w:hAnsi="David" w:cs="David"/>
          <w:sz w:val="24"/>
          <w:szCs w:val="24"/>
          <w:rtl/>
        </w:rPr>
        <w:t>עיון ברקע לביצוע העבירות, כפי שפורט בתסקיר הראשון, והעובדה כי לנאשם אין רישום פלילי קודם מלמדים כי העבירות מושא כתב האישום היוו אירוע חריג בנוף חייו של הנאשם, וכי מאז מעצרו, שנמשך 12 ימים, והטלטול שחווה כתוצאה מכך ומהתנהלות ההליך המשפטי נגדו, התרחק מעולם הסמים לחלוטין. למותר לציין כי בדיקות שתן לגילוי שרידי סם שנערכו לנאשם הציגו תוצאה שלילית. מהתסקיר המשלים עולה כי הנאשם עובד כיום כנהג משאית, ובכוונתו להשתלב בלימודים בתחום המחשב, כבודק תכנה.</w:t>
      </w:r>
    </w:p>
    <w:p w14:paraId="3D105EAF" w14:textId="77777777" w:rsidR="00707961" w:rsidRDefault="00707961" w:rsidP="00707961">
      <w:pPr>
        <w:pStyle w:val="aa"/>
        <w:spacing w:line="360" w:lineRule="auto"/>
        <w:ind w:left="360"/>
        <w:jc w:val="both"/>
        <w:rPr>
          <w:rFonts w:ascii="David" w:hAnsi="David" w:cs="David"/>
          <w:sz w:val="24"/>
          <w:szCs w:val="24"/>
        </w:rPr>
      </w:pPr>
    </w:p>
    <w:p w14:paraId="380D2230" w14:textId="77777777" w:rsidR="00707961" w:rsidRDefault="00707961" w:rsidP="00707961">
      <w:pPr>
        <w:pStyle w:val="aa"/>
        <w:spacing w:line="360" w:lineRule="auto"/>
        <w:ind w:left="360"/>
        <w:jc w:val="both"/>
        <w:rPr>
          <w:rFonts w:ascii="David" w:hAnsi="David" w:cs="David"/>
          <w:color w:val="000000"/>
          <w:sz w:val="24"/>
          <w:szCs w:val="24"/>
        </w:rPr>
      </w:pPr>
      <w:r>
        <w:rPr>
          <w:rFonts w:ascii="David" w:hAnsi="David" w:cs="David"/>
          <w:color w:val="000000"/>
          <w:sz w:val="24"/>
          <w:szCs w:val="24"/>
          <w:rtl/>
        </w:rPr>
        <w:t>גם בעדותו לעונש בבית המשפט הביע הנאשם דברי חרטה כנים והתנצל על מעשיו. כמו כן הביע שאיפותיו לעתיד.</w:t>
      </w:r>
    </w:p>
    <w:p w14:paraId="6AE55145" w14:textId="77777777" w:rsidR="00707961" w:rsidRDefault="00707961" w:rsidP="00707961">
      <w:pPr>
        <w:pStyle w:val="aa"/>
        <w:spacing w:line="360" w:lineRule="auto"/>
        <w:ind w:left="360"/>
        <w:jc w:val="both"/>
        <w:rPr>
          <w:rFonts w:ascii="David" w:hAnsi="David" w:cs="David"/>
          <w:color w:val="000000"/>
          <w:sz w:val="24"/>
          <w:szCs w:val="24"/>
          <w:rtl/>
        </w:rPr>
      </w:pPr>
    </w:p>
    <w:p w14:paraId="7A6BA8FE" w14:textId="77777777" w:rsidR="00707961" w:rsidRDefault="00707961" w:rsidP="00707961">
      <w:pPr>
        <w:pStyle w:val="aa"/>
        <w:numPr>
          <w:ilvl w:val="0"/>
          <w:numId w:val="1"/>
        </w:numPr>
        <w:spacing w:line="360" w:lineRule="auto"/>
        <w:jc w:val="both"/>
        <w:rPr>
          <w:rFonts w:ascii="David" w:hAnsi="David" w:cs="David"/>
          <w:color w:val="000000"/>
          <w:sz w:val="24"/>
          <w:szCs w:val="24"/>
          <w:rtl/>
        </w:rPr>
      </w:pPr>
      <w:r>
        <w:rPr>
          <w:rFonts w:ascii="David" w:hAnsi="David" w:cs="David" w:hint="cs"/>
          <w:color w:val="000000"/>
          <w:sz w:val="24"/>
          <w:szCs w:val="24"/>
          <w:rtl/>
        </w:rPr>
        <w:t>דעתי כדעת שירות המבחן</w:t>
      </w:r>
      <w:r>
        <w:rPr>
          <w:rFonts w:ascii="David" w:hAnsi="David" w:cs="David"/>
          <w:color w:val="000000"/>
          <w:sz w:val="24"/>
          <w:szCs w:val="24"/>
          <w:rtl/>
        </w:rPr>
        <w:t xml:space="preserve">, כי יש להשית על הנאשם ענישה חינוכית, החורגת לקולא ממתחם העונש ההולם, ועניינו הולם בהחלט את תנאי </w:t>
      </w:r>
      <w:hyperlink r:id="rId41" w:history="1">
        <w:r w:rsidR="00903C2E" w:rsidRPr="00903C2E">
          <w:rPr>
            <w:rStyle w:val="Hyperlink"/>
            <w:rFonts w:ascii="David" w:hAnsi="David" w:cs="David"/>
            <w:sz w:val="24"/>
            <w:szCs w:val="24"/>
            <w:rtl/>
          </w:rPr>
          <w:t>סעיף 40ד</w:t>
        </w:r>
      </w:hyperlink>
      <w:r>
        <w:rPr>
          <w:rFonts w:ascii="David" w:hAnsi="David" w:cs="David"/>
          <w:color w:val="000000"/>
          <w:sz w:val="24"/>
          <w:szCs w:val="24"/>
          <w:rtl/>
        </w:rPr>
        <w:t xml:space="preserve"> ל</w:t>
      </w:r>
      <w:hyperlink r:id="rId42" w:history="1">
        <w:r w:rsidR="00DA5739" w:rsidRPr="00DA5739">
          <w:rPr>
            <w:rFonts w:ascii="David" w:hAnsi="David" w:cs="David"/>
            <w:color w:val="0000FF"/>
            <w:sz w:val="24"/>
            <w:szCs w:val="24"/>
            <w:u w:val="single"/>
            <w:rtl/>
          </w:rPr>
          <w:t>חוק העונשין</w:t>
        </w:r>
      </w:hyperlink>
      <w:r>
        <w:rPr>
          <w:rFonts w:ascii="David" w:hAnsi="David" w:cs="David"/>
          <w:color w:val="000000"/>
          <w:sz w:val="24"/>
          <w:szCs w:val="24"/>
          <w:rtl/>
        </w:rPr>
        <w:t xml:space="preserve">. השילוב בין הבעת החרטה הכנה של הנאשם בגין מעשיו, חלוף כשנה מאז במהלכה שהה הנאשם בתנאים מגבילים, לאחר ששוחרר ממעצר בן 12 ימים,  השתלבותו בטיפול הקבוצתי בהצלחה  והמוטיבציה שלו להמשיך בטיפול, הם שהיוו בסיס </w:t>
      </w:r>
      <w:r>
        <w:rPr>
          <w:rFonts w:ascii="David" w:hAnsi="David" w:cs="David" w:hint="cs"/>
          <w:color w:val="000000"/>
          <w:sz w:val="24"/>
          <w:szCs w:val="24"/>
          <w:rtl/>
        </w:rPr>
        <w:t>להחלטתי.</w:t>
      </w:r>
      <w:r>
        <w:rPr>
          <w:rFonts w:ascii="David" w:hAnsi="David" w:cs="David"/>
          <w:color w:val="000000"/>
          <w:sz w:val="24"/>
          <w:szCs w:val="24"/>
          <w:rtl/>
        </w:rPr>
        <w:t xml:space="preserve"> </w:t>
      </w:r>
    </w:p>
    <w:p w14:paraId="0F3F0BE4" w14:textId="77777777" w:rsidR="00707961" w:rsidRDefault="00707961" w:rsidP="00707961">
      <w:pPr>
        <w:pStyle w:val="aa"/>
        <w:spacing w:line="360" w:lineRule="auto"/>
        <w:ind w:left="360"/>
        <w:jc w:val="both"/>
        <w:rPr>
          <w:rFonts w:ascii="David" w:hAnsi="David" w:cs="David"/>
          <w:color w:val="000000"/>
          <w:sz w:val="24"/>
          <w:szCs w:val="24"/>
        </w:rPr>
      </w:pPr>
    </w:p>
    <w:p w14:paraId="00B7E7CC" w14:textId="77777777" w:rsidR="00707961" w:rsidRDefault="00707961" w:rsidP="00707961">
      <w:pPr>
        <w:pStyle w:val="aa"/>
        <w:numPr>
          <w:ilvl w:val="0"/>
          <w:numId w:val="1"/>
        </w:numPr>
        <w:spacing w:after="0" w:line="360" w:lineRule="auto"/>
        <w:jc w:val="both"/>
        <w:rPr>
          <w:rFonts w:ascii="David" w:hAnsi="David" w:cs="David"/>
          <w:b/>
          <w:bCs/>
          <w:sz w:val="24"/>
          <w:szCs w:val="24"/>
        </w:rPr>
      </w:pPr>
      <w:r>
        <w:rPr>
          <w:rFonts w:ascii="David" w:hAnsi="David" w:cs="David"/>
          <w:color w:val="000000"/>
          <w:sz w:val="24"/>
          <w:szCs w:val="24"/>
          <w:rtl/>
        </w:rPr>
        <w:t xml:space="preserve">ראיתי לציין כי גם אם הנאשם לא נזקק לשירותי הטיפול של שירות המבחן, והוא בכוחות עצמו הפסיק לצרוך סמים ועלה על דרך הישר, אין זה אומר, בכלל, שלא ניתן לקבוע שהוא השתקם; שיקום עצמי – שיקום מלא הוא (ראו בעניין זה, רק למשל את </w:t>
      </w:r>
      <w:hyperlink r:id="rId43" w:history="1">
        <w:r w:rsidR="00DA5739" w:rsidRPr="00DA5739">
          <w:rPr>
            <w:rFonts w:ascii="David" w:hAnsi="David" w:cs="David"/>
            <w:color w:val="0000FF"/>
            <w:sz w:val="24"/>
            <w:szCs w:val="24"/>
            <w:u w:val="single"/>
            <w:rtl/>
          </w:rPr>
          <w:t>ת"פ (י-ם) 49988-05-10</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לוי</w:t>
      </w:r>
      <w:r>
        <w:rPr>
          <w:rFonts w:ascii="David" w:hAnsi="David" w:cs="David"/>
          <w:color w:val="000000"/>
          <w:sz w:val="24"/>
          <w:szCs w:val="24"/>
          <w:rtl/>
        </w:rPr>
        <w:t xml:space="preserve"> (17.2.2014), </w:t>
      </w:r>
      <w:hyperlink r:id="rId44" w:history="1">
        <w:r w:rsidR="00DA5739" w:rsidRPr="00DA5739">
          <w:rPr>
            <w:rFonts w:ascii="David" w:hAnsi="David" w:cs="David"/>
            <w:color w:val="0000FF"/>
            <w:sz w:val="24"/>
            <w:szCs w:val="24"/>
            <w:u w:val="single"/>
            <w:rtl/>
          </w:rPr>
          <w:t>ת"פ (י-ם) 16312-03-13</w:t>
        </w:r>
      </w:hyperlink>
      <w:r>
        <w:rPr>
          <w:rFonts w:ascii="David" w:hAnsi="David" w:cs="David"/>
          <w:color w:val="000000"/>
          <w:sz w:val="24"/>
          <w:szCs w:val="24"/>
          <w:rtl/>
        </w:rPr>
        <w:t xml:space="preserve">‏ ‏ </w:t>
      </w:r>
      <w:r>
        <w:rPr>
          <w:rFonts w:ascii="David" w:hAnsi="David" w:cs="David"/>
          <w:b/>
          <w:bCs/>
          <w:color w:val="000000"/>
          <w:sz w:val="24"/>
          <w:szCs w:val="24"/>
          <w:rtl/>
        </w:rPr>
        <w:t>מדינת ישראל נ' שקיראת</w:t>
      </w:r>
      <w:r>
        <w:rPr>
          <w:rFonts w:ascii="David" w:hAnsi="David" w:cs="David"/>
          <w:color w:val="000000"/>
          <w:sz w:val="24"/>
          <w:szCs w:val="24"/>
          <w:rtl/>
        </w:rPr>
        <w:t xml:space="preserve"> (9.2.2014), </w:t>
      </w:r>
      <w:hyperlink r:id="rId45" w:history="1">
        <w:r w:rsidR="00DA5739" w:rsidRPr="00DA5739">
          <w:rPr>
            <w:rFonts w:ascii="David" w:hAnsi="David" w:cs="David"/>
            <w:color w:val="0000FF"/>
            <w:sz w:val="24"/>
            <w:szCs w:val="24"/>
            <w:u w:val="single"/>
            <w:rtl/>
          </w:rPr>
          <w:t>ת"פ (ת"א) 32294-12-14</w:t>
        </w:r>
      </w:hyperlink>
      <w:r>
        <w:rPr>
          <w:rFonts w:ascii="David" w:hAnsi="David" w:cs="David"/>
          <w:color w:val="000000"/>
          <w:sz w:val="24"/>
          <w:szCs w:val="24"/>
          <w:rtl/>
        </w:rPr>
        <w:t>‏ ‏</w:t>
      </w:r>
      <w:r>
        <w:rPr>
          <w:rFonts w:ascii="David" w:hAnsi="David" w:cs="David"/>
          <w:b/>
          <w:bCs/>
          <w:color w:val="000000"/>
          <w:sz w:val="24"/>
          <w:szCs w:val="24"/>
          <w:rtl/>
        </w:rPr>
        <w:t>מדינת ישראל נ' מירן</w:t>
      </w:r>
      <w:r>
        <w:rPr>
          <w:rFonts w:ascii="David" w:hAnsi="David" w:cs="David"/>
          <w:color w:val="000000"/>
          <w:sz w:val="24"/>
          <w:szCs w:val="24"/>
          <w:rtl/>
        </w:rPr>
        <w:t xml:space="preserve"> (14/09/2016). </w:t>
      </w:r>
    </w:p>
    <w:p w14:paraId="2A4438E7" w14:textId="77777777" w:rsidR="00707961" w:rsidRDefault="00707961" w:rsidP="00707961">
      <w:pPr>
        <w:spacing w:line="360" w:lineRule="auto"/>
        <w:jc w:val="both"/>
        <w:rPr>
          <w:rFonts w:ascii="David" w:hAnsi="David"/>
          <w:rtl/>
        </w:rPr>
      </w:pPr>
    </w:p>
    <w:p w14:paraId="1647CDD0" w14:textId="77777777" w:rsidR="00707961" w:rsidRPr="00BF0D44" w:rsidRDefault="00707961" w:rsidP="00707961">
      <w:pPr>
        <w:pStyle w:val="aa"/>
        <w:numPr>
          <w:ilvl w:val="0"/>
          <w:numId w:val="1"/>
        </w:numPr>
        <w:spacing w:after="0" w:line="360" w:lineRule="auto"/>
        <w:jc w:val="both"/>
        <w:rPr>
          <w:rFonts w:ascii="David" w:hAnsi="David" w:cs="David"/>
          <w:b/>
          <w:bCs/>
          <w:sz w:val="24"/>
          <w:szCs w:val="24"/>
        </w:rPr>
      </w:pPr>
      <w:r w:rsidRPr="00BF0D44">
        <w:rPr>
          <w:rFonts w:ascii="David" w:hAnsi="David" w:cs="David"/>
          <w:b/>
          <w:bCs/>
          <w:sz w:val="24"/>
          <w:szCs w:val="24"/>
          <w:rtl/>
        </w:rPr>
        <w:t>אשר על כן אני גוזר על הנאשם את העונשים הבאים:</w:t>
      </w:r>
    </w:p>
    <w:p w14:paraId="5BAF6603" w14:textId="77777777" w:rsidR="00707961" w:rsidRDefault="00707961" w:rsidP="00707961">
      <w:pPr>
        <w:spacing w:line="360" w:lineRule="auto"/>
        <w:ind w:left="510"/>
        <w:jc w:val="both"/>
        <w:rPr>
          <w:b/>
          <w:bCs/>
          <w:rtl/>
        </w:rPr>
      </w:pPr>
    </w:p>
    <w:p w14:paraId="72E9612F" w14:textId="77777777" w:rsidR="00707961" w:rsidRPr="00D93117" w:rsidRDefault="00707961" w:rsidP="00707961">
      <w:pPr>
        <w:spacing w:line="360" w:lineRule="auto"/>
        <w:ind w:left="510"/>
        <w:jc w:val="both"/>
        <w:rPr>
          <w:b/>
          <w:bCs/>
          <w:rtl/>
        </w:rPr>
      </w:pPr>
      <w:r w:rsidRPr="00D93117">
        <w:rPr>
          <w:b/>
          <w:bCs/>
          <w:rtl/>
        </w:rPr>
        <w:t>שירות לציבור -</w:t>
      </w:r>
      <w:r w:rsidRPr="00D93117">
        <w:rPr>
          <w:bCs/>
          <w:rtl/>
        </w:rPr>
        <w:t xml:space="preserve"> </w:t>
      </w:r>
      <w:r w:rsidRPr="00D93117">
        <w:rPr>
          <w:rtl/>
        </w:rPr>
        <w:t xml:space="preserve">הנאשם יבצע של"צ בהיקף של </w:t>
      </w:r>
      <w:r>
        <w:rPr>
          <w:rFonts w:hint="cs"/>
          <w:rtl/>
        </w:rPr>
        <w:t>300</w:t>
      </w:r>
      <w:r>
        <w:rPr>
          <w:rtl/>
        </w:rPr>
        <w:t xml:space="preserve"> שעות </w:t>
      </w:r>
      <w:r>
        <w:rPr>
          <w:rFonts w:hint="cs"/>
          <w:rtl/>
        </w:rPr>
        <w:t xml:space="preserve">במסגרת בית אבות באשדוד בתפקיד אחזקה וסיוע לאב הבית, </w:t>
      </w:r>
      <w:r w:rsidRPr="00D93117">
        <w:rPr>
          <w:rtl/>
        </w:rPr>
        <w:t xml:space="preserve"> וזאת בתיאום עם שירות המבחן. </w:t>
      </w:r>
      <w:r w:rsidRPr="0014517A">
        <w:rPr>
          <w:b/>
          <w:bCs/>
          <w:rtl/>
        </w:rPr>
        <w:t>ה</w:t>
      </w:r>
      <w:r>
        <w:rPr>
          <w:b/>
          <w:bCs/>
          <w:rtl/>
        </w:rPr>
        <w:t>ובהר לנאשם כי הפרת צו השל"צ עשו</w:t>
      </w:r>
      <w:r w:rsidRPr="0014517A">
        <w:rPr>
          <w:b/>
          <w:bCs/>
          <w:rtl/>
        </w:rPr>
        <w:t xml:space="preserve">יה לגרום להפקעתו ולחידוש המשפט, ולדיון מחודש בשאלת העונש. </w:t>
      </w:r>
      <w:r w:rsidRPr="00085972">
        <w:rPr>
          <w:rtl/>
        </w:rPr>
        <w:t>ככל שיהיה צורך בשינוי מקום ההשמה,</w:t>
      </w:r>
      <w:r w:rsidRPr="0014517A">
        <w:rPr>
          <w:b/>
          <w:bCs/>
          <w:rtl/>
        </w:rPr>
        <w:t xml:space="preserve"> </w:t>
      </w:r>
      <w:r w:rsidRPr="00085972">
        <w:rPr>
          <w:rtl/>
        </w:rPr>
        <w:t>ניתן יהיה</w:t>
      </w:r>
      <w:r w:rsidRPr="00D93117">
        <w:rPr>
          <w:rtl/>
        </w:rPr>
        <w:t xml:space="preserve"> הדבר להיעשות על ידי שירות המבחן, תוך דיווח לבית המשפט, ללא צורך במתן החלטה.</w:t>
      </w:r>
      <w:r w:rsidRPr="00D93117">
        <w:rPr>
          <w:b/>
          <w:bCs/>
          <w:rtl/>
        </w:rPr>
        <w:t xml:space="preserve"> </w:t>
      </w:r>
    </w:p>
    <w:p w14:paraId="7E42335E" w14:textId="77777777" w:rsidR="00707961" w:rsidRDefault="00707961" w:rsidP="00707961">
      <w:pPr>
        <w:spacing w:line="360" w:lineRule="auto"/>
        <w:ind w:left="510"/>
        <w:jc w:val="both"/>
        <w:rPr>
          <w:rtl/>
          <w:lang w:eastAsia="he-IL"/>
        </w:rPr>
      </w:pPr>
    </w:p>
    <w:p w14:paraId="4CB9A18C" w14:textId="77777777" w:rsidR="00707961" w:rsidRDefault="00707961" w:rsidP="00707961">
      <w:pPr>
        <w:spacing w:line="360" w:lineRule="auto"/>
        <w:ind w:left="510"/>
        <w:jc w:val="both"/>
        <w:rPr>
          <w:b/>
          <w:bCs/>
          <w:rtl/>
        </w:rPr>
      </w:pPr>
      <w:r w:rsidRPr="00D93117">
        <w:rPr>
          <w:b/>
          <w:bCs/>
          <w:rtl/>
        </w:rPr>
        <w:t xml:space="preserve">צו מבחן - </w:t>
      </w:r>
      <w:r w:rsidRPr="00D93117">
        <w:rPr>
          <w:rtl/>
        </w:rPr>
        <w:t xml:space="preserve">ניתן בזה צו מבחן לתקופה של </w:t>
      </w:r>
      <w:r>
        <w:rPr>
          <w:rFonts w:hint="cs"/>
          <w:rtl/>
        </w:rPr>
        <w:t>12</w:t>
      </w:r>
      <w:r w:rsidRPr="00D93117">
        <w:rPr>
          <w:rtl/>
        </w:rPr>
        <w:t xml:space="preserve"> חודשים כלפי הנאשם. הנני מחייב את הנאשם לשתף פעולה עם שירות המבחן, הכל על פי הנחיות שירות המבחן. </w:t>
      </w:r>
      <w:r w:rsidRPr="00D93117">
        <w:rPr>
          <w:b/>
          <w:bCs/>
          <w:rtl/>
        </w:rPr>
        <w:t>מובהר בזאת לנאשם כי באם לא יקיים צו זה, ניתן יהיה לחזור ולדון מחדש בשאלת העונש</w:t>
      </w:r>
      <w:r>
        <w:rPr>
          <w:rFonts w:hint="cs"/>
          <w:b/>
          <w:bCs/>
          <w:rtl/>
        </w:rPr>
        <w:t>.</w:t>
      </w:r>
    </w:p>
    <w:p w14:paraId="08775034" w14:textId="77777777" w:rsidR="00707961" w:rsidRDefault="00707961" w:rsidP="00707961">
      <w:pPr>
        <w:spacing w:line="360" w:lineRule="auto"/>
        <w:ind w:left="510"/>
        <w:jc w:val="both"/>
        <w:rPr>
          <w:b/>
          <w:bCs/>
          <w:rtl/>
        </w:rPr>
      </w:pPr>
    </w:p>
    <w:p w14:paraId="644C9449" w14:textId="77777777" w:rsidR="00707961" w:rsidRDefault="00707961" w:rsidP="00707961">
      <w:pPr>
        <w:spacing w:line="360" w:lineRule="auto"/>
        <w:ind w:left="510"/>
        <w:jc w:val="both"/>
        <w:rPr>
          <w:rtl/>
          <w:lang w:eastAsia="he-IL"/>
        </w:rPr>
      </w:pPr>
      <w:r w:rsidRPr="00085972">
        <w:rPr>
          <w:rFonts w:hint="cs"/>
          <w:b/>
          <w:bCs/>
          <w:rtl/>
          <w:lang w:eastAsia="he-IL"/>
        </w:rPr>
        <w:t>מאסר על תנאי</w:t>
      </w:r>
      <w:r>
        <w:rPr>
          <w:rFonts w:hint="cs"/>
          <w:rtl/>
          <w:lang w:eastAsia="he-IL"/>
        </w:rPr>
        <w:t xml:space="preserve"> </w:t>
      </w:r>
      <w:r>
        <w:rPr>
          <w:rtl/>
          <w:lang w:eastAsia="he-IL"/>
        </w:rPr>
        <w:t>–</w:t>
      </w:r>
      <w:r>
        <w:rPr>
          <w:rFonts w:hint="cs"/>
          <w:rtl/>
          <w:lang w:eastAsia="he-IL"/>
        </w:rPr>
        <w:t xml:space="preserve"> מאסר על תנאי לתקופה של 5 חודשים. הנאשם יישא בעונש זה אם בתקופה של שלוש שנים מהיום יעבור על עבירות סמים מסוג פשע. </w:t>
      </w:r>
    </w:p>
    <w:p w14:paraId="68E1939A" w14:textId="77777777" w:rsidR="00707961" w:rsidRDefault="00707961" w:rsidP="00707961">
      <w:pPr>
        <w:spacing w:line="360" w:lineRule="auto"/>
        <w:ind w:left="510"/>
        <w:jc w:val="both"/>
        <w:rPr>
          <w:b/>
          <w:bCs/>
          <w:rtl/>
          <w:lang w:eastAsia="he-IL"/>
        </w:rPr>
      </w:pPr>
    </w:p>
    <w:p w14:paraId="30E8680B" w14:textId="77777777" w:rsidR="00707961" w:rsidRDefault="00707961" w:rsidP="00707961">
      <w:pPr>
        <w:spacing w:line="360" w:lineRule="auto"/>
        <w:ind w:left="510"/>
        <w:jc w:val="both"/>
        <w:rPr>
          <w:rtl/>
          <w:lang w:eastAsia="he-IL"/>
        </w:rPr>
      </w:pPr>
      <w:r w:rsidRPr="00085972">
        <w:rPr>
          <w:rFonts w:hint="cs"/>
          <w:b/>
          <w:bCs/>
          <w:rtl/>
          <w:lang w:eastAsia="he-IL"/>
        </w:rPr>
        <w:t>מאסר על תנאי</w:t>
      </w:r>
      <w:r>
        <w:rPr>
          <w:rFonts w:hint="cs"/>
          <w:rtl/>
          <w:lang w:eastAsia="he-IL"/>
        </w:rPr>
        <w:t xml:space="preserve"> </w:t>
      </w:r>
      <w:r>
        <w:rPr>
          <w:rtl/>
          <w:lang w:eastAsia="he-IL"/>
        </w:rPr>
        <w:t>–</w:t>
      </w:r>
      <w:r>
        <w:rPr>
          <w:rFonts w:hint="cs"/>
          <w:rtl/>
          <w:lang w:eastAsia="he-IL"/>
        </w:rPr>
        <w:t xml:space="preserve"> מאסר על תנאי לתקופה של 2 חודשים. הנאשם יישא בעונש זה אם בתקופה של שלוש שנים מהיום יעבור על עבירות סמים מסוג עוון. </w:t>
      </w:r>
    </w:p>
    <w:p w14:paraId="5EEC3374" w14:textId="77777777" w:rsidR="00707961" w:rsidRPr="00E64FB8" w:rsidRDefault="00707961" w:rsidP="00707961">
      <w:pPr>
        <w:spacing w:line="360" w:lineRule="auto"/>
        <w:ind w:left="510"/>
        <w:jc w:val="both"/>
        <w:rPr>
          <w:rtl/>
          <w:lang w:eastAsia="he-IL"/>
        </w:rPr>
      </w:pPr>
    </w:p>
    <w:p w14:paraId="267ED198" w14:textId="77777777" w:rsidR="00707961" w:rsidRDefault="00707961" w:rsidP="00707961">
      <w:pPr>
        <w:spacing w:line="360" w:lineRule="auto"/>
        <w:ind w:left="510"/>
        <w:jc w:val="both"/>
        <w:rPr>
          <w:rtl/>
          <w:lang w:eastAsia="he-IL"/>
        </w:rPr>
      </w:pPr>
      <w:r w:rsidRPr="00E64FB8">
        <w:rPr>
          <w:b/>
          <w:bCs/>
          <w:rtl/>
          <w:lang w:eastAsia="he-IL"/>
        </w:rPr>
        <w:t>קנס</w:t>
      </w:r>
      <w:r w:rsidRPr="00E64FB8">
        <w:rPr>
          <w:rtl/>
          <w:lang w:eastAsia="he-IL"/>
        </w:rPr>
        <w:t xml:space="preserve"> </w:t>
      </w:r>
      <w:r w:rsidRPr="00E64FB8">
        <w:rPr>
          <w:b/>
          <w:bCs/>
          <w:rtl/>
          <w:lang w:eastAsia="he-IL"/>
        </w:rPr>
        <w:t xml:space="preserve">- </w:t>
      </w:r>
      <w:r w:rsidRPr="00E64FB8">
        <w:rPr>
          <w:rtl/>
          <w:lang w:eastAsia="he-IL"/>
        </w:rPr>
        <w:t xml:space="preserve">קנס בסך </w:t>
      </w:r>
      <w:r>
        <w:rPr>
          <w:rFonts w:hint="cs"/>
          <w:rtl/>
          <w:lang w:eastAsia="he-IL"/>
        </w:rPr>
        <w:t>של 1,500</w:t>
      </w:r>
      <w:r w:rsidRPr="00E64FB8">
        <w:rPr>
          <w:rtl/>
          <w:lang w:eastAsia="he-IL"/>
        </w:rPr>
        <w:t xml:space="preserve"> ש"ח או מאסר למשך </w:t>
      </w:r>
      <w:r>
        <w:rPr>
          <w:rFonts w:hint="cs"/>
          <w:rtl/>
          <w:lang w:eastAsia="he-IL"/>
        </w:rPr>
        <w:t xml:space="preserve">5 </w:t>
      </w:r>
      <w:r w:rsidRPr="00E64FB8">
        <w:rPr>
          <w:rtl/>
          <w:lang w:eastAsia="he-IL"/>
        </w:rPr>
        <w:t>יום תחתיו</w:t>
      </w:r>
      <w:r>
        <w:rPr>
          <w:rFonts w:hint="cs"/>
          <w:rtl/>
          <w:lang w:eastAsia="he-IL"/>
        </w:rPr>
        <w:t>.</w:t>
      </w:r>
      <w:r w:rsidRPr="00E64FB8">
        <w:rPr>
          <w:rtl/>
          <w:lang w:eastAsia="he-IL"/>
        </w:rPr>
        <w:t xml:space="preserve"> </w:t>
      </w:r>
    </w:p>
    <w:p w14:paraId="6A3B6FA2" w14:textId="77777777" w:rsidR="00707961" w:rsidRDefault="00707961" w:rsidP="00707961">
      <w:pPr>
        <w:spacing w:line="360" w:lineRule="auto"/>
        <w:ind w:left="510"/>
        <w:jc w:val="both"/>
        <w:rPr>
          <w:rFonts w:ascii="David" w:hAnsi="David"/>
          <w:rtl/>
        </w:rPr>
      </w:pPr>
      <w:r w:rsidRPr="00E64FB8">
        <w:rPr>
          <w:rtl/>
          <w:lang w:eastAsia="he-IL"/>
        </w:rPr>
        <w:t>הקנס י</w:t>
      </w:r>
      <w:r>
        <w:rPr>
          <w:rFonts w:hint="cs"/>
          <w:rtl/>
          <w:lang w:eastAsia="he-IL"/>
        </w:rPr>
        <w:t xml:space="preserve">קוזז מהפקדה שהפקיד הנאשם במסגרת הנאשם בהליך המ"ת 22331-09-21 בסך 2,500 ₪  והיתרה ככל שקיימת תושב לידי אימו הגב' ויקטוריה לנדה ת.ז. </w:t>
      </w:r>
      <w:r w:rsidR="00DA5739">
        <w:t>xxxxxxxxx</w:t>
      </w:r>
      <w:r>
        <w:rPr>
          <w:rFonts w:hint="cs"/>
          <w:rtl/>
        </w:rPr>
        <w:t>.</w:t>
      </w:r>
    </w:p>
    <w:p w14:paraId="05369BA2" w14:textId="77777777" w:rsidR="00707961" w:rsidRDefault="00707961" w:rsidP="00707961">
      <w:pPr>
        <w:spacing w:line="360" w:lineRule="auto"/>
        <w:ind w:left="510"/>
        <w:jc w:val="both"/>
        <w:rPr>
          <w:rFonts w:ascii="David" w:hAnsi="David"/>
          <w:rtl/>
        </w:rPr>
      </w:pPr>
    </w:p>
    <w:p w14:paraId="1AFD3A0B" w14:textId="77777777" w:rsidR="00707961" w:rsidRDefault="00707961" w:rsidP="00707961">
      <w:pPr>
        <w:spacing w:line="360" w:lineRule="auto"/>
        <w:ind w:left="510"/>
        <w:jc w:val="both"/>
        <w:rPr>
          <w:rFonts w:ascii="David" w:hAnsi="David"/>
          <w:rtl/>
        </w:rPr>
      </w:pPr>
      <w:r>
        <w:rPr>
          <w:rFonts w:ascii="David" w:hAnsi="David" w:hint="cs"/>
          <w:rtl/>
        </w:rPr>
        <w:t>ל</w:t>
      </w:r>
      <w:r>
        <w:rPr>
          <w:rFonts w:ascii="David" w:hAnsi="David"/>
          <w:rtl/>
        </w:rPr>
        <w:t xml:space="preserve">אור העובדה כי הנאשם כיום איננו משתמש בסמים, ונוכח העובדה כי הוא עובד כנהג משאית, לא מצאתי לנכון להטיל עליו פסילה בפועל מלקבל או להחזיק רישיון.  </w:t>
      </w:r>
    </w:p>
    <w:p w14:paraId="7FA88791" w14:textId="77777777" w:rsidR="00707961" w:rsidRDefault="00707961" w:rsidP="00707961">
      <w:pPr>
        <w:spacing w:line="360" w:lineRule="auto"/>
        <w:ind w:left="510"/>
        <w:jc w:val="both"/>
        <w:rPr>
          <w:rFonts w:ascii="David" w:hAnsi="David"/>
          <w:b/>
          <w:bCs/>
          <w:rtl/>
        </w:rPr>
      </w:pPr>
    </w:p>
    <w:p w14:paraId="7F65C221" w14:textId="77777777" w:rsidR="00707961" w:rsidRDefault="00707961" w:rsidP="00707961">
      <w:pPr>
        <w:spacing w:line="360" w:lineRule="auto"/>
        <w:ind w:left="510"/>
        <w:jc w:val="both"/>
        <w:rPr>
          <w:rFonts w:ascii="David" w:hAnsi="David"/>
          <w:rtl/>
        </w:rPr>
      </w:pPr>
      <w:r>
        <w:rPr>
          <w:rFonts w:ascii="David" w:hAnsi="David"/>
          <w:b/>
          <w:bCs/>
          <w:rtl/>
        </w:rPr>
        <w:t>פוסל את הנאשם</w:t>
      </w:r>
      <w:r>
        <w:rPr>
          <w:rFonts w:ascii="David" w:hAnsi="David"/>
          <w:rtl/>
        </w:rPr>
        <w:t xml:space="preserve"> מלהחזיק או לקבל רישיון נהיגה וזאת לתקופה של </w:t>
      </w:r>
      <w:r>
        <w:rPr>
          <w:rFonts w:ascii="David" w:hAnsi="David" w:hint="cs"/>
          <w:rtl/>
        </w:rPr>
        <w:t>6</w:t>
      </w:r>
      <w:r>
        <w:rPr>
          <w:rFonts w:ascii="David" w:hAnsi="David"/>
          <w:rtl/>
        </w:rPr>
        <w:t xml:space="preserve"> חודשים </w:t>
      </w:r>
      <w:r>
        <w:rPr>
          <w:rFonts w:ascii="David" w:hAnsi="David"/>
          <w:b/>
          <w:bCs/>
          <w:rtl/>
        </w:rPr>
        <w:t>וזאת על תנאי</w:t>
      </w:r>
      <w:r>
        <w:rPr>
          <w:rFonts w:ascii="David" w:hAnsi="David"/>
          <w:rtl/>
        </w:rPr>
        <w:t xml:space="preserve"> למשך </w:t>
      </w:r>
      <w:r>
        <w:rPr>
          <w:rFonts w:ascii="David" w:hAnsi="David" w:hint="cs"/>
          <w:rtl/>
        </w:rPr>
        <w:t>3</w:t>
      </w:r>
      <w:r>
        <w:rPr>
          <w:rFonts w:ascii="David" w:hAnsi="David"/>
          <w:rtl/>
        </w:rPr>
        <w:t xml:space="preserve"> שנים, אם יעבור על</w:t>
      </w:r>
      <w:r>
        <w:rPr>
          <w:rFonts w:ascii="David" w:hAnsi="David" w:hint="cs"/>
          <w:rtl/>
        </w:rPr>
        <w:t xml:space="preserve"> עבירות בניגוד ל</w:t>
      </w:r>
      <w:hyperlink r:id="rId46" w:history="1">
        <w:r w:rsidR="00DA5739" w:rsidRPr="00DA5739">
          <w:rPr>
            <w:rFonts w:ascii="David" w:hAnsi="David"/>
            <w:color w:val="0000FF"/>
            <w:u w:val="single"/>
            <w:rtl/>
          </w:rPr>
          <w:t>פקודת הסמים המסוכנים</w:t>
        </w:r>
      </w:hyperlink>
      <w:r>
        <w:rPr>
          <w:rFonts w:ascii="David" w:hAnsi="David" w:hint="cs"/>
          <w:rtl/>
        </w:rPr>
        <w:t xml:space="preserve">. </w:t>
      </w:r>
    </w:p>
    <w:p w14:paraId="7DD560F3" w14:textId="77777777" w:rsidR="00707961" w:rsidRDefault="00707961" w:rsidP="00707961">
      <w:pPr>
        <w:spacing w:line="360" w:lineRule="auto"/>
        <w:ind w:left="510"/>
        <w:jc w:val="both"/>
        <w:rPr>
          <w:b/>
          <w:bCs/>
          <w:rtl/>
          <w:lang w:eastAsia="he-IL"/>
        </w:rPr>
      </w:pPr>
    </w:p>
    <w:p w14:paraId="7DF538F1" w14:textId="77777777" w:rsidR="00707961" w:rsidRPr="00E64FB8" w:rsidRDefault="00707961" w:rsidP="00707961">
      <w:pPr>
        <w:spacing w:line="360" w:lineRule="auto"/>
        <w:ind w:left="510"/>
        <w:jc w:val="both"/>
        <w:rPr>
          <w:rtl/>
          <w:lang w:eastAsia="he-IL"/>
        </w:rPr>
      </w:pPr>
      <w:r w:rsidRPr="00E64FB8">
        <w:rPr>
          <w:b/>
          <w:bCs/>
          <w:rtl/>
          <w:lang w:eastAsia="he-IL"/>
        </w:rPr>
        <w:t xml:space="preserve">מוצגים – </w:t>
      </w:r>
      <w:r w:rsidRPr="00E64FB8">
        <w:rPr>
          <w:rtl/>
          <w:lang w:eastAsia="he-IL"/>
        </w:rPr>
        <w:t>כל המוצגים יושמדו/יחולטו</w:t>
      </w:r>
      <w:r>
        <w:rPr>
          <w:rFonts w:hint="cs"/>
          <w:rtl/>
          <w:lang w:eastAsia="he-IL"/>
        </w:rPr>
        <w:t>/יושבו,</w:t>
      </w:r>
      <w:r w:rsidRPr="00E64FB8">
        <w:rPr>
          <w:rtl/>
          <w:lang w:eastAsia="he-IL"/>
        </w:rPr>
        <w:t xml:space="preserve"> לשיקול דעת המאשימה. </w:t>
      </w:r>
    </w:p>
    <w:p w14:paraId="439680B1" w14:textId="77777777" w:rsidR="00707961" w:rsidRDefault="00707961" w:rsidP="00707961">
      <w:pPr>
        <w:spacing w:line="360" w:lineRule="auto"/>
        <w:jc w:val="both"/>
        <w:rPr>
          <w:rFonts w:ascii="David" w:hAnsi="David"/>
          <w:b/>
          <w:bCs/>
          <w:rtl/>
        </w:rPr>
      </w:pPr>
    </w:p>
    <w:p w14:paraId="7FD3EBFA" w14:textId="77777777" w:rsidR="00707961" w:rsidRDefault="00707961" w:rsidP="00707961">
      <w:pPr>
        <w:spacing w:line="360" w:lineRule="auto"/>
        <w:jc w:val="both"/>
        <w:rPr>
          <w:rFonts w:ascii="David" w:hAnsi="David"/>
          <w:b/>
          <w:bCs/>
          <w:rtl/>
        </w:rPr>
      </w:pPr>
    </w:p>
    <w:p w14:paraId="0010C252" w14:textId="77777777" w:rsidR="00707961" w:rsidRDefault="00707961" w:rsidP="00707961">
      <w:pPr>
        <w:spacing w:line="360" w:lineRule="auto"/>
        <w:jc w:val="both"/>
        <w:rPr>
          <w:rFonts w:ascii="David" w:hAnsi="David"/>
          <w:b/>
          <w:bCs/>
          <w:rtl/>
        </w:rPr>
      </w:pPr>
      <w:r w:rsidRPr="00BF0D44">
        <w:rPr>
          <w:rFonts w:ascii="David" w:hAnsi="David"/>
          <w:b/>
          <w:bCs/>
          <w:rtl/>
        </w:rPr>
        <w:t xml:space="preserve">זכות ערעור לבית המשפט המחוזי בבאר שבע תוך 45 ימים. </w:t>
      </w:r>
    </w:p>
    <w:p w14:paraId="1DFB77DE" w14:textId="77777777" w:rsidR="00707961" w:rsidRPr="00BF0D44" w:rsidRDefault="00707961" w:rsidP="00707961">
      <w:pPr>
        <w:spacing w:line="360" w:lineRule="auto"/>
        <w:jc w:val="both"/>
        <w:rPr>
          <w:rFonts w:ascii="David" w:hAnsi="David"/>
          <w:b/>
          <w:bCs/>
          <w:rtl/>
        </w:rPr>
      </w:pPr>
    </w:p>
    <w:p w14:paraId="53323C57" w14:textId="77777777" w:rsidR="00707961" w:rsidRPr="00DA5739" w:rsidRDefault="00DA5739" w:rsidP="00707961">
      <w:pPr>
        <w:rPr>
          <w:rFonts w:ascii="Arial" w:hAnsi="Arial"/>
          <w:b/>
          <w:bCs/>
          <w:color w:val="FFFFFF"/>
          <w:sz w:val="2"/>
          <w:szCs w:val="2"/>
          <w:rtl/>
        </w:rPr>
      </w:pPr>
      <w:r w:rsidRPr="00DA5739">
        <w:rPr>
          <w:rFonts w:ascii="Arial" w:hAnsi="Arial"/>
          <w:b/>
          <w:bCs/>
          <w:color w:val="FFFFFF"/>
          <w:sz w:val="2"/>
          <w:szCs w:val="2"/>
          <w:rtl/>
        </w:rPr>
        <w:t>5129371</w:t>
      </w:r>
    </w:p>
    <w:p w14:paraId="4941C207" w14:textId="77777777" w:rsidR="00707961" w:rsidRPr="000F2247" w:rsidRDefault="00DA5739" w:rsidP="00707961">
      <w:pPr>
        <w:rPr>
          <w:rFonts w:ascii="Arial" w:hAnsi="Arial"/>
          <w:b/>
          <w:bCs/>
          <w:sz w:val="26"/>
          <w:szCs w:val="26"/>
          <w:rtl/>
        </w:rPr>
      </w:pPr>
      <w:bookmarkStart w:id="8" w:name="Nitan"/>
      <w:r w:rsidRPr="00DA5739">
        <w:rPr>
          <w:rFonts w:ascii="Arial" w:hAnsi="Arial"/>
          <w:b/>
          <w:bCs/>
          <w:color w:val="FFFFFF"/>
          <w:sz w:val="2"/>
          <w:szCs w:val="2"/>
          <w:rtl/>
        </w:rPr>
        <w:t>54678313</w:t>
      </w:r>
      <w:r>
        <w:rPr>
          <w:rFonts w:ascii="Arial" w:hAnsi="Arial"/>
          <w:b/>
          <w:bCs/>
          <w:sz w:val="26"/>
          <w:szCs w:val="26"/>
          <w:rtl/>
        </w:rPr>
        <w:t xml:space="preserve">ניתן היום,  י"א תשרי תשפ"ג, 06 אוקטובר 2022, בנוכחות הצדדים. </w:t>
      </w:r>
      <w:bookmarkEnd w:id="8"/>
    </w:p>
    <w:p w14:paraId="7ABD5A03" w14:textId="77777777" w:rsidR="00707961" w:rsidRDefault="00707961" w:rsidP="00DA573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D330C44" w14:textId="77777777" w:rsidR="00707961" w:rsidRDefault="00707961" w:rsidP="00707961">
      <w:pPr>
        <w:jc w:val="center"/>
        <w:rPr>
          <w:rFonts w:ascii="Arial" w:hAnsi="Arial"/>
          <w:b/>
          <w:bCs/>
          <w:sz w:val="26"/>
          <w:szCs w:val="26"/>
          <w:rtl/>
        </w:rPr>
      </w:pPr>
    </w:p>
    <w:p w14:paraId="3A6A6B30" w14:textId="77777777" w:rsidR="00707961" w:rsidRDefault="00707961" w:rsidP="00707961">
      <w:pPr>
        <w:jc w:val="center"/>
        <w:rPr>
          <w:rFonts w:ascii="Arial" w:hAnsi="Arial"/>
          <w:b/>
          <w:bCs/>
          <w:sz w:val="26"/>
          <w:szCs w:val="26"/>
          <w:rtl/>
        </w:rPr>
      </w:pPr>
    </w:p>
    <w:p w14:paraId="1F9EEC27" w14:textId="77777777" w:rsidR="00707961" w:rsidRPr="00903C2E" w:rsidRDefault="00903C2E" w:rsidP="00707961">
      <w:pPr>
        <w:jc w:val="center"/>
        <w:rPr>
          <w:rFonts w:ascii="Arial" w:hAnsi="Arial"/>
          <w:b/>
          <w:bCs/>
          <w:color w:val="FFFFFF"/>
          <w:sz w:val="2"/>
          <w:szCs w:val="2"/>
          <w:rtl/>
        </w:rPr>
      </w:pPr>
      <w:r w:rsidRPr="00903C2E">
        <w:rPr>
          <w:rFonts w:ascii="Arial" w:hAnsi="Arial"/>
          <w:b/>
          <w:bCs/>
          <w:color w:val="FFFFFF"/>
          <w:sz w:val="2"/>
          <w:szCs w:val="2"/>
          <w:rtl/>
        </w:rPr>
        <w:t>5129371</w:t>
      </w:r>
    </w:p>
    <w:p w14:paraId="2ED6543C" w14:textId="77777777" w:rsidR="00DA5739" w:rsidRDefault="00903C2E" w:rsidP="00DA5739">
      <w:r w:rsidRPr="00903C2E">
        <w:rPr>
          <w:rFonts w:ascii="David" w:hAnsi="David"/>
          <w:color w:val="FFFFFF"/>
          <w:sz w:val="2"/>
          <w:szCs w:val="2"/>
          <w:rtl/>
        </w:rPr>
        <w:t>54678313</w:t>
      </w:r>
    </w:p>
    <w:p w14:paraId="6F6A40E2" w14:textId="77777777" w:rsidR="00DA5739" w:rsidRDefault="00DA5739" w:rsidP="00DA5739">
      <w:pPr>
        <w:rPr>
          <w:rtl/>
        </w:rPr>
      </w:pPr>
    </w:p>
    <w:p w14:paraId="5A481C0E" w14:textId="77777777" w:rsidR="00DA5739" w:rsidRDefault="00DA5739" w:rsidP="00DA573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B692BF7" w14:textId="77777777" w:rsidR="00903C2E" w:rsidRPr="00903C2E" w:rsidRDefault="00903C2E" w:rsidP="00903C2E">
      <w:pPr>
        <w:keepNext/>
        <w:rPr>
          <w:rFonts w:ascii="David" w:hAnsi="David"/>
          <w:color w:val="000000"/>
          <w:sz w:val="22"/>
          <w:szCs w:val="22"/>
          <w:rtl/>
        </w:rPr>
      </w:pPr>
    </w:p>
    <w:p w14:paraId="2CC86545" w14:textId="77777777" w:rsidR="00903C2E" w:rsidRPr="00903C2E" w:rsidRDefault="00903C2E" w:rsidP="00903C2E">
      <w:pPr>
        <w:keepNext/>
        <w:rPr>
          <w:rFonts w:ascii="David" w:hAnsi="David"/>
          <w:color w:val="000000"/>
          <w:sz w:val="22"/>
          <w:szCs w:val="22"/>
          <w:rtl/>
        </w:rPr>
      </w:pPr>
      <w:r w:rsidRPr="00903C2E">
        <w:rPr>
          <w:rFonts w:ascii="David" w:hAnsi="David"/>
          <w:color w:val="000000"/>
          <w:sz w:val="22"/>
          <w:szCs w:val="22"/>
          <w:rtl/>
        </w:rPr>
        <w:t>גיל אדלמן 54678313-/</w:t>
      </w:r>
    </w:p>
    <w:p w14:paraId="1EE1C6EF" w14:textId="77777777" w:rsidR="00DA5739" w:rsidRPr="00DA5739" w:rsidRDefault="00903C2E" w:rsidP="00903C2E">
      <w:pPr>
        <w:rPr>
          <w:color w:val="0000FF"/>
          <w:u w:val="single"/>
        </w:rPr>
      </w:pPr>
      <w:r w:rsidRPr="00903C2E">
        <w:rPr>
          <w:color w:val="000000"/>
          <w:u w:val="single"/>
          <w:rtl/>
        </w:rPr>
        <w:t>נוסח מסמך זה כפוף לשינויי ניסוח ועריכה</w:t>
      </w:r>
    </w:p>
    <w:sectPr w:rsidR="00DA5739" w:rsidRPr="00DA5739" w:rsidSect="00903C2E">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8604C" w14:textId="77777777" w:rsidR="00800922" w:rsidRDefault="00800922" w:rsidP="00C33353">
      <w:r>
        <w:separator/>
      </w:r>
    </w:p>
  </w:endnote>
  <w:endnote w:type="continuationSeparator" w:id="0">
    <w:p w14:paraId="4FBD4FFB" w14:textId="77777777" w:rsidR="00800922" w:rsidRDefault="00800922" w:rsidP="00C3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7DB00" w14:textId="77777777" w:rsidR="00903C2E" w:rsidRDefault="00903C2E" w:rsidP="00903C2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1933A4" w14:textId="77777777" w:rsidR="00F80F0F" w:rsidRPr="00903C2E" w:rsidRDefault="00903C2E" w:rsidP="00903C2E">
    <w:pPr>
      <w:pStyle w:val="a5"/>
      <w:pBdr>
        <w:top w:val="single" w:sz="4" w:space="1" w:color="auto"/>
        <w:between w:val="single" w:sz="4" w:space="0" w:color="auto"/>
      </w:pBdr>
      <w:spacing w:after="60"/>
      <w:jc w:val="center"/>
      <w:rPr>
        <w:rFonts w:ascii="FrankRuehl" w:hAnsi="FrankRuehl" w:cs="FrankRuehl"/>
        <w:color w:val="000000"/>
      </w:rPr>
    </w:pPr>
    <w:r w:rsidRPr="00903C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EA50" w14:textId="77777777" w:rsidR="00903C2E" w:rsidRDefault="00903C2E" w:rsidP="00903C2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1FE2">
      <w:rPr>
        <w:rFonts w:ascii="FrankRuehl" w:hAnsi="FrankRuehl" w:cs="FrankRuehl"/>
        <w:noProof/>
        <w:rtl/>
      </w:rPr>
      <w:t>1</w:t>
    </w:r>
    <w:r>
      <w:rPr>
        <w:rFonts w:ascii="FrankRuehl" w:hAnsi="FrankRuehl" w:cs="FrankRuehl"/>
        <w:rtl/>
      </w:rPr>
      <w:fldChar w:fldCharType="end"/>
    </w:r>
  </w:p>
  <w:p w14:paraId="3622CFD6" w14:textId="77777777" w:rsidR="00F80F0F" w:rsidRPr="00903C2E" w:rsidRDefault="00903C2E" w:rsidP="00903C2E">
    <w:pPr>
      <w:pStyle w:val="a5"/>
      <w:pBdr>
        <w:top w:val="single" w:sz="4" w:space="1" w:color="auto"/>
        <w:between w:val="single" w:sz="4" w:space="0" w:color="auto"/>
      </w:pBdr>
      <w:spacing w:after="60"/>
      <w:jc w:val="center"/>
      <w:rPr>
        <w:rFonts w:ascii="FrankRuehl" w:hAnsi="FrankRuehl" w:cs="FrankRuehl"/>
        <w:color w:val="000000"/>
      </w:rPr>
    </w:pPr>
    <w:r w:rsidRPr="00903C2E">
      <w:rPr>
        <w:rFonts w:ascii="FrankRuehl" w:hAnsi="FrankRuehl" w:cs="FrankRuehl"/>
        <w:color w:val="000000"/>
      </w:rPr>
      <w:pict w14:anchorId="29A30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A4B64" w14:textId="77777777" w:rsidR="00800922" w:rsidRDefault="00800922" w:rsidP="00C33353">
      <w:r>
        <w:separator/>
      </w:r>
    </w:p>
  </w:footnote>
  <w:footnote w:type="continuationSeparator" w:id="0">
    <w:p w14:paraId="57733844" w14:textId="77777777" w:rsidR="00800922" w:rsidRDefault="00800922" w:rsidP="00C33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F50FC" w14:textId="77777777" w:rsidR="00DA5739" w:rsidRPr="00903C2E" w:rsidRDefault="00903C2E" w:rsidP="00903C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22371-09-21</w:t>
    </w:r>
    <w:r>
      <w:rPr>
        <w:rFonts w:ascii="David" w:hAnsi="David"/>
        <w:color w:val="000000"/>
        <w:sz w:val="22"/>
        <w:szCs w:val="22"/>
        <w:rtl/>
      </w:rPr>
      <w:tab/>
      <w:t xml:space="preserve"> מדינת ישראל נ' רומן לנדה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1BDCA" w14:textId="77777777" w:rsidR="00DA5739" w:rsidRPr="00903C2E" w:rsidRDefault="00903C2E" w:rsidP="00903C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22371-09-21</w:t>
    </w:r>
    <w:r>
      <w:rPr>
        <w:rFonts w:ascii="David" w:hAnsi="David"/>
        <w:color w:val="000000"/>
        <w:sz w:val="22"/>
        <w:szCs w:val="22"/>
        <w:rtl/>
      </w:rPr>
      <w:tab/>
      <w:t xml:space="preserve"> מדינת ישראל נ' רומן לנדה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04AA2"/>
    <w:multiLevelType w:val="hybridMultilevel"/>
    <w:tmpl w:val="D33657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54347D2"/>
    <w:multiLevelType w:val="hybridMultilevel"/>
    <w:tmpl w:val="65EA2100"/>
    <w:lvl w:ilvl="0" w:tplc="6EF05616">
      <w:start w:val="1"/>
      <w:numFmt w:val="decimal"/>
      <w:lvlText w:val="%1."/>
      <w:lvlJc w:val="left"/>
      <w:pPr>
        <w:ind w:left="360" w:hanging="360"/>
      </w:pPr>
      <w:rPr>
        <w:b w:val="0"/>
        <w:bCs w:val="0"/>
      </w:rPr>
    </w:lvl>
    <w:lvl w:ilvl="1" w:tplc="07324FE6">
      <w:start w:val="1"/>
      <w:numFmt w:val="bullet"/>
      <w:lvlText w:val=""/>
      <w:lvlJc w:val="left"/>
      <w:pPr>
        <w:ind w:left="1080" w:hanging="360"/>
      </w:pPr>
      <w:rPr>
        <w:rFonts w:ascii="Symbol" w:hAnsi="Symbol" w:hint="default"/>
      </w:rPr>
    </w:lvl>
    <w:lvl w:ilvl="2" w:tplc="96C21D04">
      <w:start w:val="1"/>
      <w:numFmt w:val="lowerRoman"/>
      <w:lvlText w:val="%3."/>
      <w:lvlJc w:val="right"/>
      <w:pPr>
        <w:ind w:left="1800" w:hanging="180"/>
      </w:pPr>
    </w:lvl>
    <w:lvl w:ilvl="3" w:tplc="8A7AFCAC">
      <w:start w:val="1"/>
      <w:numFmt w:val="decimal"/>
      <w:lvlText w:val="%4."/>
      <w:lvlJc w:val="left"/>
      <w:pPr>
        <w:ind w:left="2520" w:hanging="360"/>
      </w:pPr>
    </w:lvl>
    <w:lvl w:ilvl="4" w:tplc="09484854">
      <w:start w:val="1"/>
      <w:numFmt w:val="lowerLetter"/>
      <w:lvlText w:val="%5."/>
      <w:lvlJc w:val="left"/>
      <w:pPr>
        <w:ind w:left="3240" w:hanging="360"/>
      </w:pPr>
    </w:lvl>
    <w:lvl w:ilvl="5" w:tplc="527496DA">
      <w:start w:val="1"/>
      <w:numFmt w:val="lowerRoman"/>
      <w:lvlText w:val="%6."/>
      <w:lvlJc w:val="right"/>
      <w:pPr>
        <w:ind w:left="3960" w:hanging="180"/>
      </w:pPr>
    </w:lvl>
    <w:lvl w:ilvl="6" w:tplc="8F368840">
      <w:start w:val="1"/>
      <w:numFmt w:val="decimal"/>
      <w:lvlText w:val="%7."/>
      <w:lvlJc w:val="left"/>
      <w:pPr>
        <w:ind w:left="4680" w:hanging="360"/>
      </w:pPr>
    </w:lvl>
    <w:lvl w:ilvl="7" w:tplc="9CDE78EA">
      <w:start w:val="1"/>
      <w:numFmt w:val="lowerLetter"/>
      <w:lvlText w:val="%8."/>
      <w:lvlJc w:val="left"/>
      <w:pPr>
        <w:ind w:left="5400" w:hanging="360"/>
      </w:pPr>
    </w:lvl>
    <w:lvl w:ilvl="8" w:tplc="281C111A">
      <w:start w:val="1"/>
      <w:numFmt w:val="lowerRoman"/>
      <w:lvlText w:val="%9."/>
      <w:lvlJc w:val="right"/>
      <w:pPr>
        <w:ind w:left="6120" w:hanging="180"/>
      </w:pPr>
    </w:lvl>
  </w:abstractNum>
  <w:num w:numId="1" w16cid:durableId="148801647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60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7961"/>
    <w:rsid w:val="001416E3"/>
    <w:rsid w:val="00707961"/>
    <w:rsid w:val="00765D62"/>
    <w:rsid w:val="00800922"/>
    <w:rsid w:val="008E185B"/>
    <w:rsid w:val="00903C2E"/>
    <w:rsid w:val="009A4E4C"/>
    <w:rsid w:val="009D6449"/>
    <w:rsid w:val="00AA56D4"/>
    <w:rsid w:val="00B2560F"/>
    <w:rsid w:val="00B754BE"/>
    <w:rsid w:val="00BC1FE2"/>
    <w:rsid w:val="00C33353"/>
    <w:rsid w:val="00DA5739"/>
    <w:rsid w:val="00E33C2C"/>
    <w:rsid w:val="00F80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94C72E"/>
  <w15:chartTrackingRefBased/>
  <w15:docId w15:val="{B6A95441-C917-4FD1-8F74-058F28EA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79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7961"/>
    <w:pPr>
      <w:tabs>
        <w:tab w:val="center" w:pos="4153"/>
        <w:tab w:val="right" w:pos="8306"/>
      </w:tabs>
    </w:pPr>
  </w:style>
  <w:style w:type="character" w:customStyle="1" w:styleId="a4">
    <w:name w:val="כותרת עליונה תו"/>
    <w:link w:val="a3"/>
    <w:rsid w:val="00707961"/>
    <w:rPr>
      <w:rFonts w:ascii="Times New Roman" w:eastAsia="Times New Roman" w:hAnsi="Times New Roman" w:cs="David"/>
      <w:sz w:val="24"/>
      <w:szCs w:val="24"/>
    </w:rPr>
  </w:style>
  <w:style w:type="paragraph" w:styleId="a5">
    <w:name w:val="footer"/>
    <w:basedOn w:val="a"/>
    <w:link w:val="a6"/>
    <w:rsid w:val="00707961"/>
    <w:pPr>
      <w:tabs>
        <w:tab w:val="center" w:pos="4153"/>
        <w:tab w:val="right" w:pos="8306"/>
      </w:tabs>
    </w:pPr>
  </w:style>
  <w:style w:type="character" w:customStyle="1" w:styleId="a6">
    <w:name w:val="כותרת תחתונה תו"/>
    <w:link w:val="a5"/>
    <w:rsid w:val="00707961"/>
    <w:rPr>
      <w:rFonts w:ascii="Times New Roman" w:eastAsia="Times New Roman" w:hAnsi="Times New Roman" w:cs="David"/>
      <w:sz w:val="24"/>
      <w:szCs w:val="24"/>
    </w:rPr>
  </w:style>
  <w:style w:type="table" w:styleId="a7">
    <w:name w:val="Table Grid"/>
    <w:basedOn w:val="a1"/>
    <w:rsid w:val="007079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7961"/>
  </w:style>
  <w:style w:type="character" w:customStyle="1" w:styleId="a9">
    <w:name w:val="פיסקת רשימה תו"/>
    <w:link w:val="aa"/>
    <w:locked/>
    <w:rsid w:val="00707961"/>
  </w:style>
  <w:style w:type="paragraph" w:styleId="aa">
    <w:name w:val="List Paragraph"/>
    <w:basedOn w:val="a"/>
    <w:link w:val="a9"/>
    <w:qFormat/>
    <w:rsid w:val="00707961"/>
    <w:pPr>
      <w:spacing w:after="160" w:line="256" w:lineRule="auto"/>
      <w:ind w:left="720"/>
      <w:contextualSpacing/>
    </w:pPr>
    <w:rPr>
      <w:rFonts w:ascii="Calibri" w:eastAsia="Calibri" w:hAnsi="Calibri" w:cs="Arial"/>
      <w:sz w:val="22"/>
      <w:szCs w:val="22"/>
    </w:rPr>
  </w:style>
  <w:style w:type="character" w:styleId="Hyperlink">
    <w:name w:val="Hyperlink"/>
    <w:rsid w:val="00DA5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d"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28357067" TargetMode="External"/><Relationship Id="rId34" Type="http://schemas.openxmlformats.org/officeDocument/2006/relationships/hyperlink" Target="http://www.nevo.co.il/case/23129184"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3259553" TargetMode="External"/><Relationship Id="rId32" Type="http://schemas.openxmlformats.org/officeDocument/2006/relationships/hyperlink" Target="http://www.nevo.co.il/case/21473565" TargetMode="External"/><Relationship Id="rId37" Type="http://schemas.openxmlformats.org/officeDocument/2006/relationships/hyperlink" Target="http://www.nevo.co.il/case/5601394"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873542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20009419" TargetMode="External"/><Relationship Id="rId44" Type="http://schemas.openxmlformats.org/officeDocument/2006/relationships/hyperlink" Target="http://www.nevo.co.il/case/673177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642922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009419" TargetMode="External"/><Relationship Id="rId35" Type="http://schemas.openxmlformats.org/officeDocument/2006/relationships/hyperlink" Target="http://www.nevo.co.il/law/70301/40d" TargetMode="External"/><Relationship Id="rId43" Type="http://schemas.openxmlformats.org/officeDocument/2006/relationships/hyperlink" Target="http://www.nevo.co.il/case/4576154"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66106" TargetMode="External"/><Relationship Id="rId33" Type="http://schemas.openxmlformats.org/officeDocument/2006/relationships/hyperlink" Target="http://www.nevo.co.il/case/21476337" TargetMode="External"/><Relationship Id="rId38" Type="http://schemas.openxmlformats.org/officeDocument/2006/relationships/hyperlink" Target="http://www.nevo.co.il/case/20009419" TargetMode="External"/><Relationship Id="rId46" Type="http://schemas.openxmlformats.org/officeDocument/2006/relationships/hyperlink" Target="http://www.nevo.co.il/law/4216" TargetMode="External"/><Relationship Id="rId20" Type="http://schemas.openxmlformats.org/officeDocument/2006/relationships/hyperlink" Target="http://www.nevo.co.il/case/13093721"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463961" TargetMode="External"/><Relationship Id="rId28" Type="http://schemas.openxmlformats.org/officeDocument/2006/relationships/hyperlink" Target="http://www.nevo.co.il/case/22938500"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3022</Words>
  <Characters>15111</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18097</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3211387</vt:i4>
      </vt:variant>
      <vt:variant>
        <vt:i4>114</vt:i4>
      </vt:variant>
      <vt:variant>
        <vt:i4>0</vt:i4>
      </vt:variant>
      <vt:variant>
        <vt:i4>5</vt:i4>
      </vt:variant>
      <vt:variant>
        <vt:lpwstr>http://www.nevo.co.il/case/18735424</vt:lpwstr>
      </vt:variant>
      <vt:variant>
        <vt:lpwstr/>
      </vt:variant>
      <vt:variant>
        <vt:i4>3604597</vt:i4>
      </vt:variant>
      <vt:variant>
        <vt:i4>111</vt:i4>
      </vt:variant>
      <vt:variant>
        <vt:i4>0</vt:i4>
      </vt:variant>
      <vt:variant>
        <vt:i4>5</vt:i4>
      </vt:variant>
      <vt:variant>
        <vt:lpwstr>http://www.nevo.co.il/case/6731775</vt:lpwstr>
      </vt:variant>
      <vt:variant>
        <vt:lpwstr/>
      </vt:variant>
      <vt:variant>
        <vt:i4>3539058</vt:i4>
      </vt:variant>
      <vt:variant>
        <vt:i4>108</vt:i4>
      </vt:variant>
      <vt:variant>
        <vt:i4>0</vt:i4>
      </vt:variant>
      <vt:variant>
        <vt:i4>5</vt:i4>
      </vt:variant>
      <vt:variant>
        <vt:lpwstr>http://www.nevo.co.il/case/4576154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3801200</vt:i4>
      </vt:variant>
      <vt:variant>
        <vt:i4>93</vt:i4>
      </vt:variant>
      <vt:variant>
        <vt:i4>0</vt:i4>
      </vt:variant>
      <vt:variant>
        <vt:i4>5</vt:i4>
      </vt:variant>
      <vt:variant>
        <vt:lpwstr>http://www.nevo.co.il/case/20009419</vt:lpwstr>
      </vt:variant>
      <vt:variant>
        <vt:lpwstr/>
      </vt:variant>
      <vt:variant>
        <vt:i4>3276922</vt:i4>
      </vt:variant>
      <vt:variant>
        <vt:i4>90</vt:i4>
      </vt:variant>
      <vt:variant>
        <vt:i4>0</vt:i4>
      </vt:variant>
      <vt:variant>
        <vt:i4>5</vt:i4>
      </vt:variant>
      <vt:variant>
        <vt:lpwstr>http://www.nevo.co.il/case/5601394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3276916</vt:i4>
      </vt:variant>
      <vt:variant>
        <vt:i4>81</vt:i4>
      </vt:variant>
      <vt:variant>
        <vt:i4>0</vt:i4>
      </vt:variant>
      <vt:variant>
        <vt:i4>5</vt:i4>
      </vt:variant>
      <vt:variant>
        <vt:lpwstr>http://www.nevo.co.il/case/23129184</vt:lpwstr>
      </vt:variant>
      <vt:variant>
        <vt:lpwstr/>
      </vt:variant>
      <vt:variant>
        <vt:i4>3342449</vt:i4>
      </vt:variant>
      <vt:variant>
        <vt:i4>78</vt:i4>
      </vt:variant>
      <vt:variant>
        <vt:i4>0</vt:i4>
      </vt:variant>
      <vt:variant>
        <vt:i4>5</vt:i4>
      </vt:variant>
      <vt:variant>
        <vt:lpwstr>http://www.nevo.co.il/case/21476337</vt:lpwstr>
      </vt:variant>
      <vt:variant>
        <vt:lpwstr/>
      </vt:variant>
      <vt:variant>
        <vt:i4>3342455</vt:i4>
      </vt:variant>
      <vt:variant>
        <vt:i4>75</vt:i4>
      </vt:variant>
      <vt:variant>
        <vt:i4>0</vt:i4>
      </vt:variant>
      <vt:variant>
        <vt:i4>5</vt:i4>
      </vt:variant>
      <vt:variant>
        <vt:lpwstr>http://www.nevo.co.il/case/21473565</vt:lpwstr>
      </vt:variant>
      <vt:variant>
        <vt:lpwstr/>
      </vt:variant>
      <vt:variant>
        <vt:i4>3801200</vt:i4>
      </vt:variant>
      <vt:variant>
        <vt:i4>72</vt:i4>
      </vt:variant>
      <vt:variant>
        <vt:i4>0</vt:i4>
      </vt:variant>
      <vt:variant>
        <vt:i4>5</vt:i4>
      </vt:variant>
      <vt:variant>
        <vt:lpwstr>http://www.nevo.co.il/case/20009419</vt:lpwstr>
      </vt:variant>
      <vt:variant>
        <vt:lpwstr/>
      </vt:variant>
      <vt:variant>
        <vt:i4>3801200</vt:i4>
      </vt:variant>
      <vt:variant>
        <vt:i4>69</vt:i4>
      </vt:variant>
      <vt:variant>
        <vt:i4>0</vt:i4>
      </vt:variant>
      <vt:variant>
        <vt:i4>5</vt:i4>
      </vt:variant>
      <vt:variant>
        <vt:lpwstr>http://www.nevo.co.il/case/20009419</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3342448</vt:i4>
      </vt:variant>
      <vt:variant>
        <vt:i4>63</vt:i4>
      </vt:variant>
      <vt:variant>
        <vt:i4>0</vt:i4>
      </vt:variant>
      <vt:variant>
        <vt:i4>5</vt:i4>
      </vt:variant>
      <vt:variant>
        <vt:lpwstr>http://www.nevo.co.il/case/22938500</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3145843</vt:i4>
      </vt:variant>
      <vt:variant>
        <vt:i4>54</vt:i4>
      </vt:variant>
      <vt:variant>
        <vt:i4>0</vt:i4>
      </vt:variant>
      <vt:variant>
        <vt:i4>5</vt:i4>
      </vt:variant>
      <vt:variant>
        <vt:lpwstr>http://www.nevo.co.il/case/20466106</vt:lpwstr>
      </vt:variant>
      <vt:variant>
        <vt:lpwstr/>
      </vt:variant>
      <vt:variant>
        <vt:i4>3932279</vt:i4>
      </vt:variant>
      <vt:variant>
        <vt:i4>51</vt:i4>
      </vt:variant>
      <vt:variant>
        <vt:i4>0</vt:i4>
      </vt:variant>
      <vt:variant>
        <vt:i4>5</vt:i4>
      </vt:variant>
      <vt:variant>
        <vt:lpwstr>http://www.nevo.co.il/case/23259553</vt:lpwstr>
      </vt:variant>
      <vt:variant>
        <vt:lpwstr/>
      </vt:variant>
      <vt:variant>
        <vt:i4>65611</vt:i4>
      </vt:variant>
      <vt:variant>
        <vt:i4>48</vt:i4>
      </vt:variant>
      <vt:variant>
        <vt:i4>0</vt:i4>
      </vt:variant>
      <vt:variant>
        <vt:i4>5</vt:i4>
      </vt:variant>
      <vt:variant>
        <vt:lpwstr>http://www.nevo.co.il/case/463961</vt:lpwstr>
      </vt:variant>
      <vt:variant>
        <vt:lpwstr/>
      </vt:variant>
      <vt:variant>
        <vt:i4>3997810</vt:i4>
      </vt:variant>
      <vt:variant>
        <vt:i4>45</vt:i4>
      </vt:variant>
      <vt:variant>
        <vt:i4>0</vt:i4>
      </vt:variant>
      <vt:variant>
        <vt:i4>5</vt:i4>
      </vt:variant>
      <vt:variant>
        <vt:lpwstr>http://www.nevo.co.il/case/26429223</vt:lpwstr>
      </vt:variant>
      <vt:variant>
        <vt:lpwstr/>
      </vt:variant>
      <vt:variant>
        <vt:i4>3145849</vt:i4>
      </vt:variant>
      <vt:variant>
        <vt:i4>42</vt:i4>
      </vt:variant>
      <vt:variant>
        <vt:i4>0</vt:i4>
      </vt:variant>
      <vt:variant>
        <vt:i4>5</vt:i4>
      </vt:variant>
      <vt:variant>
        <vt:lpwstr>http://www.nevo.co.il/case/28357067</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22371</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רומן לנדה</vt:lpwstr>
  </property>
  <property fmtid="{D5CDD505-2E9C-101B-9397-08002B2CF9AE}" pid="10" name="LAWYER">
    <vt:lpwstr>שירלי הדר;נמרוד אבירם</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20221006</vt:lpwstr>
  </property>
  <property fmtid="{D5CDD505-2E9C-101B-9397-08002B2CF9AE}" pid="14" name="TYPE_N_DATE">
    <vt:lpwstr>38020221006</vt:lpwstr>
  </property>
  <property fmtid="{D5CDD505-2E9C-101B-9397-08002B2CF9AE}" pid="15" name="WORDNUMPAGES">
    <vt:lpwstr>11</vt:lpwstr>
  </property>
  <property fmtid="{D5CDD505-2E9C-101B-9397-08002B2CF9AE}" pid="16" name="TYPE_ABS_DATE">
    <vt:lpwstr>380020221006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13093721;28357067;26429223;463961;23259553;20466106;22938500;20009419:3;21473565;21476337;23129184;5601394;4576154;6731775;18735424</vt:lpwstr>
  </property>
  <property fmtid="{D5CDD505-2E9C-101B-9397-08002B2CF9AE}" pid="36" name="LAWLISTTMP1">
    <vt:lpwstr>4216/007.a;007.c;013;019a</vt:lpwstr>
  </property>
  <property fmtid="{D5CDD505-2E9C-101B-9397-08002B2CF9AE}" pid="37" name="LAWLISTTMP2">
    <vt:lpwstr>70301/040d:4;40ja</vt:lpwstr>
  </property>
</Properties>
</file>