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AB45CD" w:rsidRPr="00DD1846" w14:paraId="1E813805" w14:textId="77777777" w:rsidTr="005605A7">
        <w:trPr>
          <w:trHeight w:hRule="exact" w:val="899"/>
          <w:jc w:val="center"/>
        </w:trPr>
        <w:tc>
          <w:tcPr>
            <w:tcW w:w="8523" w:type="dxa"/>
          </w:tcPr>
          <w:p w14:paraId="56E807D4" w14:textId="77777777" w:rsidR="00AB45CD" w:rsidRPr="00DD1846" w:rsidRDefault="00AB45CD" w:rsidP="00AF7E75">
            <w:pPr>
              <w:pStyle w:val="a3"/>
              <w:jc w:val="center"/>
              <w:rPr>
                <w:rFonts w:ascii="Tahoma" w:hAnsi="Tahoma"/>
                <w:noProof w:val="0"/>
                <w:color w:val="000080"/>
                <w:sz w:val="32"/>
                <w:szCs w:val="32"/>
                <w:rtl/>
              </w:rPr>
            </w:pPr>
            <w:bookmarkStart w:id="0" w:name="FirstLawyer"/>
            <w:bookmarkStart w:id="1" w:name="LastJudge"/>
            <w:r w:rsidRPr="00DD1846">
              <w:rPr>
                <w:rFonts w:ascii="Tahoma" w:hAnsi="Tahoma"/>
                <w:color w:val="000080"/>
                <w:sz w:val="32"/>
                <w:szCs w:val="32"/>
                <w:rtl/>
              </w:rPr>
              <w:t>בית משפט השלום ברמלה</w:t>
            </w:r>
          </w:p>
        </w:tc>
      </w:tr>
      <w:tr w:rsidR="00AB45CD" w:rsidRPr="00DD1846" w14:paraId="7705EE11" w14:textId="77777777" w:rsidTr="005605A7">
        <w:trPr>
          <w:trHeight w:val="337"/>
          <w:jc w:val="center"/>
        </w:trPr>
        <w:tc>
          <w:tcPr>
            <w:tcW w:w="8523" w:type="dxa"/>
          </w:tcPr>
          <w:p w14:paraId="5E4ECFC9" w14:textId="77777777" w:rsidR="00AB45CD" w:rsidRPr="00DD1846" w:rsidRDefault="00AB45CD" w:rsidP="00AF7E75">
            <w:pPr>
              <w:rPr>
                <w:b/>
                <w:bCs/>
                <w:noProof w:val="0"/>
                <w:sz w:val="26"/>
                <w:szCs w:val="26"/>
                <w:rtl/>
              </w:rPr>
            </w:pPr>
            <w:r w:rsidRPr="00DD1846">
              <w:rPr>
                <w:b/>
                <w:bCs/>
                <w:noProof w:val="0"/>
                <w:sz w:val="26"/>
                <w:szCs w:val="26"/>
                <w:rtl/>
              </w:rPr>
              <w:t xml:space="preserve">תפ"ק 25089-09-21 מדינת ישראל נ' דהן </w:t>
            </w:r>
          </w:p>
          <w:p w14:paraId="10864629" w14:textId="77777777" w:rsidR="00AB45CD" w:rsidRPr="00DD1846" w:rsidRDefault="00AB45CD" w:rsidP="00AF7E75">
            <w:pPr>
              <w:rPr>
                <w:b/>
                <w:bCs/>
                <w:noProof w:val="0"/>
                <w:sz w:val="2"/>
                <w:szCs w:val="2"/>
                <w:rtl/>
              </w:rPr>
            </w:pPr>
          </w:p>
          <w:p w14:paraId="0A3E5B34" w14:textId="77777777" w:rsidR="00AB45CD" w:rsidRPr="00DD1846" w:rsidRDefault="00AB45CD" w:rsidP="00AF7E75">
            <w:pPr>
              <w:rPr>
                <w:sz w:val="20"/>
                <w:szCs w:val="20"/>
                <w:rtl/>
              </w:rPr>
            </w:pPr>
            <w:r w:rsidRPr="00DD1846">
              <w:rPr>
                <w:rFonts w:hint="cs"/>
                <w:rtl/>
              </w:rPr>
              <w:t xml:space="preserve">                           </w:t>
            </w:r>
            <w:r w:rsidRPr="00DD1846">
              <w:rPr>
                <w:rFonts w:hint="cs"/>
                <w:sz w:val="20"/>
                <w:szCs w:val="20"/>
                <w:rtl/>
              </w:rPr>
              <w:t xml:space="preserve">                                       </w:t>
            </w:r>
          </w:p>
          <w:p w14:paraId="153D983C" w14:textId="77777777" w:rsidR="00AB45CD" w:rsidRPr="00DD1846" w:rsidRDefault="00AB45CD" w:rsidP="00AF7E75">
            <w:pPr>
              <w:rPr>
                <w:sz w:val="20"/>
                <w:szCs w:val="20"/>
                <w:rtl/>
              </w:rPr>
            </w:pPr>
            <w:r w:rsidRPr="00DD1846">
              <w:rPr>
                <w:rFonts w:hint="cs"/>
                <w:sz w:val="20"/>
                <w:szCs w:val="20"/>
                <w:rtl/>
              </w:rPr>
              <w:t xml:space="preserve">תיק חיצוני: </w:t>
            </w:r>
            <w:r w:rsidRPr="00DD1846">
              <w:rPr>
                <w:rFonts w:hint="eastAsia"/>
                <w:sz w:val="20"/>
                <w:szCs w:val="20"/>
              </w:rPr>
              <w:t>219661/2021</w:t>
            </w:r>
            <w:r w:rsidRPr="00DD1846">
              <w:rPr>
                <w:rFonts w:hint="cs"/>
                <w:sz w:val="20"/>
                <w:szCs w:val="20"/>
                <w:rtl/>
              </w:rPr>
              <w:t xml:space="preserve"> </w:t>
            </w:r>
            <w:r w:rsidRPr="00DD1846">
              <w:rPr>
                <w:sz w:val="20"/>
                <w:szCs w:val="20"/>
                <w:rtl/>
              </w:rPr>
              <w:t xml:space="preserve">  </w:t>
            </w:r>
          </w:p>
        </w:tc>
      </w:tr>
    </w:tbl>
    <w:p w14:paraId="398AEBD3" w14:textId="77777777" w:rsidR="00AB45CD" w:rsidRPr="00DD1846" w:rsidRDefault="00AB45CD" w:rsidP="005605A7">
      <w:pPr>
        <w:pStyle w:val="a3"/>
        <w:rPr>
          <w:rtl/>
        </w:rPr>
      </w:pPr>
      <w:r w:rsidRPr="00DD1846">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AB45CD" w:rsidRPr="00DD1846" w14:paraId="58E1AD3A" w14:textId="77777777" w:rsidTr="00AB45CD">
        <w:trPr>
          <w:jc w:val="center"/>
        </w:trPr>
        <w:tc>
          <w:tcPr>
            <w:tcW w:w="743" w:type="dxa"/>
            <w:shd w:val="clear" w:color="auto" w:fill="auto"/>
          </w:tcPr>
          <w:p w14:paraId="2185DBFD" w14:textId="77777777" w:rsidR="00AB45CD" w:rsidRPr="00DD1846" w:rsidRDefault="00AB45CD" w:rsidP="00AB45CD">
            <w:pPr>
              <w:suppressLineNumbers/>
              <w:jc w:val="both"/>
              <w:rPr>
                <w:rFonts w:ascii="Arial" w:hAnsi="Arial"/>
                <w:b/>
                <w:bCs/>
                <w:sz w:val="26"/>
                <w:szCs w:val="26"/>
                <w:rtl/>
              </w:rPr>
            </w:pPr>
            <w:r w:rsidRPr="00DD1846">
              <w:rPr>
                <w:rFonts w:ascii="Arial" w:hAnsi="Arial" w:hint="cs"/>
                <w:b/>
                <w:bCs/>
                <w:sz w:val="26"/>
                <w:szCs w:val="26"/>
                <w:rtl/>
              </w:rPr>
              <w:t>ל</w:t>
            </w:r>
            <w:r w:rsidRPr="00DD1846">
              <w:rPr>
                <w:rFonts w:ascii="Arial" w:hAnsi="Arial"/>
                <w:b/>
                <w:bCs/>
                <w:sz w:val="26"/>
                <w:szCs w:val="26"/>
                <w:rtl/>
              </w:rPr>
              <w:t xml:space="preserve">פני </w:t>
            </w:r>
          </w:p>
        </w:tc>
        <w:tc>
          <w:tcPr>
            <w:tcW w:w="8077" w:type="dxa"/>
            <w:gridSpan w:val="2"/>
            <w:shd w:val="clear" w:color="auto" w:fill="auto"/>
          </w:tcPr>
          <w:p w14:paraId="275546B0" w14:textId="77777777" w:rsidR="00AB45CD" w:rsidRPr="00DD1846" w:rsidRDefault="00AB45CD" w:rsidP="00AB45CD">
            <w:pPr>
              <w:suppressLineNumbers/>
              <w:rPr>
                <w:rFonts w:ascii="Arial" w:hAnsi="Arial"/>
                <w:b/>
                <w:bCs/>
                <w:sz w:val="26"/>
                <w:szCs w:val="26"/>
                <w:rtl/>
              </w:rPr>
            </w:pPr>
            <w:r w:rsidRPr="00DD1846">
              <w:rPr>
                <w:rFonts w:ascii="Arial" w:hAnsi="Arial" w:hint="cs"/>
                <w:b/>
                <w:bCs/>
                <w:sz w:val="26"/>
                <w:szCs w:val="26"/>
                <w:rtl/>
              </w:rPr>
              <w:t>כבוד ה</w:t>
            </w:r>
            <w:r w:rsidRPr="00DD1846">
              <w:rPr>
                <w:rFonts w:ascii="Arial" w:hAnsi="Arial"/>
                <w:b/>
                <w:bCs/>
                <w:sz w:val="26"/>
                <w:szCs w:val="26"/>
                <w:rtl/>
              </w:rPr>
              <w:t>שופטת</w:t>
            </w:r>
            <w:r w:rsidRPr="00DD1846">
              <w:rPr>
                <w:rFonts w:ascii="Arial" w:hAnsi="Arial" w:hint="cs"/>
                <w:b/>
                <w:bCs/>
                <w:sz w:val="26"/>
                <w:szCs w:val="26"/>
                <w:rtl/>
              </w:rPr>
              <w:t xml:space="preserve"> </w:t>
            </w:r>
            <w:r w:rsidRPr="00DD1846">
              <w:rPr>
                <w:rFonts w:ascii="Arial" w:hAnsi="Arial"/>
                <w:b/>
                <w:bCs/>
                <w:sz w:val="26"/>
                <w:szCs w:val="26"/>
                <w:rtl/>
              </w:rPr>
              <w:t>רבקה גלט</w:t>
            </w:r>
          </w:p>
          <w:p w14:paraId="0D85963F" w14:textId="77777777" w:rsidR="00AB45CD" w:rsidRPr="00DD1846" w:rsidRDefault="00AB45CD" w:rsidP="00AB45CD">
            <w:pPr>
              <w:suppressLineNumbers/>
              <w:rPr>
                <w:sz w:val="26"/>
                <w:szCs w:val="26"/>
              </w:rPr>
            </w:pPr>
          </w:p>
        </w:tc>
      </w:tr>
      <w:tr w:rsidR="00AB45CD" w:rsidRPr="00DD1846" w14:paraId="539D7689" w14:textId="77777777" w:rsidTr="00AB45CD">
        <w:trPr>
          <w:jc w:val="center"/>
        </w:trPr>
        <w:tc>
          <w:tcPr>
            <w:tcW w:w="3249" w:type="dxa"/>
            <w:gridSpan w:val="2"/>
            <w:shd w:val="clear" w:color="auto" w:fill="auto"/>
          </w:tcPr>
          <w:p w14:paraId="64BF68B4" w14:textId="77777777" w:rsidR="00AB45CD" w:rsidRPr="00DD1846" w:rsidRDefault="00AB45CD" w:rsidP="00AB45CD">
            <w:pPr>
              <w:suppressLineNumbers/>
              <w:rPr>
                <w:rtl/>
              </w:rPr>
            </w:pPr>
            <w:bookmarkStart w:id="2" w:name="FirstAppellant"/>
          </w:p>
          <w:p w14:paraId="1E20AB0B" w14:textId="77777777" w:rsidR="00AB45CD" w:rsidRPr="00DD1846" w:rsidRDefault="00AB45CD" w:rsidP="00AB45CD">
            <w:pPr>
              <w:suppressLineNumbers/>
              <w:rPr>
                <w:rFonts w:ascii="Arial" w:hAnsi="Arial"/>
                <w:b/>
                <w:bCs/>
                <w:noProof w:val="0"/>
                <w:sz w:val="26"/>
                <w:szCs w:val="26"/>
                <w:rtl/>
              </w:rPr>
            </w:pPr>
            <w:r w:rsidRPr="00DD1846">
              <w:rPr>
                <w:rFonts w:ascii="Arial" w:hAnsi="Arial" w:hint="cs"/>
                <w:b/>
                <w:bCs/>
                <w:noProof w:val="0"/>
                <w:sz w:val="26"/>
                <w:szCs w:val="26"/>
                <w:rtl/>
              </w:rPr>
              <w:t>ה</w:t>
            </w:r>
            <w:r w:rsidRPr="00DD1846">
              <w:rPr>
                <w:rFonts w:ascii="Arial" w:hAnsi="Arial"/>
                <w:b/>
                <w:bCs/>
                <w:noProof w:val="0"/>
                <w:sz w:val="26"/>
                <w:szCs w:val="26"/>
                <w:rtl/>
              </w:rPr>
              <w:t>מאשימה</w:t>
            </w:r>
          </w:p>
        </w:tc>
        <w:tc>
          <w:tcPr>
            <w:tcW w:w="5571" w:type="dxa"/>
            <w:shd w:val="clear" w:color="auto" w:fill="auto"/>
          </w:tcPr>
          <w:p w14:paraId="664E7CD1" w14:textId="77777777" w:rsidR="00AB45CD" w:rsidRPr="00DD1846" w:rsidRDefault="00AB45CD" w:rsidP="00AB45CD">
            <w:pPr>
              <w:suppressLineNumbers/>
              <w:rPr>
                <w:rtl/>
              </w:rPr>
            </w:pPr>
          </w:p>
          <w:p w14:paraId="6C174420" w14:textId="77777777" w:rsidR="00AB45CD" w:rsidRPr="00DD1846" w:rsidRDefault="00AB45CD" w:rsidP="00AB45CD">
            <w:pPr>
              <w:suppressLineNumbers/>
              <w:rPr>
                <w:b/>
                <w:bCs/>
                <w:noProof w:val="0"/>
                <w:sz w:val="26"/>
                <w:szCs w:val="26"/>
              </w:rPr>
            </w:pPr>
            <w:r w:rsidRPr="00DD1846">
              <w:rPr>
                <w:rFonts w:ascii="Arial" w:hAnsi="Arial"/>
                <w:b/>
                <w:bCs/>
                <w:noProof w:val="0"/>
                <w:sz w:val="26"/>
                <w:szCs w:val="26"/>
                <w:rtl/>
              </w:rPr>
              <w:t>מדינת ישראל</w:t>
            </w:r>
            <w:r w:rsidRPr="00DD1846">
              <w:rPr>
                <w:rFonts w:ascii="Arial" w:hAnsi="Arial"/>
                <w:b/>
                <w:bCs/>
                <w:noProof w:val="0"/>
                <w:sz w:val="26"/>
                <w:szCs w:val="26"/>
                <w:rtl/>
              </w:rPr>
              <w:br/>
            </w:r>
            <w:r w:rsidRPr="00DD1846">
              <w:rPr>
                <w:rFonts w:ascii="Arial" w:hAnsi="Arial" w:hint="cs"/>
                <w:b/>
                <w:bCs/>
                <w:noProof w:val="0"/>
                <w:sz w:val="26"/>
                <w:szCs w:val="26"/>
                <w:rtl/>
              </w:rPr>
              <w:t>ע"י ב"כ עו"ד דואק</w:t>
            </w:r>
          </w:p>
        </w:tc>
      </w:tr>
      <w:bookmarkEnd w:id="2"/>
      <w:tr w:rsidR="00AB45CD" w:rsidRPr="00DD1846" w14:paraId="543BF539" w14:textId="77777777" w:rsidTr="00AB45CD">
        <w:trPr>
          <w:jc w:val="center"/>
        </w:trPr>
        <w:tc>
          <w:tcPr>
            <w:tcW w:w="8820" w:type="dxa"/>
            <w:gridSpan w:val="3"/>
            <w:shd w:val="clear" w:color="auto" w:fill="auto"/>
          </w:tcPr>
          <w:p w14:paraId="5AD949CC" w14:textId="77777777" w:rsidR="00AB45CD" w:rsidRPr="00DD1846" w:rsidRDefault="00AB45CD" w:rsidP="00AB45CD">
            <w:pPr>
              <w:suppressLineNumbers/>
              <w:rPr>
                <w:rFonts w:ascii="Arial" w:hAnsi="Arial"/>
                <w:b/>
                <w:bCs/>
                <w:noProof w:val="0"/>
                <w:sz w:val="26"/>
                <w:szCs w:val="26"/>
                <w:rtl/>
              </w:rPr>
            </w:pPr>
          </w:p>
          <w:p w14:paraId="5CF103C1" w14:textId="77777777" w:rsidR="00AB45CD" w:rsidRPr="00DD1846" w:rsidRDefault="00AB45CD" w:rsidP="00AB45CD">
            <w:pPr>
              <w:suppressLineNumbers/>
              <w:jc w:val="center"/>
              <w:rPr>
                <w:rFonts w:ascii="Arial" w:hAnsi="Arial"/>
                <w:b/>
                <w:bCs/>
                <w:noProof w:val="0"/>
                <w:sz w:val="26"/>
                <w:szCs w:val="26"/>
                <w:rtl/>
              </w:rPr>
            </w:pPr>
            <w:r w:rsidRPr="00DD1846">
              <w:rPr>
                <w:rFonts w:ascii="Arial" w:hAnsi="Arial"/>
                <w:b/>
                <w:bCs/>
                <w:noProof w:val="0"/>
                <w:sz w:val="26"/>
                <w:szCs w:val="26"/>
                <w:rtl/>
              </w:rPr>
              <w:t>נגד</w:t>
            </w:r>
          </w:p>
          <w:p w14:paraId="2529EB7E" w14:textId="77777777" w:rsidR="00AB45CD" w:rsidRPr="00DD1846" w:rsidRDefault="00AB45CD" w:rsidP="00AB45CD">
            <w:pPr>
              <w:suppressLineNumbers/>
              <w:rPr>
                <w:rFonts w:ascii="Arial" w:hAnsi="Arial"/>
                <w:b/>
                <w:bCs/>
                <w:noProof w:val="0"/>
                <w:sz w:val="26"/>
                <w:szCs w:val="26"/>
              </w:rPr>
            </w:pPr>
          </w:p>
        </w:tc>
      </w:tr>
      <w:tr w:rsidR="00AB45CD" w:rsidRPr="00DD1846" w14:paraId="4DCB137C" w14:textId="77777777" w:rsidTr="005605A7">
        <w:trPr>
          <w:trHeight w:val="1080"/>
          <w:jc w:val="center"/>
        </w:trPr>
        <w:tc>
          <w:tcPr>
            <w:tcW w:w="3249" w:type="dxa"/>
            <w:gridSpan w:val="2"/>
            <w:shd w:val="clear" w:color="auto" w:fill="auto"/>
          </w:tcPr>
          <w:p w14:paraId="1B3B6B3E" w14:textId="77777777" w:rsidR="00AB45CD" w:rsidRPr="00DD1846" w:rsidRDefault="00AB45CD" w:rsidP="00AB45CD">
            <w:pPr>
              <w:suppressLineNumbers/>
              <w:rPr>
                <w:rFonts w:ascii="Arial" w:hAnsi="Arial"/>
                <w:b/>
                <w:bCs/>
                <w:noProof w:val="0"/>
                <w:sz w:val="26"/>
                <w:szCs w:val="26"/>
              </w:rPr>
            </w:pPr>
            <w:r w:rsidRPr="00DD1846">
              <w:rPr>
                <w:rFonts w:ascii="Arial" w:hAnsi="Arial" w:hint="cs"/>
                <w:b/>
                <w:bCs/>
                <w:noProof w:val="0"/>
                <w:sz w:val="26"/>
                <w:szCs w:val="26"/>
                <w:rtl/>
              </w:rPr>
              <w:t>ה</w:t>
            </w:r>
            <w:r w:rsidRPr="00DD1846">
              <w:rPr>
                <w:rFonts w:ascii="Arial" w:hAnsi="Arial"/>
                <w:b/>
                <w:bCs/>
                <w:noProof w:val="0"/>
                <w:sz w:val="26"/>
                <w:szCs w:val="26"/>
                <w:rtl/>
              </w:rPr>
              <w:t>נאשם</w:t>
            </w:r>
          </w:p>
        </w:tc>
        <w:tc>
          <w:tcPr>
            <w:tcW w:w="5571" w:type="dxa"/>
            <w:shd w:val="clear" w:color="auto" w:fill="auto"/>
          </w:tcPr>
          <w:p w14:paraId="518DF3B4" w14:textId="77777777" w:rsidR="00AB45CD" w:rsidRPr="00DD1846" w:rsidRDefault="00AB45CD" w:rsidP="00AB45CD">
            <w:pPr>
              <w:suppressLineNumbers/>
              <w:rPr>
                <w:rFonts w:ascii="Arial" w:hAnsi="Arial"/>
                <w:b/>
                <w:bCs/>
                <w:noProof w:val="0"/>
                <w:sz w:val="26"/>
                <w:szCs w:val="26"/>
                <w:rtl/>
              </w:rPr>
            </w:pPr>
            <w:r w:rsidRPr="00DD1846">
              <w:rPr>
                <w:rFonts w:ascii="Arial" w:hAnsi="Arial"/>
                <w:b/>
                <w:bCs/>
                <w:noProof w:val="0"/>
                <w:sz w:val="26"/>
                <w:szCs w:val="26"/>
                <w:rtl/>
              </w:rPr>
              <w:t>מיקי דהן</w:t>
            </w:r>
            <w:r w:rsidRPr="00DD1846">
              <w:rPr>
                <w:rFonts w:ascii="Arial" w:hAnsi="Arial"/>
                <w:b/>
                <w:bCs/>
                <w:noProof w:val="0"/>
                <w:sz w:val="26"/>
                <w:szCs w:val="26"/>
                <w:rtl/>
              </w:rPr>
              <w:br/>
            </w:r>
            <w:r w:rsidRPr="00DD1846">
              <w:rPr>
                <w:rFonts w:ascii="Arial" w:hAnsi="Arial" w:hint="cs"/>
                <w:b/>
                <w:bCs/>
                <w:noProof w:val="0"/>
                <w:sz w:val="26"/>
                <w:szCs w:val="26"/>
                <w:rtl/>
              </w:rPr>
              <w:t>ע"י ב"כ עו"ד איצקוביץ</w:t>
            </w:r>
          </w:p>
        </w:tc>
      </w:tr>
    </w:tbl>
    <w:p w14:paraId="02B766C0" w14:textId="77777777" w:rsidR="00DD1846" w:rsidRPr="00DD1846" w:rsidRDefault="00DD1846" w:rsidP="00DD1846">
      <w:pPr>
        <w:spacing w:before="120" w:after="120" w:line="240" w:lineRule="exact"/>
        <w:ind w:left="283" w:hanging="283"/>
        <w:jc w:val="both"/>
        <w:rPr>
          <w:rFonts w:ascii="FrankRuehl" w:hAnsi="FrankRuehl" w:cs="FrankRuehl"/>
          <w:rtl/>
        </w:rPr>
      </w:pPr>
      <w:bookmarkStart w:id="3" w:name="NGCSBookmark"/>
      <w:bookmarkEnd w:id="3"/>
    </w:p>
    <w:p w14:paraId="50ED7A0A" w14:textId="77777777" w:rsidR="00DD1846" w:rsidRPr="00DD1846" w:rsidRDefault="00DD1846" w:rsidP="00DD1846">
      <w:pPr>
        <w:spacing w:line="360" w:lineRule="auto"/>
        <w:jc w:val="center"/>
        <w:rPr>
          <w:rFonts w:ascii="David" w:hAnsi="David"/>
          <w:sz w:val="28"/>
          <w:szCs w:val="28"/>
          <w:rtl/>
        </w:rPr>
      </w:pPr>
    </w:p>
    <w:p w14:paraId="416FA482" w14:textId="77777777" w:rsidR="005605A7" w:rsidRPr="005605A7" w:rsidRDefault="005605A7" w:rsidP="005605A7">
      <w:pPr>
        <w:spacing w:before="120" w:after="120" w:line="240" w:lineRule="exact"/>
        <w:ind w:left="283" w:hanging="283"/>
        <w:jc w:val="both"/>
        <w:rPr>
          <w:rFonts w:ascii="FrankRuehl" w:hAnsi="FrankRuehl" w:cs="FrankRuehl"/>
          <w:rtl/>
        </w:rPr>
      </w:pPr>
    </w:p>
    <w:p w14:paraId="7306D5A8" w14:textId="77777777" w:rsidR="00C91BE7" w:rsidRPr="00C91BE7" w:rsidRDefault="00C91BE7" w:rsidP="00C91BE7">
      <w:pPr>
        <w:spacing w:before="120" w:after="120" w:line="240" w:lineRule="exact"/>
        <w:ind w:left="283" w:hanging="283"/>
        <w:jc w:val="both"/>
        <w:rPr>
          <w:rFonts w:ascii="FrankRuehl" w:hAnsi="FrankRuehl" w:cs="FrankRuehl"/>
          <w:rtl/>
        </w:rPr>
      </w:pPr>
    </w:p>
    <w:p w14:paraId="683F8457" w14:textId="77777777" w:rsidR="002D5E1F" w:rsidRDefault="002D5E1F" w:rsidP="002D5E1F">
      <w:pPr>
        <w:spacing w:line="360" w:lineRule="auto"/>
        <w:jc w:val="center"/>
        <w:rPr>
          <w:rFonts w:ascii="David" w:hAnsi="David"/>
          <w:sz w:val="28"/>
          <w:szCs w:val="28"/>
          <w:rtl/>
        </w:rPr>
      </w:pPr>
      <w:bookmarkStart w:id="4" w:name="LawTable"/>
      <w:bookmarkEnd w:id="4"/>
    </w:p>
    <w:p w14:paraId="67C4F69D" w14:textId="77777777" w:rsidR="002D5E1F" w:rsidRPr="002D5E1F" w:rsidRDefault="002D5E1F" w:rsidP="002D5E1F">
      <w:pPr>
        <w:spacing w:before="120" w:after="120" w:line="240" w:lineRule="exact"/>
        <w:ind w:left="283" w:hanging="283"/>
        <w:jc w:val="both"/>
        <w:rPr>
          <w:rFonts w:ascii="FrankRuehl" w:hAnsi="FrankRuehl" w:cs="FrankRuehl"/>
          <w:rtl/>
        </w:rPr>
      </w:pPr>
    </w:p>
    <w:p w14:paraId="0A35CC4A" w14:textId="77777777" w:rsidR="002D5E1F" w:rsidRPr="002D5E1F" w:rsidRDefault="002D5E1F" w:rsidP="002D5E1F">
      <w:pPr>
        <w:spacing w:before="120" w:after="120" w:line="240" w:lineRule="exact"/>
        <w:ind w:left="283" w:hanging="283"/>
        <w:jc w:val="both"/>
        <w:rPr>
          <w:rFonts w:ascii="FrankRuehl" w:hAnsi="FrankRuehl" w:cs="FrankRuehl"/>
          <w:rtl/>
        </w:rPr>
      </w:pPr>
    </w:p>
    <w:p w14:paraId="4CEAF1E6" w14:textId="77777777" w:rsidR="002D5E1F" w:rsidRPr="002D5E1F" w:rsidRDefault="002D5E1F" w:rsidP="002D5E1F">
      <w:pPr>
        <w:spacing w:before="120" w:after="120" w:line="240" w:lineRule="exact"/>
        <w:ind w:left="283" w:hanging="283"/>
        <w:jc w:val="both"/>
        <w:rPr>
          <w:rFonts w:ascii="FrankRuehl" w:hAnsi="FrankRuehl" w:cs="FrankRuehl"/>
          <w:rtl/>
        </w:rPr>
      </w:pPr>
      <w:r w:rsidRPr="002D5E1F">
        <w:rPr>
          <w:rFonts w:ascii="FrankRuehl" w:hAnsi="FrankRuehl" w:cs="FrankRuehl"/>
          <w:rtl/>
        </w:rPr>
        <w:t xml:space="preserve">חקיקה שאוזכרה: </w:t>
      </w:r>
    </w:p>
    <w:p w14:paraId="6C4ED52D" w14:textId="77777777" w:rsidR="002D5E1F" w:rsidRPr="002D5E1F" w:rsidRDefault="002D5E1F" w:rsidP="002D5E1F">
      <w:pPr>
        <w:spacing w:before="120" w:after="120" w:line="240" w:lineRule="exact"/>
        <w:ind w:left="283" w:hanging="283"/>
        <w:jc w:val="both"/>
        <w:rPr>
          <w:rFonts w:ascii="FrankRuehl" w:hAnsi="FrankRuehl" w:cs="FrankRuehl"/>
          <w:rtl/>
        </w:rPr>
      </w:pPr>
      <w:hyperlink r:id="rId7" w:history="1">
        <w:r w:rsidRPr="002D5E1F">
          <w:rPr>
            <w:rFonts w:ascii="FrankRuehl" w:hAnsi="FrankRuehl" w:cs="FrankRuehl"/>
            <w:color w:val="0000FF"/>
            <w:rtl/>
          </w:rPr>
          <w:t>פקודת הסמים המסוכנים [נוסח חדש], תשל"ג-1973</w:t>
        </w:r>
      </w:hyperlink>
      <w:r w:rsidRPr="002D5E1F">
        <w:rPr>
          <w:rFonts w:ascii="FrankRuehl" w:hAnsi="FrankRuehl" w:cs="FrankRuehl"/>
          <w:rtl/>
        </w:rPr>
        <w:t xml:space="preserve">: סע'  </w:t>
      </w:r>
      <w:hyperlink r:id="rId8" w:history="1">
        <w:r w:rsidRPr="002D5E1F">
          <w:rPr>
            <w:rFonts w:ascii="FrankRuehl" w:hAnsi="FrankRuehl" w:cs="FrankRuehl"/>
            <w:color w:val="0000FF"/>
            <w:rtl/>
          </w:rPr>
          <w:t>7(ג)</w:t>
        </w:r>
      </w:hyperlink>
      <w:r w:rsidRPr="002D5E1F">
        <w:rPr>
          <w:rFonts w:ascii="FrankRuehl" w:hAnsi="FrankRuehl" w:cs="FrankRuehl"/>
          <w:rtl/>
        </w:rPr>
        <w:t xml:space="preserve">, </w:t>
      </w:r>
      <w:hyperlink r:id="rId9" w:history="1">
        <w:r w:rsidRPr="002D5E1F">
          <w:rPr>
            <w:rFonts w:ascii="FrankRuehl" w:hAnsi="FrankRuehl" w:cs="FrankRuehl"/>
            <w:color w:val="0000FF"/>
            <w:rtl/>
          </w:rPr>
          <w:t>13</w:t>
        </w:r>
      </w:hyperlink>
    </w:p>
    <w:p w14:paraId="27550A46" w14:textId="77777777" w:rsidR="002D5E1F" w:rsidRPr="002D5E1F" w:rsidRDefault="002D5E1F" w:rsidP="002D5E1F">
      <w:pPr>
        <w:spacing w:before="120" w:after="120" w:line="240" w:lineRule="exact"/>
        <w:ind w:left="283" w:hanging="283"/>
        <w:jc w:val="both"/>
        <w:rPr>
          <w:rFonts w:ascii="FrankRuehl" w:hAnsi="FrankRuehl" w:cs="FrankRuehl"/>
          <w:rtl/>
        </w:rPr>
      </w:pPr>
      <w:hyperlink r:id="rId10" w:history="1">
        <w:r w:rsidRPr="002D5E1F">
          <w:rPr>
            <w:rFonts w:ascii="FrankRuehl" w:hAnsi="FrankRuehl" w:cs="FrankRuehl"/>
            <w:color w:val="0000FF"/>
            <w:rtl/>
          </w:rPr>
          <w:t>חוק העונשין, תשל"ז-1977</w:t>
        </w:r>
      </w:hyperlink>
      <w:r w:rsidRPr="002D5E1F">
        <w:rPr>
          <w:rFonts w:ascii="FrankRuehl" w:hAnsi="FrankRuehl" w:cs="FrankRuehl"/>
          <w:rtl/>
        </w:rPr>
        <w:t xml:space="preserve">: סע'  </w:t>
      </w:r>
      <w:hyperlink r:id="rId11" w:history="1">
        <w:r w:rsidRPr="002D5E1F">
          <w:rPr>
            <w:rFonts w:ascii="FrankRuehl" w:hAnsi="FrankRuehl" w:cs="FrankRuehl"/>
            <w:color w:val="0000FF"/>
            <w:rtl/>
          </w:rPr>
          <w:t>29</w:t>
        </w:r>
      </w:hyperlink>
    </w:p>
    <w:p w14:paraId="0477DAB4" w14:textId="77777777" w:rsidR="002D5E1F" w:rsidRPr="002D5E1F" w:rsidRDefault="002D5E1F" w:rsidP="002D5E1F">
      <w:pPr>
        <w:spacing w:line="360" w:lineRule="auto"/>
        <w:jc w:val="center"/>
        <w:rPr>
          <w:rFonts w:ascii="David" w:hAnsi="David"/>
          <w:sz w:val="28"/>
          <w:szCs w:val="28"/>
          <w:rtl/>
        </w:rPr>
      </w:pPr>
      <w:bookmarkStart w:id="5" w:name="LawTable_End"/>
      <w:bookmarkEnd w:id="5"/>
    </w:p>
    <w:p w14:paraId="050DD282" w14:textId="77777777" w:rsidR="00DD1846" w:rsidRPr="00C91BE7" w:rsidRDefault="00DD1846" w:rsidP="00C91BE7">
      <w:pPr>
        <w:spacing w:line="360" w:lineRule="auto"/>
        <w:jc w:val="center"/>
        <w:rPr>
          <w:rFonts w:ascii="David" w:hAnsi="David"/>
          <w:sz w:val="28"/>
          <w:szCs w:val="28"/>
          <w:rtl/>
        </w:rPr>
      </w:pPr>
    </w:p>
    <w:p w14:paraId="7E5171A8" w14:textId="77777777" w:rsidR="00DD1846" w:rsidRPr="00DD1846" w:rsidRDefault="00DD1846" w:rsidP="00DD1846">
      <w:pPr>
        <w:spacing w:line="360" w:lineRule="auto"/>
        <w:jc w:val="center"/>
        <w:rPr>
          <w:rFonts w:ascii="David" w:hAnsi="David"/>
          <w:b/>
          <w:bCs/>
          <w:sz w:val="28"/>
          <w:szCs w:val="28"/>
          <w:u w:val="single"/>
          <w:rtl/>
        </w:rPr>
      </w:pPr>
      <w:bookmarkStart w:id="6" w:name="PsakDin"/>
      <w:bookmarkEnd w:id="0"/>
      <w:bookmarkEnd w:id="1"/>
      <w:r w:rsidRPr="00DD1846">
        <w:rPr>
          <w:rFonts w:ascii="David" w:hAnsi="David"/>
          <w:b/>
          <w:bCs/>
          <w:sz w:val="28"/>
          <w:szCs w:val="28"/>
          <w:u w:val="single"/>
          <w:rtl/>
        </w:rPr>
        <w:t>גזר דין</w:t>
      </w:r>
    </w:p>
    <w:bookmarkEnd w:id="6"/>
    <w:p w14:paraId="15822F39" w14:textId="77777777" w:rsidR="00AB45CD" w:rsidRDefault="00AB45CD" w:rsidP="00AB45CD">
      <w:pPr>
        <w:spacing w:line="360" w:lineRule="auto"/>
        <w:jc w:val="both"/>
        <w:rPr>
          <w:rFonts w:ascii="David" w:hAnsi="David"/>
          <w:b/>
          <w:bCs/>
          <w:u w:val="single"/>
          <w:rtl/>
        </w:rPr>
      </w:pPr>
    </w:p>
    <w:p w14:paraId="3E5A547B" w14:textId="77777777" w:rsidR="00AB45CD" w:rsidRDefault="00AB45CD" w:rsidP="00AB45CD">
      <w:pPr>
        <w:spacing w:line="360" w:lineRule="auto"/>
        <w:jc w:val="both"/>
        <w:rPr>
          <w:rFonts w:ascii="David" w:hAnsi="David"/>
          <w:rtl/>
        </w:rPr>
      </w:pPr>
      <w:r>
        <w:rPr>
          <w:rFonts w:ascii="David" w:hAnsi="David"/>
          <w:rtl/>
        </w:rPr>
        <w:tab/>
      </w:r>
      <w:bookmarkStart w:id="7" w:name="ABSTRACT_START"/>
      <w:bookmarkEnd w:id="7"/>
      <w:r>
        <w:rPr>
          <w:rFonts w:ascii="David" w:hAnsi="David"/>
          <w:rtl/>
        </w:rPr>
        <w:t>הנאשם, כבן 43, נותן את הדין בגין עבירות סמים, לאחר שהוצא מהליך בבית המשפט הקהילתי.</w:t>
      </w:r>
    </w:p>
    <w:p w14:paraId="2A67C40F" w14:textId="77777777" w:rsidR="00AB45CD" w:rsidRDefault="00AB45CD" w:rsidP="00AB45CD">
      <w:pPr>
        <w:spacing w:line="360" w:lineRule="auto"/>
        <w:jc w:val="both"/>
        <w:rPr>
          <w:rFonts w:ascii="David" w:hAnsi="David"/>
          <w:b/>
          <w:bCs/>
          <w:u w:val="single"/>
          <w:rtl/>
        </w:rPr>
      </w:pPr>
    </w:p>
    <w:p w14:paraId="69D930F7" w14:textId="77777777" w:rsidR="00AB45CD" w:rsidRDefault="00AB45CD" w:rsidP="00AB45CD">
      <w:pPr>
        <w:spacing w:line="360" w:lineRule="auto"/>
        <w:jc w:val="both"/>
        <w:rPr>
          <w:rFonts w:ascii="David" w:hAnsi="David"/>
          <w:b/>
          <w:bCs/>
          <w:u w:val="single"/>
          <w:rtl/>
        </w:rPr>
      </w:pPr>
      <w:r>
        <w:rPr>
          <w:rFonts w:ascii="David" w:hAnsi="David"/>
          <w:b/>
          <w:bCs/>
          <w:u w:val="single"/>
          <w:rtl/>
        </w:rPr>
        <w:t>העבירות</w:t>
      </w:r>
    </w:p>
    <w:p w14:paraId="4C385270" w14:textId="77777777" w:rsidR="00AB45CD" w:rsidRDefault="00AB45CD" w:rsidP="00AB45CD">
      <w:pPr>
        <w:jc w:val="both"/>
        <w:rPr>
          <w:rFonts w:ascii="David" w:hAnsi="David"/>
          <w:b/>
          <w:bCs/>
          <w:u w:val="single"/>
          <w:rtl/>
        </w:rPr>
      </w:pPr>
    </w:p>
    <w:p w14:paraId="27BF834E" w14:textId="77777777" w:rsidR="00AB45CD" w:rsidRDefault="00AB45CD" w:rsidP="00AB45CD">
      <w:pPr>
        <w:spacing w:line="360" w:lineRule="auto"/>
        <w:jc w:val="both"/>
        <w:rPr>
          <w:rFonts w:ascii="David" w:hAnsi="David"/>
          <w:rtl/>
        </w:rPr>
      </w:pPr>
      <w:r>
        <w:rPr>
          <w:rFonts w:ascii="David" w:hAnsi="David"/>
          <w:rtl/>
        </w:rPr>
        <w:tab/>
        <w:t xml:space="preserve">כתב האישום המתוקן בעניינו של הנאשם אוחז חמישה אישומים, המהווים חלק מפרשת סחר בסמים, בה מילא </w:t>
      </w:r>
      <w:r>
        <w:rPr>
          <w:rFonts w:ascii="David" w:hAnsi="David" w:hint="cs"/>
          <w:rtl/>
        </w:rPr>
        <w:t xml:space="preserve">אחר (להלן: </w:t>
      </w:r>
      <w:r>
        <w:rPr>
          <w:rFonts w:ascii="David" w:hAnsi="David"/>
          <w:rtl/>
        </w:rPr>
        <w:t>הנאשם 1</w:t>
      </w:r>
      <w:r>
        <w:rPr>
          <w:rFonts w:ascii="David" w:hAnsi="David" w:hint="cs"/>
          <w:rtl/>
        </w:rPr>
        <w:t xml:space="preserve">) </w:t>
      </w:r>
      <w:r>
        <w:rPr>
          <w:rFonts w:ascii="David" w:hAnsi="David"/>
          <w:rtl/>
        </w:rPr>
        <w:t>תפקיד עיקרי ולו יוחסו 31 אישומים בעבירות סחר בסמים. העבירות בוצעו במהלך התקופה שמיום 31.3.20 עד יום 23.11.20.</w:t>
      </w:r>
    </w:p>
    <w:p w14:paraId="791D2166" w14:textId="77777777" w:rsidR="00AB45CD" w:rsidRDefault="00AB45CD" w:rsidP="00AB45CD">
      <w:pPr>
        <w:spacing w:line="360" w:lineRule="auto"/>
        <w:jc w:val="both"/>
        <w:rPr>
          <w:rFonts w:ascii="David" w:hAnsi="David"/>
          <w:rtl/>
        </w:rPr>
      </w:pPr>
      <w:bookmarkStart w:id="8" w:name="ABSTRACT_END"/>
      <w:bookmarkEnd w:id="8"/>
      <w:r>
        <w:rPr>
          <w:rFonts w:ascii="David" w:hAnsi="David"/>
          <w:rtl/>
        </w:rPr>
        <w:tab/>
      </w:r>
    </w:p>
    <w:p w14:paraId="6D972CA1" w14:textId="77777777" w:rsidR="00AB45CD" w:rsidRDefault="00AB45CD" w:rsidP="00AB45CD">
      <w:pPr>
        <w:spacing w:line="360" w:lineRule="auto"/>
        <w:ind w:firstLine="720"/>
        <w:jc w:val="both"/>
        <w:rPr>
          <w:rFonts w:ascii="David" w:hAnsi="David"/>
          <w:rtl/>
        </w:rPr>
      </w:pPr>
      <w:r>
        <w:rPr>
          <w:rFonts w:ascii="David" w:hAnsi="David"/>
          <w:rtl/>
        </w:rPr>
        <w:lastRenderedPageBreak/>
        <w:t>נכתב בכתב האישום כי שרשרת הפצת הסמים פעלה באופן בו היו הקונים מתאמים טלפונית עם הנאשם 1 את קניית הסמים והוא סיפק אותם בעצמו או באמצעות הנאשמים האחרים, ובהם הנאשם דנן, שלצורך כך החזיק בטלפון סלולרי. הנאשם דנן היה מעורב ב-4 מקרים של סחר בסמים, כמפורט להלן.</w:t>
      </w:r>
    </w:p>
    <w:p w14:paraId="5B980FF4" w14:textId="77777777" w:rsidR="00AB45CD" w:rsidRDefault="00AB45CD" w:rsidP="00AB45CD">
      <w:pPr>
        <w:ind w:firstLine="720"/>
        <w:jc w:val="both"/>
        <w:rPr>
          <w:rFonts w:ascii="David" w:hAnsi="David"/>
          <w:rtl/>
        </w:rPr>
      </w:pPr>
    </w:p>
    <w:p w14:paraId="73A8DA08" w14:textId="77777777" w:rsidR="00AB45CD" w:rsidRDefault="00AB45CD" w:rsidP="00AB45CD">
      <w:pPr>
        <w:spacing w:line="360" w:lineRule="auto"/>
        <w:ind w:firstLine="720"/>
        <w:jc w:val="both"/>
        <w:rPr>
          <w:rFonts w:ascii="David" w:hAnsi="David"/>
          <w:rtl/>
        </w:rPr>
      </w:pPr>
      <w:r>
        <w:rPr>
          <w:rFonts w:ascii="David" w:hAnsi="David"/>
          <w:rtl/>
        </w:rPr>
        <w:t xml:space="preserve">על פי האישום השני, ב-6 מועדים רכש הקונה סמים מסוכנים מהנאשם 1, באמצעות תיאום טלפוני, והגעת שליח עם הסם לביתו. </w:t>
      </w:r>
      <w:r>
        <w:rPr>
          <w:rFonts w:ascii="David" w:hAnsi="David"/>
          <w:b/>
          <w:bCs/>
          <w:rtl/>
        </w:rPr>
        <w:t>באחד מהמועדים</w:t>
      </w:r>
      <w:r>
        <w:rPr>
          <w:rFonts w:ascii="David" w:hAnsi="David"/>
          <w:rtl/>
        </w:rPr>
        <w:t xml:space="preserve">, ביום 20.5.20 בשעה 14:58, לאחר תיאום טלפוני עם הנאשם 1, הגיע הנאשם לבית הקונה ומסר לדודו סם מסוג קנביס במשקל 30 גרם בתמורה לסכום שאינו ידוע במדויק. בגין כך, יוחסו לנאשם 1 שש (6) עבירות סחר בצוותא, ואילו הנאשם הורשע בעבירת סחר בצוותא, לפי </w:t>
      </w:r>
      <w:hyperlink r:id="rId12" w:history="1">
        <w:r w:rsidR="005605A7" w:rsidRPr="005605A7">
          <w:rPr>
            <w:rStyle w:val="Hyperlink"/>
            <w:rFonts w:ascii="David" w:hAnsi="David"/>
            <w:rtl/>
          </w:rPr>
          <w:t>סעיף 13</w:t>
        </w:r>
      </w:hyperlink>
      <w:r>
        <w:rPr>
          <w:rFonts w:ascii="David" w:hAnsi="David"/>
          <w:rtl/>
        </w:rPr>
        <w:t xml:space="preserve"> ל</w:t>
      </w:r>
      <w:hyperlink r:id="rId13" w:history="1">
        <w:r w:rsidR="00DD1846" w:rsidRPr="00DD1846">
          <w:rPr>
            <w:rFonts w:ascii="David" w:hAnsi="David"/>
            <w:color w:val="0000FF"/>
            <w:u w:val="single"/>
            <w:rtl/>
          </w:rPr>
          <w:t>פקודת הסמים המסוכנים</w:t>
        </w:r>
      </w:hyperlink>
      <w:r>
        <w:rPr>
          <w:rFonts w:ascii="David" w:hAnsi="David"/>
          <w:rtl/>
        </w:rPr>
        <w:t xml:space="preserve"> [נוסח חדש] התשל"ג 1973 (להלן הפקודה) </w:t>
      </w:r>
      <w:hyperlink r:id="rId14" w:history="1">
        <w:r w:rsidR="005605A7" w:rsidRPr="005605A7">
          <w:rPr>
            <w:rStyle w:val="Hyperlink"/>
            <w:rFonts w:ascii="David" w:hAnsi="David"/>
            <w:rtl/>
          </w:rPr>
          <w:t>וסעיף 29</w:t>
        </w:r>
      </w:hyperlink>
      <w:r>
        <w:rPr>
          <w:rFonts w:ascii="David" w:hAnsi="David"/>
          <w:rtl/>
        </w:rPr>
        <w:t xml:space="preserve"> ל</w:t>
      </w:r>
      <w:hyperlink r:id="rId15" w:history="1">
        <w:r w:rsidR="00DD1846" w:rsidRPr="00DD1846">
          <w:rPr>
            <w:rFonts w:ascii="David" w:hAnsi="David"/>
            <w:color w:val="0000FF"/>
            <w:u w:val="single"/>
            <w:rtl/>
          </w:rPr>
          <w:t>חוק העונשין</w:t>
        </w:r>
      </w:hyperlink>
      <w:r>
        <w:rPr>
          <w:rFonts w:ascii="David" w:hAnsi="David"/>
          <w:rtl/>
        </w:rPr>
        <w:t>, התשל"ז-1977 (להלן: החוק).</w:t>
      </w:r>
    </w:p>
    <w:p w14:paraId="2FC14F4E" w14:textId="77777777" w:rsidR="00AB45CD" w:rsidRDefault="00AB45CD" w:rsidP="00AB45CD">
      <w:pPr>
        <w:ind w:firstLine="720"/>
        <w:jc w:val="both"/>
        <w:rPr>
          <w:rFonts w:ascii="David" w:hAnsi="David"/>
          <w:rtl/>
        </w:rPr>
      </w:pPr>
    </w:p>
    <w:p w14:paraId="260C3A7B" w14:textId="77777777" w:rsidR="00AB45CD" w:rsidRDefault="00AB45CD" w:rsidP="00AB45CD">
      <w:pPr>
        <w:spacing w:line="360" w:lineRule="auto"/>
        <w:ind w:firstLine="720"/>
        <w:jc w:val="both"/>
        <w:rPr>
          <w:rFonts w:ascii="David" w:hAnsi="David"/>
          <w:rtl/>
        </w:rPr>
      </w:pPr>
      <w:r>
        <w:rPr>
          <w:rFonts w:ascii="David" w:hAnsi="David"/>
          <w:rtl/>
        </w:rPr>
        <w:t xml:space="preserve">על פי האישום ה-14, ב-15 הזדמנויות רכש הקונה סמים מסוכנים מסוג קנביס וקוקאין תמורת סכומים שאינם ידועים במדויק למאשימה. </w:t>
      </w:r>
      <w:r>
        <w:rPr>
          <w:rFonts w:ascii="David" w:hAnsi="David"/>
          <w:b/>
          <w:bCs/>
          <w:rtl/>
        </w:rPr>
        <w:t>במועד אחד מבין אלה</w:t>
      </w:r>
      <w:r>
        <w:rPr>
          <w:rFonts w:ascii="David" w:hAnsi="David"/>
          <w:rtl/>
        </w:rPr>
        <w:t xml:space="preserve">, שאינו ידוע במדויק, לאחר תיאום טלפוני עם הנאשם 1, הגיע הנאשם לבית הקונה בכתובת </w:t>
      </w:r>
      <w:r>
        <w:rPr>
          <w:rFonts w:ascii="David" w:hAnsi="David" w:hint="cs"/>
          <w:rtl/>
        </w:rPr>
        <w:t>ש</w:t>
      </w:r>
      <w:r>
        <w:rPr>
          <w:rFonts w:ascii="David" w:hAnsi="David"/>
          <w:rtl/>
        </w:rPr>
        <w:t xml:space="preserve">אינה ידועה ומכר לו סם מסוג קנבוס במשקל שאינו ידוע, תמורת 600 ₪. בגין כך, יוחסו לנאשם 1 ריבוי עבירות סחר בצוותא, ואילו הנאשם הורשע בעבירת סחר בצוותא, לפי </w:t>
      </w:r>
      <w:hyperlink r:id="rId16" w:history="1">
        <w:r w:rsidR="005605A7" w:rsidRPr="005605A7">
          <w:rPr>
            <w:rStyle w:val="Hyperlink"/>
            <w:rFonts w:ascii="David" w:hAnsi="David"/>
            <w:rtl/>
          </w:rPr>
          <w:t>סעיף 13</w:t>
        </w:r>
      </w:hyperlink>
      <w:r>
        <w:rPr>
          <w:rFonts w:ascii="David" w:hAnsi="David"/>
          <w:rtl/>
        </w:rPr>
        <w:t xml:space="preserve"> לפקודה </w:t>
      </w:r>
      <w:hyperlink r:id="rId17" w:history="1">
        <w:r w:rsidR="005605A7" w:rsidRPr="005605A7">
          <w:rPr>
            <w:rStyle w:val="Hyperlink"/>
            <w:rFonts w:ascii="David" w:hAnsi="David"/>
            <w:rtl/>
          </w:rPr>
          <w:t>וסעיף  29</w:t>
        </w:r>
      </w:hyperlink>
      <w:r>
        <w:rPr>
          <w:rFonts w:ascii="David" w:hAnsi="David"/>
          <w:rtl/>
        </w:rPr>
        <w:t xml:space="preserve"> לחוק. </w:t>
      </w:r>
    </w:p>
    <w:p w14:paraId="3E2C3DAD" w14:textId="77777777" w:rsidR="00AB45CD" w:rsidRDefault="00AB45CD" w:rsidP="00AB45CD">
      <w:pPr>
        <w:ind w:firstLine="720"/>
        <w:jc w:val="both"/>
        <w:rPr>
          <w:rFonts w:ascii="David" w:hAnsi="David"/>
          <w:rtl/>
        </w:rPr>
      </w:pPr>
    </w:p>
    <w:p w14:paraId="4246EA24" w14:textId="77777777" w:rsidR="00AB45CD" w:rsidRDefault="00AB45CD" w:rsidP="00AB45CD">
      <w:pPr>
        <w:spacing w:line="360" w:lineRule="auto"/>
        <w:ind w:firstLine="720"/>
        <w:jc w:val="both"/>
        <w:rPr>
          <w:rFonts w:ascii="David" w:hAnsi="David"/>
          <w:rtl/>
        </w:rPr>
      </w:pPr>
      <w:r>
        <w:rPr>
          <w:rFonts w:ascii="David" w:hAnsi="David"/>
          <w:rtl/>
        </w:rPr>
        <w:t xml:space="preserve">על פי עובדות האישום ה-22, ב-6 מועדים רכש הקונה סמים מסוכנים מהנאשם 1, באמצעות תיאום טלפוני, והגעת שליח עם הסם למקום מפגש. </w:t>
      </w:r>
      <w:r>
        <w:rPr>
          <w:rFonts w:ascii="David" w:hAnsi="David"/>
          <w:b/>
          <w:bCs/>
          <w:rtl/>
        </w:rPr>
        <w:t>באחד מהמועדים</w:t>
      </w:r>
      <w:r>
        <w:rPr>
          <w:rFonts w:ascii="David" w:hAnsi="David"/>
          <w:rtl/>
        </w:rPr>
        <w:t xml:space="preserve">, ביום 15.11.20, בשעה 16:36, לאחר תיאום טלפוני עם הנאשם 1, הגיע הנאשם לבית הקונה ומסר סם מסוג קנביס במשקל שאינו ידוע, בתמורה לסכום שאינו ידוע במדויק. בגין כך, יוחסו לנאשם 1 שש (6) עבירות סחר בצוותא, ואילו הנאשם הורשע בעבירת סחר בצוותא, לפי </w:t>
      </w:r>
      <w:hyperlink r:id="rId18" w:history="1">
        <w:r w:rsidR="005605A7" w:rsidRPr="005605A7">
          <w:rPr>
            <w:rStyle w:val="Hyperlink"/>
            <w:rFonts w:ascii="David" w:hAnsi="David"/>
            <w:rtl/>
          </w:rPr>
          <w:t>סעיף 13</w:t>
        </w:r>
      </w:hyperlink>
      <w:r>
        <w:rPr>
          <w:rFonts w:ascii="David" w:hAnsi="David"/>
          <w:rtl/>
        </w:rPr>
        <w:t xml:space="preserve"> לפקודה </w:t>
      </w:r>
      <w:hyperlink r:id="rId19" w:history="1">
        <w:r w:rsidR="005605A7" w:rsidRPr="005605A7">
          <w:rPr>
            <w:rStyle w:val="Hyperlink"/>
            <w:rFonts w:ascii="David" w:hAnsi="David"/>
            <w:rtl/>
          </w:rPr>
          <w:t>וסעיף 29</w:t>
        </w:r>
      </w:hyperlink>
      <w:r>
        <w:rPr>
          <w:rFonts w:ascii="David" w:hAnsi="David"/>
          <w:rtl/>
        </w:rPr>
        <w:t xml:space="preserve"> לחוק.</w:t>
      </w:r>
    </w:p>
    <w:p w14:paraId="35914E2E" w14:textId="77777777" w:rsidR="00AB45CD" w:rsidRDefault="00AB45CD" w:rsidP="00AB45CD">
      <w:pPr>
        <w:ind w:firstLine="720"/>
        <w:jc w:val="both"/>
        <w:rPr>
          <w:rFonts w:ascii="David" w:hAnsi="David"/>
          <w:rtl/>
        </w:rPr>
      </w:pPr>
    </w:p>
    <w:p w14:paraId="22711228" w14:textId="77777777" w:rsidR="00AB45CD" w:rsidRDefault="00AB45CD" w:rsidP="00AB45CD">
      <w:pPr>
        <w:spacing w:line="360" w:lineRule="auto"/>
        <w:ind w:firstLine="720"/>
        <w:jc w:val="both"/>
        <w:rPr>
          <w:rFonts w:ascii="David" w:hAnsi="David"/>
          <w:rtl/>
        </w:rPr>
      </w:pPr>
      <w:r>
        <w:rPr>
          <w:rFonts w:ascii="David" w:hAnsi="David"/>
          <w:rtl/>
        </w:rPr>
        <w:t xml:space="preserve">על פי עובדות האישום ה-29, ב-6 מועדים רכשה הקונה סמים מסוכנים מהנאשם 1, באמצעות תיאום טלפוני, והגעת שליח עם הסם למקום מפגש. </w:t>
      </w:r>
      <w:r>
        <w:rPr>
          <w:rFonts w:ascii="David" w:hAnsi="David"/>
          <w:b/>
          <w:bCs/>
          <w:rtl/>
        </w:rPr>
        <w:t>באחד מהמועדים</w:t>
      </w:r>
      <w:r>
        <w:rPr>
          <w:rFonts w:ascii="David" w:hAnsi="David"/>
          <w:rtl/>
        </w:rPr>
        <w:t xml:space="preserve">, ביום 15.11.20, בשעה 16:36, לאחר תיאום טלפוני עם הנאשם 1, הגיע הנאשם למקום המפגש ומסר סם מסוג קוקאין במשקל 1 גרם, בתמורה ל-700 ש"ח. בגין כך, יוחסו לנאשם 1 שש (6) עבירות סחר בצוותא, ואילו הנאשם הורשע בעבירת סחר בצוותא, לפי </w:t>
      </w:r>
      <w:hyperlink r:id="rId20" w:history="1">
        <w:r w:rsidR="005605A7" w:rsidRPr="005605A7">
          <w:rPr>
            <w:rStyle w:val="Hyperlink"/>
            <w:rFonts w:ascii="David" w:hAnsi="David"/>
            <w:rtl/>
          </w:rPr>
          <w:t>סעיף 13</w:t>
        </w:r>
      </w:hyperlink>
      <w:r>
        <w:rPr>
          <w:rFonts w:ascii="David" w:hAnsi="David"/>
          <w:rtl/>
        </w:rPr>
        <w:t xml:space="preserve"> לפקודה, </w:t>
      </w:r>
      <w:hyperlink r:id="rId21" w:history="1">
        <w:r w:rsidR="005605A7" w:rsidRPr="005605A7">
          <w:rPr>
            <w:rStyle w:val="Hyperlink"/>
            <w:rFonts w:ascii="David" w:hAnsi="David"/>
            <w:rtl/>
          </w:rPr>
          <w:t>וסעיף 29</w:t>
        </w:r>
      </w:hyperlink>
      <w:r>
        <w:rPr>
          <w:rFonts w:ascii="David" w:hAnsi="David"/>
          <w:rtl/>
        </w:rPr>
        <w:t xml:space="preserve"> לחוק. </w:t>
      </w:r>
    </w:p>
    <w:p w14:paraId="66D23B08" w14:textId="77777777" w:rsidR="00AB45CD" w:rsidRDefault="00AB45CD" w:rsidP="00AB45CD">
      <w:pPr>
        <w:ind w:firstLine="720"/>
        <w:jc w:val="both"/>
        <w:rPr>
          <w:rFonts w:ascii="David" w:hAnsi="David"/>
          <w:rtl/>
        </w:rPr>
      </w:pPr>
    </w:p>
    <w:p w14:paraId="2A2F8C15" w14:textId="77777777" w:rsidR="00AB45CD" w:rsidRDefault="00AB45CD" w:rsidP="00AB45CD">
      <w:pPr>
        <w:spacing w:line="360" w:lineRule="auto"/>
        <w:ind w:firstLine="720"/>
        <w:jc w:val="both"/>
        <w:rPr>
          <w:rFonts w:ascii="David" w:hAnsi="David"/>
          <w:rtl/>
        </w:rPr>
      </w:pPr>
      <w:r>
        <w:rPr>
          <w:rFonts w:ascii="David" w:hAnsi="David"/>
          <w:rtl/>
        </w:rPr>
        <w:t xml:space="preserve">על פי עובדות האישום ה-32, ביום 8.2.21, בעת חיפוש בביתו על פי צו, החזיק הנאשם בסם מסוכן מסוג קוקאין במשקל נטו 0.46 גרם לצריכתו העצמית. בגין מעשיו הורשע בעבירה של החזקת סמים לפי </w:t>
      </w:r>
      <w:hyperlink r:id="rId22" w:history="1">
        <w:r w:rsidR="005605A7" w:rsidRPr="005605A7">
          <w:rPr>
            <w:rStyle w:val="Hyperlink"/>
            <w:rFonts w:ascii="David" w:hAnsi="David"/>
            <w:rtl/>
          </w:rPr>
          <w:t>סעיף 7(ג)</w:t>
        </w:r>
      </w:hyperlink>
      <w:r>
        <w:rPr>
          <w:rFonts w:ascii="David" w:hAnsi="David"/>
          <w:rtl/>
        </w:rPr>
        <w:t xml:space="preserve"> סיפא לפקודה.</w:t>
      </w:r>
    </w:p>
    <w:p w14:paraId="7D1DC3DD" w14:textId="77777777" w:rsidR="00AB45CD" w:rsidRDefault="00AB45CD" w:rsidP="00AB45CD">
      <w:pPr>
        <w:spacing w:line="360" w:lineRule="auto"/>
        <w:jc w:val="both"/>
        <w:rPr>
          <w:rFonts w:ascii="David" w:hAnsi="David"/>
          <w:rtl/>
        </w:rPr>
      </w:pPr>
    </w:p>
    <w:p w14:paraId="79EFE500" w14:textId="77777777" w:rsidR="00AB45CD" w:rsidRDefault="00AB45CD" w:rsidP="00AB45CD">
      <w:pPr>
        <w:spacing w:line="360" w:lineRule="auto"/>
        <w:jc w:val="both"/>
        <w:rPr>
          <w:rFonts w:ascii="David" w:hAnsi="David"/>
          <w:b/>
          <w:bCs/>
          <w:u w:val="single"/>
          <w:rtl/>
        </w:rPr>
      </w:pPr>
      <w:r>
        <w:rPr>
          <w:rFonts w:ascii="David" w:hAnsi="David"/>
          <w:b/>
          <w:bCs/>
          <w:u w:val="single"/>
          <w:rtl/>
        </w:rPr>
        <w:t>קורות ההליך</w:t>
      </w:r>
    </w:p>
    <w:p w14:paraId="03312A9D" w14:textId="77777777" w:rsidR="00AB45CD" w:rsidRDefault="00AB45CD" w:rsidP="00AB45CD">
      <w:pPr>
        <w:jc w:val="both"/>
        <w:rPr>
          <w:rFonts w:ascii="David" w:hAnsi="David"/>
          <w:b/>
          <w:bCs/>
          <w:u w:val="single"/>
          <w:rtl/>
        </w:rPr>
      </w:pPr>
    </w:p>
    <w:p w14:paraId="103C7505" w14:textId="77777777" w:rsidR="00AB45CD" w:rsidRDefault="00AB45CD" w:rsidP="00AB45CD">
      <w:pPr>
        <w:spacing w:line="360" w:lineRule="auto"/>
        <w:jc w:val="both"/>
        <w:rPr>
          <w:rFonts w:ascii="David" w:hAnsi="David"/>
          <w:rtl/>
        </w:rPr>
      </w:pPr>
      <w:r>
        <w:rPr>
          <w:rFonts w:ascii="David" w:hAnsi="David"/>
          <w:rtl/>
        </w:rPr>
        <w:tab/>
        <w:t>כתב האישום הוגש בד בבד עם בקשה למעצר עד תום ההליכים, אך הנאשם שוחרר בתנאים מגבילים.</w:t>
      </w:r>
    </w:p>
    <w:p w14:paraId="7A620C32" w14:textId="77777777" w:rsidR="00AB45CD" w:rsidRDefault="00AB45CD" w:rsidP="00AB45CD">
      <w:pPr>
        <w:jc w:val="both"/>
        <w:rPr>
          <w:rFonts w:ascii="David" w:hAnsi="David"/>
          <w:rtl/>
        </w:rPr>
      </w:pPr>
    </w:p>
    <w:p w14:paraId="1E7AC0AB" w14:textId="77777777" w:rsidR="00AB45CD" w:rsidRDefault="00AB45CD" w:rsidP="00AB45CD">
      <w:pPr>
        <w:spacing w:line="360" w:lineRule="auto"/>
        <w:jc w:val="both"/>
        <w:rPr>
          <w:rFonts w:ascii="David" w:hAnsi="David"/>
          <w:rtl/>
        </w:rPr>
      </w:pPr>
      <w:r>
        <w:rPr>
          <w:rFonts w:ascii="David" w:hAnsi="David"/>
          <w:rtl/>
        </w:rPr>
        <w:tab/>
        <w:t>ביום 18.10.21, החל הנאשם את דרכו בבית המשפט הקהילתי.</w:t>
      </w:r>
    </w:p>
    <w:p w14:paraId="663E262D" w14:textId="77777777" w:rsidR="00AB45CD" w:rsidRDefault="00AB45CD" w:rsidP="00AB45CD">
      <w:pPr>
        <w:jc w:val="both"/>
        <w:rPr>
          <w:rFonts w:ascii="David" w:hAnsi="David"/>
          <w:rtl/>
        </w:rPr>
      </w:pPr>
    </w:p>
    <w:p w14:paraId="794B862E" w14:textId="77777777" w:rsidR="00AB45CD" w:rsidRDefault="00AB45CD" w:rsidP="00AB45CD">
      <w:pPr>
        <w:spacing w:line="360" w:lineRule="auto"/>
        <w:jc w:val="both"/>
        <w:rPr>
          <w:rFonts w:ascii="David" w:hAnsi="David"/>
          <w:rtl/>
        </w:rPr>
      </w:pPr>
      <w:r>
        <w:rPr>
          <w:rFonts w:ascii="David" w:hAnsi="David"/>
          <w:rtl/>
        </w:rPr>
        <w:lastRenderedPageBreak/>
        <w:tab/>
        <w:t>על פי תסקיר העומק שהוגש, ה</w:t>
      </w:r>
      <w:r>
        <w:rPr>
          <w:rFonts w:ascii="David" w:hAnsi="David" w:hint="cs"/>
          <w:rtl/>
        </w:rPr>
        <w:t>נ</w:t>
      </w:r>
      <w:r>
        <w:rPr>
          <w:rFonts w:ascii="David" w:hAnsi="David"/>
          <w:rtl/>
        </w:rPr>
        <w:t xml:space="preserve">אשם רווק, חי בבית אמו, ועוסק בהפצת מוצרי קוסמטיקה. הנאשם בעל תעודת בגרות וקצין בצה"ל, היה עובד רכבת ישראל במשך 11 שנים, אך פוטר בשל קיצוצים, ונותר ללא תעסוקה בתקופת הקורונה. עלה כי החל שימוש תדיר בקוקאין, לרקע מצב רגשי ירוד. הנאשם שולב בטיפול ביחידה להתמכרויות ביולי 2021. אשר לעבירות, מסר כי היה בחברות קרובה עם הנאשם 1 שהשפיעה על שיקול דעתו. שרות המבחן בנה עבורו תכנית שיקומית רב תחומית, בהתייחס למצבו הרגשי, בעיית ההתמכרות, מיצוי זכויות, שילוב בעבודה, ואפשרויות לימודים. </w:t>
      </w:r>
    </w:p>
    <w:p w14:paraId="616779E3" w14:textId="77777777" w:rsidR="00AB45CD" w:rsidRDefault="00AB45CD" w:rsidP="00AB45CD">
      <w:pPr>
        <w:jc w:val="both"/>
        <w:rPr>
          <w:rFonts w:ascii="David" w:hAnsi="David"/>
          <w:rtl/>
        </w:rPr>
      </w:pPr>
    </w:p>
    <w:p w14:paraId="59BBD7F3" w14:textId="77777777" w:rsidR="00AB45CD" w:rsidRDefault="00AB45CD" w:rsidP="00AB45CD">
      <w:pPr>
        <w:spacing w:line="360" w:lineRule="auto"/>
        <w:jc w:val="both"/>
        <w:rPr>
          <w:rFonts w:ascii="David" w:hAnsi="David"/>
          <w:rtl/>
        </w:rPr>
      </w:pPr>
      <w:r>
        <w:rPr>
          <w:rFonts w:ascii="David" w:hAnsi="David"/>
          <w:rtl/>
        </w:rPr>
        <w:tab/>
        <w:t xml:space="preserve">לאחר האמור, המשיך הנאשם בהליך הקהילתי, ואף התקדם עד לשלב </w:t>
      </w:r>
      <w:r>
        <w:rPr>
          <w:rFonts w:ascii="David" w:hAnsi="David" w:hint="cs"/>
          <w:rtl/>
        </w:rPr>
        <w:t>הרביעי מבין חמשת שלבי התכנית</w:t>
      </w:r>
      <w:r>
        <w:rPr>
          <w:rFonts w:ascii="David" w:hAnsi="David"/>
          <w:rtl/>
        </w:rPr>
        <w:t>, למרות קשיים שונים שעלו פעם אחר פעם מבחינת שיתוף הפעולה עם שרות המבחן והיחידה להתמכרויות. בחודש יולי 2023, כתב שרות המבחן כי הוא ניתק את הקשר עם היחידה להתמכרויות, ואינו מקיים את ליבת תכנית השיקום, אף כי הצליח לקדם עצמו במישור מיצוי זכויותיו הסוציאליות. נוכח ניתוק הקשר וחוסר יציבות מתמשך, ביקש השירות להוציאו מן ההליך. בהמשך לכך, ניתנה החלטת כב' הנשיא חן מיום 23.8.23, בה הורה על הוצאת הנאשם מן ההליך הקהילתי.</w:t>
      </w:r>
    </w:p>
    <w:p w14:paraId="165860FE" w14:textId="77777777" w:rsidR="00AB45CD" w:rsidRDefault="00AB45CD" w:rsidP="00AB45CD">
      <w:pPr>
        <w:jc w:val="both"/>
        <w:rPr>
          <w:rFonts w:ascii="David" w:hAnsi="David"/>
          <w:rtl/>
        </w:rPr>
      </w:pPr>
    </w:p>
    <w:p w14:paraId="578DB056" w14:textId="77777777" w:rsidR="00AB45CD" w:rsidRDefault="00AB45CD" w:rsidP="00AB45CD">
      <w:pPr>
        <w:spacing w:line="360" w:lineRule="auto"/>
        <w:jc w:val="both"/>
        <w:rPr>
          <w:rFonts w:ascii="David" w:hAnsi="David"/>
          <w:rtl/>
        </w:rPr>
      </w:pPr>
      <w:r>
        <w:rPr>
          <w:rFonts w:ascii="David" w:hAnsi="David"/>
          <w:rtl/>
        </w:rPr>
        <w:tab/>
        <w:t xml:space="preserve">לאחר האמור, נדחו הדיונים שוב ושוב בעטיו של הנאשם, שאף החליף את הייצוג, עד שהחלו להישמע הטיעונים לעונש ביום 18.3.24. באותו מועד, עתר ב"כ הנאשם בכל לשון, לאפשר לו הזדמנות נוספת אצל שירות המבחן, כיוון שעל פי הנתונים האישיים, קיים סיכוי טוב לשיקומו, וייתכן שמסלול בית המשפט הקהילתי לא התאים עבורו, אך הליך שיקומי </w:t>
      </w:r>
      <w:r>
        <w:rPr>
          <w:rFonts w:ascii="David" w:hAnsi="David" w:hint="cs"/>
          <w:rtl/>
        </w:rPr>
        <w:t>"</w:t>
      </w:r>
      <w:r>
        <w:rPr>
          <w:rFonts w:ascii="David" w:hAnsi="David"/>
          <w:rtl/>
        </w:rPr>
        <w:t>במסלול הרגיל</w:t>
      </w:r>
      <w:r>
        <w:rPr>
          <w:rFonts w:ascii="David" w:hAnsi="David" w:hint="cs"/>
          <w:rtl/>
        </w:rPr>
        <w:t>"</w:t>
      </w:r>
      <w:r>
        <w:rPr>
          <w:rFonts w:ascii="David" w:hAnsi="David"/>
          <w:rtl/>
        </w:rPr>
        <w:t>, יביא תועלת. לבקשה זו נעתרתי, והוריתי כי יוגש תסקיר משלים במגמה לשלב את הנאשם בטיפול.</w:t>
      </w:r>
    </w:p>
    <w:p w14:paraId="71B2B8B1" w14:textId="77777777" w:rsidR="00AB45CD" w:rsidRDefault="00AB45CD" w:rsidP="00AB45CD">
      <w:pPr>
        <w:jc w:val="both"/>
        <w:rPr>
          <w:rFonts w:ascii="David" w:hAnsi="David"/>
          <w:rtl/>
        </w:rPr>
      </w:pPr>
    </w:p>
    <w:p w14:paraId="70645C41" w14:textId="77777777" w:rsidR="00AB45CD" w:rsidRDefault="00AB45CD" w:rsidP="00AB45CD">
      <w:pPr>
        <w:spacing w:line="360" w:lineRule="auto"/>
        <w:jc w:val="both"/>
        <w:rPr>
          <w:rFonts w:ascii="David" w:hAnsi="David"/>
          <w:rtl/>
        </w:rPr>
      </w:pPr>
      <w:r>
        <w:rPr>
          <w:rFonts w:ascii="David" w:hAnsi="David"/>
          <w:rtl/>
        </w:rPr>
        <w:tab/>
        <w:t>למרבה הצער, הוגש ביום 14.7.24 תסקיר בעייתי ומאכזב. קצין המבחן סקר שוב את קורות ההליך הקהילתי שלא צלח, תיאר את ניתוק הקשר הטיפולי, אי מסירת בדיקות שתן על פני חודשים למרות בעיית התמכרות, והכחשות חוזרות של השימוש בסמים. נכתב כי בשיחה עדכנית עם הנאשם, הוא שולל שימוש בסמים, טוען כי התרחק מחברה שולית ומרוכז כיום בטיפול באמו החולה. הנאשם שלל כל צורך טיפולי, והעלה בקשה להחלפת קצין המבחן שליווה אותו בהליך הקהילתי, אך לא נמצא מקום להענות לבקשתו. הנאשם הביע הסכמה למסור בדיקות שתן, אך בפער להצהרותיו, לא הגיע לאף בדיקה ולא פנה לחידוש הקשר עם היחידה להתמכרויות. במצב זה, סיכם קצין המבחן כי המוטיבציה נמוכה, וקיימת עייפות מן ההליך, כך שאין המלצה שיקומית.</w:t>
      </w:r>
    </w:p>
    <w:p w14:paraId="5534107D" w14:textId="77777777" w:rsidR="00AB45CD" w:rsidRDefault="00AB45CD" w:rsidP="00AB45CD">
      <w:pPr>
        <w:spacing w:line="360" w:lineRule="auto"/>
        <w:jc w:val="both"/>
        <w:rPr>
          <w:rFonts w:ascii="David" w:hAnsi="David"/>
          <w:b/>
          <w:bCs/>
          <w:u w:val="single"/>
          <w:rtl/>
        </w:rPr>
      </w:pPr>
    </w:p>
    <w:p w14:paraId="49697462" w14:textId="77777777" w:rsidR="00AB45CD" w:rsidRDefault="00AB45CD" w:rsidP="00AB45CD">
      <w:pPr>
        <w:spacing w:line="360" w:lineRule="auto"/>
        <w:jc w:val="both"/>
        <w:rPr>
          <w:rFonts w:ascii="David" w:hAnsi="David"/>
          <w:b/>
          <w:bCs/>
          <w:u w:val="single"/>
          <w:rtl/>
        </w:rPr>
      </w:pPr>
      <w:r>
        <w:rPr>
          <w:rFonts w:ascii="David" w:hAnsi="David"/>
          <w:b/>
          <w:bCs/>
          <w:u w:val="single"/>
          <w:rtl/>
        </w:rPr>
        <w:t>טיעוני הצדדים</w:t>
      </w:r>
    </w:p>
    <w:p w14:paraId="6DA2BFCC" w14:textId="77777777" w:rsidR="00AB45CD" w:rsidRDefault="00AB45CD" w:rsidP="00AB45CD">
      <w:pPr>
        <w:jc w:val="both"/>
        <w:rPr>
          <w:rFonts w:ascii="David" w:hAnsi="David"/>
          <w:b/>
          <w:bCs/>
          <w:u w:val="single"/>
          <w:rtl/>
        </w:rPr>
      </w:pPr>
    </w:p>
    <w:p w14:paraId="17A4DA0A" w14:textId="77777777" w:rsidR="00AB45CD" w:rsidRDefault="00AB45CD" w:rsidP="00AB45CD">
      <w:pPr>
        <w:spacing w:line="360" w:lineRule="auto"/>
        <w:ind w:firstLine="720"/>
        <w:jc w:val="both"/>
        <w:rPr>
          <w:rFonts w:ascii="David" w:hAnsi="David"/>
          <w:rtl/>
        </w:rPr>
      </w:pPr>
      <w:r>
        <w:rPr>
          <w:rFonts w:ascii="David" w:hAnsi="David"/>
          <w:rtl/>
        </w:rPr>
        <w:t>ב"כ התביעה טענה כי יש חומרה בכך שהנאשם היווה חלק ממערכת הפצת סמים משומנת,  המהווה פרשייה פלילית. למעשה, הנאשם 1 שהוא המעורב העיקרי היה נתון בתקופת ביצוע העבירות באיזוק אלקטרוני בגין עניין אחר, ועל כן הסתייע באחרים, וביניהם הנאשם, לשם הפצת הסמים. נטען כי בין ארבעת האישומים בהם הורשע, ישנה עבירת סחר בקוקאין, אשר המתחם בגינה כשלעצמה נע בין 8 ל-18 חודשי מאסר. לדעת התביעה, המתחם הכולל בגין כתב האישום המתוקן נע בין 14 ל-24 חודשי מאסר. עוד הפנתה ב"כ התביעה לעונש שהוטל על הנאשם 1, שהיה הנאשם העיקרי, ומעורב בכל האישומים, צירף את התיק בהליך אחר, והוטלו עליו 72 חודשי מאסר. כמו כן, הפנתה לעונש שהוטל לאחרונה על הנאשם 3 בגין חלקו בפרשה, הכולל עבירת סחר בקנביס, עבירת סחר בקוקאין, והחזקת 0.05 גרם נטו קוקאין לצריכתו העצמית. בעניינו של זה, נקבע כי המתחם ההולם נע בין 8 ל-18 חודשי מאסר, והוטלו 9 חודשי עבודות שירות. נטען כי נסיבותיו האישיות של הנאשם 3 דומות לאלה של הנאשם דנן, שכן גם הוא נעדר עבר פלילי, וערך ניסיונות גמילה שלא עלו יפה. עם זאת, כיוון שבעניינו של הנאשם דנן מיוחסות 4 עבירות סחר, נטען כי העונש צריך להיות חמור יותר, ולא ניתן להסתפק בעבודות שירות. עוד נטען כי הנאשם לא שיתף פעולה עם התכנית השיקומית שנבנתה עבורו בהליך הקהילתי, נמנע מבדיקות שתן, ובחלקן נמצאו שרידי קוקאין. אף לאחר שניתנה לו הזדמנות נוספת בחודשים האחרונים, לא טרח להגיע לבדיקות השתן כלל. עמדת התביעה היא שיש להטיל על הנאשם 14 חודשי מאסר בפועל. בנוסף, עתרה התביעה לחילוט מכשיר הטלפון התפוס.</w:t>
      </w:r>
    </w:p>
    <w:p w14:paraId="2A4D7EE3" w14:textId="77777777" w:rsidR="00AB45CD" w:rsidRDefault="00AB45CD" w:rsidP="00AB45CD">
      <w:pPr>
        <w:ind w:firstLine="720"/>
        <w:jc w:val="both"/>
        <w:rPr>
          <w:rFonts w:ascii="David" w:hAnsi="David"/>
          <w:rtl/>
        </w:rPr>
      </w:pPr>
    </w:p>
    <w:p w14:paraId="7A09885A" w14:textId="77777777" w:rsidR="00AB45CD" w:rsidRDefault="00AB45CD" w:rsidP="00AB45CD">
      <w:pPr>
        <w:spacing w:line="360" w:lineRule="auto"/>
        <w:ind w:firstLine="720"/>
        <w:jc w:val="both"/>
        <w:rPr>
          <w:rFonts w:ascii="David" w:hAnsi="David"/>
          <w:rtl/>
        </w:rPr>
      </w:pPr>
      <w:r>
        <w:rPr>
          <w:rFonts w:ascii="David" w:hAnsi="David"/>
          <w:rtl/>
        </w:rPr>
        <w:t xml:space="preserve">ב"כ הנאשם טען כי הנאשם שהה במעצר 8 ימים, בחר ליטול אחריות, וחסך זמן שיפוטי. נטען כי מדובר באדם נורמטיבי, קצין צה"ל, שעבר משבר בעקבות פטירת אביו, וחלה התדרדרות במצבו. לנאשם נתונים אישיים מצויינים, והוא התאים להליך שיקומי, אך היו קשיים שהכשילו אותו. במהלך ההליך הקהילתי עברה אמו שני אירועים מוחיים והוא נדרש לטפל בה לבדו. נטען כי  חלה אי הבנה בעניין בדיקות השתן, שכן הנאשם מוכן לבצע בדיקות. אשר לעונש, נטען כי בחלק מן האישומים בהם הורשע הנסיבות אינן חמורות שכן דובר בקנביס בכמות ולעתים בסכום כסף שאינם ידועים. נוכח מכלול הנסיבות, סבור ב"כ הנאשם כי אין הצדקה להטיל מאסר מאחורי סורג ובריח, מה גם שלפי חישוביו, לאחר הניכוי המנהלי ישוחרר הנאשם במועד שאינו מאוחר לעומת משך ריצוי עבודות השירות ככל שיוטלו. נטען כי הנאשם מטפל באמו החולה, אין לו כל עבר פלילי, ועל כן אין מקום להטיל מאסר בפועל. </w:t>
      </w:r>
    </w:p>
    <w:p w14:paraId="5AC0E63F" w14:textId="77777777" w:rsidR="00AB45CD" w:rsidRDefault="00AB45CD" w:rsidP="00AB45CD">
      <w:pPr>
        <w:ind w:firstLine="720"/>
        <w:jc w:val="both"/>
        <w:rPr>
          <w:rFonts w:ascii="David" w:hAnsi="David"/>
          <w:rtl/>
        </w:rPr>
      </w:pPr>
    </w:p>
    <w:p w14:paraId="354DDAF9" w14:textId="77777777" w:rsidR="00AB45CD" w:rsidRDefault="00AB45CD" w:rsidP="00AB45CD">
      <w:pPr>
        <w:spacing w:line="360" w:lineRule="auto"/>
        <w:ind w:firstLine="720"/>
        <w:jc w:val="both"/>
        <w:rPr>
          <w:rFonts w:ascii="David" w:hAnsi="David"/>
          <w:rtl/>
        </w:rPr>
      </w:pPr>
      <w:r>
        <w:rPr>
          <w:rFonts w:ascii="David" w:hAnsi="David"/>
          <w:rtl/>
        </w:rPr>
        <w:t>הנאשם בדברו האחרון, אמר כי הוא מקדיש את כל זמנו לטיפול באמו. את העבירות ביצע בתקופת משבר הקורונה כשחיפש דרך להתפרנס, אך הוא מבין היטב את חומרתן. עוד אמר כי התקשה לשתף פעולה עם קצין המבחן שהגיש תסקיר שלילי בעניינו במסגרת ההליך הקהילתי. אשר לנסיבותיו האישיות, אמר שעבר אירועים קשים במהלך ההליך המשפטי, אביו נפטר, אמו חלתה, ובוטלה חתונתו. לדבריו הוא מתמודד עם מחלה, ובקשתו בכל לשון היא להימנע משליחתו למאסר בפועל.</w:t>
      </w:r>
    </w:p>
    <w:p w14:paraId="06D6655E" w14:textId="77777777" w:rsidR="00AB45CD" w:rsidRDefault="00AB45CD" w:rsidP="00AB45CD">
      <w:pPr>
        <w:spacing w:line="360" w:lineRule="auto"/>
        <w:jc w:val="both"/>
        <w:rPr>
          <w:rFonts w:ascii="David" w:hAnsi="David"/>
          <w:rtl/>
        </w:rPr>
      </w:pPr>
    </w:p>
    <w:p w14:paraId="69FB71A1" w14:textId="77777777" w:rsidR="00AB45CD" w:rsidRDefault="00AB45CD" w:rsidP="00AB45CD">
      <w:pPr>
        <w:spacing w:line="360" w:lineRule="auto"/>
        <w:jc w:val="both"/>
        <w:rPr>
          <w:rFonts w:ascii="David" w:hAnsi="David"/>
          <w:b/>
          <w:bCs/>
          <w:u w:val="single"/>
          <w:rtl/>
        </w:rPr>
      </w:pPr>
      <w:r>
        <w:rPr>
          <w:rFonts w:ascii="David" w:hAnsi="David"/>
          <w:b/>
          <w:bCs/>
          <w:u w:val="single"/>
          <w:rtl/>
        </w:rPr>
        <w:t>מתחם העונש ההולם</w:t>
      </w:r>
    </w:p>
    <w:p w14:paraId="6E432D50" w14:textId="77777777" w:rsidR="00AB45CD" w:rsidRDefault="00AB45CD" w:rsidP="00AB45CD">
      <w:pPr>
        <w:jc w:val="both"/>
        <w:rPr>
          <w:rFonts w:ascii="David" w:hAnsi="David"/>
          <w:b/>
          <w:bCs/>
          <w:u w:val="single"/>
          <w:rtl/>
        </w:rPr>
      </w:pPr>
    </w:p>
    <w:p w14:paraId="222E519F" w14:textId="77777777" w:rsidR="00AB45CD" w:rsidRDefault="00AB45CD" w:rsidP="00AB45CD">
      <w:pPr>
        <w:spacing w:line="360" w:lineRule="auto"/>
        <w:jc w:val="both"/>
        <w:rPr>
          <w:rFonts w:ascii="David" w:hAnsi="David"/>
          <w:rtl/>
        </w:rPr>
      </w:pPr>
      <w:r>
        <w:rPr>
          <w:rFonts w:ascii="David" w:hAnsi="David"/>
          <w:rtl/>
        </w:rPr>
        <w:tab/>
        <w:t>אין צורך להאריך בעניין חומרתן של עבירות ה</w:t>
      </w:r>
      <w:r>
        <w:rPr>
          <w:rFonts w:ascii="David" w:hAnsi="David" w:hint="cs"/>
          <w:rtl/>
        </w:rPr>
        <w:t>ס</w:t>
      </w:r>
      <w:r>
        <w:rPr>
          <w:rFonts w:ascii="David" w:hAnsi="David"/>
          <w:rtl/>
        </w:rPr>
        <w:t>מים, ובעיקר אלה התורמות להפצתם. פעם אחר פעם נקבע כי פגיעתם של הסמים רחבה, הרבה מעבר לנזק הצפוי למשתמשים בהם, שכן התופעה מביאה לעבריינות נלווית הפוגעת בביטחונו וברכושו של הציבור (</w:t>
      </w:r>
      <w:hyperlink r:id="rId23" w:history="1">
        <w:r w:rsidR="00DD1846" w:rsidRPr="00DD1846">
          <w:rPr>
            <w:rFonts w:ascii="David" w:hAnsi="David"/>
            <w:color w:val="0000FF"/>
            <w:u w:val="single"/>
            <w:rtl/>
          </w:rPr>
          <w:t>ע"פ 7952/15</w:t>
        </w:r>
      </w:hyperlink>
      <w:r>
        <w:rPr>
          <w:rFonts w:ascii="David" w:hAnsi="David"/>
          <w:rtl/>
        </w:rPr>
        <w:t xml:space="preserve"> </w:t>
      </w:r>
      <w:r w:rsidRPr="00B156B4">
        <w:rPr>
          <w:rFonts w:ascii="David" w:hAnsi="David"/>
          <w:b/>
          <w:bCs/>
          <w:rtl/>
        </w:rPr>
        <w:t>מד"י נ' שץ</w:t>
      </w:r>
      <w:r>
        <w:rPr>
          <w:rFonts w:ascii="David" w:hAnsi="David"/>
          <w:rtl/>
        </w:rPr>
        <w:t xml:space="preserve"> (15.2.16); </w:t>
      </w:r>
      <w:hyperlink r:id="rId24" w:history="1">
        <w:r w:rsidR="00DD1846" w:rsidRPr="00DD1846">
          <w:rPr>
            <w:rFonts w:ascii="David" w:hAnsi="David"/>
            <w:color w:val="0000FF"/>
            <w:u w:val="single"/>
            <w:rtl/>
          </w:rPr>
          <w:t>ע"פ 1274/16</w:t>
        </w:r>
      </w:hyperlink>
      <w:r>
        <w:rPr>
          <w:rFonts w:ascii="David" w:hAnsi="David"/>
          <w:rtl/>
        </w:rPr>
        <w:t xml:space="preserve"> </w:t>
      </w:r>
      <w:r w:rsidRPr="00B156B4">
        <w:rPr>
          <w:rFonts w:ascii="David" w:hAnsi="David"/>
          <w:b/>
          <w:bCs/>
          <w:rtl/>
        </w:rPr>
        <w:t>עווד נ' מד"י</w:t>
      </w:r>
      <w:r>
        <w:rPr>
          <w:rFonts w:ascii="David" w:hAnsi="David"/>
          <w:rtl/>
        </w:rPr>
        <w:t xml:space="preserve"> (6.10.16); </w:t>
      </w:r>
      <w:hyperlink r:id="rId25" w:history="1">
        <w:r w:rsidR="00DD1846" w:rsidRPr="00DD1846">
          <w:rPr>
            <w:rFonts w:ascii="David" w:hAnsi="David"/>
            <w:color w:val="0000FF"/>
            <w:u w:val="single"/>
            <w:rtl/>
          </w:rPr>
          <w:t>ע"פ 4522/18</w:t>
        </w:r>
      </w:hyperlink>
      <w:r>
        <w:rPr>
          <w:rFonts w:ascii="David" w:hAnsi="David"/>
          <w:rtl/>
        </w:rPr>
        <w:t xml:space="preserve"> </w:t>
      </w:r>
      <w:r w:rsidRPr="00B156B4">
        <w:rPr>
          <w:rFonts w:ascii="David" w:hAnsi="David"/>
          <w:b/>
          <w:bCs/>
          <w:rtl/>
        </w:rPr>
        <w:t>אסבאן נ' מד"י</w:t>
      </w:r>
      <w:r>
        <w:rPr>
          <w:rFonts w:ascii="David" w:hAnsi="David"/>
          <w:rtl/>
        </w:rPr>
        <w:t xml:space="preserve"> (11.11.18). </w:t>
      </w:r>
    </w:p>
    <w:p w14:paraId="65FE0877" w14:textId="77777777" w:rsidR="00AB45CD" w:rsidRDefault="00AB45CD" w:rsidP="00AB45CD">
      <w:pPr>
        <w:jc w:val="both"/>
        <w:rPr>
          <w:rFonts w:ascii="David" w:hAnsi="David"/>
          <w:rtl/>
        </w:rPr>
      </w:pPr>
    </w:p>
    <w:p w14:paraId="5D97B6EA" w14:textId="77777777" w:rsidR="00AB45CD" w:rsidRDefault="00AB45CD" w:rsidP="00AB45CD">
      <w:pPr>
        <w:spacing w:line="360" w:lineRule="auto"/>
        <w:jc w:val="both"/>
        <w:rPr>
          <w:rFonts w:ascii="David" w:hAnsi="David"/>
          <w:rtl/>
        </w:rPr>
      </w:pPr>
      <w:r>
        <w:rPr>
          <w:rFonts w:ascii="David" w:hAnsi="David"/>
          <w:rtl/>
        </w:rPr>
        <w:tab/>
        <w:t xml:space="preserve">על מנעד הענישה הרחב בגין עבירות הדומות לאלה שביצע הנאשם, ניתן ללמוד מן הפסיקה הנוהגת, ולשם הדוגמה אפנה להחלטות מייצגות: </w:t>
      </w:r>
      <w:hyperlink r:id="rId26" w:history="1">
        <w:r w:rsidR="00DD1846" w:rsidRPr="00DD1846">
          <w:rPr>
            <w:rFonts w:ascii="David" w:hAnsi="David"/>
            <w:color w:val="0000FF"/>
            <w:u w:val="single"/>
            <w:rtl/>
          </w:rPr>
          <w:t>רע"פ 5494/19</w:t>
        </w:r>
      </w:hyperlink>
      <w:r>
        <w:rPr>
          <w:rFonts w:ascii="David" w:hAnsi="David"/>
          <w:rtl/>
        </w:rPr>
        <w:t xml:space="preserve"> </w:t>
      </w:r>
      <w:r w:rsidRPr="00B156B4">
        <w:rPr>
          <w:rFonts w:ascii="David" w:hAnsi="David"/>
          <w:b/>
          <w:bCs/>
          <w:rtl/>
        </w:rPr>
        <w:t>רנד נ' מד"י</w:t>
      </w:r>
      <w:r>
        <w:rPr>
          <w:rFonts w:ascii="David" w:hAnsi="David"/>
          <w:rtl/>
        </w:rPr>
        <w:t xml:space="preserve"> (22.8.19); </w:t>
      </w:r>
      <w:hyperlink r:id="rId27" w:history="1">
        <w:r w:rsidR="00DD1846" w:rsidRPr="00DD1846">
          <w:rPr>
            <w:rFonts w:ascii="David" w:hAnsi="David"/>
            <w:color w:val="0000FF"/>
            <w:u w:val="single"/>
            <w:rtl/>
          </w:rPr>
          <w:t>רע"פ 8408/15</w:t>
        </w:r>
      </w:hyperlink>
      <w:r>
        <w:rPr>
          <w:rFonts w:ascii="David" w:hAnsi="David"/>
          <w:rtl/>
        </w:rPr>
        <w:t xml:space="preserve"> </w:t>
      </w:r>
      <w:r w:rsidRPr="00B156B4">
        <w:rPr>
          <w:rFonts w:ascii="David" w:hAnsi="David"/>
          <w:b/>
          <w:bCs/>
          <w:rtl/>
        </w:rPr>
        <w:t>חביב נ' מד"י</w:t>
      </w:r>
      <w:r>
        <w:rPr>
          <w:rFonts w:ascii="David" w:hAnsi="David"/>
          <w:rtl/>
        </w:rPr>
        <w:t xml:space="preserve"> (9.12.15); </w:t>
      </w:r>
      <w:hyperlink r:id="rId28" w:history="1">
        <w:r w:rsidR="00DD1846" w:rsidRPr="00DD1846">
          <w:rPr>
            <w:rFonts w:ascii="David" w:hAnsi="David"/>
            <w:color w:val="0000FF"/>
            <w:u w:val="single"/>
            <w:rtl/>
          </w:rPr>
          <w:t>רע"פ 3059/21</w:t>
        </w:r>
      </w:hyperlink>
      <w:r>
        <w:rPr>
          <w:rFonts w:ascii="David" w:hAnsi="David"/>
          <w:rtl/>
        </w:rPr>
        <w:t xml:space="preserve"> </w:t>
      </w:r>
      <w:r w:rsidRPr="00B156B4">
        <w:rPr>
          <w:rFonts w:ascii="David" w:hAnsi="David"/>
          <w:b/>
          <w:bCs/>
          <w:rtl/>
        </w:rPr>
        <w:t>בר ימין נ' מד"י</w:t>
      </w:r>
      <w:r>
        <w:rPr>
          <w:rFonts w:ascii="David" w:hAnsi="David"/>
          <w:rtl/>
        </w:rPr>
        <w:t xml:space="preserve"> (5.5.21); </w:t>
      </w:r>
      <w:hyperlink r:id="rId29" w:history="1">
        <w:r w:rsidR="00DD1846" w:rsidRPr="00DD1846">
          <w:rPr>
            <w:rFonts w:ascii="David" w:hAnsi="David"/>
            <w:color w:val="0000FF"/>
            <w:u w:val="single"/>
            <w:rtl/>
          </w:rPr>
          <w:t>ת"פ 20022-04-18</w:t>
        </w:r>
      </w:hyperlink>
      <w:r>
        <w:rPr>
          <w:rFonts w:ascii="David" w:hAnsi="David"/>
          <w:rtl/>
        </w:rPr>
        <w:t xml:space="preserve"> </w:t>
      </w:r>
      <w:r w:rsidRPr="00B156B4">
        <w:rPr>
          <w:rFonts w:ascii="David" w:hAnsi="David"/>
          <w:b/>
          <w:bCs/>
          <w:rtl/>
        </w:rPr>
        <w:t>מד"י נ' וינקובסקי</w:t>
      </w:r>
      <w:r>
        <w:rPr>
          <w:rFonts w:ascii="David" w:hAnsi="David"/>
          <w:rtl/>
        </w:rPr>
        <w:t xml:space="preserve"> (9.9.20) וההפניות שם; </w:t>
      </w:r>
      <w:hyperlink r:id="rId30" w:history="1">
        <w:r w:rsidR="00DD1846" w:rsidRPr="00DD1846">
          <w:rPr>
            <w:rFonts w:ascii="David" w:hAnsi="David"/>
            <w:color w:val="0000FF"/>
            <w:u w:val="single"/>
            <w:rtl/>
          </w:rPr>
          <w:t>ת"פ 34210-08-18</w:t>
        </w:r>
      </w:hyperlink>
      <w:r>
        <w:rPr>
          <w:rFonts w:ascii="David" w:hAnsi="David"/>
          <w:rtl/>
        </w:rPr>
        <w:t xml:space="preserve"> </w:t>
      </w:r>
      <w:r w:rsidRPr="00B156B4">
        <w:rPr>
          <w:rFonts w:ascii="David" w:hAnsi="David"/>
          <w:b/>
          <w:bCs/>
          <w:rtl/>
        </w:rPr>
        <w:t>מד"י נ' רמפל</w:t>
      </w:r>
      <w:r>
        <w:rPr>
          <w:rFonts w:ascii="David" w:hAnsi="David"/>
          <w:rtl/>
        </w:rPr>
        <w:t xml:space="preserve"> (24.5.21); </w:t>
      </w:r>
      <w:hyperlink r:id="rId31" w:history="1">
        <w:r w:rsidR="00DD1846" w:rsidRPr="00DD1846">
          <w:rPr>
            <w:rFonts w:ascii="David" w:hAnsi="David"/>
            <w:color w:val="0000FF"/>
            <w:u w:val="single"/>
            <w:rtl/>
          </w:rPr>
          <w:t>ת"פ 39647-01-20</w:t>
        </w:r>
      </w:hyperlink>
      <w:r>
        <w:rPr>
          <w:rFonts w:ascii="David" w:hAnsi="David"/>
          <w:rtl/>
        </w:rPr>
        <w:t xml:space="preserve"> </w:t>
      </w:r>
      <w:r w:rsidRPr="00B156B4">
        <w:rPr>
          <w:rFonts w:ascii="David" w:hAnsi="David"/>
          <w:b/>
          <w:bCs/>
          <w:rtl/>
        </w:rPr>
        <w:t>מד"י נ' צ'יידם</w:t>
      </w:r>
      <w:r>
        <w:rPr>
          <w:rFonts w:ascii="David" w:hAnsi="David"/>
          <w:rtl/>
        </w:rPr>
        <w:t xml:space="preserve"> (23.11.23). עולה כי פעמים רבות הוטלו עונשי מאסר </w:t>
      </w:r>
      <w:r>
        <w:rPr>
          <w:rFonts w:ascii="David" w:hAnsi="David" w:hint="cs"/>
          <w:rtl/>
        </w:rPr>
        <w:t>מ</w:t>
      </w:r>
      <w:r>
        <w:rPr>
          <w:rFonts w:ascii="David" w:hAnsi="David"/>
          <w:rtl/>
        </w:rPr>
        <w:t>אחורי סורג ובריח, אך לצד זה, במקרים המתאימים ניאותו בתי המשפט להסתפק בענישה של מאסר בעבודות שירות, וזאת גם כשדובר בכמות גדולה ביותר של עבירות סחר. מה שהכריע את הכף לקולא היה העדר עבר פלילי, או נסיבות שיקומיות.</w:t>
      </w:r>
    </w:p>
    <w:p w14:paraId="20510840" w14:textId="77777777" w:rsidR="00AB45CD" w:rsidRDefault="00AB45CD" w:rsidP="00AB45CD">
      <w:pPr>
        <w:jc w:val="both"/>
        <w:rPr>
          <w:rFonts w:ascii="David" w:hAnsi="David"/>
          <w:rtl/>
        </w:rPr>
      </w:pPr>
    </w:p>
    <w:p w14:paraId="5FB63F89" w14:textId="77777777" w:rsidR="00AB45CD" w:rsidRDefault="00AB45CD" w:rsidP="00AB45CD">
      <w:pPr>
        <w:spacing w:line="360" w:lineRule="auto"/>
        <w:jc w:val="both"/>
        <w:rPr>
          <w:rFonts w:ascii="David" w:hAnsi="David"/>
          <w:rtl/>
        </w:rPr>
      </w:pPr>
      <w:r>
        <w:rPr>
          <w:rFonts w:ascii="David" w:hAnsi="David"/>
          <w:rtl/>
        </w:rPr>
        <w:tab/>
        <w:t xml:space="preserve">בענייננו, הנאשם ביצע 4 עבירות סחר, כשבאחת מהם מכר סמים קשים מסוג קוקאין, ובכך הפך עצמו לחלק משרשרת הפצת הסמים. עם זאת, קשה להתעלם מכך שמילא תפקיד שולי לעומת העבריין העיקרי, לו מיוחסות עשרות עבירות סחר. הנאשם אינו זה שיצר קשר עם הקונים, ואף לא סיכם את תנאי העסקה ולא קיבל את התשלום, אלא כל תפקידו היה בהובלת הסם ומסירתו. בנוסף, לא הובאו שום ראיות בעניין </w:t>
      </w:r>
      <w:r>
        <w:rPr>
          <w:rFonts w:ascii="David" w:hAnsi="David" w:hint="cs"/>
          <w:rtl/>
        </w:rPr>
        <w:t>רווחיו</w:t>
      </w:r>
      <w:r>
        <w:rPr>
          <w:rFonts w:ascii="David" w:hAnsi="David"/>
          <w:rtl/>
        </w:rPr>
        <w:t xml:space="preserve">, ועל פי סכומי העסקאות ומיעוטן, ניתן להניח כי לא עשה רווח גדול. </w:t>
      </w:r>
    </w:p>
    <w:p w14:paraId="6DB06520" w14:textId="77777777" w:rsidR="00AB45CD" w:rsidRDefault="00AB45CD" w:rsidP="00AB45CD">
      <w:pPr>
        <w:jc w:val="both"/>
        <w:rPr>
          <w:rFonts w:ascii="David" w:hAnsi="David"/>
          <w:rtl/>
        </w:rPr>
      </w:pPr>
    </w:p>
    <w:p w14:paraId="23246E38" w14:textId="77777777" w:rsidR="00AB45CD" w:rsidRDefault="00AB45CD" w:rsidP="00AB45CD">
      <w:pPr>
        <w:spacing w:line="360" w:lineRule="auto"/>
        <w:ind w:firstLine="720"/>
        <w:jc w:val="both"/>
        <w:rPr>
          <w:rFonts w:ascii="David" w:hAnsi="David"/>
          <w:rtl/>
        </w:rPr>
      </w:pPr>
      <w:r>
        <w:rPr>
          <w:rFonts w:ascii="David" w:hAnsi="David"/>
          <w:rtl/>
        </w:rPr>
        <w:t>בבואי לבחון את שאלת המתחם, אני מוצאת לנכון לתת משקל נכבד לגזר דינה של כב' השופטת אורן, בעניינו של הנאשם 3, זאת לאור עיקרון האחידות בענישה, ולנוכח הדימיון הרב בין המקרים, ואבהיר.</w:t>
      </w:r>
    </w:p>
    <w:p w14:paraId="47A51BE8" w14:textId="77777777" w:rsidR="00AB45CD" w:rsidRDefault="00AB45CD" w:rsidP="00AB45CD">
      <w:pPr>
        <w:ind w:firstLine="720"/>
        <w:jc w:val="both"/>
        <w:rPr>
          <w:rFonts w:ascii="David" w:hAnsi="David"/>
          <w:rtl/>
        </w:rPr>
      </w:pPr>
    </w:p>
    <w:p w14:paraId="242C6AA6" w14:textId="77777777" w:rsidR="00AB45CD" w:rsidRDefault="00AB45CD" w:rsidP="00AB45CD">
      <w:pPr>
        <w:spacing w:line="360" w:lineRule="auto"/>
        <w:jc w:val="both"/>
        <w:rPr>
          <w:rFonts w:ascii="David" w:hAnsi="David"/>
          <w:rtl/>
        </w:rPr>
      </w:pPr>
      <w:r>
        <w:rPr>
          <w:rFonts w:ascii="David" w:hAnsi="David"/>
          <w:rtl/>
        </w:rPr>
        <w:tab/>
        <w:t xml:space="preserve">הנאשם 3, שאף הוא נעדר כל עבר פלילי, הורשע בשתי עבירות סחר בודדות, במסגרת הפרשה: באירוע אחד ביצע מכירה של קנביס במשקל ובמחיר בלתי ידועים, ובאירוע אחר מכר קוקאין במשקל 1 גרם במחיר לא ידוע. בנוסף, נתפס בביתו קוקאין במשקל 0.05 גרם נטו, לשימוש עצמי. עינינו הרואות, עניינו דומה ביותר לעניינו של הנאשם שלפניי. ליתר דיוק, יותרת העבירות בעניינו של הנאשם דנן, כוללת עבירת סחר נוספת בכמות ובמחיר שאינם ידועים, וכן עבירת סחר נוספת של קנביס במשקל 30 גרם ובמחיר שאינו ידוע. </w:t>
      </w:r>
    </w:p>
    <w:p w14:paraId="57043433" w14:textId="77777777" w:rsidR="00AB45CD" w:rsidRDefault="00AB45CD" w:rsidP="00AB45CD">
      <w:pPr>
        <w:jc w:val="both"/>
        <w:rPr>
          <w:rFonts w:ascii="David" w:hAnsi="David"/>
          <w:rtl/>
        </w:rPr>
      </w:pPr>
    </w:p>
    <w:p w14:paraId="575376D2" w14:textId="77777777" w:rsidR="00AB45CD" w:rsidRDefault="00AB45CD" w:rsidP="00AB45CD">
      <w:pPr>
        <w:spacing w:line="360" w:lineRule="auto"/>
        <w:jc w:val="both"/>
        <w:rPr>
          <w:rFonts w:ascii="David" w:hAnsi="David"/>
          <w:rtl/>
        </w:rPr>
      </w:pPr>
      <w:r>
        <w:rPr>
          <w:rFonts w:ascii="David" w:hAnsi="David"/>
          <w:rtl/>
        </w:rPr>
        <w:tab/>
        <w:t>בעניינו של הנאשם 3 ניתנו 6 תסקירים בניסיון להביאו לכדי שיקום וגמילה, אך הוא לא צלח. על פי גזר הדין, מספר פעמים עזב מסגרות טיפוליות על דעת עצמו. נקבע כי הוא חסר כוחות, חזר לשימוש פעיל בסמים, ועל כן לא ניתנה המלצה שיקומית. עוד עלה כי ה</w:t>
      </w:r>
      <w:r>
        <w:rPr>
          <w:rFonts w:ascii="David" w:hAnsi="David" w:hint="cs"/>
          <w:rtl/>
        </w:rPr>
        <w:t xml:space="preserve">וא </w:t>
      </w:r>
      <w:r>
        <w:rPr>
          <w:rFonts w:ascii="David" w:hAnsi="David"/>
          <w:rtl/>
        </w:rPr>
        <w:t xml:space="preserve">מתמודד עם מחלה כרונית ובעל 65% נכות, שוחרר מצה"ל בשל אי התאמה, ומאז מנהל אורח חיים בלתי יציב, תוך חבירה לגורמים שוליים. </w:t>
      </w:r>
    </w:p>
    <w:p w14:paraId="38023E84" w14:textId="77777777" w:rsidR="00AB45CD" w:rsidRDefault="00AB45CD" w:rsidP="00AB45CD">
      <w:pPr>
        <w:jc w:val="both"/>
        <w:rPr>
          <w:rFonts w:ascii="David" w:hAnsi="David"/>
          <w:rtl/>
        </w:rPr>
      </w:pPr>
    </w:p>
    <w:p w14:paraId="49251AD4" w14:textId="77777777" w:rsidR="00AB45CD" w:rsidRDefault="00AB45CD" w:rsidP="00AB45CD">
      <w:pPr>
        <w:spacing w:line="360" w:lineRule="auto"/>
        <w:jc w:val="both"/>
        <w:rPr>
          <w:rFonts w:ascii="David" w:hAnsi="David"/>
          <w:rtl/>
        </w:rPr>
      </w:pPr>
      <w:r>
        <w:rPr>
          <w:rFonts w:ascii="David" w:hAnsi="David"/>
          <w:rtl/>
        </w:rPr>
        <w:tab/>
        <w:t xml:space="preserve">התביעה </w:t>
      </w:r>
      <w:r>
        <w:rPr>
          <w:rFonts w:ascii="David" w:hAnsi="David" w:hint="cs"/>
          <w:rtl/>
        </w:rPr>
        <w:t xml:space="preserve">עתרה להטיל על הנאשם 3, </w:t>
      </w:r>
      <w:r>
        <w:rPr>
          <w:rFonts w:ascii="David" w:hAnsi="David"/>
          <w:rtl/>
        </w:rPr>
        <w:t>14 חודשי מאסר, כפי שעתרה בעניין שלפניי. ביום 26.3.24, ניתן גזר הדין מידי כב' השופטת אורן. לאחר שבחנה את מדיניות הענישה הנוהגת, קבעה כי המתחם ההולם הכולל לעבירות (מתחם מאוחד בהתאם להלכת ג'אבר) נע בין 8 ל-18 חודשי מאסר. לאחר זאת, לקחה בחשבון את הנסיבות האישיות, וגזרה בגדרי המתחם 9 חודשי מאסר בעבודות שירות.</w:t>
      </w:r>
    </w:p>
    <w:p w14:paraId="2F831ECB" w14:textId="77777777" w:rsidR="00AB45CD" w:rsidRDefault="00AB45CD" w:rsidP="00AB45CD">
      <w:pPr>
        <w:jc w:val="both"/>
        <w:rPr>
          <w:rFonts w:ascii="David" w:hAnsi="David"/>
          <w:rtl/>
        </w:rPr>
      </w:pPr>
    </w:p>
    <w:p w14:paraId="54411B2D" w14:textId="77777777" w:rsidR="00AB45CD" w:rsidRDefault="00AB45CD" w:rsidP="00AB45CD">
      <w:pPr>
        <w:spacing w:line="360" w:lineRule="auto"/>
        <w:jc w:val="both"/>
        <w:rPr>
          <w:rFonts w:ascii="David" w:hAnsi="David"/>
          <w:rtl/>
        </w:rPr>
      </w:pPr>
      <w:r>
        <w:rPr>
          <w:rFonts w:ascii="David" w:hAnsi="David"/>
          <w:rtl/>
        </w:rPr>
        <w:tab/>
        <w:t xml:space="preserve">לדעתי, עבירותיו של הנאשם שלפניי, הדומות עד מאד בהיקפן ובנסיבותיהן לעבירותיו של הנאשם 3, מצדיקות קביעת מתחם </w:t>
      </w:r>
      <w:r>
        <w:rPr>
          <w:rFonts w:ascii="David" w:hAnsi="David" w:hint="cs"/>
          <w:rtl/>
        </w:rPr>
        <w:t>קרוב במידת חומרתו</w:t>
      </w:r>
      <w:r>
        <w:rPr>
          <w:rFonts w:ascii="David" w:hAnsi="David"/>
          <w:rtl/>
        </w:rPr>
        <w:t>, הן בשל הדמיון והן מכוח עיקרון האחידות בענישה. למען ה</w:t>
      </w:r>
      <w:r>
        <w:rPr>
          <w:rFonts w:ascii="David" w:hAnsi="David" w:hint="cs"/>
          <w:rtl/>
        </w:rPr>
        <w:t>דיוק</w:t>
      </w:r>
      <w:r>
        <w:rPr>
          <w:rFonts w:ascii="David" w:hAnsi="David"/>
          <w:rtl/>
        </w:rPr>
        <w:t>, אני סבורה כי העבירה הנוספת של סחר בכמות ובמחיר בלתי ידועים אין בה כדי להחמיר את המתחם כלל, ואילו העבירה הנוספת של סחר במשקל 30 גרם ובמחיר שאינו ידוע, יש בה כדי להביא להחמרה מדודה</w:t>
      </w:r>
      <w:r>
        <w:rPr>
          <w:rFonts w:ascii="David" w:hAnsi="David" w:hint="cs"/>
          <w:rtl/>
        </w:rPr>
        <w:t xml:space="preserve"> של המתחם</w:t>
      </w:r>
      <w:r>
        <w:rPr>
          <w:rFonts w:ascii="David" w:hAnsi="David"/>
          <w:rtl/>
        </w:rPr>
        <w:t>.</w:t>
      </w:r>
    </w:p>
    <w:p w14:paraId="60BC677C" w14:textId="77777777" w:rsidR="00AB45CD" w:rsidRDefault="00AB45CD" w:rsidP="00AB45CD">
      <w:pPr>
        <w:jc w:val="both"/>
        <w:rPr>
          <w:rFonts w:ascii="David" w:hAnsi="David"/>
          <w:rtl/>
        </w:rPr>
      </w:pPr>
    </w:p>
    <w:p w14:paraId="36DAED98" w14:textId="77777777" w:rsidR="00AB45CD" w:rsidRDefault="00AB45CD" w:rsidP="00AB45CD">
      <w:pPr>
        <w:spacing w:line="360" w:lineRule="auto"/>
        <w:jc w:val="both"/>
        <w:rPr>
          <w:rFonts w:ascii="David" w:hAnsi="David"/>
          <w:rtl/>
        </w:rPr>
      </w:pPr>
      <w:r>
        <w:rPr>
          <w:rFonts w:ascii="David" w:hAnsi="David"/>
          <w:rtl/>
        </w:rPr>
        <w:tab/>
        <w:t>לפיכך, אני קובעת כי המתחם ההולם למכלול העבירות, נע בין 8 ל-20 חודשי מאסר.</w:t>
      </w:r>
    </w:p>
    <w:p w14:paraId="07D9A921" w14:textId="77777777" w:rsidR="00AB45CD" w:rsidRDefault="00AB45CD" w:rsidP="00AB45CD">
      <w:pPr>
        <w:spacing w:line="360" w:lineRule="auto"/>
        <w:jc w:val="both"/>
        <w:rPr>
          <w:rFonts w:ascii="David" w:hAnsi="David"/>
          <w:b/>
          <w:bCs/>
          <w:u w:val="single"/>
          <w:rtl/>
        </w:rPr>
      </w:pPr>
    </w:p>
    <w:p w14:paraId="443A0059" w14:textId="77777777" w:rsidR="00AB45CD" w:rsidRDefault="00AB45CD" w:rsidP="00AB45CD">
      <w:pPr>
        <w:spacing w:line="360" w:lineRule="auto"/>
        <w:jc w:val="both"/>
        <w:rPr>
          <w:rFonts w:ascii="David" w:hAnsi="David"/>
          <w:b/>
          <w:bCs/>
          <w:u w:val="single"/>
          <w:rtl/>
        </w:rPr>
      </w:pPr>
      <w:r>
        <w:rPr>
          <w:rFonts w:ascii="David" w:hAnsi="David"/>
          <w:b/>
          <w:bCs/>
          <w:u w:val="single"/>
          <w:rtl/>
        </w:rPr>
        <w:t>העונש המתאים לנאשם</w:t>
      </w:r>
    </w:p>
    <w:p w14:paraId="002C3A5E" w14:textId="77777777" w:rsidR="00AB45CD" w:rsidRDefault="00AB45CD" w:rsidP="00AB45CD">
      <w:pPr>
        <w:jc w:val="both"/>
        <w:rPr>
          <w:rFonts w:ascii="David" w:hAnsi="David"/>
          <w:b/>
          <w:bCs/>
          <w:u w:val="single"/>
          <w:rtl/>
        </w:rPr>
      </w:pPr>
    </w:p>
    <w:p w14:paraId="3BC7C812" w14:textId="77777777" w:rsidR="00AB45CD" w:rsidRDefault="00AB45CD" w:rsidP="00AB45CD">
      <w:pPr>
        <w:spacing w:line="360" w:lineRule="auto"/>
        <w:jc w:val="both"/>
        <w:rPr>
          <w:rFonts w:ascii="David" w:hAnsi="David"/>
          <w:rtl/>
        </w:rPr>
      </w:pPr>
      <w:r>
        <w:rPr>
          <w:rFonts w:ascii="David" w:hAnsi="David"/>
          <w:rtl/>
        </w:rPr>
        <w:tab/>
        <w:t>הנאשם ללא כל עבר פלילי, וצמח בסביבה נורמטיבית. הוא מחזיק בתעודת בגרות, ואף שירת בצה"ל, כקצין.</w:t>
      </w:r>
      <w:r>
        <w:rPr>
          <w:rFonts w:ascii="David" w:hAnsi="David" w:hint="cs"/>
          <w:rtl/>
        </w:rPr>
        <w:t xml:space="preserve"> </w:t>
      </w:r>
      <w:r>
        <w:rPr>
          <w:rFonts w:ascii="David" w:hAnsi="David"/>
          <w:rtl/>
        </w:rPr>
        <w:t>עולה ממצבור התסקירים כי בעקבות משבר אישי שחווה עם פטירת אביו ומחלת אמו, התדרדר להתמכרות לקוקאין, ואף מעד בביצוע העבירות.</w:t>
      </w:r>
    </w:p>
    <w:p w14:paraId="7A531C8D" w14:textId="77777777" w:rsidR="00AB45CD" w:rsidRDefault="00AB45CD" w:rsidP="00AB45CD">
      <w:pPr>
        <w:jc w:val="both"/>
        <w:rPr>
          <w:rFonts w:ascii="David" w:hAnsi="David"/>
          <w:rtl/>
        </w:rPr>
      </w:pPr>
    </w:p>
    <w:p w14:paraId="617B366C" w14:textId="77777777" w:rsidR="00AB45CD" w:rsidRDefault="00AB45CD" w:rsidP="00AB45CD">
      <w:pPr>
        <w:spacing w:line="360" w:lineRule="auto"/>
        <w:jc w:val="both"/>
        <w:rPr>
          <w:rFonts w:ascii="David" w:hAnsi="David"/>
          <w:rtl/>
        </w:rPr>
      </w:pPr>
      <w:r>
        <w:rPr>
          <w:rFonts w:ascii="David" w:hAnsi="David"/>
          <w:rtl/>
        </w:rPr>
        <w:tab/>
        <w:t>נראה שכיום הנאשם חסר כל גורמי תמיכה. אביו נפטר, אמו חולה ומטופלת על ידו, ואף הקשר הזוגי שלו, הסתיים במשבר.</w:t>
      </w:r>
    </w:p>
    <w:p w14:paraId="4EE3A7F9" w14:textId="77777777" w:rsidR="00AB45CD" w:rsidRDefault="00AB45CD" w:rsidP="00AB45CD">
      <w:pPr>
        <w:jc w:val="both"/>
        <w:rPr>
          <w:rFonts w:ascii="David" w:hAnsi="David"/>
          <w:rtl/>
        </w:rPr>
      </w:pPr>
    </w:p>
    <w:p w14:paraId="0EAFD407" w14:textId="77777777" w:rsidR="00AB45CD" w:rsidRDefault="00AB45CD" w:rsidP="00AB45CD">
      <w:pPr>
        <w:spacing w:line="360" w:lineRule="auto"/>
        <w:jc w:val="both"/>
        <w:rPr>
          <w:rFonts w:ascii="David" w:hAnsi="David"/>
          <w:rtl/>
        </w:rPr>
      </w:pPr>
      <w:r>
        <w:rPr>
          <w:rFonts w:ascii="David" w:hAnsi="David"/>
          <w:rtl/>
        </w:rPr>
        <w:tab/>
        <w:t>הנאשם אמנם הוצא מן ההליך הקהילתי, אך לא ניתן להתעלם מכך שהשתתף בהליך על פני תקופה ארוכה, ואף הצליח להתקדם לשלב הרביעי</w:t>
      </w:r>
      <w:r>
        <w:rPr>
          <w:rFonts w:ascii="David" w:hAnsi="David" w:hint="cs"/>
          <w:rtl/>
        </w:rPr>
        <w:t>, מבין חמישה</w:t>
      </w:r>
      <w:r>
        <w:rPr>
          <w:rFonts w:ascii="David" w:hAnsi="David"/>
          <w:rtl/>
        </w:rPr>
        <w:t>. בתוך כך, סיים בהצלחה סדנת גישור, ביצע חלק משעות ההשבה בה</w:t>
      </w:r>
      <w:r>
        <w:rPr>
          <w:rFonts w:ascii="David" w:hAnsi="David" w:hint="cs"/>
          <w:rtl/>
        </w:rPr>
        <w:t>ן</w:t>
      </w:r>
      <w:r>
        <w:rPr>
          <w:rFonts w:ascii="David" w:hAnsi="David"/>
          <w:rtl/>
        </w:rPr>
        <w:t xml:space="preserve"> מחויבים משתתפי ההליך, וקידם טיפול בחובותיו. לצד זה, נכתב בתסקירים כי הקשר עמו היה בלתי יציב, נמצאו שרידי סם בבדיקותיו, ובסופו של עניין ניתק את הקשר עם היחידה להתמכרויות, שם טופל.</w:t>
      </w:r>
    </w:p>
    <w:p w14:paraId="0A65B87C" w14:textId="77777777" w:rsidR="00AB45CD" w:rsidRDefault="00AB45CD" w:rsidP="00AB45CD">
      <w:pPr>
        <w:jc w:val="both"/>
        <w:rPr>
          <w:rFonts w:ascii="David" w:hAnsi="David"/>
          <w:rtl/>
        </w:rPr>
      </w:pPr>
    </w:p>
    <w:p w14:paraId="7B631967" w14:textId="77777777" w:rsidR="00AB45CD" w:rsidRDefault="00AB45CD" w:rsidP="00AB45CD">
      <w:pPr>
        <w:spacing w:line="360" w:lineRule="auto"/>
        <w:jc w:val="both"/>
        <w:rPr>
          <w:rFonts w:ascii="David" w:hAnsi="David"/>
          <w:rtl/>
        </w:rPr>
      </w:pPr>
      <w:r>
        <w:rPr>
          <w:rFonts w:ascii="David" w:hAnsi="David"/>
          <w:rtl/>
        </w:rPr>
        <w:tab/>
        <w:t>מכלול הנסיבות מוביל למסקנה לפיה יש לגזור את העונש בגדרי המתחם, בשים לב לכך שזוהי הסתבכותו היחידה של הנאשם, ולכך שעבר הליך שיקומי חלקי שלא הסתיים בהצלחה.</w:t>
      </w:r>
    </w:p>
    <w:p w14:paraId="23D272A4" w14:textId="77777777" w:rsidR="00AB45CD" w:rsidRDefault="00AB45CD" w:rsidP="00AB45CD">
      <w:pPr>
        <w:jc w:val="both"/>
        <w:rPr>
          <w:rFonts w:ascii="David" w:hAnsi="David"/>
          <w:rtl/>
        </w:rPr>
      </w:pPr>
    </w:p>
    <w:p w14:paraId="5B84B88C" w14:textId="77777777" w:rsidR="00AB45CD" w:rsidRDefault="00AB45CD" w:rsidP="00AB45CD">
      <w:pPr>
        <w:spacing w:line="360" w:lineRule="auto"/>
        <w:jc w:val="both"/>
        <w:rPr>
          <w:rFonts w:ascii="David" w:hAnsi="David"/>
          <w:rtl/>
        </w:rPr>
      </w:pPr>
      <w:r>
        <w:rPr>
          <w:rFonts w:ascii="David" w:hAnsi="David"/>
          <w:rtl/>
        </w:rPr>
        <w:tab/>
        <w:t xml:space="preserve">כאמור לעיל, העונש שיוטל צריך להתיישב עם עיקרון האחידות בענישה. גם לאחר שקבעתי מתחם מחמיר במעט לעומת המתחם שנקבע בעניינו של הנאשם 3, </w:t>
      </w:r>
      <w:r>
        <w:rPr>
          <w:rFonts w:ascii="David" w:hAnsi="David" w:hint="cs"/>
          <w:rtl/>
        </w:rPr>
        <w:t xml:space="preserve">אני סבורה כי </w:t>
      </w:r>
      <w:r>
        <w:rPr>
          <w:rFonts w:ascii="David" w:hAnsi="David"/>
          <w:rtl/>
        </w:rPr>
        <w:t xml:space="preserve">אין בכך כדי להצדיק פער ענישה כה משמעותי, כמבוקש על ידי התביעה. זאת, משום שרב הדמיון על השוני, ואין בשתי העבירות הנוספות שביצע הנאשם לעומת </w:t>
      </w:r>
      <w:r>
        <w:rPr>
          <w:rFonts w:ascii="David" w:hAnsi="David" w:hint="cs"/>
          <w:rtl/>
        </w:rPr>
        <w:t>חברו</w:t>
      </w:r>
      <w:r>
        <w:rPr>
          <w:rFonts w:ascii="David" w:hAnsi="David"/>
          <w:rtl/>
        </w:rPr>
        <w:t>, כדי להצדיק שליחתו אל מאחורי סורג ובריח, בעוד שבעניין חברו הסתפק בית המשפט בעבודות שירות. אזכיר שוב, כי בין שני הנאשמים עומדות שתי עבירות סחר בקנביס, בנסיבות מינוריות במיוחד</w:t>
      </w:r>
      <w:r>
        <w:rPr>
          <w:rFonts w:ascii="David" w:hAnsi="David" w:hint="cs"/>
          <w:rtl/>
        </w:rPr>
        <w:t>, וכי לפניי נאשם שהגיע לשלב מתקדם ביותר בהליך קהילתי שיקומי, גם אם לא צלח אותו</w:t>
      </w:r>
      <w:r>
        <w:rPr>
          <w:rFonts w:ascii="David" w:hAnsi="David"/>
          <w:rtl/>
        </w:rPr>
        <w:t>.</w:t>
      </w:r>
    </w:p>
    <w:p w14:paraId="0DA8AAD4" w14:textId="77777777" w:rsidR="00AB45CD" w:rsidRDefault="00AB45CD" w:rsidP="00AB45CD">
      <w:pPr>
        <w:jc w:val="both"/>
        <w:rPr>
          <w:rFonts w:ascii="David" w:hAnsi="David"/>
          <w:rtl/>
        </w:rPr>
      </w:pPr>
    </w:p>
    <w:p w14:paraId="1AAE43EF" w14:textId="77777777" w:rsidR="00AB45CD" w:rsidRDefault="00AB45CD" w:rsidP="00AB45CD">
      <w:pPr>
        <w:spacing w:line="360" w:lineRule="auto"/>
        <w:jc w:val="both"/>
        <w:rPr>
          <w:rFonts w:ascii="David" w:hAnsi="David"/>
          <w:rtl/>
        </w:rPr>
      </w:pPr>
      <w:r>
        <w:rPr>
          <w:rFonts w:ascii="David" w:hAnsi="David"/>
          <w:rtl/>
        </w:rPr>
        <w:tab/>
        <w:t>ל</w:t>
      </w:r>
      <w:r>
        <w:rPr>
          <w:rFonts w:ascii="David" w:hAnsi="David" w:hint="cs"/>
          <w:rtl/>
        </w:rPr>
        <w:t>אור כל האמור</w:t>
      </w:r>
      <w:r>
        <w:rPr>
          <w:rFonts w:ascii="David" w:hAnsi="David"/>
          <w:rtl/>
        </w:rPr>
        <w:t xml:space="preserve">, אני סבורה כי האינטרס הציבורי דורש להטיל </w:t>
      </w:r>
      <w:r>
        <w:rPr>
          <w:rFonts w:ascii="David" w:hAnsi="David" w:hint="cs"/>
          <w:rtl/>
        </w:rPr>
        <w:t xml:space="preserve">אף על </w:t>
      </w:r>
      <w:r>
        <w:rPr>
          <w:rFonts w:ascii="David" w:hAnsi="David"/>
          <w:rtl/>
        </w:rPr>
        <w:t>הנאשם</w:t>
      </w:r>
      <w:r>
        <w:rPr>
          <w:rFonts w:ascii="David" w:hAnsi="David" w:hint="cs"/>
          <w:rtl/>
        </w:rPr>
        <w:t xml:space="preserve"> דנן,</w:t>
      </w:r>
      <w:r>
        <w:rPr>
          <w:rFonts w:ascii="David" w:hAnsi="David"/>
          <w:rtl/>
        </w:rPr>
        <w:t xml:space="preserve"> עונש של מאסר בעבודות שירות.</w:t>
      </w:r>
    </w:p>
    <w:p w14:paraId="2A70F527" w14:textId="77777777" w:rsidR="00AB45CD" w:rsidRDefault="00AB45CD" w:rsidP="00AB45CD">
      <w:pPr>
        <w:jc w:val="both"/>
        <w:rPr>
          <w:rFonts w:ascii="David" w:hAnsi="David"/>
          <w:rtl/>
        </w:rPr>
      </w:pPr>
    </w:p>
    <w:p w14:paraId="4A799E07" w14:textId="77777777" w:rsidR="00AB45CD" w:rsidRDefault="00AB45CD" w:rsidP="00AB45CD">
      <w:pPr>
        <w:spacing w:line="360" w:lineRule="auto"/>
        <w:jc w:val="both"/>
        <w:rPr>
          <w:rFonts w:ascii="David" w:hAnsi="David"/>
          <w:rtl/>
        </w:rPr>
      </w:pPr>
      <w:r>
        <w:rPr>
          <w:rFonts w:ascii="David" w:hAnsi="David"/>
          <w:rtl/>
        </w:rPr>
        <w:tab/>
        <w:t>לפני סיום אציין כי הנאשם היה נתון במעצר למשך 8 ימים, ויש להניח כי החוויה היתה מטלטלת עבורו</w:t>
      </w:r>
      <w:r>
        <w:rPr>
          <w:rFonts w:ascii="David" w:hAnsi="David" w:hint="cs"/>
          <w:rtl/>
        </w:rPr>
        <w:t>, ותועיל להפקת הלקח</w:t>
      </w:r>
      <w:r>
        <w:rPr>
          <w:rFonts w:ascii="David" w:hAnsi="David"/>
          <w:rtl/>
        </w:rPr>
        <w:t>.</w:t>
      </w:r>
    </w:p>
    <w:p w14:paraId="36B0499C" w14:textId="77777777" w:rsidR="00AB45CD" w:rsidRDefault="00AB45CD" w:rsidP="00AB45CD">
      <w:pPr>
        <w:jc w:val="both"/>
        <w:rPr>
          <w:rFonts w:ascii="David" w:hAnsi="David"/>
          <w:rtl/>
        </w:rPr>
      </w:pPr>
    </w:p>
    <w:p w14:paraId="2404C20F" w14:textId="77777777" w:rsidR="00AB45CD" w:rsidRDefault="00AB45CD" w:rsidP="00AB45CD">
      <w:pPr>
        <w:spacing w:line="360" w:lineRule="auto"/>
        <w:ind w:firstLine="720"/>
        <w:jc w:val="both"/>
        <w:rPr>
          <w:rFonts w:ascii="David" w:hAnsi="David"/>
          <w:rtl/>
        </w:rPr>
      </w:pPr>
      <w:r>
        <w:rPr>
          <w:rFonts w:ascii="David" w:hAnsi="David" w:hint="cs"/>
          <w:rtl/>
        </w:rPr>
        <w:t>סופו של דבר</w:t>
      </w:r>
      <w:r>
        <w:rPr>
          <w:rFonts w:ascii="David" w:hAnsi="David"/>
          <w:rtl/>
        </w:rPr>
        <w:t>, אני גוזרת את העונשים הבאים:</w:t>
      </w:r>
    </w:p>
    <w:p w14:paraId="659591DD" w14:textId="77777777" w:rsidR="00AB45CD" w:rsidRDefault="00AB45CD" w:rsidP="00AB45CD">
      <w:pPr>
        <w:ind w:firstLine="720"/>
        <w:jc w:val="both"/>
        <w:rPr>
          <w:rFonts w:ascii="David" w:hAnsi="David"/>
          <w:rtl/>
        </w:rPr>
      </w:pPr>
    </w:p>
    <w:p w14:paraId="3609B203" w14:textId="77777777" w:rsidR="00AB45CD" w:rsidRDefault="00AB45CD" w:rsidP="00AB45CD">
      <w:pPr>
        <w:pStyle w:val="a9"/>
        <w:numPr>
          <w:ilvl w:val="0"/>
          <w:numId w:val="1"/>
        </w:numPr>
        <w:spacing w:line="360" w:lineRule="auto"/>
        <w:jc w:val="both"/>
        <w:rPr>
          <w:rFonts w:ascii="David" w:hAnsi="David" w:cs="David"/>
          <w:sz w:val="24"/>
          <w:szCs w:val="24"/>
          <w:rtl/>
        </w:rPr>
      </w:pPr>
      <w:r>
        <w:rPr>
          <w:rFonts w:ascii="David" w:hAnsi="David" w:cs="David"/>
          <w:sz w:val="24"/>
          <w:szCs w:val="24"/>
          <w:rtl/>
        </w:rPr>
        <w:t>9 חודשי מאסר בעבודות שירות. הנאשם יתייצב אצל הממונה, ביום 29.9.24 בשעה 8:30, כשבידו עותק מגזר הדין ותעודת זהות.</w:t>
      </w:r>
    </w:p>
    <w:p w14:paraId="2CFEF80E" w14:textId="77777777" w:rsidR="00AB45CD" w:rsidRDefault="00AB45CD" w:rsidP="00AB45CD">
      <w:pPr>
        <w:pStyle w:val="a9"/>
        <w:numPr>
          <w:ilvl w:val="0"/>
          <w:numId w:val="1"/>
        </w:numPr>
        <w:spacing w:line="360" w:lineRule="auto"/>
        <w:jc w:val="both"/>
        <w:rPr>
          <w:rFonts w:ascii="David" w:hAnsi="David" w:cs="David"/>
          <w:sz w:val="24"/>
          <w:szCs w:val="24"/>
        </w:rPr>
      </w:pPr>
      <w:r>
        <w:rPr>
          <w:rFonts w:ascii="David" w:hAnsi="David" w:cs="David"/>
          <w:sz w:val="24"/>
          <w:szCs w:val="24"/>
          <w:rtl/>
        </w:rPr>
        <w:t>6 חודשי מאסר על תנאי למשך 3 שנים, והתנאי הוא שלא יבצע עבירות סמים מסוג פשע.</w:t>
      </w:r>
    </w:p>
    <w:p w14:paraId="4C7EF831" w14:textId="77777777" w:rsidR="00AB45CD" w:rsidRDefault="00AB45CD" w:rsidP="00AB45CD">
      <w:pPr>
        <w:pStyle w:val="a9"/>
        <w:spacing w:line="360" w:lineRule="auto"/>
        <w:ind w:left="1080"/>
        <w:jc w:val="both"/>
        <w:rPr>
          <w:rFonts w:ascii="David" w:hAnsi="David" w:cs="David"/>
          <w:sz w:val="24"/>
          <w:szCs w:val="24"/>
        </w:rPr>
      </w:pPr>
      <w:r>
        <w:rPr>
          <w:rFonts w:ascii="David" w:hAnsi="David" w:cs="David"/>
          <w:sz w:val="24"/>
          <w:szCs w:val="24"/>
          <w:rtl/>
        </w:rPr>
        <w:t>3 חודשי מאסר על תנאי למשך 3 שנים, והתנאי הוא שלא יבצע עבירות סמים מסוג עוון.</w:t>
      </w:r>
    </w:p>
    <w:p w14:paraId="3E04581A" w14:textId="77777777" w:rsidR="00AB45CD" w:rsidRDefault="00AB45CD" w:rsidP="00AB45CD">
      <w:pPr>
        <w:pStyle w:val="a9"/>
        <w:numPr>
          <w:ilvl w:val="0"/>
          <w:numId w:val="1"/>
        </w:numPr>
        <w:spacing w:line="360" w:lineRule="auto"/>
        <w:jc w:val="both"/>
        <w:rPr>
          <w:rFonts w:ascii="David" w:hAnsi="David" w:cs="David"/>
          <w:sz w:val="24"/>
          <w:szCs w:val="24"/>
          <w:rtl/>
        </w:rPr>
      </w:pPr>
      <w:r>
        <w:rPr>
          <w:rFonts w:ascii="David" w:hAnsi="David" w:cs="David"/>
          <w:sz w:val="24"/>
          <w:szCs w:val="24"/>
          <w:rtl/>
        </w:rPr>
        <w:t>קנס כספי בסך 5,000 ₪, או 25 ימי מאסר תמורתו. הקנס ישולם ב-10 תשלומים חודשיים ורצופים, החל מיום 1.10.24 ובכל 1 לחודש עוקב.</w:t>
      </w:r>
    </w:p>
    <w:p w14:paraId="47B4B14A" w14:textId="77777777" w:rsidR="00AB45CD" w:rsidRDefault="00AB45CD" w:rsidP="00AB45CD">
      <w:pPr>
        <w:pStyle w:val="a9"/>
        <w:numPr>
          <w:ilvl w:val="0"/>
          <w:numId w:val="1"/>
        </w:numPr>
        <w:spacing w:line="360" w:lineRule="auto"/>
        <w:jc w:val="both"/>
        <w:rPr>
          <w:rFonts w:ascii="David" w:hAnsi="David" w:cs="David"/>
          <w:sz w:val="24"/>
          <w:szCs w:val="24"/>
        </w:rPr>
      </w:pPr>
      <w:r>
        <w:rPr>
          <w:rFonts w:ascii="David" w:hAnsi="David" w:cs="David"/>
          <w:sz w:val="24"/>
          <w:szCs w:val="24"/>
          <w:rtl/>
        </w:rPr>
        <w:t>6 חודשי פסילה על תנאי למשך 3 שנים, והתנאי הוא שלא יבצע עבירת סמים מסוג פשע.</w:t>
      </w:r>
    </w:p>
    <w:p w14:paraId="7A024789" w14:textId="77777777" w:rsidR="00AB45CD" w:rsidRDefault="00AB45CD" w:rsidP="00AB45CD">
      <w:pPr>
        <w:pStyle w:val="a9"/>
        <w:spacing w:line="360" w:lineRule="auto"/>
        <w:ind w:left="1080"/>
        <w:jc w:val="both"/>
        <w:rPr>
          <w:rFonts w:ascii="David" w:hAnsi="David" w:cs="David"/>
          <w:sz w:val="24"/>
          <w:szCs w:val="24"/>
        </w:rPr>
      </w:pPr>
    </w:p>
    <w:p w14:paraId="447F42F0" w14:textId="77777777" w:rsidR="00AB45CD" w:rsidRDefault="00AB45CD" w:rsidP="00AB45CD">
      <w:pPr>
        <w:pStyle w:val="a9"/>
        <w:spacing w:line="360" w:lineRule="auto"/>
        <w:ind w:left="1080"/>
        <w:jc w:val="both"/>
        <w:rPr>
          <w:rFonts w:ascii="David" w:hAnsi="David" w:cs="David"/>
          <w:sz w:val="24"/>
          <w:szCs w:val="24"/>
          <w:rtl/>
        </w:rPr>
      </w:pPr>
      <w:r>
        <w:rPr>
          <w:rFonts w:ascii="David" w:hAnsi="David" w:cs="David"/>
          <w:sz w:val="24"/>
          <w:szCs w:val="24"/>
          <w:rtl/>
        </w:rPr>
        <w:t xml:space="preserve">טלפון התפוס, </w:t>
      </w:r>
      <w:r>
        <w:rPr>
          <w:rFonts w:ascii="David" w:hAnsi="David" w:cs="David" w:hint="cs"/>
          <w:sz w:val="24"/>
          <w:szCs w:val="24"/>
          <w:rtl/>
        </w:rPr>
        <w:t>יחולט</w:t>
      </w:r>
      <w:r>
        <w:rPr>
          <w:rFonts w:ascii="David" w:hAnsi="David" w:cs="David"/>
          <w:sz w:val="24"/>
          <w:szCs w:val="24"/>
          <w:rtl/>
        </w:rPr>
        <w:t>.</w:t>
      </w:r>
    </w:p>
    <w:p w14:paraId="6137C7E1" w14:textId="77777777" w:rsidR="00AB45CD" w:rsidRPr="00DD1846" w:rsidRDefault="00DD1846" w:rsidP="00AB45CD">
      <w:pPr>
        <w:pStyle w:val="a9"/>
        <w:spacing w:line="360" w:lineRule="auto"/>
        <w:ind w:left="1080"/>
        <w:jc w:val="both"/>
        <w:rPr>
          <w:rFonts w:ascii="David" w:hAnsi="David" w:cs="David"/>
          <w:color w:val="FFFFFF"/>
          <w:sz w:val="2"/>
          <w:szCs w:val="2"/>
          <w:rtl/>
        </w:rPr>
      </w:pPr>
      <w:r w:rsidRPr="00DD1846">
        <w:rPr>
          <w:rFonts w:ascii="David" w:hAnsi="David" w:cs="David"/>
          <w:color w:val="FFFFFF"/>
          <w:sz w:val="2"/>
          <w:szCs w:val="2"/>
          <w:rtl/>
        </w:rPr>
        <w:t>5129371</w:t>
      </w:r>
    </w:p>
    <w:p w14:paraId="33FBE2A6" w14:textId="77777777" w:rsidR="00AB45CD" w:rsidRDefault="00DD1846" w:rsidP="00AB45CD">
      <w:pPr>
        <w:pStyle w:val="a9"/>
        <w:spacing w:line="360" w:lineRule="auto"/>
        <w:ind w:left="1080"/>
        <w:jc w:val="both"/>
        <w:rPr>
          <w:rFonts w:ascii="David" w:hAnsi="David" w:cs="David"/>
          <w:sz w:val="24"/>
          <w:szCs w:val="24"/>
          <w:rtl/>
        </w:rPr>
      </w:pPr>
      <w:r w:rsidRPr="00DD1846">
        <w:rPr>
          <w:rFonts w:ascii="David" w:hAnsi="David" w:cs="David"/>
          <w:color w:val="FFFFFF"/>
          <w:sz w:val="2"/>
          <w:szCs w:val="2"/>
          <w:rtl/>
        </w:rPr>
        <w:t>54678313</w:t>
      </w:r>
      <w:r w:rsidR="00AB45CD">
        <w:rPr>
          <w:rFonts w:ascii="David" w:hAnsi="David" w:cs="David"/>
          <w:sz w:val="24"/>
          <w:szCs w:val="24"/>
          <w:rtl/>
        </w:rPr>
        <w:t>זכות ערעור כדין.</w:t>
      </w:r>
    </w:p>
    <w:p w14:paraId="6132C0F6" w14:textId="77777777" w:rsidR="00AB45CD" w:rsidRDefault="00AB45CD" w:rsidP="00AB45CD">
      <w:pPr>
        <w:spacing w:line="360" w:lineRule="auto"/>
        <w:jc w:val="both"/>
        <w:rPr>
          <w:rFonts w:ascii="David" w:hAnsi="David"/>
          <w:rtl/>
        </w:rPr>
      </w:pPr>
    </w:p>
    <w:p w14:paraId="73218238" w14:textId="77777777" w:rsidR="00AB45CD" w:rsidRDefault="00DD1846" w:rsidP="00AB45CD">
      <w:pPr>
        <w:tabs>
          <w:tab w:val="left" w:pos="2553"/>
        </w:tabs>
        <w:ind w:left="5040"/>
        <w:rPr>
          <w:rtl/>
        </w:rPr>
      </w:pPr>
      <w:bookmarkStart w:id="9" w:name="Nitan"/>
      <w:r>
        <w:rPr>
          <w:rFonts w:ascii="David" w:hAnsi="David"/>
          <w:rtl/>
        </w:rPr>
        <w:t xml:space="preserve"> ניתן היום, ה' אלול תשפ"ד, 08 ספטמבר 2024, במעמד הצדדים. </w:t>
      </w:r>
      <w:bookmarkEnd w:id="9"/>
      <w:r w:rsidR="00AB45CD">
        <w:rPr>
          <w:rFonts w:hint="cs"/>
          <w:rtl/>
        </w:rPr>
        <w:t xml:space="preserve">     </w:t>
      </w:r>
    </w:p>
    <w:p w14:paraId="678D8AEA" w14:textId="77777777" w:rsidR="00AB45CD" w:rsidRDefault="00AB45CD" w:rsidP="00DD1846">
      <w:pPr>
        <w:tabs>
          <w:tab w:val="left" w:pos="2553"/>
        </w:tabs>
      </w:pPr>
      <w:r>
        <w:rPr>
          <w:rFonts w:hint="cs"/>
          <w:rtl/>
        </w:rPr>
        <w:tab/>
      </w:r>
      <w:r>
        <w:rPr>
          <w:rFonts w:hint="cs"/>
          <w:rtl/>
        </w:rPr>
        <w:tab/>
      </w:r>
      <w:r>
        <w:rPr>
          <w:rFonts w:hint="cs"/>
          <w:rtl/>
        </w:rPr>
        <w:tab/>
      </w:r>
      <w:r>
        <w:rPr>
          <w:rFonts w:hint="cs"/>
          <w:rtl/>
        </w:rPr>
        <w:tab/>
        <w:t xml:space="preserve">        </w:t>
      </w:r>
    </w:p>
    <w:p w14:paraId="3C17147D" w14:textId="77777777" w:rsidR="00AB45CD" w:rsidRPr="005605A7" w:rsidRDefault="005605A7" w:rsidP="00AB45CD">
      <w:pPr>
        <w:tabs>
          <w:tab w:val="left" w:pos="2553"/>
        </w:tabs>
        <w:rPr>
          <w:rFonts w:ascii="Arial" w:hAnsi="Arial"/>
          <w:noProof w:val="0"/>
          <w:color w:val="FFFFFF"/>
          <w:sz w:val="2"/>
          <w:szCs w:val="2"/>
          <w:rtl/>
        </w:rPr>
      </w:pPr>
      <w:r w:rsidRPr="005605A7">
        <w:rPr>
          <w:rFonts w:ascii="Arial" w:hAnsi="Arial"/>
          <w:noProof w:val="0"/>
          <w:color w:val="FFFFFF"/>
          <w:sz w:val="2"/>
          <w:szCs w:val="2"/>
          <w:rtl/>
        </w:rPr>
        <w:t>5129371</w:t>
      </w:r>
    </w:p>
    <w:p w14:paraId="5C79E550" w14:textId="77777777" w:rsidR="00927BAA" w:rsidRPr="005605A7" w:rsidRDefault="005605A7" w:rsidP="00DD1846">
      <w:pPr>
        <w:keepNext/>
        <w:rPr>
          <w:rFonts w:ascii="David" w:hAnsi="David"/>
          <w:color w:val="FFFFFF"/>
          <w:sz w:val="2"/>
          <w:szCs w:val="2"/>
          <w:rtl/>
        </w:rPr>
      </w:pPr>
      <w:r w:rsidRPr="005605A7">
        <w:rPr>
          <w:rFonts w:ascii="David" w:hAnsi="David"/>
          <w:color w:val="FFFFFF"/>
          <w:sz w:val="2"/>
          <w:szCs w:val="2"/>
          <w:rtl/>
        </w:rPr>
        <w:t>54678313</w:t>
      </w:r>
    </w:p>
    <w:p w14:paraId="4B5F091A" w14:textId="77777777" w:rsidR="00DD1846" w:rsidRDefault="00DD1846" w:rsidP="00DD1846">
      <w:pPr>
        <w:rPr>
          <w:rtl/>
        </w:rPr>
      </w:pPr>
    </w:p>
    <w:p w14:paraId="17ECF886" w14:textId="77777777" w:rsidR="00DD1846" w:rsidRDefault="00DD1846" w:rsidP="00DD1846">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906EA7E" w14:textId="77777777" w:rsidR="005605A7" w:rsidRPr="005605A7" w:rsidRDefault="005605A7" w:rsidP="005605A7">
      <w:pPr>
        <w:keepNext/>
        <w:rPr>
          <w:rFonts w:ascii="David" w:hAnsi="David"/>
          <w:color w:val="000000"/>
          <w:sz w:val="22"/>
          <w:szCs w:val="22"/>
          <w:rtl/>
        </w:rPr>
      </w:pPr>
    </w:p>
    <w:p w14:paraId="195EDE5C" w14:textId="77777777" w:rsidR="005605A7" w:rsidRPr="005605A7" w:rsidRDefault="005605A7" w:rsidP="005605A7">
      <w:pPr>
        <w:keepNext/>
        <w:rPr>
          <w:rFonts w:ascii="David" w:hAnsi="David"/>
          <w:color w:val="000000"/>
          <w:sz w:val="22"/>
          <w:szCs w:val="22"/>
          <w:rtl/>
        </w:rPr>
      </w:pPr>
      <w:r w:rsidRPr="005605A7">
        <w:rPr>
          <w:rFonts w:ascii="David" w:hAnsi="David"/>
          <w:color w:val="000000"/>
          <w:sz w:val="22"/>
          <w:szCs w:val="22"/>
          <w:rtl/>
        </w:rPr>
        <w:t>רבקה גלט 54678313-/</w:t>
      </w:r>
    </w:p>
    <w:p w14:paraId="67852931" w14:textId="77777777" w:rsidR="00DD1846" w:rsidRPr="00DD1846" w:rsidRDefault="005605A7" w:rsidP="005605A7">
      <w:pPr>
        <w:rPr>
          <w:color w:val="0000FF"/>
          <w:u w:val="single"/>
        </w:rPr>
      </w:pPr>
      <w:r w:rsidRPr="005605A7">
        <w:rPr>
          <w:color w:val="000000"/>
          <w:u w:val="single"/>
          <w:rtl/>
        </w:rPr>
        <w:t>נוסח מסמך זה כפוף לשינויי ניסוח ועריכה</w:t>
      </w:r>
    </w:p>
    <w:sectPr w:rsidR="00DD1846" w:rsidRPr="00DD1846" w:rsidSect="005605A7">
      <w:headerReference w:type="even" r:id="rId33"/>
      <w:headerReference w:type="default" r:id="rId34"/>
      <w:footerReference w:type="even" r:id="rId35"/>
      <w:footerReference w:type="default" r:id="rId36"/>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7ADE2" w14:textId="77777777" w:rsidR="00BE1A58" w:rsidRDefault="00BE1A58" w:rsidP="007F751C">
      <w:r>
        <w:separator/>
      </w:r>
    </w:p>
  </w:endnote>
  <w:endnote w:type="continuationSeparator" w:id="0">
    <w:p w14:paraId="210F7100" w14:textId="77777777" w:rsidR="00BE1A58" w:rsidRDefault="00BE1A58" w:rsidP="007F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A0779" w14:textId="77777777" w:rsidR="005605A7" w:rsidRDefault="005605A7" w:rsidP="005605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31DBBD8" w14:textId="77777777" w:rsidR="00DD1846" w:rsidRPr="005605A7" w:rsidRDefault="005605A7" w:rsidP="005605A7">
    <w:pPr>
      <w:pStyle w:val="a5"/>
      <w:pBdr>
        <w:top w:val="single" w:sz="4" w:space="1" w:color="auto"/>
        <w:between w:val="single" w:sz="4" w:space="0" w:color="auto"/>
      </w:pBdr>
      <w:spacing w:after="60"/>
      <w:jc w:val="center"/>
      <w:rPr>
        <w:rFonts w:ascii="FrankRuehl" w:hAnsi="FrankRuehl" w:cs="FrankRuehl"/>
        <w:color w:val="000000"/>
      </w:rPr>
    </w:pPr>
    <w:r w:rsidRPr="005605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BB981" w14:textId="77777777" w:rsidR="005605A7" w:rsidRDefault="005605A7" w:rsidP="005605A7">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E75804">
      <w:rPr>
        <w:rStyle w:val="a8"/>
        <w:rFonts w:ascii="FrankRuehl" w:hAnsi="FrankRuehl" w:cs="FrankRuehl"/>
        <w:rtl/>
      </w:rPr>
      <w:t>1</w:t>
    </w:r>
    <w:r>
      <w:rPr>
        <w:rStyle w:val="a8"/>
        <w:rFonts w:ascii="FrankRuehl" w:hAnsi="FrankRuehl" w:cs="FrankRuehl"/>
        <w:rtl/>
      </w:rPr>
      <w:fldChar w:fldCharType="end"/>
    </w:r>
  </w:p>
  <w:p w14:paraId="3E887709" w14:textId="77777777" w:rsidR="00AF7E75" w:rsidRPr="005605A7" w:rsidRDefault="005605A7" w:rsidP="005605A7">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605A7">
      <w:rPr>
        <w:rStyle w:val="a8"/>
        <w:rFonts w:ascii="FrankRuehl" w:hAnsi="FrankRuehl" w:cs="FrankRuehl" w:hint="cs"/>
        <w:color w:val="000000"/>
      </w:rPr>
      <w:pict w14:anchorId="7B470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58047" w14:textId="77777777" w:rsidR="00BE1A58" w:rsidRDefault="00BE1A58" w:rsidP="007F751C">
      <w:r>
        <w:separator/>
      </w:r>
    </w:p>
  </w:footnote>
  <w:footnote w:type="continuationSeparator" w:id="0">
    <w:p w14:paraId="4199E156" w14:textId="77777777" w:rsidR="00BE1A58" w:rsidRDefault="00BE1A58" w:rsidP="007F7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7CE9C" w14:textId="77777777" w:rsidR="00DD1846" w:rsidRPr="005605A7" w:rsidRDefault="005605A7" w:rsidP="005605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25089-09-21</w:t>
    </w:r>
    <w:r>
      <w:rPr>
        <w:rFonts w:ascii="David" w:hAnsi="David"/>
        <w:color w:val="000000"/>
        <w:sz w:val="22"/>
        <w:szCs w:val="22"/>
        <w:rtl/>
      </w:rPr>
      <w:tab/>
      <w:t xml:space="preserve"> מדינת ישראל נ' מיקי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FDFE6" w14:textId="77777777" w:rsidR="00DD1846" w:rsidRPr="005605A7" w:rsidRDefault="005605A7" w:rsidP="005605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25089-09-21</w:t>
    </w:r>
    <w:r>
      <w:rPr>
        <w:rFonts w:ascii="David" w:hAnsi="David"/>
        <w:color w:val="000000"/>
        <w:sz w:val="22"/>
        <w:szCs w:val="22"/>
        <w:rtl/>
      </w:rPr>
      <w:tab/>
      <w:t xml:space="preserve"> מדינת ישראל נ' מיקי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64201"/>
    <w:multiLevelType w:val="hybridMultilevel"/>
    <w:tmpl w:val="075461DA"/>
    <w:lvl w:ilvl="0" w:tplc="33B8918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95796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45CD"/>
    <w:rsid w:val="002D5E1F"/>
    <w:rsid w:val="00322869"/>
    <w:rsid w:val="004254E9"/>
    <w:rsid w:val="004E0C93"/>
    <w:rsid w:val="005605A7"/>
    <w:rsid w:val="0059661B"/>
    <w:rsid w:val="00714CBE"/>
    <w:rsid w:val="007F751C"/>
    <w:rsid w:val="00927BAA"/>
    <w:rsid w:val="00AB45CD"/>
    <w:rsid w:val="00AF7E75"/>
    <w:rsid w:val="00BE1A58"/>
    <w:rsid w:val="00C91BE7"/>
    <w:rsid w:val="00D86A9F"/>
    <w:rsid w:val="00DD1846"/>
    <w:rsid w:val="00E758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E0B806"/>
  <w15:chartTrackingRefBased/>
  <w15:docId w15:val="{AFFD8479-B16F-4005-9522-F1AFD2FF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45CD"/>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45CD"/>
    <w:pPr>
      <w:tabs>
        <w:tab w:val="center" w:pos="4153"/>
        <w:tab w:val="right" w:pos="8306"/>
      </w:tabs>
    </w:pPr>
  </w:style>
  <w:style w:type="character" w:customStyle="1" w:styleId="a4">
    <w:name w:val="כותרת עליונה תו"/>
    <w:link w:val="a3"/>
    <w:rsid w:val="00AB45CD"/>
    <w:rPr>
      <w:rFonts w:ascii="Times New Roman" w:eastAsia="Times New Roman" w:hAnsi="Times New Roman" w:cs="David"/>
      <w:noProof/>
      <w:sz w:val="24"/>
      <w:szCs w:val="24"/>
    </w:rPr>
  </w:style>
  <w:style w:type="paragraph" w:styleId="a5">
    <w:name w:val="footer"/>
    <w:basedOn w:val="a"/>
    <w:link w:val="a6"/>
    <w:rsid w:val="00AB45CD"/>
    <w:pPr>
      <w:tabs>
        <w:tab w:val="center" w:pos="4153"/>
        <w:tab w:val="right" w:pos="8306"/>
      </w:tabs>
    </w:pPr>
  </w:style>
  <w:style w:type="character" w:customStyle="1" w:styleId="a6">
    <w:name w:val="כותרת תחתונה תו"/>
    <w:link w:val="a5"/>
    <w:rsid w:val="00AB45CD"/>
    <w:rPr>
      <w:rFonts w:ascii="Times New Roman" w:eastAsia="Times New Roman" w:hAnsi="Times New Roman" w:cs="David"/>
      <w:noProof/>
      <w:sz w:val="24"/>
      <w:szCs w:val="24"/>
    </w:rPr>
  </w:style>
  <w:style w:type="table" w:styleId="a7">
    <w:name w:val="Table Grid"/>
    <w:basedOn w:val="a1"/>
    <w:rsid w:val="00AB45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45CD"/>
  </w:style>
  <w:style w:type="paragraph" w:styleId="a9">
    <w:name w:val="List Paragraph"/>
    <w:basedOn w:val="a"/>
    <w:qFormat/>
    <w:rsid w:val="00AB45CD"/>
    <w:pPr>
      <w:spacing w:after="160" w:line="256" w:lineRule="auto"/>
      <w:ind w:left="720"/>
      <w:contextualSpacing/>
    </w:pPr>
    <w:rPr>
      <w:rFonts w:ascii="Calibri" w:eastAsia="Calibri" w:hAnsi="Calibri" w:cs="Arial"/>
      <w:noProof w:val="0"/>
      <w:sz w:val="22"/>
      <w:szCs w:val="22"/>
    </w:rPr>
  </w:style>
  <w:style w:type="character" w:styleId="aa">
    <w:name w:val="line number"/>
    <w:rsid w:val="00AB45CD"/>
  </w:style>
  <w:style w:type="character" w:styleId="Hyperlink">
    <w:name w:val="Hyperlink"/>
    <w:rsid w:val="00DD18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5977712" TargetMode="External"/><Relationship Id="rId21" Type="http://schemas.openxmlformats.org/officeDocument/2006/relationships/hyperlink" Target="http://www.nevo.co.il/law/70301/29"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2428780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13" TargetMode="External"/><Relationship Id="rId29" Type="http://schemas.openxmlformats.org/officeDocument/2006/relationships/hyperlink" Target="http://www.nevo.co.il/case/238599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 TargetMode="External"/><Relationship Id="rId24" Type="http://schemas.openxmlformats.org/officeDocument/2006/relationships/hyperlink" Target="http://www.nevo.co.il/case/21472796"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683594" TargetMode="External"/><Relationship Id="rId28" Type="http://schemas.openxmlformats.org/officeDocument/2006/relationships/hyperlink" Target="http://www.nevo.co.il/case/27592536"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6369262"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0787902" TargetMode="External"/><Relationship Id="rId30" Type="http://schemas.openxmlformats.org/officeDocument/2006/relationships/hyperlink" Target="http://www.nevo.co.il/case/24924545" TargetMode="External"/><Relationship Id="rId35" Type="http://schemas.openxmlformats.org/officeDocument/2006/relationships/footer" Target="footer1.xml"/><Relationship Id="rId8" Type="http://schemas.openxmlformats.org/officeDocument/2006/relationships/hyperlink" Target="http://www.nevo.co.il/law/4216/7.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2432</Words>
  <Characters>12163</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14566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4063350</vt:i4>
      </vt:variant>
      <vt:variant>
        <vt:i4>72</vt:i4>
      </vt:variant>
      <vt:variant>
        <vt:i4>0</vt:i4>
      </vt:variant>
      <vt:variant>
        <vt:i4>5</vt:i4>
      </vt:variant>
      <vt:variant>
        <vt:lpwstr>http://www.nevo.co.il/case/26369262</vt:lpwstr>
      </vt:variant>
      <vt:variant>
        <vt:lpwstr/>
      </vt:variant>
      <vt:variant>
        <vt:i4>3866743</vt:i4>
      </vt:variant>
      <vt:variant>
        <vt:i4>69</vt:i4>
      </vt:variant>
      <vt:variant>
        <vt:i4>0</vt:i4>
      </vt:variant>
      <vt:variant>
        <vt:i4>5</vt:i4>
      </vt:variant>
      <vt:variant>
        <vt:lpwstr>http://www.nevo.co.il/case/24924545</vt:lpwstr>
      </vt:variant>
      <vt:variant>
        <vt:lpwstr/>
      </vt:variant>
      <vt:variant>
        <vt:i4>3473531</vt:i4>
      </vt:variant>
      <vt:variant>
        <vt:i4>66</vt:i4>
      </vt:variant>
      <vt:variant>
        <vt:i4>0</vt:i4>
      </vt:variant>
      <vt:variant>
        <vt:i4>5</vt:i4>
      </vt:variant>
      <vt:variant>
        <vt:lpwstr>http://www.nevo.co.il/case/23859961</vt:lpwstr>
      </vt:variant>
      <vt:variant>
        <vt:lpwstr/>
      </vt:variant>
      <vt:variant>
        <vt:i4>3539071</vt:i4>
      </vt:variant>
      <vt:variant>
        <vt:i4>63</vt:i4>
      </vt:variant>
      <vt:variant>
        <vt:i4>0</vt:i4>
      </vt:variant>
      <vt:variant>
        <vt:i4>5</vt:i4>
      </vt:variant>
      <vt:variant>
        <vt:lpwstr>http://www.nevo.co.il/case/27592536</vt:lpwstr>
      </vt:variant>
      <vt:variant>
        <vt:lpwstr/>
      </vt:variant>
      <vt:variant>
        <vt:i4>3276917</vt:i4>
      </vt:variant>
      <vt:variant>
        <vt:i4>60</vt:i4>
      </vt:variant>
      <vt:variant>
        <vt:i4>0</vt:i4>
      </vt:variant>
      <vt:variant>
        <vt:i4>5</vt:i4>
      </vt:variant>
      <vt:variant>
        <vt:lpwstr>http://www.nevo.co.il/case/20787902</vt:lpwstr>
      </vt:variant>
      <vt:variant>
        <vt:lpwstr/>
      </vt:variant>
      <vt:variant>
        <vt:i4>3997809</vt:i4>
      </vt:variant>
      <vt:variant>
        <vt:i4>57</vt:i4>
      </vt:variant>
      <vt:variant>
        <vt:i4>0</vt:i4>
      </vt:variant>
      <vt:variant>
        <vt:i4>5</vt:i4>
      </vt:variant>
      <vt:variant>
        <vt:lpwstr>http://www.nevo.co.il/case/25977712</vt:lpwstr>
      </vt:variant>
      <vt:variant>
        <vt:lpwstr/>
      </vt:variant>
      <vt:variant>
        <vt:i4>3604592</vt:i4>
      </vt:variant>
      <vt:variant>
        <vt:i4>54</vt:i4>
      </vt:variant>
      <vt:variant>
        <vt:i4>0</vt:i4>
      </vt:variant>
      <vt:variant>
        <vt:i4>5</vt:i4>
      </vt:variant>
      <vt:variant>
        <vt:lpwstr>http://www.nevo.co.il/case/24287803</vt:lpwstr>
      </vt:variant>
      <vt:variant>
        <vt:lpwstr/>
      </vt:variant>
      <vt:variant>
        <vt:i4>3997813</vt:i4>
      </vt:variant>
      <vt:variant>
        <vt:i4>51</vt:i4>
      </vt:variant>
      <vt:variant>
        <vt:i4>0</vt:i4>
      </vt:variant>
      <vt:variant>
        <vt:i4>5</vt:i4>
      </vt:variant>
      <vt:variant>
        <vt:lpwstr>http://www.nevo.co.il/case/21472796</vt:lpwstr>
      </vt:variant>
      <vt:variant>
        <vt:lpwstr/>
      </vt:variant>
      <vt:variant>
        <vt:i4>4063353</vt:i4>
      </vt:variant>
      <vt:variant>
        <vt:i4>48</vt:i4>
      </vt:variant>
      <vt:variant>
        <vt:i4>0</vt:i4>
      </vt:variant>
      <vt:variant>
        <vt:i4>5</vt:i4>
      </vt:variant>
      <vt:variant>
        <vt:lpwstr>http://www.nevo.co.il/case/20683594</vt:lpwstr>
      </vt:variant>
      <vt:variant>
        <vt:lpwstr/>
      </vt:variant>
      <vt:variant>
        <vt:i4>2752612</vt:i4>
      </vt:variant>
      <vt:variant>
        <vt:i4>45</vt:i4>
      </vt:variant>
      <vt:variant>
        <vt:i4>0</vt:i4>
      </vt:variant>
      <vt:variant>
        <vt:i4>5</vt:i4>
      </vt:variant>
      <vt:variant>
        <vt:lpwstr>http://www.nevo.co.il/law/4216/7.c</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2025-04-23T01:10:00Z</dcterms:created>
  <dcterms:modified xsi:type="dcterms:W3CDTF">2025-04-23T01:10:00Z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25089</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מיקי דהן</vt:lpwstr>
  </property>
  <property fmtid="{D5CDD505-2E9C-101B-9397-08002B2CF9AE}" pid="10" name="LAWYER">
    <vt:lpwstr>דואק;איצקוביץ</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20240908</vt:lpwstr>
  </property>
  <property fmtid="{D5CDD505-2E9C-101B-9397-08002B2CF9AE}" pid="14" name="TYPE_N_DATE">
    <vt:lpwstr>38020240908</vt:lpwstr>
  </property>
  <property fmtid="{D5CDD505-2E9C-101B-9397-08002B2CF9AE}" pid="15" name="WORDNUMPAGES">
    <vt:lpwstr>7</vt:lpwstr>
  </property>
  <property fmtid="{D5CDD505-2E9C-101B-9397-08002B2CF9AE}" pid="16" name="TYPE_ABS_DATE">
    <vt:lpwstr>380020240908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20683594;21472796;24287803;25977712;20787902;27592536;23859961;24924545;26369262</vt:lpwstr>
  </property>
  <property fmtid="{D5CDD505-2E9C-101B-9397-08002B2CF9AE}" pid="36" name="LAWLISTTMP1">
    <vt:lpwstr>4216/013:4;007.c</vt:lpwstr>
  </property>
  <property fmtid="{D5CDD505-2E9C-101B-9397-08002B2CF9AE}" pid="37" name="LAWLISTTMP2">
    <vt:lpwstr>70301/029:4</vt:lpwstr>
  </property>
</Properties>
</file>