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1383"/>
        <w:gridCol w:w="2980"/>
        <w:gridCol w:w="315"/>
      </w:tblGrid>
      <w:tr w:rsidR="00F912A9" w:rsidRPr="0011038E" w14:paraId="197E6F83" w14:textId="77777777" w:rsidTr="000812BA">
        <w:trPr>
          <w:gridAfter w:val="1"/>
          <w:wAfter w:w="315" w:type="dxa"/>
          <w:trHeight w:hRule="exact" w:val="418"/>
          <w:jc w:val="center"/>
        </w:trPr>
        <w:tc>
          <w:tcPr>
            <w:tcW w:w="8505" w:type="dxa"/>
            <w:gridSpan w:val="4"/>
          </w:tcPr>
          <w:p w14:paraId="28DBF623" w14:textId="77777777" w:rsidR="00F912A9" w:rsidRPr="0011038E" w:rsidRDefault="00F912A9" w:rsidP="001C7284">
            <w:pPr>
              <w:pStyle w:val="a3"/>
              <w:jc w:val="center"/>
              <w:rPr>
                <w:rFonts w:ascii="Tahoma" w:hAnsi="Tahoma" w:cs="Tahoma"/>
                <w:color w:val="000080"/>
                <w:rtl/>
              </w:rPr>
            </w:pPr>
            <w:r w:rsidRPr="0011038E">
              <w:rPr>
                <w:rFonts w:ascii="Tahoma" w:hAnsi="Tahoma" w:cs="Tahoma"/>
                <w:b/>
                <w:bCs/>
                <w:color w:val="000080"/>
                <w:rtl/>
              </w:rPr>
              <w:t>בית משפט השלום בבאר שבע</w:t>
            </w:r>
          </w:p>
        </w:tc>
      </w:tr>
      <w:tr w:rsidR="00F912A9" w:rsidRPr="0011038E" w14:paraId="4BF72617" w14:textId="77777777" w:rsidTr="000812BA">
        <w:trPr>
          <w:gridAfter w:val="1"/>
          <w:wAfter w:w="315" w:type="dxa"/>
          <w:trHeight w:val="337"/>
          <w:jc w:val="center"/>
        </w:trPr>
        <w:tc>
          <w:tcPr>
            <w:tcW w:w="5525" w:type="dxa"/>
            <w:gridSpan w:val="3"/>
          </w:tcPr>
          <w:p w14:paraId="2288C36B" w14:textId="77777777" w:rsidR="00F912A9" w:rsidRPr="0011038E" w:rsidRDefault="00F912A9" w:rsidP="001C7284">
            <w:pPr>
              <w:rPr>
                <w:rFonts w:ascii="David" w:hAnsi="David"/>
                <w:b/>
                <w:bCs/>
                <w:sz w:val="28"/>
                <w:szCs w:val="28"/>
                <w:rtl/>
              </w:rPr>
            </w:pPr>
            <w:r w:rsidRPr="0011038E">
              <w:rPr>
                <w:rFonts w:ascii="David" w:hAnsi="David"/>
                <w:b/>
                <w:bCs/>
                <w:sz w:val="28"/>
                <w:szCs w:val="28"/>
                <w:rtl/>
              </w:rPr>
              <w:t>ת"פ 26526-09-21 מדינת ישראל נ' רדאי(עציר)</w:t>
            </w:r>
          </w:p>
          <w:p w14:paraId="73BD96A4" w14:textId="77777777" w:rsidR="00F912A9" w:rsidRPr="0011038E" w:rsidRDefault="00F912A9" w:rsidP="001C7284">
            <w:pPr>
              <w:pStyle w:val="a3"/>
              <w:rPr>
                <w:rFonts w:cs="FrankRuehl"/>
                <w:sz w:val="28"/>
                <w:szCs w:val="28"/>
                <w:rtl/>
              </w:rPr>
            </w:pPr>
          </w:p>
        </w:tc>
        <w:tc>
          <w:tcPr>
            <w:tcW w:w="2980" w:type="dxa"/>
          </w:tcPr>
          <w:p w14:paraId="4B490950" w14:textId="77777777" w:rsidR="00F912A9" w:rsidRPr="0011038E" w:rsidRDefault="00F912A9" w:rsidP="001C7284">
            <w:pPr>
              <w:pStyle w:val="a3"/>
              <w:jc w:val="right"/>
              <w:rPr>
                <w:rFonts w:cs="FrankRuehl"/>
                <w:sz w:val="28"/>
                <w:szCs w:val="28"/>
                <w:rtl/>
              </w:rPr>
            </w:pPr>
          </w:p>
        </w:tc>
      </w:tr>
      <w:tr w:rsidR="00F912A9" w:rsidRPr="0011038E" w14:paraId="3DF3F936" w14:textId="77777777" w:rsidTr="000812B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637D2D00" w14:textId="77777777" w:rsidR="00F912A9" w:rsidRPr="0011038E" w:rsidRDefault="00F912A9" w:rsidP="00F912A9">
            <w:pPr>
              <w:jc w:val="both"/>
              <w:rPr>
                <w:rFonts w:ascii="David" w:hAnsi="David"/>
                <w:b/>
                <w:bCs/>
                <w:sz w:val="26"/>
                <w:szCs w:val="26"/>
              </w:rPr>
            </w:pPr>
            <w:r w:rsidRPr="0011038E">
              <w:rPr>
                <w:rFonts w:hint="cs"/>
                <w:rtl/>
              </w:rPr>
              <w:t xml:space="preserve"> </w:t>
            </w:r>
            <w:r w:rsidRPr="0011038E">
              <w:rPr>
                <w:rFonts w:ascii="David" w:hAnsi="David"/>
                <w:b/>
                <w:bCs/>
                <w:sz w:val="26"/>
                <w:szCs w:val="26"/>
                <w:rtl/>
              </w:rPr>
              <w:t xml:space="preserve">בפני </w:t>
            </w:r>
          </w:p>
        </w:tc>
        <w:tc>
          <w:tcPr>
            <w:tcW w:w="7897" w:type="dxa"/>
            <w:gridSpan w:val="4"/>
            <w:tcBorders>
              <w:top w:val="nil"/>
              <w:left w:val="nil"/>
              <w:bottom w:val="nil"/>
              <w:right w:val="nil"/>
            </w:tcBorders>
            <w:shd w:val="clear" w:color="auto" w:fill="auto"/>
          </w:tcPr>
          <w:p w14:paraId="54344160" w14:textId="77777777" w:rsidR="00F912A9" w:rsidRPr="0011038E" w:rsidRDefault="00F912A9" w:rsidP="001C7284">
            <w:pPr>
              <w:rPr>
                <w:rFonts w:ascii="David" w:hAnsi="David"/>
                <w:b/>
                <w:bCs/>
                <w:sz w:val="26"/>
                <w:szCs w:val="26"/>
                <w:rtl/>
              </w:rPr>
            </w:pPr>
            <w:r w:rsidRPr="0011038E">
              <w:rPr>
                <w:rFonts w:ascii="David" w:hAnsi="David"/>
                <w:b/>
                <w:bCs/>
                <w:sz w:val="26"/>
                <w:szCs w:val="26"/>
                <w:rtl/>
              </w:rPr>
              <w:t>כבוד השופטת, סגנית הנשיא  ענת חולתא</w:t>
            </w:r>
          </w:p>
          <w:p w14:paraId="73BCDAAF" w14:textId="77777777" w:rsidR="00F912A9" w:rsidRPr="0011038E" w:rsidRDefault="00F912A9" w:rsidP="001C7284">
            <w:pPr>
              <w:rPr>
                <w:rFonts w:ascii="David" w:hAnsi="David"/>
                <w:b/>
                <w:bCs/>
                <w:sz w:val="26"/>
                <w:szCs w:val="26"/>
                <w:rtl/>
              </w:rPr>
            </w:pPr>
          </w:p>
          <w:p w14:paraId="2F1E7179" w14:textId="77777777" w:rsidR="00F912A9" w:rsidRPr="0011038E" w:rsidRDefault="00F912A9" w:rsidP="00F912A9">
            <w:pPr>
              <w:jc w:val="both"/>
              <w:rPr>
                <w:rFonts w:ascii="David" w:hAnsi="David"/>
                <w:b/>
                <w:bCs/>
                <w:sz w:val="26"/>
                <w:szCs w:val="26"/>
              </w:rPr>
            </w:pPr>
          </w:p>
        </w:tc>
      </w:tr>
      <w:tr w:rsidR="00F912A9" w:rsidRPr="0011038E" w14:paraId="20ED840B" w14:textId="77777777" w:rsidTr="000812B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3AC66AE" w14:textId="77777777" w:rsidR="00F912A9" w:rsidRPr="0011038E" w:rsidRDefault="00F912A9" w:rsidP="00F912A9">
            <w:pPr>
              <w:jc w:val="both"/>
              <w:rPr>
                <w:rFonts w:ascii="David" w:hAnsi="David"/>
                <w:b/>
                <w:bCs/>
                <w:sz w:val="26"/>
                <w:szCs w:val="26"/>
              </w:rPr>
            </w:pPr>
            <w:bookmarkStart w:id="0" w:name="FirstAppellant"/>
            <w:bookmarkStart w:id="1" w:name="FirstLawyer"/>
            <w:bookmarkStart w:id="2" w:name="LastJudge"/>
            <w:bookmarkEnd w:id="2"/>
            <w:r w:rsidRPr="0011038E">
              <w:rPr>
                <w:rFonts w:ascii="David" w:hAnsi="David"/>
                <w:b/>
                <w:bCs/>
                <w:sz w:val="26"/>
                <w:szCs w:val="26"/>
                <w:rtl/>
              </w:rPr>
              <w:t>בעניין:</w:t>
            </w:r>
          </w:p>
        </w:tc>
        <w:tc>
          <w:tcPr>
            <w:tcW w:w="3219" w:type="dxa"/>
            <w:tcBorders>
              <w:top w:val="nil"/>
              <w:left w:val="nil"/>
              <w:bottom w:val="nil"/>
              <w:right w:val="nil"/>
            </w:tcBorders>
            <w:shd w:val="clear" w:color="auto" w:fill="auto"/>
          </w:tcPr>
          <w:p w14:paraId="17EC07CA" w14:textId="77777777" w:rsidR="00F912A9" w:rsidRPr="0011038E" w:rsidRDefault="00F912A9" w:rsidP="00F912A9">
            <w:pPr>
              <w:suppressLineNumbers/>
              <w:rPr>
                <w:b/>
                <w:bCs/>
              </w:rPr>
            </w:pPr>
            <w:r w:rsidRPr="0011038E">
              <w:rPr>
                <w:rFonts w:ascii="Arial" w:hAnsi="Arial" w:hint="cs"/>
                <w:b/>
                <w:bCs/>
                <w:sz w:val="26"/>
                <w:szCs w:val="26"/>
                <w:rtl/>
              </w:rPr>
              <w:t>ה</w:t>
            </w:r>
            <w:r w:rsidRPr="0011038E">
              <w:rPr>
                <w:rFonts w:ascii="Arial" w:hAnsi="Arial"/>
                <w:b/>
                <w:bCs/>
                <w:sz w:val="26"/>
                <w:szCs w:val="26"/>
                <w:rtl/>
              </w:rPr>
              <w:t>מאשימה</w:t>
            </w:r>
          </w:p>
          <w:p w14:paraId="54F39D68" w14:textId="77777777" w:rsidR="00F912A9" w:rsidRPr="0011038E" w:rsidRDefault="00F912A9" w:rsidP="001C7284">
            <w:pPr>
              <w:rPr>
                <w:rFonts w:ascii="David" w:hAnsi="David"/>
                <w:b/>
                <w:bCs/>
                <w:sz w:val="26"/>
                <w:szCs w:val="26"/>
              </w:rPr>
            </w:pPr>
          </w:p>
        </w:tc>
        <w:tc>
          <w:tcPr>
            <w:tcW w:w="4678" w:type="dxa"/>
            <w:gridSpan w:val="3"/>
            <w:tcBorders>
              <w:top w:val="nil"/>
              <w:left w:val="nil"/>
              <w:bottom w:val="nil"/>
              <w:right w:val="nil"/>
            </w:tcBorders>
            <w:shd w:val="clear" w:color="auto" w:fill="auto"/>
            <w:vAlign w:val="center"/>
          </w:tcPr>
          <w:p w14:paraId="20EA947F" w14:textId="77777777" w:rsidR="00F912A9" w:rsidRPr="0011038E" w:rsidRDefault="00F912A9" w:rsidP="00F912A9">
            <w:pPr>
              <w:suppressLineNumbers/>
              <w:rPr>
                <w:b/>
                <w:bCs/>
              </w:rPr>
            </w:pPr>
            <w:r w:rsidRPr="0011038E">
              <w:rPr>
                <w:rFonts w:ascii="Arial" w:hAnsi="Arial"/>
                <w:b/>
                <w:bCs/>
                <w:sz w:val="26"/>
                <w:szCs w:val="26"/>
                <w:rtl/>
              </w:rPr>
              <w:t>מדינת ישראל</w:t>
            </w:r>
            <w:r w:rsidRPr="0011038E">
              <w:rPr>
                <w:rFonts w:ascii="Arial" w:hAnsi="Arial" w:hint="cs"/>
                <w:b/>
                <w:bCs/>
                <w:sz w:val="26"/>
                <w:szCs w:val="26"/>
                <w:rtl/>
              </w:rPr>
              <w:t>-פמ"ד</w:t>
            </w:r>
          </w:p>
          <w:p w14:paraId="624F8D53" w14:textId="77777777" w:rsidR="00F912A9" w:rsidRPr="0011038E" w:rsidRDefault="00F912A9" w:rsidP="001C7284">
            <w:pPr>
              <w:rPr>
                <w:rFonts w:ascii="David" w:hAnsi="David"/>
                <w:b/>
                <w:bCs/>
                <w:sz w:val="26"/>
                <w:szCs w:val="26"/>
              </w:rPr>
            </w:pPr>
            <w:r w:rsidRPr="0011038E">
              <w:rPr>
                <w:rFonts w:ascii="David" w:hAnsi="David" w:hint="cs"/>
                <w:b/>
                <w:bCs/>
                <w:sz w:val="26"/>
                <w:szCs w:val="26"/>
                <w:rtl/>
              </w:rPr>
              <w:t>ע"י ב"כ המתמחה רותם אביטן</w:t>
            </w:r>
          </w:p>
        </w:tc>
      </w:tr>
      <w:bookmarkEnd w:id="0"/>
      <w:bookmarkEnd w:id="1"/>
      <w:tr w:rsidR="00F912A9" w:rsidRPr="0011038E" w14:paraId="41AC6AD8" w14:textId="77777777" w:rsidTr="000812B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2EF5A22" w14:textId="77777777" w:rsidR="00F912A9" w:rsidRPr="0011038E" w:rsidRDefault="00F912A9" w:rsidP="00F912A9">
            <w:pPr>
              <w:jc w:val="both"/>
              <w:rPr>
                <w:rFonts w:ascii="David" w:hAnsi="David"/>
                <w:b/>
                <w:bCs/>
                <w:sz w:val="26"/>
                <w:szCs w:val="26"/>
                <w:rtl/>
              </w:rPr>
            </w:pPr>
          </w:p>
        </w:tc>
        <w:tc>
          <w:tcPr>
            <w:tcW w:w="7897" w:type="dxa"/>
            <w:gridSpan w:val="4"/>
            <w:tcBorders>
              <w:top w:val="nil"/>
              <w:left w:val="nil"/>
              <w:bottom w:val="nil"/>
              <w:right w:val="nil"/>
            </w:tcBorders>
            <w:shd w:val="clear" w:color="auto" w:fill="auto"/>
          </w:tcPr>
          <w:p w14:paraId="4361B6C6" w14:textId="77777777" w:rsidR="00F912A9" w:rsidRPr="0011038E" w:rsidRDefault="00F912A9" w:rsidP="00F912A9">
            <w:pPr>
              <w:jc w:val="center"/>
              <w:rPr>
                <w:rFonts w:ascii="David" w:hAnsi="David"/>
                <w:b/>
                <w:bCs/>
                <w:sz w:val="26"/>
                <w:szCs w:val="26"/>
                <w:rtl/>
              </w:rPr>
            </w:pPr>
          </w:p>
          <w:p w14:paraId="16AD9D67" w14:textId="77777777" w:rsidR="00F912A9" w:rsidRPr="0011038E" w:rsidRDefault="00F912A9" w:rsidP="00F912A9">
            <w:pPr>
              <w:jc w:val="center"/>
              <w:rPr>
                <w:rFonts w:ascii="David" w:hAnsi="David"/>
                <w:b/>
                <w:bCs/>
                <w:sz w:val="26"/>
                <w:szCs w:val="26"/>
                <w:rtl/>
              </w:rPr>
            </w:pPr>
            <w:r w:rsidRPr="0011038E">
              <w:rPr>
                <w:rFonts w:ascii="David" w:hAnsi="David"/>
                <w:b/>
                <w:bCs/>
                <w:sz w:val="26"/>
                <w:szCs w:val="26"/>
                <w:rtl/>
              </w:rPr>
              <w:t>נגד</w:t>
            </w:r>
          </w:p>
          <w:p w14:paraId="1D7C393C" w14:textId="77777777" w:rsidR="00F912A9" w:rsidRPr="0011038E" w:rsidRDefault="00F912A9" w:rsidP="00F912A9">
            <w:pPr>
              <w:jc w:val="both"/>
              <w:rPr>
                <w:rFonts w:ascii="David" w:hAnsi="David"/>
                <w:b/>
                <w:bCs/>
                <w:sz w:val="26"/>
                <w:szCs w:val="26"/>
              </w:rPr>
            </w:pPr>
          </w:p>
        </w:tc>
      </w:tr>
      <w:tr w:rsidR="00F912A9" w:rsidRPr="0011038E" w14:paraId="4F03FD1A" w14:textId="77777777" w:rsidTr="000812B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E8BB537" w14:textId="77777777" w:rsidR="00F912A9" w:rsidRPr="0011038E" w:rsidRDefault="00F912A9" w:rsidP="001C7284">
            <w:pPr>
              <w:rPr>
                <w:rFonts w:ascii="David" w:hAnsi="David"/>
                <w:b/>
                <w:bCs/>
                <w:sz w:val="26"/>
                <w:szCs w:val="26"/>
                <w:rtl/>
              </w:rPr>
            </w:pPr>
          </w:p>
        </w:tc>
        <w:tc>
          <w:tcPr>
            <w:tcW w:w="3219" w:type="dxa"/>
            <w:tcBorders>
              <w:top w:val="nil"/>
              <w:left w:val="nil"/>
              <w:bottom w:val="nil"/>
              <w:right w:val="nil"/>
            </w:tcBorders>
            <w:shd w:val="clear" w:color="auto" w:fill="auto"/>
          </w:tcPr>
          <w:p w14:paraId="20B3C32B" w14:textId="77777777" w:rsidR="00F912A9" w:rsidRPr="0011038E" w:rsidRDefault="00F912A9" w:rsidP="001C7284">
            <w:pPr>
              <w:rPr>
                <w:rFonts w:ascii="Arial" w:hAnsi="Arial"/>
                <w:b/>
                <w:bCs/>
                <w:sz w:val="26"/>
                <w:szCs w:val="26"/>
                <w:rtl/>
              </w:rPr>
            </w:pPr>
            <w:r w:rsidRPr="0011038E">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2B530756" w14:textId="77777777" w:rsidR="00F912A9" w:rsidRPr="0011038E" w:rsidRDefault="00F912A9" w:rsidP="00F912A9">
            <w:pPr>
              <w:suppressLineNumbers/>
              <w:rPr>
                <w:b/>
                <w:bCs/>
              </w:rPr>
            </w:pPr>
            <w:r w:rsidRPr="0011038E">
              <w:rPr>
                <w:rFonts w:ascii="Arial" w:hAnsi="Arial"/>
                <w:b/>
                <w:bCs/>
                <w:sz w:val="26"/>
                <w:szCs w:val="26"/>
                <w:rtl/>
              </w:rPr>
              <w:t>מסרשאו רדאי (עציר)</w:t>
            </w:r>
            <w:r w:rsidRPr="0011038E">
              <w:rPr>
                <w:rFonts w:ascii="Arial" w:hAnsi="Arial" w:hint="cs"/>
                <w:b/>
                <w:bCs/>
                <w:sz w:val="26"/>
                <w:szCs w:val="26"/>
                <w:rtl/>
              </w:rPr>
              <w:t>-ויעוד חזותי</w:t>
            </w:r>
          </w:p>
          <w:p w14:paraId="2B4D495B" w14:textId="77777777" w:rsidR="00F912A9" w:rsidRPr="0011038E" w:rsidRDefault="00F912A9" w:rsidP="001C7284">
            <w:pPr>
              <w:rPr>
                <w:rFonts w:ascii="David" w:hAnsi="David"/>
                <w:b/>
                <w:bCs/>
                <w:sz w:val="26"/>
                <w:szCs w:val="26"/>
              </w:rPr>
            </w:pPr>
            <w:r w:rsidRPr="0011038E">
              <w:rPr>
                <w:rFonts w:ascii="David" w:hAnsi="David" w:hint="cs"/>
                <w:b/>
                <w:bCs/>
                <w:sz w:val="26"/>
                <w:szCs w:val="26"/>
                <w:rtl/>
              </w:rPr>
              <w:t>ע"י ב"כ עו"ד אלכס גאוסקין</w:t>
            </w:r>
          </w:p>
        </w:tc>
      </w:tr>
    </w:tbl>
    <w:p w14:paraId="6711AE80" w14:textId="77777777" w:rsidR="000812BA" w:rsidRDefault="000812BA" w:rsidP="0011038E">
      <w:pPr>
        <w:rPr>
          <w:sz w:val="26"/>
          <w:szCs w:val="26"/>
          <w:rtl/>
        </w:rPr>
      </w:pPr>
    </w:p>
    <w:p w14:paraId="2C605F75" w14:textId="77777777" w:rsidR="000812BA" w:rsidRPr="000812BA" w:rsidRDefault="000812BA" w:rsidP="000812BA">
      <w:pPr>
        <w:spacing w:after="120" w:line="240" w:lineRule="exact"/>
        <w:ind w:left="283" w:hanging="283"/>
        <w:jc w:val="both"/>
        <w:rPr>
          <w:rFonts w:ascii="FrankRuehl" w:hAnsi="FrankRuehl" w:cs="FrankRuehl"/>
          <w:rtl/>
        </w:rPr>
      </w:pPr>
    </w:p>
    <w:p w14:paraId="083AE81E" w14:textId="77777777" w:rsidR="008F2E8E" w:rsidRPr="008F2E8E" w:rsidRDefault="008F2E8E" w:rsidP="008F2E8E">
      <w:pPr>
        <w:spacing w:before="120" w:after="120" w:line="240" w:lineRule="exact"/>
        <w:ind w:left="283" w:hanging="283"/>
        <w:jc w:val="both"/>
        <w:rPr>
          <w:rFonts w:ascii="FrankRuehl" w:hAnsi="FrankRuehl" w:cs="FrankRuehl"/>
          <w:rtl/>
        </w:rPr>
      </w:pPr>
    </w:p>
    <w:p w14:paraId="56E78DDB" w14:textId="77777777" w:rsidR="003C20AA" w:rsidRDefault="003C20AA" w:rsidP="003C20AA">
      <w:pPr>
        <w:rPr>
          <w:sz w:val="26"/>
          <w:szCs w:val="26"/>
          <w:rtl/>
        </w:rPr>
      </w:pPr>
      <w:bookmarkStart w:id="3" w:name="LawTable"/>
      <w:bookmarkEnd w:id="3"/>
    </w:p>
    <w:p w14:paraId="0C39E4ED" w14:textId="77777777" w:rsidR="003C20AA" w:rsidRPr="003C20AA" w:rsidRDefault="003C20AA" w:rsidP="003C20AA">
      <w:pPr>
        <w:spacing w:before="120" w:after="120" w:line="240" w:lineRule="exact"/>
        <w:ind w:left="283" w:hanging="283"/>
        <w:jc w:val="both"/>
        <w:rPr>
          <w:rFonts w:ascii="FrankRuehl" w:hAnsi="FrankRuehl" w:cs="FrankRuehl"/>
          <w:rtl/>
        </w:rPr>
      </w:pPr>
    </w:p>
    <w:p w14:paraId="24100DD3" w14:textId="77777777" w:rsidR="003C20AA" w:rsidRPr="003C20AA" w:rsidRDefault="003C20AA" w:rsidP="003C20AA">
      <w:pPr>
        <w:spacing w:before="120" w:after="120" w:line="240" w:lineRule="exact"/>
        <w:ind w:left="283" w:hanging="283"/>
        <w:jc w:val="both"/>
        <w:rPr>
          <w:rFonts w:ascii="FrankRuehl" w:hAnsi="FrankRuehl" w:cs="FrankRuehl"/>
          <w:rtl/>
        </w:rPr>
      </w:pPr>
    </w:p>
    <w:p w14:paraId="16EF1432" w14:textId="77777777" w:rsidR="003C20AA" w:rsidRPr="003C20AA" w:rsidRDefault="003C20AA" w:rsidP="003C20AA">
      <w:pPr>
        <w:spacing w:before="120" w:after="120" w:line="240" w:lineRule="exact"/>
        <w:ind w:left="283" w:hanging="283"/>
        <w:jc w:val="both"/>
        <w:rPr>
          <w:rFonts w:ascii="FrankRuehl" w:hAnsi="FrankRuehl" w:cs="FrankRuehl"/>
          <w:rtl/>
        </w:rPr>
      </w:pPr>
      <w:r w:rsidRPr="003C20AA">
        <w:rPr>
          <w:rFonts w:ascii="FrankRuehl" w:hAnsi="FrankRuehl" w:cs="FrankRuehl"/>
          <w:rtl/>
        </w:rPr>
        <w:t xml:space="preserve">חקיקה שאוזכרה: </w:t>
      </w:r>
    </w:p>
    <w:p w14:paraId="6CE69302" w14:textId="77777777" w:rsidR="003C20AA" w:rsidRPr="003C20AA" w:rsidRDefault="003C20AA" w:rsidP="003C20AA">
      <w:pPr>
        <w:spacing w:before="120" w:after="120" w:line="240" w:lineRule="exact"/>
        <w:ind w:left="283" w:hanging="283"/>
        <w:jc w:val="both"/>
        <w:rPr>
          <w:rFonts w:ascii="FrankRuehl" w:hAnsi="FrankRuehl" w:cs="FrankRuehl"/>
          <w:rtl/>
        </w:rPr>
      </w:pPr>
      <w:hyperlink r:id="rId7" w:history="1">
        <w:r w:rsidRPr="003C20AA">
          <w:rPr>
            <w:rFonts w:ascii="FrankRuehl" w:hAnsi="FrankRuehl" w:cs="FrankRuehl"/>
            <w:color w:val="0000FF"/>
            <w:rtl/>
          </w:rPr>
          <w:t>חוק הגנה על הציבור מפני ביצוע עבירות מין, תשס"ו-2006</w:t>
        </w:r>
      </w:hyperlink>
      <w:r w:rsidRPr="003C20AA">
        <w:rPr>
          <w:rFonts w:ascii="FrankRuehl" w:hAnsi="FrankRuehl" w:cs="FrankRuehl"/>
          <w:rtl/>
        </w:rPr>
        <w:t xml:space="preserve">: סע'  </w:t>
      </w:r>
      <w:hyperlink r:id="rId8" w:history="1">
        <w:r w:rsidRPr="003C20AA">
          <w:rPr>
            <w:rFonts w:ascii="FrankRuehl" w:hAnsi="FrankRuehl" w:cs="FrankRuehl"/>
            <w:color w:val="0000FF"/>
            <w:rtl/>
          </w:rPr>
          <w:t>22(א)</w:t>
        </w:r>
      </w:hyperlink>
    </w:p>
    <w:p w14:paraId="64A2B38D" w14:textId="77777777" w:rsidR="003C20AA" w:rsidRPr="003C20AA" w:rsidRDefault="003C20AA" w:rsidP="003C20AA">
      <w:pPr>
        <w:spacing w:before="120" w:after="120" w:line="240" w:lineRule="exact"/>
        <w:ind w:left="283" w:hanging="283"/>
        <w:jc w:val="both"/>
        <w:rPr>
          <w:rFonts w:ascii="FrankRuehl" w:hAnsi="FrankRuehl" w:cs="FrankRuehl"/>
          <w:rtl/>
        </w:rPr>
      </w:pPr>
      <w:hyperlink r:id="rId9" w:history="1">
        <w:r w:rsidRPr="003C20AA">
          <w:rPr>
            <w:rFonts w:ascii="FrankRuehl" w:hAnsi="FrankRuehl" w:cs="FrankRuehl"/>
            <w:color w:val="0000FF"/>
            <w:rtl/>
          </w:rPr>
          <w:t>פקודת הסמים המסוכנים [נוסח חדש], תשל"ג-1973</w:t>
        </w:r>
      </w:hyperlink>
      <w:r w:rsidRPr="003C20AA">
        <w:rPr>
          <w:rFonts w:ascii="FrankRuehl" w:hAnsi="FrankRuehl" w:cs="FrankRuehl"/>
          <w:rtl/>
        </w:rPr>
        <w:t xml:space="preserve">: סע'  </w:t>
      </w:r>
      <w:hyperlink r:id="rId10" w:history="1">
        <w:r w:rsidRPr="003C20AA">
          <w:rPr>
            <w:rFonts w:ascii="FrankRuehl" w:hAnsi="FrankRuehl" w:cs="FrankRuehl"/>
            <w:color w:val="0000FF"/>
            <w:rtl/>
          </w:rPr>
          <w:t>7(א)</w:t>
        </w:r>
      </w:hyperlink>
      <w:r w:rsidRPr="003C20AA">
        <w:rPr>
          <w:rFonts w:ascii="FrankRuehl" w:hAnsi="FrankRuehl" w:cs="FrankRuehl"/>
          <w:rtl/>
        </w:rPr>
        <w:t xml:space="preserve">, </w:t>
      </w:r>
      <w:hyperlink r:id="rId11" w:history="1">
        <w:r w:rsidRPr="003C20AA">
          <w:rPr>
            <w:rFonts w:ascii="FrankRuehl" w:hAnsi="FrankRuehl" w:cs="FrankRuehl"/>
            <w:color w:val="0000FF"/>
            <w:rtl/>
          </w:rPr>
          <w:t>7(ג)</w:t>
        </w:r>
      </w:hyperlink>
    </w:p>
    <w:p w14:paraId="50CF23EE" w14:textId="77777777" w:rsidR="003C20AA" w:rsidRPr="003C20AA" w:rsidRDefault="003C20AA" w:rsidP="003C20AA">
      <w:pPr>
        <w:rPr>
          <w:sz w:val="26"/>
          <w:szCs w:val="26"/>
          <w:rtl/>
        </w:rPr>
      </w:pPr>
      <w:bookmarkStart w:id="4" w:name="LawTable_End"/>
      <w:bookmarkEnd w:id="4"/>
    </w:p>
    <w:p w14:paraId="35A23708" w14:textId="77777777" w:rsidR="00F912A9" w:rsidRPr="008F2E8E" w:rsidRDefault="00F912A9" w:rsidP="008F2E8E">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912A9" w14:paraId="6125B08B" w14:textId="77777777" w:rsidTr="00F912A9">
        <w:trPr>
          <w:trHeight w:val="355"/>
          <w:jc w:val="center"/>
        </w:trPr>
        <w:tc>
          <w:tcPr>
            <w:tcW w:w="8820" w:type="dxa"/>
            <w:tcBorders>
              <w:top w:val="nil"/>
              <w:left w:val="nil"/>
              <w:bottom w:val="nil"/>
              <w:right w:val="nil"/>
            </w:tcBorders>
            <w:shd w:val="clear" w:color="auto" w:fill="auto"/>
          </w:tcPr>
          <w:p w14:paraId="2B25F205" w14:textId="77777777" w:rsidR="0011038E" w:rsidRPr="0011038E" w:rsidRDefault="0011038E" w:rsidP="0011038E">
            <w:pPr>
              <w:jc w:val="center"/>
              <w:rPr>
                <w:rFonts w:ascii="David" w:hAnsi="David"/>
                <w:b/>
                <w:bCs/>
                <w:sz w:val="32"/>
                <w:szCs w:val="32"/>
                <w:u w:val="single"/>
                <w:rtl/>
              </w:rPr>
            </w:pPr>
            <w:bookmarkStart w:id="5" w:name="PsakDin" w:colFirst="0" w:colLast="0"/>
            <w:r w:rsidRPr="0011038E">
              <w:rPr>
                <w:rFonts w:ascii="David" w:hAnsi="David"/>
                <w:b/>
                <w:bCs/>
                <w:sz w:val="32"/>
                <w:szCs w:val="32"/>
                <w:u w:val="single"/>
                <w:rtl/>
              </w:rPr>
              <w:t>גזר דין</w:t>
            </w:r>
          </w:p>
          <w:p w14:paraId="69C26190" w14:textId="77777777" w:rsidR="00F912A9" w:rsidRPr="0011038E" w:rsidRDefault="00F912A9" w:rsidP="0011038E">
            <w:pPr>
              <w:jc w:val="center"/>
              <w:rPr>
                <w:rFonts w:ascii="David" w:hAnsi="David"/>
                <w:bCs/>
                <w:sz w:val="32"/>
                <w:szCs w:val="32"/>
                <w:u w:val="single"/>
                <w:rtl/>
              </w:rPr>
            </w:pPr>
          </w:p>
        </w:tc>
      </w:tr>
      <w:bookmarkEnd w:id="5"/>
    </w:tbl>
    <w:p w14:paraId="7DF2BF86" w14:textId="77777777" w:rsidR="00F912A9" w:rsidRPr="000F2247" w:rsidRDefault="00F912A9" w:rsidP="00F912A9">
      <w:pPr>
        <w:rPr>
          <w:rFonts w:ascii="Arial" w:hAnsi="Arial"/>
          <w:b/>
          <w:bCs/>
          <w:sz w:val="26"/>
          <w:szCs w:val="26"/>
          <w:rtl/>
        </w:rPr>
      </w:pPr>
    </w:p>
    <w:p w14:paraId="64AA819F" w14:textId="77777777" w:rsidR="00F912A9" w:rsidRPr="00F65F57" w:rsidRDefault="00F912A9" w:rsidP="00F912A9">
      <w:pPr>
        <w:spacing w:after="160" w:line="360" w:lineRule="auto"/>
        <w:jc w:val="both"/>
        <w:rPr>
          <w:rFonts w:ascii="David" w:hAnsi="David"/>
          <w:b/>
          <w:bCs/>
          <w:u w:val="single"/>
          <w:rtl/>
        </w:rPr>
      </w:pPr>
      <w:r w:rsidRPr="00F65F57">
        <w:rPr>
          <w:rFonts w:ascii="David" w:hAnsi="David"/>
          <w:b/>
          <w:bCs/>
          <w:u w:val="single"/>
          <w:rtl/>
        </w:rPr>
        <w:t>רקע</w:t>
      </w:r>
    </w:p>
    <w:p w14:paraId="7C3B9A08" w14:textId="77777777" w:rsidR="00F912A9" w:rsidRPr="00F65F57" w:rsidRDefault="00F912A9" w:rsidP="00F912A9">
      <w:pPr>
        <w:numPr>
          <w:ilvl w:val="0"/>
          <w:numId w:val="1"/>
        </w:numPr>
        <w:spacing w:after="160" w:line="360" w:lineRule="auto"/>
        <w:contextualSpacing/>
        <w:jc w:val="both"/>
        <w:rPr>
          <w:rFonts w:ascii="David" w:hAnsi="David"/>
          <w:rtl/>
        </w:rPr>
      </w:pPr>
      <w:bookmarkStart w:id="6" w:name="ABSTRACT_START"/>
      <w:bookmarkEnd w:id="6"/>
      <w:r w:rsidRPr="00F65F57">
        <w:rPr>
          <w:rFonts w:ascii="David" w:hAnsi="David"/>
          <w:rtl/>
        </w:rPr>
        <w:t>בתאריך 18.11.21 הורשע הנאשם, בהתאם להודאתו בכתב האישום המקורי, במספר עבירות כדלקמן:</w:t>
      </w:r>
      <w:r w:rsidRPr="00F65F57">
        <w:rPr>
          <w:rFonts w:ascii="David" w:hAnsi="David"/>
        </w:rPr>
        <w:t xml:space="preserve"> </w:t>
      </w:r>
    </w:p>
    <w:p w14:paraId="15912CFB" w14:textId="77777777" w:rsidR="00F912A9" w:rsidRPr="00F65F57" w:rsidRDefault="00F912A9" w:rsidP="00F912A9">
      <w:pPr>
        <w:spacing w:after="160" w:line="360" w:lineRule="auto"/>
        <w:ind w:left="720"/>
        <w:contextualSpacing/>
        <w:jc w:val="both"/>
        <w:rPr>
          <w:rFonts w:ascii="David" w:hAnsi="David"/>
          <w:rtl/>
        </w:rPr>
      </w:pPr>
      <w:r w:rsidRPr="00F65F57">
        <w:rPr>
          <w:rFonts w:ascii="David" w:hAnsi="David"/>
          <w:rtl/>
        </w:rPr>
        <w:t xml:space="preserve">שלוש עבירות של </w:t>
      </w:r>
      <w:r w:rsidRPr="00F65F57">
        <w:rPr>
          <w:rFonts w:ascii="David" w:hAnsi="David"/>
          <w:b/>
          <w:bCs/>
          <w:rtl/>
        </w:rPr>
        <w:t>הפרת צו פיקוח</w:t>
      </w:r>
      <w:r w:rsidRPr="00F65F57">
        <w:rPr>
          <w:rFonts w:ascii="David" w:hAnsi="David"/>
          <w:rtl/>
        </w:rPr>
        <w:t xml:space="preserve"> לפי </w:t>
      </w:r>
      <w:hyperlink r:id="rId12" w:history="1">
        <w:r w:rsidR="000812BA" w:rsidRPr="000812BA">
          <w:rPr>
            <w:rStyle w:val="Hyperlink"/>
            <w:rFonts w:ascii="David" w:hAnsi="David"/>
            <w:rtl/>
          </w:rPr>
          <w:t>סעיף 22(א)</w:t>
        </w:r>
      </w:hyperlink>
      <w:r w:rsidRPr="00F65F57">
        <w:rPr>
          <w:rFonts w:ascii="David" w:hAnsi="David"/>
          <w:rtl/>
        </w:rPr>
        <w:t xml:space="preserve"> ל</w:t>
      </w:r>
      <w:hyperlink r:id="rId13" w:history="1">
        <w:r w:rsidR="0011038E" w:rsidRPr="0011038E">
          <w:rPr>
            <w:rFonts w:ascii="David" w:hAnsi="David"/>
            <w:color w:val="0000FF"/>
            <w:u w:val="single"/>
            <w:rtl/>
          </w:rPr>
          <w:t>חוק ההגנה על הציבור מפני ביצוע עבירות מין</w:t>
        </w:r>
      </w:hyperlink>
      <w:r w:rsidRPr="00F65F57">
        <w:rPr>
          <w:rFonts w:ascii="David" w:hAnsi="David"/>
          <w:rtl/>
        </w:rPr>
        <w:t>, התשס"ה – 2006 (להלן:</w:t>
      </w:r>
      <w:r w:rsidRPr="00F65F57">
        <w:rPr>
          <w:rFonts w:ascii="David" w:hAnsi="David"/>
        </w:rPr>
        <w:t xml:space="preserve"> </w:t>
      </w:r>
      <w:r w:rsidRPr="00F65F57">
        <w:rPr>
          <w:rFonts w:ascii="David" w:hAnsi="David"/>
          <w:rtl/>
        </w:rPr>
        <w:t>"</w:t>
      </w:r>
      <w:r w:rsidRPr="00F65F57">
        <w:rPr>
          <w:rFonts w:ascii="David" w:hAnsi="David"/>
          <w:b/>
          <w:bCs/>
          <w:rtl/>
        </w:rPr>
        <w:t>חוק ההגנה"</w:t>
      </w:r>
      <w:r w:rsidRPr="00F65F57">
        <w:rPr>
          <w:rFonts w:ascii="David" w:hAnsi="David"/>
          <w:rtl/>
        </w:rPr>
        <w:t xml:space="preserve">). </w:t>
      </w:r>
    </w:p>
    <w:p w14:paraId="7D774743" w14:textId="77777777" w:rsidR="00F912A9" w:rsidRPr="00F65F57" w:rsidRDefault="00F912A9" w:rsidP="00F912A9">
      <w:pPr>
        <w:spacing w:after="160" w:line="360" w:lineRule="auto"/>
        <w:ind w:left="720"/>
        <w:contextualSpacing/>
        <w:jc w:val="both"/>
        <w:rPr>
          <w:rFonts w:ascii="David" w:hAnsi="David"/>
          <w:rtl/>
        </w:rPr>
      </w:pPr>
      <w:r w:rsidRPr="00F65F57">
        <w:rPr>
          <w:rFonts w:ascii="David" w:hAnsi="David"/>
          <w:rtl/>
        </w:rPr>
        <w:t xml:space="preserve">עבירת </w:t>
      </w:r>
      <w:r w:rsidRPr="00F65F57">
        <w:rPr>
          <w:rFonts w:ascii="David" w:hAnsi="David"/>
          <w:b/>
          <w:bCs/>
          <w:rtl/>
        </w:rPr>
        <w:t>החזקת סמים מסוכנים לצריכה עצמית</w:t>
      </w:r>
      <w:r w:rsidRPr="00F65F57">
        <w:rPr>
          <w:rFonts w:ascii="David" w:hAnsi="David"/>
          <w:rtl/>
        </w:rPr>
        <w:t xml:space="preserve"> לפי </w:t>
      </w:r>
      <w:hyperlink r:id="rId14" w:history="1">
        <w:r w:rsidR="000812BA" w:rsidRPr="000812BA">
          <w:rPr>
            <w:rStyle w:val="Hyperlink"/>
            <w:rFonts w:ascii="David" w:hAnsi="David"/>
            <w:rtl/>
          </w:rPr>
          <w:t>סעיף 7(א)</w:t>
        </w:r>
      </w:hyperlink>
      <w:r w:rsidRPr="00F65F57">
        <w:rPr>
          <w:rFonts w:ascii="David" w:hAnsi="David"/>
          <w:rtl/>
        </w:rPr>
        <w:t xml:space="preserve"> ו-</w:t>
      </w:r>
      <w:hyperlink r:id="rId15" w:history="1">
        <w:r w:rsidR="000812BA" w:rsidRPr="000812BA">
          <w:rPr>
            <w:rStyle w:val="Hyperlink"/>
            <w:rFonts w:ascii="David" w:hAnsi="David"/>
            <w:rtl/>
          </w:rPr>
          <w:t>7(ג)</w:t>
        </w:r>
      </w:hyperlink>
      <w:r w:rsidRPr="00F65F57">
        <w:rPr>
          <w:rFonts w:ascii="David" w:hAnsi="David"/>
          <w:rtl/>
        </w:rPr>
        <w:t xml:space="preserve"> ל</w:t>
      </w:r>
      <w:hyperlink r:id="rId16" w:history="1">
        <w:r w:rsidR="0011038E" w:rsidRPr="0011038E">
          <w:rPr>
            <w:rFonts w:ascii="David" w:hAnsi="David"/>
            <w:color w:val="0000FF"/>
            <w:u w:val="single"/>
            <w:rtl/>
          </w:rPr>
          <w:t>פקודת הסמים המסוכנים</w:t>
        </w:r>
      </w:hyperlink>
      <w:r w:rsidRPr="00F65F57">
        <w:rPr>
          <w:rFonts w:ascii="David" w:hAnsi="David"/>
          <w:rtl/>
        </w:rPr>
        <w:t xml:space="preserve">, התשל"ג – 1973. </w:t>
      </w:r>
    </w:p>
    <w:p w14:paraId="63F5CA60" w14:textId="77777777" w:rsidR="00F912A9" w:rsidRPr="00F65F57" w:rsidRDefault="00F912A9" w:rsidP="00F912A9">
      <w:pPr>
        <w:spacing w:after="160" w:line="360" w:lineRule="auto"/>
        <w:ind w:left="720"/>
        <w:contextualSpacing/>
        <w:jc w:val="both"/>
        <w:rPr>
          <w:rFonts w:ascii="David" w:hAnsi="David"/>
          <w:rtl/>
        </w:rPr>
      </w:pPr>
    </w:p>
    <w:p w14:paraId="6761BA96" w14:textId="77777777" w:rsidR="00F912A9" w:rsidRPr="00F65F57" w:rsidRDefault="00F912A9" w:rsidP="00F912A9">
      <w:pPr>
        <w:numPr>
          <w:ilvl w:val="0"/>
          <w:numId w:val="1"/>
        </w:numPr>
        <w:spacing w:after="160" w:line="360" w:lineRule="auto"/>
        <w:contextualSpacing/>
        <w:jc w:val="both"/>
        <w:rPr>
          <w:rFonts w:ascii="David" w:hAnsi="David"/>
        </w:rPr>
      </w:pPr>
      <w:bookmarkStart w:id="7" w:name="ABSTRACT_END"/>
      <w:bookmarkEnd w:id="7"/>
      <w:r w:rsidRPr="00F65F57">
        <w:rPr>
          <w:rFonts w:ascii="David" w:hAnsi="David"/>
          <w:rtl/>
        </w:rPr>
        <w:t>על פי האמור בכתב האישום, הנאשם נתון תחת צו פיקוח לפי חוק ההגנה מאז 24.12.20 ועד 25.2.23 המחייב אותו, בין היתר, לשתף פעולה עם קצין המבחן ולהימנע מצריכת אלכוהול או סמים, לרבות חומרים מסוכנים ("סמי פיצוציות").</w:t>
      </w:r>
    </w:p>
    <w:p w14:paraId="2B3FF40B" w14:textId="77777777" w:rsidR="00F912A9" w:rsidRPr="00F65F57" w:rsidRDefault="00F912A9" w:rsidP="00F912A9">
      <w:pPr>
        <w:spacing w:after="160" w:line="360" w:lineRule="auto"/>
        <w:ind w:left="720"/>
        <w:contextualSpacing/>
        <w:jc w:val="both"/>
        <w:rPr>
          <w:rFonts w:ascii="David" w:hAnsi="David"/>
          <w:rtl/>
        </w:rPr>
      </w:pPr>
    </w:p>
    <w:p w14:paraId="4F8224E2" w14:textId="77777777" w:rsidR="00F912A9" w:rsidRPr="00F65F57" w:rsidRDefault="00F912A9" w:rsidP="00F912A9">
      <w:pPr>
        <w:spacing w:after="160" w:line="360" w:lineRule="auto"/>
        <w:ind w:left="720"/>
        <w:contextualSpacing/>
        <w:jc w:val="both"/>
        <w:rPr>
          <w:rFonts w:ascii="David" w:hAnsi="David"/>
          <w:rtl/>
        </w:rPr>
      </w:pPr>
      <w:r w:rsidRPr="00F65F57">
        <w:rPr>
          <w:rFonts w:ascii="David" w:hAnsi="David"/>
          <w:rtl/>
        </w:rPr>
        <w:lastRenderedPageBreak/>
        <w:t xml:space="preserve">על פי </w:t>
      </w:r>
      <w:r w:rsidRPr="00F65F57">
        <w:rPr>
          <w:rFonts w:ascii="David" w:hAnsi="David"/>
          <w:b/>
          <w:bCs/>
          <w:rtl/>
        </w:rPr>
        <w:t>האישום הראשון</w:t>
      </w:r>
      <w:r w:rsidRPr="00F65F57">
        <w:rPr>
          <w:rFonts w:ascii="David" w:hAnsi="David"/>
          <w:rtl/>
        </w:rPr>
        <w:t>, ביום 12.5.21, סמוך לשעה 13:45, הגיעו קציני הפיקוח אל ביתו של הנאשם וערכו לו בדיקות שתן.</w:t>
      </w:r>
    </w:p>
    <w:p w14:paraId="4ECDD89A" w14:textId="77777777" w:rsidR="00F912A9" w:rsidRPr="00F65F57" w:rsidRDefault="00F912A9" w:rsidP="00F912A9">
      <w:pPr>
        <w:spacing w:after="160" w:line="360" w:lineRule="auto"/>
        <w:ind w:left="720"/>
        <w:contextualSpacing/>
        <w:jc w:val="both"/>
        <w:rPr>
          <w:rFonts w:ascii="David" w:hAnsi="David"/>
          <w:rtl/>
        </w:rPr>
      </w:pPr>
      <w:r w:rsidRPr="00F65F57">
        <w:rPr>
          <w:rFonts w:ascii="David" w:hAnsi="David"/>
          <w:rtl/>
        </w:rPr>
        <w:t>בבדיקה נמצא כי הנאשם צרך סם מסוכן מסוג בונורפין וכן נמצאו שרידי סם מסוכן מסוג קוקאין.</w:t>
      </w:r>
    </w:p>
    <w:p w14:paraId="49FB785E" w14:textId="77777777" w:rsidR="00F912A9" w:rsidRPr="00F65F57" w:rsidRDefault="00F912A9" w:rsidP="00F912A9">
      <w:pPr>
        <w:spacing w:after="160" w:line="360" w:lineRule="auto"/>
        <w:ind w:left="720"/>
        <w:contextualSpacing/>
        <w:jc w:val="both"/>
        <w:rPr>
          <w:rFonts w:ascii="David" w:hAnsi="David"/>
        </w:rPr>
      </w:pPr>
    </w:p>
    <w:p w14:paraId="4F45819E" w14:textId="77777777" w:rsidR="00F912A9" w:rsidRPr="00F65F57" w:rsidRDefault="00F912A9" w:rsidP="00F912A9">
      <w:pPr>
        <w:spacing w:after="160" w:line="360" w:lineRule="auto"/>
        <w:ind w:left="720"/>
        <w:contextualSpacing/>
        <w:jc w:val="both"/>
        <w:rPr>
          <w:rFonts w:ascii="David" w:hAnsi="David"/>
          <w:rtl/>
        </w:rPr>
      </w:pPr>
      <w:r w:rsidRPr="00F65F57">
        <w:rPr>
          <w:rFonts w:ascii="David" w:hAnsi="David"/>
          <w:rtl/>
        </w:rPr>
        <w:t xml:space="preserve">על פי </w:t>
      </w:r>
      <w:r w:rsidRPr="00F65F57">
        <w:rPr>
          <w:rFonts w:ascii="David" w:hAnsi="David"/>
          <w:b/>
          <w:bCs/>
          <w:rtl/>
        </w:rPr>
        <w:t xml:space="preserve">האישום השני, </w:t>
      </w:r>
      <w:r w:rsidRPr="00F65F57">
        <w:rPr>
          <w:rFonts w:ascii="David" w:hAnsi="David"/>
          <w:rtl/>
        </w:rPr>
        <w:t xml:space="preserve"> ביום 28.8.21 או בסמוך לכך, יצא הנאשם את ביתו, לא חזר אליו ולא עדכן את קצין הפיקוח. לאחר שנודע למשטרה ולקציני הפיקוח כי הנאשם נעלם, נערכו אחריו חיפושים.</w:t>
      </w:r>
    </w:p>
    <w:p w14:paraId="388A7193" w14:textId="77777777" w:rsidR="00F912A9" w:rsidRPr="00F65F57" w:rsidRDefault="00F912A9" w:rsidP="00F912A9">
      <w:pPr>
        <w:spacing w:after="160" w:line="360" w:lineRule="auto"/>
        <w:ind w:left="720"/>
        <w:contextualSpacing/>
        <w:jc w:val="both"/>
        <w:rPr>
          <w:rFonts w:ascii="David" w:hAnsi="David"/>
          <w:rtl/>
        </w:rPr>
      </w:pPr>
      <w:r w:rsidRPr="00F65F57">
        <w:rPr>
          <w:rFonts w:ascii="David" w:hAnsi="David"/>
          <w:rtl/>
        </w:rPr>
        <w:t>בתאריך 5.9.21, סמוך לשעה 23:00, אותר הנאשם על ידי סיירי תחנת שרת במרחב יפתח, סמוך לרחוב הקונגרס 48 בתל אביב-יפו ונעצר לחקירה.</w:t>
      </w:r>
    </w:p>
    <w:p w14:paraId="3233F2D0" w14:textId="77777777" w:rsidR="00F912A9" w:rsidRPr="00F65F57" w:rsidRDefault="00F912A9" w:rsidP="00F912A9">
      <w:pPr>
        <w:spacing w:after="160" w:line="360" w:lineRule="auto"/>
        <w:ind w:left="720"/>
        <w:contextualSpacing/>
        <w:jc w:val="both"/>
        <w:rPr>
          <w:rFonts w:ascii="David" w:hAnsi="David"/>
          <w:rtl/>
        </w:rPr>
      </w:pPr>
    </w:p>
    <w:p w14:paraId="0DF6EA4F" w14:textId="77777777" w:rsidR="00F912A9" w:rsidRPr="00F65F57" w:rsidRDefault="00F912A9" w:rsidP="00F912A9">
      <w:pPr>
        <w:spacing w:after="160" w:line="360" w:lineRule="auto"/>
        <w:ind w:left="720"/>
        <w:contextualSpacing/>
        <w:jc w:val="both"/>
        <w:rPr>
          <w:rFonts w:ascii="David" w:hAnsi="David"/>
          <w:rtl/>
        </w:rPr>
      </w:pPr>
      <w:r w:rsidRPr="00F65F57">
        <w:rPr>
          <w:rFonts w:ascii="David" w:hAnsi="David"/>
          <w:rtl/>
        </w:rPr>
        <w:t xml:space="preserve">על פי </w:t>
      </w:r>
      <w:r w:rsidRPr="00F65F57">
        <w:rPr>
          <w:rFonts w:ascii="David" w:hAnsi="David"/>
          <w:b/>
          <w:bCs/>
          <w:rtl/>
        </w:rPr>
        <w:t xml:space="preserve">האישום השלישי, </w:t>
      </w:r>
      <w:r w:rsidRPr="00F65F57">
        <w:rPr>
          <w:rFonts w:ascii="David" w:hAnsi="David"/>
          <w:rtl/>
        </w:rPr>
        <w:t xml:space="preserve">בעת מעצר הנאשם כאמור באישום השני, ולאחר חיפוש שנערך על גופו של הנאשם, נתפסו בתחתוניו שתי אריזות של סם מסוכן מסוג </w:t>
      </w:r>
      <w:r w:rsidRPr="00F65F57">
        <w:rPr>
          <w:rFonts w:ascii="David" w:hAnsi="David"/>
        </w:rPr>
        <w:t>Mdmb-4en pinaca</w:t>
      </w:r>
      <w:r w:rsidRPr="00F65F57">
        <w:rPr>
          <w:rFonts w:ascii="David" w:hAnsi="David"/>
          <w:rtl/>
        </w:rPr>
        <w:t xml:space="preserve"> שהוא נגזרת מבנית של אינדזול קרבוקסאמיד במשקל 2 גרם.</w:t>
      </w:r>
    </w:p>
    <w:p w14:paraId="54879CE2" w14:textId="77777777" w:rsidR="00F912A9" w:rsidRPr="00F65F57" w:rsidRDefault="00F912A9" w:rsidP="00F912A9">
      <w:pPr>
        <w:spacing w:after="160" w:line="360" w:lineRule="auto"/>
        <w:jc w:val="both"/>
        <w:rPr>
          <w:rFonts w:ascii="David" w:hAnsi="David"/>
          <w:rtl/>
        </w:rPr>
      </w:pPr>
    </w:p>
    <w:p w14:paraId="719A6F2D" w14:textId="77777777" w:rsidR="00F912A9" w:rsidRPr="00F65F57" w:rsidRDefault="00F912A9" w:rsidP="00F912A9">
      <w:pPr>
        <w:numPr>
          <w:ilvl w:val="0"/>
          <w:numId w:val="1"/>
        </w:numPr>
        <w:spacing w:after="160" w:line="360" w:lineRule="auto"/>
        <w:contextualSpacing/>
        <w:jc w:val="both"/>
        <w:rPr>
          <w:rFonts w:ascii="David" w:hAnsi="David"/>
        </w:rPr>
      </w:pPr>
      <w:r w:rsidRPr="00F65F57">
        <w:rPr>
          <w:rFonts w:ascii="David" w:hAnsi="David"/>
          <w:rtl/>
        </w:rPr>
        <w:t>הנאשם עתר לקביעת מועד קרוב לשמיעת טיעונים לעונש, שכן במסגרת תיק המעצר הנשם ממתין להמלצה סופית של שירות המבחן בעניין קליטת הנאשם בקהילה טיפולית. בתאריך 28.11.21 הודיע שירות המבחן, כי טרם נבחנה התאמת הנאשם למסגרת ועל כן נתבקשה דחייה למשך כשבועיים. בדיון מתאריך 29.11.21 התנגדה המאשימה לדחייה וטענה, כי עמדתה העונשית היא מאסר בפועל למשך שנה לפחות. ההגנה עתרה לדחייה לצורך מיצוי אפשרות שילוב הנאשם בקהילה טיפולית. נטען, כי אין מחלוקת שההפרות החוזרות אותן מבצע הנאשם במקרה זה נובעות מהתמכרותו לסמים ועל כן יש לאפשר לנאשם, המעוניין בכך, להשתלב בטיפול המותאם לצרכיו.</w:t>
      </w:r>
    </w:p>
    <w:p w14:paraId="4CA812D3" w14:textId="77777777" w:rsidR="00F912A9" w:rsidRPr="00F65F57" w:rsidRDefault="00F912A9" w:rsidP="00F912A9">
      <w:pPr>
        <w:spacing w:after="160" w:line="360" w:lineRule="auto"/>
        <w:ind w:left="720"/>
        <w:contextualSpacing/>
        <w:jc w:val="both"/>
        <w:rPr>
          <w:rFonts w:ascii="David" w:hAnsi="David"/>
        </w:rPr>
      </w:pPr>
      <w:r w:rsidRPr="00F65F57">
        <w:rPr>
          <w:rFonts w:ascii="David" w:hAnsi="David"/>
          <w:rtl/>
        </w:rPr>
        <w:t>במסגרת ההחלטה הודגש, כי כלל ההפרות בעברו של הנאשם, מאז הורשע בביצוע עבירת מין בשנת 2017, קשורות לשימוש בסמים. לא נרשמו לחובת הנאשם הפרות מסוג אחר של צו הפיקוח ובפרט לא עבירות מין. הודגש, בנוסף, כי קיימת במקרה זה גם נזקקות טיפולית בתחום הנפש. בנסיבות אלה, יש בהמלצת שירות המבחן כדי לקדם את הפחתת המסוכנות ועל כן יש לאפשר אותה.</w:t>
      </w:r>
    </w:p>
    <w:p w14:paraId="66E6FDB2" w14:textId="77777777" w:rsidR="00F912A9" w:rsidRPr="00F65F57" w:rsidRDefault="00F912A9" w:rsidP="00F912A9">
      <w:pPr>
        <w:numPr>
          <w:ilvl w:val="0"/>
          <w:numId w:val="1"/>
        </w:numPr>
        <w:spacing w:after="160" w:line="360" w:lineRule="auto"/>
        <w:contextualSpacing/>
        <w:jc w:val="both"/>
        <w:rPr>
          <w:rFonts w:ascii="David" w:hAnsi="David"/>
          <w:rtl/>
        </w:rPr>
      </w:pPr>
      <w:r w:rsidRPr="00F65F57">
        <w:rPr>
          <w:rFonts w:ascii="David" w:hAnsi="David"/>
          <w:b/>
          <w:bCs/>
          <w:rtl/>
        </w:rPr>
        <w:t>בתסקיר שירות המבחן</w:t>
      </w:r>
      <w:r w:rsidRPr="00F65F57">
        <w:rPr>
          <w:rFonts w:ascii="David" w:hAnsi="David"/>
          <w:rtl/>
        </w:rPr>
        <w:t xml:space="preserve"> </w:t>
      </w:r>
      <w:r w:rsidRPr="00F65F57">
        <w:rPr>
          <w:rFonts w:ascii="David" w:hAnsi="David"/>
          <w:b/>
          <w:bCs/>
          <w:rtl/>
        </w:rPr>
        <w:t>מיום</w:t>
      </w:r>
      <w:r w:rsidRPr="00F65F57">
        <w:rPr>
          <w:rFonts w:ascii="David" w:hAnsi="David"/>
          <w:rtl/>
        </w:rPr>
        <w:t xml:space="preserve"> </w:t>
      </w:r>
      <w:r w:rsidRPr="00F65F57">
        <w:rPr>
          <w:rFonts w:ascii="David" w:hAnsi="David"/>
          <w:b/>
          <w:bCs/>
          <w:rtl/>
        </w:rPr>
        <w:t xml:space="preserve">12.12.21 </w:t>
      </w:r>
      <w:r w:rsidRPr="00F65F57">
        <w:rPr>
          <w:rFonts w:ascii="David" w:hAnsi="David"/>
          <w:rtl/>
        </w:rPr>
        <w:t>נסקרו קורותיו של הנאשם. עולה כי הנאשם, בן 30, מתגורר בבית הוריו. הנאשם עלה לארץ בהיותו בן חצי שנה, וסיים 10 שנות לימוד. על רקע קשיי קליטה והשפלות שחווה בתקופת הלימודים, חבר לחברה שולית והחל להשתמש בחומרים משני תודעה וגילה מעורבות בפלילים. הנאשם לא גויס לצבא ולא הצליח להשתלב לאורך זמן במסגרת תעסוקתית. הנאשם דיווח על בעיות פסיכיאטריות כתוצאה משימוש בסמים. תוארה גם אלימות מצד אביו ברקע אך נמסר, כי כיום היחסים תקינים וכי המשפחה מנהלת אורח חיים נורמטיבי.</w:t>
      </w:r>
    </w:p>
    <w:p w14:paraId="469F75B9" w14:textId="77777777" w:rsidR="00F912A9" w:rsidRPr="00F65F57" w:rsidRDefault="00F912A9" w:rsidP="00F912A9">
      <w:pPr>
        <w:spacing w:after="160" w:line="360" w:lineRule="auto"/>
        <w:ind w:left="720"/>
        <w:contextualSpacing/>
        <w:jc w:val="both"/>
        <w:rPr>
          <w:rFonts w:ascii="David" w:hAnsi="David"/>
          <w:rtl/>
        </w:rPr>
      </w:pPr>
      <w:r w:rsidRPr="00F65F57">
        <w:rPr>
          <w:rFonts w:ascii="David" w:hAnsi="David"/>
          <w:rtl/>
        </w:rPr>
        <w:lastRenderedPageBreak/>
        <w:t xml:space="preserve">הנאשם מעורב בפלילים עוד בהיותו נער, והוא הורשע בעבירות מתחומים שונים. </w:t>
      </w:r>
    </w:p>
    <w:p w14:paraId="6E740ECC" w14:textId="77777777" w:rsidR="00F912A9" w:rsidRPr="00F65F57" w:rsidRDefault="00F912A9" w:rsidP="00F912A9">
      <w:pPr>
        <w:spacing w:after="160" w:line="360" w:lineRule="auto"/>
        <w:ind w:left="720"/>
        <w:contextualSpacing/>
        <w:jc w:val="both"/>
        <w:rPr>
          <w:rFonts w:ascii="David" w:hAnsi="David"/>
          <w:rtl/>
        </w:rPr>
      </w:pPr>
      <w:r w:rsidRPr="00F65F57">
        <w:rPr>
          <w:rFonts w:ascii="David" w:hAnsi="David"/>
          <w:rtl/>
        </w:rPr>
        <w:t>הנאשם תיאר שימוש בסמים מסוגים שנים מאז היותו בן 12 וכן תיאר צריכת אלכוהול מופרזת ובלתי מבוקרת. נסיונות טיפוליים בעבר כשלו בשל קושי מצד הנאשם לשתף פעולה בטיפול לאורך זמן.  במעצרו הנוכחי, הנאשם הביע רצון להשתלב בטיפול.</w:t>
      </w:r>
    </w:p>
    <w:p w14:paraId="7568AB15" w14:textId="77777777" w:rsidR="00F912A9" w:rsidRPr="00F65F57" w:rsidRDefault="00F912A9" w:rsidP="00F912A9">
      <w:pPr>
        <w:spacing w:after="160" w:line="360" w:lineRule="auto"/>
        <w:ind w:left="720"/>
        <w:contextualSpacing/>
        <w:jc w:val="both"/>
        <w:rPr>
          <w:rFonts w:ascii="David" w:hAnsi="David"/>
          <w:rtl/>
        </w:rPr>
      </w:pPr>
      <w:r w:rsidRPr="00F65F57">
        <w:rPr>
          <w:rFonts w:ascii="David" w:hAnsi="David"/>
          <w:rtl/>
        </w:rPr>
        <w:t>הנאשם מודה בביצוע העבירות ומסר, כי ברקע לביצוען התמכרות רבת השנים לסמים ולאלכוהול. הנאשם מסר, כי אינו מצליח להימנע מהשימוש בהם וכן תאר שהוא מתקשה להציב גבול חיצוני לסביבה בה נמצא ולאנשים איתם הוא שוהה. הנאשם ביקש להשתלב בטיפול אינטנסיבי בקהילה טיפולית וסבור שאחרת לא יצליח להיגמל מסמי רחוב. שירות המבחן מסר כי נוכח קיומו של צו פיקוח לעברייני מין, קיים קושי באיתור מסגרת טיפולית.</w:t>
      </w:r>
    </w:p>
    <w:p w14:paraId="4B7831F3" w14:textId="77777777" w:rsidR="00F912A9" w:rsidRPr="00F65F57" w:rsidRDefault="00F912A9" w:rsidP="00F912A9">
      <w:pPr>
        <w:spacing w:after="160" w:line="360" w:lineRule="auto"/>
        <w:ind w:left="720"/>
        <w:contextualSpacing/>
        <w:jc w:val="both"/>
        <w:rPr>
          <w:rFonts w:ascii="David" w:hAnsi="David"/>
          <w:rtl/>
        </w:rPr>
      </w:pPr>
      <w:r w:rsidRPr="00F65F57">
        <w:rPr>
          <w:rFonts w:ascii="David" w:hAnsi="David"/>
          <w:rtl/>
        </w:rPr>
        <w:t>נמסר, כי הנאשם גדל במציאות בה ספג אלימות והחברה השולית מסגרת מעניקה לו תחושת שייכות. כן נמסר, כי ההתמכרות העמוקה ממנה סובל הנאשם בשילוב כוחות מוגבלים והיעדר גורמי מקשים על שילובו בטיפול. עוד ההתרשמות היא, כי הנאשם עלול להגיב באופן אימפולסיבי ואלים כשחש פגיעה בכבודו וכן, כי קיים עיסוק מוגבר במין ובמיניות תחת השפעת חומרים משני תודעה.</w:t>
      </w:r>
    </w:p>
    <w:p w14:paraId="5D2111B7" w14:textId="77777777" w:rsidR="00F912A9" w:rsidRPr="00F65F57" w:rsidRDefault="00F912A9" w:rsidP="00F912A9">
      <w:pPr>
        <w:spacing w:after="160" w:line="360" w:lineRule="auto"/>
        <w:ind w:left="720"/>
        <w:contextualSpacing/>
        <w:jc w:val="both"/>
        <w:rPr>
          <w:rFonts w:ascii="David" w:hAnsi="David"/>
          <w:rtl/>
        </w:rPr>
      </w:pPr>
      <w:r w:rsidRPr="00F65F57">
        <w:rPr>
          <w:rFonts w:ascii="David" w:hAnsi="David"/>
          <w:rtl/>
        </w:rPr>
        <w:t>בנסיבות אלה, שירות המבחן חזר על המלצתו לדחות את הדיון לצורך מיצוי אפשרויות שילוב הנאשם במסגרת טיפולית סגורה.</w:t>
      </w:r>
    </w:p>
    <w:p w14:paraId="58B17C89" w14:textId="77777777" w:rsidR="00F912A9" w:rsidRPr="00F65F57" w:rsidRDefault="00F912A9" w:rsidP="00F912A9">
      <w:pPr>
        <w:numPr>
          <w:ilvl w:val="0"/>
          <w:numId w:val="1"/>
        </w:numPr>
        <w:spacing w:after="160" w:line="360" w:lineRule="auto"/>
        <w:contextualSpacing/>
        <w:jc w:val="both"/>
        <w:rPr>
          <w:rFonts w:ascii="David" w:hAnsi="David"/>
        </w:rPr>
      </w:pPr>
      <w:r w:rsidRPr="00F65F57">
        <w:rPr>
          <w:rFonts w:ascii="David" w:hAnsi="David"/>
          <w:rtl/>
        </w:rPr>
        <w:t xml:space="preserve">בתסקיר המשלים שהוגש ביום </w:t>
      </w:r>
      <w:r w:rsidRPr="00F65F57">
        <w:rPr>
          <w:rFonts w:ascii="David" w:hAnsi="David"/>
          <w:b/>
          <w:bCs/>
          <w:rtl/>
        </w:rPr>
        <w:t xml:space="preserve">20.2.22 </w:t>
      </w:r>
      <w:r w:rsidRPr="00F65F57">
        <w:rPr>
          <w:rFonts w:ascii="David" w:hAnsi="David"/>
          <w:rtl/>
        </w:rPr>
        <w:t xml:space="preserve">הודיע שירות המבחן, כי מועמדותו של הנאשם להשתלב בקהילה טיפולית סגורה להתמכרויות בשל הרשעתו בעבירת מין וצו הפיקוח. נמסר, כי במצב הדברים אין בידי השירות לקדם את שילוב הנאשם במסגרת טיפולית התואמת את צרכיו. נמסר, כי כיוון שלא עבר בתקופת מאסרו טיפול בתחום המין הנאשם אינו מתאים למסגרת. בנסיבות אלה, אין לשירות המבחן המלצה. </w:t>
      </w:r>
    </w:p>
    <w:p w14:paraId="2C03728E" w14:textId="77777777" w:rsidR="00F912A9" w:rsidRPr="00F65F57" w:rsidRDefault="00F912A9" w:rsidP="00F912A9">
      <w:pPr>
        <w:spacing w:after="160" w:line="360" w:lineRule="auto"/>
        <w:ind w:left="360"/>
        <w:jc w:val="both"/>
        <w:rPr>
          <w:rFonts w:ascii="David" w:hAnsi="David"/>
          <w:b/>
          <w:bCs/>
          <w:u w:val="single"/>
          <w:rtl/>
        </w:rPr>
      </w:pPr>
      <w:r w:rsidRPr="00F65F57">
        <w:rPr>
          <w:rFonts w:ascii="David" w:hAnsi="David"/>
          <w:b/>
          <w:bCs/>
          <w:u w:val="single"/>
          <w:rtl/>
        </w:rPr>
        <w:t>ראיות לעונש:</w:t>
      </w:r>
    </w:p>
    <w:p w14:paraId="1B4E82D0" w14:textId="77777777" w:rsidR="00F912A9" w:rsidRPr="00F65F57" w:rsidRDefault="00F912A9" w:rsidP="00F912A9">
      <w:pPr>
        <w:numPr>
          <w:ilvl w:val="0"/>
          <w:numId w:val="1"/>
        </w:numPr>
        <w:spacing w:line="360" w:lineRule="auto"/>
        <w:contextualSpacing/>
        <w:jc w:val="both"/>
        <w:rPr>
          <w:rFonts w:ascii="Arial" w:hAnsi="Arial"/>
          <w:rtl/>
        </w:rPr>
      </w:pPr>
      <w:r w:rsidRPr="00F65F57">
        <w:rPr>
          <w:rFonts w:ascii="Arial" w:hAnsi="Arial"/>
          <w:rtl/>
        </w:rPr>
        <w:t xml:space="preserve">המאשימה הגישה גיליון הרשעות קודמות – </w:t>
      </w:r>
      <w:r w:rsidRPr="00F65F57">
        <w:rPr>
          <w:rFonts w:ascii="Arial" w:hAnsi="Arial"/>
          <w:b/>
          <w:bCs/>
          <w:rtl/>
        </w:rPr>
        <w:t>סומן ת/1</w:t>
      </w:r>
      <w:r w:rsidRPr="00F65F57">
        <w:rPr>
          <w:rFonts w:ascii="Arial" w:hAnsi="Arial"/>
          <w:rtl/>
        </w:rPr>
        <w:t>. כן הגישה גזר דין הכולל תנאים חבי הפעלה ב</w:t>
      </w:r>
      <w:hyperlink r:id="rId17" w:history="1">
        <w:r w:rsidR="0011038E" w:rsidRPr="0011038E">
          <w:rPr>
            <w:rFonts w:ascii="Arial" w:hAnsi="Arial"/>
            <w:color w:val="0000FF"/>
            <w:u w:val="single"/>
            <w:rtl/>
          </w:rPr>
          <w:t>ת"פ 26625-09-20</w:t>
        </w:r>
      </w:hyperlink>
      <w:r w:rsidRPr="00F65F57">
        <w:rPr>
          <w:rFonts w:ascii="Arial" w:hAnsi="Arial"/>
          <w:rtl/>
        </w:rPr>
        <w:t xml:space="preserve"> של בית משפט השלום בבאר שבע מתאריך 20.4.2021 – </w:t>
      </w:r>
      <w:r w:rsidRPr="00F65F57">
        <w:rPr>
          <w:rFonts w:ascii="Arial" w:hAnsi="Arial"/>
          <w:b/>
          <w:bCs/>
          <w:rtl/>
        </w:rPr>
        <w:t>סומן ת/2</w:t>
      </w:r>
      <w:r w:rsidRPr="00F65F57">
        <w:rPr>
          <w:rFonts w:ascii="Arial" w:hAnsi="Arial"/>
          <w:rtl/>
        </w:rPr>
        <w:t xml:space="preserve"> והחלטה מתיק פיקוח קודם של הנאשם </w:t>
      </w:r>
      <w:hyperlink r:id="rId18" w:history="1">
        <w:r w:rsidR="0011038E" w:rsidRPr="0011038E">
          <w:rPr>
            <w:rFonts w:ascii="Arial" w:hAnsi="Arial"/>
            <w:color w:val="0000FF"/>
            <w:u w:val="single"/>
            <w:rtl/>
          </w:rPr>
          <w:t>פע"מ 10643-08-20</w:t>
        </w:r>
      </w:hyperlink>
      <w:r w:rsidRPr="00F65F57">
        <w:rPr>
          <w:rFonts w:ascii="Arial" w:hAnsi="Arial"/>
          <w:rtl/>
        </w:rPr>
        <w:t xml:space="preserve"> של בית משפט השלום בבאר שבע מתאריך 24.12.2020 – </w:t>
      </w:r>
      <w:r w:rsidRPr="00F65F57">
        <w:rPr>
          <w:rFonts w:ascii="Arial" w:hAnsi="Arial"/>
          <w:b/>
          <w:bCs/>
          <w:rtl/>
        </w:rPr>
        <w:t>סומן ת/3</w:t>
      </w:r>
      <w:r w:rsidRPr="00F65F57">
        <w:rPr>
          <w:rFonts w:ascii="Arial" w:hAnsi="Arial"/>
          <w:rtl/>
        </w:rPr>
        <w:t xml:space="preserve"> וקובץ מאסרים בשב"ס – </w:t>
      </w:r>
      <w:r w:rsidRPr="00F65F57">
        <w:rPr>
          <w:rFonts w:ascii="Arial" w:hAnsi="Arial"/>
          <w:b/>
          <w:bCs/>
          <w:rtl/>
        </w:rPr>
        <w:t>סומן ת/4</w:t>
      </w:r>
      <w:r w:rsidRPr="00F65F57">
        <w:rPr>
          <w:rFonts w:ascii="Arial" w:hAnsi="Arial"/>
          <w:rtl/>
        </w:rPr>
        <w:t>.</w:t>
      </w:r>
    </w:p>
    <w:p w14:paraId="2DFD1525" w14:textId="77777777" w:rsidR="00F912A9" w:rsidRPr="00F65F57" w:rsidRDefault="00F912A9" w:rsidP="00F912A9">
      <w:pPr>
        <w:spacing w:line="360" w:lineRule="auto"/>
        <w:ind w:left="720"/>
        <w:contextualSpacing/>
        <w:jc w:val="both"/>
        <w:rPr>
          <w:rFonts w:ascii="Arial" w:hAnsi="Arial"/>
          <w:rtl/>
        </w:rPr>
      </w:pPr>
      <w:r w:rsidRPr="00F65F57">
        <w:rPr>
          <w:rFonts w:ascii="Arial" w:hAnsi="Arial"/>
          <w:rtl/>
        </w:rPr>
        <w:t>המאשימה הגישה גם אסמכתאות לתמיכה בעמדתה העונשית.</w:t>
      </w:r>
    </w:p>
    <w:p w14:paraId="6120ED07" w14:textId="77777777" w:rsidR="00F912A9" w:rsidRPr="00F65F57" w:rsidRDefault="00F912A9" w:rsidP="00F912A9">
      <w:pPr>
        <w:numPr>
          <w:ilvl w:val="0"/>
          <w:numId w:val="1"/>
        </w:numPr>
        <w:spacing w:line="360" w:lineRule="auto"/>
        <w:contextualSpacing/>
        <w:jc w:val="both"/>
        <w:rPr>
          <w:rFonts w:ascii="Arial" w:hAnsi="Arial"/>
          <w:rtl/>
        </w:rPr>
      </w:pPr>
      <w:r w:rsidRPr="00F65F57">
        <w:rPr>
          <w:rFonts w:ascii="Arial" w:hAnsi="Arial"/>
          <w:rtl/>
        </w:rPr>
        <w:t>הנאשם לא הגיש ראיות לעונש מטעמו.</w:t>
      </w:r>
    </w:p>
    <w:p w14:paraId="47321569" w14:textId="77777777" w:rsidR="00F912A9" w:rsidRPr="00F65F57" w:rsidRDefault="00F912A9" w:rsidP="00F912A9">
      <w:pPr>
        <w:spacing w:after="160" w:line="360" w:lineRule="auto"/>
        <w:jc w:val="both"/>
        <w:rPr>
          <w:rFonts w:ascii="David" w:hAnsi="David"/>
          <w:b/>
          <w:bCs/>
          <w:u w:val="single"/>
          <w:rtl/>
        </w:rPr>
      </w:pPr>
    </w:p>
    <w:p w14:paraId="676C3E40" w14:textId="77777777" w:rsidR="00F912A9" w:rsidRPr="00F65F57" w:rsidRDefault="00F912A9" w:rsidP="00F912A9">
      <w:pPr>
        <w:spacing w:after="160" w:line="360" w:lineRule="auto"/>
        <w:ind w:firstLine="360"/>
        <w:jc w:val="both"/>
        <w:rPr>
          <w:rFonts w:ascii="David" w:hAnsi="David"/>
          <w:b/>
          <w:bCs/>
          <w:u w:val="single"/>
          <w:rtl/>
        </w:rPr>
      </w:pPr>
      <w:r w:rsidRPr="00F65F57">
        <w:rPr>
          <w:rFonts w:ascii="David" w:hAnsi="David"/>
          <w:b/>
          <w:bCs/>
          <w:u w:val="single"/>
          <w:rtl/>
        </w:rPr>
        <w:t>טענות הצדדים לעונש:</w:t>
      </w:r>
    </w:p>
    <w:p w14:paraId="3E9D06AD" w14:textId="77777777" w:rsidR="00F912A9" w:rsidRPr="00F65F57" w:rsidRDefault="00F912A9" w:rsidP="00F912A9">
      <w:pPr>
        <w:numPr>
          <w:ilvl w:val="0"/>
          <w:numId w:val="1"/>
        </w:numPr>
        <w:spacing w:after="160" w:line="360" w:lineRule="auto"/>
        <w:contextualSpacing/>
        <w:jc w:val="both"/>
        <w:rPr>
          <w:rFonts w:ascii="David" w:hAnsi="David"/>
          <w:rtl/>
        </w:rPr>
      </w:pPr>
      <w:r w:rsidRPr="00F65F57">
        <w:rPr>
          <w:rFonts w:ascii="David" w:hAnsi="David"/>
          <w:b/>
          <w:bCs/>
          <w:rtl/>
        </w:rPr>
        <w:t>ב"כ המאשימה</w:t>
      </w:r>
      <w:r w:rsidRPr="00F65F57">
        <w:rPr>
          <w:rFonts w:ascii="David" w:hAnsi="David"/>
          <w:rtl/>
        </w:rPr>
        <w:t xml:space="preserve"> עמדה על הערכים המוגנים אשר נפגעו ממעשיו של הנאשם בהם הגנה על בטחון הציבור מפני עברייני מין מורשעים, הבטחת מנגנון הפיקוח על עברייני מין, שלטון החוק וכיבוד צווים שיפוטיים. ביחס למידת הפגיעה, נטען כי מדובר בהפרה בוטה של צו הפיקוח, שעה שלנאשם מספר הפרות חוזרות ונשנות עליהן נשפט בעבר. נטען, כי הגם שלא נגרם נזק קונקרטי לאדם, מעשיו של הנאשם מעמידים את ביטחון הציבור בסיכון.</w:t>
      </w:r>
    </w:p>
    <w:p w14:paraId="2915E421" w14:textId="77777777" w:rsidR="00F912A9" w:rsidRPr="00F65F57" w:rsidRDefault="00F912A9" w:rsidP="00F912A9">
      <w:pPr>
        <w:numPr>
          <w:ilvl w:val="0"/>
          <w:numId w:val="1"/>
        </w:numPr>
        <w:spacing w:after="160" w:line="360" w:lineRule="auto"/>
        <w:contextualSpacing/>
        <w:jc w:val="both"/>
        <w:rPr>
          <w:rFonts w:ascii="David" w:hAnsi="David"/>
        </w:rPr>
      </w:pPr>
      <w:r w:rsidRPr="00F65F57">
        <w:rPr>
          <w:rFonts w:ascii="David" w:hAnsi="David"/>
          <w:rtl/>
        </w:rPr>
        <w:t>נטען, כי הפרת תנאי צו הפיקוח המורה על אי שימוש בסמים חמורה שכן צריכת סמים ידועה כמסירת עכבות ועלולה להוביל לביצוע עבירות מין. נטען, כי בעניינו של הנאשם נקבעו תנאי פיקוח קפדניים מאחר שהורשע בביצוע עבירות מין על רקע שימוש בסמים. נטען, כי לנאשם שליטה מלאה על מעשיו וכי הוא בחר ביוזמתו ובידיעתו המלאה להפר את צו הפיקוח.</w:t>
      </w:r>
    </w:p>
    <w:p w14:paraId="47DD9231" w14:textId="77777777" w:rsidR="00F912A9" w:rsidRPr="00F65F57" w:rsidRDefault="00F912A9" w:rsidP="00F912A9">
      <w:pPr>
        <w:numPr>
          <w:ilvl w:val="0"/>
          <w:numId w:val="1"/>
        </w:numPr>
        <w:spacing w:after="160" w:line="360" w:lineRule="auto"/>
        <w:contextualSpacing/>
        <w:jc w:val="both"/>
        <w:rPr>
          <w:rFonts w:ascii="David" w:hAnsi="David"/>
          <w:rtl/>
        </w:rPr>
      </w:pPr>
      <w:r w:rsidRPr="00F65F57">
        <w:rPr>
          <w:rFonts w:ascii="David" w:hAnsi="David"/>
          <w:rtl/>
        </w:rPr>
        <w:t xml:space="preserve">המאשימה הפנתה למדיניות הענישה הנוהגת ממנה עולה, כי יש לקבוע מתחם עונש הולם של 6-12 חודשים בגין כל הפרה. במקרה זה, יש לקבוע מתחם משוקלל של 8-24 חודשי מאסר. </w:t>
      </w:r>
    </w:p>
    <w:p w14:paraId="1A3E313A" w14:textId="77777777" w:rsidR="00F912A9" w:rsidRPr="00F65F57" w:rsidRDefault="00F912A9" w:rsidP="00F912A9">
      <w:pPr>
        <w:numPr>
          <w:ilvl w:val="0"/>
          <w:numId w:val="1"/>
        </w:numPr>
        <w:spacing w:after="160" w:line="360" w:lineRule="auto"/>
        <w:contextualSpacing/>
        <w:jc w:val="both"/>
        <w:rPr>
          <w:rFonts w:ascii="David" w:hAnsi="David"/>
          <w:rtl/>
        </w:rPr>
      </w:pPr>
      <w:r w:rsidRPr="00F65F57">
        <w:rPr>
          <w:rFonts w:ascii="David" w:hAnsi="David"/>
          <w:rtl/>
        </w:rPr>
        <w:t xml:space="preserve">באשר לנסיבות שאינן קשורות בביצוע העבירה, נטען כי הנאשם, יליד 1991, בעל עבר פלילי מכביד, הכולל ארבע הרשעות בגין עבירות זהות של הפרת צו פיקוח וכן עבר פלילי מכביד הכולל הרשעות בתחומים שונים. </w:t>
      </w:r>
    </w:p>
    <w:p w14:paraId="5EF3463A" w14:textId="77777777" w:rsidR="00F912A9" w:rsidRPr="00F65F57" w:rsidRDefault="00F912A9" w:rsidP="00F912A9">
      <w:pPr>
        <w:spacing w:after="160" w:line="360" w:lineRule="auto"/>
        <w:ind w:left="720"/>
        <w:contextualSpacing/>
        <w:jc w:val="both"/>
        <w:rPr>
          <w:rFonts w:ascii="David" w:hAnsi="David"/>
          <w:rtl/>
        </w:rPr>
      </w:pPr>
      <w:r w:rsidRPr="00F65F57">
        <w:rPr>
          <w:rFonts w:ascii="David" w:hAnsi="David"/>
          <w:rtl/>
        </w:rPr>
        <w:t>בנסיבות אלה יש להטיל על הנאשם עונש שלא יפחת משנת מאסר, הפעלת התנאי במצטבר ובנוסף מאסר על תנאי וקנס.</w:t>
      </w:r>
    </w:p>
    <w:p w14:paraId="35D9F5D7" w14:textId="77777777" w:rsidR="00F912A9" w:rsidRPr="00F65F57" w:rsidRDefault="00F912A9" w:rsidP="00F912A9">
      <w:pPr>
        <w:numPr>
          <w:ilvl w:val="0"/>
          <w:numId w:val="1"/>
        </w:numPr>
        <w:spacing w:after="160" w:line="360" w:lineRule="auto"/>
        <w:contextualSpacing/>
        <w:jc w:val="both"/>
        <w:rPr>
          <w:rFonts w:ascii="David" w:hAnsi="David"/>
        </w:rPr>
      </w:pPr>
      <w:r w:rsidRPr="00F65F57">
        <w:rPr>
          <w:rFonts w:ascii="David" w:hAnsi="David"/>
          <w:b/>
          <w:bCs/>
          <w:rtl/>
        </w:rPr>
        <w:t xml:space="preserve">ב"כ הנאשם </w:t>
      </w:r>
      <w:r w:rsidRPr="00F65F57">
        <w:rPr>
          <w:rFonts w:ascii="David" w:hAnsi="David"/>
          <w:rtl/>
        </w:rPr>
        <w:t>מיקד את טיעונו בחזרתיות בביצוע הפרות של הצו על רקע התמכרותו של הנאשם. נטען, כי עניין זה נדון שוב ושוב בכל תיק של הנאשם. נטען, כי מן הנאשם נמנעת האפשרות לקבל טיפול לגמילה מסמים בהיותו עבריין מין מורשע ובהיעדר מסגרת מתאימה. נטען, כי הנאשם מכיר בבעיית ההתמכרות שלו ומעוניין בטיפול. נטען בנוסף, כי הנאשם פגוע נפש ואינו יכול להשתלב גם במסגרות לתחלואה כפולה בשל הרשעתו בעבירת מין.</w:t>
      </w:r>
    </w:p>
    <w:p w14:paraId="05B8F99F" w14:textId="77777777" w:rsidR="00F912A9" w:rsidRPr="00F65F57" w:rsidRDefault="00F912A9" w:rsidP="00F912A9">
      <w:pPr>
        <w:spacing w:after="160" w:line="360" w:lineRule="auto"/>
        <w:ind w:left="720"/>
        <w:contextualSpacing/>
        <w:jc w:val="both"/>
        <w:rPr>
          <w:rFonts w:ascii="David" w:hAnsi="David"/>
          <w:rtl/>
        </w:rPr>
      </w:pPr>
      <w:r w:rsidRPr="00F65F57">
        <w:rPr>
          <w:rFonts w:ascii="David" w:hAnsi="David"/>
          <w:rtl/>
        </w:rPr>
        <w:t>נטען, כי מאז הרשעת הנאשם בעבירת המין לא נרשמו לחובתו עבירות כלשהן מלבד הפרות הקשורות בהתמכרות.</w:t>
      </w:r>
    </w:p>
    <w:p w14:paraId="244D0B4D" w14:textId="77777777" w:rsidR="00F912A9" w:rsidRPr="00F65F57" w:rsidRDefault="00F912A9" w:rsidP="00F912A9">
      <w:pPr>
        <w:numPr>
          <w:ilvl w:val="0"/>
          <w:numId w:val="1"/>
        </w:numPr>
        <w:spacing w:after="160" w:line="360" w:lineRule="auto"/>
        <w:contextualSpacing/>
        <w:jc w:val="both"/>
        <w:rPr>
          <w:rFonts w:ascii="David" w:hAnsi="David"/>
          <w:rtl/>
        </w:rPr>
      </w:pPr>
      <w:r w:rsidRPr="00F65F57">
        <w:rPr>
          <w:rFonts w:ascii="David" w:hAnsi="David"/>
          <w:rtl/>
        </w:rPr>
        <w:t>בנסיבות אלה נטען, כי עתירת המאשימה לעונש אינה מותאמת. ב"כ הנאשם מסר, כי מייצג את הנאשם בתיקים שונים וגם בעבר ניסה לקדם מענה לנאשם בדרגים שונים בשירות המבחן ובמשרד הרווחה, למרות זאת גם הפ</w:t>
      </w:r>
      <w:r>
        <w:rPr>
          <w:rFonts w:ascii="David" w:hAnsi="David"/>
          <w:rtl/>
        </w:rPr>
        <w:t>עם שירות המבחן לא הצליח למצוא פ</w:t>
      </w:r>
      <w:r w:rsidRPr="00F65F57">
        <w:rPr>
          <w:rFonts w:ascii="David" w:hAnsi="David"/>
          <w:rtl/>
        </w:rPr>
        <w:t>תרון למצבו.  כן נטען, כי בין תקופות מאסרו הנאשם טיפל בעצמו באמצעות גורמי הרווחה אך לא ניתן לטפל בו באמצעות ההליך הפלילי.  הודגש עוד, כי המסוכנות המינית הנשקפת מן הנאשם היא נמוכה.</w:t>
      </w:r>
    </w:p>
    <w:p w14:paraId="3AB747D7" w14:textId="77777777" w:rsidR="00F912A9" w:rsidRPr="00F65F57" w:rsidRDefault="00F912A9" w:rsidP="00F912A9">
      <w:pPr>
        <w:spacing w:after="160" w:line="360" w:lineRule="auto"/>
        <w:ind w:left="720"/>
        <w:contextualSpacing/>
        <w:jc w:val="both"/>
        <w:rPr>
          <w:rFonts w:ascii="David" w:hAnsi="David"/>
          <w:rtl/>
        </w:rPr>
      </w:pPr>
      <w:r w:rsidRPr="00F65F57">
        <w:rPr>
          <w:rFonts w:ascii="David" w:hAnsi="David"/>
          <w:rtl/>
        </w:rPr>
        <w:t>לאור זאת, עתר ב"כ הנאשם לקבוע כי מתחם העונש ההולם נמוך מזה שהמאשימה טענה לו, ולקבוע כי המתחם הוא כשל החזקת ושימוש בסמים בלבד (ללא מרכיב הפרת הצו), קרי מאסר מותנה ועד מספר חודשי מאסר בפועל.  לחלופין טען, כי יש לחרוג ממתחם העונש ההולם משיקולי צדק, ולהסתפק בימי מעצרו של הנאשם.</w:t>
      </w:r>
    </w:p>
    <w:p w14:paraId="244BC5CB" w14:textId="77777777" w:rsidR="00F912A9" w:rsidRDefault="00F912A9" w:rsidP="00F912A9">
      <w:pPr>
        <w:numPr>
          <w:ilvl w:val="0"/>
          <w:numId w:val="1"/>
        </w:numPr>
        <w:spacing w:after="160" w:line="360" w:lineRule="auto"/>
        <w:contextualSpacing/>
        <w:jc w:val="both"/>
        <w:rPr>
          <w:rFonts w:ascii="David" w:hAnsi="David"/>
        </w:rPr>
      </w:pPr>
      <w:r w:rsidRPr="00F65F57">
        <w:rPr>
          <w:rFonts w:ascii="David" w:hAnsi="David"/>
          <w:b/>
          <w:bCs/>
          <w:rtl/>
        </w:rPr>
        <w:t xml:space="preserve">הנאשם </w:t>
      </w:r>
      <w:r w:rsidRPr="00F65F57">
        <w:rPr>
          <w:rFonts w:ascii="David" w:hAnsi="David"/>
          <w:rtl/>
        </w:rPr>
        <w:t>עצמו מסר, כי הוא מקווה להמשיך את הטיפול מחוץ לכותלי הכלא. הוסיף, כי לא נמצא מסגרת אשר יכולה לסייע לו בבעיותיו האישיות ובבעיית ההתמכרות שלו. כן הוסיף כי הוא מצטער על מה שעשה.</w:t>
      </w:r>
    </w:p>
    <w:p w14:paraId="09EFC98D" w14:textId="77777777" w:rsidR="00F912A9" w:rsidRPr="00F65F57" w:rsidRDefault="00F912A9" w:rsidP="00F912A9">
      <w:pPr>
        <w:spacing w:after="160" w:line="360" w:lineRule="auto"/>
        <w:ind w:left="720"/>
        <w:contextualSpacing/>
        <w:jc w:val="both"/>
        <w:rPr>
          <w:rFonts w:ascii="David" w:hAnsi="David"/>
          <w:rtl/>
        </w:rPr>
      </w:pPr>
    </w:p>
    <w:p w14:paraId="4F13E0AB" w14:textId="77777777" w:rsidR="00F912A9" w:rsidRPr="00F65F57" w:rsidRDefault="00F912A9" w:rsidP="00F912A9">
      <w:pPr>
        <w:spacing w:after="160" w:line="360" w:lineRule="auto"/>
        <w:ind w:left="360"/>
        <w:rPr>
          <w:rFonts w:ascii="David" w:hAnsi="David"/>
          <w:b/>
          <w:bCs/>
          <w:u w:val="single"/>
          <w:rtl/>
        </w:rPr>
      </w:pPr>
      <w:r w:rsidRPr="00F65F57">
        <w:rPr>
          <w:rFonts w:ascii="David" w:hAnsi="David"/>
          <w:b/>
          <w:bCs/>
          <w:u w:val="single"/>
          <w:rtl/>
        </w:rPr>
        <w:t>קביעת מתחם העונש ההולם:</w:t>
      </w:r>
    </w:p>
    <w:p w14:paraId="489ECDAC" w14:textId="77777777" w:rsidR="00F912A9" w:rsidRPr="00F65F57" w:rsidRDefault="00F912A9" w:rsidP="00F912A9">
      <w:pPr>
        <w:numPr>
          <w:ilvl w:val="0"/>
          <w:numId w:val="1"/>
        </w:numPr>
        <w:spacing w:after="160" w:line="360" w:lineRule="auto"/>
        <w:contextualSpacing/>
        <w:jc w:val="both"/>
        <w:rPr>
          <w:rFonts w:ascii="David" w:hAnsi="David"/>
          <w:rtl/>
        </w:rPr>
      </w:pPr>
      <w:r w:rsidRPr="00F65F57">
        <w:rPr>
          <w:rFonts w:ascii="David" w:hAnsi="David"/>
          <w:rtl/>
        </w:rPr>
        <w:t>מתחם העונש ההולם למעשה העבירה נקבע בהתאם לעיקרון ההלימה ולפיו נדרש יחס הולם בין חומרת מעשה העבירה בנסיבותיו ומידת אשמו של הנאשם, לבין סוג ומידת העונש המוטל עליו. ביישום עיקרון ההלימה וקביעת מתחם העונש במקרה קונקרטי, בית המשפט יתחשב בשלושת אלה:  הערך החברתי שנפגע ומידת הפגיעה בו; מדיניות הענישה הנוהגת; ונסיבות הקשורות בביצוע העבירה.</w:t>
      </w:r>
    </w:p>
    <w:p w14:paraId="0F451940" w14:textId="77777777" w:rsidR="00F912A9" w:rsidRPr="00F65F57" w:rsidRDefault="00F912A9" w:rsidP="00F912A9">
      <w:pPr>
        <w:numPr>
          <w:ilvl w:val="0"/>
          <w:numId w:val="1"/>
        </w:numPr>
        <w:spacing w:after="160" w:line="360" w:lineRule="auto"/>
        <w:contextualSpacing/>
        <w:jc w:val="both"/>
        <w:rPr>
          <w:rFonts w:ascii="David" w:hAnsi="David"/>
          <w:rtl/>
        </w:rPr>
      </w:pPr>
      <w:r w:rsidRPr="00F65F57">
        <w:rPr>
          <w:rFonts w:ascii="David" w:hAnsi="David"/>
          <w:rtl/>
        </w:rPr>
        <w:t xml:space="preserve">כתב האישום מתאר </w:t>
      </w:r>
      <w:r w:rsidRPr="00F65F57">
        <w:rPr>
          <w:rFonts w:ascii="David" w:hAnsi="David"/>
          <w:b/>
          <w:bCs/>
          <w:rtl/>
        </w:rPr>
        <w:t>מספר מקרים</w:t>
      </w:r>
      <w:r w:rsidRPr="00F65F57">
        <w:rPr>
          <w:rFonts w:ascii="David" w:hAnsi="David"/>
          <w:rtl/>
        </w:rPr>
        <w:t xml:space="preserve"> כולם על רקע הפרות צו הפיקוח, בנסיבות דומות. המאשימה הפנתה לענישה הנוהגת, לשיטתה, בגין מקרה של הפרה בודדת וטענה למתחם עונש אחד בגין כלל המעשים. </w:t>
      </w:r>
    </w:p>
    <w:p w14:paraId="68E676F4" w14:textId="77777777" w:rsidR="00F912A9" w:rsidRPr="00F65F57" w:rsidRDefault="00F912A9" w:rsidP="00F912A9">
      <w:pPr>
        <w:numPr>
          <w:ilvl w:val="0"/>
          <w:numId w:val="1"/>
        </w:numPr>
        <w:spacing w:after="120" w:line="360" w:lineRule="auto"/>
        <w:contextualSpacing/>
        <w:jc w:val="both"/>
        <w:rPr>
          <w:rFonts w:ascii="David" w:hAnsi="David"/>
          <w:color w:val="000000"/>
        </w:rPr>
      </w:pPr>
      <w:r w:rsidRPr="00F65F57">
        <w:rPr>
          <w:rFonts w:ascii="David" w:hAnsi="David"/>
          <w:rtl/>
        </w:rPr>
        <w:t xml:space="preserve">אין מחלוקת לגבי </w:t>
      </w:r>
      <w:r w:rsidRPr="00F65F57">
        <w:rPr>
          <w:rFonts w:ascii="David" w:hAnsi="David"/>
          <w:b/>
          <w:bCs/>
          <w:rtl/>
        </w:rPr>
        <w:t xml:space="preserve">הערכים החברתיים המוגנים </w:t>
      </w:r>
      <w:r w:rsidRPr="00F65F57">
        <w:rPr>
          <w:rFonts w:ascii="David" w:hAnsi="David"/>
          <w:rtl/>
        </w:rPr>
        <w:t xml:space="preserve">בעבירות בהן הורשע הנאשם.  העבירה של הפרת צו הפיקוח נועדה להגן </w:t>
      </w:r>
      <w:r w:rsidRPr="00F65F57">
        <w:rPr>
          <w:rFonts w:ascii="David" w:hAnsi="David"/>
          <w:color w:val="000000"/>
          <w:rtl/>
        </w:rPr>
        <w:t>על ביטחון הציבור מפני עברייני מין מורשעים, להבטיח את האפקטיביות של מנגנון הפיקוח על עברייני מין ובהגדרת חובת הציות לצו מגולמים גם ערכים של שמירה על הסדר הציבורי ועל שלטון החוק.  וחובת הציות לחוק ובפרט לצווים שיפוטיים שניתנו מכוחו.</w:t>
      </w:r>
    </w:p>
    <w:p w14:paraId="6C6E4C26" w14:textId="77777777" w:rsidR="00F912A9" w:rsidRPr="00F65F57" w:rsidRDefault="00F912A9" w:rsidP="00F912A9">
      <w:pPr>
        <w:spacing w:after="160" w:line="360" w:lineRule="auto"/>
        <w:ind w:left="720"/>
        <w:contextualSpacing/>
        <w:jc w:val="both"/>
        <w:rPr>
          <w:rFonts w:ascii="David" w:hAnsi="David"/>
        </w:rPr>
      </w:pPr>
      <w:r w:rsidRPr="00F65F57">
        <w:rPr>
          <w:rFonts w:ascii="David" w:hAnsi="David"/>
          <w:color w:val="000000"/>
          <w:rtl/>
        </w:rPr>
        <w:t>בפסיקה הודגש</w:t>
      </w:r>
      <w:r w:rsidRPr="00F65F57">
        <w:rPr>
          <w:rtl/>
        </w:rPr>
        <w:t xml:space="preserve"> שתכלית מתן צווי הפיקוח, היא מניעתית ולא עונשית ומטרתה להגן על הציבור מפני עברייני מין.  דברים ברוח זו נאמרו ב</w:t>
      </w:r>
      <w:hyperlink r:id="rId19" w:history="1">
        <w:r w:rsidR="0011038E" w:rsidRPr="0011038E">
          <w:rPr>
            <w:color w:val="0000FF"/>
            <w:u w:val="single"/>
            <w:rtl/>
          </w:rPr>
          <w:t>בש"פ 8309/14</w:t>
        </w:r>
      </w:hyperlink>
      <w:r w:rsidRPr="00F65F57">
        <w:rPr>
          <w:rtl/>
        </w:rPr>
        <w:t xml:space="preserve">  </w:t>
      </w:r>
      <w:r w:rsidRPr="00F65F57">
        <w:rPr>
          <w:b/>
          <w:bCs/>
          <w:rtl/>
        </w:rPr>
        <w:t>מדינת ישראל נגד פלוני</w:t>
      </w:r>
      <w:r w:rsidRPr="00F65F57">
        <w:rPr>
          <w:rtl/>
        </w:rPr>
        <w:t xml:space="preserve"> (13.01.2015): </w:t>
      </w:r>
    </w:p>
    <w:p w14:paraId="5E6C4204" w14:textId="77777777" w:rsidR="00F912A9" w:rsidRPr="00F65F57" w:rsidRDefault="00F912A9" w:rsidP="00F912A9">
      <w:pPr>
        <w:shd w:val="clear" w:color="auto" w:fill="FFFFFF"/>
        <w:spacing w:line="276" w:lineRule="auto"/>
        <w:ind w:left="2160" w:right="1417"/>
        <w:contextualSpacing/>
        <w:jc w:val="both"/>
        <w:rPr>
          <w:rFonts w:ascii="David" w:hAnsi="David"/>
          <w:b/>
          <w:bCs/>
          <w:color w:val="000000"/>
        </w:rPr>
      </w:pPr>
      <w:r w:rsidRPr="00F65F57">
        <w:rPr>
          <w:rFonts w:ascii="David" w:hAnsi="David"/>
          <w:b/>
          <w:bCs/>
          <w:color w:val="000000"/>
          <w:rtl/>
        </w:rPr>
        <w:t xml:space="preserve">"התכלית החקיקתית העומדת במרכז הדיון היא ההגנה הנדרשת על הציבור מפני עברייני מין, מעבר לענישה שהוטלה עליהם (ראו: סעיף 1 לחוק ההגנה על הציבור; </w:t>
      </w:r>
      <w:hyperlink r:id="rId20" w:history="1">
        <w:r w:rsidR="0011038E" w:rsidRPr="0011038E">
          <w:rPr>
            <w:rFonts w:ascii="David" w:hAnsi="David"/>
            <w:b/>
            <w:bCs/>
            <w:color w:val="0000FF"/>
            <w:u w:val="single"/>
            <w:rtl/>
          </w:rPr>
          <w:t>בש"פ 1179/09</w:t>
        </w:r>
      </w:hyperlink>
      <w:r w:rsidRPr="00F65F57">
        <w:rPr>
          <w:rFonts w:ascii="David" w:hAnsi="David"/>
          <w:b/>
          <w:bCs/>
          <w:color w:val="000000"/>
          <w:rtl/>
        </w:rPr>
        <w:t xml:space="preserve"> פלוני נ' מדינת ישראל, [פורסם בנבו] פסקה 7 (24.2.2009))." </w:t>
      </w:r>
    </w:p>
    <w:p w14:paraId="7A2D892A" w14:textId="77777777" w:rsidR="00F912A9" w:rsidRPr="00F65F57" w:rsidRDefault="00F912A9" w:rsidP="00F912A9">
      <w:pPr>
        <w:shd w:val="clear" w:color="auto" w:fill="FFFFFF"/>
        <w:spacing w:line="360" w:lineRule="auto"/>
        <w:ind w:left="1417" w:right="1417"/>
        <w:contextualSpacing/>
        <w:jc w:val="both"/>
        <w:rPr>
          <w:rFonts w:ascii="David" w:hAnsi="David"/>
          <w:noProof/>
          <w:rtl/>
        </w:rPr>
      </w:pPr>
    </w:p>
    <w:p w14:paraId="3FF3F7CF" w14:textId="77777777" w:rsidR="00F912A9" w:rsidRPr="00F65F57" w:rsidRDefault="00F912A9" w:rsidP="00F912A9">
      <w:pPr>
        <w:shd w:val="clear" w:color="auto" w:fill="FFFFFF"/>
        <w:spacing w:line="360" w:lineRule="auto"/>
        <w:ind w:firstLine="720"/>
        <w:rPr>
          <w:rtl/>
        </w:rPr>
      </w:pPr>
      <w:r w:rsidRPr="00F65F57">
        <w:rPr>
          <w:rtl/>
        </w:rPr>
        <w:t xml:space="preserve">ראו גם </w:t>
      </w:r>
      <w:hyperlink r:id="rId21" w:history="1">
        <w:r w:rsidR="0011038E" w:rsidRPr="0011038E">
          <w:rPr>
            <w:color w:val="0000FF"/>
            <w:u w:val="single"/>
            <w:rtl/>
          </w:rPr>
          <w:t>בש"פ 8054/14</w:t>
        </w:r>
      </w:hyperlink>
      <w:r w:rsidRPr="00F65F57">
        <w:rPr>
          <w:rtl/>
        </w:rPr>
        <w:t xml:space="preserve"> </w:t>
      </w:r>
      <w:r w:rsidRPr="00F65F57">
        <w:rPr>
          <w:b/>
          <w:bCs/>
          <w:rtl/>
        </w:rPr>
        <w:t>פלוני נגד מדינת ישראל</w:t>
      </w:r>
      <w:r w:rsidRPr="00F65F57">
        <w:rPr>
          <w:rtl/>
        </w:rPr>
        <w:t xml:space="preserve"> (09.12.2014):</w:t>
      </w:r>
    </w:p>
    <w:p w14:paraId="0D769B3E" w14:textId="77777777" w:rsidR="00F912A9" w:rsidRPr="00F65F57" w:rsidRDefault="00F912A9" w:rsidP="00F912A9">
      <w:pPr>
        <w:shd w:val="clear" w:color="auto" w:fill="FFFFFF"/>
        <w:spacing w:line="360" w:lineRule="auto"/>
        <w:ind w:firstLine="720"/>
        <w:rPr>
          <w:rtl/>
        </w:rPr>
      </w:pPr>
    </w:p>
    <w:p w14:paraId="1A2E413D" w14:textId="77777777" w:rsidR="00F912A9" w:rsidRPr="00F65F57" w:rsidRDefault="00F912A9" w:rsidP="00F912A9">
      <w:pPr>
        <w:shd w:val="clear" w:color="auto" w:fill="FFFFFF"/>
        <w:spacing w:line="276" w:lineRule="auto"/>
        <w:ind w:left="2160" w:right="1417"/>
        <w:contextualSpacing/>
        <w:jc w:val="both"/>
        <w:rPr>
          <w:rFonts w:ascii="David" w:hAnsi="David"/>
          <w:b/>
          <w:bCs/>
          <w:color w:val="000000"/>
          <w:rtl/>
        </w:rPr>
      </w:pPr>
      <w:r w:rsidRPr="00F65F57">
        <w:rPr>
          <w:rFonts w:ascii="David" w:hAnsi="David"/>
          <w:b/>
          <w:bCs/>
          <w:color w:val="000000"/>
          <w:rtl/>
        </w:rPr>
        <w:t xml:space="preserve">"תכליתו של צו הפיקוח היא מניעתית ולא עונשית, והשיקולים שביניהם על בית המשפט למצוא את נקודת האיזון בדונו בבקשה להטלת צו פיקוח על עבריין שסיים לרצות את עונשו, עניינם באינטרס הציבורי שבהגנה על שלום הציבור מפני ביצוע עבירות מין מחד גיסא, ובזכויות ובחירויות של עבריין המין אשר סיים לרצות עונשו ולשלם </w:t>
      </w:r>
    </w:p>
    <w:p w14:paraId="7B897EF9" w14:textId="77777777" w:rsidR="00F912A9" w:rsidRPr="00F65F57" w:rsidRDefault="00F912A9" w:rsidP="00F912A9">
      <w:pPr>
        <w:shd w:val="clear" w:color="auto" w:fill="FFFFFF"/>
        <w:spacing w:line="276" w:lineRule="auto"/>
        <w:ind w:left="2160" w:right="1417"/>
        <w:contextualSpacing/>
        <w:jc w:val="both"/>
        <w:rPr>
          <w:rFonts w:ascii="David" w:hAnsi="David"/>
          <w:b/>
          <w:bCs/>
          <w:color w:val="000000"/>
          <w:rtl/>
        </w:rPr>
      </w:pPr>
      <w:r w:rsidRPr="00F65F57">
        <w:rPr>
          <w:rFonts w:ascii="David" w:hAnsi="David"/>
          <w:b/>
          <w:bCs/>
          <w:color w:val="000000"/>
          <w:rtl/>
        </w:rPr>
        <w:t xml:space="preserve">את חובו לחברה מאידך גיסא"  </w:t>
      </w:r>
    </w:p>
    <w:p w14:paraId="64D9110A" w14:textId="77777777" w:rsidR="00F912A9" w:rsidRPr="00F65F57" w:rsidRDefault="00F912A9" w:rsidP="00F912A9">
      <w:pPr>
        <w:shd w:val="clear" w:color="auto" w:fill="FFFFFF"/>
        <w:tabs>
          <w:tab w:val="left" w:pos="720"/>
          <w:tab w:val="left" w:pos="800"/>
        </w:tabs>
        <w:overflowPunct w:val="0"/>
        <w:autoSpaceDE w:val="0"/>
        <w:autoSpaceDN w:val="0"/>
        <w:adjustRightInd w:val="0"/>
        <w:spacing w:line="276" w:lineRule="auto"/>
        <w:ind w:right="1417"/>
        <w:jc w:val="both"/>
        <w:rPr>
          <w:rFonts w:ascii="David" w:hAnsi="David"/>
          <w:spacing w:val="10"/>
          <w:rtl/>
        </w:rPr>
      </w:pPr>
    </w:p>
    <w:p w14:paraId="766F8CC3" w14:textId="77777777" w:rsidR="00F912A9" w:rsidRPr="00F65F57" w:rsidRDefault="00F912A9" w:rsidP="00F912A9">
      <w:pPr>
        <w:spacing w:line="360" w:lineRule="auto"/>
        <w:ind w:left="720"/>
        <w:contextualSpacing/>
        <w:jc w:val="both"/>
        <w:rPr>
          <w:rFonts w:ascii="David" w:hAnsi="David"/>
          <w:rtl/>
        </w:rPr>
      </w:pPr>
    </w:p>
    <w:p w14:paraId="307816C4" w14:textId="77777777" w:rsidR="00F912A9" w:rsidRPr="00F65F57" w:rsidRDefault="00F912A9" w:rsidP="00F912A9">
      <w:pPr>
        <w:numPr>
          <w:ilvl w:val="0"/>
          <w:numId w:val="1"/>
        </w:numPr>
        <w:spacing w:after="120" w:line="360" w:lineRule="auto"/>
        <w:contextualSpacing/>
        <w:jc w:val="both"/>
        <w:rPr>
          <w:rFonts w:ascii="David" w:hAnsi="David"/>
          <w:b/>
          <w:color w:val="000000"/>
          <w:lang w:eastAsia="he-IL"/>
        </w:rPr>
      </w:pPr>
      <w:r w:rsidRPr="00F65F57">
        <w:rPr>
          <w:rFonts w:ascii="David" w:hAnsi="David"/>
          <w:color w:val="000000"/>
          <w:rtl/>
        </w:rPr>
        <w:t>בבחינת מידת הפגיעה בערכים המוגנים וכן בבחינת מידת אשמו של הנאשם, איני רואה עין בעין עם עמדת המאשימה. לא מצאתי, כי יש בטיעון המאשימה ה"גנרי" לעונש כדי לתת מענה או ביטוי כלשהו לשקלול של נסיבות המקרה כפי שמשתקפות מעברו הפלילי של הנאשם ובפרט מתסקירי שירות המבחן.</w:t>
      </w:r>
    </w:p>
    <w:p w14:paraId="0A0E35D9" w14:textId="77777777" w:rsidR="00F912A9" w:rsidRPr="00F65F57" w:rsidRDefault="00F912A9" w:rsidP="00F912A9">
      <w:pPr>
        <w:spacing w:after="120" w:line="360" w:lineRule="auto"/>
        <w:ind w:left="720"/>
        <w:contextualSpacing/>
        <w:jc w:val="both"/>
        <w:rPr>
          <w:rFonts w:ascii="David" w:hAnsi="David"/>
          <w:color w:val="000000"/>
          <w:rtl/>
        </w:rPr>
      </w:pPr>
      <w:r w:rsidRPr="00F65F57">
        <w:rPr>
          <w:rFonts w:ascii="David" w:hAnsi="David"/>
          <w:color w:val="000000"/>
          <w:rtl/>
        </w:rPr>
        <w:t>מעשי ההפרה אותם ביצע הנאשם קשורים כולם להתמכרותו העמוקה של הנאשם לסמים. לא מדובר בהפרות המהוות עבירות פליליות עצמאיות (מלבד העבירות של שימוש עצמי בסמים או החזקה לצורך שימוש עצמי) ובפרט הנאשם לא ביצע עבירות מין ולא הפר את צו הפיקוח בדרך של התנהגות אקטיבית הקשורה בפריצת גבולות בתחום המיני. משכך, לא מדובר בהפרות צו שהן ברף הגבוה.</w:t>
      </w:r>
    </w:p>
    <w:p w14:paraId="5E3474BC" w14:textId="77777777" w:rsidR="00F912A9" w:rsidRPr="00F65F57" w:rsidRDefault="00F912A9" w:rsidP="00F912A9">
      <w:pPr>
        <w:spacing w:after="120" w:line="360" w:lineRule="auto"/>
        <w:ind w:left="720"/>
        <w:contextualSpacing/>
        <w:jc w:val="both"/>
        <w:rPr>
          <w:rFonts w:ascii="David" w:hAnsi="David"/>
          <w:color w:val="000000"/>
          <w:rtl/>
        </w:rPr>
      </w:pPr>
      <w:r w:rsidRPr="00F65F57">
        <w:rPr>
          <w:rFonts w:ascii="David" w:hAnsi="David"/>
          <w:color w:val="000000"/>
          <w:rtl/>
        </w:rPr>
        <w:t xml:space="preserve">אך בפרט ובעיקר, כאשר מדובר בהפרות חוזרות על רקע התמכרות לסמים </w:t>
      </w:r>
      <w:r w:rsidRPr="00F65F57">
        <w:rPr>
          <w:rFonts w:ascii="David" w:hAnsi="David"/>
          <w:b/>
          <w:bCs/>
          <w:color w:val="000000"/>
          <w:rtl/>
        </w:rPr>
        <w:t xml:space="preserve">במצב דברים שבו הנאשם מבקש להשתלב בהליך גמילה מסמים במסגרת סגורה ולא ניתנה לו האפשרות לעשות כן מאז הרשעתו בעבירות מין </w:t>
      </w:r>
      <w:r w:rsidRPr="00F65F57">
        <w:rPr>
          <w:rFonts w:ascii="David" w:hAnsi="David"/>
          <w:color w:val="000000"/>
          <w:rtl/>
        </w:rPr>
        <w:t xml:space="preserve">וכאשר בד בבד קיימת גם תחלואה בתחום הנפש – לא ניתן לקבוע כטיעון המאשימה כי מדובר ב"בחירה" חוזרת, בשליטה מלאה ומודעת, להפר את צו הפיקוח. לנתוני הנאשם שבפניי כפי שמתקיימים בפניי השפעה של ממש על הגדרת </w:t>
      </w:r>
      <w:r w:rsidRPr="00F65F57">
        <w:rPr>
          <w:rFonts w:ascii="David" w:hAnsi="David"/>
          <w:b/>
          <w:bCs/>
          <w:color w:val="000000"/>
          <w:rtl/>
        </w:rPr>
        <w:t xml:space="preserve">מידת אשמו </w:t>
      </w:r>
      <w:r w:rsidRPr="00F65F57">
        <w:rPr>
          <w:rFonts w:ascii="David" w:hAnsi="David"/>
          <w:color w:val="000000"/>
          <w:rtl/>
        </w:rPr>
        <w:t>של הנאשם ולפיכך, בקביעת מתחם הענישה.</w:t>
      </w:r>
    </w:p>
    <w:p w14:paraId="1D6F4543" w14:textId="77777777" w:rsidR="00F912A9" w:rsidRPr="00F65F57" w:rsidRDefault="00F912A9" w:rsidP="00F912A9">
      <w:pPr>
        <w:spacing w:after="120" w:line="360" w:lineRule="auto"/>
        <w:ind w:left="720"/>
        <w:contextualSpacing/>
        <w:jc w:val="both"/>
        <w:rPr>
          <w:rFonts w:ascii="David" w:hAnsi="David"/>
          <w:color w:val="000000"/>
          <w:rtl/>
        </w:rPr>
      </w:pPr>
    </w:p>
    <w:p w14:paraId="50C0E392" w14:textId="77777777" w:rsidR="00F912A9" w:rsidRPr="00F65F57" w:rsidRDefault="00F912A9" w:rsidP="00F912A9">
      <w:pPr>
        <w:numPr>
          <w:ilvl w:val="0"/>
          <w:numId w:val="1"/>
        </w:numPr>
        <w:spacing w:after="120" w:line="360" w:lineRule="auto"/>
        <w:contextualSpacing/>
        <w:jc w:val="both"/>
        <w:rPr>
          <w:rFonts w:ascii="David" w:hAnsi="David"/>
          <w:color w:val="000000"/>
        </w:rPr>
      </w:pPr>
      <w:r w:rsidRPr="00F65F57">
        <w:rPr>
          <w:rFonts w:ascii="David" w:hAnsi="David"/>
          <w:color w:val="000000"/>
          <w:rtl/>
        </w:rPr>
        <w:t xml:space="preserve">בבחינת </w:t>
      </w:r>
      <w:r w:rsidRPr="00F65F57">
        <w:rPr>
          <w:rFonts w:ascii="David" w:hAnsi="David"/>
          <w:b/>
          <w:bCs/>
          <w:color w:val="000000"/>
          <w:rtl/>
        </w:rPr>
        <w:t>מדיניות הענישה הנוהגת</w:t>
      </w:r>
      <w:r w:rsidRPr="00F65F57">
        <w:rPr>
          <w:rFonts w:ascii="David" w:hAnsi="David"/>
          <w:color w:val="000000"/>
          <w:rtl/>
        </w:rPr>
        <w:t xml:space="preserve"> ועיון בפסיקה אליה הפנתה המאשימה עולה, כי מתחם העונש ההולם מושפע מאופי ההפרה ומספר ההפרות. קיימת מגמת החמרה מקום בו בוצעו הפרות חמורות במיוחד ובפרט כאשר מדובר בהפרות הנוגעות ישירות לעבירות המין או להתנהגות מינית (כגון קרבה לקטינים, החזקת פורנוגרפיה, הפרת איסור על שהייה ביחידות וכיוצ</w:t>
      </w:r>
      <w:r>
        <w:rPr>
          <w:rFonts w:ascii="David" w:hAnsi="David" w:hint="cs"/>
          <w:color w:val="000000"/>
          <w:rtl/>
        </w:rPr>
        <w:t>"</w:t>
      </w:r>
      <w:r w:rsidRPr="00F65F57">
        <w:rPr>
          <w:rFonts w:ascii="David" w:hAnsi="David"/>
          <w:color w:val="000000"/>
          <w:rtl/>
        </w:rPr>
        <w:t xml:space="preserve">ב).  ראו להלן דוגמאות מן הפסיקה:  </w:t>
      </w:r>
    </w:p>
    <w:p w14:paraId="12E735C7" w14:textId="77777777" w:rsidR="00F912A9" w:rsidRPr="00F65F57" w:rsidRDefault="0011038E" w:rsidP="00F912A9">
      <w:pPr>
        <w:shd w:val="clear" w:color="auto" w:fill="FFFFFF"/>
        <w:spacing w:line="360" w:lineRule="auto"/>
        <w:ind w:left="720" w:right="284"/>
        <w:contextualSpacing/>
        <w:jc w:val="both"/>
        <w:rPr>
          <w:rFonts w:ascii="David" w:hAnsi="David"/>
        </w:rPr>
      </w:pPr>
      <w:hyperlink r:id="rId22" w:history="1">
        <w:r w:rsidRPr="0011038E">
          <w:rPr>
            <w:rFonts w:ascii="FrankRuehl" w:hAnsi="FrankRuehl"/>
            <w:color w:val="0000FF"/>
            <w:u w:val="single"/>
            <w:rtl/>
          </w:rPr>
          <w:t>עפ"ג 7934-06-11</w:t>
        </w:r>
      </w:hyperlink>
      <w:r w:rsidR="00F912A9" w:rsidRPr="00F65F57">
        <w:rPr>
          <w:rFonts w:ascii="FrankRuehl" w:hAnsi="FrankRuehl"/>
          <w:b/>
          <w:bCs/>
          <w:u w:val="single"/>
          <w:rtl/>
        </w:rPr>
        <w:t xml:space="preserve"> </w:t>
      </w:r>
      <w:r w:rsidR="00F912A9" w:rsidRPr="00F65F57">
        <w:rPr>
          <w:rFonts w:ascii="FrankRuehl" w:hAnsi="FrankRuehl" w:hint="eastAsia"/>
          <w:b/>
          <w:bCs/>
          <w:u w:val="single"/>
          <w:rtl/>
        </w:rPr>
        <w:t>גדול</w:t>
      </w:r>
      <w:r w:rsidR="00F912A9" w:rsidRPr="00F65F57">
        <w:rPr>
          <w:rFonts w:ascii="FrankRuehl" w:hAnsi="FrankRuehl"/>
          <w:b/>
          <w:bCs/>
          <w:u w:val="single"/>
          <w:rtl/>
        </w:rPr>
        <w:t xml:space="preserve"> </w:t>
      </w:r>
      <w:r w:rsidR="00F912A9" w:rsidRPr="00F65F57">
        <w:rPr>
          <w:rFonts w:ascii="FrankRuehl" w:hAnsi="FrankRuehl" w:hint="eastAsia"/>
          <w:b/>
          <w:bCs/>
          <w:u w:val="single"/>
          <w:rtl/>
        </w:rPr>
        <w:t>נגד</w:t>
      </w:r>
      <w:r w:rsidR="00F912A9" w:rsidRPr="00F65F57">
        <w:rPr>
          <w:rFonts w:ascii="FrankRuehl" w:hAnsi="FrankRuehl"/>
          <w:b/>
          <w:bCs/>
          <w:u w:val="single"/>
          <w:rtl/>
        </w:rPr>
        <w:t xml:space="preserve"> </w:t>
      </w:r>
      <w:r w:rsidR="00F912A9" w:rsidRPr="00F65F57">
        <w:rPr>
          <w:rFonts w:ascii="FrankRuehl" w:hAnsi="FrankRuehl" w:hint="eastAsia"/>
          <w:b/>
          <w:bCs/>
          <w:u w:val="single"/>
          <w:rtl/>
        </w:rPr>
        <w:t>מדינת</w:t>
      </w:r>
      <w:r w:rsidR="00F912A9" w:rsidRPr="00F65F57">
        <w:rPr>
          <w:rFonts w:ascii="FrankRuehl" w:hAnsi="FrankRuehl"/>
          <w:b/>
          <w:bCs/>
          <w:u w:val="single"/>
          <w:rtl/>
        </w:rPr>
        <w:t xml:space="preserve"> </w:t>
      </w:r>
      <w:r w:rsidR="00F912A9" w:rsidRPr="00F65F57">
        <w:rPr>
          <w:rFonts w:ascii="FrankRuehl" w:hAnsi="FrankRuehl" w:hint="eastAsia"/>
          <w:b/>
          <w:bCs/>
          <w:u w:val="single"/>
          <w:rtl/>
        </w:rPr>
        <w:t>ישראל</w:t>
      </w:r>
      <w:r w:rsidR="00F912A9" w:rsidRPr="00F65F57">
        <w:rPr>
          <w:rFonts w:ascii="FrankRuehl" w:hAnsi="FrankRuehl"/>
          <w:b/>
          <w:bCs/>
          <w:u w:val="single"/>
          <w:rtl/>
        </w:rPr>
        <w:t xml:space="preserve"> </w:t>
      </w:r>
      <w:r w:rsidR="00F912A9" w:rsidRPr="00F65F57">
        <w:rPr>
          <w:sz w:val="22"/>
          <w:u w:val="single"/>
          <w:rtl/>
        </w:rPr>
        <w:t>(17.7.2011)</w:t>
      </w:r>
      <w:r w:rsidR="00F912A9" w:rsidRPr="00F65F57">
        <w:rPr>
          <w:sz w:val="22"/>
          <w:rtl/>
        </w:rPr>
        <w:t xml:space="preserve">: </w:t>
      </w:r>
      <w:r w:rsidR="00F912A9" w:rsidRPr="00F65F57">
        <w:rPr>
          <w:rFonts w:ascii="Calibri" w:hAnsi="Calibri" w:hint="eastAsia"/>
          <w:rtl/>
        </w:rPr>
        <w:t>המערער</w:t>
      </w:r>
      <w:r w:rsidR="00F912A9" w:rsidRPr="00F65F57">
        <w:rPr>
          <w:rFonts w:ascii="Calibri" w:hAnsi="Calibri"/>
          <w:rtl/>
        </w:rPr>
        <w:t xml:space="preserve"> </w:t>
      </w:r>
      <w:r w:rsidR="00F912A9" w:rsidRPr="00F65F57">
        <w:rPr>
          <w:rFonts w:ascii="Calibri" w:hAnsi="Calibri" w:hint="eastAsia"/>
          <w:rtl/>
        </w:rPr>
        <w:t>נדון</w:t>
      </w:r>
      <w:r w:rsidR="00F912A9" w:rsidRPr="00F65F57">
        <w:rPr>
          <w:rFonts w:ascii="Calibri" w:hAnsi="Calibri"/>
          <w:rtl/>
        </w:rPr>
        <w:t xml:space="preserve"> </w:t>
      </w:r>
      <w:r w:rsidR="00F912A9" w:rsidRPr="00F65F57">
        <w:rPr>
          <w:rFonts w:ascii="Calibri" w:hAnsi="Calibri" w:hint="eastAsia"/>
          <w:b/>
          <w:bCs/>
          <w:rtl/>
        </w:rPr>
        <w:t>ל</w:t>
      </w:r>
      <w:r w:rsidR="00F912A9" w:rsidRPr="00F65F57">
        <w:rPr>
          <w:rFonts w:ascii="Calibri" w:hAnsi="Calibri"/>
          <w:b/>
          <w:bCs/>
          <w:rtl/>
        </w:rPr>
        <w:t xml:space="preserve">- 8 </w:t>
      </w:r>
      <w:r w:rsidR="00F912A9" w:rsidRPr="00F65F57">
        <w:rPr>
          <w:rFonts w:ascii="Calibri" w:hAnsi="Calibri" w:hint="eastAsia"/>
          <w:b/>
          <w:bCs/>
          <w:rtl/>
        </w:rPr>
        <w:t>חודשי</w:t>
      </w:r>
      <w:r w:rsidR="00F912A9" w:rsidRPr="00F65F57">
        <w:rPr>
          <w:rFonts w:ascii="Calibri" w:hAnsi="Calibri"/>
          <w:b/>
          <w:bCs/>
          <w:rtl/>
        </w:rPr>
        <w:t xml:space="preserve"> </w:t>
      </w:r>
      <w:r w:rsidR="00F912A9" w:rsidRPr="00F65F57">
        <w:rPr>
          <w:rFonts w:ascii="Calibri" w:hAnsi="Calibri" w:hint="eastAsia"/>
          <w:b/>
          <w:bCs/>
          <w:rtl/>
        </w:rPr>
        <w:t>מאסר</w:t>
      </w:r>
      <w:r w:rsidR="00F912A9" w:rsidRPr="00F65F57">
        <w:rPr>
          <w:rFonts w:ascii="Calibri" w:hAnsi="Calibri"/>
          <w:b/>
          <w:bCs/>
          <w:rtl/>
        </w:rPr>
        <w:t xml:space="preserve"> </w:t>
      </w:r>
      <w:r w:rsidR="00F912A9" w:rsidRPr="00F65F57">
        <w:rPr>
          <w:rFonts w:ascii="Calibri" w:hAnsi="Calibri" w:hint="eastAsia"/>
          <w:b/>
          <w:bCs/>
          <w:rtl/>
        </w:rPr>
        <w:t>בפועל</w:t>
      </w:r>
      <w:r w:rsidR="00F912A9" w:rsidRPr="00F65F57">
        <w:rPr>
          <w:rFonts w:ascii="Calibri" w:hAnsi="Calibri"/>
          <w:b/>
          <w:bCs/>
          <w:rtl/>
        </w:rPr>
        <w:t xml:space="preserve"> </w:t>
      </w:r>
      <w:r w:rsidR="00F912A9" w:rsidRPr="00F65F57">
        <w:rPr>
          <w:rFonts w:ascii="Calibri" w:hAnsi="Calibri" w:hint="eastAsia"/>
          <w:b/>
          <w:bCs/>
          <w:rtl/>
        </w:rPr>
        <w:t>מיום</w:t>
      </w:r>
      <w:r w:rsidR="00F912A9" w:rsidRPr="00F65F57">
        <w:rPr>
          <w:rFonts w:ascii="Calibri" w:hAnsi="Calibri"/>
          <w:b/>
          <w:bCs/>
          <w:rtl/>
        </w:rPr>
        <w:t xml:space="preserve"> </w:t>
      </w:r>
      <w:r w:rsidR="00F912A9" w:rsidRPr="00F65F57">
        <w:rPr>
          <w:rFonts w:ascii="Calibri" w:hAnsi="Calibri" w:hint="eastAsia"/>
          <w:b/>
          <w:bCs/>
          <w:rtl/>
        </w:rPr>
        <w:t>מעצרו</w:t>
      </w:r>
      <w:r w:rsidR="00F912A9" w:rsidRPr="00F65F57">
        <w:rPr>
          <w:rFonts w:ascii="Calibri" w:hAnsi="Calibri"/>
          <w:b/>
          <w:bCs/>
          <w:rtl/>
        </w:rPr>
        <w:t xml:space="preserve">, </w:t>
      </w:r>
      <w:r w:rsidR="00F912A9" w:rsidRPr="00F65F57">
        <w:rPr>
          <w:rFonts w:ascii="Calibri" w:hAnsi="Calibri" w:hint="eastAsia"/>
          <w:b/>
          <w:bCs/>
          <w:rtl/>
        </w:rPr>
        <w:t>ומאסר</w:t>
      </w:r>
      <w:r w:rsidR="00F912A9" w:rsidRPr="00F65F57">
        <w:rPr>
          <w:rFonts w:ascii="Calibri" w:hAnsi="Calibri"/>
          <w:b/>
          <w:bCs/>
          <w:rtl/>
        </w:rPr>
        <w:t xml:space="preserve"> </w:t>
      </w:r>
      <w:r w:rsidR="00F912A9" w:rsidRPr="00F65F57">
        <w:rPr>
          <w:rFonts w:ascii="Calibri" w:hAnsi="Calibri" w:hint="eastAsia"/>
          <w:b/>
          <w:bCs/>
          <w:rtl/>
        </w:rPr>
        <w:t>על</w:t>
      </w:r>
      <w:r w:rsidR="00F912A9" w:rsidRPr="00F65F57">
        <w:rPr>
          <w:rFonts w:ascii="Calibri" w:hAnsi="Calibri"/>
          <w:b/>
          <w:bCs/>
          <w:rtl/>
        </w:rPr>
        <w:t xml:space="preserve"> </w:t>
      </w:r>
      <w:r w:rsidR="00F912A9" w:rsidRPr="00F65F57">
        <w:rPr>
          <w:rFonts w:ascii="Calibri" w:hAnsi="Calibri" w:hint="eastAsia"/>
          <w:b/>
          <w:bCs/>
          <w:rtl/>
        </w:rPr>
        <w:t>תנאי</w:t>
      </w:r>
      <w:r w:rsidR="00F912A9" w:rsidRPr="00F65F57">
        <w:rPr>
          <w:rFonts w:ascii="Calibri" w:hAnsi="Calibri"/>
          <w:rtl/>
        </w:rPr>
        <w:t xml:space="preserve">, </w:t>
      </w:r>
      <w:r w:rsidR="00F912A9" w:rsidRPr="00F65F57">
        <w:rPr>
          <w:rFonts w:ascii="Calibri" w:hAnsi="Calibri" w:hint="eastAsia"/>
          <w:rtl/>
        </w:rPr>
        <w:t>לאחר</w:t>
      </w:r>
      <w:r w:rsidR="00F912A9" w:rsidRPr="00F65F57">
        <w:rPr>
          <w:rFonts w:ascii="Calibri" w:hAnsi="Calibri"/>
          <w:rtl/>
        </w:rPr>
        <w:t xml:space="preserve"> </w:t>
      </w:r>
      <w:r w:rsidR="00F912A9" w:rsidRPr="00F65F57">
        <w:rPr>
          <w:rFonts w:ascii="Calibri" w:hAnsi="Calibri" w:hint="eastAsia"/>
          <w:rtl/>
        </w:rPr>
        <w:t>שהורשע</w:t>
      </w:r>
      <w:r w:rsidR="00F912A9" w:rsidRPr="00F65F57">
        <w:rPr>
          <w:rFonts w:ascii="Calibri" w:hAnsi="Calibri"/>
          <w:rtl/>
        </w:rPr>
        <w:t xml:space="preserve"> </w:t>
      </w:r>
      <w:r w:rsidR="00F912A9" w:rsidRPr="00F65F57">
        <w:rPr>
          <w:rFonts w:ascii="Calibri" w:hAnsi="Calibri" w:hint="eastAsia"/>
          <w:rtl/>
        </w:rPr>
        <w:t>בהפרת</w:t>
      </w:r>
      <w:r w:rsidR="00F912A9" w:rsidRPr="00F65F57">
        <w:rPr>
          <w:rFonts w:ascii="Calibri" w:hAnsi="Calibri"/>
          <w:rtl/>
        </w:rPr>
        <w:t xml:space="preserve"> </w:t>
      </w:r>
      <w:r w:rsidR="00F912A9" w:rsidRPr="00F65F57">
        <w:rPr>
          <w:rFonts w:ascii="Calibri" w:hAnsi="Calibri" w:hint="eastAsia"/>
          <w:rtl/>
        </w:rPr>
        <w:t>צו</w:t>
      </w:r>
      <w:r w:rsidR="00F912A9" w:rsidRPr="00F65F57">
        <w:rPr>
          <w:rFonts w:ascii="Calibri" w:hAnsi="Calibri"/>
          <w:rtl/>
        </w:rPr>
        <w:t xml:space="preserve"> </w:t>
      </w:r>
      <w:r w:rsidR="00F912A9" w:rsidRPr="00F65F57">
        <w:rPr>
          <w:rFonts w:ascii="Calibri" w:hAnsi="Calibri" w:hint="eastAsia"/>
          <w:rtl/>
        </w:rPr>
        <w:t>פיקוח</w:t>
      </w:r>
      <w:r w:rsidR="00F912A9" w:rsidRPr="00F65F57">
        <w:rPr>
          <w:rFonts w:ascii="Calibri" w:hAnsi="Calibri"/>
          <w:rtl/>
        </w:rPr>
        <w:t xml:space="preserve"> </w:t>
      </w:r>
      <w:r w:rsidR="00F912A9" w:rsidRPr="00F65F57">
        <w:rPr>
          <w:rFonts w:ascii="Calibri" w:hAnsi="Calibri" w:hint="eastAsia"/>
          <w:rtl/>
        </w:rPr>
        <w:t>שאסר</w:t>
      </w:r>
      <w:r w:rsidR="00F912A9" w:rsidRPr="00F65F57">
        <w:rPr>
          <w:rFonts w:ascii="Calibri" w:hAnsi="Calibri"/>
          <w:rtl/>
        </w:rPr>
        <w:t xml:space="preserve"> </w:t>
      </w:r>
      <w:r w:rsidR="00F912A9" w:rsidRPr="00F65F57">
        <w:rPr>
          <w:rFonts w:ascii="Calibri" w:hAnsi="Calibri" w:hint="eastAsia"/>
          <w:rtl/>
        </w:rPr>
        <w:t>עליו</w:t>
      </w:r>
      <w:r w:rsidR="00F912A9" w:rsidRPr="00F65F57">
        <w:rPr>
          <w:rFonts w:ascii="Calibri" w:hAnsi="Calibri"/>
          <w:rtl/>
        </w:rPr>
        <w:t xml:space="preserve"> </w:t>
      </w:r>
      <w:r w:rsidR="00F912A9" w:rsidRPr="00F65F57">
        <w:rPr>
          <w:rFonts w:ascii="Calibri" w:hAnsi="Calibri" w:hint="eastAsia"/>
          <w:rtl/>
        </w:rPr>
        <w:t>להתחבר</w:t>
      </w:r>
      <w:r w:rsidR="00F912A9" w:rsidRPr="00F65F57">
        <w:rPr>
          <w:rFonts w:ascii="Calibri" w:hAnsi="Calibri"/>
          <w:rtl/>
        </w:rPr>
        <w:t xml:space="preserve"> </w:t>
      </w:r>
      <w:r w:rsidR="00F912A9" w:rsidRPr="00F65F57">
        <w:rPr>
          <w:rFonts w:ascii="Calibri" w:hAnsi="Calibri" w:hint="eastAsia"/>
          <w:rtl/>
        </w:rPr>
        <w:t>עם</w:t>
      </w:r>
      <w:r w:rsidR="00F912A9" w:rsidRPr="00F65F57">
        <w:rPr>
          <w:rFonts w:ascii="Calibri" w:hAnsi="Calibri"/>
          <w:rtl/>
        </w:rPr>
        <w:t xml:space="preserve"> </w:t>
      </w:r>
      <w:r w:rsidR="00F912A9" w:rsidRPr="00F65F57">
        <w:rPr>
          <w:rFonts w:ascii="Calibri" w:hAnsi="Calibri" w:hint="eastAsia"/>
          <w:rtl/>
        </w:rPr>
        <w:t>קטינים</w:t>
      </w:r>
      <w:r w:rsidR="00F912A9" w:rsidRPr="00F65F57">
        <w:rPr>
          <w:rFonts w:ascii="Calibri" w:hAnsi="Calibri"/>
          <w:rtl/>
        </w:rPr>
        <w:t xml:space="preserve">. </w:t>
      </w:r>
      <w:r w:rsidR="00F912A9" w:rsidRPr="00F65F57">
        <w:rPr>
          <w:rFonts w:ascii="Calibri" w:hAnsi="Calibri" w:hint="eastAsia"/>
          <w:rtl/>
        </w:rPr>
        <w:t>ערעורו</w:t>
      </w:r>
      <w:r w:rsidR="00F912A9" w:rsidRPr="00F65F57">
        <w:rPr>
          <w:rFonts w:ascii="Calibri" w:hAnsi="Calibri"/>
          <w:rtl/>
        </w:rPr>
        <w:t xml:space="preserve"> </w:t>
      </w:r>
      <w:r w:rsidR="00F912A9" w:rsidRPr="00F65F57">
        <w:rPr>
          <w:rFonts w:ascii="Calibri" w:hAnsi="Calibri" w:hint="eastAsia"/>
          <w:rtl/>
        </w:rPr>
        <w:t>נדחה</w:t>
      </w:r>
      <w:r w:rsidR="00F912A9" w:rsidRPr="00F65F57">
        <w:rPr>
          <w:rFonts w:ascii="Calibri" w:hAnsi="Calibri"/>
          <w:rtl/>
        </w:rPr>
        <w:t>.</w:t>
      </w:r>
    </w:p>
    <w:p w14:paraId="4B06CFAF" w14:textId="77777777" w:rsidR="00F912A9" w:rsidRPr="00F65F57" w:rsidRDefault="00F912A9" w:rsidP="00F912A9">
      <w:pPr>
        <w:tabs>
          <w:tab w:val="num" w:pos="1175"/>
        </w:tabs>
        <w:spacing w:after="120" w:line="360" w:lineRule="auto"/>
        <w:ind w:left="891" w:right="284" w:hanging="283"/>
        <w:contextualSpacing/>
        <w:jc w:val="both"/>
        <w:rPr>
          <w:color w:val="000000"/>
        </w:rPr>
      </w:pPr>
    </w:p>
    <w:p w14:paraId="5F5A55D9" w14:textId="77777777" w:rsidR="00F912A9" w:rsidRPr="00F65F57" w:rsidRDefault="0011038E" w:rsidP="00F912A9">
      <w:pPr>
        <w:shd w:val="clear" w:color="auto" w:fill="FFFFFF"/>
        <w:spacing w:after="120" w:line="360" w:lineRule="auto"/>
        <w:ind w:left="720" w:right="284"/>
        <w:contextualSpacing/>
        <w:jc w:val="both"/>
        <w:rPr>
          <w:color w:val="000000"/>
          <w:rtl/>
        </w:rPr>
      </w:pPr>
      <w:hyperlink r:id="rId23" w:history="1">
        <w:r w:rsidRPr="0011038E">
          <w:rPr>
            <w:color w:val="0000FF"/>
            <w:u w:val="single"/>
            <w:rtl/>
          </w:rPr>
          <w:t>ת"פ (חי') 23300-12-15</w:t>
        </w:r>
      </w:hyperlink>
      <w:r w:rsidR="00F912A9" w:rsidRPr="00F65F57">
        <w:rPr>
          <w:color w:val="000000"/>
          <w:u w:val="single"/>
          <w:rtl/>
        </w:rPr>
        <w:t xml:space="preserve"> </w:t>
      </w:r>
      <w:r w:rsidR="00F912A9" w:rsidRPr="00F65F57">
        <w:rPr>
          <w:b/>
          <w:bCs/>
          <w:color w:val="000000"/>
          <w:rtl/>
        </w:rPr>
        <w:t xml:space="preserve">מדינת ישראל נגד קורידו </w:t>
      </w:r>
      <w:r w:rsidR="00F912A9" w:rsidRPr="00F65F57">
        <w:rPr>
          <w:color w:val="000000"/>
          <w:rtl/>
        </w:rPr>
        <w:t xml:space="preserve">(20.09.2016): הנאשם נידון  </w:t>
      </w:r>
      <w:r w:rsidR="00F912A9" w:rsidRPr="00F65F57">
        <w:rPr>
          <w:b/>
          <w:bCs/>
          <w:color w:val="000000"/>
          <w:rtl/>
        </w:rPr>
        <w:t>למאסר כולל בן 14 חודשי מאסר בפועל</w:t>
      </w:r>
      <w:r w:rsidR="00F912A9" w:rsidRPr="00F65F57">
        <w:rPr>
          <w:color w:val="000000"/>
          <w:rtl/>
        </w:rPr>
        <w:t xml:space="preserve">, </w:t>
      </w:r>
      <w:r w:rsidR="00F912A9" w:rsidRPr="00F65F57">
        <w:rPr>
          <w:b/>
          <w:bCs/>
          <w:color w:val="000000"/>
          <w:rtl/>
        </w:rPr>
        <w:t xml:space="preserve">ומאסרים מותנים. </w:t>
      </w:r>
      <w:r w:rsidR="00F912A9" w:rsidRPr="00F65F57">
        <w:rPr>
          <w:color w:val="000000"/>
          <w:rtl/>
        </w:rPr>
        <w:t>הנאשם הורשע בשני אישומים של הפרת צו פיקוח, הראשון - החזקת חומרי תועבה ובהם דמויות של קטינים,  והשני - שהייה בדירתו עם קטינים ללא בגיר מלווה וללא אישור מקצין פיקוח.</w:t>
      </w:r>
    </w:p>
    <w:p w14:paraId="279C478A" w14:textId="77777777" w:rsidR="00F912A9" w:rsidRPr="00F65F57" w:rsidRDefault="00F912A9" w:rsidP="00F912A9">
      <w:pPr>
        <w:shd w:val="clear" w:color="auto" w:fill="FFFFFF"/>
        <w:spacing w:after="120" w:line="360" w:lineRule="auto"/>
        <w:ind w:left="720" w:right="284"/>
        <w:contextualSpacing/>
        <w:jc w:val="both"/>
        <w:rPr>
          <w:rFonts w:ascii="David" w:hAnsi="David"/>
        </w:rPr>
      </w:pPr>
    </w:p>
    <w:p w14:paraId="31714D94" w14:textId="77777777" w:rsidR="00F912A9" w:rsidRPr="00F65F57" w:rsidRDefault="0011038E" w:rsidP="00F912A9">
      <w:pPr>
        <w:shd w:val="clear" w:color="auto" w:fill="FFFFFF"/>
        <w:spacing w:after="160" w:line="360" w:lineRule="auto"/>
        <w:ind w:left="720" w:right="284"/>
        <w:contextualSpacing/>
        <w:jc w:val="both"/>
        <w:rPr>
          <w:rFonts w:ascii="David" w:hAnsi="David"/>
          <w:rtl/>
        </w:rPr>
      </w:pPr>
      <w:hyperlink r:id="rId24" w:history="1">
        <w:r w:rsidRPr="0011038E">
          <w:rPr>
            <w:rFonts w:ascii="FrankRuehl" w:hAnsi="FrankRuehl"/>
            <w:color w:val="0000FF"/>
            <w:u w:val="single"/>
            <w:rtl/>
          </w:rPr>
          <w:t>ת"פ 42432-12-14</w:t>
        </w:r>
      </w:hyperlink>
      <w:r w:rsidR="00F912A9" w:rsidRPr="00F65F57">
        <w:rPr>
          <w:rFonts w:ascii="FrankRuehl" w:hAnsi="FrankRuehl" w:hint="eastAsia"/>
          <w:u w:val="single"/>
          <w:rtl/>
        </w:rPr>
        <w:t>‏</w:t>
      </w:r>
      <w:r w:rsidR="00F912A9" w:rsidRPr="00F65F57">
        <w:rPr>
          <w:rFonts w:ascii="FrankRuehl" w:hAnsi="FrankRuehl"/>
          <w:b/>
          <w:bCs/>
          <w:u w:val="single"/>
          <w:rtl/>
        </w:rPr>
        <w:t xml:space="preserve"> </w:t>
      </w:r>
      <w:r w:rsidR="00F912A9" w:rsidRPr="00F65F57">
        <w:rPr>
          <w:rFonts w:ascii="FrankRuehl" w:hAnsi="FrankRuehl" w:hint="eastAsia"/>
          <w:b/>
          <w:bCs/>
          <w:u w:val="single"/>
          <w:rtl/>
        </w:rPr>
        <w:t>‏מדינת</w:t>
      </w:r>
      <w:r w:rsidR="00F912A9" w:rsidRPr="00F65F57">
        <w:rPr>
          <w:rFonts w:ascii="FrankRuehl" w:hAnsi="FrankRuehl"/>
          <w:b/>
          <w:bCs/>
          <w:u w:val="single"/>
          <w:rtl/>
        </w:rPr>
        <w:t xml:space="preserve"> </w:t>
      </w:r>
      <w:r w:rsidR="00F912A9" w:rsidRPr="00F65F57">
        <w:rPr>
          <w:rFonts w:ascii="FrankRuehl" w:hAnsi="FrankRuehl" w:hint="eastAsia"/>
          <w:b/>
          <w:bCs/>
          <w:u w:val="single"/>
          <w:rtl/>
        </w:rPr>
        <w:t>ישראל</w:t>
      </w:r>
      <w:r w:rsidR="00F912A9" w:rsidRPr="00F65F57">
        <w:rPr>
          <w:rFonts w:ascii="FrankRuehl" w:hAnsi="FrankRuehl"/>
          <w:b/>
          <w:bCs/>
          <w:u w:val="single"/>
          <w:rtl/>
        </w:rPr>
        <w:t xml:space="preserve"> </w:t>
      </w:r>
      <w:r w:rsidR="00F912A9" w:rsidRPr="00F65F57">
        <w:rPr>
          <w:rFonts w:ascii="FrankRuehl" w:hAnsi="FrankRuehl" w:hint="eastAsia"/>
          <w:b/>
          <w:bCs/>
          <w:u w:val="single"/>
          <w:rtl/>
        </w:rPr>
        <w:t>נ</w:t>
      </w:r>
      <w:r w:rsidR="00F912A9" w:rsidRPr="00F65F57">
        <w:rPr>
          <w:rFonts w:ascii="FrankRuehl" w:hAnsi="FrankRuehl"/>
          <w:b/>
          <w:bCs/>
          <w:u w:val="single"/>
          <w:rtl/>
        </w:rPr>
        <w:t xml:space="preserve">' </w:t>
      </w:r>
      <w:r w:rsidR="00F912A9" w:rsidRPr="00F65F57">
        <w:rPr>
          <w:rFonts w:ascii="FrankRuehl" w:hAnsi="FrankRuehl" w:hint="eastAsia"/>
          <w:b/>
          <w:bCs/>
          <w:u w:val="single"/>
          <w:rtl/>
        </w:rPr>
        <w:t>פלוני</w:t>
      </w:r>
      <w:r w:rsidR="00F912A9" w:rsidRPr="00F65F57">
        <w:rPr>
          <w:rFonts w:ascii="FrankRuehl" w:hAnsi="FrankRuehl"/>
          <w:b/>
          <w:bCs/>
          <w:u w:val="single"/>
          <w:rtl/>
        </w:rPr>
        <w:t xml:space="preserve"> </w:t>
      </w:r>
      <w:r w:rsidR="00F912A9" w:rsidRPr="00F65F57">
        <w:rPr>
          <w:sz w:val="22"/>
          <w:u w:val="single"/>
          <w:rtl/>
        </w:rPr>
        <w:t>(02.02.2015):</w:t>
      </w:r>
      <w:r w:rsidR="00F912A9" w:rsidRPr="00F65F57">
        <w:rPr>
          <w:sz w:val="22"/>
          <w:rtl/>
        </w:rPr>
        <w:t xml:space="preserve"> </w:t>
      </w:r>
      <w:r w:rsidR="00F912A9" w:rsidRPr="00F65F57">
        <w:rPr>
          <w:rFonts w:ascii="Calibri" w:hAnsi="Calibri" w:hint="eastAsia"/>
          <w:rtl/>
        </w:rPr>
        <w:t>הנאשם</w:t>
      </w:r>
      <w:r w:rsidR="00F912A9" w:rsidRPr="00F65F57">
        <w:rPr>
          <w:rFonts w:ascii="Calibri" w:hAnsi="Calibri"/>
          <w:rtl/>
        </w:rPr>
        <w:t xml:space="preserve"> </w:t>
      </w:r>
      <w:r w:rsidR="00F912A9" w:rsidRPr="00F65F57">
        <w:rPr>
          <w:rFonts w:ascii="Calibri" w:hAnsi="Calibri" w:hint="eastAsia"/>
          <w:rtl/>
        </w:rPr>
        <w:t>נידון</w:t>
      </w:r>
      <w:r w:rsidR="00F912A9" w:rsidRPr="00F65F57">
        <w:rPr>
          <w:rFonts w:ascii="Calibri" w:hAnsi="Calibri"/>
          <w:rtl/>
        </w:rPr>
        <w:t xml:space="preserve"> </w:t>
      </w:r>
      <w:r w:rsidR="00F912A9" w:rsidRPr="00F65F57">
        <w:rPr>
          <w:rFonts w:ascii="Calibri" w:hAnsi="Calibri" w:hint="eastAsia"/>
          <w:b/>
          <w:bCs/>
          <w:rtl/>
        </w:rPr>
        <w:t>ל</w:t>
      </w:r>
      <w:r w:rsidR="00F912A9" w:rsidRPr="00F65F57">
        <w:rPr>
          <w:rFonts w:ascii="Calibri" w:hAnsi="Calibri"/>
          <w:b/>
          <w:bCs/>
          <w:rtl/>
        </w:rPr>
        <w:t xml:space="preserve">-4 </w:t>
      </w:r>
      <w:r w:rsidR="00F912A9" w:rsidRPr="00F65F57">
        <w:rPr>
          <w:rFonts w:ascii="Calibri" w:hAnsi="Calibri" w:hint="eastAsia"/>
          <w:b/>
          <w:bCs/>
          <w:rtl/>
        </w:rPr>
        <w:t>חודשי</w:t>
      </w:r>
      <w:r w:rsidR="00F912A9" w:rsidRPr="00F65F57">
        <w:rPr>
          <w:rFonts w:ascii="Calibri" w:hAnsi="Calibri"/>
          <w:b/>
          <w:bCs/>
          <w:rtl/>
        </w:rPr>
        <w:t xml:space="preserve"> </w:t>
      </w:r>
      <w:r w:rsidR="00F912A9" w:rsidRPr="00F65F57">
        <w:rPr>
          <w:rFonts w:ascii="Calibri" w:hAnsi="Calibri" w:hint="eastAsia"/>
          <w:b/>
          <w:bCs/>
          <w:rtl/>
        </w:rPr>
        <w:t>מאסר</w:t>
      </w:r>
      <w:r w:rsidR="00F912A9" w:rsidRPr="00F65F57">
        <w:rPr>
          <w:rFonts w:ascii="Calibri" w:hAnsi="Calibri"/>
          <w:b/>
          <w:bCs/>
          <w:rtl/>
        </w:rPr>
        <w:t xml:space="preserve"> </w:t>
      </w:r>
      <w:r w:rsidR="00F912A9" w:rsidRPr="00F65F57">
        <w:rPr>
          <w:rFonts w:ascii="Calibri" w:hAnsi="Calibri" w:hint="eastAsia"/>
          <w:b/>
          <w:bCs/>
          <w:rtl/>
        </w:rPr>
        <w:t>בפועל</w:t>
      </w:r>
      <w:r w:rsidR="00F912A9" w:rsidRPr="00F65F57">
        <w:rPr>
          <w:rFonts w:ascii="Calibri" w:hAnsi="Calibri"/>
          <w:rtl/>
        </w:rPr>
        <w:t xml:space="preserve"> </w:t>
      </w:r>
      <w:r w:rsidR="00F912A9" w:rsidRPr="00F65F57">
        <w:rPr>
          <w:rFonts w:ascii="Calibri" w:hAnsi="Calibri" w:hint="eastAsia"/>
          <w:b/>
          <w:bCs/>
          <w:rtl/>
        </w:rPr>
        <w:t>לצד</w:t>
      </w:r>
      <w:r w:rsidR="00F912A9" w:rsidRPr="00F65F57">
        <w:rPr>
          <w:rFonts w:ascii="Calibri" w:hAnsi="Calibri"/>
          <w:b/>
          <w:bCs/>
          <w:rtl/>
        </w:rPr>
        <w:t xml:space="preserve"> </w:t>
      </w:r>
      <w:r w:rsidR="00F912A9" w:rsidRPr="00F65F57">
        <w:rPr>
          <w:rFonts w:ascii="Calibri" w:hAnsi="Calibri" w:hint="eastAsia"/>
          <w:b/>
          <w:bCs/>
          <w:rtl/>
        </w:rPr>
        <w:t>ענישה</w:t>
      </w:r>
      <w:r w:rsidR="00F912A9" w:rsidRPr="00F65F57">
        <w:rPr>
          <w:rFonts w:ascii="Calibri" w:hAnsi="Calibri"/>
          <w:b/>
          <w:bCs/>
          <w:rtl/>
        </w:rPr>
        <w:t xml:space="preserve"> </w:t>
      </w:r>
      <w:r w:rsidR="00F912A9" w:rsidRPr="00F65F57">
        <w:rPr>
          <w:rFonts w:ascii="Calibri" w:hAnsi="Calibri" w:hint="eastAsia"/>
          <w:b/>
          <w:bCs/>
          <w:rtl/>
        </w:rPr>
        <w:t>נלווית</w:t>
      </w:r>
      <w:r w:rsidR="00F912A9" w:rsidRPr="00F65F57">
        <w:rPr>
          <w:rFonts w:ascii="Calibri" w:hAnsi="Calibri"/>
          <w:b/>
          <w:bCs/>
          <w:rtl/>
        </w:rPr>
        <w:t xml:space="preserve">, </w:t>
      </w:r>
      <w:r w:rsidR="00F912A9" w:rsidRPr="00F65F57">
        <w:rPr>
          <w:rFonts w:ascii="Calibri" w:hAnsi="Calibri" w:hint="eastAsia"/>
          <w:rtl/>
        </w:rPr>
        <w:t>לאחר</w:t>
      </w:r>
      <w:r w:rsidR="00F912A9" w:rsidRPr="00F65F57">
        <w:rPr>
          <w:rFonts w:ascii="Calibri" w:hAnsi="Calibri"/>
          <w:rtl/>
        </w:rPr>
        <w:t xml:space="preserve"> </w:t>
      </w:r>
      <w:r w:rsidR="00F912A9" w:rsidRPr="00F65F57">
        <w:rPr>
          <w:rFonts w:ascii="Calibri" w:hAnsi="Calibri" w:hint="eastAsia"/>
          <w:rtl/>
        </w:rPr>
        <w:t>שהורשע</w:t>
      </w:r>
      <w:r w:rsidR="00F912A9" w:rsidRPr="00F65F57">
        <w:rPr>
          <w:rFonts w:ascii="Calibri" w:hAnsi="Calibri"/>
          <w:rtl/>
        </w:rPr>
        <w:t xml:space="preserve"> </w:t>
      </w:r>
      <w:r w:rsidR="00F912A9" w:rsidRPr="00F65F57">
        <w:rPr>
          <w:rFonts w:ascii="Calibri" w:hAnsi="Calibri" w:hint="eastAsia"/>
          <w:rtl/>
        </w:rPr>
        <w:t>בעבירה</w:t>
      </w:r>
      <w:r w:rsidR="00F912A9" w:rsidRPr="00F65F57">
        <w:rPr>
          <w:rFonts w:ascii="Calibri" w:hAnsi="Calibri"/>
          <w:rtl/>
        </w:rPr>
        <w:t xml:space="preserve"> </w:t>
      </w:r>
      <w:r w:rsidR="00F912A9" w:rsidRPr="00F65F57">
        <w:rPr>
          <w:rFonts w:ascii="Calibri" w:hAnsi="Calibri" w:hint="eastAsia"/>
          <w:rtl/>
        </w:rPr>
        <w:t>של</w:t>
      </w:r>
      <w:r w:rsidR="00F912A9" w:rsidRPr="00F65F57">
        <w:rPr>
          <w:rFonts w:ascii="Calibri" w:hAnsi="Calibri"/>
          <w:rtl/>
        </w:rPr>
        <w:t xml:space="preserve"> </w:t>
      </w:r>
      <w:r w:rsidR="00F912A9" w:rsidRPr="00F65F57">
        <w:rPr>
          <w:rFonts w:ascii="Calibri" w:hAnsi="Calibri" w:hint="eastAsia"/>
          <w:rtl/>
        </w:rPr>
        <w:t>הפרת</w:t>
      </w:r>
      <w:r w:rsidR="00F912A9" w:rsidRPr="00F65F57">
        <w:rPr>
          <w:rFonts w:ascii="Calibri" w:hAnsi="Calibri"/>
          <w:rtl/>
        </w:rPr>
        <w:t xml:space="preserve"> </w:t>
      </w:r>
      <w:r w:rsidR="00F912A9" w:rsidRPr="00F65F57">
        <w:rPr>
          <w:rFonts w:ascii="Calibri" w:hAnsi="Calibri" w:hint="eastAsia"/>
          <w:rtl/>
        </w:rPr>
        <w:t>צו</w:t>
      </w:r>
      <w:r w:rsidR="00F912A9" w:rsidRPr="00F65F57">
        <w:rPr>
          <w:rFonts w:ascii="Calibri" w:hAnsi="Calibri"/>
          <w:rtl/>
        </w:rPr>
        <w:t xml:space="preserve"> </w:t>
      </w:r>
      <w:r w:rsidR="00F912A9" w:rsidRPr="00F65F57">
        <w:rPr>
          <w:rFonts w:ascii="Calibri" w:hAnsi="Calibri" w:hint="eastAsia"/>
          <w:rtl/>
        </w:rPr>
        <w:t>פיקוח</w:t>
      </w:r>
      <w:r w:rsidR="00F912A9" w:rsidRPr="00F65F57">
        <w:rPr>
          <w:rFonts w:ascii="Calibri" w:hAnsi="Calibri"/>
          <w:rtl/>
        </w:rPr>
        <w:t xml:space="preserve">, </w:t>
      </w:r>
      <w:r w:rsidR="00F912A9" w:rsidRPr="00F65F57">
        <w:rPr>
          <w:rFonts w:ascii="Calibri" w:hAnsi="Calibri" w:hint="eastAsia"/>
          <w:rtl/>
        </w:rPr>
        <w:t>בכך</w:t>
      </w:r>
      <w:r w:rsidR="00F912A9" w:rsidRPr="00F65F57">
        <w:rPr>
          <w:rFonts w:ascii="Calibri" w:hAnsi="Calibri"/>
          <w:rtl/>
        </w:rPr>
        <w:t xml:space="preserve"> </w:t>
      </w:r>
      <w:r w:rsidR="00F912A9" w:rsidRPr="00F65F57">
        <w:rPr>
          <w:rFonts w:ascii="Calibri" w:hAnsi="Calibri" w:hint="eastAsia"/>
          <w:rtl/>
        </w:rPr>
        <w:t>שהפר</w:t>
      </w:r>
      <w:r w:rsidR="00F912A9" w:rsidRPr="00F65F57">
        <w:rPr>
          <w:rFonts w:ascii="Calibri" w:hAnsi="Calibri"/>
          <w:rtl/>
        </w:rPr>
        <w:t xml:space="preserve"> </w:t>
      </w:r>
      <w:r w:rsidR="00F912A9" w:rsidRPr="00F65F57">
        <w:rPr>
          <w:rFonts w:ascii="Calibri" w:hAnsi="Calibri" w:hint="eastAsia"/>
          <w:rtl/>
        </w:rPr>
        <w:t>את</w:t>
      </w:r>
      <w:r w:rsidR="00F912A9" w:rsidRPr="00F65F57">
        <w:rPr>
          <w:rFonts w:ascii="Calibri" w:hAnsi="Calibri"/>
          <w:rtl/>
        </w:rPr>
        <w:t xml:space="preserve"> </w:t>
      </w:r>
      <w:r w:rsidR="00F912A9" w:rsidRPr="00F65F57">
        <w:rPr>
          <w:rFonts w:ascii="Calibri" w:hAnsi="Calibri" w:hint="eastAsia"/>
          <w:rtl/>
        </w:rPr>
        <w:t>איסור</w:t>
      </w:r>
      <w:r w:rsidR="00F912A9" w:rsidRPr="00F65F57">
        <w:rPr>
          <w:rFonts w:ascii="Calibri" w:hAnsi="Calibri"/>
          <w:rtl/>
        </w:rPr>
        <w:t xml:space="preserve"> </w:t>
      </w:r>
      <w:r w:rsidR="00F912A9" w:rsidRPr="00F65F57">
        <w:rPr>
          <w:rFonts w:ascii="Calibri" w:hAnsi="Calibri" w:hint="eastAsia"/>
          <w:rtl/>
        </w:rPr>
        <w:t>השהייה</w:t>
      </w:r>
      <w:r w:rsidR="00F912A9" w:rsidRPr="00F65F57">
        <w:rPr>
          <w:rFonts w:ascii="Calibri" w:hAnsi="Calibri"/>
          <w:rtl/>
        </w:rPr>
        <w:t xml:space="preserve"> </w:t>
      </w:r>
      <w:r w:rsidR="00F912A9" w:rsidRPr="00F65F57">
        <w:rPr>
          <w:rFonts w:ascii="Calibri" w:hAnsi="Calibri" w:hint="eastAsia"/>
          <w:rtl/>
        </w:rPr>
        <w:t>ביחידות</w:t>
      </w:r>
      <w:r w:rsidR="00F912A9" w:rsidRPr="00F65F57">
        <w:rPr>
          <w:rFonts w:ascii="Calibri" w:hAnsi="Calibri"/>
          <w:rtl/>
        </w:rPr>
        <w:t xml:space="preserve"> </w:t>
      </w:r>
      <w:r w:rsidR="00F912A9" w:rsidRPr="00F65F57">
        <w:rPr>
          <w:rFonts w:ascii="Calibri" w:hAnsi="Calibri" w:hint="eastAsia"/>
          <w:rtl/>
        </w:rPr>
        <w:t>עם</w:t>
      </w:r>
      <w:r w:rsidR="00F912A9" w:rsidRPr="00F65F57">
        <w:rPr>
          <w:rFonts w:ascii="Calibri" w:hAnsi="Calibri"/>
          <w:rtl/>
        </w:rPr>
        <w:t xml:space="preserve"> </w:t>
      </w:r>
      <w:r w:rsidR="00F912A9" w:rsidRPr="00F65F57">
        <w:rPr>
          <w:rFonts w:ascii="Calibri" w:hAnsi="Calibri" w:hint="eastAsia"/>
          <w:rtl/>
        </w:rPr>
        <w:t>קטינים</w:t>
      </w:r>
      <w:r w:rsidR="00F912A9" w:rsidRPr="00F65F57">
        <w:rPr>
          <w:rFonts w:ascii="Calibri" w:hAnsi="Calibri"/>
          <w:rtl/>
        </w:rPr>
        <w:t xml:space="preserve">, </w:t>
      </w:r>
      <w:r w:rsidR="00F912A9" w:rsidRPr="00F65F57">
        <w:rPr>
          <w:rFonts w:ascii="Calibri" w:hAnsi="Calibri" w:hint="eastAsia"/>
          <w:rtl/>
        </w:rPr>
        <w:t>שאינם</w:t>
      </w:r>
      <w:r w:rsidR="00F912A9" w:rsidRPr="00F65F57">
        <w:rPr>
          <w:rFonts w:ascii="Calibri" w:hAnsi="Calibri"/>
          <w:rtl/>
        </w:rPr>
        <w:t xml:space="preserve"> </w:t>
      </w:r>
      <w:r w:rsidR="00F912A9" w:rsidRPr="00F65F57">
        <w:rPr>
          <w:rFonts w:ascii="Calibri" w:hAnsi="Calibri" w:hint="eastAsia"/>
          <w:rtl/>
        </w:rPr>
        <w:t>בני</w:t>
      </w:r>
      <w:r w:rsidR="00F912A9" w:rsidRPr="00F65F57">
        <w:rPr>
          <w:rFonts w:ascii="Calibri" w:hAnsi="Calibri"/>
          <w:rtl/>
        </w:rPr>
        <w:t xml:space="preserve"> </w:t>
      </w:r>
      <w:r w:rsidR="00F912A9" w:rsidRPr="00F65F57">
        <w:rPr>
          <w:rFonts w:ascii="Calibri" w:hAnsi="Calibri" w:hint="eastAsia"/>
          <w:rtl/>
        </w:rPr>
        <w:t>משפחתו</w:t>
      </w:r>
      <w:r w:rsidR="00F912A9" w:rsidRPr="00F65F57">
        <w:rPr>
          <w:rFonts w:ascii="Calibri" w:hAnsi="Calibri"/>
          <w:rtl/>
        </w:rPr>
        <w:t>.</w:t>
      </w:r>
    </w:p>
    <w:p w14:paraId="62B9F570" w14:textId="77777777" w:rsidR="00F912A9" w:rsidRPr="00F65F57" w:rsidRDefault="00F912A9" w:rsidP="00F912A9">
      <w:pPr>
        <w:shd w:val="clear" w:color="auto" w:fill="FFFFFF"/>
        <w:spacing w:after="160" w:line="360" w:lineRule="auto"/>
        <w:ind w:left="720" w:right="284"/>
        <w:contextualSpacing/>
        <w:jc w:val="both"/>
        <w:rPr>
          <w:rFonts w:ascii="David" w:hAnsi="David"/>
        </w:rPr>
      </w:pPr>
    </w:p>
    <w:p w14:paraId="1309BF41" w14:textId="77777777" w:rsidR="00F912A9" w:rsidRPr="00F65F57" w:rsidRDefault="0011038E" w:rsidP="00F912A9">
      <w:pPr>
        <w:spacing w:after="120" w:line="360" w:lineRule="auto"/>
        <w:ind w:left="720" w:right="284"/>
        <w:jc w:val="both"/>
        <w:rPr>
          <w:rtl/>
        </w:rPr>
      </w:pPr>
      <w:hyperlink r:id="rId25" w:history="1">
        <w:r w:rsidRPr="0011038E">
          <w:rPr>
            <w:color w:val="0000FF"/>
            <w:u w:val="single"/>
            <w:rtl/>
          </w:rPr>
          <w:t>ת"פ (פ"ת) 27918-05-14</w:t>
        </w:r>
      </w:hyperlink>
      <w:r w:rsidR="00F912A9" w:rsidRPr="00F65F57">
        <w:rPr>
          <w:rtl/>
        </w:rPr>
        <w:t xml:space="preserve"> </w:t>
      </w:r>
      <w:r w:rsidR="00F912A9" w:rsidRPr="00F65F57">
        <w:rPr>
          <w:b/>
          <w:bCs/>
          <w:rtl/>
        </w:rPr>
        <w:t>מדינת ישראל נגד פלוני</w:t>
      </w:r>
      <w:r w:rsidR="00F912A9" w:rsidRPr="00F65F57">
        <w:rPr>
          <w:rtl/>
        </w:rPr>
        <w:t xml:space="preserve"> (11.09.2014): הנאשם נידון  </w:t>
      </w:r>
      <w:r w:rsidR="00F912A9" w:rsidRPr="00F65F57">
        <w:rPr>
          <w:b/>
          <w:bCs/>
          <w:rtl/>
        </w:rPr>
        <w:t>ל- 3 חודשי מאסר ויום אחד,</w:t>
      </w:r>
      <w:r w:rsidR="00F912A9" w:rsidRPr="00F65F57">
        <w:rPr>
          <w:rtl/>
        </w:rPr>
        <w:t xml:space="preserve"> לאחר שהורשע בהפרת צו פיקוח על עברייני מין. הנאשם שוחח עם שני קטינים בניגוד לצו האוסר עליו להתחבר על קטינים ממין זכר. </w:t>
      </w:r>
    </w:p>
    <w:p w14:paraId="77FAD3DC" w14:textId="77777777" w:rsidR="00F912A9" w:rsidRPr="00F65F57" w:rsidRDefault="00F912A9" w:rsidP="00F912A9">
      <w:pPr>
        <w:spacing w:after="120" w:line="360" w:lineRule="auto"/>
        <w:ind w:left="720" w:right="284"/>
        <w:jc w:val="both"/>
      </w:pPr>
    </w:p>
    <w:p w14:paraId="6C9EA86A" w14:textId="77777777" w:rsidR="00F912A9" w:rsidRPr="00F65F57" w:rsidRDefault="0011038E" w:rsidP="00F912A9">
      <w:pPr>
        <w:shd w:val="clear" w:color="auto" w:fill="FFFFFF"/>
        <w:spacing w:after="160" w:line="360" w:lineRule="auto"/>
        <w:ind w:left="720" w:right="284"/>
        <w:contextualSpacing/>
        <w:jc w:val="both"/>
        <w:rPr>
          <w:rFonts w:ascii="Calibri" w:hAnsi="Calibri"/>
          <w:rtl/>
        </w:rPr>
      </w:pPr>
      <w:hyperlink r:id="rId26" w:history="1">
        <w:r w:rsidRPr="0011038E">
          <w:rPr>
            <w:rFonts w:ascii="Calibri" w:hAnsi="Calibri" w:hint="eastAsia"/>
            <w:color w:val="0000FF"/>
            <w:u w:val="single"/>
            <w:rtl/>
          </w:rPr>
          <w:t>ת</w:t>
        </w:r>
        <w:r w:rsidRPr="0011038E">
          <w:rPr>
            <w:rFonts w:ascii="Calibri" w:hAnsi="Calibri"/>
            <w:color w:val="0000FF"/>
            <w:u w:val="single"/>
            <w:rtl/>
          </w:rPr>
          <w:t>"</w:t>
        </w:r>
        <w:r w:rsidRPr="0011038E">
          <w:rPr>
            <w:rFonts w:ascii="Calibri" w:hAnsi="Calibri" w:hint="eastAsia"/>
            <w:color w:val="0000FF"/>
            <w:u w:val="single"/>
            <w:rtl/>
          </w:rPr>
          <w:t>פ</w:t>
        </w:r>
        <w:r w:rsidRPr="0011038E">
          <w:rPr>
            <w:rFonts w:ascii="Calibri" w:hAnsi="Calibri"/>
            <w:color w:val="0000FF"/>
            <w:u w:val="single"/>
            <w:rtl/>
          </w:rPr>
          <w:t xml:space="preserve"> 37734-03-14</w:t>
        </w:r>
      </w:hyperlink>
      <w:r w:rsidR="00F912A9" w:rsidRPr="00F65F57">
        <w:rPr>
          <w:rFonts w:ascii="Calibri" w:hAnsi="Calibri"/>
          <w:u w:val="single"/>
          <w:rtl/>
        </w:rPr>
        <w:t xml:space="preserve"> </w:t>
      </w:r>
      <w:r w:rsidR="00F912A9" w:rsidRPr="00F65F57">
        <w:rPr>
          <w:rFonts w:ascii="Calibri" w:hAnsi="Calibri" w:hint="eastAsia"/>
          <w:b/>
          <w:bCs/>
          <w:u w:val="single"/>
          <w:rtl/>
        </w:rPr>
        <w:t>מדינת</w:t>
      </w:r>
      <w:r w:rsidR="00F912A9" w:rsidRPr="00F65F57">
        <w:rPr>
          <w:rFonts w:ascii="Calibri" w:hAnsi="Calibri"/>
          <w:b/>
          <w:bCs/>
          <w:u w:val="single"/>
          <w:rtl/>
        </w:rPr>
        <w:t xml:space="preserve"> </w:t>
      </w:r>
      <w:r w:rsidR="00F912A9" w:rsidRPr="00F65F57">
        <w:rPr>
          <w:rFonts w:ascii="Calibri" w:hAnsi="Calibri" w:hint="eastAsia"/>
          <w:b/>
          <w:bCs/>
          <w:u w:val="single"/>
          <w:rtl/>
        </w:rPr>
        <w:t>ישראל</w:t>
      </w:r>
      <w:r w:rsidR="00F912A9" w:rsidRPr="00F65F57">
        <w:rPr>
          <w:rFonts w:ascii="Calibri" w:hAnsi="Calibri"/>
          <w:b/>
          <w:bCs/>
          <w:u w:val="single"/>
          <w:rtl/>
        </w:rPr>
        <w:t xml:space="preserve"> </w:t>
      </w:r>
      <w:r w:rsidR="00F912A9" w:rsidRPr="00F65F57">
        <w:rPr>
          <w:rFonts w:ascii="Calibri" w:hAnsi="Calibri" w:hint="eastAsia"/>
          <w:b/>
          <w:bCs/>
          <w:u w:val="single"/>
          <w:rtl/>
        </w:rPr>
        <w:t>נ</w:t>
      </w:r>
      <w:r w:rsidR="00F912A9" w:rsidRPr="00F65F57">
        <w:rPr>
          <w:rFonts w:ascii="Calibri" w:hAnsi="Calibri"/>
          <w:b/>
          <w:bCs/>
          <w:u w:val="single"/>
          <w:rtl/>
        </w:rPr>
        <w:t xml:space="preserve">' </w:t>
      </w:r>
      <w:r w:rsidR="00F912A9" w:rsidRPr="00F65F57">
        <w:rPr>
          <w:rFonts w:ascii="Calibri" w:hAnsi="Calibri" w:hint="eastAsia"/>
          <w:b/>
          <w:bCs/>
          <w:u w:val="single"/>
          <w:rtl/>
        </w:rPr>
        <w:t>סלים</w:t>
      </w:r>
      <w:r w:rsidR="00F912A9" w:rsidRPr="00F65F57">
        <w:rPr>
          <w:rFonts w:ascii="Calibri" w:hAnsi="Calibri"/>
          <w:b/>
          <w:bCs/>
          <w:u w:val="single"/>
          <w:rtl/>
        </w:rPr>
        <w:t xml:space="preserve"> </w:t>
      </w:r>
      <w:r w:rsidR="00F912A9" w:rsidRPr="00F65F57">
        <w:rPr>
          <w:sz w:val="22"/>
          <w:u w:val="single"/>
          <w:rtl/>
        </w:rPr>
        <w:t>(10.04.2014)</w:t>
      </w:r>
      <w:r w:rsidR="00F912A9" w:rsidRPr="00F65F57">
        <w:rPr>
          <w:sz w:val="22"/>
          <w:rtl/>
        </w:rPr>
        <w:t>:</w:t>
      </w:r>
      <w:r w:rsidR="00F912A9" w:rsidRPr="00F65F57">
        <w:rPr>
          <w:rFonts w:ascii="Calibri" w:hAnsi="Calibri"/>
          <w:rtl/>
        </w:rPr>
        <w:t xml:space="preserve"> </w:t>
      </w:r>
      <w:r w:rsidR="00F912A9" w:rsidRPr="00F65F57">
        <w:rPr>
          <w:rFonts w:ascii="Calibri" w:hAnsi="Calibri" w:hint="eastAsia"/>
          <w:rtl/>
        </w:rPr>
        <w:t>הנאשם</w:t>
      </w:r>
      <w:r w:rsidR="00F912A9" w:rsidRPr="00F65F57">
        <w:rPr>
          <w:rFonts w:ascii="Calibri" w:hAnsi="Calibri"/>
          <w:rtl/>
        </w:rPr>
        <w:t xml:space="preserve"> </w:t>
      </w:r>
      <w:r w:rsidR="00F912A9" w:rsidRPr="00F65F57">
        <w:rPr>
          <w:rFonts w:ascii="Calibri" w:hAnsi="Calibri" w:hint="eastAsia"/>
          <w:rtl/>
        </w:rPr>
        <w:t>נידון</w:t>
      </w:r>
      <w:r w:rsidR="00F912A9" w:rsidRPr="00F65F57">
        <w:rPr>
          <w:rFonts w:ascii="Calibri" w:hAnsi="Calibri"/>
          <w:rtl/>
        </w:rPr>
        <w:t xml:space="preserve"> </w:t>
      </w:r>
      <w:r w:rsidR="00F912A9" w:rsidRPr="00F65F57">
        <w:rPr>
          <w:rFonts w:ascii="Calibri" w:hAnsi="Calibri" w:hint="eastAsia"/>
          <w:rtl/>
        </w:rPr>
        <w:t>ל</w:t>
      </w:r>
      <w:r w:rsidR="00F912A9" w:rsidRPr="00F65F57">
        <w:rPr>
          <w:rFonts w:ascii="Calibri" w:hAnsi="Calibri"/>
          <w:rtl/>
        </w:rPr>
        <w:t xml:space="preserve">- </w:t>
      </w:r>
      <w:r w:rsidR="00F912A9" w:rsidRPr="00F65F57">
        <w:rPr>
          <w:rFonts w:ascii="Calibri" w:hAnsi="Calibri"/>
          <w:b/>
          <w:bCs/>
          <w:rtl/>
        </w:rPr>
        <w:t xml:space="preserve">35 </w:t>
      </w:r>
      <w:r w:rsidR="00F912A9" w:rsidRPr="00F65F57">
        <w:rPr>
          <w:rFonts w:ascii="Calibri" w:hAnsi="Calibri" w:hint="eastAsia"/>
          <w:b/>
          <w:bCs/>
          <w:rtl/>
        </w:rPr>
        <w:t>ימי</w:t>
      </w:r>
      <w:r w:rsidR="00F912A9" w:rsidRPr="00F65F57">
        <w:rPr>
          <w:rFonts w:ascii="Calibri" w:hAnsi="Calibri"/>
          <w:b/>
          <w:bCs/>
          <w:rtl/>
        </w:rPr>
        <w:t xml:space="preserve"> </w:t>
      </w:r>
      <w:r w:rsidR="00F912A9" w:rsidRPr="00F65F57">
        <w:rPr>
          <w:rFonts w:ascii="Calibri" w:hAnsi="Calibri" w:hint="eastAsia"/>
          <w:b/>
          <w:bCs/>
          <w:rtl/>
        </w:rPr>
        <w:t>מאסר</w:t>
      </w:r>
      <w:r w:rsidR="00F912A9" w:rsidRPr="00F65F57">
        <w:rPr>
          <w:rFonts w:ascii="Calibri" w:hAnsi="Calibri"/>
          <w:b/>
          <w:bCs/>
          <w:rtl/>
        </w:rPr>
        <w:t xml:space="preserve"> </w:t>
      </w:r>
      <w:r w:rsidR="00F912A9" w:rsidRPr="00F65F57">
        <w:rPr>
          <w:rFonts w:ascii="Calibri" w:hAnsi="Calibri" w:hint="eastAsia"/>
          <w:b/>
          <w:bCs/>
          <w:rtl/>
        </w:rPr>
        <w:t>בפועל</w:t>
      </w:r>
      <w:r w:rsidR="00F912A9" w:rsidRPr="00F65F57">
        <w:rPr>
          <w:rFonts w:ascii="Calibri" w:hAnsi="Calibri"/>
          <w:b/>
          <w:bCs/>
          <w:rtl/>
        </w:rPr>
        <w:t xml:space="preserve"> </w:t>
      </w:r>
      <w:r w:rsidR="00F912A9" w:rsidRPr="00F65F57">
        <w:rPr>
          <w:rFonts w:ascii="Calibri" w:hAnsi="Calibri" w:hint="eastAsia"/>
          <w:b/>
          <w:bCs/>
          <w:rtl/>
        </w:rPr>
        <w:t>לצד</w:t>
      </w:r>
      <w:r w:rsidR="00F912A9" w:rsidRPr="00F65F57">
        <w:rPr>
          <w:rFonts w:ascii="Calibri" w:hAnsi="Calibri"/>
          <w:b/>
          <w:bCs/>
          <w:rtl/>
        </w:rPr>
        <w:t xml:space="preserve"> </w:t>
      </w:r>
      <w:r w:rsidR="00F912A9" w:rsidRPr="00F65F57">
        <w:rPr>
          <w:rFonts w:ascii="Calibri" w:hAnsi="Calibri" w:hint="eastAsia"/>
          <w:b/>
          <w:bCs/>
          <w:rtl/>
        </w:rPr>
        <w:t>ענישה</w:t>
      </w:r>
      <w:r w:rsidR="00F912A9" w:rsidRPr="00F65F57">
        <w:rPr>
          <w:rFonts w:ascii="Calibri" w:hAnsi="Calibri"/>
          <w:b/>
          <w:bCs/>
          <w:rtl/>
        </w:rPr>
        <w:t xml:space="preserve"> </w:t>
      </w:r>
      <w:r w:rsidR="00F912A9" w:rsidRPr="00F65F57">
        <w:rPr>
          <w:rFonts w:ascii="Calibri" w:hAnsi="Calibri" w:hint="eastAsia"/>
          <w:b/>
          <w:bCs/>
          <w:rtl/>
        </w:rPr>
        <w:t>נלווית</w:t>
      </w:r>
      <w:r w:rsidR="00F912A9" w:rsidRPr="00F65F57">
        <w:rPr>
          <w:rFonts w:ascii="Calibri" w:hAnsi="Calibri"/>
          <w:b/>
          <w:bCs/>
          <w:rtl/>
        </w:rPr>
        <w:t xml:space="preserve">, </w:t>
      </w:r>
      <w:r w:rsidR="00F912A9" w:rsidRPr="00F65F57">
        <w:rPr>
          <w:rFonts w:ascii="Calibri" w:hAnsi="Calibri" w:hint="eastAsia"/>
          <w:rtl/>
        </w:rPr>
        <w:t>לאחר</w:t>
      </w:r>
      <w:r w:rsidR="00F912A9" w:rsidRPr="00F65F57">
        <w:rPr>
          <w:rFonts w:ascii="Calibri" w:hAnsi="Calibri"/>
          <w:b/>
          <w:bCs/>
          <w:rtl/>
        </w:rPr>
        <w:t xml:space="preserve"> </w:t>
      </w:r>
      <w:r w:rsidR="00F912A9" w:rsidRPr="00F65F57">
        <w:rPr>
          <w:rFonts w:ascii="Calibri" w:hAnsi="Calibri" w:hint="eastAsia"/>
          <w:rtl/>
        </w:rPr>
        <w:t>הורשע</w:t>
      </w:r>
      <w:r w:rsidR="00F912A9" w:rsidRPr="00F65F57">
        <w:rPr>
          <w:rFonts w:ascii="Calibri" w:hAnsi="Calibri"/>
          <w:rtl/>
        </w:rPr>
        <w:t xml:space="preserve"> </w:t>
      </w:r>
      <w:r w:rsidR="00F912A9" w:rsidRPr="00F65F57">
        <w:rPr>
          <w:rFonts w:ascii="Calibri" w:hAnsi="Calibri" w:hint="eastAsia"/>
          <w:rtl/>
        </w:rPr>
        <w:t>בעבירה</w:t>
      </w:r>
      <w:r w:rsidR="00F912A9" w:rsidRPr="00F65F57">
        <w:rPr>
          <w:rFonts w:ascii="Calibri" w:hAnsi="Calibri"/>
          <w:rtl/>
        </w:rPr>
        <w:t xml:space="preserve"> </w:t>
      </w:r>
      <w:r w:rsidR="00F912A9" w:rsidRPr="00F65F57">
        <w:rPr>
          <w:rFonts w:ascii="Calibri" w:hAnsi="Calibri" w:hint="eastAsia"/>
          <w:rtl/>
        </w:rPr>
        <w:t>של</w:t>
      </w:r>
      <w:r w:rsidR="00F912A9" w:rsidRPr="00F65F57">
        <w:rPr>
          <w:rFonts w:ascii="Calibri" w:hAnsi="Calibri"/>
          <w:rtl/>
        </w:rPr>
        <w:t xml:space="preserve"> </w:t>
      </w:r>
      <w:r w:rsidR="00F912A9" w:rsidRPr="00F65F57">
        <w:rPr>
          <w:rFonts w:ascii="Calibri" w:hAnsi="Calibri" w:hint="eastAsia"/>
          <w:rtl/>
        </w:rPr>
        <w:t>הפרת</w:t>
      </w:r>
      <w:r w:rsidR="00F912A9" w:rsidRPr="00F65F57">
        <w:rPr>
          <w:rFonts w:ascii="Calibri" w:hAnsi="Calibri"/>
          <w:rtl/>
        </w:rPr>
        <w:t xml:space="preserve"> </w:t>
      </w:r>
      <w:r w:rsidR="00F912A9" w:rsidRPr="00F65F57">
        <w:rPr>
          <w:rFonts w:ascii="Calibri" w:hAnsi="Calibri" w:hint="eastAsia"/>
          <w:rtl/>
        </w:rPr>
        <w:t>צו</w:t>
      </w:r>
      <w:r w:rsidR="00F912A9" w:rsidRPr="00F65F57">
        <w:rPr>
          <w:rFonts w:ascii="Calibri" w:hAnsi="Calibri"/>
          <w:rtl/>
        </w:rPr>
        <w:t xml:space="preserve"> </w:t>
      </w:r>
      <w:r w:rsidR="00F912A9" w:rsidRPr="00F65F57">
        <w:rPr>
          <w:rFonts w:ascii="Calibri" w:hAnsi="Calibri" w:hint="eastAsia"/>
          <w:rtl/>
        </w:rPr>
        <w:t>פיקוח</w:t>
      </w:r>
      <w:r w:rsidR="00F912A9" w:rsidRPr="00F65F57">
        <w:rPr>
          <w:rFonts w:ascii="Calibri" w:hAnsi="Calibri"/>
          <w:rtl/>
        </w:rPr>
        <w:t xml:space="preserve"> </w:t>
      </w:r>
      <w:r w:rsidR="00F912A9" w:rsidRPr="00F65F57">
        <w:rPr>
          <w:rFonts w:ascii="Calibri" w:hAnsi="Calibri" w:hint="eastAsia"/>
          <w:rtl/>
        </w:rPr>
        <w:t>בכך</w:t>
      </w:r>
      <w:r w:rsidR="00F912A9" w:rsidRPr="00F65F57">
        <w:rPr>
          <w:rFonts w:ascii="Calibri" w:hAnsi="Calibri"/>
          <w:rtl/>
        </w:rPr>
        <w:t xml:space="preserve"> </w:t>
      </w:r>
      <w:r w:rsidR="00F912A9" w:rsidRPr="00F65F57">
        <w:rPr>
          <w:rFonts w:ascii="Calibri" w:hAnsi="Calibri" w:hint="eastAsia"/>
          <w:rtl/>
        </w:rPr>
        <w:t>שלא</w:t>
      </w:r>
      <w:r w:rsidR="00F912A9" w:rsidRPr="00F65F57">
        <w:rPr>
          <w:rFonts w:ascii="Calibri" w:hAnsi="Calibri"/>
          <w:rtl/>
        </w:rPr>
        <w:t xml:space="preserve"> </w:t>
      </w:r>
      <w:r w:rsidR="00F912A9" w:rsidRPr="00F65F57">
        <w:rPr>
          <w:rFonts w:ascii="Calibri" w:hAnsi="Calibri" w:hint="eastAsia"/>
          <w:rtl/>
        </w:rPr>
        <w:t>שיתף</w:t>
      </w:r>
      <w:r w:rsidR="00F912A9" w:rsidRPr="00F65F57">
        <w:rPr>
          <w:rFonts w:ascii="Calibri" w:hAnsi="Calibri"/>
          <w:rtl/>
        </w:rPr>
        <w:t xml:space="preserve"> </w:t>
      </w:r>
      <w:r w:rsidR="00F912A9" w:rsidRPr="00F65F57">
        <w:rPr>
          <w:rFonts w:ascii="Calibri" w:hAnsi="Calibri" w:hint="eastAsia"/>
          <w:rtl/>
        </w:rPr>
        <w:t>פעולה</w:t>
      </w:r>
      <w:r w:rsidR="00F912A9" w:rsidRPr="00F65F57">
        <w:rPr>
          <w:rFonts w:ascii="Calibri" w:hAnsi="Calibri"/>
          <w:rtl/>
        </w:rPr>
        <w:t xml:space="preserve"> </w:t>
      </w:r>
      <w:r w:rsidR="00F912A9" w:rsidRPr="00F65F57">
        <w:rPr>
          <w:rFonts w:ascii="Calibri" w:hAnsi="Calibri" w:hint="eastAsia"/>
          <w:rtl/>
        </w:rPr>
        <w:t>עם</w:t>
      </w:r>
      <w:r w:rsidR="00F912A9" w:rsidRPr="00F65F57">
        <w:rPr>
          <w:rFonts w:ascii="Calibri" w:hAnsi="Calibri"/>
          <w:rtl/>
        </w:rPr>
        <w:t xml:space="preserve"> </w:t>
      </w:r>
      <w:r w:rsidR="00F912A9" w:rsidRPr="00F65F57">
        <w:rPr>
          <w:rFonts w:ascii="Calibri" w:hAnsi="Calibri" w:hint="eastAsia"/>
          <w:rtl/>
        </w:rPr>
        <w:t>קצין</w:t>
      </w:r>
      <w:r w:rsidR="00F912A9" w:rsidRPr="00F65F57">
        <w:rPr>
          <w:rFonts w:ascii="Calibri" w:hAnsi="Calibri"/>
          <w:rtl/>
        </w:rPr>
        <w:t xml:space="preserve"> </w:t>
      </w:r>
      <w:r w:rsidR="00F912A9" w:rsidRPr="00F65F57">
        <w:rPr>
          <w:rFonts w:ascii="Calibri" w:hAnsi="Calibri" w:hint="eastAsia"/>
          <w:rtl/>
        </w:rPr>
        <w:t>הפיקוח</w:t>
      </w:r>
      <w:r w:rsidR="00F912A9" w:rsidRPr="00F65F57">
        <w:rPr>
          <w:rFonts w:ascii="Calibri" w:hAnsi="Calibri"/>
          <w:rtl/>
        </w:rPr>
        <w:t xml:space="preserve"> </w:t>
      </w:r>
      <w:r w:rsidR="00F912A9" w:rsidRPr="00F65F57">
        <w:rPr>
          <w:rFonts w:ascii="Calibri" w:hAnsi="Calibri" w:hint="eastAsia"/>
          <w:rtl/>
        </w:rPr>
        <w:t>וצרך</w:t>
      </w:r>
      <w:r w:rsidR="00F912A9" w:rsidRPr="00F65F57">
        <w:rPr>
          <w:rFonts w:ascii="Calibri" w:hAnsi="Calibri"/>
          <w:rtl/>
        </w:rPr>
        <w:t xml:space="preserve"> </w:t>
      </w:r>
      <w:r w:rsidR="00F912A9" w:rsidRPr="00F65F57">
        <w:rPr>
          <w:rFonts w:ascii="Calibri" w:hAnsi="Calibri" w:hint="eastAsia"/>
          <w:rtl/>
        </w:rPr>
        <w:t>אלכוהול</w:t>
      </w:r>
      <w:r w:rsidR="00F912A9" w:rsidRPr="00F65F57">
        <w:rPr>
          <w:rFonts w:ascii="Calibri" w:hAnsi="Calibri"/>
          <w:rtl/>
        </w:rPr>
        <w:t>.</w:t>
      </w:r>
    </w:p>
    <w:p w14:paraId="1DAFD056" w14:textId="77777777" w:rsidR="00F912A9" w:rsidRPr="00F65F57" w:rsidRDefault="00F912A9" w:rsidP="00F912A9">
      <w:pPr>
        <w:shd w:val="clear" w:color="auto" w:fill="FFFFFF"/>
        <w:spacing w:after="160" w:line="360" w:lineRule="auto"/>
        <w:ind w:left="720" w:right="284"/>
        <w:contextualSpacing/>
        <w:jc w:val="both"/>
        <w:rPr>
          <w:rFonts w:ascii="David" w:hAnsi="David"/>
        </w:rPr>
      </w:pPr>
    </w:p>
    <w:p w14:paraId="7CD84762" w14:textId="77777777" w:rsidR="00F912A9" w:rsidRPr="00F65F57" w:rsidRDefault="0011038E" w:rsidP="00F912A9">
      <w:pPr>
        <w:spacing w:after="120" w:line="360" w:lineRule="auto"/>
        <w:ind w:left="720" w:right="284"/>
        <w:jc w:val="both"/>
        <w:rPr>
          <w:rtl/>
        </w:rPr>
      </w:pPr>
      <w:hyperlink r:id="rId27" w:history="1">
        <w:r w:rsidRPr="0011038E">
          <w:rPr>
            <w:color w:val="0000FF"/>
            <w:u w:val="single"/>
            <w:rtl/>
          </w:rPr>
          <w:t>ת"פ (ת"א) 18029-09-13</w:t>
        </w:r>
      </w:hyperlink>
      <w:r w:rsidR="00F912A9" w:rsidRPr="00F65F57">
        <w:rPr>
          <w:b/>
          <w:bCs/>
          <w:rtl/>
        </w:rPr>
        <w:t xml:space="preserve"> מדינת ישראל נגד חנוכה</w:t>
      </w:r>
      <w:r w:rsidR="00F912A9" w:rsidRPr="00F65F57">
        <w:rPr>
          <w:rtl/>
        </w:rPr>
        <w:t xml:space="preserve"> (30.10.2013): הנאשם נידון </w:t>
      </w:r>
      <w:r w:rsidR="00F912A9" w:rsidRPr="00F65F57">
        <w:rPr>
          <w:b/>
          <w:bCs/>
          <w:rtl/>
        </w:rPr>
        <w:t>לחודשיים מאסר בפועל</w:t>
      </w:r>
      <w:r w:rsidR="00F912A9" w:rsidRPr="00F65F57">
        <w:rPr>
          <w:rtl/>
        </w:rPr>
        <w:t xml:space="preserve"> לאחר שהורשע בספר הפרות של צו פיקוח, אשר במסגרתו נאסר עליו כל שימוש באלכוהול בכך ששתה לשכרה במספר הזדמנויות.</w:t>
      </w:r>
    </w:p>
    <w:p w14:paraId="10377A22" w14:textId="77777777" w:rsidR="00F912A9" w:rsidRPr="00F65F57" w:rsidRDefault="00F912A9" w:rsidP="00F912A9">
      <w:pPr>
        <w:spacing w:after="120" w:line="360" w:lineRule="auto"/>
        <w:ind w:left="720" w:right="284"/>
        <w:jc w:val="both"/>
        <w:rPr>
          <w:rtl/>
        </w:rPr>
      </w:pPr>
    </w:p>
    <w:p w14:paraId="3B5523D2" w14:textId="77777777" w:rsidR="00F912A9" w:rsidRPr="00F65F57" w:rsidRDefault="0011038E" w:rsidP="00F912A9">
      <w:pPr>
        <w:shd w:val="clear" w:color="auto" w:fill="FFFFFF"/>
        <w:spacing w:after="160" w:line="360" w:lineRule="auto"/>
        <w:ind w:left="720" w:right="284"/>
        <w:contextualSpacing/>
        <w:jc w:val="both"/>
        <w:rPr>
          <w:rFonts w:ascii="David" w:hAnsi="David"/>
        </w:rPr>
      </w:pPr>
      <w:hyperlink r:id="rId28" w:history="1">
        <w:r w:rsidRPr="0011038E">
          <w:rPr>
            <w:rFonts w:ascii="Calibri" w:hAnsi="Calibri" w:hint="eastAsia"/>
            <w:color w:val="0000FF"/>
            <w:u w:val="single"/>
            <w:rtl/>
          </w:rPr>
          <w:t>ת</w:t>
        </w:r>
        <w:r w:rsidRPr="0011038E">
          <w:rPr>
            <w:rFonts w:ascii="Calibri" w:hAnsi="Calibri"/>
            <w:color w:val="0000FF"/>
            <w:u w:val="single"/>
            <w:rtl/>
          </w:rPr>
          <w:t>"</w:t>
        </w:r>
        <w:r w:rsidRPr="0011038E">
          <w:rPr>
            <w:rFonts w:ascii="Calibri" w:hAnsi="Calibri" w:hint="eastAsia"/>
            <w:color w:val="0000FF"/>
            <w:u w:val="single"/>
            <w:rtl/>
          </w:rPr>
          <w:t>פ</w:t>
        </w:r>
        <w:r w:rsidRPr="0011038E">
          <w:rPr>
            <w:rFonts w:ascii="Calibri" w:hAnsi="Calibri"/>
            <w:color w:val="0000FF"/>
            <w:u w:val="single"/>
            <w:rtl/>
          </w:rPr>
          <w:t xml:space="preserve"> 11690-11-12</w:t>
        </w:r>
      </w:hyperlink>
      <w:r w:rsidR="00F912A9" w:rsidRPr="00F65F57">
        <w:rPr>
          <w:rFonts w:ascii="Calibri" w:hAnsi="Calibri"/>
          <w:u w:val="single"/>
          <w:rtl/>
        </w:rPr>
        <w:t xml:space="preserve"> </w:t>
      </w:r>
      <w:r w:rsidR="00F912A9" w:rsidRPr="00F65F57">
        <w:rPr>
          <w:rFonts w:ascii="Calibri" w:hAnsi="Calibri" w:hint="eastAsia"/>
          <w:b/>
          <w:bCs/>
          <w:u w:val="single"/>
          <w:rtl/>
        </w:rPr>
        <w:t>מדינת</w:t>
      </w:r>
      <w:r w:rsidR="00F912A9" w:rsidRPr="00F65F57">
        <w:rPr>
          <w:rFonts w:ascii="Calibri" w:hAnsi="Calibri"/>
          <w:b/>
          <w:bCs/>
          <w:u w:val="single"/>
          <w:rtl/>
        </w:rPr>
        <w:t xml:space="preserve"> </w:t>
      </w:r>
      <w:r w:rsidR="00F912A9" w:rsidRPr="00F65F57">
        <w:rPr>
          <w:rFonts w:ascii="Calibri" w:hAnsi="Calibri" w:hint="eastAsia"/>
          <w:b/>
          <w:bCs/>
          <w:u w:val="single"/>
          <w:rtl/>
        </w:rPr>
        <w:t>ישראל</w:t>
      </w:r>
      <w:r w:rsidR="00F912A9" w:rsidRPr="00F65F57">
        <w:rPr>
          <w:rFonts w:ascii="Calibri" w:hAnsi="Calibri"/>
          <w:b/>
          <w:bCs/>
          <w:u w:val="single"/>
          <w:rtl/>
        </w:rPr>
        <w:t xml:space="preserve"> </w:t>
      </w:r>
      <w:r w:rsidR="00F912A9" w:rsidRPr="00F65F57">
        <w:rPr>
          <w:rFonts w:ascii="Calibri" w:hAnsi="Calibri" w:hint="eastAsia"/>
          <w:b/>
          <w:bCs/>
          <w:u w:val="single"/>
          <w:rtl/>
        </w:rPr>
        <w:t>נגד</w:t>
      </w:r>
      <w:r w:rsidR="00F912A9" w:rsidRPr="00F65F57">
        <w:rPr>
          <w:rFonts w:ascii="Calibri" w:hAnsi="Calibri"/>
          <w:b/>
          <w:bCs/>
          <w:u w:val="single"/>
          <w:rtl/>
        </w:rPr>
        <w:t xml:space="preserve"> </w:t>
      </w:r>
      <w:r w:rsidR="00F912A9" w:rsidRPr="00F65F57">
        <w:rPr>
          <w:rFonts w:ascii="Calibri" w:hAnsi="Calibri" w:hint="eastAsia"/>
          <w:b/>
          <w:bCs/>
          <w:u w:val="single"/>
          <w:rtl/>
        </w:rPr>
        <w:t>מלול</w:t>
      </w:r>
      <w:r w:rsidR="00F912A9" w:rsidRPr="00F65F57">
        <w:rPr>
          <w:rFonts w:ascii="Calibri" w:hAnsi="Calibri"/>
          <w:u w:val="single"/>
          <w:rtl/>
        </w:rPr>
        <w:t xml:space="preserve"> </w:t>
      </w:r>
      <w:r w:rsidR="00F912A9" w:rsidRPr="00F65F57">
        <w:rPr>
          <w:sz w:val="22"/>
          <w:u w:val="single"/>
          <w:rtl/>
        </w:rPr>
        <w:t>(21.02.2013)</w:t>
      </w:r>
      <w:r w:rsidR="00F912A9" w:rsidRPr="00F65F57">
        <w:rPr>
          <w:sz w:val="22"/>
          <w:rtl/>
        </w:rPr>
        <w:t xml:space="preserve">: </w:t>
      </w:r>
      <w:r w:rsidR="00F912A9" w:rsidRPr="00F65F57">
        <w:rPr>
          <w:rFonts w:ascii="Calibri" w:hAnsi="Calibri" w:hint="eastAsia"/>
          <w:rtl/>
        </w:rPr>
        <w:t>הנאשם</w:t>
      </w:r>
      <w:r w:rsidR="00F912A9" w:rsidRPr="00F65F57">
        <w:rPr>
          <w:rFonts w:ascii="Calibri" w:hAnsi="Calibri"/>
          <w:rtl/>
        </w:rPr>
        <w:t xml:space="preserve"> </w:t>
      </w:r>
      <w:r w:rsidR="00F912A9" w:rsidRPr="00F65F57">
        <w:rPr>
          <w:rFonts w:ascii="Calibri" w:hAnsi="Calibri" w:hint="eastAsia"/>
          <w:rtl/>
        </w:rPr>
        <w:t>נדון</w:t>
      </w:r>
      <w:r w:rsidR="00F912A9" w:rsidRPr="00F65F57">
        <w:rPr>
          <w:rFonts w:ascii="Calibri" w:hAnsi="Calibri"/>
          <w:b/>
          <w:bCs/>
          <w:rtl/>
        </w:rPr>
        <w:t xml:space="preserve"> </w:t>
      </w:r>
      <w:r w:rsidR="00F912A9" w:rsidRPr="00F65F57">
        <w:rPr>
          <w:rFonts w:ascii="Calibri" w:hAnsi="Calibri" w:hint="eastAsia"/>
          <w:b/>
          <w:bCs/>
          <w:rtl/>
        </w:rPr>
        <w:t>ל</w:t>
      </w:r>
      <w:r w:rsidR="00F912A9" w:rsidRPr="00F65F57">
        <w:rPr>
          <w:rFonts w:ascii="Calibri" w:hAnsi="Calibri"/>
          <w:b/>
          <w:bCs/>
          <w:rtl/>
        </w:rPr>
        <w:t xml:space="preserve">-15 </w:t>
      </w:r>
      <w:r w:rsidR="00F912A9" w:rsidRPr="00F65F57">
        <w:rPr>
          <w:rFonts w:ascii="Calibri" w:hAnsi="Calibri" w:hint="eastAsia"/>
          <w:b/>
          <w:bCs/>
          <w:rtl/>
        </w:rPr>
        <w:t>חודשי</w:t>
      </w:r>
      <w:r w:rsidR="00F912A9" w:rsidRPr="00F65F57">
        <w:rPr>
          <w:rFonts w:ascii="Calibri" w:hAnsi="Calibri"/>
          <w:b/>
          <w:bCs/>
          <w:rtl/>
        </w:rPr>
        <w:t xml:space="preserve"> </w:t>
      </w:r>
      <w:r w:rsidR="00F912A9" w:rsidRPr="00F65F57">
        <w:rPr>
          <w:rFonts w:ascii="Calibri" w:hAnsi="Calibri" w:hint="eastAsia"/>
          <w:b/>
          <w:bCs/>
          <w:rtl/>
        </w:rPr>
        <w:t>מאסר</w:t>
      </w:r>
      <w:r w:rsidR="00F912A9" w:rsidRPr="00F65F57">
        <w:rPr>
          <w:rFonts w:ascii="Calibri" w:hAnsi="Calibri"/>
          <w:b/>
          <w:bCs/>
          <w:rtl/>
        </w:rPr>
        <w:t xml:space="preserve"> </w:t>
      </w:r>
      <w:r w:rsidR="00F912A9" w:rsidRPr="00F65F57">
        <w:rPr>
          <w:rFonts w:ascii="Calibri" w:hAnsi="Calibri" w:hint="eastAsia"/>
          <w:b/>
          <w:bCs/>
          <w:rtl/>
        </w:rPr>
        <w:t>בפועל</w:t>
      </w:r>
      <w:r w:rsidR="00F912A9" w:rsidRPr="00F65F57">
        <w:rPr>
          <w:rFonts w:ascii="Calibri" w:hAnsi="Calibri"/>
          <w:b/>
          <w:bCs/>
          <w:rtl/>
        </w:rPr>
        <w:t xml:space="preserve"> </w:t>
      </w:r>
      <w:r w:rsidR="00F912A9" w:rsidRPr="00F65F57">
        <w:rPr>
          <w:rFonts w:ascii="Calibri" w:hAnsi="Calibri" w:hint="eastAsia"/>
          <w:b/>
          <w:bCs/>
          <w:rtl/>
        </w:rPr>
        <w:t>לצד</w:t>
      </w:r>
      <w:r w:rsidR="00F912A9" w:rsidRPr="00F65F57">
        <w:rPr>
          <w:rFonts w:ascii="Calibri" w:hAnsi="Calibri"/>
          <w:b/>
          <w:bCs/>
          <w:rtl/>
        </w:rPr>
        <w:t xml:space="preserve"> </w:t>
      </w:r>
      <w:r w:rsidR="00F912A9" w:rsidRPr="00F65F57">
        <w:rPr>
          <w:rFonts w:ascii="Calibri" w:hAnsi="Calibri" w:hint="eastAsia"/>
          <w:b/>
          <w:bCs/>
          <w:rtl/>
        </w:rPr>
        <w:t>ענישה</w:t>
      </w:r>
      <w:r w:rsidR="00F912A9" w:rsidRPr="00F65F57">
        <w:rPr>
          <w:rFonts w:ascii="Calibri" w:hAnsi="Calibri"/>
          <w:b/>
          <w:bCs/>
          <w:rtl/>
        </w:rPr>
        <w:t xml:space="preserve"> </w:t>
      </w:r>
      <w:r w:rsidR="00F912A9" w:rsidRPr="00F65F57">
        <w:rPr>
          <w:rFonts w:ascii="Calibri" w:hAnsi="Calibri" w:hint="eastAsia"/>
          <w:b/>
          <w:bCs/>
          <w:rtl/>
        </w:rPr>
        <w:t>נלווית</w:t>
      </w:r>
      <w:r w:rsidR="00F912A9" w:rsidRPr="00F65F57">
        <w:rPr>
          <w:rFonts w:ascii="Calibri" w:hAnsi="Calibri"/>
          <w:b/>
          <w:bCs/>
          <w:rtl/>
        </w:rPr>
        <w:t xml:space="preserve">, </w:t>
      </w:r>
      <w:r w:rsidR="00F912A9" w:rsidRPr="00F65F57">
        <w:rPr>
          <w:rFonts w:ascii="Calibri" w:hAnsi="Calibri" w:hint="eastAsia"/>
          <w:rtl/>
        </w:rPr>
        <w:t>לאחר</w:t>
      </w:r>
      <w:r w:rsidR="00F912A9" w:rsidRPr="00F65F57">
        <w:rPr>
          <w:rFonts w:ascii="Calibri" w:hAnsi="Calibri"/>
          <w:rtl/>
        </w:rPr>
        <w:t xml:space="preserve"> </w:t>
      </w:r>
      <w:r w:rsidR="00F912A9" w:rsidRPr="00F65F57">
        <w:rPr>
          <w:rFonts w:ascii="Calibri" w:hAnsi="Calibri" w:hint="eastAsia"/>
          <w:rtl/>
        </w:rPr>
        <w:t>שהורשע</w:t>
      </w:r>
      <w:r w:rsidR="00F912A9" w:rsidRPr="00F65F57">
        <w:rPr>
          <w:rFonts w:ascii="Calibri" w:hAnsi="Calibri"/>
          <w:rtl/>
        </w:rPr>
        <w:t xml:space="preserve"> </w:t>
      </w:r>
      <w:r w:rsidR="00F912A9" w:rsidRPr="00F65F57">
        <w:rPr>
          <w:rFonts w:ascii="Calibri" w:hAnsi="Calibri" w:hint="eastAsia"/>
          <w:rtl/>
        </w:rPr>
        <w:t>בשתי</w:t>
      </w:r>
      <w:r w:rsidR="00F912A9" w:rsidRPr="00F65F57">
        <w:rPr>
          <w:rFonts w:ascii="Calibri" w:hAnsi="Calibri"/>
          <w:rtl/>
        </w:rPr>
        <w:t xml:space="preserve"> </w:t>
      </w:r>
      <w:r w:rsidR="00F912A9" w:rsidRPr="00F65F57">
        <w:rPr>
          <w:rFonts w:ascii="Calibri" w:hAnsi="Calibri" w:hint="eastAsia"/>
          <w:rtl/>
        </w:rPr>
        <w:t>עבירות</w:t>
      </w:r>
      <w:r w:rsidR="00F912A9" w:rsidRPr="00F65F57">
        <w:rPr>
          <w:rFonts w:ascii="Calibri" w:hAnsi="Calibri"/>
          <w:rtl/>
        </w:rPr>
        <w:t xml:space="preserve"> </w:t>
      </w:r>
      <w:r w:rsidR="00F912A9" w:rsidRPr="00F65F57">
        <w:rPr>
          <w:rFonts w:ascii="Calibri" w:hAnsi="Calibri" w:hint="eastAsia"/>
          <w:rtl/>
        </w:rPr>
        <w:t>של</w:t>
      </w:r>
      <w:r w:rsidR="00F912A9" w:rsidRPr="00F65F57">
        <w:rPr>
          <w:rFonts w:ascii="Calibri" w:hAnsi="Calibri"/>
          <w:rtl/>
        </w:rPr>
        <w:t xml:space="preserve"> </w:t>
      </w:r>
      <w:r w:rsidR="00F912A9" w:rsidRPr="00F65F57">
        <w:rPr>
          <w:rFonts w:ascii="Calibri" w:hAnsi="Calibri" w:hint="eastAsia"/>
          <w:rtl/>
        </w:rPr>
        <w:t>הפרת</w:t>
      </w:r>
      <w:r w:rsidR="00F912A9" w:rsidRPr="00F65F57">
        <w:rPr>
          <w:rFonts w:ascii="Calibri" w:hAnsi="Calibri"/>
          <w:rtl/>
        </w:rPr>
        <w:t xml:space="preserve"> </w:t>
      </w:r>
      <w:r w:rsidR="00F912A9" w:rsidRPr="00F65F57">
        <w:rPr>
          <w:rFonts w:ascii="Calibri" w:hAnsi="Calibri" w:hint="eastAsia"/>
          <w:rtl/>
        </w:rPr>
        <w:t>צו</w:t>
      </w:r>
      <w:r w:rsidR="00F912A9" w:rsidRPr="00F65F57">
        <w:rPr>
          <w:rFonts w:ascii="Calibri" w:hAnsi="Calibri"/>
          <w:rtl/>
        </w:rPr>
        <w:t xml:space="preserve"> </w:t>
      </w:r>
      <w:r w:rsidR="00F912A9" w:rsidRPr="00F65F57">
        <w:rPr>
          <w:rFonts w:ascii="Calibri" w:hAnsi="Calibri" w:hint="eastAsia"/>
          <w:rtl/>
        </w:rPr>
        <w:t>פיקוח</w:t>
      </w:r>
      <w:r w:rsidR="00F912A9" w:rsidRPr="00F65F57">
        <w:rPr>
          <w:rFonts w:ascii="Calibri" w:hAnsi="Calibri"/>
          <w:rtl/>
        </w:rPr>
        <w:t xml:space="preserve"> </w:t>
      </w:r>
      <w:r w:rsidR="00F912A9" w:rsidRPr="00F65F57">
        <w:rPr>
          <w:rFonts w:ascii="Calibri" w:hAnsi="Calibri" w:hint="eastAsia"/>
          <w:rtl/>
        </w:rPr>
        <w:t>בכך</w:t>
      </w:r>
      <w:r w:rsidR="00F912A9" w:rsidRPr="00F65F57">
        <w:rPr>
          <w:rFonts w:ascii="Calibri" w:hAnsi="Calibri"/>
          <w:rtl/>
        </w:rPr>
        <w:t xml:space="preserve"> </w:t>
      </w:r>
      <w:r w:rsidR="00F912A9" w:rsidRPr="00F65F57">
        <w:rPr>
          <w:rFonts w:ascii="Calibri" w:hAnsi="Calibri" w:hint="eastAsia"/>
          <w:rtl/>
        </w:rPr>
        <w:t>שבשתי</w:t>
      </w:r>
      <w:r w:rsidR="00F912A9" w:rsidRPr="00F65F57">
        <w:rPr>
          <w:rFonts w:ascii="Calibri" w:hAnsi="Calibri"/>
          <w:rtl/>
        </w:rPr>
        <w:t xml:space="preserve"> </w:t>
      </w:r>
      <w:r w:rsidR="00F912A9" w:rsidRPr="00F65F57">
        <w:rPr>
          <w:rFonts w:ascii="Calibri" w:hAnsi="Calibri" w:hint="eastAsia"/>
          <w:rtl/>
        </w:rPr>
        <w:t>הזדמנויות</w:t>
      </w:r>
      <w:r w:rsidR="00F912A9" w:rsidRPr="00F65F57">
        <w:rPr>
          <w:rFonts w:ascii="Calibri" w:hAnsi="Calibri"/>
          <w:rtl/>
        </w:rPr>
        <w:t xml:space="preserve"> </w:t>
      </w:r>
      <w:r w:rsidR="00F912A9" w:rsidRPr="00F65F57">
        <w:rPr>
          <w:rFonts w:ascii="Calibri" w:hAnsi="Calibri" w:hint="eastAsia"/>
          <w:rtl/>
        </w:rPr>
        <w:t>נפגש</w:t>
      </w:r>
      <w:r w:rsidR="00F912A9" w:rsidRPr="00F65F57">
        <w:rPr>
          <w:rFonts w:ascii="Calibri" w:hAnsi="Calibri"/>
          <w:rtl/>
        </w:rPr>
        <w:t xml:space="preserve"> </w:t>
      </w:r>
      <w:r w:rsidR="00F912A9" w:rsidRPr="00F65F57">
        <w:rPr>
          <w:rFonts w:ascii="Calibri" w:hAnsi="Calibri" w:hint="eastAsia"/>
          <w:rtl/>
        </w:rPr>
        <w:t>ביחידות</w:t>
      </w:r>
      <w:r w:rsidR="00F912A9" w:rsidRPr="00F65F57">
        <w:rPr>
          <w:rFonts w:ascii="Calibri" w:hAnsi="Calibri"/>
          <w:rtl/>
        </w:rPr>
        <w:t xml:space="preserve"> </w:t>
      </w:r>
      <w:r w:rsidR="00F912A9" w:rsidRPr="00F65F57">
        <w:rPr>
          <w:rFonts w:ascii="Calibri" w:hAnsi="Calibri" w:hint="eastAsia"/>
          <w:rtl/>
        </w:rPr>
        <w:t>עם</w:t>
      </w:r>
      <w:r w:rsidR="00F912A9" w:rsidRPr="00F65F57">
        <w:rPr>
          <w:rFonts w:ascii="Calibri" w:hAnsi="Calibri"/>
          <w:rtl/>
        </w:rPr>
        <w:t xml:space="preserve"> </w:t>
      </w:r>
      <w:r w:rsidR="00F912A9" w:rsidRPr="00F65F57">
        <w:rPr>
          <w:rFonts w:ascii="Calibri" w:hAnsi="Calibri" w:hint="eastAsia"/>
          <w:rtl/>
        </w:rPr>
        <w:t>קטין</w:t>
      </w:r>
      <w:r w:rsidR="00F912A9" w:rsidRPr="00F65F57">
        <w:rPr>
          <w:rFonts w:ascii="Calibri" w:hAnsi="Calibri"/>
          <w:rtl/>
        </w:rPr>
        <w:t xml:space="preserve">,  </w:t>
      </w:r>
      <w:r w:rsidR="00F912A9" w:rsidRPr="00F65F57">
        <w:rPr>
          <w:rFonts w:ascii="Calibri" w:hAnsi="Calibri" w:hint="eastAsia"/>
          <w:rtl/>
        </w:rPr>
        <w:t>עיסה</w:t>
      </w:r>
      <w:r w:rsidR="00F912A9" w:rsidRPr="00F65F57">
        <w:rPr>
          <w:rFonts w:ascii="Calibri" w:hAnsi="Calibri"/>
          <w:rtl/>
        </w:rPr>
        <w:t xml:space="preserve"> </w:t>
      </w:r>
      <w:r w:rsidR="00F912A9" w:rsidRPr="00F65F57">
        <w:rPr>
          <w:rFonts w:ascii="Calibri" w:hAnsi="Calibri" w:hint="eastAsia"/>
          <w:rtl/>
        </w:rPr>
        <w:t>את</w:t>
      </w:r>
      <w:r w:rsidR="00F912A9" w:rsidRPr="00F65F57">
        <w:rPr>
          <w:rFonts w:ascii="Calibri" w:hAnsi="Calibri"/>
          <w:rtl/>
        </w:rPr>
        <w:t xml:space="preserve"> </w:t>
      </w:r>
      <w:r w:rsidR="00F912A9" w:rsidRPr="00F65F57">
        <w:rPr>
          <w:rFonts w:ascii="Calibri" w:hAnsi="Calibri" w:hint="eastAsia"/>
          <w:rtl/>
        </w:rPr>
        <w:t>גבו</w:t>
      </w:r>
      <w:r w:rsidR="00F912A9" w:rsidRPr="00F65F57">
        <w:rPr>
          <w:rFonts w:ascii="Calibri" w:hAnsi="Calibri"/>
          <w:rtl/>
        </w:rPr>
        <w:t xml:space="preserve"> </w:t>
      </w:r>
      <w:r w:rsidR="00F912A9" w:rsidRPr="00F65F57">
        <w:rPr>
          <w:rFonts w:ascii="Calibri" w:hAnsi="Calibri" w:hint="eastAsia"/>
          <w:rtl/>
        </w:rPr>
        <w:t>של</w:t>
      </w:r>
      <w:r w:rsidR="00F912A9" w:rsidRPr="00F65F57">
        <w:rPr>
          <w:rFonts w:ascii="Calibri" w:hAnsi="Calibri"/>
          <w:rtl/>
        </w:rPr>
        <w:t xml:space="preserve"> </w:t>
      </w:r>
      <w:r w:rsidR="00F912A9" w:rsidRPr="00F65F57">
        <w:rPr>
          <w:rFonts w:ascii="Calibri" w:hAnsi="Calibri" w:hint="eastAsia"/>
          <w:rtl/>
        </w:rPr>
        <w:t>הקטין</w:t>
      </w:r>
      <w:r w:rsidR="00F912A9" w:rsidRPr="00F65F57">
        <w:rPr>
          <w:rFonts w:ascii="Calibri" w:hAnsi="Calibri"/>
          <w:rtl/>
        </w:rPr>
        <w:t xml:space="preserve"> </w:t>
      </w:r>
      <w:r w:rsidR="00F912A9" w:rsidRPr="00F65F57">
        <w:rPr>
          <w:rFonts w:ascii="Calibri" w:hAnsi="Calibri" w:hint="eastAsia"/>
          <w:rtl/>
        </w:rPr>
        <w:t>והקטין</w:t>
      </w:r>
      <w:r w:rsidR="00F912A9" w:rsidRPr="00F65F57">
        <w:rPr>
          <w:rFonts w:ascii="Calibri" w:hAnsi="Calibri"/>
          <w:rtl/>
        </w:rPr>
        <w:t xml:space="preserve"> </w:t>
      </w:r>
      <w:r w:rsidR="00F912A9" w:rsidRPr="00F65F57">
        <w:rPr>
          <w:rFonts w:ascii="Calibri" w:hAnsi="Calibri" w:hint="eastAsia"/>
          <w:rtl/>
        </w:rPr>
        <w:t>עיסה</w:t>
      </w:r>
      <w:r w:rsidR="00F912A9" w:rsidRPr="00F65F57">
        <w:rPr>
          <w:rFonts w:ascii="Calibri" w:hAnsi="Calibri"/>
          <w:rtl/>
        </w:rPr>
        <w:t xml:space="preserve"> </w:t>
      </w:r>
      <w:r w:rsidR="00F912A9" w:rsidRPr="00F65F57">
        <w:rPr>
          <w:rFonts w:ascii="Calibri" w:hAnsi="Calibri" w:hint="eastAsia"/>
          <w:rtl/>
        </w:rPr>
        <w:t>את</w:t>
      </w:r>
      <w:r w:rsidR="00F912A9" w:rsidRPr="00F65F57">
        <w:rPr>
          <w:rFonts w:ascii="Calibri" w:hAnsi="Calibri"/>
          <w:rtl/>
        </w:rPr>
        <w:t xml:space="preserve"> </w:t>
      </w:r>
      <w:r w:rsidR="00F912A9" w:rsidRPr="00F65F57">
        <w:rPr>
          <w:rFonts w:ascii="Calibri" w:hAnsi="Calibri" w:hint="eastAsia"/>
          <w:rtl/>
        </w:rPr>
        <w:t>גבו</w:t>
      </w:r>
      <w:r w:rsidR="00F912A9" w:rsidRPr="00F65F57">
        <w:rPr>
          <w:rFonts w:ascii="Calibri" w:hAnsi="Calibri"/>
          <w:rtl/>
        </w:rPr>
        <w:t xml:space="preserve">. </w:t>
      </w:r>
      <w:r w:rsidR="00F912A9" w:rsidRPr="00F65F57">
        <w:rPr>
          <w:rFonts w:ascii="Calibri" w:hAnsi="Calibri" w:hint="eastAsia"/>
          <w:rtl/>
        </w:rPr>
        <w:t>בית</w:t>
      </w:r>
      <w:r w:rsidR="00F912A9" w:rsidRPr="00F65F57">
        <w:rPr>
          <w:rFonts w:ascii="Calibri" w:hAnsi="Calibri"/>
          <w:rtl/>
        </w:rPr>
        <w:t xml:space="preserve"> </w:t>
      </w:r>
      <w:r w:rsidR="00F912A9" w:rsidRPr="00F65F57">
        <w:rPr>
          <w:rFonts w:ascii="Calibri" w:hAnsi="Calibri" w:hint="eastAsia"/>
          <w:rtl/>
        </w:rPr>
        <w:t>המשפט</w:t>
      </w:r>
      <w:r w:rsidR="00F912A9" w:rsidRPr="00F65F57">
        <w:rPr>
          <w:rFonts w:ascii="Calibri" w:hAnsi="Calibri"/>
          <w:rtl/>
        </w:rPr>
        <w:t xml:space="preserve"> </w:t>
      </w:r>
      <w:r w:rsidR="00F912A9" w:rsidRPr="00F65F57">
        <w:rPr>
          <w:rFonts w:ascii="Calibri" w:hAnsi="Calibri" w:hint="eastAsia"/>
          <w:rtl/>
        </w:rPr>
        <w:t>קבע</w:t>
      </w:r>
      <w:r w:rsidR="00F912A9" w:rsidRPr="00F65F57">
        <w:rPr>
          <w:rFonts w:ascii="Calibri" w:hAnsi="Calibri"/>
          <w:rtl/>
        </w:rPr>
        <w:t xml:space="preserve"> </w:t>
      </w:r>
      <w:r w:rsidR="00F912A9" w:rsidRPr="00F65F57">
        <w:rPr>
          <w:rFonts w:ascii="Calibri" w:hAnsi="Calibri" w:hint="eastAsia"/>
          <w:rtl/>
        </w:rPr>
        <w:t>שמתחם</w:t>
      </w:r>
      <w:r w:rsidR="00F912A9" w:rsidRPr="00F65F57">
        <w:rPr>
          <w:rFonts w:ascii="Calibri" w:hAnsi="Calibri"/>
          <w:rtl/>
        </w:rPr>
        <w:t xml:space="preserve"> </w:t>
      </w:r>
      <w:r w:rsidR="00F912A9" w:rsidRPr="00F65F57">
        <w:rPr>
          <w:rFonts w:ascii="Calibri" w:hAnsi="Calibri" w:hint="eastAsia"/>
          <w:rtl/>
        </w:rPr>
        <w:t>הענישה</w:t>
      </w:r>
      <w:r w:rsidR="00F912A9" w:rsidRPr="00F65F57">
        <w:rPr>
          <w:rFonts w:ascii="Calibri" w:hAnsi="Calibri"/>
          <w:rtl/>
        </w:rPr>
        <w:t xml:space="preserve"> </w:t>
      </w:r>
      <w:r w:rsidR="00F912A9" w:rsidRPr="00F65F57">
        <w:rPr>
          <w:rFonts w:ascii="Calibri" w:hAnsi="Calibri" w:hint="eastAsia"/>
          <w:rtl/>
        </w:rPr>
        <w:t>ההולם</w:t>
      </w:r>
      <w:r w:rsidR="00F912A9" w:rsidRPr="00F65F57">
        <w:rPr>
          <w:rFonts w:ascii="Calibri" w:hAnsi="Calibri"/>
          <w:rtl/>
        </w:rPr>
        <w:t xml:space="preserve"> </w:t>
      </w:r>
      <w:r w:rsidR="00F912A9" w:rsidRPr="00F65F57">
        <w:rPr>
          <w:rFonts w:ascii="Calibri" w:hAnsi="Calibri" w:hint="eastAsia"/>
          <w:rtl/>
        </w:rPr>
        <w:t>נע</w:t>
      </w:r>
      <w:r w:rsidR="00F912A9" w:rsidRPr="00F65F57">
        <w:rPr>
          <w:rFonts w:ascii="Calibri" w:hAnsi="Calibri"/>
          <w:rtl/>
        </w:rPr>
        <w:t xml:space="preserve"> </w:t>
      </w:r>
      <w:r w:rsidR="00F912A9" w:rsidRPr="00F65F57">
        <w:rPr>
          <w:rFonts w:ascii="Calibri" w:hAnsi="Calibri" w:hint="eastAsia"/>
          <w:rtl/>
        </w:rPr>
        <w:t>בין</w:t>
      </w:r>
      <w:r w:rsidR="00F912A9" w:rsidRPr="00F65F57">
        <w:rPr>
          <w:rFonts w:ascii="Calibri" w:hAnsi="Calibri"/>
          <w:rtl/>
        </w:rPr>
        <w:t xml:space="preserve"> </w:t>
      </w:r>
      <w:r w:rsidR="00F912A9" w:rsidRPr="00F65F57">
        <w:rPr>
          <w:rFonts w:ascii="Calibri" w:hAnsi="Calibri" w:hint="eastAsia"/>
          <w:rtl/>
        </w:rPr>
        <w:t>מספר</w:t>
      </w:r>
      <w:r w:rsidR="00F912A9" w:rsidRPr="00F65F57">
        <w:rPr>
          <w:rFonts w:ascii="Calibri" w:hAnsi="Calibri"/>
          <w:rtl/>
        </w:rPr>
        <w:t xml:space="preserve"> </w:t>
      </w:r>
      <w:r w:rsidR="00F912A9" w:rsidRPr="00F65F57">
        <w:rPr>
          <w:rFonts w:ascii="Calibri" w:hAnsi="Calibri" w:hint="eastAsia"/>
          <w:rtl/>
        </w:rPr>
        <w:t>חודשי</w:t>
      </w:r>
      <w:r w:rsidR="00F912A9" w:rsidRPr="00F65F57">
        <w:rPr>
          <w:rFonts w:ascii="Calibri" w:hAnsi="Calibri"/>
          <w:rtl/>
        </w:rPr>
        <w:t xml:space="preserve"> </w:t>
      </w:r>
      <w:r w:rsidR="00F912A9" w:rsidRPr="00F65F57">
        <w:rPr>
          <w:rFonts w:ascii="Calibri" w:hAnsi="Calibri" w:hint="eastAsia"/>
          <w:rtl/>
        </w:rPr>
        <w:t>מאסר</w:t>
      </w:r>
      <w:r w:rsidR="00F912A9" w:rsidRPr="00F65F57">
        <w:rPr>
          <w:rFonts w:ascii="Calibri" w:hAnsi="Calibri"/>
          <w:rtl/>
        </w:rPr>
        <w:t xml:space="preserve"> </w:t>
      </w:r>
      <w:r w:rsidR="00F912A9" w:rsidRPr="00F65F57">
        <w:rPr>
          <w:rFonts w:ascii="Calibri" w:hAnsi="Calibri" w:hint="eastAsia"/>
          <w:rtl/>
        </w:rPr>
        <w:t>ועד</w:t>
      </w:r>
      <w:r w:rsidR="00F912A9" w:rsidRPr="00F65F57">
        <w:rPr>
          <w:rFonts w:ascii="Calibri" w:hAnsi="Calibri"/>
          <w:rtl/>
        </w:rPr>
        <w:t xml:space="preserve"> </w:t>
      </w:r>
      <w:r w:rsidR="00F912A9" w:rsidRPr="00F65F57">
        <w:rPr>
          <w:rFonts w:ascii="Calibri" w:hAnsi="Calibri" w:hint="eastAsia"/>
          <w:rtl/>
        </w:rPr>
        <w:t>שנה</w:t>
      </w:r>
      <w:r w:rsidR="00F912A9" w:rsidRPr="00F65F57">
        <w:rPr>
          <w:rFonts w:ascii="Calibri" w:hAnsi="Calibri"/>
          <w:rtl/>
        </w:rPr>
        <w:t xml:space="preserve"> </w:t>
      </w:r>
      <w:r w:rsidR="00F912A9" w:rsidRPr="00F65F57">
        <w:rPr>
          <w:rFonts w:ascii="Calibri" w:hAnsi="Calibri" w:hint="eastAsia"/>
          <w:rtl/>
        </w:rPr>
        <w:t>וחצי</w:t>
      </w:r>
      <w:r w:rsidR="00F912A9" w:rsidRPr="00F65F57">
        <w:rPr>
          <w:rFonts w:ascii="Calibri" w:hAnsi="Calibri"/>
          <w:rtl/>
        </w:rPr>
        <w:t xml:space="preserve"> </w:t>
      </w:r>
      <w:r w:rsidR="00F912A9" w:rsidRPr="00F65F57">
        <w:rPr>
          <w:rFonts w:ascii="Calibri" w:hAnsi="Calibri" w:hint="eastAsia"/>
          <w:rtl/>
        </w:rPr>
        <w:t>מאסר</w:t>
      </w:r>
      <w:r w:rsidR="00F912A9" w:rsidRPr="00F65F57">
        <w:rPr>
          <w:rFonts w:ascii="Calibri" w:hAnsi="Calibri"/>
          <w:rtl/>
        </w:rPr>
        <w:t>.</w:t>
      </w:r>
    </w:p>
    <w:p w14:paraId="4C4C1557" w14:textId="77777777" w:rsidR="00F912A9" w:rsidRPr="00F912A9" w:rsidRDefault="00F912A9" w:rsidP="00F912A9">
      <w:pPr>
        <w:spacing w:after="120" w:line="360" w:lineRule="auto"/>
        <w:ind w:left="720" w:right="284"/>
        <w:contextualSpacing/>
        <w:jc w:val="both"/>
        <w:rPr>
          <w:rFonts w:ascii="Calibri" w:hAnsi="Calibri" w:cs="Arial"/>
          <w:sz w:val="22"/>
          <w:szCs w:val="22"/>
        </w:rPr>
      </w:pPr>
    </w:p>
    <w:p w14:paraId="1DDB9395" w14:textId="77777777" w:rsidR="00F912A9" w:rsidRPr="00F65F57" w:rsidRDefault="0011038E" w:rsidP="00F912A9">
      <w:pPr>
        <w:spacing w:after="120" w:line="360" w:lineRule="auto"/>
        <w:ind w:left="720" w:right="284"/>
        <w:contextualSpacing/>
        <w:jc w:val="both"/>
        <w:rPr>
          <w:b/>
          <w:bCs/>
          <w:color w:val="000000"/>
          <w:rtl/>
        </w:rPr>
      </w:pPr>
      <w:hyperlink r:id="rId29" w:history="1">
        <w:r w:rsidRPr="0011038E">
          <w:rPr>
            <w:color w:val="0000FF"/>
            <w:u w:val="single"/>
            <w:rtl/>
          </w:rPr>
          <w:t>ת"פ (ב"ש) 3039/12</w:t>
        </w:r>
      </w:hyperlink>
      <w:r w:rsidR="00F912A9" w:rsidRPr="00F65F57">
        <w:rPr>
          <w:u w:val="single"/>
          <w:rtl/>
        </w:rPr>
        <w:t xml:space="preserve"> </w:t>
      </w:r>
      <w:r w:rsidR="00F912A9" w:rsidRPr="00F65F57">
        <w:rPr>
          <w:b/>
          <w:bCs/>
          <w:u w:val="single"/>
          <w:rtl/>
        </w:rPr>
        <w:t>מדינת ישראל נגד שפובלוב</w:t>
      </w:r>
      <w:r w:rsidR="00F912A9" w:rsidRPr="00F65F57">
        <w:rPr>
          <w:u w:val="single"/>
          <w:rtl/>
        </w:rPr>
        <w:t xml:space="preserve"> (27.12.2012)</w:t>
      </w:r>
      <w:r w:rsidR="00F912A9" w:rsidRPr="00F65F57">
        <w:rPr>
          <w:rtl/>
        </w:rPr>
        <w:t xml:space="preserve">: הנאשם נדון  </w:t>
      </w:r>
      <w:r w:rsidR="00F912A9" w:rsidRPr="00F65F57">
        <w:rPr>
          <w:b/>
          <w:bCs/>
          <w:rtl/>
        </w:rPr>
        <w:t>ל-5 חודשי מאסר על תנאי</w:t>
      </w:r>
      <w:r w:rsidR="00F912A9" w:rsidRPr="00F65F57">
        <w:rPr>
          <w:rtl/>
        </w:rPr>
        <w:t xml:space="preserve"> לאחר שהורשע בשני מקרים של הפרת צו פיקוח על עברייני מין, לאחר שצרך אלכוהול.</w:t>
      </w:r>
    </w:p>
    <w:p w14:paraId="0BB980F7" w14:textId="77777777" w:rsidR="00F912A9" w:rsidRPr="00F65F57" w:rsidRDefault="00F912A9" w:rsidP="00F912A9">
      <w:pPr>
        <w:spacing w:after="120" w:line="360" w:lineRule="auto"/>
        <w:ind w:left="720" w:right="284"/>
        <w:contextualSpacing/>
        <w:jc w:val="both"/>
        <w:rPr>
          <w:b/>
          <w:bCs/>
          <w:color w:val="000000"/>
        </w:rPr>
      </w:pPr>
    </w:p>
    <w:p w14:paraId="6695424B" w14:textId="77777777" w:rsidR="00F912A9" w:rsidRPr="00F65F57" w:rsidRDefault="00F912A9" w:rsidP="00F912A9">
      <w:pPr>
        <w:shd w:val="clear" w:color="auto" w:fill="FFFFFF"/>
        <w:spacing w:after="120" w:line="360" w:lineRule="auto"/>
        <w:ind w:left="720" w:right="284"/>
        <w:contextualSpacing/>
        <w:jc w:val="both"/>
        <w:rPr>
          <w:rFonts w:ascii="Calibri" w:hAnsi="Calibri"/>
          <w:rtl/>
        </w:rPr>
      </w:pPr>
      <w:r w:rsidRPr="00F65F57">
        <w:rPr>
          <w:rtl/>
        </w:rPr>
        <w:t xml:space="preserve"> </w:t>
      </w:r>
      <w:hyperlink r:id="rId30" w:history="1">
        <w:r w:rsidR="0011038E" w:rsidRPr="0011038E">
          <w:rPr>
            <w:rFonts w:ascii="Calibri" w:hAnsi="Calibri" w:hint="eastAsia"/>
            <w:color w:val="0000FF"/>
            <w:u w:val="single"/>
            <w:rtl/>
          </w:rPr>
          <w:t>ת</w:t>
        </w:r>
        <w:r w:rsidR="0011038E" w:rsidRPr="0011038E">
          <w:rPr>
            <w:rFonts w:ascii="Calibri" w:hAnsi="Calibri"/>
            <w:color w:val="0000FF"/>
            <w:u w:val="single"/>
            <w:rtl/>
          </w:rPr>
          <w:t>"</w:t>
        </w:r>
        <w:r w:rsidR="0011038E" w:rsidRPr="0011038E">
          <w:rPr>
            <w:rFonts w:ascii="Calibri" w:hAnsi="Calibri" w:hint="eastAsia"/>
            <w:color w:val="0000FF"/>
            <w:u w:val="single"/>
            <w:rtl/>
          </w:rPr>
          <w:t>פ</w:t>
        </w:r>
        <w:r w:rsidR="0011038E" w:rsidRPr="0011038E">
          <w:rPr>
            <w:rFonts w:ascii="Calibri" w:hAnsi="Calibri"/>
            <w:color w:val="0000FF"/>
            <w:u w:val="single"/>
            <w:rtl/>
          </w:rPr>
          <w:t xml:space="preserve"> (</w:t>
        </w:r>
        <w:r w:rsidR="0011038E" w:rsidRPr="0011038E">
          <w:rPr>
            <w:rFonts w:ascii="Calibri" w:hAnsi="Calibri" w:hint="eastAsia"/>
            <w:color w:val="0000FF"/>
            <w:u w:val="single"/>
            <w:rtl/>
          </w:rPr>
          <w:t>תל</w:t>
        </w:r>
        <w:r w:rsidR="0011038E" w:rsidRPr="0011038E">
          <w:rPr>
            <w:rFonts w:ascii="Calibri" w:hAnsi="Calibri"/>
            <w:color w:val="0000FF"/>
            <w:u w:val="single"/>
            <w:rtl/>
          </w:rPr>
          <w:t xml:space="preserve"> </w:t>
        </w:r>
        <w:r w:rsidR="0011038E" w:rsidRPr="0011038E">
          <w:rPr>
            <w:rFonts w:ascii="Calibri" w:hAnsi="Calibri" w:hint="eastAsia"/>
            <w:color w:val="0000FF"/>
            <w:u w:val="single"/>
            <w:rtl/>
          </w:rPr>
          <w:t>אביב</w:t>
        </w:r>
        <w:r w:rsidR="0011038E" w:rsidRPr="0011038E">
          <w:rPr>
            <w:rFonts w:ascii="Calibri" w:hAnsi="Calibri"/>
            <w:color w:val="0000FF"/>
            <w:u w:val="single"/>
            <w:rtl/>
          </w:rPr>
          <w:t>) 17915-05-12</w:t>
        </w:r>
      </w:hyperlink>
      <w:r w:rsidRPr="00F65F57">
        <w:rPr>
          <w:rFonts w:ascii="Calibri" w:hAnsi="Calibri"/>
          <w:u w:val="single"/>
          <w:rtl/>
        </w:rPr>
        <w:t xml:space="preserve"> </w:t>
      </w:r>
      <w:r w:rsidRPr="00F65F57">
        <w:rPr>
          <w:rFonts w:ascii="Calibri" w:hAnsi="Calibri" w:hint="eastAsia"/>
          <w:b/>
          <w:bCs/>
          <w:u w:val="single"/>
          <w:rtl/>
        </w:rPr>
        <w:t>מדינת</w:t>
      </w:r>
      <w:r w:rsidRPr="00F65F57">
        <w:rPr>
          <w:rFonts w:ascii="Calibri" w:hAnsi="Calibri"/>
          <w:b/>
          <w:bCs/>
          <w:u w:val="single"/>
          <w:rtl/>
        </w:rPr>
        <w:t xml:space="preserve"> </w:t>
      </w:r>
      <w:r w:rsidRPr="00F65F57">
        <w:rPr>
          <w:rFonts w:ascii="Calibri" w:hAnsi="Calibri" w:hint="eastAsia"/>
          <w:b/>
          <w:bCs/>
          <w:u w:val="single"/>
          <w:rtl/>
        </w:rPr>
        <w:t>ישראל</w:t>
      </w:r>
      <w:r w:rsidRPr="00F65F57">
        <w:rPr>
          <w:rFonts w:ascii="Calibri" w:hAnsi="Calibri"/>
          <w:b/>
          <w:bCs/>
          <w:u w:val="single"/>
          <w:rtl/>
        </w:rPr>
        <w:t xml:space="preserve"> </w:t>
      </w:r>
      <w:r w:rsidRPr="00F65F57">
        <w:rPr>
          <w:rFonts w:ascii="Calibri" w:hAnsi="Calibri" w:hint="eastAsia"/>
          <w:b/>
          <w:bCs/>
          <w:u w:val="single"/>
          <w:rtl/>
        </w:rPr>
        <w:t>נגד</w:t>
      </w:r>
      <w:r w:rsidRPr="00F65F57">
        <w:rPr>
          <w:rFonts w:ascii="Calibri" w:hAnsi="Calibri"/>
          <w:b/>
          <w:bCs/>
          <w:u w:val="single"/>
          <w:rtl/>
        </w:rPr>
        <w:t xml:space="preserve"> </w:t>
      </w:r>
      <w:r w:rsidRPr="00F65F57">
        <w:rPr>
          <w:rFonts w:ascii="Calibri" w:hAnsi="Calibri" w:hint="eastAsia"/>
          <w:b/>
          <w:bCs/>
          <w:u w:val="single"/>
          <w:rtl/>
        </w:rPr>
        <w:t>דור</w:t>
      </w:r>
      <w:r w:rsidRPr="00F65F57">
        <w:rPr>
          <w:rFonts w:ascii="Calibri" w:hAnsi="Calibri"/>
          <w:u w:val="single"/>
          <w:rtl/>
        </w:rPr>
        <w:t xml:space="preserve"> </w:t>
      </w:r>
      <w:r w:rsidRPr="00F65F57">
        <w:rPr>
          <w:sz w:val="22"/>
          <w:u w:val="single"/>
          <w:rtl/>
        </w:rPr>
        <w:t>(23.10.2012</w:t>
      </w:r>
      <w:r w:rsidRPr="00F65F57">
        <w:rPr>
          <w:sz w:val="22"/>
          <w:rtl/>
        </w:rPr>
        <w:t xml:space="preserve">): </w:t>
      </w:r>
      <w:r w:rsidRPr="00F65F57">
        <w:rPr>
          <w:rFonts w:ascii="Calibri" w:hAnsi="Calibri" w:hint="eastAsia"/>
          <w:rtl/>
        </w:rPr>
        <w:t>הנאשם</w:t>
      </w:r>
      <w:r w:rsidRPr="00F65F57">
        <w:rPr>
          <w:rFonts w:ascii="Calibri" w:hAnsi="Calibri"/>
          <w:rtl/>
        </w:rPr>
        <w:t xml:space="preserve"> </w:t>
      </w:r>
      <w:r w:rsidRPr="00F65F57">
        <w:rPr>
          <w:rFonts w:ascii="Calibri" w:hAnsi="Calibri" w:hint="eastAsia"/>
          <w:rtl/>
        </w:rPr>
        <w:t>נדון</w:t>
      </w:r>
      <w:r w:rsidRPr="00F65F57">
        <w:rPr>
          <w:rFonts w:ascii="Calibri" w:hAnsi="Calibri"/>
          <w:rtl/>
        </w:rPr>
        <w:t xml:space="preserve">   </w:t>
      </w:r>
      <w:r w:rsidRPr="00F65F57">
        <w:rPr>
          <w:rFonts w:ascii="Calibri" w:hAnsi="Calibri" w:hint="eastAsia"/>
          <w:b/>
          <w:bCs/>
          <w:rtl/>
        </w:rPr>
        <w:t>ל</w:t>
      </w:r>
      <w:r w:rsidRPr="00F65F57">
        <w:rPr>
          <w:rFonts w:ascii="Calibri" w:hAnsi="Calibri"/>
          <w:b/>
          <w:bCs/>
          <w:rtl/>
        </w:rPr>
        <w:t xml:space="preserve">-5 </w:t>
      </w:r>
      <w:r w:rsidRPr="00F65F57">
        <w:rPr>
          <w:rFonts w:ascii="Calibri" w:hAnsi="Calibri" w:hint="eastAsia"/>
          <w:b/>
          <w:bCs/>
          <w:rtl/>
        </w:rPr>
        <w:t>חודשי</w:t>
      </w:r>
      <w:r w:rsidRPr="00F65F57">
        <w:rPr>
          <w:rFonts w:ascii="Calibri" w:hAnsi="Calibri"/>
          <w:b/>
          <w:bCs/>
          <w:rtl/>
        </w:rPr>
        <w:t xml:space="preserve"> </w:t>
      </w:r>
      <w:r w:rsidRPr="00F65F57">
        <w:rPr>
          <w:rFonts w:ascii="Calibri" w:hAnsi="Calibri" w:hint="eastAsia"/>
          <w:b/>
          <w:bCs/>
          <w:rtl/>
        </w:rPr>
        <w:t>מאסר</w:t>
      </w:r>
      <w:r w:rsidRPr="00F65F57">
        <w:rPr>
          <w:rFonts w:ascii="Calibri" w:hAnsi="Calibri"/>
          <w:b/>
          <w:bCs/>
          <w:rtl/>
        </w:rPr>
        <w:t xml:space="preserve"> </w:t>
      </w:r>
      <w:r w:rsidRPr="00F65F57">
        <w:rPr>
          <w:rFonts w:ascii="Calibri" w:hAnsi="Calibri" w:hint="eastAsia"/>
          <w:b/>
          <w:bCs/>
          <w:rtl/>
        </w:rPr>
        <w:t>בפועל</w:t>
      </w:r>
      <w:r w:rsidRPr="00F65F57">
        <w:rPr>
          <w:rFonts w:ascii="Calibri" w:hAnsi="Calibri"/>
          <w:b/>
          <w:bCs/>
          <w:rtl/>
        </w:rPr>
        <w:t xml:space="preserve"> </w:t>
      </w:r>
      <w:r w:rsidRPr="00F65F57">
        <w:rPr>
          <w:rFonts w:ascii="Calibri" w:hAnsi="Calibri" w:hint="eastAsia"/>
          <w:b/>
          <w:bCs/>
          <w:rtl/>
        </w:rPr>
        <w:t>לצד</w:t>
      </w:r>
      <w:r w:rsidRPr="00F65F57">
        <w:rPr>
          <w:rFonts w:ascii="Calibri" w:hAnsi="Calibri"/>
          <w:b/>
          <w:bCs/>
          <w:rtl/>
        </w:rPr>
        <w:t xml:space="preserve"> </w:t>
      </w:r>
      <w:r w:rsidRPr="00F65F57">
        <w:rPr>
          <w:rFonts w:ascii="Calibri" w:hAnsi="Calibri" w:hint="eastAsia"/>
          <w:b/>
          <w:bCs/>
          <w:rtl/>
        </w:rPr>
        <w:t>ענישה</w:t>
      </w:r>
      <w:r w:rsidRPr="00F65F57">
        <w:rPr>
          <w:rFonts w:ascii="Calibri" w:hAnsi="Calibri"/>
          <w:b/>
          <w:bCs/>
          <w:rtl/>
        </w:rPr>
        <w:t xml:space="preserve"> </w:t>
      </w:r>
      <w:r w:rsidRPr="00F65F57">
        <w:rPr>
          <w:rFonts w:ascii="Calibri" w:hAnsi="Calibri" w:hint="eastAsia"/>
          <w:b/>
          <w:bCs/>
          <w:rtl/>
        </w:rPr>
        <w:t>נלווית</w:t>
      </w:r>
      <w:r w:rsidRPr="00F65F57">
        <w:rPr>
          <w:rFonts w:ascii="Calibri" w:hAnsi="Calibri"/>
          <w:b/>
          <w:bCs/>
          <w:rtl/>
        </w:rPr>
        <w:t xml:space="preserve">, </w:t>
      </w:r>
      <w:r w:rsidRPr="00F65F57">
        <w:rPr>
          <w:rFonts w:ascii="Calibri" w:hAnsi="Calibri" w:hint="eastAsia"/>
          <w:rtl/>
        </w:rPr>
        <w:t>לאחר</w:t>
      </w:r>
      <w:r w:rsidRPr="00F65F57">
        <w:rPr>
          <w:rFonts w:ascii="Calibri" w:hAnsi="Calibri"/>
          <w:b/>
          <w:bCs/>
          <w:rtl/>
        </w:rPr>
        <w:t xml:space="preserve"> </w:t>
      </w:r>
      <w:r w:rsidRPr="00F65F57">
        <w:rPr>
          <w:rFonts w:ascii="Calibri" w:hAnsi="Calibri" w:hint="eastAsia"/>
          <w:rtl/>
        </w:rPr>
        <w:t>שהורשע</w:t>
      </w:r>
      <w:r w:rsidRPr="00F65F57">
        <w:rPr>
          <w:rFonts w:ascii="Calibri" w:hAnsi="Calibri"/>
          <w:rtl/>
        </w:rPr>
        <w:t xml:space="preserve"> </w:t>
      </w:r>
      <w:r w:rsidRPr="00F65F57">
        <w:rPr>
          <w:rFonts w:ascii="Calibri" w:hAnsi="Calibri" w:hint="eastAsia"/>
          <w:rtl/>
        </w:rPr>
        <w:t>בהפרת</w:t>
      </w:r>
      <w:r w:rsidRPr="00F65F57">
        <w:rPr>
          <w:rFonts w:ascii="Calibri" w:hAnsi="Calibri"/>
          <w:rtl/>
        </w:rPr>
        <w:t xml:space="preserve"> </w:t>
      </w:r>
      <w:r w:rsidRPr="00F65F57">
        <w:rPr>
          <w:rFonts w:ascii="Calibri" w:hAnsi="Calibri" w:hint="eastAsia"/>
          <w:rtl/>
        </w:rPr>
        <w:t>צו</w:t>
      </w:r>
      <w:r w:rsidRPr="00F65F57">
        <w:rPr>
          <w:rFonts w:ascii="Calibri" w:hAnsi="Calibri"/>
          <w:rtl/>
        </w:rPr>
        <w:t xml:space="preserve"> </w:t>
      </w:r>
      <w:r w:rsidRPr="00F65F57">
        <w:rPr>
          <w:rFonts w:ascii="Calibri" w:hAnsi="Calibri" w:hint="eastAsia"/>
          <w:rtl/>
        </w:rPr>
        <w:t>פיקוח</w:t>
      </w:r>
      <w:r w:rsidRPr="00F65F57">
        <w:rPr>
          <w:rFonts w:ascii="Calibri" w:hAnsi="Calibri"/>
          <w:rtl/>
        </w:rPr>
        <w:t xml:space="preserve"> </w:t>
      </w:r>
      <w:r w:rsidRPr="00F65F57">
        <w:rPr>
          <w:rFonts w:ascii="Calibri" w:hAnsi="Calibri" w:hint="eastAsia"/>
          <w:rtl/>
        </w:rPr>
        <w:t>בכך</w:t>
      </w:r>
      <w:r w:rsidRPr="00F65F57">
        <w:rPr>
          <w:rFonts w:ascii="Calibri" w:hAnsi="Calibri"/>
          <w:rtl/>
        </w:rPr>
        <w:t xml:space="preserve"> </w:t>
      </w:r>
      <w:r w:rsidRPr="00F65F57">
        <w:rPr>
          <w:rFonts w:ascii="Calibri" w:hAnsi="Calibri" w:hint="eastAsia"/>
          <w:rtl/>
        </w:rPr>
        <w:t>שיצר</w:t>
      </w:r>
      <w:r w:rsidRPr="00F65F57">
        <w:rPr>
          <w:rFonts w:ascii="Calibri" w:hAnsi="Calibri"/>
          <w:rtl/>
        </w:rPr>
        <w:t xml:space="preserve"> </w:t>
      </w:r>
      <w:r w:rsidRPr="00F65F57">
        <w:rPr>
          <w:rFonts w:ascii="Calibri" w:hAnsi="Calibri" w:hint="eastAsia"/>
          <w:rtl/>
        </w:rPr>
        <w:t>קשר</w:t>
      </w:r>
      <w:r w:rsidRPr="00F65F57">
        <w:rPr>
          <w:rFonts w:ascii="Calibri" w:hAnsi="Calibri"/>
          <w:rtl/>
        </w:rPr>
        <w:t xml:space="preserve"> </w:t>
      </w:r>
      <w:r w:rsidRPr="00F65F57">
        <w:rPr>
          <w:rFonts w:ascii="Calibri" w:hAnsi="Calibri" w:hint="eastAsia"/>
          <w:rtl/>
        </w:rPr>
        <w:t>עם</w:t>
      </w:r>
      <w:r w:rsidRPr="00F65F57">
        <w:rPr>
          <w:rFonts w:ascii="Calibri" w:hAnsi="Calibri"/>
          <w:rtl/>
        </w:rPr>
        <w:t xml:space="preserve"> </w:t>
      </w:r>
      <w:r w:rsidRPr="00F65F57">
        <w:rPr>
          <w:rFonts w:ascii="Calibri" w:hAnsi="Calibri" w:hint="eastAsia"/>
          <w:rtl/>
        </w:rPr>
        <w:t>קטינות</w:t>
      </w:r>
      <w:r w:rsidRPr="00F65F57">
        <w:rPr>
          <w:rFonts w:ascii="Calibri" w:hAnsi="Calibri"/>
          <w:rtl/>
        </w:rPr>
        <w:t xml:space="preserve"> </w:t>
      </w:r>
      <w:r w:rsidRPr="00F65F57">
        <w:rPr>
          <w:rFonts w:ascii="Calibri" w:hAnsi="Calibri" w:hint="eastAsia"/>
          <w:rtl/>
        </w:rPr>
        <w:t>בגינה</w:t>
      </w:r>
      <w:r w:rsidRPr="00F65F57">
        <w:rPr>
          <w:rFonts w:ascii="Calibri" w:hAnsi="Calibri"/>
          <w:rtl/>
        </w:rPr>
        <w:t xml:space="preserve"> </w:t>
      </w:r>
      <w:r w:rsidRPr="00F65F57">
        <w:rPr>
          <w:rFonts w:ascii="Calibri" w:hAnsi="Calibri" w:hint="eastAsia"/>
          <w:rtl/>
        </w:rPr>
        <w:t>ציבורית</w:t>
      </w:r>
      <w:r w:rsidRPr="00F65F57">
        <w:rPr>
          <w:rFonts w:ascii="Calibri" w:hAnsi="Calibri"/>
          <w:rtl/>
        </w:rPr>
        <w:t xml:space="preserve">. </w:t>
      </w:r>
    </w:p>
    <w:p w14:paraId="071D2ACA" w14:textId="77777777" w:rsidR="00F912A9" w:rsidRPr="00F65F57" w:rsidRDefault="00F912A9" w:rsidP="00F912A9">
      <w:pPr>
        <w:shd w:val="clear" w:color="auto" w:fill="FFFFFF"/>
        <w:spacing w:after="120" w:line="360" w:lineRule="auto"/>
        <w:ind w:left="720" w:right="284"/>
        <w:contextualSpacing/>
        <w:jc w:val="both"/>
        <w:rPr>
          <w:b/>
          <w:bCs/>
          <w:color w:val="000000"/>
        </w:rPr>
      </w:pPr>
    </w:p>
    <w:p w14:paraId="04FF3E4F" w14:textId="77777777" w:rsidR="00F912A9" w:rsidRPr="00F65F57" w:rsidRDefault="0011038E" w:rsidP="00F912A9">
      <w:pPr>
        <w:spacing w:after="120" w:line="360" w:lineRule="auto"/>
        <w:ind w:left="720" w:right="284"/>
        <w:jc w:val="both"/>
        <w:rPr>
          <w:rtl/>
        </w:rPr>
      </w:pPr>
      <w:hyperlink r:id="rId31" w:history="1">
        <w:r w:rsidRPr="0011038E">
          <w:rPr>
            <w:color w:val="0000FF"/>
            <w:u w:val="single"/>
            <w:rtl/>
          </w:rPr>
          <w:t>ת"פ (פ"ת) 35912-05-11</w:t>
        </w:r>
      </w:hyperlink>
      <w:r w:rsidR="00F912A9" w:rsidRPr="00F65F57">
        <w:rPr>
          <w:rtl/>
        </w:rPr>
        <w:t xml:space="preserve"> </w:t>
      </w:r>
      <w:r w:rsidR="00F912A9" w:rsidRPr="00F65F57">
        <w:rPr>
          <w:b/>
          <w:bCs/>
          <w:rtl/>
        </w:rPr>
        <w:t>מדינת ישראל נגד ויפליק</w:t>
      </w:r>
      <w:r w:rsidR="00F912A9" w:rsidRPr="00F65F57">
        <w:rPr>
          <w:rtl/>
        </w:rPr>
        <w:t xml:space="preserve"> (14.07.2011): הנאשם נדון  </w:t>
      </w:r>
      <w:r w:rsidR="00F912A9" w:rsidRPr="00F65F57">
        <w:rPr>
          <w:b/>
          <w:bCs/>
          <w:rtl/>
        </w:rPr>
        <w:t xml:space="preserve">למאסר בפועל לתקופה בת חודשיים וחצי </w:t>
      </w:r>
      <w:r w:rsidR="00F912A9" w:rsidRPr="00F65F57">
        <w:rPr>
          <w:rtl/>
        </w:rPr>
        <w:t xml:space="preserve">לאחר שהורשע בהפרת צו פיקוח, כאשר שהה במגרש כדורגל, אשר בו שהו באותה עת קטינים ובגירים. מאוחר יותר חבר הנאשם לשני קטינים בני 16, שיחק עמם ובמהלך משחק הכדורגל יצר איתם מגע פיזי. </w:t>
      </w:r>
    </w:p>
    <w:p w14:paraId="4F0615A5" w14:textId="77777777" w:rsidR="00F912A9" w:rsidRPr="00F65F57" w:rsidRDefault="00F912A9" w:rsidP="00F912A9">
      <w:pPr>
        <w:spacing w:after="120" w:line="360" w:lineRule="auto"/>
        <w:ind w:left="720" w:right="284"/>
        <w:jc w:val="both"/>
      </w:pPr>
    </w:p>
    <w:p w14:paraId="37793694" w14:textId="77777777" w:rsidR="00F912A9" w:rsidRPr="00F65F57" w:rsidRDefault="0011038E" w:rsidP="00F912A9">
      <w:pPr>
        <w:spacing w:after="120" w:line="360" w:lineRule="auto"/>
        <w:ind w:left="720" w:right="284"/>
        <w:jc w:val="both"/>
        <w:rPr>
          <w:rtl/>
        </w:rPr>
      </w:pPr>
      <w:hyperlink r:id="rId32" w:history="1">
        <w:r w:rsidRPr="0011038E">
          <w:rPr>
            <w:color w:val="0000FF"/>
            <w:u w:val="single"/>
            <w:rtl/>
          </w:rPr>
          <w:t>ת"פ (פ"ת) 23536-10-10</w:t>
        </w:r>
      </w:hyperlink>
      <w:r w:rsidR="00F912A9" w:rsidRPr="00F65F57">
        <w:rPr>
          <w:rtl/>
        </w:rPr>
        <w:t xml:space="preserve"> </w:t>
      </w:r>
      <w:r w:rsidR="00F912A9" w:rsidRPr="00F65F57">
        <w:rPr>
          <w:b/>
          <w:bCs/>
          <w:rtl/>
        </w:rPr>
        <w:t>מדינת ישראל נגד קרוצקו</w:t>
      </w:r>
      <w:r w:rsidR="00F912A9" w:rsidRPr="00F65F57">
        <w:rPr>
          <w:rtl/>
        </w:rPr>
        <w:t xml:space="preserve"> (07.12.2010): הנאשם נדון  </w:t>
      </w:r>
      <w:r w:rsidR="00F912A9" w:rsidRPr="00F65F57">
        <w:rPr>
          <w:b/>
          <w:bCs/>
          <w:rtl/>
        </w:rPr>
        <w:t>ל-4 חודשי מאסר בפועל</w:t>
      </w:r>
      <w:r w:rsidR="00F912A9" w:rsidRPr="00F65F57">
        <w:rPr>
          <w:rtl/>
        </w:rPr>
        <w:t xml:space="preserve"> לאחר שהורשע בהפרת צו פיקוח לפי </w:t>
      </w:r>
      <w:hyperlink r:id="rId33" w:history="1">
        <w:r w:rsidR="000812BA" w:rsidRPr="000812BA">
          <w:rPr>
            <w:rStyle w:val="Hyperlink"/>
            <w:rtl/>
          </w:rPr>
          <w:t>סעיף 22</w:t>
        </w:r>
        <w:r w:rsidR="000812BA" w:rsidRPr="000812BA">
          <w:rPr>
            <w:rStyle w:val="Hyperlink"/>
            <w:rtl/>
          </w:rPr>
          <w:t>(</w:t>
        </w:r>
        <w:r w:rsidR="000812BA" w:rsidRPr="000812BA">
          <w:rPr>
            <w:rStyle w:val="Hyperlink"/>
            <w:rtl/>
          </w:rPr>
          <w:t>א)</w:t>
        </w:r>
      </w:hyperlink>
      <w:r w:rsidR="00F912A9" w:rsidRPr="00F65F57">
        <w:rPr>
          <w:rtl/>
        </w:rPr>
        <w:t xml:space="preserve"> לחוק הגנה על הציבור מפני עבירות מין. הנאשם הפר פעמיים את צו הפיקוח כאשר עבד כמאבטח בבית ספר ובגן ילדים.</w:t>
      </w:r>
    </w:p>
    <w:p w14:paraId="402FAB39" w14:textId="77777777" w:rsidR="00F912A9" w:rsidRPr="00F65F57" w:rsidRDefault="00F912A9" w:rsidP="00F912A9">
      <w:pPr>
        <w:numPr>
          <w:ilvl w:val="0"/>
          <w:numId w:val="1"/>
        </w:numPr>
        <w:spacing w:after="160" w:line="360" w:lineRule="auto"/>
        <w:contextualSpacing/>
        <w:jc w:val="both"/>
        <w:rPr>
          <w:rFonts w:ascii="David" w:hAnsi="David"/>
        </w:rPr>
      </w:pPr>
      <w:r w:rsidRPr="00F65F57">
        <w:rPr>
          <w:rFonts w:ascii="David" w:hAnsi="David"/>
          <w:rtl/>
        </w:rPr>
        <w:t xml:space="preserve">בנסיבות המפורטות לעיל מתחייבת המסקנה, כי מתחם העונש ההולם לו טענה המאשימה אינו תואם את סוג ההפרות בהן הורשע הנאשם שבפניי, אלא הוא תואם הפרות צו פיקוח בנסיבות של התנהגות מינית ישירה, ובפרט כלפי קטינים.  מן הדוגמאות שלעיל עולה בבירור אבחנה בין רמת הענישה בהפרות הקשורות בצריכת חומרים ממכרים ובין הפרות הקשורות ישירות להתנהגות מינית.  </w:t>
      </w:r>
    </w:p>
    <w:p w14:paraId="7FC89347" w14:textId="77777777" w:rsidR="00F912A9" w:rsidRPr="00F65F57" w:rsidRDefault="00F912A9" w:rsidP="00F912A9">
      <w:pPr>
        <w:spacing w:after="160" w:line="360" w:lineRule="auto"/>
        <w:ind w:left="720"/>
        <w:contextualSpacing/>
        <w:jc w:val="both"/>
        <w:rPr>
          <w:rFonts w:ascii="David" w:hAnsi="David"/>
          <w:rtl/>
        </w:rPr>
      </w:pPr>
      <w:r w:rsidRPr="00F65F57">
        <w:rPr>
          <w:rFonts w:ascii="David" w:hAnsi="David"/>
          <w:rtl/>
        </w:rPr>
        <w:t>להפרה מסוג זה, לו מדובר במקרה בודד וחד-פעמי שהוא ברף הנמוך, לא מן הנמנע לקבוע, כי תחתית המתחם יכולה להכיל ענישה צופה פני עתיד בלבד. בשים לב לנסיבות ההפרות במקרה שבפניי ולמספר ההפרות, יש לקבוע מתחם ענישה של 2-8 חודשי מאסר בפועל.</w:t>
      </w:r>
    </w:p>
    <w:p w14:paraId="4CC7085F" w14:textId="77777777" w:rsidR="00F912A9" w:rsidRPr="00F65F57" w:rsidRDefault="00F912A9" w:rsidP="00F912A9">
      <w:pPr>
        <w:spacing w:after="160" w:line="360" w:lineRule="auto"/>
        <w:ind w:left="720"/>
        <w:contextualSpacing/>
        <w:rPr>
          <w:rFonts w:ascii="David" w:hAnsi="David"/>
          <w:rtl/>
        </w:rPr>
      </w:pPr>
    </w:p>
    <w:p w14:paraId="0A990ED7" w14:textId="77777777" w:rsidR="00F912A9" w:rsidRPr="00F65F57" w:rsidRDefault="00F912A9" w:rsidP="00F912A9">
      <w:pPr>
        <w:spacing w:after="160" w:line="360" w:lineRule="auto"/>
        <w:ind w:firstLine="360"/>
        <w:rPr>
          <w:rFonts w:ascii="David" w:hAnsi="David"/>
          <w:b/>
          <w:bCs/>
          <w:u w:val="single"/>
        </w:rPr>
      </w:pPr>
      <w:r w:rsidRPr="00F65F57">
        <w:rPr>
          <w:rFonts w:ascii="David" w:hAnsi="David"/>
          <w:b/>
          <w:bCs/>
          <w:u w:val="single"/>
          <w:rtl/>
        </w:rPr>
        <w:t>סטייה ממתחם העונש ההולם משיקולי שיקום</w:t>
      </w:r>
      <w:r w:rsidRPr="00F65F57">
        <w:rPr>
          <w:rFonts w:ascii="David" w:hAnsi="David"/>
          <w:b/>
          <w:bCs/>
          <w:u w:val="single"/>
        </w:rPr>
        <w:t>:</w:t>
      </w:r>
    </w:p>
    <w:p w14:paraId="2CDAF7EB" w14:textId="77777777" w:rsidR="00F912A9" w:rsidRPr="00F65F57" w:rsidRDefault="00F912A9" w:rsidP="00F912A9">
      <w:pPr>
        <w:numPr>
          <w:ilvl w:val="0"/>
          <w:numId w:val="1"/>
        </w:numPr>
        <w:spacing w:after="160" w:line="360" w:lineRule="auto"/>
        <w:contextualSpacing/>
        <w:jc w:val="both"/>
        <w:rPr>
          <w:rFonts w:ascii="David" w:hAnsi="David"/>
        </w:rPr>
      </w:pPr>
      <w:r w:rsidRPr="00F65F57">
        <w:rPr>
          <w:rFonts w:ascii="David" w:hAnsi="David"/>
          <w:rtl/>
        </w:rPr>
        <w:t xml:space="preserve">במקרה שבפניי מדובר במי שמביע תובנה מלאה לגבי מצב התמכרותו, מביע רצון להיגמל מסמים ואף מודע לכך שעומק התמכרותו מצריך שילוב במסגרת אינטנסיבית סגורה. בנוסף, הנאשם שבפניי בעל נזקקות טיפולית גם בתחום הנפש.  חרף הנזקקות הטיפולית, והבעת המוטיבציה והרצון העזים, הנאשם לא השתלב בטיפול בפועל וזאת בשל כך </w:t>
      </w:r>
      <w:r w:rsidRPr="00F65F57">
        <w:rPr>
          <w:rFonts w:ascii="David" w:hAnsi="David"/>
          <w:b/>
          <w:bCs/>
          <w:rtl/>
        </w:rPr>
        <w:t xml:space="preserve">שלא קיימת </w:t>
      </w:r>
      <w:r w:rsidRPr="00F65F57">
        <w:rPr>
          <w:rFonts w:ascii="David" w:hAnsi="David"/>
          <w:rtl/>
        </w:rPr>
        <w:t>מסגרת טיפולית אינטנסיבית סגורה התואמת את צרכיו של הנאשם (קרי תחלואה כפולה בצד הרשעה קודמת בעבירת מין).  מדובר בסבך שב"כ הנאשם, במסירותו הרבה ושירות המבחן במאמציו לא הצליחו להתיר ונמסר, כי מדובר במקרה חוזר שבו לא הצליחו להתיר סבך זה:  הנאשם אינו מצליח להתמיד בטיפול בתחום המיני בשל בעיית התמכרותו ואינו יכול לטפל בבעיית התמכרותו בשל קיומה של הרשעה בעבירת מין ברקע.</w:t>
      </w:r>
    </w:p>
    <w:p w14:paraId="6765B37B" w14:textId="77777777" w:rsidR="00F912A9" w:rsidRPr="00F65F57" w:rsidRDefault="00F912A9" w:rsidP="00F912A9">
      <w:pPr>
        <w:numPr>
          <w:ilvl w:val="0"/>
          <w:numId w:val="1"/>
        </w:numPr>
        <w:spacing w:after="160" w:line="360" w:lineRule="auto"/>
        <w:contextualSpacing/>
        <w:jc w:val="both"/>
        <w:rPr>
          <w:rFonts w:ascii="David" w:hAnsi="David"/>
        </w:rPr>
      </w:pPr>
      <w:r w:rsidRPr="00F65F57">
        <w:rPr>
          <w:rFonts w:ascii="David" w:hAnsi="David"/>
          <w:rtl/>
        </w:rPr>
        <w:t>חרף התסכול במצב דברים זה, בית המשפט לא יקבע באופן מלאכותי כי קיימים שיקולי שיקום המצדיקים סטייה ממתחם העונש ההולם.</w:t>
      </w:r>
    </w:p>
    <w:p w14:paraId="43A36FF7" w14:textId="77777777" w:rsidR="00F912A9" w:rsidRPr="00F65F57" w:rsidRDefault="00F912A9" w:rsidP="00F912A9">
      <w:pPr>
        <w:spacing w:after="160" w:line="360" w:lineRule="auto"/>
        <w:ind w:left="720"/>
        <w:contextualSpacing/>
        <w:jc w:val="both"/>
        <w:rPr>
          <w:rFonts w:ascii="David" w:hAnsi="David"/>
        </w:rPr>
      </w:pPr>
      <w:r w:rsidRPr="00F65F57">
        <w:rPr>
          <w:rFonts w:ascii="David" w:hAnsi="David"/>
          <w:rtl/>
        </w:rPr>
        <w:t>ב"כ הנאשם עתר לסטות ממתחם העונש ההולם משיקולי צדק. לא מצאתי כי בוססה האפשרות המשפטית לקבלת טיעון זה אך הדבר גם אינו נחוץ במקרה שבפניי, בשים לב למתחם שנקבע ולשיקולים אותם ניתן לשקול בתוך מתחם הענישה.</w:t>
      </w:r>
    </w:p>
    <w:p w14:paraId="700B415A" w14:textId="77777777" w:rsidR="00F912A9" w:rsidRPr="00F65F57" w:rsidRDefault="00F912A9" w:rsidP="00F912A9">
      <w:pPr>
        <w:spacing w:after="160" w:line="360" w:lineRule="auto"/>
        <w:ind w:left="720"/>
        <w:contextualSpacing/>
        <w:jc w:val="both"/>
        <w:rPr>
          <w:rFonts w:ascii="David" w:hAnsi="David"/>
          <w:rtl/>
        </w:rPr>
      </w:pPr>
    </w:p>
    <w:p w14:paraId="7AD705BD" w14:textId="77777777" w:rsidR="00F912A9" w:rsidRPr="00F65F57" w:rsidRDefault="00F912A9" w:rsidP="00F912A9">
      <w:pPr>
        <w:spacing w:after="160" w:line="360" w:lineRule="auto"/>
        <w:rPr>
          <w:rFonts w:ascii="David" w:hAnsi="David"/>
          <w:u w:val="single"/>
          <w:rtl/>
        </w:rPr>
      </w:pPr>
      <w:r w:rsidRPr="00F65F57">
        <w:rPr>
          <w:rFonts w:ascii="David" w:hAnsi="David"/>
          <w:b/>
          <w:bCs/>
          <w:u w:val="single"/>
          <w:rtl/>
        </w:rPr>
        <w:t>קביעת העונש המתאים בגדרי המתחם</w:t>
      </w:r>
    </w:p>
    <w:p w14:paraId="2604212B" w14:textId="77777777" w:rsidR="00F912A9" w:rsidRPr="00F65F57" w:rsidRDefault="00F912A9" w:rsidP="00F912A9">
      <w:pPr>
        <w:numPr>
          <w:ilvl w:val="0"/>
          <w:numId w:val="1"/>
        </w:numPr>
        <w:spacing w:after="160" w:line="360" w:lineRule="auto"/>
        <w:contextualSpacing/>
        <w:jc w:val="both"/>
        <w:rPr>
          <w:rFonts w:ascii="David" w:hAnsi="David"/>
          <w:rtl/>
        </w:rPr>
      </w:pPr>
      <w:r w:rsidRPr="00F65F57">
        <w:rPr>
          <w:rFonts w:ascii="David" w:hAnsi="David"/>
          <w:rtl/>
        </w:rPr>
        <w:t>בגזירת העונש המתאים לנאשם, בגדרי מתחם העונש ההולם, יתחשב בית המשפט בשיקולים כלליים ובשיקולים פרטניים, שאינם קשורים בנסיבות ביצוע העבירה. במקרה שבפניי מן הראוי לתת את הדעת לנסיבות הבאות:</w:t>
      </w:r>
    </w:p>
    <w:p w14:paraId="07792BB1" w14:textId="77777777" w:rsidR="00F912A9" w:rsidRPr="00F65F57" w:rsidRDefault="00F912A9" w:rsidP="00F912A9">
      <w:pPr>
        <w:spacing w:after="160" w:line="360" w:lineRule="auto"/>
        <w:ind w:left="720"/>
        <w:contextualSpacing/>
        <w:jc w:val="both"/>
        <w:rPr>
          <w:rFonts w:ascii="David" w:hAnsi="David"/>
          <w:rtl/>
        </w:rPr>
      </w:pPr>
    </w:p>
    <w:p w14:paraId="4E8DDA33" w14:textId="77777777" w:rsidR="00F912A9" w:rsidRPr="00F65F57" w:rsidRDefault="00F912A9" w:rsidP="00F912A9">
      <w:pPr>
        <w:spacing w:after="160" w:line="360" w:lineRule="auto"/>
        <w:ind w:left="720"/>
        <w:contextualSpacing/>
        <w:jc w:val="both"/>
        <w:rPr>
          <w:rFonts w:ascii="David" w:hAnsi="David"/>
          <w:rtl/>
        </w:rPr>
      </w:pPr>
      <w:r w:rsidRPr="00F65F57">
        <w:rPr>
          <w:rFonts w:ascii="David" w:hAnsi="David"/>
          <w:rtl/>
        </w:rPr>
        <w:t>הנאשם בן 31, מעולם לא שולב בתעסוקה באופן יציב, לחובתו עבר פלילי מכביד בתחומים רבים, הרשעה בעבירת מין משנת 2017 ומאז הורשע במספר הפרות של צו הפיקוח בגינן נדון לעונש מאסר וכן הופעלו תנאים שהוטלו עליו.</w:t>
      </w:r>
    </w:p>
    <w:p w14:paraId="32F8B982" w14:textId="77777777" w:rsidR="00F912A9" w:rsidRPr="00F65F57" w:rsidRDefault="00F912A9" w:rsidP="00F912A9">
      <w:pPr>
        <w:spacing w:after="160" w:line="360" w:lineRule="auto"/>
        <w:ind w:left="720"/>
        <w:contextualSpacing/>
        <w:jc w:val="both"/>
        <w:rPr>
          <w:rFonts w:ascii="David" w:hAnsi="David"/>
          <w:rtl/>
        </w:rPr>
      </w:pPr>
    </w:p>
    <w:p w14:paraId="0AF1880C" w14:textId="77777777" w:rsidR="00F912A9" w:rsidRPr="00F65F57" w:rsidRDefault="00F912A9" w:rsidP="00F912A9">
      <w:pPr>
        <w:spacing w:after="160" w:line="360" w:lineRule="auto"/>
        <w:ind w:left="720"/>
        <w:contextualSpacing/>
        <w:jc w:val="both"/>
        <w:rPr>
          <w:rFonts w:ascii="David" w:hAnsi="David"/>
        </w:rPr>
      </w:pPr>
      <w:r w:rsidRPr="00F65F57">
        <w:rPr>
          <w:rFonts w:ascii="David" w:hAnsi="David"/>
          <w:rtl/>
        </w:rPr>
        <w:t xml:space="preserve">הנאשם הודה במיוחס לו בכתב האישום כפי שהוא, שלא במסגרת הסדר טיעון, וחסך זמן שיפוטי יקר. </w:t>
      </w:r>
    </w:p>
    <w:p w14:paraId="6EFCE356" w14:textId="77777777" w:rsidR="00F912A9" w:rsidRPr="00F65F57" w:rsidRDefault="00F912A9" w:rsidP="00F912A9">
      <w:pPr>
        <w:spacing w:after="160" w:line="360" w:lineRule="auto"/>
        <w:ind w:left="720"/>
        <w:contextualSpacing/>
        <w:jc w:val="both"/>
        <w:rPr>
          <w:rFonts w:ascii="David" w:hAnsi="David"/>
          <w:rtl/>
        </w:rPr>
      </w:pPr>
      <w:r w:rsidRPr="00F65F57">
        <w:rPr>
          <w:rFonts w:ascii="David" w:hAnsi="David"/>
          <w:rtl/>
        </w:rPr>
        <w:t>הנאשם בעל רצון עמוק וכ</w:t>
      </w:r>
      <w:r>
        <w:rPr>
          <w:rFonts w:ascii="David" w:hAnsi="David" w:hint="cs"/>
          <w:rtl/>
        </w:rPr>
        <w:t>ן</w:t>
      </w:r>
      <w:r w:rsidRPr="00F65F57">
        <w:rPr>
          <w:rFonts w:ascii="David" w:hAnsi="David"/>
          <w:rtl/>
        </w:rPr>
        <w:t xml:space="preserve"> להשתקם, אך מסגרת טיפולית התואמת את צרכיו אינה בנמצא. ב"כ הנאשם טען בעניין והפנה טרוניה לרשויות המדינה. אין זה מתפקידו של בית משפט השלום בהליך הפלילי לעצב מדיניות סוציאלית או לבקרה. בית המשפט רשאי במסגרת ההליך הפלילי לשקול שיקולים אותם התיר המחוקק לשקול בשלב הענישה ובהתאם לאמור בפסיקה המנחה.  לענייננו ניתן להפנות לסעיפים 40יא(4), (5), (6), (8) המאפשרים לעבד את מצבו המיוחד של הנאשם בתחום הטיפולי כחלק משיקולי הענישה.</w:t>
      </w:r>
    </w:p>
    <w:p w14:paraId="76AA562C" w14:textId="77777777" w:rsidR="00F912A9" w:rsidRPr="00F65F57" w:rsidRDefault="00F912A9" w:rsidP="00F912A9">
      <w:pPr>
        <w:spacing w:after="160" w:line="360" w:lineRule="auto"/>
        <w:ind w:left="720"/>
        <w:contextualSpacing/>
        <w:jc w:val="both"/>
        <w:rPr>
          <w:rFonts w:ascii="David" w:hAnsi="David"/>
          <w:rtl/>
        </w:rPr>
      </w:pPr>
      <w:r w:rsidRPr="00F65F57">
        <w:rPr>
          <w:rFonts w:ascii="David" w:hAnsi="David"/>
          <w:rtl/>
        </w:rPr>
        <w:t>נמסר, כי בהעדר מענה טיפולי במסגרת ההליך הפלילי, יש לאפשר לנאשם למצות את אפשרויות הטיפול בו במסגרת הקהילה, באמצעות גורמי הרווחה, עם שחרורו ממאסר. טיעון זה הוא טיעון מוצדק אך קבלתו, משמעותה הטלת אחריות נכבדת על כתפי הנאשם אם לא ינצל את ההקלה בענישה לטובה.</w:t>
      </w:r>
    </w:p>
    <w:p w14:paraId="7FB8C09B" w14:textId="77777777" w:rsidR="00F912A9" w:rsidRPr="00F65F57" w:rsidRDefault="00F912A9" w:rsidP="00F912A9">
      <w:pPr>
        <w:spacing w:after="160" w:line="360" w:lineRule="auto"/>
        <w:ind w:left="720"/>
        <w:contextualSpacing/>
        <w:jc w:val="both"/>
        <w:rPr>
          <w:rFonts w:ascii="David" w:hAnsi="David"/>
          <w:rtl/>
        </w:rPr>
      </w:pPr>
    </w:p>
    <w:p w14:paraId="6DC1E66D" w14:textId="77777777" w:rsidR="00F912A9" w:rsidRPr="00F65F57" w:rsidRDefault="00F912A9" w:rsidP="00F912A9">
      <w:pPr>
        <w:spacing w:after="160" w:line="360" w:lineRule="auto"/>
        <w:rPr>
          <w:rFonts w:ascii="David" w:hAnsi="David"/>
          <w:b/>
          <w:bCs/>
          <w:u w:val="single"/>
          <w:rtl/>
        </w:rPr>
      </w:pPr>
      <w:r w:rsidRPr="00F65F57">
        <w:rPr>
          <w:rFonts w:ascii="David" w:hAnsi="David"/>
          <w:b/>
          <w:bCs/>
          <w:u w:val="single"/>
          <w:rtl/>
        </w:rPr>
        <w:t>סוף דבר:</w:t>
      </w:r>
    </w:p>
    <w:p w14:paraId="42B1E7FF" w14:textId="77777777" w:rsidR="00F912A9" w:rsidRPr="00F65F57" w:rsidRDefault="00F912A9" w:rsidP="00F912A9">
      <w:pPr>
        <w:numPr>
          <w:ilvl w:val="0"/>
          <w:numId w:val="1"/>
        </w:numPr>
        <w:spacing w:after="160" w:line="360" w:lineRule="auto"/>
        <w:contextualSpacing/>
        <w:jc w:val="both"/>
        <w:rPr>
          <w:rFonts w:ascii="David" w:hAnsi="David"/>
        </w:rPr>
      </w:pPr>
      <w:r w:rsidRPr="00F65F57">
        <w:rPr>
          <w:rFonts w:ascii="David" w:hAnsi="David"/>
          <w:rtl/>
        </w:rPr>
        <w:t>לאחר ששקלתי את מכלול השיקולים כמפורט לעיל אני מטילה על הנאשם את העונשים הבאים:</w:t>
      </w:r>
    </w:p>
    <w:p w14:paraId="3E1DF9FA" w14:textId="77777777" w:rsidR="00F912A9" w:rsidRPr="00F65F57" w:rsidRDefault="00F912A9" w:rsidP="00F912A9">
      <w:pPr>
        <w:numPr>
          <w:ilvl w:val="0"/>
          <w:numId w:val="2"/>
        </w:numPr>
        <w:spacing w:after="160" w:line="360" w:lineRule="auto"/>
        <w:contextualSpacing/>
        <w:jc w:val="both"/>
        <w:rPr>
          <w:rFonts w:ascii="David" w:hAnsi="David"/>
        </w:rPr>
      </w:pPr>
      <w:r w:rsidRPr="00F65F57">
        <w:rPr>
          <w:rFonts w:ascii="Arial" w:hAnsi="Arial"/>
          <w:rtl/>
        </w:rPr>
        <w:t>3 חודשי מאסר בפועל, בניכוי ימי מעצרו על פי רישומי שב"ס.</w:t>
      </w:r>
    </w:p>
    <w:p w14:paraId="1F0BCB95" w14:textId="77777777" w:rsidR="00F912A9" w:rsidRPr="00F65F57" w:rsidRDefault="00F912A9" w:rsidP="00F912A9">
      <w:pPr>
        <w:numPr>
          <w:ilvl w:val="0"/>
          <w:numId w:val="2"/>
        </w:numPr>
        <w:spacing w:after="160" w:line="360" w:lineRule="auto"/>
        <w:contextualSpacing/>
        <w:jc w:val="both"/>
        <w:rPr>
          <w:rFonts w:ascii="David" w:hAnsi="David"/>
        </w:rPr>
      </w:pPr>
      <w:r w:rsidRPr="00F65F57">
        <w:rPr>
          <w:rFonts w:ascii="Arial" w:hAnsi="Arial"/>
          <w:rtl/>
        </w:rPr>
        <w:t>הפעלת המאסר המו</w:t>
      </w:r>
      <w:r>
        <w:rPr>
          <w:rFonts w:ascii="Arial" w:hAnsi="Arial"/>
          <w:rtl/>
        </w:rPr>
        <w:t>תנה מת"פ 25514-09-20</w:t>
      </w:r>
      <w:r w:rsidRPr="00F65F57">
        <w:rPr>
          <w:rFonts w:ascii="Arial" w:hAnsi="Arial"/>
          <w:rtl/>
        </w:rPr>
        <w:t xml:space="preserve">, בן 30 ימים וזאת במצטבר לעונש זה. </w:t>
      </w:r>
    </w:p>
    <w:p w14:paraId="228DCBDA" w14:textId="77777777" w:rsidR="00F912A9" w:rsidRDefault="00F912A9" w:rsidP="00F912A9">
      <w:pPr>
        <w:spacing w:after="160" w:line="360" w:lineRule="auto"/>
        <w:ind w:left="720"/>
        <w:jc w:val="both"/>
        <w:rPr>
          <w:rFonts w:ascii="David" w:hAnsi="David"/>
          <w:b/>
          <w:bCs/>
          <w:u w:val="single"/>
          <w:rtl/>
        </w:rPr>
      </w:pPr>
      <w:r w:rsidRPr="00F65F57">
        <w:rPr>
          <w:rFonts w:ascii="David" w:hAnsi="David"/>
          <w:rtl/>
        </w:rPr>
        <w:t xml:space="preserve">בסה"כ ירצה הנאשם </w:t>
      </w:r>
      <w:r w:rsidRPr="00F65F57">
        <w:rPr>
          <w:rFonts w:ascii="David" w:hAnsi="David"/>
          <w:b/>
          <w:bCs/>
          <w:rtl/>
        </w:rPr>
        <w:t xml:space="preserve">4 חודשי </w:t>
      </w:r>
      <w:r w:rsidRPr="00F65F57">
        <w:rPr>
          <w:rFonts w:ascii="David" w:hAnsi="David"/>
          <w:rtl/>
        </w:rPr>
        <w:t>מאסר בפועל, בניכוי ימי מעצרו.</w:t>
      </w:r>
      <w:r>
        <w:rPr>
          <w:rFonts w:ascii="David" w:hAnsi="David" w:hint="cs"/>
          <w:rtl/>
        </w:rPr>
        <w:t xml:space="preserve"> </w:t>
      </w:r>
    </w:p>
    <w:p w14:paraId="34D230EE" w14:textId="77777777" w:rsidR="00F912A9" w:rsidRPr="00F65F57" w:rsidRDefault="00F912A9" w:rsidP="00F912A9">
      <w:pPr>
        <w:spacing w:after="160" w:line="360" w:lineRule="auto"/>
        <w:ind w:left="720"/>
        <w:jc w:val="both"/>
        <w:rPr>
          <w:rFonts w:ascii="David" w:hAnsi="David"/>
          <w:rtl/>
        </w:rPr>
      </w:pPr>
      <w:r>
        <w:rPr>
          <w:rFonts w:ascii="David" w:hAnsi="David" w:hint="cs"/>
          <w:b/>
          <w:bCs/>
          <w:u w:val="single"/>
          <w:rtl/>
        </w:rPr>
        <w:t>תשומת לב שב"ס כי הנאשם סיים לרצות את עונשו</w:t>
      </w:r>
    </w:p>
    <w:p w14:paraId="7EABDFEA" w14:textId="77777777" w:rsidR="00F912A9" w:rsidRPr="00F65F57" w:rsidRDefault="00F912A9" w:rsidP="00F912A9">
      <w:pPr>
        <w:numPr>
          <w:ilvl w:val="0"/>
          <w:numId w:val="2"/>
        </w:numPr>
        <w:spacing w:after="160" w:line="360" w:lineRule="auto"/>
        <w:contextualSpacing/>
        <w:jc w:val="both"/>
        <w:rPr>
          <w:rFonts w:ascii="David" w:hAnsi="David"/>
        </w:rPr>
      </w:pPr>
      <w:r w:rsidRPr="00F65F57">
        <w:rPr>
          <w:rFonts w:ascii="David" w:hAnsi="David"/>
          <w:rtl/>
        </w:rPr>
        <w:t xml:space="preserve">מאסר על תנאי של </w:t>
      </w:r>
      <w:r w:rsidRPr="00F65F57">
        <w:rPr>
          <w:rFonts w:ascii="David" w:hAnsi="David"/>
          <w:b/>
          <w:bCs/>
          <w:rtl/>
        </w:rPr>
        <w:t>חודש.</w:t>
      </w:r>
    </w:p>
    <w:p w14:paraId="22BA22D3" w14:textId="77777777" w:rsidR="00F912A9" w:rsidRPr="00F65F57" w:rsidRDefault="00F912A9" w:rsidP="00F912A9">
      <w:pPr>
        <w:spacing w:after="160" w:line="360" w:lineRule="auto"/>
        <w:ind w:left="1080"/>
        <w:contextualSpacing/>
        <w:jc w:val="both"/>
        <w:rPr>
          <w:rFonts w:ascii="David" w:hAnsi="David"/>
          <w:rtl/>
        </w:rPr>
      </w:pPr>
      <w:r w:rsidRPr="00F65F57">
        <w:rPr>
          <w:rFonts w:ascii="Arial" w:hAnsi="Arial"/>
          <w:rtl/>
        </w:rPr>
        <w:t xml:space="preserve">המאסר המותנה יופעל אם תוך תקופה של שנתיים מיום שחרורו, יעבור הנאשם עבירה של הפרת צו פיקוח.  </w:t>
      </w:r>
    </w:p>
    <w:p w14:paraId="59D6B438" w14:textId="77777777" w:rsidR="00F912A9" w:rsidRPr="00F912A9" w:rsidRDefault="00F912A9" w:rsidP="00F912A9">
      <w:pPr>
        <w:spacing w:line="360" w:lineRule="auto"/>
        <w:jc w:val="both"/>
        <w:rPr>
          <w:rFonts w:ascii="Calibri" w:hAnsi="Calibri"/>
          <w:rtl/>
        </w:rPr>
      </w:pPr>
    </w:p>
    <w:p w14:paraId="1CCCB1B2" w14:textId="77777777" w:rsidR="00F912A9" w:rsidRPr="00F912A9" w:rsidRDefault="00F912A9" w:rsidP="00F912A9">
      <w:pPr>
        <w:spacing w:line="360" w:lineRule="auto"/>
        <w:jc w:val="both"/>
        <w:rPr>
          <w:rFonts w:ascii="Calibri" w:hAnsi="Calibri"/>
          <w:b/>
          <w:bCs/>
          <w:u w:val="single"/>
          <w:rtl/>
        </w:rPr>
      </w:pPr>
      <w:r w:rsidRPr="00F912A9">
        <w:rPr>
          <w:rFonts w:ascii="Calibri" w:hAnsi="Calibri" w:hint="eastAsia"/>
          <w:b/>
          <w:bCs/>
          <w:u w:val="single"/>
          <w:rtl/>
        </w:rPr>
        <w:t>ניתן</w:t>
      </w:r>
      <w:r w:rsidRPr="00F912A9">
        <w:rPr>
          <w:rFonts w:ascii="Calibri" w:hAnsi="Calibri"/>
          <w:b/>
          <w:bCs/>
          <w:u w:val="single"/>
          <w:rtl/>
        </w:rPr>
        <w:t xml:space="preserve"> </w:t>
      </w:r>
      <w:r w:rsidRPr="00F912A9">
        <w:rPr>
          <w:rFonts w:ascii="Calibri" w:hAnsi="Calibri" w:hint="eastAsia"/>
          <w:b/>
          <w:bCs/>
          <w:u w:val="single"/>
          <w:rtl/>
        </w:rPr>
        <w:t>בזאת</w:t>
      </w:r>
      <w:r w:rsidRPr="00F912A9">
        <w:rPr>
          <w:rFonts w:ascii="Calibri" w:hAnsi="Calibri"/>
          <w:b/>
          <w:bCs/>
          <w:u w:val="single"/>
          <w:rtl/>
        </w:rPr>
        <w:t xml:space="preserve"> </w:t>
      </w:r>
      <w:r w:rsidRPr="00F912A9">
        <w:rPr>
          <w:rFonts w:ascii="Calibri" w:hAnsi="Calibri" w:hint="eastAsia"/>
          <w:b/>
          <w:bCs/>
          <w:u w:val="single"/>
          <w:rtl/>
        </w:rPr>
        <w:t>צו</w:t>
      </w:r>
      <w:r w:rsidRPr="00F912A9">
        <w:rPr>
          <w:rFonts w:ascii="Calibri" w:hAnsi="Calibri"/>
          <w:b/>
          <w:bCs/>
          <w:u w:val="single"/>
          <w:rtl/>
        </w:rPr>
        <w:t xml:space="preserve"> </w:t>
      </w:r>
      <w:r w:rsidRPr="00F912A9">
        <w:rPr>
          <w:rFonts w:ascii="Calibri" w:hAnsi="Calibri" w:hint="eastAsia"/>
          <w:b/>
          <w:bCs/>
          <w:u w:val="single"/>
          <w:rtl/>
        </w:rPr>
        <w:t>להשמדת</w:t>
      </w:r>
      <w:r w:rsidRPr="00F912A9">
        <w:rPr>
          <w:rFonts w:ascii="Calibri" w:hAnsi="Calibri"/>
          <w:b/>
          <w:bCs/>
          <w:u w:val="single"/>
          <w:rtl/>
        </w:rPr>
        <w:t xml:space="preserve"> </w:t>
      </w:r>
      <w:r w:rsidRPr="00F912A9">
        <w:rPr>
          <w:rFonts w:ascii="Calibri" w:hAnsi="Calibri" w:hint="eastAsia"/>
          <w:b/>
          <w:bCs/>
          <w:u w:val="single"/>
          <w:rtl/>
        </w:rPr>
        <w:t>מוצג</w:t>
      </w:r>
      <w:r w:rsidRPr="00F912A9">
        <w:rPr>
          <w:rFonts w:ascii="Calibri" w:hAnsi="Calibri"/>
          <w:b/>
          <w:bCs/>
          <w:u w:val="single"/>
          <w:rtl/>
        </w:rPr>
        <w:t xml:space="preserve"> </w:t>
      </w:r>
      <w:r w:rsidRPr="00F912A9">
        <w:rPr>
          <w:rFonts w:ascii="Calibri" w:hAnsi="Calibri" w:hint="eastAsia"/>
          <w:b/>
          <w:bCs/>
          <w:u w:val="single"/>
          <w:rtl/>
        </w:rPr>
        <w:t>הסמים</w:t>
      </w:r>
      <w:r w:rsidRPr="00F912A9">
        <w:rPr>
          <w:rFonts w:ascii="Calibri" w:hAnsi="Calibri"/>
          <w:b/>
          <w:bCs/>
          <w:u w:val="single"/>
          <w:rtl/>
        </w:rPr>
        <w:t xml:space="preserve"> </w:t>
      </w:r>
      <w:r w:rsidRPr="00F912A9">
        <w:rPr>
          <w:rFonts w:ascii="Calibri" w:hAnsi="Calibri" w:hint="eastAsia"/>
          <w:b/>
          <w:bCs/>
          <w:u w:val="single"/>
          <w:rtl/>
        </w:rPr>
        <w:t>בחלוף</w:t>
      </w:r>
      <w:r w:rsidRPr="00F912A9">
        <w:rPr>
          <w:rFonts w:ascii="Calibri" w:hAnsi="Calibri"/>
          <w:b/>
          <w:bCs/>
          <w:u w:val="single"/>
          <w:rtl/>
        </w:rPr>
        <w:t xml:space="preserve"> </w:t>
      </w:r>
      <w:r w:rsidRPr="00F912A9">
        <w:rPr>
          <w:rFonts w:ascii="Calibri" w:hAnsi="Calibri" w:hint="eastAsia"/>
          <w:b/>
          <w:bCs/>
          <w:u w:val="single"/>
          <w:rtl/>
        </w:rPr>
        <w:t>תקופת</w:t>
      </w:r>
      <w:r w:rsidRPr="00F912A9">
        <w:rPr>
          <w:rFonts w:ascii="Calibri" w:hAnsi="Calibri"/>
          <w:b/>
          <w:bCs/>
          <w:u w:val="single"/>
          <w:rtl/>
        </w:rPr>
        <w:t xml:space="preserve"> </w:t>
      </w:r>
      <w:r w:rsidRPr="00F912A9">
        <w:rPr>
          <w:rFonts w:ascii="Calibri" w:hAnsi="Calibri" w:hint="eastAsia"/>
          <w:b/>
          <w:bCs/>
          <w:u w:val="single"/>
          <w:rtl/>
        </w:rPr>
        <w:t>הערעור</w:t>
      </w:r>
      <w:r w:rsidRPr="00F912A9">
        <w:rPr>
          <w:rFonts w:ascii="Calibri" w:hAnsi="Calibri"/>
          <w:b/>
          <w:bCs/>
          <w:u w:val="single"/>
          <w:rtl/>
        </w:rPr>
        <w:t xml:space="preserve">. </w:t>
      </w:r>
    </w:p>
    <w:p w14:paraId="73C9BBF9" w14:textId="77777777" w:rsidR="00F912A9" w:rsidRPr="00F912A9" w:rsidRDefault="0011038E" w:rsidP="00F912A9">
      <w:pPr>
        <w:spacing w:line="360" w:lineRule="auto"/>
        <w:jc w:val="both"/>
        <w:rPr>
          <w:rFonts w:ascii="Calibri" w:hAnsi="Calibri"/>
          <w:b/>
          <w:bCs/>
          <w:u w:val="single"/>
          <w:rtl/>
        </w:rPr>
      </w:pPr>
      <w:r w:rsidRPr="0011038E">
        <w:rPr>
          <w:rFonts w:ascii="Calibri" w:hAnsi="Calibri"/>
          <w:b/>
          <w:bCs/>
          <w:color w:val="FFFFFF"/>
          <w:sz w:val="2"/>
          <w:szCs w:val="2"/>
          <w:u w:val="single"/>
          <w:rtl/>
        </w:rPr>
        <w:t>5129371</w:t>
      </w:r>
      <w:r w:rsidR="00F912A9" w:rsidRPr="00F912A9">
        <w:rPr>
          <w:rFonts w:ascii="Calibri" w:hAnsi="Calibri" w:hint="eastAsia"/>
          <w:b/>
          <w:bCs/>
          <w:u w:val="single"/>
          <w:rtl/>
        </w:rPr>
        <w:t>העתק</w:t>
      </w:r>
      <w:r w:rsidR="00F912A9" w:rsidRPr="00F912A9">
        <w:rPr>
          <w:rFonts w:ascii="Calibri" w:hAnsi="Calibri"/>
          <w:b/>
          <w:bCs/>
          <w:u w:val="single"/>
          <w:rtl/>
        </w:rPr>
        <w:t xml:space="preserve"> </w:t>
      </w:r>
      <w:r w:rsidR="00F912A9" w:rsidRPr="00F912A9">
        <w:rPr>
          <w:rFonts w:ascii="Calibri" w:hAnsi="Calibri" w:hint="eastAsia"/>
          <w:b/>
          <w:bCs/>
          <w:u w:val="single"/>
          <w:rtl/>
        </w:rPr>
        <w:t>גזר</w:t>
      </w:r>
      <w:r w:rsidR="00F912A9" w:rsidRPr="00F912A9">
        <w:rPr>
          <w:rFonts w:ascii="Calibri" w:hAnsi="Calibri"/>
          <w:b/>
          <w:bCs/>
          <w:u w:val="single"/>
          <w:rtl/>
        </w:rPr>
        <w:t xml:space="preserve"> </w:t>
      </w:r>
      <w:r w:rsidR="00F912A9" w:rsidRPr="00F912A9">
        <w:rPr>
          <w:rFonts w:ascii="Calibri" w:hAnsi="Calibri" w:hint="eastAsia"/>
          <w:b/>
          <w:bCs/>
          <w:u w:val="single"/>
          <w:rtl/>
        </w:rPr>
        <w:t>הדין</w:t>
      </w:r>
      <w:r w:rsidR="00F912A9" w:rsidRPr="00F912A9">
        <w:rPr>
          <w:rFonts w:ascii="Calibri" w:hAnsi="Calibri"/>
          <w:b/>
          <w:bCs/>
          <w:u w:val="single"/>
          <w:rtl/>
        </w:rPr>
        <w:t xml:space="preserve"> </w:t>
      </w:r>
      <w:r w:rsidR="00F912A9" w:rsidRPr="00F912A9">
        <w:rPr>
          <w:rFonts w:ascii="Calibri" w:hAnsi="Calibri" w:hint="eastAsia"/>
          <w:b/>
          <w:bCs/>
          <w:u w:val="single"/>
          <w:rtl/>
        </w:rPr>
        <w:t>לשירות</w:t>
      </w:r>
      <w:r w:rsidR="00F912A9" w:rsidRPr="00F912A9">
        <w:rPr>
          <w:rFonts w:ascii="Calibri" w:hAnsi="Calibri"/>
          <w:b/>
          <w:bCs/>
          <w:u w:val="single"/>
          <w:rtl/>
        </w:rPr>
        <w:t xml:space="preserve"> </w:t>
      </w:r>
      <w:r w:rsidR="00F912A9" w:rsidRPr="00F912A9">
        <w:rPr>
          <w:rFonts w:ascii="Calibri" w:hAnsi="Calibri" w:hint="eastAsia"/>
          <w:b/>
          <w:bCs/>
          <w:u w:val="single"/>
          <w:rtl/>
        </w:rPr>
        <w:t>המבחן</w:t>
      </w:r>
      <w:r w:rsidR="00F912A9" w:rsidRPr="00F912A9">
        <w:rPr>
          <w:rFonts w:ascii="Calibri" w:hAnsi="Calibri"/>
          <w:b/>
          <w:bCs/>
          <w:u w:val="single"/>
          <w:rtl/>
        </w:rPr>
        <w:t>.</w:t>
      </w:r>
    </w:p>
    <w:p w14:paraId="1D3D3625" w14:textId="77777777" w:rsidR="00F912A9" w:rsidRPr="00F912A9" w:rsidRDefault="0011038E" w:rsidP="00F912A9">
      <w:pPr>
        <w:spacing w:line="360" w:lineRule="auto"/>
        <w:jc w:val="both"/>
        <w:rPr>
          <w:rFonts w:ascii="Calibri" w:hAnsi="Calibri"/>
          <w:b/>
          <w:bCs/>
        </w:rPr>
      </w:pPr>
      <w:r w:rsidRPr="0011038E">
        <w:rPr>
          <w:rFonts w:ascii="Calibri" w:hAnsi="Calibri"/>
          <w:b/>
          <w:bCs/>
          <w:color w:val="FFFFFF"/>
          <w:sz w:val="2"/>
          <w:szCs w:val="2"/>
          <w:rtl/>
        </w:rPr>
        <w:t>54678313</w:t>
      </w:r>
      <w:r w:rsidR="00F912A9" w:rsidRPr="00F912A9">
        <w:rPr>
          <w:rFonts w:ascii="Calibri" w:hAnsi="Calibri" w:hint="eastAsia"/>
          <w:b/>
          <w:bCs/>
          <w:rtl/>
        </w:rPr>
        <w:t>זכות</w:t>
      </w:r>
      <w:r w:rsidR="00F912A9" w:rsidRPr="00F912A9">
        <w:rPr>
          <w:rFonts w:ascii="Calibri" w:hAnsi="Calibri"/>
          <w:b/>
          <w:bCs/>
          <w:rtl/>
        </w:rPr>
        <w:t xml:space="preserve"> </w:t>
      </w:r>
      <w:r w:rsidR="00F912A9" w:rsidRPr="00F912A9">
        <w:rPr>
          <w:rFonts w:ascii="Calibri" w:hAnsi="Calibri" w:hint="eastAsia"/>
          <w:b/>
          <w:bCs/>
          <w:rtl/>
        </w:rPr>
        <w:t>ערעור</w:t>
      </w:r>
      <w:r w:rsidR="00F912A9" w:rsidRPr="00F912A9">
        <w:rPr>
          <w:rFonts w:ascii="Calibri" w:hAnsi="Calibri"/>
          <w:b/>
          <w:bCs/>
          <w:rtl/>
        </w:rPr>
        <w:t xml:space="preserve"> </w:t>
      </w:r>
      <w:r w:rsidR="00F912A9" w:rsidRPr="00F912A9">
        <w:rPr>
          <w:rFonts w:ascii="Calibri" w:hAnsi="Calibri" w:hint="eastAsia"/>
          <w:b/>
          <w:bCs/>
          <w:rtl/>
        </w:rPr>
        <w:t>כחוק</w:t>
      </w:r>
      <w:r w:rsidR="00F912A9" w:rsidRPr="00F912A9">
        <w:rPr>
          <w:rFonts w:ascii="Calibri" w:hAnsi="Calibri"/>
          <w:b/>
          <w:bCs/>
          <w:rtl/>
        </w:rPr>
        <w:t>.</w:t>
      </w:r>
    </w:p>
    <w:p w14:paraId="5052F87D" w14:textId="77777777" w:rsidR="00F912A9" w:rsidRPr="000F2247" w:rsidRDefault="00F912A9" w:rsidP="00F912A9">
      <w:pPr>
        <w:rPr>
          <w:rFonts w:ascii="Arial" w:hAnsi="Arial"/>
          <w:b/>
          <w:bCs/>
          <w:sz w:val="26"/>
          <w:szCs w:val="26"/>
          <w:rtl/>
        </w:rPr>
      </w:pPr>
    </w:p>
    <w:p w14:paraId="1A13C574" w14:textId="77777777" w:rsidR="00F912A9" w:rsidRPr="000F2247" w:rsidRDefault="0011038E" w:rsidP="00F912A9">
      <w:pPr>
        <w:rPr>
          <w:rFonts w:ascii="Arial" w:hAnsi="Arial"/>
          <w:b/>
          <w:bCs/>
          <w:sz w:val="26"/>
          <w:szCs w:val="26"/>
          <w:rtl/>
        </w:rPr>
      </w:pPr>
      <w:bookmarkStart w:id="8" w:name="Nitan"/>
      <w:r>
        <w:rPr>
          <w:rFonts w:ascii="Arial" w:hAnsi="Arial"/>
          <w:b/>
          <w:bCs/>
          <w:sz w:val="26"/>
          <w:szCs w:val="26"/>
          <w:rtl/>
        </w:rPr>
        <w:t xml:space="preserve">ניתן היום,  ה' אדר ב' תשפ"ב, 08 מרץ 2022, במעמד הצדדים. </w:t>
      </w:r>
      <w:bookmarkEnd w:id="8"/>
    </w:p>
    <w:p w14:paraId="038AB827" w14:textId="77777777" w:rsidR="00F912A9" w:rsidRPr="000F2247" w:rsidRDefault="00F912A9" w:rsidP="0011038E">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7BC76ECE" w14:textId="77777777" w:rsidR="00F912A9" w:rsidRPr="000812BA" w:rsidRDefault="000812BA" w:rsidP="00F912A9">
      <w:pPr>
        <w:jc w:val="center"/>
        <w:rPr>
          <w:rFonts w:ascii="Arial" w:hAnsi="Arial"/>
          <w:b/>
          <w:bCs/>
          <w:color w:val="FFFFFF"/>
          <w:sz w:val="2"/>
          <w:szCs w:val="2"/>
          <w:rtl/>
        </w:rPr>
      </w:pPr>
      <w:r w:rsidRPr="000812BA">
        <w:rPr>
          <w:rFonts w:ascii="Arial" w:hAnsi="Arial"/>
          <w:b/>
          <w:bCs/>
          <w:color w:val="FFFFFF"/>
          <w:sz w:val="2"/>
          <w:szCs w:val="2"/>
          <w:rtl/>
        </w:rPr>
        <w:t>5129371</w:t>
      </w:r>
    </w:p>
    <w:p w14:paraId="2CF2CF58" w14:textId="77777777" w:rsidR="00F969CF" w:rsidRPr="000812BA" w:rsidRDefault="000812BA" w:rsidP="0011038E">
      <w:pPr>
        <w:keepNext/>
        <w:rPr>
          <w:rFonts w:ascii="David" w:hAnsi="David"/>
          <w:color w:val="FFFFFF"/>
          <w:sz w:val="2"/>
          <w:szCs w:val="2"/>
          <w:rtl/>
        </w:rPr>
      </w:pPr>
      <w:r w:rsidRPr="000812BA">
        <w:rPr>
          <w:rFonts w:ascii="David" w:hAnsi="David"/>
          <w:color w:val="FFFFFF"/>
          <w:sz w:val="2"/>
          <w:szCs w:val="2"/>
          <w:rtl/>
        </w:rPr>
        <w:t>54678313</w:t>
      </w:r>
    </w:p>
    <w:p w14:paraId="7A093C35" w14:textId="77777777" w:rsidR="0011038E" w:rsidRDefault="0011038E" w:rsidP="0011038E">
      <w:pPr>
        <w:rPr>
          <w:rtl/>
        </w:rPr>
      </w:pPr>
    </w:p>
    <w:p w14:paraId="4F57A3E8" w14:textId="77777777" w:rsidR="0011038E" w:rsidRDefault="0011038E" w:rsidP="0011038E">
      <w:pPr>
        <w:jc w:val="center"/>
        <w:rPr>
          <w:color w:val="0000FF"/>
          <w:u w:val="single"/>
        </w:rPr>
      </w:pPr>
      <w:hyperlink r:id="rId34" w:history="1">
        <w:r>
          <w:rPr>
            <w:color w:val="0000FF"/>
            <w:u w:val="single"/>
            <w:rtl/>
          </w:rPr>
          <w:t>בעניין עריכה ושינויים במסמכי פסיקה, חקיקה ועוד באתר נבו – הקש כאן</w:t>
        </w:r>
      </w:hyperlink>
    </w:p>
    <w:p w14:paraId="7037CF6C" w14:textId="77777777" w:rsidR="000812BA" w:rsidRPr="000812BA" w:rsidRDefault="000812BA" w:rsidP="000812BA">
      <w:pPr>
        <w:keepNext/>
        <w:rPr>
          <w:rFonts w:ascii="David" w:hAnsi="David"/>
          <w:color w:val="000000"/>
          <w:sz w:val="22"/>
          <w:szCs w:val="22"/>
          <w:rtl/>
        </w:rPr>
      </w:pPr>
    </w:p>
    <w:p w14:paraId="281D61C4" w14:textId="77777777" w:rsidR="000812BA" w:rsidRPr="000812BA" w:rsidRDefault="000812BA" w:rsidP="000812BA">
      <w:pPr>
        <w:keepNext/>
        <w:rPr>
          <w:rFonts w:ascii="David" w:hAnsi="David"/>
          <w:color w:val="000000"/>
          <w:sz w:val="22"/>
          <w:szCs w:val="22"/>
          <w:rtl/>
        </w:rPr>
      </w:pPr>
      <w:r w:rsidRPr="000812BA">
        <w:rPr>
          <w:rFonts w:ascii="David" w:hAnsi="David"/>
          <w:color w:val="000000"/>
          <w:sz w:val="22"/>
          <w:szCs w:val="22"/>
          <w:rtl/>
        </w:rPr>
        <w:t>ענת חולתא 54678313-/</w:t>
      </w:r>
    </w:p>
    <w:p w14:paraId="0A3C55AD" w14:textId="77777777" w:rsidR="0011038E" w:rsidRPr="0011038E" w:rsidRDefault="000812BA" w:rsidP="000812BA">
      <w:pPr>
        <w:rPr>
          <w:color w:val="0000FF"/>
          <w:u w:val="single"/>
        </w:rPr>
      </w:pPr>
      <w:r w:rsidRPr="000812BA">
        <w:rPr>
          <w:color w:val="000000"/>
          <w:u w:val="single"/>
          <w:rtl/>
        </w:rPr>
        <w:t>נוסח מסמך זה כפוף לשינויי ניסוח ועריכה</w:t>
      </w:r>
    </w:p>
    <w:sectPr w:rsidR="0011038E" w:rsidRPr="0011038E" w:rsidSect="000812BA">
      <w:headerReference w:type="even" r:id="rId35"/>
      <w:headerReference w:type="default" r:id="rId36"/>
      <w:footerReference w:type="even" r:id="rId37"/>
      <w:footerReference w:type="default" r:id="rId3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563CBF" w14:textId="77777777" w:rsidR="00657F2A" w:rsidRDefault="00657F2A" w:rsidP="008A743C">
      <w:r>
        <w:separator/>
      </w:r>
    </w:p>
  </w:endnote>
  <w:endnote w:type="continuationSeparator" w:id="0">
    <w:p w14:paraId="00465477" w14:textId="77777777" w:rsidR="00657F2A" w:rsidRDefault="00657F2A" w:rsidP="008A74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C60532" w14:textId="77777777" w:rsidR="000812BA" w:rsidRDefault="000812BA" w:rsidP="000812BA">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AC23DD5" w14:textId="77777777" w:rsidR="001C7284" w:rsidRPr="000812BA" w:rsidRDefault="000812BA" w:rsidP="000812BA">
    <w:pPr>
      <w:pStyle w:val="a5"/>
      <w:pBdr>
        <w:top w:val="single" w:sz="4" w:space="1" w:color="auto"/>
        <w:between w:val="single" w:sz="4" w:space="0" w:color="auto"/>
      </w:pBdr>
      <w:spacing w:after="60"/>
      <w:jc w:val="center"/>
      <w:rPr>
        <w:rFonts w:ascii="FrankRuehl" w:hAnsi="FrankRuehl" w:cs="FrankRuehl"/>
        <w:color w:val="000000"/>
      </w:rPr>
    </w:pPr>
    <w:r w:rsidRPr="000812B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C27944" w14:textId="77777777" w:rsidR="000812BA" w:rsidRDefault="000812BA" w:rsidP="000812BA">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F0A84">
      <w:rPr>
        <w:rFonts w:ascii="FrankRuehl" w:hAnsi="FrankRuehl" w:cs="FrankRuehl"/>
        <w:noProof/>
        <w:rtl/>
      </w:rPr>
      <w:t>1</w:t>
    </w:r>
    <w:r>
      <w:rPr>
        <w:rFonts w:ascii="FrankRuehl" w:hAnsi="FrankRuehl" w:cs="FrankRuehl"/>
        <w:rtl/>
      </w:rPr>
      <w:fldChar w:fldCharType="end"/>
    </w:r>
  </w:p>
  <w:p w14:paraId="68B2E8FD" w14:textId="77777777" w:rsidR="001C7284" w:rsidRPr="000812BA" w:rsidRDefault="000812BA" w:rsidP="000812BA">
    <w:pPr>
      <w:pStyle w:val="a5"/>
      <w:pBdr>
        <w:top w:val="single" w:sz="4" w:space="1" w:color="auto"/>
        <w:between w:val="single" w:sz="4" w:space="0" w:color="auto"/>
      </w:pBdr>
      <w:spacing w:after="60"/>
      <w:jc w:val="center"/>
      <w:rPr>
        <w:rFonts w:ascii="FrankRuehl" w:hAnsi="FrankRuehl" w:cs="FrankRuehl"/>
        <w:color w:val="000000"/>
      </w:rPr>
    </w:pPr>
    <w:r w:rsidRPr="000812BA">
      <w:rPr>
        <w:rFonts w:ascii="FrankRuehl" w:hAnsi="FrankRuehl" w:cs="FrankRuehl"/>
        <w:color w:val="000000"/>
      </w:rPr>
      <w:pict w14:anchorId="7C2784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D5A9BF" w14:textId="77777777" w:rsidR="00657F2A" w:rsidRDefault="00657F2A" w:rsidP="008A743C">
      <w:r>
        <w:separator/>
      </w:r>
    </w:p>
  </w:footnote>
  <w:footnote w:type="continuationSeparator" w:id="0">
    <w:p w14:paraId="6EA3AB45" w14:textId="77777777" w:rsidR="00657F2A" w:rsidRDefault="00657F2A" w:rsidP="008A74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A2824E" w14:textId="77777777" w:rsidR="0011038E" w:rsidRPr="000812BA" w:rsidRDefault="000812BA" w:rsidP="000812B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26526-09-21</w:t>
    </w:r>
    <w:r>
      <w:rPr>
        <w:rFonts w:ascii="David" w:hAnsi="David"/>
        <w:color w:val="000000"/>
        <w:sz w:val="22"/>
        <w:szCs w:val="22"/>
        <w:rtl/>
      </w:rPr>
      <w:tab/>
      <w:t xml:space="preserve"> מדינת ישראל נ' מסרשאו רדאי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C3BBBF" w14:textId="77777777" w:rsidR="0011038E" w:rsidRPr="000812BA" w:rsidRDefault="000812BA" w:rsidP="000812B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26526-09-21</w:t>
    </w:r>
    <w:r>
      <w:rPr>
        <w:rFonts w:ascii="David" w:hAnsi="David"/>
        <w:color w:val="000000"/>
        <w:sz w:val="22"/>
        <w:szCs w:val="22"/>
        <w:rtl/>
      </w:rPr>
      <w:tab/>
      <w:t xml:space="preserve"> מדינת ישראל נ' מסרשאו רדאי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F1610C"/>
    <w:multiLevelType w:val="hybridMultilevel"/>
    <w:tmpl w:val="A0CE9F4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19197C90"/>
    <w:multiLevelType w:val="hybridMultilevel"/>
    <w:tmpl w:val="4A980526"/>
    <w:lvl w:ilvl="0" w:tplc="83B40F96">
      <w:start w:val="1"/>
      <w:numFmt w:val="hebrew1"/>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16cid:durableId="354429587">
    <w:abstractNumId w:val="0"/>
  </w:num>
  <w:num w:numId="2" w16cid:durableId="1222316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912A9"/>
    <w:rsid w:val="000812BA"/>
    <w:rsid w:val="000F0A84"/>
    <w:rsid w:val="0011038E"/>
    <w:rsid w:val="001B5A3B"/>
    <w:rsid w:val="001C7284"/>
    <w:rsid w:val="003C20AA"/>
    <w:rsid w:val="004B15F2"/>
    <w:rsid w:val="00657F2A"/>
    <w:rsid w:val="007465F7"/>
    <w:rsid w:val="008A743C"/>
    <w:rsid w:val="008F2E8E"/>
    <w:rsid w:val="00A36D82"/>
    <w:rsid w:val="00A40DAB"/>
    <w:rsid w:val="00CD4E1D"/>
    <w:rsid w:val="00F912A9"/>
    <w:rsid w:val="00F969C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9F9F201"/>
  <w15:chartTrackingRefBased/>
  <w15:docId w15:val="{06AAFE6E-06D0-4697-99E6-AFF0588CA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912A9"/>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912A9"/>
    <w:pPr>
      <w:tabs>
        <w:tab w:val="center" w:pos="4153"/>
        <w:tab w:val="right" w:pos="8306"/>
      </w:tabs>
    </w:pPr>
  </w:style>
  <w:style w:type="character" w:customStyle="1" w:styleId="a4">
    <w:name w:val="כותרת עליונה תו"/>
    <w:link w:val="a3"/>
    <w:rsid w:val="00F912A9"/>
    <w:rPr>
      <w:rFonts w:ascii="Times New Roman" w:eastAsia="Times New Roman" w:hAnsi="Times New Roman" w:cs="David"/>
      <w:sz w:val="24"/>
      <w:szCs w:val="24"/>
    </w:rPr>
  </w:style>
  <w:style w:type="paragraph" w:styleId="a5">
    <w:name w:val="footer"/>
    <w:basedOn w:val="a"/>
    <w:link w:val="a6"/>
    <w:rsid w:val="00F912A9"/>
    <w:pPr>
      <w:tabs>
        <w:tab w:val="center" w:pos="4153"/>
        <w:tab w:val="right" w:pos="8306"/>
      </w:tabs>
    </w:pPr>
  </w:style>
  <w:style w:type="character" w:customStyle="1" w:styleId="a6">
    <w:name w:val="כותרת תחתונה תו"/>
    <w:link w:val="a5"/>
    <w:rsid w:val="00F912A9"/>
    <w:rPr>
      <w:rFonts w:ascii="Times New Roman" w:eastAsia="Times New Roman" w:hAnsi="Times New Roman" w:cs="David"/>
      <w:sz w:val="24"/>
      <w:szCs w:val="24"/>
    </w:rPr>
  </w:style>
  <w:style w:type="table" w:styleId="a7">
    <w:name w:val="Table Grid"/>
    <w:basedOn w:val="a1"/>
    <w:rsid w:val="00F912A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F912A9"/>
  </w:style>
  <w:style w:type="character" w:styleId="Hyperlink">
    <w:name w:val="Hyperlink"/>
    <w:rsid w:val="0011038E"/>
    <w:rPr>
      <w:color w:val="0000FF"/>
      <w:u w:val="single"/>
    </w:rPr>
  </w:style>
  <w:style w:type="character" w:styleId="FollowedHyperlink">
    <w:name w:val="FollowedHyperlink"/>
    <w:rsid w:val="000812B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90730" TargetMode="External"/><Relationship Id="rId18" Type="http://schemas.openxmlformats.org/officeDocument/2006/relationships/hyperlink" Target="http://www.nevo.co.il/case/26900796" TargetMode="External"/><Relationship Id="rId26" Type="http://schemas.openxmlformats.org/officeDocument/2006/relationships/hyperlink" Target="http://www.nevo.co.il/case/13065445" TargetMode="External"/><Relationship Id="rId39" Type="http://schemas.openxmlformats.org/officeDocument/2006/relationships/fontTable" Target="fontTable.xml"/><Relationship Id="rId21" Type="http://schemas.openxmlformats.org/officeDocument/2006/relationships/hyperlink" Target="http://www.nevo.co.il/case/18719544" TargetMode="External"/><Relationship Id="rId34" Type="http://schemas.openxmlformats.org/officeDocument/2006/relationships/hyperlink" Target="http://www.nevo.co.il/advertisements/nevo-100.doc" TargetMode="External"/><Relationship Id="rId7" Type="http://schemas.openxmlformats.org/officeDocument/2006/relationships/hyperlink" Target="http://www.nevo.co.il/law/90730" TargetMode="External"/><Relationship Id="rId12" Type="http://schemas.openxmlformats.org/officeDocument/2006/relationships/hyperlink" Target="http://www.nevo.co.il/law/90730/22.a" TargetMode="External"/><Relationship Id="rId17" Type="http://schemas.openxmlformats.org/officeDocument/2006/relationships/hyperlink" Target="http://www.nevo.co.il/case/26995680" TargetMode="External"/><Relationship Id="rId25" Type="http://schemas.openxmlformats.org/officeDocument/2006/relationships/hyperlink" Target="http://www.nevo.co.il/case/16934179" TargetMode="External"/><Relationship Id="rId33" Type="http://schemas.openxmlformats.org/officeDocument/2006/relationships/hyperlink" Target="http://www.nevo.co.il/law/90730/22.a" TargetMode="External"/><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law/4216" TargetMode="External"/><Relationship Id="rId20" Type="http://schemas.openxmlformats.org/officeDocument/2006/relationships/hyperlink" Target="http://www.nevo.co.il/case/6243424" TargetMode="External"/><Relationship Id="rId29" Type="http://schemas.openxmlformats.org/officeDocument/2006/relationships/hyperlink" Target="http://www.nevo.co.il/case/416622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7.c" TargetMode="External"/><Relationship Id="rId24" Type="http://schemas.openxmlformats.org/officeDocument/2006/relationships/hyperlink" Target="http://www.nevo.co.il/case/18747377" TargetMode="External"/><Relationship Id="rId32" Type="http://schemas.openxmlformats.org/officeDocument/2006/relationships/hyperlink" Target="http://www.nevo.co.il/case/5499679"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4216/7.c" TargetMode="External"/><Relationship Id="rId23" Type="http://schemas.openxmlformats.org/officeDocument/2006/relationships/hyperlink" Target="http://www.nevo.co.il/case/20788172" TargetMode="External"/><Relationship Id="rId28" Type="http://schemas.openxmlformats.org/officeDocument/2006/relationships/hyperlink" Target="http://www.nevo.co.il/case/4027058" TargetMode="External"/><Relationship Id="rId36" Type="http://schemas.openxmlformats.org/officeDocument/2006/relationships/header" Target="header2.xml"/><Relationship Id="rId10" Type="http://schemas.openxmlformats.org/officeDocument/2006/relationships/hyperlink" Target="http://www.nevo.co.il/law/4216/7.a" TargetMode="External"/><Relationship Id="rId19" Type="http://schemas.openxmlformats.org/officeDocument/2006/relationships/hyperlink" Target="http://www.nevo.co.il/case/18715283" TargetMode="External"/><Relationship Id="rId31" Type="http://schemas.openxmlformats.org/officeDocument/2006/relationships/hyperlink" Target="http://www.nevo.co.il/case/4235085" TargetMode="External"/><Relationship Id="rId4" Type="http://schemas.openxmlformats.org/officeDocument/2006/relationships/webSettings" Target="webSettings.xml"/><Relationship Id="rId9" Type="http://schemas.openxmlformats.org/officeDocument/2006/relationships/hyperlink" Target="http://www.nevo.co.il/law/4216" TargetMode="External"/><Relationship Id="rId14" Type="http://schemas.openxmlformats.org/officeDocument/2006/relationships/hyperlink" Target="http://www.nevo.co.il/law/4216/7.a" TargetMode="External"/><Relationship Id="rId22" Type="http://schemas.openxmlformats.org/officeDocument/2006/relationships/hyperlink" Target="http://www.nevo.co.il/case/3303723" TargetMode="External"/><Relationship Id="rId27" Type="http://schemas.openxmlformats.org/officeDocument/2006/relationships/hyperlink" Target="http://www.nevo.co.il/case/8274878" TargetMode="External"/><Relationship Id="rId30" Type="http://schemas.openxmlformats.org/officeDocument/2006/relationships/hyperlink" Target="http://www.nevo.co.il/case/4782520" TargetMode="External"/><Relationship Id="rId35" Type="http://schemas.openxmlformats.org/officeDocument/2006/relationships/header" Target="header1.xml"/><Relationship Id="rId8" Type="http://schemas.openxmlformats.org/officeDocument/2006/relationships/hyperlink" Target="http://www.nevo.co.il/law/90730/22.a"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2965</Words>
  <Characters>14828</Characters>
  <Application>Microsoft Office Word</Application>
  <DocSecurity>0</DocSecurity>
  <Lines>123</Lines>
  <Paragraphs>35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17758</CharactersWithSpaces>
  <SharedDoc>false</SharedDoc>
  <HLinks>
    <vt:vector size="168" baseType="variant">
      <vt:variant>
        <vt:i4>393283</vt:i4>
      </vt:variant>
      <vt:variant>
        <vt:i4>81</vt:i4>
      </vt:variant>
      <vt:variant>
        <vt:i4>0</vt:i4>
      </vt:variant>
      <vt:variant>
        <vt:i4>5</vt:i4>
      </vt:variant>
      <vt:variant>
        <vt:lpwstr>http://www.nevo.co.il/advertisements/nevo-100.doc</vt:lpwstr>
      </vt:variant>
      <vt:variant>
        <vt:lpwstr/>
      </vt:variant>
      <vt:variant>
        <vt:i4>327746</vt:i4>
      </vt:variant>
      <vt:variant>
        <vt:i4>78</vt:i4>
      </vt:variant>
      <vt:variant>
        <vt:i4>0</vt:i4>
      </vt:variant>
      <vt:variant>
        <vt:i4>5</vt:i4>
      </vt:variant>
      <vt:variant>
        <vt:lpwstr>http://www.nevo.co.il/law/90730/22.a</vt:lpwstr>
      </vt:variant>
      <vt:variant>
        <vt:lpwstr/>
      </vt:variant>
      <vt:variant>
        <vt:i4>3342462</vt:i4>
      </vt:variant>
      <vt:variant>
        <vt:i4>75</vt:i4>
      </vt:variant>
      <vt:variant>
        <vt:i4>0</vt:i4>
      </vt:variant>
      <vt:variant>
        <vt:i4>5</vt:i4>
      </vt:variant>
      <vt:variant>
        <vt:lpwstr>http://www.nevo.co.il/case/5499679</vt:lpwstr>
      </vt:variant>
      <vt:variant>
        <vt:lpwstr/>
      </vt:variant>
      <vt:variant>
        <vt:i4>3276923</vt:i4>
      </vt:variant>
      <vt:variant>
        <vt:i4>72</vt:i4>
      </vt:variant>
      <vt:variant>
        <vt:i4>0</vt:i4>
      </vt:variant>
      <vt:variant>
        <vt:i4>5</vt:i4>
      </vt:variant>
      <vt:variant>
        <vt:lpwstr>http://www.nevo.co.il/case/4235085</vt:lpwstr>
      </vt:variant>
      <vt:variant>
        <vt:lpwstr/>
      </vt:variant>
      <vt:variant>
        <vt:i4>3735667</vt:i4>
      </vt:variant>
      <vt:variant>
        <vt:i4>69</vt:i4>
      </vt:variant>
      <vt:variant>
        <vt:i4>0</vt:i4>
      </vt:variant>
      <vt:variant>
        <vt:i4>5</vt:i4>
      </vt:variant>
      <vt:variant>
        <vt:lpwstr>http://www.nevo.co.il/case/4782520</vt:lpwstr>
      </vt:variant>
      <vt:variant>
        <vt:lpwstr/>
      </vt:variant>
      <vt:variant>
        <vt:i4>3407985</vt:i4>
      </vt:variant>
      <vt:variant>
        <vt:i4>66</vt:i4>
      </vt:variant>
      <vt:variant>
        <vt:i4>0</vt:i4>
      </vt:variant>
      <vt:variant>
        <vt:i4>5</vt:i4>
      </vt:variant>
      <vt:variant>
        <vt:lpwstr>http://www.nevo.co.il/case/4166224</vt:lpwstr>
      </vt:variant>
      <vt:variant>
        <vt:lpwstr/>
      </vt:variant>
      <vt:variant>
        <vt:i4>4063350</vt:i4>
      </vt:variant>
      <vt:variant>
        <vt:i4>63</vt:i4>
      </vt:variant>
      <vt:variant>
        <vt:i4>0</vt:i4>
      </vt:variant>
      <vt:variant>
        <vt:i4>5</vt:i4>
      </vt:variant>
      <vt:variant>
        <vt:lpwstr>http://www.nevo.co.il/case/4027058</vt:lpwstr>
      </vt:variant>
      <vt:variant>
        <vt:lpwstr/>
      </vt:variant>
      <vt:variant>
        <vt:i4>4128885</vt:i4>
      </vt:variant>
      <vt:variant>
        <vt:i4>60</vt:i4>
      </vt:variant>
      <vt:variant>
        <vt:i4>0</vt:i4>
      </vt:variant>
      <vt:variant>
        <vt:i4>5</vt:i4>
      </vt:variant>
      <vt:variant>
        <vt:lpwstr>http://www.nevo.co.il/case/8274878</vt:lpwstr>
      </vt:variant>
      <vt:variant>
        <vt:lpwstr/>
      </vt:variant>
      <vt:variant>
        <vt:i4>3145845</vt:i4>
      </vt:variant>
      <vt:variant>
        <vt:i4>57</vt:i4>
      </vt:variant>
      <vt:variant>
        <vt:i4>0</vt:i4>
      </vt:variant>
      <vt:variant>
        <vt:i4>5</vt:i4>
      </vt:variant>
      <vt:variant>
        <vt:lpwstr>http://www.nevo.co.il/case/13065445</vt:lpwstr>
      </vt:variant>
      <vt:variant>
        <vt:lpwstr/>
      </vt:variant>
      <vt:variant>
        <vt:i4>3866736</vt:i4>
      </vt:variant>
      <vt:variant>
        <vt:i4>54</vt:i4>
      </vt:variant>
      <vt:variant>
        <vt:i4>0</vt:i4>
      </vt:variant>
      <vt:variant>
        <vt:i4>5</vt:i4>
      </vt:variant>
      <vt:variant>
        <vt:lpwstr>http://www.nevo.co.il/case/16934179</vt:lpwstr>
      </vt:variant>
      <vt:variant>
        <vt:lpwstr/>
      </vt:variant>
      <vt:variant>
        <vt:i4>3539067</vt:i4>
      </vt:variant>
      <vt:variant>
        <vt:i4>51</vt:i4>
      </vt:variant>
      <vt:variant>
        <vt:i4>0</vt:i4>
      </vt:variant>
      <vt:variant>
        <vt:i4>5</vt:i4>
      </vt:variant>
      <vt:variant>
        <vt:lpwstr>http://www.nevo.co.il/case/18747377</vt:lpwstr>
      </vt:variant>
      <vt:variant>
        <vt:lpwstr/>
      </vt:variant>
      <vt:variant>
        <vt:i4>3801213</vt:i4>
      </vt:variant>
      <vt:variant>
        <vt:i4>48</vt:i4>
      </vt:variant>
      <vt:variant>
        <vt:i4>0</vt:i4>
      </vt:variant>
      <vt:variant>
        <vt:i4>5</vt:i4>
      </vt:variant>
      <vt:variant>
        <vt:lpwstr>http://www.nevo.co.il/case/20788172</vt:lpwstr>
      </vt:variant>
      <vt:variant>
        <vt:lpwstr/>
      </vt:variant>
      <vt:variant>
        <vt:i4>3604598</vt:i4>
      </vt:variant>
      <vt:variant>
        <vt:i4>45</vt:i4>
      </vt:variant>
      <vt:variant>
        <vt:i4>0</vt:i4>
      </vt:variant>
      <vt:variant>
        <vt:i4>5</vt:i4>
      </vt:variant>
      <vt:variant>
        <vt:lpwstr>http://www.nevo.co.il/case/3303723</vt:lpwstr>
      </vt:variant>
      <vt:variant>
        <vt:lpwstr/>
      </vt:variant>
      <vt:variant>
        <vt:i4>3866744</vt:i4>
      </vt:variant>
      <vt:variant>
        <vt:i4>42</vt:i4>
      </vt:variant>
      <vt:variant>
        <vt:i4>0</vt:i4>
      </vt:variant>
      <vt:variant>
        <vt:i4>5</vt:i4>
      </vt:variant>
      <vt:variant>
        <vt:lpwstr>http://www.nevo.co.il/case/18719544</vt:lpwstr>
      </vt:variant>
      <vt:variant>
        <vt:lpwstr/>
      </vt:variant>
      <vt:variant>
        <vt:i4>3276919</vt:i4>
      </vt:variant>
      <vt:variant>
        <vt:i4>39</vt:i4>
      </vt:variant>
      <vt:variant>
        <vt:i4>0</vt:i4>
      </vt:variant>
      <vt:variant>
        <vt:i4>5</vt:i4>
      </vt:variant>
      <vt:variant>
        <vt:lpwstr>http://www.nevo.co.il/case/6243424</vt:lpwstr>
      </vt:variant>
      <vt:variant>
        <vt:lpwstr/>
      </vt:variant>
      <vt:variant>
        <vt:i4>3866751</vt:i4>
      </vt:variant>
      <vt:variant>
        <vt:i4>36</vt:i4>
      </vt:variant>
      <vt:variant>
        <vt:i4>0</vt:i4>
      </vt:variant>
      <vt:variant>
        <vt:i4>5</vt:i4>
      </vt:variant>
      <vt:variant>
        <vt:lpwstr>http://www.nevo.co.il/case/18715283</vt:lpwstr>
      </vt:variant>
      <vt:variant>
        <vt:lpwstr/>
      </vt:variant>
      <vt:variant>
        <vt:i4>3276917</vt:i4>
      </vt:variant>
      <vt:variant>
        <vt:i4>33</vt:i4>
      </vt:variant>
      <vt:variant>
        <vt:i4>0</vt:i4>
      </vt:variant>
      <vt:variant>
        <vt:i4>5</vt:i4>
      </vt:variant>
      <vt:variant>
        <vt:lpwstr>http://www.nevo.co.il/case/26900796</vt:lpwstr>
      </vt:variant>
      <vt:variant>
        <vt:lpwstr/>
      </vt:variant>
      <vt:variant>
        <vt:i4>3539069</vt:i4>
      </vt:variant>
      <vt:variant>
        <vt:i4>30</vt:i4>
      </vt:variant>
      <vt:variant>
        <vt:i4>0</vt:i4>
      </vt:variant>
      <vt:variant>
        <vt:i4>5</vt:i4>
      </vt:variant>
      <vt:variant>
        <vt:lpwstr>http://www.nevo.co.il/case/26995680</vt:lpwstr>
      </vt:variant>
      <vt:variant>
        <vt:lpwstr/>
      </vt:variant>
      <vt:variant>
        <vt:i4>8257637</vt:i4>
      </vt:variant>
      <vt:variant>
        <vt:i4>27</vt:i4>
      </vt:variant>
      <vt:variant>
        <vt:i4>0</vt:i4>
      </vt:variant>
      <vt:variant>
        <vt:i4>5</vt:i4>
      </vt:variant>
      <vt:variant>
        <vt:lpwstr>http://www.nevo.co.il/law/4216</vt:lpwstr>
      </vt:variant>
      <vt:variant>
        <vt:lpwstr/>
      </vt:variant>
      <vt:variant>
        <vt:i4>2752612</vt:i4>
      </vt:variant>
      <vt:variant>
        <vt:i4>24</vt:i4>
      </vt:variant>
      <vt:variant>
        <vt:i4>0</vt:i4>
      </vt:variant>
      <vt:variant>
        <vt:i4>5</vt:i4>
      </vt:variant>
      <vt:variant>
        <vt:lpwstr>http://www.nevo.co.il/law/4216/7.c</vt:lpwstr>
      </vt:variant>
      <vt:variant>
        <vt:lpwstr/>
      </vt:variant>
      <vt:variant>
        <vt:i4>2621540</vt:i4>
      </vt:variant>
      <vt:variant>
        <vt:i4>21</vt:i4>
      </vt:variant>
      <vt:variant>
        <vt:i4>0</vt:i4>
      </vt:variant>
      <vt:variant>
        <vt:i4>5</vt:i4>
      </vt:variant>
      <vt:variant>
        <vt:lpwstr>http://www.nevo.co.il/law/4216/7.a</vt:lpwstr>
      </vt:variant>
      <vt:variant>
        <vt:lpwstr/>
      </vt:variant>
      <vt:variant>
        <vt:i4>7929966</vt:i4>
      </vt:variant>
      <vt:variant>
        <vt:i4>18</vt:i4>
      </vt:variant>
      <vt:variant>
        <vt:i4>0</vt:i4>
      </vt:variant>
      <vt:variant>
        <vt:i4>5</vt:i4>
      </vt:variant>
      <vt:variant>
        <vt:lpwstr>http://www.nevo.co.il/law/90730</vt:lpwstr>
      </vt:variant>
      <vt:variant>
        <vt:lpwstr/>
      </vt:variant>
      <vt:variant>
        <vt:i4>327746</vt:i4>
      </vt:variant>
      <vt:variant>
        <vt:i4>15</vt:i4>
      </vt:variant>
      <vt:variant>
        <vt:i4>0</vt:i4>
      </vt:variant>
      <vt:variant>
        <vt:i4>5</vt:i4>
      </vt:variant>
      <vt:variant>
        <vt:lpwstr>http://www.nevo.co.il/law/90730/22.a</vt:lpwstr>
      </vt:variant>
      <vt:variant>
        <vt:lpwstr/>
      </vt:variant>
      <vt:variant>
        <vt:i4>2752612</vt:i4>
      </vt:variant>
      <vt:variant>
        <vt:i4>12</vt:i4>
      </vt:variant>
      <vt:variant>
        <vt:i4>0</vt:i4>
      </vt:variant>
      <vt:variant>
        <vt:i4>5</vt:i4>
      </vt:variant>
      <vt:variant>
        <vt:lpwstr>http://www.nevo.co.il/law/4216/7.c</vt:lpwstr>
      </vt:variant>
      <vt:variant>
        <vt:lpwstr/>
      </vt:variant>
      <vt:variant>
        <vt:i4>2621540</vt:i4>
      </vt:variant>
      <vt:variant>
        <vt:i4>9</vt:i4>
      </vt:variant>
      <vt:variant>
        <vt:i4>0</vt:i4>
      </vt:variant>
      <vt:variant>
        <vt:i4>5</vt:i4>
      </vt:variant>
      <vt:variant>
        <vt:lpwstr>http://www.nevo.co.il/law/4216/7.a</vt:lpwstr>
      </vt:variant>
      <vt:variant>
        <vt:lpwstr/>
      </vt:variant>
      <vt:variant>
        <vt:i4>8257637</vt:i4>
      </vt:variant>
      <vt:variant>
        <vt:i4>6</vt:i4>
      </vt:variant>
      <vt:variant>
        <vt:i4>0</vt:i4>
      </vt:variant>
      <vt:variant>
        <vt:i4>5</vt:i4>
      </vt:variant>
      <vt:variant>
        <vt:lpwstr>http://www.nevo.co.il/law/4216</vt:lpwstr>
      </vt:variant>
      <vt:variant>
        <vt:lpwstr/>
      </vt:variant>
      <vt:variant>
        <vt:i4>327746</vt:i4>
      </vt:variant>
      <vt:variant>
        <vt:i4>3</vt:i4>
      </vt:variant>
      <vt:variant>
        <vt:i4>0</vt:i4>
      </vt:variant>
      <vt:variant>
        <vt:i4>5</vt:i4>
      </vt:variant>
      <vt:variant>
        <vt:lpwstr>http://www.nevo.co.il/law/90730/22.a</vt:lpwstr>
      </vt:variant>
      <vt:variant>
        <vt:lpwstr/>
      </vt:variant>
      <vt:variant>
        <vt:i4>7929966</vt:i4>
      </vt:variant>
      <vt:variant>
        <vt:i4>0</vt:i4>
      </vt:variant>
      <vt:variant>
        <vt:i4>0</vt:i4>
      </vt:variant>
      <vt:variant>
        <vt:i4>5</vt:i4>
      </vt:variant>
      <vt:variant>
        <vt:lpwstr>http://www.nevo.co.il/law/90730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2025-04-23T01:10:00Z</dcterms:created>
  <dcterms:modified xsi:type="dcterms:W3CDTF">2025-04-23T01:10:00Z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26526</vt:lpwstr>
  </property>
  <property fmtid="{D5CDD505-2E9C-101B-9397-08002B2CF9AE}" pid="6" name="NEWPARTB">
    <vt:lpwstr>09</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מסרשאו רדאי</vt:lpwstr>
  </property>
  <property fmtid="{D5CDD505-2E9C-101B-9397-08002B2CF9AE}" pid="10" name="LAWYER">
    <vt:lpwstr>אלכס גאוסקין</vt:lpwstr>
  </property>
  <property fmtid="{D5CDD505-2E9C-101B-9397-08002B2CF9AE}" pid="11" name="JUDGE">
    <vt:lpwstr>ענת חולתא</vt:lpwstr>
  </property>
  <property fmtid="{D5CDD505-2E9C-101B-9397-08002B2CF9AE}" pid="12" name="CITY">
    <vt:lpwstr>ב"ש</vt:lpwstr>
  </property>
  <property fmtid="{D5CDD505-2E9C-101B-9397-08002B2CF9AE}" pid="13" name="DATE">
    <vt:lpwstr>20220308</vt:lpwstr>
  </property>
  <property fmtid="{D5CDD505-2E9C-101B-9397-08002B2CF9AE}" pid="14" name="TYPE_N_DATE">
    <vt:lpwstr>38020220308</vt:lpwstr>
  </property>
  <property fmtid="{D5CDD505-2E9C-101B-9397-08002B2CF9AE}" pid="15" name="WORDNUMPAGES">
    <vt:lpwstr>9</vt:lpwstr>
  </property>
  <property fmtid="{D5CDD505-2E9C-101B-9397-08002B2CF9AE}" pid="16" name="TYPE_ABS_DATE">
    <vt:lpwstr>380020220308</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26995680;26900796;18715283;6243424;18719544;3303723;20788172;18747377;16934179;13065445;8274878;4027058;4166224;4782520;4235085;5499679</vt:lpwstr>
  </property>
  <property fmtid="{D5CDD505-2E9C-101B-9397-08002B2CF9AE}" pid="36" name="LAWLISTTMP1">
    <vt:lpwstr>90730/022.a:2</vt:lpwstr>
  </property>
  <property fmtid="{D5CDD505-2E9C-101B-9397-08002B2CF9AE}" pid="37" name="LAWLISTTMP2">
    <vt:lpwstr>4216/007.a;007.c</vt:lpwstr>
  </property>
</Properties>
</file>