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3"/>
        <w:gridCol w:w="3658"/>
      </w:tblGrid>
      <w:tr w:rsidR="00834B46" w:rsidRPr="000A0509" w14:paraId="1F5D55F0" w14:textId="77777777" w:rsidTr="00876922">
        <w:trPr>
          <w:trHeight w:hRule="exact" w:val="418"/>
          <w:jc w:val="center"/>
        </w:trPr>
        <w:tc>
          <w:tcPr>
            <w:tcW w:w="8721" w:type="dxa"/>
            <w:gridSpan w:val="2"/>
          </w:tcPr>
          <w:p w14:paraId="51B81DD5" w14:textId="77777777" w:rsidR="00834B46" w:rsidRPr="000A0509" w:rsidRDefault="00834B46" w:rsidP="009C58EB">
            <w:pPr>
              <w:pStyle w:val="a3"/>
              <w:jc w:val="center"/>
              <w:rPr>
                <w:rFonts w:ascii="Tahoma" w:hAnsi="Tahoma" w:cs="Tahoma"/>
                <w:color w:val="000080"/>
                <w:rtl/>
              </w:rPr>
            </w:pPr>
            <w:bookmarkStart w:id="0" w:name="LastJudge"/>
            <w:r w:rsidRPr="000A0509">
              <w:rPr>
                <w:rFonts w:ascii="Tahoma" w:hAnsi="Tahoma" w:cs="Tahoma"/>
                <w:b/>
                <w:bCs/>
                <w:color w:val="000080"/>
                <w:rtl/>
              </w:rPr>
              <w:t>בית משפט השלום בירושלים</w:t>
            </w:r>
          </w:p>
        </w:tc>
      </w:tr>
      <w:tr w:rsidR="00834B46" w:rsidRPr="000A0509" w14:paraId="13B0596D" w14:textId="77777777" w:rsidTr="00876922">
        <w:trPr>
          <w:trHeight w:val="337"/>
          <w:jc w:val="center"/>
        </w:trPr>
        <w:tc>
          <w:tcPr>
            <w:tcW w:w="5063" w:type="dxa"/>
          </w:tcPr>
          <w:p w14:paraId="5AB69EB2" w14:textId="77777777" w:rsidR="00834B46" w:rsidRPr="000A0509" w:rsidRDefault="00834B46" w:rsidP="009C58EB">
            <w:pPr>
              <w:rPr>
                <w:rFonts w:cs="FrankRuehl"/>
                <w:sz w:val="28"/>
                <w:szCs w:val="28"/>
                <w:rtl/>
              </w:rPr>
            </w:pPr>
            <w:r w:rsidRPr="000A0509">
              <w:rPr>
                <w:rFonts w:cs="FrankRuehl"/>
                <w:sz w:val="28"/>
                <w:szCs w:val="28"/>
                <w:rtl/>
              </w:rPr>
              <w:t>ת"פ</w:t>
            </w:r>
            <w:r w:rsidRPr="000A0509">
              <w:rPr>
                <w:rFonts w:cs="FrankRuehl" w:hint="cs"/>
                <w:sz w:val="28"/>
                <w:szCs w:val="28"/>
                <w:rtl/>
              </w:rPr>
              <w:t xml:space="preserve"> </w:t>
            </w:r>
            <w:r w:rsidRPr="000A0509">
              <w:rPr>
                <w:rFonts w:cs="FrankRuehl"/>
                <w:sz w:val="28"/>
                <w:szCs w:val="28"/>
                <w:rtl/>
              </w:rPr>
              <w:t>42879-09-21</w:t>
            </w:r>
            <w:r w:rsidRPr="000A0509">
              <w:rPr>
                <w:rFonts w:cs="FrankRuehl" w:hint="cs"/>
                <w:sz w:val="28"/>
                <w:szCs w:val="28"/>
                <w:rtl/>
              </w:rPr>
              <w:t xml:space="preserve"> </w:t>
            </w:r>
            <w:r w:rsidRPr="000A0509">
              <w:rPr>
                <w:rFonts w:cs="FrankRuehl"/>
                <w:sz w:val="28"/>
                <w:szCs w:val="28"/>
                <w:rtl/>
              </w:rPr>
              <w:t>מדינת ישראל נ' דוידוב(אחר/נוסף)</w:t>
            </w:r>
          </w:p>
          <w:p w14:paraId="2AF2E995" w14:textId="77777777" w:rsidR="00834B46" w:rsidRPr="000A0509" w:rsidRDefault="00834B46" w:rsidP="009C58EB">
            <w:pPr>
              <w:pStyle w:val="a3"/>
              <w:rPr>
                <w:rFonts w:cs="FrankRuehl"/>
                <w:sz w:val="28"/>
                <w:szCs w:val="28"/>
                <w:rtl/>
              </w:rPr>
            </w:pPr>
          </w:p>
        </w:tc>
        <w:tc>
          <w:tcPr>
            <w:tcW w:w="3658" w:type="dxa"/>
          </w:tcPr>
          <w:p w14:paraId="43F7C794" w14:textId="77777777" w:rsidR="00834B46" w:rsidRPr="000A0509" w:rsidRDefault="00834B46" w:rsidP="009C58EB">
            <w:pPr>
              <w:pStyle w:val="a3"/>
              <w:jc w:val="right"/>
              <w:rPr>
                <w:rFonts w:cs="FrankRuehl"/>
                <w:sz w:val="28"/>
                <w:szCs w:val="28"/>
                <w:rtl/>
              </w:rPr>
            </w:pPr>
          </w:p>
        </w:tc>
      </w:tr>
    </w:tbl>
    <w:p w14:paraId="6F636A36" w14:textId="77777777" w:rsidR="00834B46" w:rsidRPr="000A0509" w:rsidRDefault="00834B46" w:rsidP="00834B46">
      <w:pPr>
        <w:pStyle w:val="a3"/>
        <w:rPr>
          <w:rtl/>
        </w:rPr>
      </w:pPr>
      <w:r w:rsidRPr="000A0509">
        <w:rPr>
          <w:rFonts w:hint="cs"/>
          <w:rtl/>
        </w:rPr>
        <w:t xml:space="preserve"> </w:t>
      </w:r>
    </w:p>
    <w:p w14:paraId="53EE7B9F" w14:textId="77777777" w:rsidR="00834B46" w:rsidRPr="000A0509" w:rsidRDefault="00834B46" w:rsidP="00834B46">
      <w:pPr>
        <w:rPr>
          <w:rtl/>
        </w:rPr>
      </w:pPr>
    </w:p>
    <w:p w14:paraId="7F097313" w14:textId="77777777" w:rsidR="00834B46" w:rsidRPr="000A0509" w:rsidRDefault="00834B46" w:rsidP="00834B4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34B46" w:rsidRPr="000A0509" w14:paraId="4222CFEA" w14:textId="77777777" w:rsidTr="00834B46">
        <w:trPr>
          <w:trHeight w:val="295"/>
          <w:jc w:val="center"/>
        </w:trPr>
        <w:tc>
          <w:tcPr>
            <w:tcW w:w="923" w:type="dxa"/>
            <w:tcBorders>
              <w:top w:val="nil"/>
              <w:left w:val="nil"/>
              <w:bottom w:val="nil"/>
              <w:right w:val="nil"/>
            </w:tcBorders>
            <w:shd w:val="clear" w:color="auto" w:fill="auto"/>
          </w:tcPr>
          <w:p w14:paraId="2890AAD2" w14:textId="77777777" w:rsidR="00834B46" w:rsidRPr="000A0509" w:rsidRDefault="00834B46" w:rsidP="00834B46">
            <w:pPr>
              <w:jc w:val="both"/>
              <w:rPr>
                <w:rFonts w:ascii="David" w:hAnsi="David"/>
                <w:sz w:val="26"/>
                <w:szCs w:val="26"/>
              </w:rPr>
            </w:pPr>
            <w:r w:rsidRPr="000A0509">
              <w:rPr>
                <w:rFonts w:ascii="David" w:hAnsi="David" w:hint="cs"/>
                <w:sz w:val="26"/>
                <w:szCs w:val="26"/>
                <w:rtl/>
              </w:rPr>
              <w:t>ל</w:t>
            </w:r>
            <w:r w:rsidRPr="000A050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0F60B23" w14:textId="77777777" w:rsidR="00834B46" w:rsidRPr="000A0509" w:rsidRDefault="00834B46" w:rsidP="009C58EB">
            <w:pPr>
              <w:rPr>
                <w:rFonts w:ascii="David" w:hAnsi="David"/>
                <w:b/>
                <w:bCs/>
                <w:sz w:val="26"/>
                <w:szCs w:val="26"/>
                <w:rtl/>
              </w:rPr>
            </w:pPr>
            <w:r w:rsidRPr="000A0509">
              <w:rPr>
                <w:rFonts w:ascii="David" w:hAnsi="David"/>
                <w:b/>
                <w:bCs/>
                <w:sz w:val="26"/>
                <w:szCs w:val="26"/>
                <w:rtl/>
              </w:rPr>
              <w:t>כבוד השופט  ביאלין אלעזר</w:t>
            </w:r>
          </w:p>
          <w:p w14:paraId="0A16172F" w14:textId="77777777" w:rsidR="00834B46" w:rsidRPr="000A0509" w:rsidRDefault="00834B46" w:rsidP="009C58EB">
            <w:pPr>
              <w:rPr>
                <w:rFonts w:ascii="David" w:hAnsi="David"/>
                <w:sz w:val="26"/>
                <w:szCs w:val="26"/>
                <w:rtl/>
              </w:rPr>
            </w:pPr>
          </w:p>
          <w:p w14:paraId="0C8414E8" w14:textId="77777777" w:rsidR="00834B46" w:rsidRPr="000A0509" w:rsidRDefault="00834B46" w:rsidP="00834B46">
            <w:pPr>
              <w:jc w:val="both"/>
              <w:rPr>
                <w:rFonts w:ascii="David" w:hAnsi="David"/>
                <w:sz w:val="26"/>
                <w:szCs w:val="26"/>
              </w:rPr>
            </w:pPr>
          </w:p>
        </w:tc>
      </w:tr>
      <w:tr w:rsidR="00834B46" w:rsidRPr="000A0509" w14:paraId="513326A2" w14:textId="77777777" w:rsidTr="00834B46">
        <w:trPr>
          <w:trHeight w:val="355"/>
          <w:jc w:val="center"/>
        </w:trPr>
        <w:tc>
          <w:tcPr>
            <w:tcW w:w="923" w:type="dxa"/>
            <w:tcBorders>
              <w:top w:val="nil"/>
              <w:left w:val="nil"/>
              <w:bottom w:val="nil"/>
              <w:right w:val="nil"/>
            </w:tcBorders>
            <w:shd w:val="clear" w:color="auto" w:fill="auto"/>
          </w:tcPr>
          <w:p w14:paraId="4C8F105C" w14:textId="77777777" w:rsidR="00834B46" w:rsidRPr="000A0509" w:rsidRDefault="00834B46" w:rsidP="00834B46">
            <w:pPr>
              <w:jc w:val="both"/>
              <w:rPr>
                <w:rFonts w:ascii="David" w:hAnsi="David"/>
                <w:sz w:val="26"/>
                <w:szCs w:val="26"/>
              </w:rPr>
            </w:pPr>
            <w:bookmarkStart w:id="1" w:name="FirstAppellant"/>
            <w:bookmarkStart w:id="2" w:name="FirstLawyer"/>
            <w:r w:rsidRPr="000A0509">
              <w:rPr>
                <w:rFonts w:ascii="David" w:hAnsi="David"/>
                <w:sz w:val="26"/>
                <w:szCs w:val="26"/>
                <w:rtl/>
              </w:rPr>
              <w:t>בעניין:</w:t>
            </w:r>
          </w:p>
        </w:tc>
        <w:tc>
          <w:tcPr>
            <w:tcW w:w="3219" w:type="dxa"/>
            <w:tcBorders>
              <w:top w:val="nil"/>
              <w:left w:val="nil"/>
              <w:bottom w:val="nil"/>
              <w:right w:val="nil"/>
            </w:tcBorders>
            <w:shd w:val="clear" w:color="auto" w:fill="auto"/>
          </w:tcPr>
          <w:p w14:paraId="277376C9" w14:textId="77777777" w:rsidR="00834B46" w:rsidRPr="000A0509" w:rsidRDefault="00834B46" w:rsidP="00834B46">
            <w:pPr>
              <w:suppressLineNumbers/>
            </w:pPr>
            <w:r w:rsidRPr="000A0509">
              <w:rPr>
                <w:rFonts w:ascii="Arial" w:hAnsi="Arial" w:hint="cs"/>
                <w:b/>
                <w:bCs/>
                <w:sz w:val="26"/>
                <w:szCs w:val="26"/>
                <w:rtl/>
              </w:rPr>
              <w:t>ה</w:t>
            </w:r>
            <w:r w:rsidRPr="000A0509">
              <w:rPr>
                <w:rFonts w:ascii="Arial" w:hAnsi="Arial"/>
                <w:b/>
                <w:bCs/>
                <w:sz w:val="26"/>
                <w:szCs w:val="26"/>
                <w:rtl/>
              </w:rPr>
              <w:t>מאשימה</w:t>
            </w:r>
          </w:p>
          <w:p w14:paraId="13A0BCF0" w14:textId="77777777" w:rsidR="00834B46" w:rsidRPr="000A0509" w:rsidRDefault="00834B46" w:rsidP="009C58EB">
            <w:pPr>
              <w:rPr>
                <w:rFonts w:ascii="David" w:hAnsi="David"/>
                <w:sz w:val="26"/>
                <w:szCs w:val="26"/>
              </w:rPr>
            </w:pPr>
          </w:p>
        </w:tc>
        <w:tc>
          <w:tcPr>
            <w:tcW w:w="4678" w:type="dxa"/>
            <w:tcBorders>
              <w:top w:val="nil"/>
              <w:left w:val="nil"/>
              <w:bottom w:val="nil"/>
              <w:right w:val="nil"/>
            </w:tcBorders>
            <w:shd w:val="clear" w:color="auto" w:fill="auto"/>
            <w:vAlign w:val="center"/>
          </w:tcPr>
          <w:p w14:paraId="187CF458" w14:textId="77777777" w:rsidR="00834B46" w:rsidRPr="000A0509" w:rsidRDefault="00834B46" w:rsidP="00834B46">
            <w:pPr>
              <w:suppressLineNumbers/>
              <w:rPr>
                <w:rFonts w:ascii="Arial" w:hAnsi="Arial"/>
                <w:b/>
                <w:bCs/>
                <w:sz w:val="26"/>
                <w:szCs w:val="26"/>
                <w:rtl/>
              </w:rPr>
            </w:pPr>
            <w:r w:rsidRPr="000A0509">
              <w:rPr>
                <w:rFonts w:ascii="Arial" w:hAnsi="Arial"/>
                <w:b/>
                <w:bCs/>
                <w:sz w:val="26"/>
                <w:szCs w:val="26"/>
                <w:rtl/>
              </w:rPr>
              <w:t>מדינת ישראל</w:t>
            </w:r>
            <w:r w:rsidRPr="000A0509">
              <w:rPr>
                <w:rFonts w:ascii="Arial" w:hAnsi="Arial" w:hint="cs"/>
                <w:b/>
                <w:bCs/>
                <w:sz w:val="26"/>
                <w:szCs w:val="26"/>
                <w:rtl/>
              </w:rPr>
              <w:t xml:space="preserve"> </w:t>
            </w:r>
          </w:p>
          <w:p w14:paraId="0CB68D71" w14:textId="77777777" w:rsidR="00834B46" w:rsidRPr="000A0509" w:rsidRDefault="00834B46" w:rsidP="00834B46">
            <w:pPr>
              <w:suppressLineNumbers/>
              <w:rPr>
                <w:rFonts w:ascii="Arial" w:hAnsi="Arial"/>
                <w:sz w:val="26"/>
                <w:szCs w:val="26"/>
              </w:rPr>
            </w:pPr>
            <w:r w:rsidRPr="000A0509">
              <w:rPr>
                <w:rFonts w:ascii="Arial" w:hAnsi="Arial"/>
                <w:sz w:val="26"/>
                <w:szCs w:val="26"/>
                <w:rtl/>
              </w:rPr>
              <w:t>ע"י ב"כ עוה"ד</w:t>
            </w:r>
            <w:r w:rsidRPr="000A0509">
              <w:rPr>
                <w:rFonts w:ascii="Arial" w:hAnsi="Arial" w:hint="cs"/>
                <w:sz w:val="26"/>
                <w:szCs w:val="26"/>
                <w:rtl/>
              </w:rPr>
              <w:t xml:space="preserve"> דניאל לוין בוטביה</w:t>
            </w:r>
          </w:p>
          <w:p w14:paraId="525CE7BD" w14:textId="77777777" w:rsidR="00834B46" w:rsidRPr="000A0509" w:rsidRDefault="00834B46" w:rsidP="009C58EB">
            <w:pPr>
              <w:rPr>
                <w:rFonts w:ascii="Arial" w:hAnsi="Arial"/>
                <w:sz w:val="26"/>
                <w:szCs w:val="26"/>
              </w:rPr>
            </w:pPr>
          </w:p>
        </w:tc>
      </w:tr>
      <w:bookmarkEnd w:id="1"/>
      <w:bookmarkEnd w:id="2"/>
      <w:tr w:rsidR="00834B46" w:rsidRPr="000A0509" w14:paraId="289B819B" w14:textId="77777777" w:rsidTr="00834B46">
        <w:trPr>
          <w:trHeight w:val="355"/>
          <w:jc w:val="center"/>
        </w:trPr>
        <w:tc>
          <w:tcPr>
            <w:tcW w:w="923" w:type="dxa"/>
            <w:tcBorders>
              <w:top w:val="nil"/>
              <w:left w:val="nil"/>
              <w:bottom w:val="nil"/>
              <w:right w:val="nil"/>
            </w:tcBorders>
            <w:shd w:val="clear" w:color="auto" w:fill="auto"/>
          </w:tcPr>
          <w:p w14:paraId="325E010D" w14:textId="77777777" w:rsidR="00834B46" w:rsidRPr="000A0509" w:rsidRDefault="00834B46" w:rsidP="00834B46">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B5B0E49" w14:textId="77777777" w:rsidR="00834B46" w:rsidRPr="000A0509" w:rsidRDefault="00834B46" w:rsidP="00834B46">
            <w:pPr>
              <w:jc w:val="center"/>
              <w:rPr>
                <w:rFonts w:ascii="David" w:hAnsi="David"/>
                <w:b/>
                <w:bCs/>
                <w:sz w:val="26"/>
                <w:szCs w:val="26"/>
                <w:rtl/>
              </w:rPr>
            </w:pPr>
          </w:p>
          <w:p w14:paraId="4F3FFA0F" w14:textId="77777777" w:rsidR="00834B46" w:rsidRPr="000A0509" w:rsidRDefault="00834B46" w:rsidP="00834B46">
            <w:pPr>
              <w:jc w:val="center"/>
              <w:rPr>
                <w:rFonts w:ascii="David" w:hAnsi="David"/>
                <w:b/>
                <w:bCs/>
                <w:sz w:val="26"/>
                <w:szCs w:val="26"/>
                <w:rtl/>
              </w:rPr>
            </w:pPr>
            <w:r w:rsidRPr="000A0509">
              <w:rPr>
                <w:rFonts w:ascii="David" w:hAnsi="David"/>
                <w:b/>
                <w:bCs/>
                <w:sz w:val="26"/>
                <w:szCs w:val="26"/>
                <w:rtl/>
              </w:rPr>
              <w:t>נגד</w:t>
            </w:r>
          </w:p>
          <w:p w14:paraId="6468EEBC" w14:textId="77777777" w:rsidR="00834B46" w:rsidRPr="000A0509" w:rsidRDefault="00834B46" w:rsidP="00834B46">
            <w:pPr>
              <w:jc w:val="both"/>
              <w:rPr>
                <w:rFonts w:ascii="David" w:hAnsi="David"/>
                <w:sz w:val="26"/>
                <w:szCs w:val="26"/>
              </w:rPr>
            </w:pPr>
          </w:p>
        </w:tc>
      </w:tr>
      <w:tr w:rsidR="00834B46" w:rsidRPr="000A0509" w14:paraId="7996C315" w14:textId="77777777" w:rsidTr="00834B46">
        <w:trPr>
          <w:trHeight w:val="355"/>
          <w:jc w:val="center"/>
        </w:trPr>
        <w:tc>
          <w:tcPr>
            <w:tcW w:w="923" w:type="dxa"/>
            <w:tcBorders>
              <w:top w:val="nil"/>
              <w:left w:val="nil"/>
              <w:bottom w:val="nil"/>
              <w:right w:val="nil"/>
            </w:tcBorders>
            <w:shd w:val="clear" w:color="auto" w:fill="auto"/>
          </w:tcPr>
          <w:p w14:paraId="70C7F2F1" w14:textId="77777777" w:rsidR="00834B46" w:rsidRPr="000A0509" w:rsidRDefault="00834B46" w:rsidP="009C58EB">
            <w:pPr>
              <w:rPr>
                <w:rFonts w:ascii="David" w:hAnsi="David"/>
                <w:sz w:val="26"/>
                <w:szCs w:val="26"/>
                <w:rtl/>
              </w:rPr>
            </w:pPr>
          </w:p>
        </w:tc>
        <w:tc>
          <w:tcPr>
            <w:tcW w:w="3219" w:type="dxa"/>
            <w:tcBorders>
              <w:top w:val="nil"/>
              <w:left w:val="nil"/>
              <w:bottom w:val="nil"/>
              <w:right w:val="nil"/>
            </w:tcBorders>
            <w:shd w:val="clear" w:color="auto" w:fill="auto"/>
          </w:tcPr>
          <w:p w14:paraId="41C00D5F" w14:textId="77777777" w:rsidR="00834B46" w:rsidRPr="000A0509" w:rsidRDefault="00834B46" w:rsidP="009C58EB">
            <w:pPr>
              <w:rPr>
                <w:rFonts w:ascii="Arial" w:hAnsi="Arial"/>
                <w:b/>
                <w:bCs/>
                <w:sz w:val="26"/>
                <w:szCs w:val="26"/>
                <w:rtl/>
              </w:rPr>
            </w:pPr>
            <w:r w:rsidRPr="000A0509">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7FCDDF3B" w14:textId="77777777" w:rsidR="00834B46" w:rsidRPr="000A0509" w:rsidRDefault="00834B46" w:rsidP="00834B46">
            <w:pPr>
              <w:suppressLineNumbers/>
              <w:rPr>
                <w:rFonts w:ascii="Arial" w:hAnsi="Arial"/>
                <w:b/>
                <w:bCs/>
                <w:sz w:val="26"/>
                <w:szCs w:val="26"/>
                <w:rtl/>
              </w:rPr>
            </w:pPr>
            <w:r w:rsidRPr="000A0509">
              <w:rPr>
                <w:rFonts w:ascii="Arial" w:hAnsi="Arial"/>
                <w:b/>
                <w:bCs/>
                <w:sz w:val="26"/>
                <w:szCs w:val="26"/>
                <w:rtl/>
              </w:rPr>
              <w:t xml:space="preserve">דניאל דוידוב </w:t>
            </w:r>
            <w:r w:rsidRPr="000A0509">
              <w:rPr>
                <w:rFonts w:ascii="Arial" w:hAnsi="Arial" w:hint="cs"/>
                <w:b/>
                <w:bCs/>
                <w:sz w:val="26"/>
                <w:szCs w:val="26"/>
                <w:rtl/>
              </w:rPr>
              <w:t xml:space="preserve"> </w:t>
            </w:r>
          </w:p>
          <w:p w14:paraId="17F9E5F4" w14:textId="77777777" w:rsidR="00834B46" w:rsidRPr="000A0509" w:rsidRDefault="00834B46" w:rsidP="00834B46">
            <w:pPr>
              <w:suppressLineNumbers/>
            </w:pPr>
            <w:r w:rsidRPr="000A0509">
              <w:rPr>
                <w:rFonts w:ascii="Arial" w:hAnsi="Arial"/>
                <w:sz w:val="26"/>
                <w:szCs w:val="26"/>
                <w:rtl/>
              </w:rPr>
              <w:t>ע"י ב"כ עוה"ד</w:t>
            </w:r>
            <w:r w:rsidRPr="000A0509">
              <w:rPr>
                <w:rFonts w:ascii="Arial" w:hAnsi="Arial" w:hint="cs"/>
                <w:sz w:val="26"/>
                <w:szCs w:val="26"/>
                <w:rtl/>
              </w:rPr>
              <w:t xml:space="preserve"> חן הולנדר</w:t>
            </w:r>
          </w:p>
          <w:p w14:paraId="68F77D82" w14:textId="77777777" w:rsidR="00834B46" w:rsidRPr="000A0509" w:rsidRDefault="00834B46" w:rsidP="009C58EB">
            <w:pPr>
              <w:rPr>
                <w:rFonts w:ascii="David" w:hAnsi="David"/>
                <w:sz w:val="26"/>
                <w:szCs w:val="26"/>
              </w:rPr>
            </w:pPr>
          </w:p>
        </w:tc>
      </w:tr>
    </w:tbl>
    <w:p w14:paraId="27C6FB2F" w14:textId="77777777" w:rsidR="000A0509" w:rsidRPr="000A0509" w:rsidRDefault="000A0509" w:rsidP="000A0509">
      <w:pPr>
        <w:spacing w:before="120" w:after="120" w:line="240" w:lineRule="exact"/>
        <w:ind w:left="283" w:hanging="283"/>
        <w:jc w:val="both"/>
        <w:rPr>
          <w:rFonts w:ascii="FrankRuehl" w:hAnsi="FrankRuehl" w:cs="FrankRuehl"/>
          <w:rtl/>
        </w:rPr>
      </w:pPr>
    </w:p>
    <w:p w14:paraId="179F0BF9" w14:textId="77777777" w:rsidR="000A0509" w:rsidRPr="000A0509" w:rsidRDefault="000A0509" w:rsidP="000A0509">
      <w:pPr>
        <w:rPr>
          <w:sz w:val="26"/>
          <w:szCs w:val="26"/>
          <w:rtl/>
        </w:rPr>
      </w:pPr>
    </w:p>
    <w:p w14:paraId="4B9B1763" w14:textId="77777777" w:rsidR="00876922" w:rsidRPr="00876922" w:rsidRDefault="00876922" w:rsidP="00876922">
      <w:pPr>
        <w:spacing w:before="120" w:after="120" w:line="240" w:lineRule="exact"/>
        <w:ind w:left="283" w:hanging="283"/>
        <w:jc w:val="both"/>
        <w:rPr>
          <w:rFonts w:ascii="FrankRuehl" w:hAnsi="FrankRuehl" w:cs="FrankRuehl"/>
          <w:rtl/>
        </w:rPr>
      </w:pPr>
    </w:p>
    <w:p w14:paraId="17DD1931" w14:textId="77777777" w:rsidR="00A056E1" w:rsidRPr="00A056E1" w:rsidRDefault="00A056E1" w:rsidP="00A056E1">
      <w:pPr>
        <w:spacing w:before="120" w:after="120" w:line="240" w:lineRule="exact"/>
        <w:ind w:left="283" w:hanging="283"/>
        <w:jc w:val="both"/>
        <w:rPr>
          <w:rFonts w:ascii="FrankRuehl" w:hAnsi="FrankRuehl" w:cs="FrankRuehl"/>
          <w:rtl/>
        </w:rPr>
      </w:pPr>
    </w:p>
    <w:p w14:paraId="181C39AE" w14:textId="77777777" w:rsidR="000B7BA4" w:rsidRDefault="000B7BA4" w:rsidP="000B7BA4">
      <w:pPr>
        <w:rPr>
          <w:sz w:val="26"/>
          <w:szCs w:val="26"/>
          <w:rtl/>
        </w:rPr>
      </w:pPr>
      <w:bookmarkStart w:id="3" w:name="LawTable"/>
      <w:bookmarkEnd w:id="3"/>
    </w:p>
    <w:p w14:paraId="0DDD89A0" w14:textId="77777777" w:rsidR="000B7BA4" w:rsidRPr="000B7BA4" w:rsidRDefault="000B7BA4" w:rsidP="000B7BA4">
      <w:pPr>
        <w:spacing w:before="120" w:after="120" w:line="240" w:lineRule="exact"/>
        <w:ind w:left="283" w:hanging="283"/>
        <w:jc w:val="both"/>
        <w:rPr>
          <w:rFonts w:ascii="FrankRuehl" w:hAnsi="FrankRuehl" w:cs="FrankRuehl"/>
          <w:rtl/>
        </w:rPr>
      </w:pPr>
    </w:p>
    <w:p w14:paraId="06F5888F" w14:textId="77777777" w:rsidR="000B7BA4" w:rsidRPr="000B7BA4" w:rsidRDefault="000B7BA4" w:rsidP="000B7BA4">
      <w:pPr>
        <w:spacing w:before="120" w:after="120" w:line="240" w:lineRule="exact"/>
        <w:ind w:left="283" w:hanging="283"/>
        <w:jc w:val="both"/>
        <w:rPr>
          <w:rFonts w:ascii="FrankRuehl" w:hAnsi="FrankRuehl" w:cs="FrankRuehl"/>
          <w:rtl/>
        </w:rPr>
      </w:pPr>
    </w:p>
    <w:p w14:paraId="148489BA" w14:textId="77777777" w:rsidR="000B7BA4" w:rsidRPr="000B7BA4" w:rsidRDefault="000B7BA4" w:rsidP="000B7BA4">
      <w:pPr>
        <w:spacing w:before="120" w:after="120" w:line="240" w:lineRule="exact"/>
        <w:ind w:left="283" w:hanging="283"/>
        <w:jc w:val="both"/>
        <w:rPr>
          <w:rFonts w:ascii="FrankRuehl" w:hAnsi="FrankRuehl" w:cs="FrankRuehl"/>
          <w:rtl/>
        </w:rPr>
      </w:pPr>
      <w:r w:rsidRPr="000B7BA4">
        <w:rPr>
          <w:rFonts w:ascii="FrankRuehl" w:hAnsi="FrankRuehl" w:cs="FrankRuehl"/>
          <w:rtl/>
        </w:rPr>
        <w:t xml:space="preserve">חקיקה שאוזכרה: </w:t>
      </w:r>
    </w:p>
    <w:p w14:paraId="3BA46BC1" w14:textId="77777777" w:rsidR="000B7BA4" w:rsidRPr="000B7BA4" w:rsidRDefault="000B7BA4" w:rsidP="000B7BA4">
      <w:pPr>
        <w:spacing w:before="120" w:after="120" w:line="240" w:lineRule="exact"/>
        <w:ind w:left="283" w:hanging="283"/>
        <w:jc w:val="both"/>
        <w:rPr>
          <w:rFonts w:ascii="FrankRuehl" w:hAnsi="FrankRuehl" w:cs="FrankRuehl"/>
          <w:rtl/>
        </w:rPr>
      </w:pPr>
      <w:hyperlink r:id="rId7" w:history="1">
        <w:r w:rsidRPr="000B7BA4">
          <w:rPr>
            <w:rFonts w:ascii="FrankRuehl" w:hAnsi="FrankRuehl" w:cs="FrankRuehl"/>
            <w:color w:val="0000FF"/>
            <w:rtl/>
          </w:rPr>
          <w:t>פקודת הסמים המסוכנים [נוסח חדש], תשל"ג-1973</w:t>
        </w:r>
      </w:hyperlink>
      <w:r w:rsidRPr="000B7BA4">
        <w:rPr>
          <w:rFonts w:ascii="FrankRuehl" w:hAnsi="FrankRuehl" w:cs="FrankRuehl"/>
          <w:rtl/>
        </w:rPr>
        <w:t xml:space="preserve">: סע'  </w:t>
      </w:r>
      <w:hyperlink r:id="rId8" w:history="1">
        <w:r w:rsidRPr="000B7BA4">
          <w:rPr>
            <w:rFonts w:ascii="FrankRuehl" w:hAnsi="FrankRuehl" w:cs="FrankRuehl"/>
            <w:color w:val="0000FF"/>
            <w:rtl/>
          </w:rPr>
          <w:t>13</w:t>
        </w:r>
      </w:hyperlink>
      <w:r w:rsidRPr="000B7BA4">
        <w:rPr>
          <w:rFonts w:ascii="FrankRuehl" w:hAnsi="FrankRuehl" w:cs="FrankRuehl"/>
          <w:rtl/>
        </w:rPr>
        <w:t xml:space="preserve">, </w:t>
      </w:r>
      <w:hyperlink r:id="rId9" w:history="1">
        <w:r w:rsidRPr="000B7BA4">
          <w:rPr>
            <w:rFonts w:ascii="FrankRuehl" w:hAnsi="FrankRuehl" w:cs="FrankRuehl"/>
            <w:color w:val="0000FF"/>
            <w:rtl/>
          </w:rPr>
          <w:t>19א</w:t>
        </w:r>
      </w:hyperlink>
    </w:p>
    <w:p w14:paraId="2DC69405" w14:textId="77777777" w:rsidR="000B7BA4" w:rsidRPr="000B7BA4" w:rsidRDefault="000B7BA4" w:rsidP="000B7BA4">
      <w:pPr>
        <w:rPr>
          <w:sz w:val="26"/>
          <w:szCs w:val="26"/>
          <w:rtl/>
        </w:rPr>
      </w:pPr>
      <w:bookmarkStart w:id="4" w:name="LawTable_End"/>
      <w:bookmarkEnd w:id="4"/>
    </w:p>
    <w:p w14:paraId="3629538B" w14:textId="77777777" w:rsidR="00834B46" w:rsidRPr="00A056E1" w:rsidRDefault="00834B46" w:rsidP="00A056E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34B46" w14:paraId="0A610483" w14:textId="77777777" w:rsidTr="00834B46">
        <w:trPr>
          <w:trHeight w:val="355"/>
          <w:jc w:val="center"/>
        </w:trPr>
        <w:tc>
          <w:tcPr>
            <w:tcW w:w="8820" w:type="dxa"/>
            <w:tcBorders>
              <w:top w:val="nil"/>
              <w:left w:val="nil"/>
              <w:bottom w:val="nil"/>
              <w:right w:val="nil"/>
            </w:tcBorders>
            <w:shd w:val="clear" w:color="auto" w:fill="auto"/>
          </w:tcPr>
          <w:p w14:paraId="6A76B929" w14:textId="77777777" w:rsidR="000A0509" w:rsidRPr="000A0509" w:rsidRDefault="000A0509" w:rsidP="000A0509">
            <w:pPr>
              <w:jc w:val="center"/>
              <w:rPr>
                <w:rFonts w:ascii="David" w:hAnsi="David"/>
                <w:b/>
                <w:bCs/>
                <w:sz w:val="32"/>
                <w:szCs w:val="32"/>
                <w:u w:val="single"/>
                <w:rtl/>
              </w:rPr>
            </w:pPr>
            <w:bookmarkStart w:id="5" w:name="PsakDin" w:colFirst="0" w:colLast="0"/>
            <w:bookmarkEnd w:id="0"/>
            <w:r w:rsidRPr="000A0509">
              <w:rPr>
                <w:rFonts w:ascii="David" w:hAnsi="David"/>
                <w:b/>
                <w:bCs/>
                <w:sz w:val="32"/>
                <w:szCs w:val="32"/>
                <w:u w:val="single"/>
                <w:rtl/>
              </w:rPr>
              <w:t>גזר דין</w:t>
            </w:r>
          </w:p>
          <w:p w14:paraId="67AA468A" w14:textId="77777777" w:rsidR="00834B46" w:rsidRPr="000A0509" w:rsidRDefault="00834B46" w:rsidP="000A0509">
            <w:pPr>
              <w:jc w:val="center"/>
              <w:rPr>
                <w:rFonts w:ascii="David" w:hAnsi="David"/>
                <w:bCs/>
                <w:sz w:val="32"/>
                <w:szCs w:val="32"/>
                <w:u w:val="single"/>
                <w:rtl/>
              </w:rPr>
            </w:pPr>
          </w:p>
        </w:tc>
      </w:tr>
      <w:bookmarkEnd w:id="5"/>
    </w:tbl>
    <w:p w14:paraId="46F6CA0A" w14:textId="77777777" w:rsidR="00834B46" w:rsidRDefault="00834B46" w:rsidP="00834B46">
      <w:pPr>
        <w:jc w:val="both"/>
        <w:rPr>
          <w:rFonts w:ascii="David" w:hAnsi="David"/>
          <w:b/>
          <w:bCs/>
          <w:u w:val="single"/>
        </w:rPr>
      </w:pPr>
    </w:p>
    <w:p w14:paraId="04B1C12C" w14:textId="77777777" w:rsidR="00834B46" w:rsidRDefault="00834B46" w:rsidP="00834B46">
      <w:pPr>
        <w:jc w:val="both"/>
        <w:rPr>
          <w:rFonts w:ascii="David" w:hAnsi="David"/>
          <w:b/>
          <w:bCs/>
          <w:u w:val="single"/>
          <w:rtl/>
        </w:rPr>
      </w:pPr>
      <w:r>
        <w:rPr>
          <w:rFonts w:ascii="David" w:hAnsi="David"/>
          <w:b/>
          <w:bCs/>
          <w:u w:val="single"/>
          <w:rtl/>
        </w:rPr>
        <w:t>כתב האישום והסדר הטיעון</w:t>
      </w:r>
    </w:p>
    <w:p w14:paraId="324C58CD" w14:textId="77777777" w:rsidR="00834B46" w:rsidRDefault="00834B46" w:rsidP="00834B46">
      <w:pPr>
        <w:jc w:val="both"/>
        <w:rPr>
          <w:rFonts w:ascii="David" w:hAnsi="David"/>
          <w:b/>
          <w:bCs/>
          <w:u w:val="single"/>
          <w:rtl/>
        </w:rPr>
      </w:pPr>
    </w:p>
    <w:p w14:paraId="35F78392" w14:textId="77777777" w:rsidR="00834B46" w:rsidRDefault="00834B46" w:rsidP="00834B46">
      <w:pPr>
        <w:pStyle w:val="Ruller40"/>
        <w:numPr>
          <w:ilvl w:val="0"/>
          <w:numId w:val="1"/>
        </w:numPr>
        <w:tabs>
          <w:tab w:val="num" w:pos="907"/>
        </w:tabs>
        <w:ind w:left="0" w:firstLine="0"/>
        <w:rPr>
          <w:rFonts w:ascii="David" w:hAnsi="David" w:cs="David"/>
          <w:szCs w:val="24"/>
          <w:rtl/>
        </w:rPr>
      </w:pPr>
      <w:bookmarkStart w:id="6" w:name="ABSTRACT_START"/>
      <w:bookmarkEnd w:id="6"/>
      <w:r>
        <w:rPr>
          <w:rFonts w:ascii="David" w:hAnsi="David" w:cs="David"/>
          <w:szCs w:val="24"/>
          <w:rtl/>
        </w:rPr>
        <w:t xml:space="preserve">הנאשם הורשע על פי הודאתו במסגרת הסדר טיעון בכתב אישום מתוקן, האוחז בשני אישומים, בביצוע שתי עבירות של </w:t>
      </w:r>
      <w:r>
        <w:rPr>
          <w:rFonts w:ascii="David" w:hAnsi="David" w:cs="David"/>
          <w:b/>
          <w:bCs/>
          <w:szCs w:val="24"/>
          <w:rtl/>
        </w:rPr>
        <w:t>סחר בסמים</w:t>
      </w:r>
      <w:r>
        <w:rPr>
          <w:rFonts w:ascii="David" w:hAnsi="David" w:cs="David"/>
          <w:szCs w:val="24"/>
          <w:rtl/>
        </w:rPr>
        <w:t xml:space="preserve"> לפי </w:t>
      </w:r>
      <w:hyperlink r:id="rId10" w:history="1">
        <w:r w:rsidR="00876922" w:rsidRPr="00876922">
          <w:rPr>
            <w:rStyle w:val="Hyperlink"/>
            <w:rFonts w:ascii="David" w:hAnsi="David" w:cs="David"/>
            <w:szCs w:val="24"/>
            <w:rtl/>
          </w:rPr>
          <w:t>סעיף 13</w:t>
        </w:r>
      </w:hyperlink>
      <w:r>
        <w:rPr>
          <w:rFonts w:ascii="David" w:hAnsi="David" w:cs="David"/>
          <w:szCs w:val="24"/>
          <w:rtl/>
        </w:rPr>
        <w:t xml:space="preserve"> בצירוף סעיף </w:t>
      </w:r>
      <w:hyperlink r:id="rId11" w:history="1">
        <w:r w:rsidR="00876922" w:rsidRPr="00876922">
          <w:rPr>
            <w:rStyle w:val="Hyperlink"/>
            <w:rFonts w:ascii="David" w:hAnsi="David" w:cs="David"/>
            <w:szCs w:val="24"/>
            <w:rtl/>
          </w:rPr>
          <w:t>19א</w:t>
        </w:r>
      </w:hyperlink>
      <w:r>
        <w:rPr>
          <w:rFonts w:ascii="David" w:hAnsi="David" w:cs="David"/>
          <w:szCs w:val="24"/>
          <w:rtl/>
        </w:rPr>
        <w:t xml:space="preserve"> ל</w:t>
      </w:r>
      <w:hyperlink r:id="rId12" w:history="1">
        <w:r w:rsidR="000A0509" w:rsidRPr="000A0509">
          <w:rPr>
            <w:rFonts w:ascii="David" w:hAnsi="David" w:cs="David"/>
            <w:color w:val="0000FF"/>
            <w:szCs w:val="24"/>
            <w:u w:val="single"/>
            <w:rtl/>
          </w:rPr>
          <w:t>פקודת הסמים המסוכנים</w:t>
        </w:r>
      </w:hyperlink>
      <w:r>
        <w:rPr>
          <w:rFonts w:ascii="David" w:hAnsi="David" w:cs="David"/>
          <w:szCs w:val="24"/>
          <w:rtl/>
        </w:rPr>
        <w:t xml:space="preserve"> (נוסח חדש) תשל"ג- 1973 (להלן: "</w:t>
      </w:r>
      <w:r>
        <w:rPr>
          <w:rFonts w:ascii="David" w:hAnsi="David" w:cs="David"/>
          <w:b/>
          <w:bCs/>
          <w:szCs w:val="24"/>
          <w:rtl/>
        </w:rPr>
        <w:t>הפקודה</w:t>
      </w:r>
      <w:r>
        <w:rPr>
          <w:rFonts w:ascii="David" w:hAnsi="David" w:cs="David"/>
          <w:szCs w:val="24"/>
          <w:rtl/>
        </w:rPr>
        <w:t xml:space="preserve">"). </w:t>
      </w:r>
    </w:p>
    <w:p w14:paraId="737F3C5F" w14:textId="77777777" w:rsidR="00834B46" w:rsidRDefault="00834B46" w:rsidP="00834B46">
      <w:pPr>
        <w:rPr>
          <w:rFonts w:ascii="David" w:hAnsi="David"/>
          <w:rtl/>
        </w:rPr>
      </w:pPr>
      <w:bookmarkStart w:id="7" w:name="ABSTRACT_END"/>
      <w:bookmarkEnd w:id="7"/>
    </w:p>
    <w:p w14:paraId="733BFB86"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בתמצית יצוין, כי ההסדר בין הצדדים כלל הסכמות רק לעניין תיקון כתב האישום, כך שמכתב האישום המקורי נמחק האישום הראשון והנאשם הודה באישום השני והשלישי (למען הסדר הטוב אישומים אלה – יכונו האישום הראשון ושני). כמו כן, </w:t>
      </w:r>
      <w:r>
        <w:rPr>
          <w:rFonts w:ascii="David" w:hAnsi="David" w:cs="David"/>
          <w:szCs w:val="24"/>
          <w:rtl/>
        </w:rPr>
        <w:lastRenderedPageBreak/>
        <w:t xml:space="preserve">במסגרת ההסדר הופנה הנאשם לקבל תסקיר לעניין העונש. יודגש כי ההסדר בין הצדדים לא כלל הסכמה לעניין העונש. </w:t>
      </w:r>
    </w:p>
    <w:p w14:paraId="5F2D3CFD" w14:textId="77777777" w:rsidR="00834B46" w:rsidRDefault="00834B46" w:rsidP="00834B46">
      <w:pPr>
        <w:jc w:val="both"/>
        <w:rPr>
          <w:rFonts w:ascii="David" w:hAnsi="David"/>
          <w:b/>
          <w:bCs/>
          <w:u w:val="single"/>
          <w:rtl/>
        </w:rPr>
      </w:pPr>
    </w:p>
    <w:p w14:paraId="658992BF"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מעובדות כתב האישום המתוקן בו הורשע הנאשם, עולה כי במועדים הרלוונטיים לכתב האישום, הופעל השוטר ג'רמי דיין כסוכן משטרתי (להלן: "</w:t>
      </w:r>
      <w:r>
        <w:rPr>
          <w:rFonts w:ascii="David" w:hAnsi="David" w:cs="David"/>
          <w:b/>
          <w:bCs/>
          <w:szCs w:val="24"/>
          <w:rtl/>
        </w:rPr>
        <w:t>הסוכן</w:t>
      </w:r>
      <w:r>
        <w:rPr>
          <w:rFonts w:ascii="David" w:hAnsi="David" w:cs="David"/>
          <w:szCs w:val="24"/>
          <w:rtl/>
        </w:rPr>
        <w:t xml:space="preserve">"), לשם מיגור תופעת הסחר בסמים מסוכנים והפצתם. </w:t>
      </w:r>
    </w:p>
    <w:p w14:paraId="69CF853F" w14:textId="77777777" w:rsidR="00834B46" w:rsidRDefault="00834B46" w:rsidP="00834B46">
      <w:pPr>
        <w:rPr>
          <w:rFonts w:ascii="David" w:hAnsi="David"/>
          <w:rtl/>
        </w:rPr>
      </w:pPr>
    </w:p>
    <w:p w14:paraId="5937B640"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מעובדות </w:t>
      </w:r>
      <w:r>
        <w:rPr>
          <w:rFonts w:ascii="David" w:hAnsi="David" w:cs="David"/>
          <w:b/>
          <w:bCs/>
          <w:szCs w:val="24"/>
          <w:rtl/>
        </w:rPr>
        <w:t>האישום הראשון</w:t>
      </w:r>
      <w:r>
        <w:rPr>
          <w:rFonts w:ascii="David" w:hAnsi="David" w:cs="David"/>
          <w:szCs w:val="24"/>
          <w:rtl/>
        </w:rPr>
        <w:t xml:space="preserve"> בו הורשע הנאשם, עולה כי ביום 31.8.21 בשעה 17:36 לערך, ביקש הסוכן לרכוש חמישה כדורי סם מסוכן מסוג </w:t>
      </w:r>
      <w:r>
        <w:rPr>
          <w:rFonts w:ascii="David" w:hAnsi="David" w:cs="David"/>
          <w:szCs w:val="24"/>
        </w:rPr>
        <w:t>MDMA</w:t>
      </w:r>
      <w:r>
        <w:rPr>
          <w:rFonts w:ascii="David" w:hAnsi="David" w:cs="David"/>
          <w:szCs w:val="24"/>
          <w:rtl/>
        </w:rPr>
        <w:t xml:space="preserve"> באמצעות היישומון "טלגראם". בקשתו של הסוכן הועברה לנאשם באמצעות היישומון יחד עם הכתובת המבוקשת למשלוח הסם בכיכר הדווידקה בירושלים. בהמשך למתואר, </w:t>
      </w:r>
      <w:r>
        <w:rPr>
          <w:rFonts w:ascii="David" w:hAnsi="David" w:cs="David"/>
          <w:szCs w:val="24"/>
          <w:u w:val="single"/>
          <w:rtl/>
        </w:rPr>
        <w:t>התקשר הנאשם לסוכן</w:t>
      </w:r>
      <w:r>
        <w:rPr>
          <w:rFonts w:ascii="David" w:hAnsi="David" w:cs="David"/>
          <w:szCs w:val="24"/>
          <w:rtl/>
        </w:rPr>
        <w:t xml:space="preserve"> על מנת לתאם את ביצוע העסקה ולעדכנו כי הוא בדרכו למקום. בסמוך לשעה 17:51 נפגשו הנאשם והסוכן במקום. בשלב זה, העביר הנאשם לסוכן 5 כדורי סם מסוג </w:t>
      </w:r>
      <w:r>
        <w:rPr>
          <w:rFonts w:ascii="David" w:hAnsi="David" w:cs="David"/>
          <w:szCs w:val="24"/>
        </w:rPr>
        <w:t>MDMA</w:t>
      </w:r>
      <w:r>
        <w:rPr>
          <w:rFonts w:ascii="David" w:hAnsi="David" w:cs="David"/>
          <w:szCs w:val="24"/>
          <w:rtl/>
        </w:rPr>
        <w:t xml:space="preserve">, ובתמורה קיבל הנאשם מהסוכן 400 ₪ במזומן ועזב את המקום. </w:t>
      </w:r>
    </w:p>
    <w:p w14:paraId="49579276" w14:textId="77777777" w:rsidR="00834B46" w:rsidRDefault="00834B46" w:rsidP="00834B46">
      <w:pPr>
        <w:rPr>
          <w:rFonts w:ascii="David" w:hAnsi="David"/>
          <w:rtl/>
        </w:rPr>
      </w:pPr>
    </w:p>
    <w:p w14:paraId="3F9A9135"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ab/>
        <w:t xml:space="preserve">מעובדות </w:t>
      </w:r>
      <w:r>
        <w:rPr>
          <w:rFonts w:ascii="David" w:hAnsi="David" w:cs="David"/>
          <w:b/>
          <w:bCs/>
          <w:szCs w:val="24"/>
          <w:rtl/>
        </w:rPr>
        <w:t>האישום השני</w:t>
      </w:r>
      <w:r>
        <w:rPr>
          <w:rFonts w:ascii="David" w:hAnsi="David" w:cs="David"/>
          <w:szCs w:val="24"/>
          <w:rtl/>
        </w:rPr>
        <w:t xml:space="preserve"> בו הורשע הנאשם, עולה כי ביום 2.9.21 בשעה 14:40 לערך, ביקש הסוכן לרכוש חמישה כדורי סם מסוכן מסוג </w:t>
      </w:r>
      <w:r>
        <w:rPr>
          <w:rFonts w:ascii="David" w:hAnsi="David" w:cs="David"/>
          <w:szCs w:val="24"/>
        </w:rPr>
        <w:t>MDMA</w:t>
      </w:r>
      <w:r>
        <w:rPr>
          <w:rFonts w:ascii="David" w:hAnsi="David" w:cs="David"/>
          <w:szCs w:val="24"/>
          <w:rtl/>
        </w:rPr>
        <w:t xml:space="preserve"> באמצעות היישומון "טלגראם". בקשתו של הסוכן הועברה לנאשם באמצעות היישומון יחד עם הכתובת המבוקשת למשלוח הסם, ברחוב שמאי בירושלים. בהמשך למתואר לעיל, התקשר הנאשם לסוכן מספר פעמים על מנת לתאם את מקום ביצוע העסקה ואת שעתה ולעדכנו כי הוא בדרכו למקום. עוד עולה, כי בסמוך לשעה 22:40, נפגשו הנאשם והסוכן במפגש הרחובות שמאי-ביאנקיני. בשלב זה, העביר הנאשם לסוכן 5 כדורי סם מסוכן מסוג </w:t>
      </w:r>
      <w:r>
        <w:rPr>
          <w:rFonts w:ascii="David" w:hAnsi="David" w:cs="David"/>
          <w:szCs w:val="24"/>
        </w:rPr>
        <w:t>MDMA</w:t>
      </w:r>
      <w:r>
        <w:rPr>
          <w:rFonts w:ascii="David" w:hAnsi="David" w:cs="David"/>
          <w:szCs w:val="24"/>
          <w:rtl/>
        </w:rPr>
        <w:t xml:space="preserve">, ובתמורה קיבל הנאשם מהסוכן 400 ₪ במזומן ועזב את המקום. </w:t>
      </w:r>
    </w:p>
    <w:p w14:paraId="27C17E04" w14:textId="77777777" w:rsidR="00834B46" w:rsidRDefault="00834B46" w:rsidP="00834B46">
      <w:pPr>
        <w:rPr>
          <w:rFonts w:ascii="David" w:hAnsi="David"/>
          <w:rtl/>
        </w:rPr>
      </w:pPr>
    </w:p>
    <w:p w14:paraId="450C182D" w14:textId="77777777" w:rsidR="00834B46" w:rsidRDefault="00834B46" w:rsidP="00834B46">
      <w:pPr>
        <w:rPr>
          <w:rFonts w:ascii="David" w:hAnsi="David"/>
          <w:b/>
          <w:bCs/>
          <w:u w:val="single"/>
          <w:rtl/>
        </w:rPr>
      </w:pPr>
      <w:r>
        <w:rPr>
          <w:rFonts w:ascii="David" w:hAnsi="David"/>
          <w:b/>
          <w:bCs/>
          <w:u w:val="single"/>
          <w:rtl/>
        </w:rPr>
        <w:t>תסקירי שירות המבחן</w:t>
      </w:r>
    </w:p>
    <w:p w14:paraId="7C083D14" w14:textId="77777777" w:rsidR="00834B46" w:rsidRDefault="00834B46" w:rsidP="00834B46">
      <w:pPr>
        <w:pStyle w:val="aa"/>
        <w:spacing w:after="0"/>
        <w:ind w:left="360"/>
        <w:rPr>
          <w:rFonts w:ascii="David" w:hAnsi="David" w:cs="David"/>
          <w:b/>
          <w:bCs/>
          <w:spacing w:val="10"/>
          <w:sz w:val="24"/>
          <w:szCs w:val="24"/>
          <w:u w:val="single"/>
        </w:rPr>
      </w:pPr>
    </w:p>
    <w:p w14:paraId="631C1416"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בעניינו של הנאשם הוגשו 2 תסקירים.</w:t>
      </w:r>
    </w:p>
    <w:p w14:paraId="473B7884" w14:textId="77777777" w:rsidR="00834B46" w:rsidRDefault="00834B46" w:rsidP="00834B46">
      <w:pPr>
        <w:pStyle w:val="Ruller40"/>
        <w:rPr>
          <w:rFonts w:ascii="David" w:hAnsi="David" w:cs="David"/>
          <w:szCs w:val="24"/>
        </w:rPr>
      </w:pPr>
      <w:r>
        <w:rPr>
          <w:rFonts w:ascii="David" w:hAnsi="David" w:cs="David"/>
          <w:szCs w:val="24"/>
          <w:rtl/>
        </w:rPr>
        <w:t xml:space="preserve"> </w:t>
      </w:r>
    </w:p>
    <w:p w14:paraId="4F8B48B4" w14:textId="77777777" w:rsidR="00834B46" w:rsidRDefault="00834B46" w:rsidP="00834B46">
      <w:pPr>
        <w:rPr>
          <w:rFonts w:ascii="David" w:hAnsi="David"/>
          <w:u w:val="single"/>
          <w:rtl/>
        </w:rPr>
      </w:pPr>
      <w:r>
        <w:rPr>
          <w:rFonts w:ascii="David" w:hAnsi="David"/>
          <w:u w:val="single"/>
          <w:rtl/>
        </w:rPr>
        <w:t>תסקיר שירות המבחן מיום 8.6.2023</w:t>
      </w:r>
    </w:p>
    <w:p w14:paraId="2D70F8AF" w14:textId="77777777" w:rsidR="00834B46" w:rsidRDefault="00834B46" w:rsidP="00834B46">
      <w:pPr>
        <w:rPr>
          <w:rFonts w:ascii="David" w:hAnsi="David"/>
          <w:u w:val="single"/>
          <w:rtl/>
        </w:rPr>
      </w:pPr>
    </w:p>
    <w:p w14:paraId="62011C80"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שירות המבחן סקר את הנסיבות המשפחתיות בהן גדל הנאשם וכן השתלבותו במסגרות השונות החל מגיל נעורים ועד עתה. צוין כי הנאשם גדל בנסיבות משפחתיות מורכבות, בעיקר לנוכח התנהגות אביו הביולוגי של הנאשם כלפי אמו</w:t>
      </w:r>
      <w:r>
        <w:rPr>
          <w:rFonts w:ascii="David" w:hAnsi="David" w:cs="David" w:hint="cs"/>
          <w:szCs w:val="24"/>
          <w:rtl/>
        </w:rPr>
        <w:t xml:space="preserve"> והמשפחה</w:t>
      </w:r>
      <w:r>
        <w:rPr>
          <w:rFonts w:ascii="David" w:hAnsi="David" w:cs="David"/>
          <w:szCs w:val="24"/>
          <w:rtl/>
        </w:rPr>
        <w:t xml:space="preserve">. </w:t>
      </w:r>
    </w:p>
    <w:p w14:paraId="5FAF4CEA" w14:textId="77777777" w:rsidR="00834B46" w:rsidRDefault="00834B46" w:rsidP="00834B46">
      <w:pPr>
        <w:rPr>
          <w:rFonts w:ascii="David" w:hAnsi="David"/>
          <w:rtl/>
        </w:rPr>
      </w:pPr>
    </w:p>
    <w:p w14:paraId="632694DB"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מבחינת בריאותו הרפואית נפשית של הנאשם, צוין בתסקיר כי בגיל 9 נ</w:t>
      </w:r>
      <w:r>
        <w:rPr>
          <w:rFonts w:ascii="David" w:hAnsi="David" w:cs="David" w:hint="cs"/>
          <w:szCs w:val="24"/>
          <w:rtl/>
        </w:rPr>
        <w:t>פגע</w:t>
      </w:r>
      <w:r>
        <w:rPr>
          <w:rFonts w:ascii="David" w:hAnsi="David" w:cs="David"/>
          <w:szCs w:val="24"/>
          <w:rtl/>
        </w:rPr>
        <w:t xml:space="preserve"> </w:t>
      </w:r>
      <w:r>
        <w:rPr>
          <w:rFonts w:ascii="David" w:hAnsi="David" w:cs="David" w:hint="cs"/>
          <w:szCs w:val="24"/>
          <w:rtl/>
        </w:rPr>
        <w:t>ב</w:t>
      </w:r>
      <w:r>
        <w:rPr>
          <w:rFonts w:ascii="David" w:hAnsi="David" w:cs="David"/>
          <w:szCs w:val="24"/>
          <w:rtl/>
        </w:rPr>
        <w:t>תאונת דרכים שבגינה נזקק בעיקר לטיפול נפשי</w:t>
      </w:r>
      <w:r>
        <w:rPr>
          <w:rFonts w:ascii="David" w:hAnsi="David" w:cs="David" w:hint="cs"/>
          <w:szCs w:val="24"/>
          <w:rtl/>
        </w:rPr>
        <w:t xml:space="preserve"> </w:t>
      </w:r>
      <w:r>
        <w:rPr>
          <w:rFonts w:ascii="David" w:hAnsi="David" w:cs="David"/>
          <w:szCs w:val="24"/>
          <w:rtl/>
        </w:rPr>
        <w:t>- פסיכיאטרי. אולם</w:t>
      </w:r>
      <w:r>
        <w:rPr>
          <w:rFonts w:ascii="David" w:hAnsi="David" w:cs="David" w:hint="cs"/>
          <w:szCs w:val="24"/>
          <w:rtl/>
        </w:rPr>
        <w:t xml:space="preserve"> כבר עתה יאמר</w:t>
      </w:r>
      <w:r>
        <w:rPr>
          <w:rFonts w:ascii="David" w:hAnsi="David" w:cs="David"/>
          <w:szCs w:val="24"/>
          <w:rtl/>
        </w:rPr>
        <w:t xml:space="preserve">, </w:t>
      </w:r>
      <w:r>
        <w:rPr>
          <w:rFonts w:ascii="David" w:hAnsi="David" w:cs="David" w:hint="cs"/>
          <w:szCs w:val="24"/>
          <w:rtl/>
        </w:rPr>
        <w:t xml:space="preserve">כי </w:t>
      </w:r>
      <w:r>
        <w:rPr>
          <w:rFonts w:ascii="David" w:hAnsi="David" w:cs="David"/>
          <w:szCs w:val="24"/>
          <w:rtl/>
        </w:rPr>
        <w:t xml:space="preserve">בהקשר זה נמסרו על ידי הנאשם, מחד, והאם, מאידך, נתונים שאינם עולים בקנה אחד זה עם אמירתו של זה. הנאשם מסר שהיה במעקב פסיכיאטרי שכלל מספר פגישות מצומצמות </w:t>
      </w:r>
      <w:r>
        <w:rPr>
          <w:rFonts w:ascii="David" w:hAnsi="David" w:cs="David"/>
          <w:szCs w:val="24"/>
          <w:rtl/>
        </w:rPr>
        <w:lastRenderedPageBreak/>
        <w:t xml:space="preserve">ואילו בפגישה עם אמו נמסר כי הנאשם היה במעקב פסיכיאטרי שכלל שיחות טיפוליות במשך 5 שנים. מכל מקום, עניין הטיפול הנפשי והתאונה לא אומת מאחר שבפני שירות המבחן לא הוצגו מסמכים. </w:t>
      </w:r>
      <w:r>
        <w:rPr>
          <w:rFonts w:ascii="David" w:hAnsi="David" w:cs="David" w:hint="cs"/>
          <w:szCs w:val="24"/>
          <w:rtl/>
        </w:rPr>
        <w:t>עוד</w:t>
      </w:r>
      <w:r>
        <w:rPr>
          <w:rFonts w:ascii="David" w:hAnsi="David" w:cs="David"/>
          <w:szCs w:val="24"/>
          <w:rtl/>
        </w:rPr>
        <w:t xml:space="preserve"> יאמר שגם בפני בית המשפט לא הוצגו מסמכים תומכים המלמדים על מצב בריאותו הנפשית של הנאשם בעבר ובהווה.</w:t>
      </w:r>
    </w:p>
    <w:p w14:paraId="5A298C52" w14:textId="77777777" w:rsidR="00834B46" w:rsidRDefault="00834B46" w:rsidP="00834B46">
      <w:pPr>
        <w:pStyle w:val="Ruller40"/>
        <w:rPr>
          <w:rFonts w:ascii="David" w:hAnsi="David" w:cs="David"/>
          <w:szCs w:val="24"/>
        </w:rPr>
      </w:pPr>
    </w:p>
    <w:p w14:paraId="06F8FBD0"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מהתסקיר</w:t>
      </w:r>
      <w:r>
        <w:rPr>
          <w:rFonts w:ascii="David" w:hAnsi="David" w:cs="David" w:hint="cs"/>
          <w:szCs w:val="24"/>
          <w:rtl/>
        </w:rPr>
        <w:t xml:space="preserve"> עולה עוד</w:t>
      </w:r>
      <w:r>
        <w:rPr>
          <w:rFonts w:ascii="David" w:hAnsi="David" w:cs="David"/>
          <w:szCs w:val="24"/>
          <w:rtl/>
        </w:rPr>
        <w:t xml:space="preserve"> כי הנאשם החל להשתמש בקנאביס בנערותו (כיתה י') וכי כיום הינו בעל אישור לקנאביס רפואי. </w:t>
      </w:r>
    </w:p>
    <w:p w14:paraId="18E0FBC2" w14:textId="77777777" w:rsidR="00834B46" w:rsidRDefault="00834B46" w:rsidP="00834B46">
      <w:pPr>
        <w:rPr>
          <w:rFonts w:ascii="David" w:hAnsi="David"/>
          <w:rtl/>
        </w:rPr>
      </w:pPr>
    </w:p>
    <w:p w14:paraId="0A2706DD"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בתסקיר צוין כי הנאשם נטל אחריות מלאה על ביצוען של העבירות, הביע התנצלות על מעשיו והבין את חומרת התנהגותו. הנאשם מסר לשירות המבחן כי שיקול דעתו היה מוטעה והרצון להשיג כסף זמין הוא שהניע אותו לביצוע העבירות. בתסקיר צוין כי העבירות הובילו אותו לשינוי והתקדמות בחייו. </w:t>
      </w:r>
    </w:p>
    <w:p w14:paraId="163F0768" w14:textId="77777777" w:rsidR="00834B46" w:rsidRDefault="00834B46" w:rsidP="00834B46">
      <w:pPr>
        <w:rPr>
          <w:rFonts w:ascii="David" w:hAnsi="David"/>
          <w:rtl/>
        </w:rPr>
      </w:pPr>
    </w:p>
    <w:p w14:paraId="0B0BE053"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אשר להשתלבות הנאשם בהליך טיפולי; מתסקיר שירות המבחן עלה כי במסגרת הליך המעצר וצו הפיקוח שהיה נתון בו, שולב הנאשם בקבוצה ייעודית לעצורי בית </w:t>
      </w:r>
      <w:r>
        <w:rPr>
          <w:rFonts w:ascii="David" w:hAnsi="David" w:cs="David" w:hint="cs"/>
          <w:szCs w:val="24"/>
          <w:rtl/>
        </w:rPr>
        <w:t>ו</w:t>
      </w:r>
      <w:r>
        <w:rPr>
          <w:rFonts w:ascii="David" w:hAnsi="David" w:cs="David"/>
          <w:b/>
          <w:bCs/>
          <w:szCs w:val="24"/>
          <w:rtl/>
        </w:rPr>
        <w:t>הגיע ל-8 מתוך 12 מפגשים קבוצתיים שהתקיימו בתקופת הפיקוח</w:t>
      </w:r>
      <w:r>
        <w:rPr>
          <w:rFonts w:ascii="David" w:hAnsi="David" w:cs="David"/>
          <w:szCs w:val="24"/>
          <w:rtl/>
        </w:rPr>
        <w:t xml:space="preserve">. מהתסקיר עלה שהנאשם השתתף באופן חלקי בשיח הקבוצתי. </w:t>
      </w:r>
    </w:p>
    <w:p w14:paraId="61A984D3" w14:textId="77777777" w:rsidR="00834B46" w:rsidRPr="002809A7" w:rsidRDefault="00834B46" w:rsidP="00834B46">
      <w:pPr>
        <w:rPr>
          <w:rtl/>
        </w:rPr>
      </w:pPr>
    </w:p>
    <w:p w14:paraId="3F598717" w14:textId="77777777" w:rsidR="00834B46" w:rsidRDefault="00834B46" w:rsidP="00834B46">
      <w:pPr>
        <w:pStyle w:val="Ruller40"/>
        <w:rPr>
          <w:rFonts w:ascii="David" w:hAnsi="David" w:cs="David"/>
          <w:szCs w:val="24"/>
        </w:rPr>
      </w:pPr>
      <w:r>
        <w:rPr>
          <w:rFonts w:ascii="David" w:hAnsi="David" w:cs="David"/>
          <w:szCs w:val="24"/>
          <w:rtl/>
        </w:rPr>
        <w:tab/>
        <w:t xml:space="preserve">אשר לשילובו ביחידה להתמכרויות, מהתסקיר עולה כי שירות המבחן העריך כי הנזקקות העיקרית של הנאשם היא בתחום הטראומה וכי יש צורך במעקב פסיכיאטרי. צוין בתסקיר כי הנאשם שולב בשיחות פרטניות ביחידה להתמכרויות בדימונה. הנאשם הגיע לכלל הפגישות שנקבעו, שיתף פעולה והביע מוטיבציה גבוהה לשינוי אורחות חייו. שירות המבחן התרשם כי הנאשם זקוק לטיפול קבוצתי בו ירכוש כלים להתנהלות </w:t>
      </w:r>
      <w:r>
        <w:rPr>
          <w:rFonts w:ascii="David" w:hAnsi="David" w:cs="David" w:hint="cs"/>
          <w:szCs w:val="24"/>
          <w:rtl/>
        </w:rPr>
        <w:t>הסתגלותית</w:t>
      </w:r>
      <w:r>
        <w:rPr>
          <w:rFonts w:ascii="David" w:hAnsi="David" w:cs="David"/>
          <w:szCs w:val="24"/>
          <w:rtl/>
        </w:rPr>
        <w:t xml:space="preserve"> וכן שהנאשם זקוק לטיפול בתחום הטראומה, לצורך עיבוד האירועים אשר חווה במהלך חייו. שירות המבחן התרשם כי הנאשם הביע מוטיבציה גבוהה לשילובו בהליך טיפולי לניהול אורח חיים תקין. </w:t>
      </w:r>
    </w:p>
    <w:p w14:paraId="68A06188" w14:textId="77777777" w:rsidR="00834B46" w:rsidRDefault="00834B46" w:rsidP="00834B46">
      <w:pPr>
        <w:rPr>
          <w:rFonts w:ascii="David" w:hAnsi="David"/>
          <w:rtl/>
        </w:rPr>
      </w:pPr>
    </w:p>
    <w:p w14:paraId="6BCA98FD"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u w:val="single"/>
          <w:rtl/>
        </w:rPr>
        <w:t>בנוגע לגורמי הסיכוי והסיכון הטמונים בנאשם, הדגיש שירות המבחן את אלו;</w:t>
      </w:r>
      <w:r>
        <w:rPr>
          <w:rFonts w:ascii="David" w:hAnsi="David" w:cs="David"/>
          <w:b/>
          <w:bCs/>
          <w:szCs w:val="24"/>
          <w:rtl/>
        </w:rPr>
        <w:t xml:space="preserve"> סיכויי השיקום: </w:t>
      </w:r>
      <w:r>
        <w:rPr>
          <w:rFonts w:ascii="David" w:hAnsi="David" w:cs="David"/>
          <w:szCs w:val="24"/>
          <w:rtl/>
        </w:rPr>
        <w:t xml:space="preserve">שירות המבחן התרשם כי הנאשם בעל יכולת וורבלית גבוהה, לוקח אחריות על מעשיו וחומרתם, מגלה אחריות כלפי טיפול באמו הסובלת ממוגבלות פיזית ומביע שאיפות להמשך ניהול אורח חיים נורמטיבי. </w:t>
      </w:r>
      <w:r w:rsidRPr="007D4A52">
        <w:rPr>
          <w:rFonts w:ascii="David" w:hAnsi="David" w:cs="David"/>
          <w:b/>
          <w:bCs/>
          <w:szCs w:val="24"/>
          <w:u w:val="single"/>
          <w:rtl/>
        </w:rPr>
        <w:t xml:space="preserve">אשר לגורמי </w:t>
      </w:r>
      <w:r w:rsidRPr="007D4A52">
        <w:rPr>
          <w:rFonts w:ascii="David" w:hAnsi="David" w:cs="David" w:hint="cs"/>
          <w:b/>
          <w:bCs/>
          <w:szCs w:val="24"/>
          <w:u w:val="single"/>
          <w:rtl/>
        </w:rPr>
        <w:t>ה</w:t>
      </w:r>
      <w:r w:rsidRPr="007D4A52">
        <w:rPr>
          <w:rFonts w:ascii="David" w:hAnsi="David" w:cs="David"/>
          <w:b/>
          <w:bCs/>
          <w:szCs w:val="24"/>
          <w:u w:val="single"/>
          <w:rtl/>
        </w:rPr>
        <w:t>סיכון</w:t>
      </w:r>
      <w:r>
        <w:rPr>
          <w:rFonts w:ascii="David" w:hAnsi="David" w:cs="David"/>
          <w:szCs w:val="24"/>
          <w:rtl/>
        </w:rPr>
        <w:t>: שירות המבחן ציין כי הנאשם גדל במערכת משפחתית מורכבת ואלימה עד לניתוק קשר עם אביו. כמו כן, שירות המבחן התרשם מקיומם של קשיים רגשיים, כגון; דימוי עצמי נמוך, תלות וחרדה. שירות המבחן ציין כי נראה שהנאשם הצליח לשמור על תפקוד נורמטיבי לאורך השנים, אולם תהליך זה היה רצוף בקשיים רגשיים, אשר הובילו לפגיעה בתפקוד הלימודי והחברתי. שירות המבחן התרשם עוד כי בהיעדר ליווי מצד גורם טיפולי ומקצועי, מצוקתו הרגשית של הנאשם לא טופלה. עוד הודגש כי השימוש בסמים היווה מפלט לצרכיו הרגשיים והפיזיים של הנאשם. שירות</w:t>
      </w:r>
      <w:r>
        <w:rPr>
          <w:rFonts w:ascii="David" w:hAnsi="David" w:cs="David" w:hint="cs"/>
          <w:szCs w:val="24"/>
          <w:rtl/>
        </w:rPr>
        <w:t xml:space="preserve"> </w:t>
      </w:r>
      <w:r>
        <w:rPr>
          <w:rFonts w:ascii="David" w:hAnsi="David" w:cs="David"/>
          <w:szCs w:val="24"/>
          <w:rtl/>
        </w:rPr>
        <w:t xml:space="preserve">המבחן התרשם כי הנאשם חבר לחברה שולית בשל הצורך להשתייך. כן שירות המבחן התרשם מאדם המתקשה להשתלב בעבודה ולשמור על רצף תעסוקתי. </w:t>
      </w:r>
    </w:p>
    <w:p w14:paraId="565C020B" w14:textId="77777777" w:rsidR="00834B46" w:rsidRDefault="00834B46" w:rsidP="00834B46">
      <w:pPr>
        <w:rPr>
          <w:rFonts w:ascii="David" w:hAnsi="David"/>
          <w:rtl/>
        </w:rPr>
      </w:pPr>
    </w:p>
    <w:p w14:paraId="22C73BA3"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נוכח כל האמור לעיל, המליץ שירות המבחן, במסגרת תסקירו הראשון, על דחייה בת שלושה חודשיים לצורך שילוב הנאשם בהליך טיפולי בשירות המבחן וכן בהליך טיפולי בתחום הטראומה. </w:t>
      </w:r>
    </w:p>
    <w:p w14:paraId="5047954F" w14:textId="77777777" w:rsidR="00834B46" w:rsidRDefault="00834B46" w:rsidP="00834B46">
      <w:pPr>
        <w:rPr>
          <w:rFonts w:ascii="David" w:hAnsi="David"/>
          <w:u w:val="single"/>
          <w:rtl/>
        </w:rPr>
      </w:pPr>
    </w:p>
    <w:p w14:paraId="6537E145" w14:textId="77777777" w:rsidR="00834B46" w:rsidRDefault="00834B46" w:rsidP="00834B46">
      <w:pPr>
        <w:rPr>
          <w:rFonts w:ascii="David" w:hAnsi="David"/>
          <w:u w:val="single"/>
          <w:rtl/>
        </w:rPr>
      </w:pPr>
    </w:p>
    <w:p w14:paraId="2BCA11A6" w14:textId="77777777" w:rsidR="00834B46" w:rsidRDefault="00834B46" w:rsidP="00834B46">
      <w:pPr>
        <w:rPr>
          <w:rFonts w:ascii="David" w:hAnsi="David"/>
          <w:rtl/>
        </w:rPr>
      </w:pPr>
      <w:r>
        <w:rPr>
          <w:rFonts w:ascii="David" w:hAnsi="David"/>
          <w:u w:val="single"/>
          <w:rtl/>
        </w:rPr>
        <w:t>תסקיר משלים מיום 14.8.2023</w:t>
      </w:r>
    </w:p>
    <w:p w14:paraId="0213D145" w14:textId="77777777" w:rsidR="00834B46" w:rsidRDefault="00834B46" w:rsidP="00834B46">
      <w:pPr>
        <w:rPr>
          <w:rFonts w:ascii="David" w:hAnsi="David"/>
          <w:rtl/>
        </w:rPr>
      </w:pPr>
    </w:p>
    <w:p w14:paraId="4D4FEDE0"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מהתסקיר המשלים עולה כי ביום 2.8.2023 החל הנאשם השתתפותו בקבוצה טיפולית בשירות המבחן. צוין, כי הנאשם השתתף באופן פעיל בקבוצה ושיתף אודות חייו האישיים באופן המותאם לשלב הטיפולי בו נמצא. כמו כן, צוין כי הנאשם קשוב ליתר חברי הקבוצה וניכר כי מביע דעותיו. </w:t>
      </w:r>
    </w:p>
    <w:p w14:paraId="0E6591DB" w14:textId="77777777" w:rsidR="00834B46" w:rsidRDefault="00834B46" w:rsidP="00834B46">
      <w:pPr>
        <w:rPr>
          <w:rFonts w:ascii="David" w:hAnsi="David"/>
          <w:rtl/>
        </w:rPr>
      </w:pPr>
    </w:p>
    <w:p w14:paraId="6999431E"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 xml:space="preserve">בתסקיר המשלים צוין כי בתקופת הדחייה ביצע הנאשם 7 בדיקות שתן למציאת שרידי סמים, מתוכן 5 יצאו נקיים משירידי סם ול-2 בדיקות לא הגיע הנאשם. </w:t>
      </w:r>
    </w:p>
    <w:p w14:paraId="37B0B775" w14:textId="77777777" w:rsidR="00834B46" w:rsidRDefault="00834B46" w:rsidP="00834B46">
      <w:pPr>
        <w:rPr>
          <w:rFonts w:ascii="David" w:hAnsi="David"/>
          <w:rtl/>
        </w:rPr>
      </w:pPr>
    </w:p>
    <w:p w14:paraId="117ACA04" w14:textId="77777777" w:rsidR="00834B46" w:rsidRDefault="00834B46" w:rsidP="00834B46">
      <w:pPr>
        <w:pStyle w:val="Ruller40"/>
        <w:numPr>
          <w:ilvl w:val="0"/>
          <w:numId w:val="1"/>
        </w:numPr>
        <w:tabs>
          <w:tab w:val="num" w:pos="907"/>
        </w:tabs>
        <w:ind w:left="0" w:firstLine="0"/>
        <w:rPr>
          <w:rFonts w:ascii="David" w:hAnsi="David" w:cs="David"/>
          <w:szCs w:val="24"/>
          <w:rtl/>
        </w:rPr>
      </w:pPr>
      <w:r>
        <w:rPr>
          <w:rFonts w:ascii="David" w:hAnsi="David" w:cs="David"/>
          <w:szCs w:val="24"/>
          <w:rtl/>
        </w:rPr>
        <w:t>שירות המבחן ציין כי פנה לקופת החולים של הנאשם וכן למחלקת הרווחה, אולם נמסר על ידי הגורמים האמורים כי הנאשם לא עבר מעולם אבחון פסיכיאטרי. עוד עולה מהתסקיר המשלים כי במהלך תקופת הדחייה, התקשה הנאשם לקדם הליך טיפולי בתחום הטראומה ו</w:t>
      </w:r>
      <w:r>
        <w:rPr>
          <w:rFonts w:ascii="David" w:hAnsi="David" w:cs="David" w:hint="cs"/>
          <w:szCs w:val="24"/>
          <w:rtl/>
        </w:rPr>
        <w:t>כי רק</w:t>
      </w:r>
      <w:r>
        <w:rPr>
          <w:rFonts w:ascii="David" w:hAnsi="David" w:cs="David"/>
          <w:szCs w:val="24"/>
          <w:rtl/>
        </w:rPr>
        <w:t xml:space="preserve"> לאחרונה הצליח לתאם תור לפסיכיאטר. </w:t>
      </w:r>
    </w:p>
    <w:p w14:paraId="2EA4AC02" w14:textId="77777777" w:rsidR="00834B46" w:rsidRDefault="00834B46" w:rsidP="00834B46">
      <w:pPr>
        <w:rPr>
          <w:rFonts w:ascii="David" w:hAnsi="David"/>
          <w:highlight w:val="yellow"/>
          <w:rtl/>
        </w:rPr>
      </w:pPr>
    </w:p>
    <w:p w14:paraId="7E67972C"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נוכח האמור לעיל, שירות המבחן המליץ על ענישה חינוכית שיקומית אשר תכלול </w:t>
      </w:r>
      <w:r>
        <w:rPr>
          <w:rFonts w:ascii="David" w:hAnsi="David" w:cs="David"/>
          <w:szCs w:val="24"/>
          <w:u w:val="single"/>
          <w:rtl/>
        </w:rPr>
        <w:t>צו מבחן למשך שנה וצו של"צ בהיקף של 400 שעות</w:t>
      </w:r>
      <w:r>
        <w:rPr>
          <w:rFonts w:ascii="David" w:hAnsi="David" w:cs="David"/>
          <w:szCs w:val="24"/>
          <w:rtl/>
        </w:rPr>
        <w:t xml:space="preserve">. </w:t>
      </w:r>
    </w:p>
    <w:p w14:paraId="671F7A01" w14:textId="77777777" w:rsidR="00834B46" w:rsidRDefault="00834B46" w:rsidP="00834B46">
      <w:pPr>
        <w:rPr>
          <w:rFonts w:ascii="David" w:hAnsi="David"/>
          <w:rtl/>
        </w:rPr>
      </w:pPr>
    </w:p>
    <w:p w14:paraId="3D985E7E" w14:textId="77777777" w:rsidR="00834B46" w:rsidRDefault="00834B46" w:rsidP="00834B46">
      <w:pPr>
        <w:spacing w:line="360" w:lineRule="auto"/>
        <w:rPr>
          <w:rFonts w:ascii="David" w:hAnsi="David"/>
          <w:b/>
          <w:bCs/>
          <w:u w:val="single"/>
          <w:rtl/>
        </w:rPr>
      </w:pPr>
      <w:r>
        <w:rPr>
          <w:rFonts w:ascii="David" w:hAnsi="David"/>
          <w:b/>
          <w:bCs/>
          <w:u w:val="single"/>
          <w:rtl/>
        </w:rPr>
        <w:t xml:space="preserve">עיקרי טיעוני הצדדים וראיות לעונש </w:t>
      </w:r>
    </w:p>
    <w:p w14:paraId="196DD15B"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ב"כ המאשימה עמדה </w:t>
      </w:r>
      <w:r>
        <w:rPr>
          <w:rFonts w:ascii="David" w:hAnsi="David" w:cs="David" w:hint="cs"/>
          <w:szCs w:val="24"/>
          <w:rtl/>
        </w:rPr>
        <w:t xml:space="preserve">בטיעוניה לעונש </w:t>
      </w:r>
      <w:r>
        <w:rPr>
          <w:rFonts w:ascii="David" w:hAnsi="David" w:cs="David"/>
          <w:szCs w:val="24"/>
          <w:rtl/>
        </w:rPr>
        <w:t>על עובדות כתב האישום, והנסיבות המחמירות הקשורות בביצוע העבירה</w:t>
      </w:r>
      <w:r>
        <w:rPr>
          <w:rFonts w:ascii="David" w:hAnsi="David" w:cs="David" w:hint="cs"/>
          <w:szCs w:val="24"/>
          <w:rtl/>
        </w:rPr>
        <w:t xml:space="preserve"> </w:t>
      </w:r>
      <w:r>
        <w:rPr>
          <w:rFonts w:ascii="David" w:hAnsi="David" w:cs="David"/>
          <w:szCs w:val="24"/>
          <w:rtl/>
        </w:rPr>
        <w:t>- העובדה שמדובר בשתי עבירות סחר ובסוג סם קשה. בנוסף, ב"כ המאשימה עמדה על עברו הפלילי של הנאשם, כאשר בהקשר</w:t>
      </w:r>
      <w:r>
        <w:rPr>
          <w:rFonts w:ascii="David" w:hAnsi="David" w:cs="David" w:hint="cs"/>
          <w:szCs w:val="24"/>
          <w:rtl/>
        </w:rPr>
        <w:t xml:space="preserve"> זה</w:t>
      </w:r>
      <w:r>
        <w:rPr>
          <w:rFonts w:ascii="David" w:hAnsi="David" w:cs="David"/>
          <w:szCs w:val="24"/>
          <w:rtl/>
        </w:rPr>
        <w:t xml:space="preserve"> הודגש כי לנאשם הרשעה קודמת הן בעבירת סמים והן בעבירה של החזקת סכין (תע/1). </w:t>
      </w:r>
    </w:p>
    <w:p w14:paraId="250551C6" w14:textId="77777777" w:rsidR="00834B46" w:rsidRDefault="00834B46" w:rsidP="00834B46">
      <w:pPr>
        <w:rPr>
          <w:rFonts w:ascii="David" w:hAnsi="David"/>
          <w:rtl/>
        </w:rPr>
      </w:pPr>
    </w:p>
    <w:p w14:paraId="581ED7DE"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ב"כ המאשימה טענה כי מתחם העונש ההולם במקרה זה נע </w:t>
      </w:r>
      <w:r>
        <w:rPr>
          <w:rFonts w:ascii="David" w:hAnsi="David" w:cs="David"/>
          <w:b/>
          <w:bCs/>
          <w:szCs w:val="24"/>
          <w:rtl/>
        </w:rPr>
        <w:t>בין 8 חודשי מאסר בדרך של עבודות שירות ועד ל-18 חודשי מאסר בפועל</w:t>
      </w:r>
      <w:r>
        <w:rPr>
          <w:rFonts w:ascii="David" w:hAnsi="David" w:cs="David"/>
          <w:szCs w:val="24"/>
          <w:rtl/>
        </w:rPr>
        <w:t xml:space="preserve">. לטענת ב"כ המאשימה, בשל נסיבותיו של הנאשם, יש למקם את הנאשם </w:t>
      </w:r>
      <w:r>
        <w:rPr>
          <w:rFonts w:ascii="David" w:hAnsi="David" w:cs="David"/>
          <w:b/>
          <w:bCs/>
          <w:szCs w:val="24"/>
          <w:rtl/>
        </w:rPr>
        <w:t>בחלקו התחתון</w:t>
      </w:r>
      <w:r>
        <w:rPr>
          <w:rFonts w:ascii="David" w:hAnsi="David" w:cs="David"/>
          <w:szCs w:val="24"/>
          <w:rtl/>
        </w:rPr>
        <w:t xml:space="preserve"> של המתחם, ולהשית עליו מאסר בדרך של עבודות שירות, לצד מאסר מותנה וקנס.</w:t>
      </w:r>
    </w:p>
    <w:p w14:paraId="324C4FAB" w14:textId="77777777" w:rsidR="00834B46" w:rsidRDefault="00834B46" w:rsidP="00834B46">
      <w:pPr>
        <w:pStyle w:val="Ruller40"/>
        <w:rPr>
          <w:rFonts w:ascii="David" w:hAnsi="David" w:cs="David"/>
          <w:szCs w:val="24"/>
        </w:rPr>
      </w:pPr>
    </w:p>
    <w:p w14:paraId="34991BCD"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בטיעוניו לעניין העונש הדגיש ב"כ הנאשם את נסיבות חייו של הנאשם. בהקשר זה טען ב"כ הנאשם כי בצעירותו עבר תאונת דרכים שהותירה את הנאשם נכה נפשית. נטען כי בעקבות אותה תאונת דרכים, הנאשם נזקק לטיפול פסיכיאטרי וכי הוא סובל מפוסט טראומה. עוד נטען על ידי ב"כ הנאשם כי תסקיר שירות המבחן בעניינו של הנאשם הוא חיובי ואינו כולל כל המלצה עונשית וזאת לנוכח ההליך שהנאשם עבר במסגרת שירות המבחן. ב"כ הנאשם הפנה למכתב מטעם הרווחה (נע/1) שלטעמו עולה בקנה אחד עם ממצאי התסקיר בדבר הצורך בהמשך הליך טיפולי לנוכח מצב הנפשי והפוסט טראומה שהנאשם פיתח. נוכח נתוני התסקיר והמפורט בו, עתר ב"כ הנאשם ל</w:t>
      </w:r>
      <w:r>
        <w:rPr>
          <w:rFonts w:ascii="David" w:hAnsi="David" w:cs="David" w:hint="cs"/>
          <w:szCs w:val="24"/>
          <w:rtl/>
        </w:rPr>
        <w:t>אמץ</w:t>
      </w:r>
      <w:r>
        <w:rPr>
          <w:rFonts w:ascii="David" w:hAnsi="David" w:cs="David"/>
          <w:szCs w:val="24"/>
          <w:rtl/>
        </w:rPr>
        <w:t xml:space="preserve"> את המלצות שירות המבחן. </w:t>
      </w:r>
    </w:p>
    <w:p w14:paraId="70CC68A7" w14:textId="77777777" w:rsidR="00834B46" w:rsidRPr="00834B46" w:rsidRDefault="00834B46" w:rsidP="00834B46">
      <w:pPr>
        <w:rPr>
          <w:rFonts w:ascii="David" w:eastAsia="Calibri" w:hAnsi="David"/>
          <w:rtl/>
        </w:rPr>
      </w:pPr>
    </w:p>
    <w:p w14:paraId="6CD7BF0F"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ב"כ הנאשם טען כי אין לקבל את עתירת התביעה לעונש מאסר שירוצה בעבודות שירות, שכן הדבר ייפגע ביכולת השיקום של הנאשם ובהשתלבותו בהליך טיפולי במסגרת צו מבחן. ב"כ הנאשם הדגיש עוד כי מדיניות הענישה הנוהגת בעבירות מסוג זה, ובכלל, מתפרשת על פני מנעד רחב של עונשים. לטעמו, במקרה קונקרטי זה, מתחם העונש יכול שיתחיל בשירות לתועלת הציבור (של"צ) ויסתיים בעונש מאסר בפועל. נוכח נתוניו, כך עתר הסניגור, יש למקם את הנאשם בתחתית המתחם ולהטיל עליו של"צ מורחב</w:t>
      </w:r>
      <w:r>
        <w:rPr>
          <w:rFonts w:ascii="David" w:hAnsi="David" w:cs="David" w:hint="cs"/>
          <w:szCs w:val="24"/>
          <w:rtl/>
        </w:rPr>
        <w:t xml:space="preserve"> וצו מבחן בהתאם להמלצות התסקיר</w:t>
      </w:r>
      <w:r>
        <w:rPr>
          <w:rFonts w:ascii="David" w:hAnsi="David" w:cs="David"/>
          <w:szCs w:val="24"/>
          <w:rtl/>
        </w:rPr>
        <w:t xml:space="preserve">. יאמר, כי כבר בתחילת טיעוניו הדגיש ב"כ הנאשם את העובדה שהנאשם היה נתון במעצר מאחורי סורג </w:t>
      </w:r>
      <w:r>
        <w:rPr>
          <w:rFonts w:ascii="David" w:hAnsi="David" w:cs="David" w:hint="cs"/>
          <w:szCs w:val="24"/>
          <w:rtl/>
        </w:rPr>
        <w:t>ו</w:t>
      </w:r>
      <w:r>
        <w:rPr>
          <w:rFonts w:ascii="David" w:hAnsi="David" w:cs="David"/>
          <w:szCs w:val="24"/>
          <w:rtl/>
        </w:rPr>
        <w:t xml:space="preserve">בריח משך תקופה של כשלושה חודשים וכי לאחר מכן נעצר באיזוק </w:t>
      </w:r>
      <w:r>
        <w:rPr>
          <w:rFonts w:ascii="David" w:hAnsi="David" w:cs="David" w:hint="cs"/>
          <w:szCs w:val="24"/>
          <w:rtl/>
        </w:rPr>
        <w:t>אלקטרוני לתקופה משמעותית</w:t>
      </w:r>
      <w:r>
        <w:rPr>
          <w:rFonts w:ascii="David" w:hAnsi="David" w:cs="David"/>
          <w:szCs w:val="24"/>
          <w:rtl/>
        </w:rPr>
        <w:t>.</w:t>
      </w:r>
    </w:p>
    <w:p w14:paraId="2BC98DF9" w14:textId="77777777" w:rsidR="00834B46" w:rsidRPr="00834B46" w:rsidRDefault="00834B46" w:rsidP="00834B46">
      <w:pPr>
        <w:rPr>
          <w:rFonts w:ascii="David" w:eastAsia="Calibri" w:hAnsi="David"/>
          <w:rtl/>
        </w:rPr>
      </w:pPr>
    </w:p>
    <w:p w14:paraId="6E58561B" w14:textId="77777777" w:rsidR="00834B46" w:rsidRDefault="00834B46" w:rsidP="00834B46">
      <w:pPr>
        <w:pStyle w:val="Ruller40"/>
        <w:numPr>
          <w:ilvl w:val="0"/>
          <w:numId w:val="1"/>
        </w:numPr>
        <w:tabs>
          <w:tab w:val="num" w:pos="907"/>
        </w:tabs>
        <w:ind w:left="0" w:firstLine="0"/>
        <w:rPr>
          <w:rFonts w:ascii="David" w:hAnsi="David" w:cs="David"/>
          <w:szCs w:val="24"/>
        </w:rPr>
      </w:pPr>
      <w:r>
        <w:rPr>
          <w:rFonts w:ascii="David" w:hAnsi="David" w:cs="David"/>
          <w:szCs w:val="24"/>
          <w:rtl/>
        </w:rPr>
        <w:t xml:space="preserve">הנאשם בדברו האחרון אמר כי הוא מתחרט על מעשיו, מבין את גודל הטעות ולמד ממנה. הנאשם ציין כי יש לו שאיפה להתקדם בחייו. </w:t>
      </w:r>
    </w:p>
    <w:p w14:paraId="4DEC430B" w14:textId="77777777" w:rsidR="00834B46" w:rsidRDefault="00834B46" w:rsidP="00834B46">
      <w:pPr>
        <w:rPr>
          <w:rFonts w:ascii="David" w:hAnsi="David"/>
          <w:rtl/>
        </w:rPr>
      </w:pPr>
    </w:p>
    <w:p w14:paraId="7BD4D2EF" w14:textId="77777777" w:rsidR="00834B46" w:rsidRDefault="00834B46" w:rsidP="00834B46">
      <w:pPr>
        <w:rPr>
          <w:rFonts w:ascii="David" w:hAnsi="David"/>
          <w:b/>
          <w:bCs/>
          <w:u w:val="single"/>
          <w:rtl/>
        </w:rPr>
      </w:pPr>
      <w:r>
        <w:rPr>
          <w:rFonts w:ascii="David" w:hAnsi="David"/>
          <w:b/>
          <w:bCs/>
          <w:u w:val="single"/>
          <w:rtl/>
        </w:rPr>
        <w:t>דיון והכרעה</w:t>
      </w:r>
      <w:r>
        <w:rPr>
          <w:rFonts w:ascii="David" w:hAnsi="David" w:hint="cs"/>
          <w:b/>
          <w:bCs/>
          <w:u w:val="single"/>
          <w:rtl/>
        </w:rPr>
        <w:t xml:space="preserve"> </w:t>
      </w:r>
    </w:p>
    <w:p w14:paraId="2EAD2824" w14:textId="77777777" w:rsidR="00834B46" w:rsidRPr="006946BF" w:rsidRDefault="00834B46" w:rsidP="00834B46">
      <w:pPr>
        <w:spacing w:line="360" w:lineRule="auto"/>
        <w:jc w:val="both"/>
        <w:rPr>
          <w:rFonts w:ascii="David" w:hAnsi="David"/>
          <w:b/>
          <w:bCs/>
          <w:u w:val="single"/>
          <w:rtl/>
        </w:rPr>
      </w:pPr>
    </w:p>
    <w:p w14:paraId="43E9B6BC" w14:textId="77777777" w:rsidR="00834B46" w:rsidRDefault="00834B46" w:rsidP="00834B46">
      <w:pPr>
        <w:spacing w:line="360" w:lineRule="auto"/>
        <w:jc w:val="both"/>
        <w:rPr>
          <w:rFonts w:ascii="David" w:hAnsi="David"/>
          <w:u w:val="single"/>
          <w:rtl/>
        </w:rPr>
      </w:pPr>
      <w:r w:rsidRPr="009B5E43">
        <w:rPr>
          <w:rFonts w:ascii="David" w:hAnsi="David"/>
          <w:u w:val="single"/>
          <w:rtl/>
        </w:rPr>
        <w:t>הפגיעה בערך המוגן</w:t>
      </w:r>
    </w:p>
    <w:p w14:paraId="781412F9" w14:textId="77777777" w:rsidR="00834B46" w:rsidRPr="009B5E43" w:rsidRDefault="00834B46" w:rsidP="00834B46">
      <w:pPr>
        <w:spacing w:line="360" w:lineRule="auto"/>
        <w:jc w:val="both"/>
        <w:rPr>
          <w:rFonts w:ascii="David" w:hAnsi="David"/>
          <w:u w:val="single"/>
          <w:rtl/>
        </w:rPr>
      </w:pPr>
    </w:p>
    <w:p w14:paraId="3528E201"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במקרה זה, הערך החברתי המוגן שנפגע הוא ההגנה על שלום הציבור ובריאותו. הפסיקה חזרה והדגישה את חומרתן של עבירות הסמים וכן את הצורך בענישה מחמירה ומרתיעה בעבירות סמים בכלל ובעבירות של סחר בסמים בפרט. זאת לנוכח תוצאות השימוש וההתמכרות הקשות, השפעות ארוכות טווח ורחבות היקף החורגות מעניינו של אדם אחד, ונוגעות לכלל החברה וכן הקלות שבה ניתן לבצע עבירות מסוג זה. בהקשר זה כבר נקבע ב</w:t>
      </w:r>
      <w:hyperlink r:id="rId13" w:history="1">
        <w:r w:rsidR="000A0509" w:rsidRPr="000A0509">
          <w:rPr>
            <w:rFonts w:ascii="David" w:hAnsi="David" w:cs="David"/>
            <w:color w:val="0000FF"/>
            <w:szCs w:val="24"/>
            <w:u w:val="single"/>
            <w:rtl/>
          </w:rPr>
          <w:t>ע"פ 6029/03</w:t>
        </w:r>
      </w:hyperlink>
      <w:r w:rsidR="000A0509">
        <w:rPr>
          <w:rFonts w:ascii="David" w:hAnsi="David" w:cs="David"/>
          <w:szCs w:val="24"/>
        </w:rPr>
        <w:t xml:space="preserve"> </w:t>
      </w:r>
      <w:r>
        <w:rPr>
          <w:rFonts w:ascii="David" w:hAnsi="David" w:cs="David"/>
          <w:b/>
          <w:bCs/>
          <w:szCs w:val="24"/>
          <w:rtl/>
        </w:rPr>
        <w:t>מדינת ישראל נ' גולן שמאי</w:t>
      </w:r>
      <w:r>
        <w:rPr>
          <w:rFonts w:ascii="David" w:hAnsi="David" w:cs="David"/>
          <w:szCs w:val="24"/>
          <w:rtl/>
        </w:rPr>
        <w:t xml:space="preserve"> [פורסם בנבו] (9.2.04) כך:</w:t>
      </w:r>
    </w:p>
    <w:p w14:paraId="7C730A77" w14:textId="77777777" w:rsidR="00834B46" w:rsidRDefault="00834B46" w:rsidP="00834B46">
      <w:pPr>
        <w:pStyle w:val="ab"/>
        <w:spacing w:line="360" w:lineRule="auto"/>
        <w:jc w:val="both"/>
        <w:rPr>
          <w:rFonts w:ascii="David" w:hAnsi="David" w:cs="David"/>
          <w:b/>
          <w:bCs/>
          <w:i w:val="0"/>
          <w:iCs w:val="0"/>
          <w:sz w:val="24"/>
          <w:szCs w:val="24"/>
        </w:rPr>
      </w:pPr>
      <w:r>
        <w:rPr>
          <w:rFonts w:ascii="David" w:hAnsi="David" w:cs="David"/>
          <w:b/>
          <w:bCs/>
          <w:i w:val="0"/>
          <w:iCs w:val="0"/>
          <w:sz w:val="24"/>
          <w:szCs w:val="24"/>
          <w:rtl/>
        </w:rPr>
        <w:t xml:space="preserve"> "</w:t>
      </w:r>
      <w:r>
        <w:rPr>
          <w:rFonts w:ascii="David" w:hAnsi="David" w:cs="David"/>
          <w:b/>
          <w:bCs/>
          <w:i w:val="0"/>
          <w:iCs w:val="0"/>
          <w:color w:val="auto"/>
          <w:sz w:val="24"/>
          <w:szCs w:val="24"/>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r>
        <w:rPr>
          <w:rFonts w:ascii="David" w:hAnsi="David" w:cs="David"/>
          <w:b/>
          <w:bCs/>
          <w:i w:val="0"/>
          <w:iCs w:val="0"/>
          <w:sz w:val="24"/>
          <w:szCs w:val="24"/>
        </w:rPr>
        <w:t>."</w:t>
      </w:r>
    </w:p>
    <w:p w14:paraId="646569B8" w14:textId="77777777" w:rsidR="00834B46" w:rsidRDefault="00834B46" w:rsidP="00834B46">
      <w:pPr>
        <w:pStyle w:val="Ruller40"/>
        <w:rPr>
          <w:rFonts w:ascii="David" w:hAnsi="David" w:cs="David"/>
          <w:b/>
          <w:bCs/>
          <w:szCs w:val="24"/>
          <w:rtl/>
        </w:rPr>
      </w:pPr>
    </w:p>
    <w:p w14:paraId="2195A6AA" w14:textId="77777777" w:rsidR="00834B46" w:rsidRDefault="00834B46" w:rsidP="00834B46">
      <w:pPr>
        <w:pStyle w:val="Ruller40"/>
        <w:rPr>
          <w:rFonts w:ascii="David" w:hAnsi="David" w:cs="David"/>
          <w:b/>
          <w:bCs/>
          <w:szCs w:val="24"/>
          <w:rtl/>
        </w:rPr>
      </w:pPr>
    </w:p>
    <w:p w14:paraId="0527940A" w14:textId="77777777" w:rsidR="00834B46" w:rsidRDefault="00834B46" w:rsidP="00834B46">
      <w:pPr>
        <w:pStyle w:val="Ruller40"/>
        <w:rPr>
          <w:rFonts w:ascii="David" w:hAnsi="David" w:cs="David"/>
          <w:szCs w:val="24"/>
          <w:u w:val="single"/>
          <w:rtl/>
        </w:rPr>
      </w:pPr>
      <w:r w:rsidRPr="009B5E43">
        <w:rPr>
          <w:rFonts w:ascii="David" w:hAnsi="David" w:cs="David"/>
          <w:szCs w:val="24"/>
          <w:u w:val="single"/>
          <w:rtl/>
        </w:rPr>
        <w:t xml:space="preserve">נסיבות הקשורות בביצוע העבירה </w:t>
      </w:r>
    </w:p>
    <w:p w14:paraId="5A66F3A9" w14:textId="77777777" w:rsidR="00834B46" w:rsidRPr="009B5E43" w:rsidRDefault="00834B46" w:rsidP="00834B46">
      <w:pPr>
        <w:rPr>
          <w:rtl/>
        </w:rPr>
      </w:pPr>
    </w:p>
    <w:p w14:paraId="3A9E84CB"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 xml:space="preserve">הנאשם הורשע </w:t>
      </w:r>
      <w:r>
        <w:rPr>
          <w:rFonts w:ascii="David" w:hAnsi="David" w:cs="David" w:hint="cs"/>
          <w:szCs w:val="24"/>
          <w:rtl/>
        </w:rPr>
        <w:t xml:space="preserve">כאמור </w:t>
      </w:r>
      <w:r>
        <w:rPr>
          <w:rFonts w:ascii="David" w:hAnsi="David" w:cs="David"/>
          <w:szCs w:val="24"/>
          <w:rtl/>
        </w:rPr>
        <w:t xml:space="preserve">בעבירות של סחר בסם מסוג </w:t>
      </w:r>
      <w:r>
        <w:rPr>
          <w:rFonts w:ascii="David" w:hAnsi="David" w:cs="David"/>
          <w:szCs w:val="24"/>
        </w:rPr>
        <w:t>MDMA</w:t>
      </w:r>
      <w:r>
        <w:rPr>
          <w:rFonts w:ascii="David" w:hAnsi="David" w:cs="David" w:hint="cs"/>
          <w:szCs w:val="24"/>
          <w:rtl/>
        </w:rPr>
        <w:t xml:space="preserve">. מדובר בסם קשה. </w:t>
      </w:r>
      <w:r>
        <w:rPr>
          <w:rFonts w:ascii="David" w:hAnsi="David" w:cs="David"/>
          <w:szCs w:val="24"/>
          <w:rtl/>
        </w:rPr>
        <w:t>אין מדובר במעידה חד פעמית אלא במעידה חוזרת ובמי שסחר בשתי הזדמנויות</w:t>
      </w:r>
      <w:r>
        <w:rPr>
          <w:rFonts w:ascii="David" w:hAnsi="David" w:cs="David" w:hint="cs"/>
          <w:szCs w:val="24"/>
          <w:rtl/>
        </w:rPr>
        <w:t xml:space="preserve"> </w:t>
      </w:r>
      <w:r>
        <w:rPr>
          <w:rFonts w:ascii="David" w:hAnsi="David" w:cs="David"/>
          <w:szCs w:val="24"/>
          <w:rtl/>
        </w:rPr>
        <w:t>- במועדים שונים. הסחר בוצע תוך שימשו ביישומ</w:t>
      </w:r>
      <w:r>
        <w:rPr>
          <w:rFonts w:ascii="David" w:hAnsi="David" w:cs="David" w:hint="cs"/>
          <w:szCs w:val="24"/>
          <w:rtl/>
        </w:rPr>
        <w:t>ו</w:t>
      </w:r>
      <w:r>
        <w:rPr>
          <w:rFonts w:ascii="David" w:hAnsi="David" w:cs="David"/>
          <w:szCs w:val="24"/>
          <w:rtl/>
        </w:rPr>
        <w:t>ן הטלגרם, היינו שימוש באמצעי מתוחכם שתכליתו להסתיר את זהות המעורבים בו. על כך יש להוסיף כי עבירות הסחר בוצעו תוך תיאום ותכנון מוקדם של הנאשם אל מול הסוכן כפי שניתן ללמוד מהשיחות שערך הנאשם עם הסוכן המשטרתי לאחר שקיבל את פרטיו של הסוכן.</w:t>
      </w:r>
      <w:r>
        <w:rPr>
          <w:rFonts w:ascii="David" w:hAnsi="David" w:cs="David" w:hint="cs"/>
          <w:szCs w:val="24"/>
          <w:rtl/>
        </w:rPr>
        <w:t xml:space="preserve"> אין מדובר במעשה ספונטני.</w:t>
      </w:r>
      <w:r>
        <w:rPr>
          <w:rFonts w:ascii="David" w:hAnsi="David" w:cs="David"/>
          <w:szCs w:val="24"/>
          <w:rtl/>
        </w:rPr>
        <w:t xml:space="preserve"> על הנזק שיכול ל</w:t>
      </w:r>
      <w:r>
        <w:rPr>
          <w:rFonts w:ascii="David" w:hAnsi="David" w:cs="David" w:hint="cs"/>
          <w:szCs w:val="24"/>
          <w:rtl/>
        </w:rPr>
        <w:t>הי</w:t>
      </w:r>
      <w:r>
        <w:rPr>
          <w:rFonts w:ascii="David" w:hAnsi="David" w:cs="David"/>
          <w:szCs w:val="24"/>
          <w:rtl/>
        </w:rPr>
        <w:t xml:space="preserve">גרם </w:t>
      </w:r>
      <w:r>
        <w:rPr>
          <w:rFonts w:ascii="David" w:hAnsi="David" w:cs="David" w:hint="cs"/>
          <w:szCs w:val="24"/>
          <w:rtl/>
        </w:rPr>
        <w:t>מה</w:t>
      </w:r>
      <w:r>
        <w:rPr>
          <w:rFonts w:ascii="David" w:hAnsi="David" w:cs="David"/>
          <w:szCs w:val="24"/>
          <w:rtl/>
        </w:rPr>
        <w:t xml:space="preserve">עבירות </w:t>
      </w:r>
      <w:r>
        <w:rPr>
          <w:rFonts w:ascii="David" w:hAnsi="David" w:cs="David" w:hint="cs"/>
          <w:szCs w:val="24"/>
          <w:rtl/>
        </w:rPr>
        <w:t xml:space="preserve">שביצע הנאשם </w:t>
      </w:r>
      <w:r>
        <w:rPr>
          <w:rFonts w:ascii="David" w:hAnsi="David" w:cs="David"/>
          <w:szCs w:val="24"/>
          <w:rtl/>
        </w:rPr>
        <w:t>אין להכביר במילים ומדובר בנזק כבד ביותר [</w:t>
      </w:r>
      <w:hyperlink r:id="rId14" w:history="1">
        <w:r w:rsidR="000A0509" w:rsidRPr="000A0509">
          <w:rPr>
            <w:rFonts w:ascii="David" w:hAnsi="David" w:cs="David"/>
            <w:color w:val="0000FF"/>
            <w:szCs w:val="24"/>
            <w:u w:val="single"/>
            <w:rtl/>
          </w:rPr>
          <w:t>עפ"ג (י-ם) 29138-07-17</w:t>
        </w:r>
      </w:hyperlink>
      <w:r>
        <w:rPr>
          <w:rFonts w:ascii="David" w:hAnsi="David" w:cs="David"/>
          <w:szCs w:val="24"/>
          <w:rtl/>
        </w:rPr>
        <w:t xml:space="preserve"> </w:t>
      </w:r>
      <w:r>
        <w:rPr>
          <w:rFonts w:ascii="David" w:hAnsi="David" w:cs="David"/>
          <w:b/>
          <w:bCs/>
          <w:szCs w:val="24"/>
          <w:rtl/>
        </w:rPr>
        <w:t>מדינת ישראל נ' גית</w:t>
      </w:r>
      <w:r>
        <w:rPr>
          <w:rFonts w:ascii="David" w:hAnsi="David" w:cs="David"/>
          <w:szCs w:val="24"/>
          <w:rtl/>
        </w:rPr>
        <w:t xml:space="preserve"> (מיום 17.8.2017) והאזכורים הרבים שם].</w:t>
      </w:r>
    </w:p>
    <w:p w14:paraId="6E5936E3" w14:textId="77777777" w:rsidR="00834B46" w:rsidRDefault="00834B46" w:rsidP="00834B46">
      <w:pPr>
        <w:rPr>
          <w:rFonts w:ascii="David" w:hAnsi="David"/>
          <w:rtl/>
        </w:rPr>
      </w:pPr>
    </w:p>
    <w:p w14:paraId="6F9B85D1" w14:textId="77777777" w:rsidR="00834B46" w:rsidRDefault="00834B46" w:rsidP="00834B46">
      <w:pPr>
        <w:pStyle w:val="Ruller40"/>
        <w:rPr>
          <w:rFonts w:ascii="David" w:hAnsi="David" w:cs="David"/>
          <w:szCs w:val="24"/>
        </w:rPr>
      </w:pPr>
      <w:r>
        <w:rPr>
          <w:rFonts w:ascii="David" w:hAnsi="David" w:cs="David"/>
          <w:szCs w:val="24"/>
          <w:rtl/>
        </w:rPr>
        <w:tab/>
        <w:t xml:space="preserve">באשר ליכולתו של הנאשם להבין את אשר הוא עושה, את פסול שבמעשיו או את משמעותו, לרבות בשל גילו וכן באשר ליכולתו של הנאשם להימנע מהמעשה ומידת השליטה שלו על מעשהו; </w:t>
      </w:r>
      <w:r>
        <w:rPr>
          <w:rFonts w:ascii="David" w:hAnsi="David" w:cs="David" w:hint="cs"/>
          <w:szCs w:val="24"/>
          <w:rtl/>
        </w:rPr>
        <w:t>יאמר ש</w:t>
      </w:r>
      <w:r>
        <w:rPr>
          <w:rFonts w:ascii="David" w:hAnsi="David" w:cs="David"/>
          <w:szCs w:val="24"/>
          <w:rtl/>
        </w:rPr>
        <w:t>מדובר בנאשם בגיר שביצע את העביר</w:t>
      </w:r>
      <w:r>
        <w:rPr>
          <w:rFonts w:ascii="David" w:hAnsi="David" w:cs="David" w:hint="cs"/>
          <w:szCs w:val="24"/>
          <w:rtl/>
        </w:rPr>
        <w:t>ות המיוחסות</w:t>
      </w:r>
      <w:r>
        <w:rPr>
          <w:rFonts w:ascii="David" w:hAnsi="David" w:cs="David"/>
          <w:szCs w:val="24"/>
          <w:rtl/>
        </w:rPr>
        <w:t xml:space="preserve"> לו תוך מודעות והבנה מלאה לאיסור ולפסול שבמעשיו. הדעת נותנת שהנאשם ביצע את עבירות הסחר ממניע כלכלי, כפי שצוין בתסקיר, ועל מנת להשיא רווח קל</w:t>
      </w:r>
      <w:r>
        <w:rPr>
          <w:rFonts w:ascii="David" w:hAnsi="David" w:cs="David" w:hint="cs"/>
          <w:szCs w:val="24"/>
          <w:rtl/>
        </w:rPr>
        <w:t xml:space="preserve"> לעצמו,</w:t>
      </w:r>
      <w:r>
        <w:rPr>
          <w:rFonts w:ascii="David" w:hAnsi="David" w:cs="David"/>
          <w:szCs w:val="24"/>
          <w:rtl/>
        </w:rPr>
        <w:t xml:space="preserve"> תוך </w:t>
      </w:r>
      <w:r>
        <w:rPr>
          <w:rFonts w:ascii="David" w:hAnsi="David" w:cs="David" w:hint="cs"/>
          <w:szCs w:val="24"/>
          <w:rtl/>
        </w:rPr>
        <w:t>מודעות מלאה ל</w:t>
      </w:r>
      <w:r>
        <w:rPr>
          <w:rFonts w:ascii="David" w:hAnsi="David" w:cs="David"/>
          <w:szCs w:val="24"/>
          <w:rtl/>
        </w:rPr>
        <w:t>נטילת סיכון</w:t>
      </w:r>
      <w:r>
        <w:rPr>
          <w:rFonts w:ascii="David" w:hAnsi="David" w:cs="David" w:hint="cs"/>
          <w:szCs w:val="24"/>
          <w:rtl/>
        </w:rPr>
        <w:t xml:space="preserve"> בביצוע העבירות</w:t>
      </w:r>
      <w:r>
        <w:rPr>
          <w:rFonts w:ascii="David" w:hAnsi="David" w:cs="David"/>
          <w:szCs w:val="24"/>
          <w:rtl/>
        </w:rPr>
        <w:t xml:space="preserve">. </w:t>
      </w:r>
    </w:p>
    <w:p w14:paraId="3C699DBC" w14:textId="77777777" w:rsidR="00834B46" w:rsidRDefault="00834B46" w:rsidP="00834B46">
      <w:pPr>
        <w:jc w:val="both"/>
        <w:rPr>
          <w:rFonts w:ascii="David" w:hAnsi="David"/>
          <w:b/>
          <w:bCs/>
          <w:u w:val="single"/>
          <w:rtl/>
        </w:rPr>
      </w:pPr>
    </w:p>
    <w:p w14:paraId="3AD5040C" w14:textId="77777777" w:rsidR="00834B46" w:rsidRDefault="00834B46" w:rsidP="00834B46">
      <w:pPr>
        <w:pStyle w:val="Ruller40"/>
        <w:rPr>
          <w:rFonts w:ascii="David" w:hAnsi="David" w:cs="David"/>
          <w:szCs w:val="24"/>
          <w:u w:val="single"/>
          <w:rtl/>
        </w:rPr>
      </w:pPr>
      <w:r w:rsidRPr="00DD745F">
        <w:rPr>
          <w:rFonts w:ascii="David" w:hAnsi="David" w:cs="David"/>
          <w:szCs w:val="24"/>
          <w:u w:val="single"/>
          <w:rtl/>
        </w:rPr>
        <w:t>מדיניות הענישה הנוהגת</w:t>
      </w:r>
    </w:p>
    <w:p w14:paraId="19091688" w14:textId="77777777" w:rsidR="00834B46" w:rsidRPr="00F42507" w:rsidRDefault="00834B46" w:rsidP="00834B46">
      <w:pPr>
        <w:rPr>
          <w:highlight w:val="yellow"/>
        </w:rPr>
      </w:pPr>
    </w:p>
    <w:p w14:paraId="0CB20E8A"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אשר למדיניות הענישה הנוהגת, מצאתי את הפסיקה שלהלן כרלבנטית לקביעת מתחם העונש ההולם:</w:t>
      </w:r>
    </w:p>
    <w:p w14:paraId="25E48147" w14:textId="77777777" w:rsidR="00834B46" w:rsidRDefault="00834B46" w:rsidP="00834B46">
      <w:pPr>
        <w:rPr>
          <w:rFonts w:ascii="David" w:hAnsi="David"/>
          <w:rtl/>
        </w:rPr>
      </w:pPr>
    </w:p>
    <w:p w14:paraId="4A403CA9" w14:textId="77777777" w:rsidR="00834B46" w:rsidRDefault="00834B46" w:rsidP="00834B46">
      <w:pPr>
        <w:pStyle w:val="aa"/>
        <w:numPr>
          <w:ilvl w:val="0"/>
          <w:numId w:val="2"/>
        </w:numPr>
        <w:spacing w:line="360" w:lineRule="auto"/>
        <w:jc w:val="both"/>
        <w:rPr>
          <w:rFonts w:ascii="David" w:hAnsi="David" w:cs="David"/>
          <w:color w:val="000000"/>
          <w:sz w:val="24"/>
          <w:szCs w:val="24"/>
          <w:rtl/>
        </w:rPr>
      </w:pPr>
      <w:r>
        <w:rPr>
          <w:rFonts w:ascii="David" w:hAnsi="David" w:cs="David"/>
          <w:color w:val="000000"/>
          <w:sz w:val="24"/>
          <w:szCs w:val="24"/>
          <w:shd w:val="clear" w:color="auto" w:fill="FFFFFF"/>
          <w:rtl/>
        </w:rPr>
        <w:t xml:space="preserve"> </w:t>
      </w:r>
      <w:hyperlink r:id="rId15" w:history="1">
        <w:r w:rsidR="000A0509" w:rsidRPr="000A0509">
          <w:rPr>
            <w:rFonts w:ascii="David" w:hAnsi="David" w:cs="David"/>
            <w:color w:val="0000FF"/>
            <w:sz w:val="24"/>
            <w:szCs w:val="24"/>
            <w:u w:val="single"/>
            <w:shd w:val="clear" w:color="auto" w:fill="FFFFFF"/>
            <w:rtl/>
          </w:rPr>
          <w:t>רע"פ 7996/12</w:t>
        </w:r>
      </w:hyperlink>
      <w:r w:rsidR="000A0509">
        <w:rPr>
          <w:rFonts w:ascii="David" w:hAnsi="David" w:cs="David" w:hint="cs"/>
          <w:color w:val="000000"/>
          <w:sz w:val="24"/>
          <w:szCs w:val="24"/>
          <w:rtl/>
        </w:rPr>
        <w:t xml:space="preserve"> </w:t>
      </w:r>
      <w:r>
        <w:rPr>
          <w:rFonts w:ascii="David" w:hAnsi="David" w:cs="David" w:hint="cs"/>
          <w:b/>
          <w:bCs/>
          <w:color w:val="000000"/>
          <w:sz w:val="24"/>
          <w:szCs w:val="24"/>
          <w:rtl/>
        </w:rPr>
        <w:t>יוסף נ' מדינת ישראל</w:t>
      </w:r>
      <w:r>
        <w:rPr>
          <w:rFonts w:ascii="David" w:hAnsi="David" w:cs="David" w:hint="cs"/>
          <w:color w:val="000000"/>
          <w:sz w:val="24"/>
          <w:szCs w:val="24"/>
          <w:rtl/>
        </w:rPr>
        <w:t xml:space="preserve">; בית המשפט הרשיע את הנאשם על פי הודאתו בגין ביצוע  3 עבירות של סחר ותיווך בסם מסוג חשיש במשקל 6.17 גרם תמורת 200 ₪, 2.93 גרם תמורת 100 ₪, וכן בעבירה של החזקת סם מסוג קוקאין לצריכה עצמית. בית המשפט קבע </w:t>
      </w:r>
      <w:r w:rsidRPr="007C4667">
        <w:rPr>
          <w:rFonts w:ascii="David" w:hAnsi="David" w:cs="David" w:hint="cs"/>
          <w:b/>
          <w:bCs/>
          <w:color w:val="000000"/>
          <w:sz w:val="24"/>
          <w:szCs w:val="24"/>
          <w:rtl/>
        </w:rPr>
        <w:t>מתחם ענישה הנע בין 7-18 חודשי מאסר לכל עבירת סחר ותיווך בסמים</w:t>
      </w:r>
      <w:r>
        <w:rPr>
          <w:rFonts w:ascii="David" w:hAnsi="David" w:cs="David" w:hint="cs"/>
          <w:color w:val="000000"/>
          <w:sz w:val="24"/>
          <w:szCs w:val="24"/>
          <w:rtl/>
        </w:rPr>
        <w:t>, וגזר על הנאשם 21 חודשי מאסר בפועל. ערעור ובקשת רשות ערעור של הנאשם על גזר דינו נדחו.</w:t>
      </w:r>
    </w:p>
    <w:p w14:paraId="1D63FE42" w14:textId="77777777" w:rsidR="00834B46" w:rsidRDefault="00834B46" w:rsidP="00834B46">
      <w:pPr>
        <w:pStyle w:val="aa"/>
        <w:shd w:val="clear" w:color="auto" w:fill="FFFFFF"/>
        <w:spacing w:after="0" w:line="360" w:lineRule="atLeast"/>
        <w:ind w:left="643" w:hanging="360"/>
        <w:jc w:val="both"/>
        <w:rPr>
          <w:rFonts w:ascii="David" w:hAnsi="David" w:cs="David"/>
          <w:color w:val="000000"/>
          <w:sz w:val="24"/>
          <w:szCs w:val="24"/>
          <w:rtl/>
        </w:rPr>
      </w:pPr>
    </w:p>
    <w:p w14:paraId="201DDBCE" w14:textId="77777777" w:rsidR="00834B46" w:rsidRDefault="00834B46" w:rsidP="00834B46">
      <w:pPr>
        <w:pStyle w:val="aa"/>
        <w:numPr>
          <w:ilvl w:val="0"/>
          <w:numId w:val="2"/>
        </w:numPr>
        <w:spacing w:line="360" w:lineRule="auto"/>
        <w:jc w:val="both"/>
        <w:rPr>
          <w:rFonts w:ascii="David" w:hAnsi="David" w:cs="David"/>
          <w:spacing w:val="10"/>
          <w:sz w:val="24"/>
          <w:szCs w:val="24"/>
          <w:rtl/>
        </w:rPr>
      </w:pPr>
      <w:r>
        <w:rPr>
          <w:rFonts w:ascii="David" w:hAnsi="David" w:cs="David"/>
          <w:color w:val="000000"/>
          <w:sz w:val="24"/>
          <w:szCs w:val="24"/>
          <w:shd w:val="clear" w:color="auto" w:fill="FFFFFF"/>
          <w:rtl/>
        </w:rPr>
        <w:t>ב</w:t>
      </w:r>
      <w:hyperlink r:id="rId16" w:history="1">
        <w:r w:rsidR="000A0509" w:rsidRPr="000A0509">
          <w:rPr>
            <w:rFonts w:ascii="David" w:hAnsi="David" w:cs="David"/>
            <w:color w:val="0000FF"/>
            <w:spacing w:val="10"/>
            <w:sz w:val="24"/>
            <w:szCs w:val="24"/>
            <w:u w:val="single"/>
            <w:rtl/>
          </w:rPr>
          <w:t>עפ"ג 31347-08-14</w:t>
        </w:r>
      </w:hyperlink>
      <w:r>
        <w:rPr>
          <w:rFonts w:ascii="David" w:hAnsi="David" w:cs="David" w:hint="cs"/>
          <w:spacing w:val="10"/>
          <w:sz w:val="24"/>
          <w:szCs w:val="24"/>
          <w:rtl/>
        </w:rPr>
        <w:t xml:space="preserve"> (מחוזי-י-ם)</w:t>
      </w:r>
      <w:r w:rsidR="000A0509">
        <w:rPr>
          <w:rFonts w:ascii="David" w:hAnsi="David" w:cs="David"/>
          <w:spacing w:val="10"/>
          <w:sz w:val="24"/>
          <w:szCs w:val="24"/>
        </w:rPr>
        <w:t xml:space="preserve"> </w:t>
      </w:r>
      <w:r>
        <w:rPr>
          <w:rFonts w:ascii="David" w:hAnsi="David" w:cs="David"/>
          <w:b/>
          <w:bCs/>
          <w:spacing w:val="10"/>
          <w:sz w:val="24"/>
          <w:szCs w:val="24"/>
          <w:rtl/>
        </w:rPr>
        <w:t>מדינת ישראל נגד אברהים בשיטי;</w:t>
      </w:r>
      <w:r>
        <w:rPr>
          <w:rFonts w:ascii="David" w:hAnsi="David" w:cs="David"/>
          <w:spacing w:val="10"/>
          <w:sz w:val="24"/>
          <w:szCs w:val="24"/>
          <w:rtl/>
        </w:rPr>
        <w:t xml:space="preserve"> בית המשפט </w:t>
      </w:r>
      <w:r>
        <w:rPr>
          <w:rFonts w:ascii="David" w:hAnsi="David" w:cs="David" w:hint="cs"/>
          <w:spacing w:val="10"/>
          <w:sz w:val="24"/>
          <w:szCs w:val="24"/>
          <w:rtl/>
        </w:rPr>
        <w:t xml:space="preserve">השלום </w:t>
      </w:r>
      <w:r>
        <w:rPr>
          <w:rFonts w:ascii="David" w:hAnsi="David" w:cs="David"/>
          <w:spacing w:val="10"/>
          <w:sz w:val="24"/>
          <w:szCs w:val="24"/>
          <w:rtl/>
        </w:rPr>
        <w:t xml:space="preserve">הרשיע את הנאשם ב-2 עבירות של סחר בקנאביס (במשקל 97 גרם ו-47 גרם) ובמכירת 5 טבליות של סם מסוג </w:t>
      </w:r>
      <w:r>
        <w:rPr>
          <w:rFonts w:ascii="David" w:hAnsi="David" w:cs="David"/>
          <w:spacing w:val="10"/>
          <w:sz w:val="24"/>
          <w:szCs w:val="24"/>
        </w:rPr>
        <w:t>MDMA</w:t>
      </w:r>
      <w:r>
        <w:rPr>
          <w:rFonts w:ascii="David" w:hAnsi="David" w:cs="David"/>
          <w:spacing w:val="10"/>
          <w:sz w:val="24"/>
          <w:szCs w:val="24"/>
          <w:rtl/>
        </w:rPr>
        <w:t xml:space="preserve"> לסוכן משטרתי. </w:t>
      </w:r>
      <w:r w:rsidRPr="00016C46">
        <w:rPr>
          <w:rFonts w:ascii="David" w:hAnsi="David" w:cs="David"/>
          <w:b/>
          <w:bCs/>
          <w:spacing w:val="10"/>
          <w:sz w:val="24"/>
          <w:szCs w:val="24"/>
          <w:rtl/>
        </w:rPr>
        <w:t xml:space="preserve">בית משפט </w:t>
      </w:r>
      <w:r>
        <w:rPr>
          <w:rFonts w:ascii="David" w:hAnsi="David" w:cs="David" w:hint="cs"/>
          <w:b/>
          <w:bCs/>
          <w:spacing w:val="10"/>
          <w:sz w:val="24"/>
          <w:szCs w:val="24"/>
          <w:rtl/>
        </w:rPr>
        <w:t xml:space="preserve">השלום </w:t>
      </w:r>
      <w:r w:rsidRPr="00016C46">
        <w:rPr>
          <w:rFonts w:ascii="David" w:hAnsi="David" w:cs="David"/>
          <w:b/>
          <w:bCs/>
          <w:spacing w:val="10"/>
          <w:sz w:val="24"/>
          <w:szCs w:val="24"/>
          <w:rtl/>
        </w:rPr>
        <w:t xml:space="preserve">קבע מתחם עונש הולם הנע בין </w:t>
      </w:r>
      <w:r w:rsidRPr="00016C46">
        <w:rPr>
          <w:rFonts w:ascii="David" w:hAnsi="David" w:cs="David"/>
          <w:b/>
          <w:bCs/>
          <w:color w:val="000000"/>
          <w:sz w:val="24"/>
          <w:szCs w:val="24"/>
          <w:rtl/>
        </w:rPr>
        <w:t>מספר חודשי מאסר לריצוי בדרך של עבודות שירות ועד ל-12</w:t>
      </w:r>
      <w:r w:rsidRPr="00016C46">
        <w:rPr>
          <w:rFonts w:ascii="David" w:hAnsi="David" w:cs="David"/>
          <w:b/>
          <w:bCs/>
          <w:color w:val="000000"/>
          <w:sz w:val="24"/>
          <w:szCs w:val="24"/>
        </w:rPr>
        <w:t xml:space="preserve"> </w:t>
      </w:r>
      <w:r w:rsidRPr="00016C46">
        <w:rPr>
          <w:rFonts w:ascii="David" w:hAnsi="David" w:cs="David"/>
          <w:b/>
          <w:bCs/>
          <w:color w:val="000000"/>
          <w:sz w:val="24"/>
          <w:szCs w:val="24"/>
          <w:rtl/>
        </w:rPr>
        <w:t>חודשי מאסר בפועל</w:t>
      </w:r>
      <w:r>
        <w:rPr>
          <w:rFonts w:ascii="David" w:hAnsi="David" w:cs="David"/>
          <w:color w:val="000000"/>
          <w:sz w:val="24"/>
          <w:szCs w:val="24"/>
        </w:rPr>
        <w:t>.</w:t>
      </w:r>
      <w:r>
        <w:rPr>
          <w:rFonts w:ascii="David" w:hAnsi="David" w:cs="David"/>
          <w:spacing w:val="10"/>
          <w:sz w:val="24"/>
          <w:szCs w:val="24"/>
          <w:rtl/>
        </w:rPr>
        <w:t xml:space="preserve"> בית המשפט גזר על הנאשם 6 חודשי מאסר בדרך של עבודות שירות, מאסר על תנאי וקנס. הנאשם שם</w:t>
      </w:r>
      <w:r>
        <w:rPr>
          <w:rFonts w:ascii="David" w:hAnsi="David" w:cs="David"/>
          <w:spacing w:val="10"/>
          <w:sz w:val="24"/>
          <w:szCs w:val="24"/>
        </w:rPr>
        <w:t xml:space="preserve"> </w:t>
      </w:r>
      <w:r>
        <w:rPr>
          <w:rFonts w:ascii="David" w:hAnsi="David" w:cs="David"/>
          <w:spacing w:val="10"/>
          <w:sz w:val="24"/>
          <w:szCs w:val="24"/>
          <w:rtl/>
        </w:rPr>
        <w:t>נעדר עבר פלילי.</w:t>
      </w:r>
      <w:r>
        <w:rPr>
          <w:rFonts w:ascii="David" w:hAnsi="David" w:cs="David" w:hint="cs"/>
          <w:spacing w:val="10"/>
          <w:sz w:val="24"/>
          <w:szCs w:val="24"/>
          <w:rtl/>
        </w:rPr>
        <w:t xml:space="preserve"> בית המשפט המחוזי אישר את עונש המאסר לריצוי בעבודות שירות שנגזר על הנאשם, אף שהעיר כי לכתחילה לא היה מקום להסתפק במאסר שירוצה בעבודות שירות.   </w:t>
      </w:r>
    </w:p>
    <w:p w14:paraId="34863FA9" w14:textId="77777777" w:rsidR="00834B46" w:rsidRDefault="00834B46" w:rsidP="00834B46">
      <w:pPr>
        <w:pStyle w:val="aa"/>
        <w:rPr>
          <w:rFonts w:ascii="David" w:hAnsi="David" w:cs="David"/>
          <w:spacing w:val="10"/>
          <w:sz w:val="24"/>
          <w:szCs w:val="24"/>
        </w:rPr>
      </w:pPr>
    </w:p>
    <w:p w14:paraId="1D44F75C" w14:textId="77777777" w:rsidR="00834B46" w:rsidRPr="00834B46" w:rsidRDefault="000A0509" w:rsidP="00834B46">
      <w:pPr>
        <w:pStyle w:val="aa"/>
        <w:numPr>
          <w:ilvl w:val="0"/>
          <w:numId w:val="2"/>
        </w:numPr>
        <w:shd w:val="clear" w:color="auto" w:fill="FFFFFF"/>
        <w:spacing w:after="0" w:line="360" w:lineRule="atLeast"/>
        <w:jc w:val="both"/>
        <w:rPr>
          <w:rFonts w:ascii="David" w:hAnsi="David" w:cs="David"/>
          <w:color w:val="000000"/>
          <w:sz w:val="24"/>
          <w:szCs w:val="24"/>
          <w:rtl/>
        </w:rPr>
      </w:pPr>
      <w:hyperlink r:id="rId17" w:history="1">
        <w:r w:rsidRPr="000A0509">
          <w:rPr>
            <w:rFonts w:ascii="David" w:hAnsi="David" w:cs="David"/>
            <w:color w:val="0000FF"/>
            <w:sz w:val="24"/>
            <w:szCs w:val="24"/>
            <w:u w:val="single"/>
            <w:shd w:val="clear" w:color="auto" w:fill="FFFFFF"/>
            <w:rtl/>
          </w:rPr>
          <w:t>רע"פ 3627/13</w:t>
        </w:r>
      </w:hyperlink>
      <w:r>
        <w:rPr>
          <w:rFonts w:ascii="David" w:hAnsi="David" w:cs="David" w:hint="cs"/>
          <w:sz w:val="24"/>
          <w:szCs w:val="24"/>
          <w:rtl/>
        </w:rPr>
        <w:t xml:space="preserve"> </w:t>
      </w:r>
      <w:r w:rsidR="00834B46" w:rsidRPr="006946BF">
        <w:rPr>
          <w:rFonts w:ascii="David" w:hAnsi="David" w:cs="David" w:hint="cs"/>
          <w:b/>
          <w:bCs/>
          <w:sz w:val="24"/>
          <w:szCs w:val="24"/>
          <w:rtl/>
        </w:rPr>
        <w:t xml:space="preserve">שדה </w:t>
      </w:r>
      <w:r w:rsidR="00834B46">
        <w:rPr>
          <w:rFonts w:ascii="David" w:hAnsi="David" w:cs="David" w:hint="cs"/>
          <w:b/>
          <w:bCs/>
          <w:color w:val="000000"/>
          <w:sz w:val="24"/>
          <w:szCs w:val="24"/>
          <w:rtl/>
        </w:rPr>
        <w:t>נ' מדינת ישראל;</w:t>
      </w:r>
      <w:r w:rsidR="00834B46">
        <w:rPr>
          <w:rFonts w:ascii="David" w:hAnsi="David" w:cs="David" w:hint="cs"/>
          <w:color w:val="000000"/>
          <w:sz w:val="24"/>
          <w:szCs w:val="24"/>
          <w:rtl/>
        </w:rPr>
        <w:t xml:space="preserve"> בית המשפט הרשיע את הנאשם על פי הודאתו בשתי עבירות של סחר בסם מסוכן בכך שמכר בשתי עסקאות שונות סם מסוג קנבוס במשקלים של 0.8 גרם ו-1 גרם תמורת 80 ₪ בכל עסקה. בבית משפט השלום נגזר על הנאשם עונש בן 7 חודשי מאסר בפועל. ערעור ובקשת רשות ערעור שהוגשו על חומרת העונש נדחו. לנאשם נסיבות חיים קשות ועבר פלילי.</w:t>
      </w:r>
    </w:p>
    <w:p w14:paraId="79D24A67" w14:textId="77777777" w:rsidR="00834B46" w:rsidRDefault="00834B46" w:rsidP="00834B46">
      <w:pPr>
        <w:shd w:val="clear" w:color="auto" w:fill="FFFFFF"/>
        <w:spacing w:line="360" w:lineRule="atLeast"/>
        <w:ind w:left="567"/>
        <w:jc w:val="both"/>
        <w:rPr>
          <w:rFonts w:ascii="David" w:hAnsi="David"/>
          <w:color w:val="000000"/>
        </w:rPr>
      </w:pPr>
    </w:p>
    <w:p w14:paraId="137D4449" w14:textId="77777777" w:rsidR="00834B46" w:rsidRDefault="000A0509" w:rsidP="00834B46">
      <w:pPr>
        <w:pStyle w:val="aa"/>
        <w:numPr>
          <w:ilvl w:val="0"/>
          <w:numId w:val="2"/>
        </w:numPr>
        <w:shd w:val="clear" w:color="auto" w:fill="FFFFFF"/>
        <w:spacing w:after="0" w:line="360" w:lineRule="atLeast"/>
        <w:jc w:val="both"/>
        <w:rPr>
          <w:rFonts w:ascii="David" w:hAnsi="David" w:cs="David"/>
          <w:color w:val="000000"/>
          <w:sz w:val="24"/>
          <w:szCs w:val="24"/>
          <w:rtl/>
        </w:rPr>
      </w:pPr>
      <w:hyperlink r:id="rId18" w:history="1">
        <w:r w:rsidRPr="000A0509">
          <w:rPr>
            <w:rFonts w:ascii="David" w:hAnsi="David" w:cs="David"/>
            <w:color w:val="0000FF"/>
            <w:sz w:val="24"/>
            <w:szCs w:val="24"/>
            <w:u w:val="single"/>
            <w:shd w:val="clear" w:color="auto" w:fill="FFFFFF"/>
            <w:rtl/>
          </w:rPr>
          <w:t>רע"פ 5712/16</w:t>
        </w:r>
      </w:hyperlink>
      <w:r>
        <w:rPr>
          <w:rFonts w:ascii="David" w:hAnsi="David" w:cs="David" w:hint="cs"/>
          <w:sz w:val="24"/>
          <w:szCs w:val="24"/>
          <w:rtl/>
        </w:rPr>
        <w:t xml:space="preserve"> </w:t>
      </w:r>
      <w:r w:rsidR="00834B46" w:rsidRPr="006946BF">
        <w:rPr>
          <w:rFonts w:ascii="David" w:hAnsi="David" w:cs="David" w:hint="cs"/>
          <w:b/>
          <w:bCs/>
          <w:sz w:val="24"/>
          <w:szCs w:val="24"/>
          <w:rtl/>
        </w:rPr>
        <w:t xml:space="preserve">אייזנבאך </w:t>
      </w:r>
      <w:r w:rsidR="00834B46">
        <w:rPr>
          <w:rFonts w:ascii="David" w:hAnsi="David" w:cs="David" w:hint="cs"/>
          <w:b/>
          <w:bCs/>
          <w:color w:val="000000"/>
          <w:sz w:val="24"/>
          <w:szCs w:val="24"/>
          <w:rtl/>
        </w:rPr>
        <w:t>נ' מדינת ישראל</w:t>
      </w:r>
      <w:r>
        <w:rPr>
          <w:rFonts w:ascii="David" w:hAnsi="David" w:cs="David" w:hint="cs"/>
          <w:b/>
          <w:bCs/>
          <w:color w:val="000000"/>
          <w:sz w:val="24"/>
          <w:szCs w:val="24"/>
          <w:rtl/>
        </w:rPr>
        <w:t xml:space="preserve"> </w:t>
      </w:r>
      <w:r w:rsidR="00834B46">
        <w:rPr>
          <w:rFonts w:ascii="David" w:hAnsi="David" w:cs="David" w:hint="cs"/>
          <w:color w:val="000000"/>
          <w:sz w:val="24"/>
          <w:szCs w:val="24"/>
          <w:rtl/>
        </w:rPr>
        <w:t xml:space="preserve">– הנאשם הורשע על סמך הודאתו ב-4 עבירות של סחר בסם מסוכן. הנאשם סחר במשך כחודשיים בסם מסוכן מסוג קנבוס, במשקלים קטנים. תסקיר שירות המבחן שהוגש בעניינו של הנאשם היה חיובי והמליץ על ענישה בדמות של"צ. </w:t>
      </w:r>
      <w:r w:rsidR="00834B46" w:rsidRPr="00016C46">
        <w:rPr>
          <w:rFonts w:ascii="David" w:hAnsi="David" w:cs="David" w:hint="cs"/>
          <w:b/>
          <w:bCs/>
          <w:color w:val="000000"/>
          <w:sz w:val="24"/>
          <w:szCs w:val="24"/>
          <w:rtl/>
        </w:rPr>
        <w:t>בית המשפט קבע מתחם עונש הולם הנע בין 8 ל-24 חודשי מאסר בפועל</w:t>
      </w:r>
      <w:r w:rsidR="00834B46">
        <w:rPr>
          <w:rFonts w:ascii="David" w:hAnsi="David" w:cs="David" w:hint="cs"/>
          <w:color w:val="000000"/>
          <w:sz w:val="24"/>
          <w:szCs w:val="24"/>
          <w:rtl/>
        </w:rPr>
        <w:t>, והשית על הנאשם עונש של 8 חודשי מאסר בפועל לצד ענישה נלווית. נדחו ערעור וכן בקשת רשות ערעור שהגיש הנאשם על חומרת העונש. הנאשם נעדר עבר פלילי.</w:t>
      </w:r>
    </w:p>
    <w:p w14:paraId="47B16987" w14:textId="77777777" w:rsidR="00834B46" w:rsidRPr="006946BF" w:rsidRDefault="00834B46" w:rsidP="00834B46">
      <w:pPr>
        <w:shd w:val="clear" w:color="auto" w:fill="FFFFFF"/>
        <w:spacing w:line="360" w:lineRule="atLeast"/>
        <w:jc w:val="both"/>
        <w:rPr>
          <w:rFonts w:ascii="David" w:hAnsi="David"/>
        </w:rPr>
      </w:pPr>
    </w:p>
    <w:p w14:paraId="7C2A450B" w14:textId="77777777" w:rsidR="00834B46" w:rsidRDefault="000A0509" w:rsidP="00834B46">
      <w:pPr>
        <w:pStyle w:val="aa"/>
        <w:numPr>
          <w:ilvl w:val="0"/>
          <w:numId w:val="2"/>
        </w:numPr>
        <w:spacing w:line="360" w:lineRule="auto"/>
        <w:jc w:val="both"/>
        <w:rPr>
          <w:rFonts w:ascii="David" w:hAnsi="David" w:cs="David"/>
          <w:spacing w:val="10"/>
          <w:sz w:val="24"/>
          <w:szCs w:val="24"/>
          <w:rtl/>
        </w:rPr>
      </w:pPr>
      <w:hyperlink r:id="rId19" w:history="1">
        <w:r w:rsidRPr="000A0509">
          <w:rPr>
            <w:rFonts w:ascii="David" w:hAnsi="David" w:cs="David"/>
            <w:color w:val="0000FF"/>
            <w:sz w:val="24"/>
            <w:szCs w:val="24"/>
            <w:u w:val="single"/>
            <w:shd w:val="clear" w:color="auto" w:fill="FFFFFF"/>
            <w:rtl/>
          </w:rPr>
          <w:t>ת"פ (עכו) 39589-07-13</w:t>
        </w:r>
      </w:hyperlink>
      <w:r>
        <w:rPr>
          <w:rFonts w:ascii="David" w:hAnsi="David" w:cs="David"/>
          <w:sz w:val="24"/>
          <w:szCs w:val="24"/>
          <w:shd w:val="clear" w:color="auto" w:fill="FFFFFF"/>
        </w:rPr>
        <w:t xml:space="preserve"> </w:t>
      </w:r>
      <w:r w:rsidR="00834B46" w:rsidRPr="006946BF">
        <w:rPr>
          <w:rFonts w:ascii="David" w:hAnsi="David" w:cs="David"/>
          <w:b/>
          <w:bCs/>
          <w:sz w:val="24"/>
          <w:szCs w:val="24"/>
          <w:shd w:val="clear" w:color="auto" w:fill="FFFFFF"/>
          <w:rtl/>
        </w:rPr>
        <w:t xml:space="preserve">מדינת </w:t>
      </w:r>
      <w:r w:rsidR="00834B46">
        <w:rPr>
          <w:rFonts w:ascii="David" w:hAnsi="David" w:cs="David"/>
          <w:b/>
          <w:bCs/>
          <w:sz w:val="24"/>
          <w:szCs w:val="24"/>
          <w:shd w:val="clear" w:color="auto" w:fill="FFFFFF"/>
          <w:rtl/>
        </w:rPr>
        <w:t xml:space="preserve">ישראל נגד קנאר אסדי; </w:t>
      </w:r>
      <w:r w:rsidR="00834B46">
        <w:rPr>
          <w:rFonts w:ascii="David" w:hAnsi="David" w:cs="David"/>
          <w:sz w:val="24"/>
          <w:szCs w:val="24"/>
          <w:shd w:val="clear" w:color="auto" w:fill="FFFFFF"/>
          <w:rtl/>
        </w:rPr>
        <w:t>בית המשפט הרשיע את הנאשם בסחר בסמים בכך שמכר לסוכן משטרתי בשתי הזדמנויות שונות סם מסוג חשיש, פעם אחת - בכמות של 1.34 גרם ובנוסף 5 טבליות</w:t>
      </w:r>
      <w:r>
        <w:rPr>
          <w:rFonts w:ascii="David" w:hAnsi="David" w:cs="David"/>
          <w:sz w:val="24"/>
          <w:szCs w:val="24"/>
          <w:shd w:val="clear" w:color="auto" w:fill="FFFFFF"/>
          <w:rtl/>
        </w:rPr>
        <w:t xml:space="preserve"> </w:t>
      </w:r>
      <w:r w:rsidR="00834B46">
        <w:rPr>
          <w:rFonts w:ascii="David" w:hAnsi="David" w:cs="David"/>
          <w:sz w:val="24"/>
          <w:szCs w:val="24"/>
          <w:shd w:val="clear" w:color="auto" w:fill="FFFFFF"/>
        </w:rPr>
        <w:t>MDPV</w:t>
      </w:r>
      <w:r>
        <w:rPr>
          <w:rFonts w:ascii="David" w:hAnsi="David" w:cs="David"/>
          <w:sz w:val="24"/>
          <w:szCs w:val="24"/>
          <w:shd w:val="clear" w:color="auto" w:fill="FFFFFF"/>
        </w:rPr>
        <w:t xml:space="preserve"> </w:t>
      </w:r>
      <w:r w:rsidR="00834B46">
        <w:rPr>
          <w:rFonts w:ascii="David" w:hAnsi="David" w:cs="David"/>
          <w:sz w:val="24"/>
          <w:szCs w:val="24"/>
          <w:shd w:val="clear" w:color="auto" w:fill="FFFFFF"/>
          <w:rtl/>
        </w:rPr>
        <w:t xml:space="preserve"> ובפעם השנייה – 5.44 גרם חשיש ו-10 טבליות של </w:t>
      </w:r>
      <w:r w:rsidR="00834B46">
        <w:rPr>
          <w:rFonts w:ascii="David" w:hAnsi="David" w:cs="David"/>
          <w:sz w:val="24"/>
          <w:szCs w:val="24"/>
          <w:shd w:val="clear" w:color="auto" w:fill="FFFFFF"/>
        </w:rPr>
        <w:t xml:space="preserve">MDPV </w:t>
      </w:r>
      <w:r w:rsidR="00834B46">
        <w:rPr>
          <w:rFonts w:ascii="David" w:hAnsi="David" w:cs="David"/>
          <w:sz w:val="24"/>
          <w:szCs w:val="24"/>
          <w:shd w:val="clear" w:color="auto" w:fill="FFFFFF"/>
          <w:rtl/>
        </w:rPr>
        <w:t xml:space="preserve">. </w:t>
      </w:r>
      <w:r w:rsidR="00834B46" w:rsidRPr="00016C46">
        <w:rPr>
          <w:rFonts w:ascii="David" w:hAnsi="David" w:cs="David"/>
          <w:sz w:val="24"/>
          <w:szCs w:val="24"/>
          <w:shd w:val="clear" w:color="auto" w:fill="FFFFFF"/>
          <w:rtl/>
        </w:rPr>
        <w:t>בית המשפט גזר על הנאשם 10 חודשי מאסר בפועל, מאסר על תנאי וקנס</w:t>
      </w:r>
      <w:r w:rsidR="00834B46">
        <w:rPr>
          <w:rFonts w:ascii="David" w:hAnsi="David" w:cs="David"/>
          <w:sz w:val="24"/>
          <w:szCs w:val="24"/>
          <w:shd w:val="clear" w:color="auto" w:fill="FFFFFF"/>
        </w:rPr>
        <w:t>.</w:t>
      </w:r>
      <w:r w:rsidR="00834B46">
        <w:rPr>
          <w:rFonts w:ascii="David" w:hAnsi="David" w:cs="David"/>
          <w:sz w:val="24"/>
          <w:szCs w:val="24"/>
          <w:shd w:val="clear" w:color="auto" w:fill="FFFFFF"/>
          <w:rtl/>
        </w:rPr>
        <w:t xml:space="preserve"> לנאשם שם שתי הרשעות קודמות בעבירות סמים.</w:t>
      </w:r>
    </w:p>
    <w:p w14:paraId="7CA7B180" w14:textId="77777777" w:rsidR="00834B46" w:rsidRDefault="00834B46" w:rsidP="00834B46">
      <w:pPr>
        <w:spacing w:line="360" w:lineRule="auto"/>
        <w:jc w:val="both"/>
        <w:rPr>
          <w:rFonts w:ascii="David" w:hAnsi="David"/>
          <w:spacing w:val="10"/>
        </w:rPr>
      </w:pPr>
    </w:p>
    <w:p w14:paraId="48517B1A"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חלק מהפסיקה </w:t>
      </w:r>
      <w:r>
        <w:rPr>
          <w:rFonts w:ascii="David" w:hAnsi="David" w:cs="David" w:hint="cs"/>
          <w:szCs w:val="24"/>
          <w:rtl/>
        </w:rPr>
        <w:t xml:space="preserve">שהבאתי לעיל, עניינה </w:t>
      </w:r>
      <w:r>
        <w:rPr>
          <w:rFonts w:ascii="David" w:hAnsi="David" w:cs="David"/>
          <w:szCs w:val="24"/>
          <w:rtl/>
        </w:rPr>
        <w:t>בעבירות של סחר בסם מסוג קנ</w:t>
      </w:r>
      <w:r>
        <w:rPr>
          <w:rFonts w:ascii="David" w:hAnsi="David" w:cs="David" w:hint="cs"/>
          <w:szCs w:val="24"/>
          <w:rtl/>
        </w:rPr>
        <w:t>א</w:t>
      </w:r>
      <w:r>
        <w:rPr>
          <w:rFonts w:ascii="David" w:hAnsi="David" w:cs="David"/>
          <w:szCs w:val="24"/>
          <w:rtl/>
        </w:rPr>
        <w:t>ביס</w:t>
      </w:r>
      <w:r>
        <w:rPr>
          <w:rFonts w:ascii="David" w:hAnsi="David" w:cs="David" w:hint="cs"/>
          <w:szCs w:val="24"/>
          <w:rtl/>
        </w:rPr>
        <w:t>. עם זאת, לטעמי, מדיניות הענישה שפורטה לעיל</w:t>
      </w:r>
      <w:r>
        <w:rPr>
          <w:rFonts w:ascii="David" w:hAnsi="David" w:cs="David"/>
          <w:szCs w:val="24"/>
          <w:rtl/>
        </w:rPr>
        <w:t xml:space="preserve"> רלוונטית</w:t>
      </w:r>
      <w:r>
        <w:rPr>
          <w:rFonts w:ascii="David" w:hAnsi="David" w:cs="David" w:hint="cs"/>
          <w:szCs w:val="24"/>
          <w:rtl/>
        </w:rPr>
        <w:t xml:space="preserve"> גם</w:t>
      </w:r>
      <w:r>
        <w:rPr>
          <w:rFonts w:ascii="David" w:hAnsi="David" w:cs="David"/>
          <w:szCs w:val="24"/>
          <w:rtl/>
        </w:rPr>
        <w:t xml:space="preserve"> לעניינו וזאת מקל וחומר, שהרי אם בפסיקה זו אושרו מתחמים הנעים בין 6 ל-24 חודשי מאסר ב</w:t>
      </w:r>
      <w:r>
        <w:rPr>
          <w:rFonts w:ascii="David" w:hAnsi="David" w:cs="David" w:hint="cs"/>
          <w:szCs w:val="24"/>
          <w:rtl/>
        </w:rPr>
        <w:t xml:space="preserve">גין </w:t>
      </w:r>
      <w:r>
        <w:rPr>
          <w:rFonts w:ascii="David" w:hAnsi="David" w:cs="David"/>
          <w:szCs w:val="24"/>
          <w:rtl/>
        </w:rPr>
        <w:t xml:space="preserve">עבירות של סחר בסם </w:t>
      </w:r>
      <w:r>
        <w:rPr>
          <w:rFonts w:ascii="David" w:hAnsi="David" w:cs="David" w:hint="cs"/>
          <w:szCs w:val="24"/>
          <w:rtl/>
        </w:rPr>
        <w:t xml:space="preserve">מסוג קנאביס </w:t>
      </w:r>
      <w:r>
        <w:rPr>
          <w:rFonts w:ascii="David" w:hAnsi="David" w:cs="David"/>
          <w:szCs w:val="24"/>
          <w:rtl/>
        </w:rPr>
        <w:t>הנחש</w:t>
      </w:r>
      <w:r>
        <w:rPr>
          <w:rFonts w:ascii="David" w:hAnsi="David" w:cs="David" w:hint="cs"/>
          <w:szCs w:val="24"/>
          <w:rtl/>
        </w:rPr>
        <w:t>ב</w:t>
      </w:r>
      <w:r>
        <w:rPr>
          <w:rFonts w:ascii="David" w:hAnsi="David" w:cs="David"/>
          <w:szCs w:val="24"/>
          <w:rtl/>
        </w:rPr>
        <w:t xml:space="preserve"> לסם "קל", הרי שעתירת התביעה במקרה זה, בו </w:t>
      </w:r>
      <w:r>
        <w:rPr>
          <w:rFonts w:ascii="David" w:hAnsi="David" w:cs="David" w:hint="cs"/>
          <w:szCs w:val="24"/>
          <w:rtl/>
        </w:rPr>
        <w:t xml:space="preserve">עסקינן </w:t>
      </w:r>
      <w:r>
        <w:rPr>
          <w:rFonts w:ascii="David" w:hAnsi="David" w:cs="David"/>
          <w:szCs w:val="24"/>
          <w:rtl/>
        </w:rPr>
        <w:t xml:space="preserve">בסחר בסם מסוג </w:t>
      </w:r>
      <w:r>
        <w:rPr>
          <w:rFonts w:ascii="David" w:hAnsi="David" w:cs="David"/>
          <w:szCs w:val="24"/>
        </w:rPr>
        <w:t>MDMA</w:t>
      </w:r>
      <w:r>
        <w:rPr>
          <w:rFonts w:ascii="David" w:hAnsi="David" w:cs="David"/>
          <w:szCs w:val="24"/>
          <w:rtl/>
        </w:rPr>
        <w:t xml:space="preserve">, נכונה וראויה. </w:t>
      </w:r>
    </w:p>
    <w:p w14:paraId="78EC7B2B" w14:textId="77777777" w:rsidR="00834B46" w:rsidRDefault="00834B46" w:rsidP="00834B46">
      <w:pPr>
        <w:rPr>
          <w:rFonts w:ascii="David" w:hAnsi="David"/>
          <w:b/>
          <w:bCs/>
          <w:spacing w:val="10"/>
          <w:u w:val="single"/>
          <w:rtl/>
        </w:rPr>
      </w:pPr>
    </w:p>
    <w:p w14:paraId="233E21F3" w14:textId="77777777" w:rsidR="00834B46" w:rsidRDefault="00834B46" w:rsidP="00834B46">
      <w:pPr>
        <w:pStyle w:val="Ruller40"/>
        <w:rPr>
          <w:rFonts w:ascii="David" w:hAnsi="David" w:cs="David"/>
          <w:szCs w:val="24"/>
          <w:u w:val="single"/>
          <w:rtl/>
        </w:rPr>
      </w:pPr>
    </w:p>
    <w:p w14:paraId="21A92E89" w14:textId="77777777" w:rsidR="00834B46" w:rsidRDefault="00834B46" w:rsidP="00834B46">
      <w:pPr>
        <w:pStyle w:val="Ruller40"/>
        <w:rPr>
          <w:rFonts w:ascii="David" w:hAnsi="David" w:cs="David"/>
          <w:szCs w:val="24"/>
          <w:u w:val="single"/>
          <w:rtl/>
        </w:rPr>
      </w:pPr>
    </w:p>
    <w:p w14:paraId="726B0DA4" w14:textId="77777777" w:rsidR="00834B46" w:rsidRDefault="00834B46" w:rsidP="00834B46">
      <w:pPr>
        <w:pStyle w:val="Ruller40"/>
        <w:rPr>
          <w:rFonts w:ascii="David" w:hAnsi="David" w:cs="David"/>
          <w:szCs w:val="24"/>
          <w:u w:val="single"/>
          <w:rtl/>
        </w:rPr>
      </w:pPr>
    </w:p>
    <w:p w14:paraId="0FF73E8C" w14:textId="77777777" w:rsidR="00834B46" w:rsidRDefault="00834B46" w:rsidP="00834B46">
      <w:pPr>
        <w:pStyle w:val="Ruller40"/>
        <w:rPr>
          <w:rFonts w:ascii="David" w:hAnsi="David" w:cs="David"/>
          <w:szCs w:val="24"/>
          <w:u w:val="single"/>
          <w:rtl/>
        </w:rPr>
      </w:pPr>
    </w:p>
    <w:p w14:paraId="1B273EFA" w14:textId="77777777" w:rsidR="00834B46" w:rsidRDefault="00834B46" w:rsidP="00834B46">
      <w:pPr>
        <w:pStyle w:val="Ruller40"/>
        <w:rPr>
          <w:rFonts w:ascii="David" w:hAnsi="David" w:cs="David"/>
          <w:szCs w:val="24"/>
          <w:u w:val="single"/>
          <w:rtl/>
        </w:rPr>
      </w:pPr>
      <w:r w:rsidRPr="00DD745F">
        <w:rPr>
          <w:rFonts w:ascii="David" w:hAnsi="David" w:cs="David"/>
          <w:szCs w:val="24"/>
          <w:u w:val="single"/>
          <w:rtl/>
        </w:rPr>
        <w:t>מתחם הענישה</w:t>
      </w:r>
    </w:p>
    <w:p w14:paraId="4BA7C68D" w14:textId="77777777" w:rsidR="00834B46" w:rsidRPr="00DD745F" w:rsidRDefault="00834B46" w:rsidP="00834B46">
      <w:pPr>
        <w:rPr>
          <w:rtl/>
        </w:rPr>
      </w:pPr>
    </w:p>
    <w:p w14:paraId="7E78DEDE" w14:textId="77777777" w:rsidR="00834B46" w:rsidRDefault="00834B46" w:rsidP="00834B46">
      <w:pPr>
        <w:pStyle w:val="Ruller40"/>
        <w:numPr>
          <w:ilvl w:val="0"/>
          <w:numId w:val="1"/>
        </w:numPr>
        <w:ind w:left="0" w:firstLine="0"/>
        <w:rPr>
          <w:rFonts w:ascii="David" w:hAnsi="David" w:cs="David"/>
          <w:szCs w:val="24"/>
          <w:rtl/>
        </w:rPr>
      </w:pPr>
      <w:r w:rsidRPr="00F42507">
        <w:rPr>
          <w:rFonts w:ascii="David" w:hAnsi="David" w:cs="David" w:hint="cs"/>
          <w:szCs w:val="24"/>
          <w:rtl/>
        </w:rPr>
        <w:t xml:space="preserve">בטיעוניהם לעונש לא התייחסו הצדדים לשאלה אם יש לקבוע מתחם אחד לשני האישומים או שמא יש לראות בכל אישום אירוע נפרד. נוכח עמדת הצדדים אף אני איני נדרש לשאלה. על כן, אקבע מתחם אחד לשני האישומים כאירוע אחד. דומה שתוצאה כזו מתבקשת גם לנוכח סמיכות הזמנים שבין האישומים.  </w:t>
      </w:r>
    </w:p>
    <w:p w14:paraId="7E0AEE12" w14:textId="77777777" w:rsidR="00834B46" w:rsidRPr="00DC6302" w:rsidRDefault="00834B46" w:rsidP="00834B46">
      <w:pPr>
        <w:rPr>
          <w:rtl/>
        </w:rPr>
      </w:pPr>
    </w:p>
    <w:p w14:paraId="045C1976"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לאחר שקלול מכלול הנסיבות והשיקולים הרלוונטיים, אני סבור שמתחם העונש ההולם את המעש</w:t>
      </w:r>
      <w:r>
        <w:rPr>
          <w:rFonts w:ascii="David" w:hAnsi="David" w:cs="David" w:hint="cs"/>
          <w:szCs w:val="24"/>
          <w:rtl/>
        </w:rPr>
        <w:t>ים</w:t>
      </w:r>
      <w:r>
        <w:rPr>
          <w:rFonts w:ascii="David" w:hAnsi="David" w:cs="David"/>
          <w:szCs w:val="24"/>
          <w:rtl/>
        </w:rPr>
        <w:t xml:space="preserve"> </w:t>
      </w:r>
      <w:r>
        <w:rPr>
          <w:rFonts w:ascii="David" w:hAnsi="David" w:cs="David" w:hint="cs"/>
          <w:szCs w:val="24"/>
          <w:rtl/>
        </w:rPr>
        <w:t xml:space="preserve">בשני האישומים </w:t>
      </w:r>
      <w:r>
        <w:rPr>
          <w:rFonts w:ascii="David" w:hAnsi="David" w:cs="David"/>
          <w:szCs w:val="24"/>
          <w:rtl/>
        </w:rPr>
        <w:t xml:space="preserve">נע בין </w:t>
      </w:r>
      <w:r>
        <w:rPr>
          <w:rFonts w:ascii="David" w:hAnsi="David" w:cs="David"/>
          <w:b/>
          <w:bCs/>
          <w:szCs w:val="24"/>
          <w:rtl/>
        </w:rPr>
        <w:t>7 חודשי מאסר שיכול וירוצו בעבודות השירות לבין 18 חודשי מאסר בפועל.</w:t>
      </w:r>
    </w:p>
    <w:p w14:paraId="5C496D27" w14:textId="77777777" w:rsidR="00834B46" w:rsidRDefault="00834B46" w:rsidP="00834B46">
      <w:pPr>
        <w:spacing w:line="360" w:lineRule="auto"/>
        <w:jc w:val="both"/>
        <w:rPr>
          <w:rFonts w:ascii="David" w:hAnsi="David"/>
          <w:b/>
          <w:bCs/>
          <w:rtl/>
        </w:rPr>
      </w:pPr>
    </w:p>
    <w:p w14:paraId="07ED4E3C" w14:textId="77777777" w:rsidR="00834B46" w:rsidRDefault="00834B46" w:rsidP="00834B46">
      <w:pPr>
        <w:spacing w:line="360" w:lineRule="auto"/>
        <w:jc w:val="both"/>
        <w:rPr>
          <w:rFonts w:ascii="David" w:hAnsi="David"/>
          <w:u w:val="single"/>
          <w:rtl/>
        </w:rPr>
      </w:pPr>
      <w:r w:rsidRPr="00DD745F">
        <w:rPr>
          <w:rFonts w:ascii="David" w:hAnsi="David"/>
          <w:u w:val="single"/>
          <w:rtl/>
        </w:rPr>
        <w:t>נסיבות שאינן קשורות בביצוע העבירה</w:t>
      </w:r>
    </w:p>
    <w:p w14:paraId="35DEF7D7" w14:textId="77777777" w:rsidR="00834B46" w:rsidRPr="00DD745F" w:rsidRDefault="00834B46" w:rsidP="00834B46">
      <w:pPr>
        <w:spacing w:line="360" w:lineRule="auto"/>
        <w:jc w:val="both"/>
        <w:rPr>
          <w:rFonts w:ascii="David" w:hAnsi="David"/>
          <w:u w:val="single"/>
          <w:rtl/>
        </w:rPr>
      </w:pPr>
    </w:p>
    <w:p w14:paraId="45D6B4BE"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 xml:space="preserve">במסגרת </w:t>
      </w:r>
      <w:r>
        <w:rPr>
          <w:rFonts w:ascii="David" w:hAnsi="David" w:cs="David" w:hint="cs"/>
          <w:szCs w:val="24"/>
          <w:rtl/>
        </w:rPr>
        <w:t>ה</w:t>
      </w:r>
      <w:r>
        <w:rPr>
          <w:rFonts w:ascii="David" w:hAnsi="David" w:cs="David"/>
          <w:szCs w:val="24"/>
          <w:rtl/>
        </w:rPr>
        <w:t>נסיבות שאינ</w:t>
      </w:r>
      <w:r>
        <w:rPr>
          <w:rFonts w:ascii="David" w:hAnsi="David" w:cs="David" w:hint="cs"/>
          <w:szCs w:val="24"/>
          <w:rtl/>
        </w:rPr>
        <w:t>ן</w:t>
      </w:r>
      <w:r>
        <w:rPr>
          <w:rFonts w:ascii="David" w:hAnsi="David" w:cs="David"/>
          <w:szCs w:val="24"/>
          <w:rtl/>
        </w:rPr>
        <w:t xml:space="preserve"> קשורות בביצוע העבירה, יש לזקוף לזכות הנאשם את העובדה שהנאשם לקח אחריות על מעשיו, הודה בעובדות כתב האישום המתוקן וחסך זמן שיפוטי יקר. </w:t>
      </w:r>
    </w:p>
    <w:p w14:paraId="58E0BB5B" w14:textId="77777777" w:rsidR="00834B46" w:rsidRDefault="00834B46" w:rsidP="00834B46">
      <w:pPr>
        <w:rPr>
          <w:rFonts w:ascii="David" w:hAnsi="David"/>
          <w:rtl/>
        </w:rPr>
      </w:pPr>
    </w:p>
    <w:p w14:paraId="40808633"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בנוסף, יש לקחת בחשבון כי הנאשם לקח חלק מסוים בהליך</w:t>
      </w:r>
      <w:r>
        <w:rPr>
          <w:rFonts w:ascii="David" w:hAnsi="David" w:cs="David" w:hint="cs"/>
          <w:szCs w:val="24"/>
          <w:rtl/>
        </w:rPr>
        <w:t xml:space="preserve"> טיפולי בפני </w:t>
      </w:r>
      <w:r>
        <w:rPr>
          <w:rFonts w:ascii="David" w:hAnsi="David" w:cs="David"/>
          <w:szCs w:val="24"/>
          <w:rtl/>
        </w:rPr>
        <w:t>שירות המבחן</w:t>
      </w:r>
      <w:r>
        <w:rPr>
          <w:rFonts w:ascii="David" w:hAnsi="David" w:cs="David" w:hint="cs"/>
          <w:szCs w:val="24"/>
          <w:rtl/>
        </w:rPr>
        <w:t>. כך גם יש לזקוף לזכות הנאשם</w:t>
      </w:r>
      <w:r>
        <w:rPr>
          <w:rFonts w:ascii="David" w:hAnsi="David" w:cs="David"/>
          <w:szCs w:val="24"/>
          <w:rtl/>
        </w:rPr>
        <w:t xml:space="preserve"> את גורמי הסיכוי לשיקום שבאו לידי ביטוי בתסקיר שירות המבחן. בכלל זה, יש לתת משקל מסוים גם לשאיפת הנאשם להתקדם ולנהל אורח חיים נורמטיבי. </w:t>
      </w:r>
    </w:p>
    <w:p w14:paraId="1DA91AD6" w14:textId="77777777" w:rsidR="00834B46" w:rsidRDefault="00834B46" w:rsidP="00834B46">
      <w:pPr>
        <w:rPr>
          <w:rFonts w:ascii="David" w:hAnsi="David"/>
          <w:rtl/>
        </w:rPr>
      </w:pPr>
    </w:p>
    <w:p w14:paraId="7B774214"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עם זאת, אינני סבור שתסקירי שירות המבחן בעניינו של הנאשם חיוביים, וזאת כפי שיפורט להלן. </w:t>
      </w:r>
    </w:p>
    <w:p w14:paraId="292EFE44" w14:textId="77777777" w:rsidR="00834B46" w:rsidRDefault="00834B46" w:rsidP="00834B46">
      <w:pPr>
        <w:rPr>
          <w:rFonts w:ascii="David" w:hAnsi="David"/>
          <w:rtl/>
        </w:rPr>
      </w:pPr>
    </w:p>
    <w:p w14:paraId="0ADD3A11"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עיינתי היטב בתסקירי שירות המבחן ושמעתי טענות ב"כ הנאשם, ולא אוכל לתת לתסקירים משקל של ממש במסגרת גזירת העונש. בכל הכבוד הראוי תסקיר שירות המבחן אינו חיובי ובוודאי שהמלצתו אינה תואמת את חומרת העבירות בהן הורשע הנאשם. </w:t>
      </w:r>
      <w:r w:rsidRPr="002C2E5B">
        <w:rPr>
          <w:rFonts w:ascii="David" w:hAnsi="David" w:cs="David"/>
          <w:b/>
          <w:bCs/>
          <w:szCs w:val="24"/>
          <w:rtl/>
        </w:rPr>
        <w:t>ראשית</w:t>
      </w:r>
      <w:r>
        <w:rPr>
          <w:rFonts w:ascii="David" w:hAnsi="David" w:cs="David"/>
          <w:szCs w:val="24"/>
          <w:rtl/>
        </w:rPr>
        <w:t xml:space="preserve">, במסגרת התסקיר הראשון שירות המבחן ציין שלל גורמי סיכון הטמונים בנאשם ואולם במסגרת התסקיר המשלים שהוגש לא ניתן להבין כיצד טופלו אותם גורמי סיכון. שירות המבחן לא פירט אלו תכנים עובדו במסגרת הקבוצה הטיפולית. </w:t>
      </w:r>
      <w:r w:rsidRPr="002C2E5B">
        <w:rPr>
          <w:rFonts w:ascii="David" w:hAnsi="David" w:cs="David"/>
          <w:b/>
          <w:bCs/>
          <w:szCs w:val="24"/>
          <w:rtl/>
        </w:rPr>
        <w:t>שנית</w:t>
      </w:r>
      <w:r>
        <w:rPr>
          <w:rFonts w:ascii="David" w:hAnsi="David" w:cs="David"/>
          <w:szCs w:val="24"/>
          <w:rtl/>
        </w:rPr>
        <w:t xml:space="preserve">, עיון בתסקיר מלמד כי קיים קושי מובנה לתת אמון מלא לדיווחי הנאשם ואמו ביחס לנסיבותיו הרפואיות והנפשיות בעקבות תאונת דרכים שעבר הנאשם משעה שהאירועים לא אומתו ולא הוצג כל מסמך התומך בטענות אלה. כך, הן משום הסתירה שבין דברי הנאשם (לפיו עבר הליך טיפולי מצומצם אצל פסיכיאטר בעקבות תאונת הדרכים) ובין דברי האם (לפיהם הנאשם טופל לכאורה אצל פסיכיאטר במשך 5 שנים) והן משום שגם בפניה לגורמי הרווחה וקופת החולים לא נמצא תיעוד לכך שהנאשם עבר אבחון פסיכיאטרי. </w:t>
      </w:r>
    </w:p>
    <w:p w14:paraId="64095CF7" w14:textId="77777777" w:rsidR="00834B46" w:rsidRDefault="00834B46" w:rsidP="00834B46">
      <w:pPr>
        <w:rPr>
          <w:rFonts w:ascii="David" w:hAnsi="David"/>
          <w:rtl/>
        </w:rPr>
      </w:pPr>
    </w:p>
    <w:p w14:paraId="564051D0" w14:textId="77777777" w:rsidR="00834B46" w:rsidRDefault="00834B46" w:rsidP="00834B46">
      <w:pPr>
        <w:rPr>
          <w:rFonts w:ascii="David" w:hAnsi="David"/>
          <w:rtl/>
        </w:rPr>
      </w:pPr>
    </w:p>
    <w:p w14:paraId="7C8F697B"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קושי נוסף בתסקיר אני מוצא בכך ששירות המבחן נתן לכאורה משקל לעובדה שלא נמצאו שרידי סם ב-8 בדיקות שתן שנערכו לנאשם. עניין זה תמוה בעיני</w:t>
      </w:r>
      <w:r>
        <w:rPr>
          <w:rFonts w:ascii="David" w:hAnsi="David" w:cs="David" w:hint="cs"/>
          <w:szCs w:val="24"/>
          <w:rtl/>
        </w:rPr>
        <w:t>. זאת,</w:t>
      </w:r>
      <w:r>
        <w:rPr>
          <w:rFonts w:ascii="David" w:hAnsi="David" w:cs="David"/>
          <w:szCs w:val="24"/>
          <w:rtl/>
        </w:rPr>
        <w:t xml:space="preserve"> לנוכח העובדה שנטען כי הנאשם מחזיק ברישיון רפואי לקנאביס. אמנם לנאשם מיוחסות עבירות סמים, אולם </w:t>
      </w:r>
      <w:r>
        <w:rPr>
          <w:rFonts w:ascii="David" w:hAnsi="David" w:cs="David" w:hint="cs"/>
          <w:szCs w:val="24"/>
          <w:rtl/>
        </w:rPr>
        <w:t>ה</w:t>
      </w:r>
      <w:r>
        <w:rPr>
          <w:rFonts w:ascii="David" w:hAnsi="David" w:cs="David"/>
          <w:szCs w:val="24"/>
          <w:rtl/>
        </w:rPr>
        <w:t xml:space="preserve">מניע </w:t>
      </w:r>
      <w:r>
        <w:rPr>
          <w:rFonts w:ascii="David" w:hAnsi="David" w:cs="David" w:hint="cs"/>
          <w:szCs w:val="24"/>
          <w:rtl/>
        </w:rPr>
        <w:t>ל</w:t>
      </w:r>
      <w:r>
        <w:rPr>
          <w:rFonts w:ascii="David" w:hAnsi="David" w:cs="David"/>
          <w:szCs w:val="24"/>
          <w:rtl/>
        </w:rPr>
        <w:t xml:space="preserve">ביצוע העבירות בהן הורשע הנאשם </w:t>
      </w:r>
      <w:r>
        <w:rPr>
          <w:rFonts w:ascii="David" w:hAnsi="David" w:cs="David" w:hint="cs"/>
          <w:szCs w:val="24"/>
          <w:rtl/>
        </w:rPr>
        <w:t xml:space="preserve">הוא </w:t>
      </w:r>
      <w:r>
        <w:rPr>
          <w:rFonts w:ascii="David" w:hAnsi="David" w:cs="David"/>
          <w:szCs w:val="24"/>
          <w:rtl/>
        </w:rPr>
        <w:t xml:space="preserve">מניע כלכלי מובהק ולא התמכרות לחומרים משני תודעה. למרבה ההפתעה, העובדה שהנאשם אינו סובל מבעיית התמכרות מתחזקת לנוכח העולה ממכתב העו"ס, מרכזת היחידה לטיפול והתמכרויות לשיקום האסיר, שזו מומחיותה. </w:t>
      </w:r>
    </w:p>
    <w:p w14:paraId="24CE9A7B" w14:textId="77777777" w:rsidR="00834B46" w:rsidRDefault="00834B46" w:rsidP="00834B46">
      <w:pPr>
        <w:rPr>
          <w:rFonts w:ascii="David" w:hAnsi="David"/>
          <w:rtl/>
        </w:rPr>
      </w:pPr>
    </w:p>
    <w:p w14:paraId="250931D5" w14:textId="77777777" w:rsidR="00834B46" w:rsidRDefault="00834B46" w:rsidP="00834B46">
      <w:pPr>
        <w:pStyle w:val="Ruller40"/>
        <w:rPr>
          <w:rFonts w:ascii="David" w:hAnsi="David" w:cs="David"/>
          <w:szCs w:val="24"/>
        </w:rPr>
      </w:pPr>
    </w:p>
    <w:p w14:paraId="6CC9875A"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כך גם עיינתי במכתב מטעם הרווחה שהוגש ע"י ההגנה (נע/1)</w:t>
      </w:r>
      <w:r>
        <w:rPr>
          <w:rFonts w:ascii="David" w:hAnsi="David" w:cs="David" w:hint="cs"/>
          <w:szCs w:val="24"/>
          <w:rtl/>
        </w:rPr>
        <w:t xml:space="preserve"> ולא מצאתי בו ממש</w:t>
      </w:r>
      <w:r>
        <w:rPr>
          <w:rFonts w:ascii="David" w:hAnsi="David" w:cs="David"/>
          <w:szCs w:val="24"/>
          <w:rtl/>
        </w:rPr>
        <w:t xml:space="preserve">. גם מכתב זה מאמץ ככזה ראה וקדש את הדיווח שנמסר מהאם ומהנאשם בדבר הליך טיפולי </w:t>
      </w:r>
      <w:r>
        <w:rPr>
          <w:rFonts w:ascii="David" w:hAnsi="David" w:cs="David" w:hint="cs"/>
          <w:szCs w:val="24"/>
          <w:rtl/>
        </w:rPr>
        <w:t xml:space="preserve">נפשי </w:t>
      </w:r>
      <w:r>
        <w:rPr>
          <w:rFonts w:ascii="David" w:hAnsi="David" w:cs="David"/>
          <w:szCs w:val="24"/>
          <w:rtl/>
        </w:rPr>
        <w:t xml:space="preserve">אינטנסיבי שעבר הנאשם מבלי שהוצגו תימוכין לטענה להליך טיפולי פסיכיאטרי ממושך </w:t>
      </w:r>
      <w:r>
        <w:rPr>
          <w:rFonts w:ascii="David" w:hAnsi="David" w:cs="David" w:hint="cs"/>
          <w:szCs w:val="24"/>
          <w:rtl/>
        </w:rPr>
        <w:t xml:space="preserve">שעבר הנאשם </w:t>
      </w:r>
      <w:r>
        <w:rPr>
          <w:rFonts w:ascii="David" w:hAnsi="David" w:cs="David"/>
          <w:szCs w:val="24"/>
          <w:rtl/>
        </w:rPr>
        <w:t>וכאשר שירות המבחן ציין מפורשות בתסקיר המשלים כי בפנייה לקופת החולים לא התקבל כל דיווח התואם הליך טיפולי ממושך</w:t>
      </w:r>
      <w:r>
        <w:rPr>
          <w:rFonts w:ascii="David" w:hAnsi="David" w:cs="David" w:hint="cs"/>
          <w:szCs w:val="24"/>
          <w:rtl/>
        </w:rPr>
        <w:t xml:space="preserve"> ולא נמצא שהנאשם עבר אבחון</w:t>
      </w:r>
      <w:r>
        <w:rPr>
          <w:rFonts w:ascii="David" w:hAnsi="David" w:cs="David"/>
          <w:szCs w:val="24"/>
          <w:rtl/>
        </w:rPr>
        <w:t xml:space="preserve">. במכתב ציינה העו"ס כי להתרשמותה הנאשם מתמודד עם בעיה של "פוסט טראומה" ולא מהתמכרות לסמים. על כך יש לשוב ולתהות, שכן לא צוין הבסיס והתימוכין לקביעה זו. כך במיוחד לנוכח העובדה שבסיפא של המכתב הומלץ על תהליך אבחון ואיזון נפשי ע"י פסיכיאטר מכוון טראומה. המלצה זו כשלעצמה מלמדת על כך שהנאשם טרם אובחן ע"י גורם מוסמך כסובל מפוסט טראומה.  בהקשר זה אין לי אלא להפנות לסיפא של התסקיר המשלים שבו צוין כי רק לאחרונה הצליח הנאשם לתאם תור לפסיכיאטר, ממילא, אין בנמצא אבחון פסיכיאטרי קודם שנערך לנאשם.  </w:t>
      </w:r>
    </w:p>
    <w:p w14:paraId="0A5A72C5" w14:textId="77777777" w:rsidR="00834B46" w:rsidRPr="00F42507" w:rsidRDefault="00834B46" w:rsidP="00834B46"/>
    <w:p w14:paraId="4AF1B8C5"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בנוסף, אחד הקשיים הבולטים של הנאשם, כך נראה בעיני, טמון בהיעדר השתלבות בעבודה ובחוסר יכולת לשמור על רצף תעסוקתי. גורם סיכון זה, כך נראה, לא עובד ולא טופל ונותר גורם סיכון להישנות עבירות דומות ממניעים כלכליים. כך גם, גורמי סיכון אחרים בדמות חבירה לחברה שולית</w:t>
      </w:r>
      <w:r>
        <w:rPr>
          <w:rFonts w:ascii="David" w:hAnsi="David" w:cs="David" w:hint="cs"/>
          <w:szCs w:val="24"/>
          <w:rtl/>
        </w:rPr>
        <w:t>, לא נראה ש</w:t>
      </w:r>
      <w:r>
        <w:rPr>
          <w:rFonts w:ascii="David" w:hAnsi="David" w:cs="David"/>
          <w:szCs w:val="24"/>
          <w:rtl/>
        </w:rPr>
        <w:t xml:space="preserve">טופלו כנדרש. </w:t>
      </w:r>
    </w:p>
    <w:p w14:paraId="364A492A" w14:textId="77777777" w:rsidR="00834B46" w:rsidRDefault="00834B46" w:rsidP="00834B46">
      <w:pPr>
        <w:rPr>
          <w:rFonts w:ascii="David" w:hAnsi="David"/>
          <w:rtl/>
        </w:rPr>
      </w:pPr>
    </w:p>
    <w:p w14:paraId="5AE5A3CD"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 xml:space="preserve">נוכח כל האמור, </w:t>
      </w:r>
      <w:r w:rsidRPr="00602CFD">
        <w:rPr>
          <w:rFonts w:ascii="David" w:hAnsi="David" w:cs="David"/>
          <w:szCs w:val="24"/>
          <w:u w:val="single"/>
          <w:rtl/>
        </w:rPr>
        <w:t>אני סבור שיש לתת משקל נמוך לתסקיר שירות המבחן</w:t>
      </w:r>
      <w:r>
        <w:rPr>
          <w:rFonts w:ascii="David" w:hAnsi="David" w:cs="David"/>
          <w:szCs w:val="24"/>
          <w:rtl/>
        </w:rPr>
        <w:t>. בהקשר זה נקבע כבר בפסיקה כך:</w:t>
      </w:r>
    </w:p>
    <w:p w14:paraId="36C9DD9E" w14:textId="77777777" w:rsidR="00834B46" w:rsidRDefault="00834B46" w:rsidP="00834B46">
      <w:pPr>
        <w:pStyle w:val="ab"/>
        <w:jc w:val="both"/>
        <w:rPr>
          <w:rFonts w:ascii="David" w:hAnsi="David" w:cs="David"/>
          <w:i w:val="0"/>
          <w:iCs w:val="0"/>
          <w:sz w:val="24"/>
          <w:szCs w:val="24"/>
          <w:rtl/>
        </w:rPr>
      </w:pPr>
      <w:r>
        <w:rPr>
          <w:rFonts w:ascii="David" w:hAnsi="David" w:cs="David"/>
          <w:i w:val="0"/>
          <w:iCs w:val="0"/>
          <w:sz w:val="24"/>
          <w:szCs w:val="24"/>
          <w:rtl/>
        </w:rPr>
        <w:t>"</w:t>
      </w:r>
      <w:r>
        <w:rPr>
          <w:rFonts w:ascii="David" w:hAnsi="David" w:cs="David"/>
          <w:b/>
          <w:bCs/>
          <w:i w:val="0"/>
          <w:iCs w:val="0"/>
          <w:sz w:val="24"/>
          <w:szCs w:val="24"/>
          <w:rtl/>
        </w:rPr>
        <w:t>המבקש טוען כי התקדמותו השיקומית לא נלקחה בחשבון, וכי הערכאות הקודמות כלל לא התייחסו לנסיבותיו ולהמלצת שירות המבחן. לעניין זה, ידועה ההלכה כי תסקיר שירות המבחן, על אף הערכת מקצועיותו הרבה, מהווה המלצה בלבד ובית המשפט רשאי להפעיל את שיקול דעתו בהתחשב בכלל האינטרסים העומדים לפניו (</w:t>
      </w:r>
      <w:hyperlink r:id="rId20" w:history="1">
        <w:r w:rsidR="000A0509" w:rsidRPr="000A0509">
          <w:rPr>
            <w:rFonts w:ascii="David" w:hAnsi="David" w:cs="David"/>
            <w:b/>
            <w:bCs/>
            <w:i w:val="0"/>
            <w:iCs w:val="0"/>
            <w:color w:val="0000FF"/>
            <w:sz w:val="24"/>
            <w:szCs w:val="24"/>
            <w:u w:val="single"/>
            <w:rtl/>
          </w:rPr>
          <w:t>בש"פ 5309/05</w:t>
        </w:r>
      </w:hyperlink>
      <w:r>
        <w:rPr>
          <w:rFonts w:ascii="David" w:hAnsi="David" w:cs="David"/>
          <w:b/>
          <w:bCs/>
          <w:i w:val="0"/>
          <w:iCs w:val="0"/>
          <w:sz w:val="24"/>
          <w:szCs w:val="24"/>
          <w:rtl/>
        </w:rPr>
        <w:t xml:space="preserve"> צמח נ' מדינת ישראל [פורסם בנבו] (29.6.2005)). במקרה שלפניי, בית משפט השלום קבע, בהתחשב בכלל הנסיבות, כי יש להטיל על המבקש עונש מאסר בפועל ולא בריצוי של עבודות שירות. לא ניתן לומר כי לא ניתנה התייחסות לנסיבותיו האישיות, שכן אלו פורטו וצוינו שחור על גבי לבן, ולמרות זאת בחר בית המשפט לבכר את השיקולים שעמדו לחובתו. משכך, מסקנתן של שתי הערכאות הקודמות, שלא לאמץ את המלצת שירות המבחן, מקובלת עלי</w:t>
      </w:r>
      <w:r>
        <w:rPr>
          <w:rFonts w:ascii="David" w:hAnsi="David" w:cs="David"/>
          <w:i w:val="0"/>
          <w:iCs w:val="0"/>
          <w:sz w:val="24"/>
          <w:szCs w:val="24"/>
          <w:rtl/>
        </w:rPr>
        <w:t>" (</w:t>
      </w:r>
      <w:hyperlink r:id="rId21" w:history="1">
        <w:r w:rsidR="000A0509" w:rsidRPr="000A0509">
          <w:rPr>
            <w:rFonts w:ascii="David" w:hAnsi="David" w:cs="David"/>
            <w:i w:val="0"/>
            <w:iCs w:val="0"/>
            <w:color w:val="0000FF"/>
            <w:sz w:val="24"/>
            <w:szCs w:val="24"/>
            <w:u w:val="single"/>
            <w:rtl/>
          </w:rPr>
          <w:t>רע"פ 893/15</w:t>
        </w:r>
      </w:hyperlink>
      <w:r>
        <w:rPr>
          <w:rFonts w:ascii="David" w:hAnsi="David" w:cs="David"/>
          <w:i w:val="0"/>
          <w:iCs w:val="0"/>
          <w:sz w:val="24"/>
          <w:szCs w:val="24"/>
          <w:rtl/>
        </w:rPr>
        <w:t xml:space="preserve"> </w:t>
      </w:r>
      <w:r>
        <w:rPr>
          <w:rFonts w:ascii="David" w:hAnsi="David" w:cs="David"/>
          <w:b/>
          <w:bCs/>
          <w:i w:val="0"/>
          <w:iCs w:val="0"/>
          <w:sz w:val="24"/>
          <w:szCs w:val="24"/>
          <w:rtl/>
        </w:rPr>
        <w:t>יוסף בורנשטיין ביטון נגד מדינת ישראל</w:t>
      </w:r>
      <w:r>
        <w:rPr>
          <w:rFonts w:ascii="David" w:hAnsi="David" w:cs="David"/>
          <w:i w:val="0"/>
          <w:iCs w:val="0"/>
          <w:sz w:val="24"/>
          <w:szCs w:val="24"/>
          <w:rtl/>
        </w:rPr>
        <w:t xml:space="preserve">, פורסם בנבו 19.4.2015, פסקה 8). </w:t>
      </w:r>
    </w:p>
    <w:p w14:paraId="7947D0AF" w14:textId="77777777" w:rsidR="00834B46" w:rsidRDefault="00834B46" w:rsidP="00834B46">
      <w:pPr>
        <w:rPr>
          <w:rFonts w:ascii="David" w:hAnsi="David"/>
          <w:rtl/>
        </w:rPr>
      </w:pPr>
    </w:p>
    <w:p w14:paraId="531DC50E"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כפועל יוצא מכך, מצאתי שאין מקום במקרה זה לאמץ את המלצות שירות המבחן</w:t>
      </w:r>
      <w:r>
        <w:rPr>
          <w:rFonts w:ascii="David" w:hAnsi="David" w:cs="David" w:hint="cs"/>
          <w:szCs w:val="24"/>
          <w:rtl/>
        </w:rPr>
        <w:t xml:space="preserve"> ולהסתפק בשל"צ בלבד</w:t>
      </w:r>
      <w:r>
        <w:rPr>
          <w:rFonts w:ascii="David" w:hAnsi="David" w:cs="David"/>
          <w:szCs w:val="24"/>
          <w:rtl/>
        </w:rPr>
        <w:t>.</w:t>
      </w:r>
    </w:p>
    <w:p w14:paraId="381D911D" w14:textId="77777777" w:rsidR="00834B46" w:rsidRPr="00AD460A" w:rsidRDefault="00834B46" w:rsidP="00834B46"/>
    <w:p w14:paraId="6154D602" w14:textId="77777777" w:rsidR="00834B46" w:rsidRDefault="00834B46" w:rsidP="00834B46">
      <w:pPr>
        <w:pStyle w:val="Ruller40"/>
        <w:numPr>
          <w:ilvl w:val="0"/>
          <w:numId w:val="1"/>
        </w:numPr>
        <w:ind w:left="0" w:firstLine="0"/>
        <w:rPr>
          <w:rFonts w:ascii="David" w:hAnsi="David" w:cs="David"/>
          <w:szCs w:val="24"/>
        </w:rPr>
      </w:pPr>
      <w:r>
        <w:rPr>
          <w:rFonts w:ascii="David" w:hAnsi="David" w:cs="David" w:hint="cs"/>
          <w:szCs w:val="24"/>
          <w:rtl/>
        </w:rPr>
        <w:t xml:space="preserve">מסקנתי הנוספת בקשר לאמור בתסקיר שירות המבחן ובמכתב מטעם הרווחה (נע/1), וזאת אף אם אקבל מסקנתם והמלצתם, היא שההליך הטיפולי בעניינו של הנאשם טרם החל, שהרי הנאשם לא אובחן כלל על ידי פסיכיאטר. </w:t>
      </w:r>
      <w:r>
        <w:rPr>
          <w:rFonts w:ascii="David" w:hAnsi="David" w:cs="David"/>
          <w:szCs w:val="24"/>
          <w:rtl/>
        </w:rPr>
        <w:t xml:space="preserve"> </w:t>
      </w:r>
    </w:p>
    <w:p w14:paraId="0EA2E7B7" w14:textId="77777777" w:rsidR="00834B46" w:rsidRPr="00AD460A" w:rsidRDefault="00834B46" w:rsidP="00834B46">
      <w:pPr>
        <w:rPr>
          <w:rFonts w:ascii="David" w:hAnsi="David"/>
          <w:rtl/>
        </w:rPr>
      </w:pPr>
    </w:p>
    <w:p w14:paraId="1AA01AEB" w14:textId="77777777" w:rsidR="00834B46" w:rsidRDefault="00834B46" w:rsidP="00834B46">
      <w:pPr>
        <w:pStyle w:val="Ruller40"/>
        <w:numPr>
          <w:ilvl w:val="0"/>
          <w:numId w:val="1"/>
        </w:numPr>
        <w:ind w:left="0" w:firstLine="0"/>
        <w:rPr>
          <w:rFonts w:ascii="David" w:hAnsi="David" w:cs="David"/>
          <w:szCs w:val="24"/>
        </w:rPr>
      </w:pPr>
      <w:r>
        <w:rPr>
          <w:rFonts w:ascii="David" w:hAnsi="David" w:cs="David"/>
          <w:szCs w:val="24"/>
          <w:rtl/>
        </w:rPr>
        <w:t>ב"כ הנאשם טען כי הנאשם שהה במעצר באיזוק אלקטרוני תקופה משמעותית (עמ' 13 שו' 28 לפרוטו'), וכי יש להביא בחשבון גם תקופה זו</w:t>
      </w:r>
      <w:r>
        <w:rPr>
          <w:rFonts w:ascii="David" w:hAnsi="David" w:cs="David" w:hint="cs"/>
          <w:szCs w:val="24"/>
          <w:rtl/>
        </w:rPr>
        <w:t xml:space="preserve"> לעניין העונש</w:t>
      </w:r>
      <w:r>
        <w:rPr>
          <w:rFonts w:ascii="David" w:hAnsi="David" w:cs="David"/>
          <w:szCs w:val="24"/>
          <w:rtl/>
        </w:rPr>
        <w:t xml:space="preserve">, אלא שאין ממש בטענה זו שכן הנאשם לא היה נתון במעצר באיזוק אלקטרוני כלל. </w:t>
      </w:r>
    </w:p>
    <w:p w14:paraId="0B356F22" w14:textId="77777777" w:rsidR="00834B46" w:rsidRDefault="00834B46" w:rsidP="00834B46">
      <w:pPr>
        <w:rPr>
          <w:rFonts w:ascii="David" w:hAnsi="David"/>
          <w:rtl/>
        </w:rPr>
      </w:pPr>
    </w:p>
    <w:p w14:paraId="1BF522F3" w14:textId="77777777" w:rsidR="00834B46" w:rsidRPr="00834B46" w:rsidRDefault="00834B46" w:rsidP="00834B46">
      <w:pPr>
        <w:pStyle w:val="Ruller40"/>
        <w:numPr>
          <w:ilvl w:val="0"/>
          <w:numId w:val="1"/>
        </w:numPr>
        <w:ind w:left="0" w:firstLine="0"/>
        <w:rPr>
          <w:rFonts w:ascii="David" w:hAnsi="David" w:cs="David"/>
          <w:spacing w:val="0"/>
          <w:szCs w:val="24"/>
        </w:rPr>
      </w:pPr>
      <w:r>
        <w:rPr>
          <w:rFonts w:ascii="David" w:hAnsi="David" w:cs="David"/>
          <w:szCs w:val="24"/>
          <w:rtl/>
        </w:rPr>
        <w:t>לחובת הנאשם יש להביא בחשבון את עברו הפלילי הכולל 2 הרשעות קודמות שהאחרונה שבהן היא</w:t>
      </w:r>
      <w:r>
        <w:rPr>
          <w:rFonts w:ascii="David" w:hAnsi="David" w:cs="David" w:hint="cs"/>
          <w:szCs w:val="24"/>
          <w:rtl/>
        </w:rPr>
        <w:t xml:space="preserve"> הרלבנטית. בהרשעתו האחרונה נידון הנאשם ב</w:t>
      </w:r>
      <w:r>
        <w:rPr>
          <w:rFonts w:ascii="David" w:hAnsi="David" w:cs="David"/>
          <w:szCs w:val="24"/>
          <w:rtl/>
        </w:rPr>
        <w:t>עבירות של החזקת סכין והחזקת סם לצריכה עצמית (הרשעה מיום 7.7.2022 בגין עבירות שבוצעו ביום 31.1.2020. כתב האישום שם הוגש בחודש אוקטובר 2020). עוד יש לזקוף לחובתו של הנאשם את העובדה שביצע את העבירות נושא הליך זה (כתב האישום הוגש בחודש ספטמבר 2021) בעוד הוא עומד לדין בגין עבירות של סמים והחזקת סכין</w:t>
      </w:r>
      <w:r>
        <w:rPr>
          <w:rFonts w:ascii="David" w:hAnsi="David" w:cs="David" w:hint="cs"/>
          <w:szCs w:val="24"/>
          <w:rtl/>
        </w:rPr>
        <w:t xml:space="preserve"> בבית משפט אחר</w:t>
      </w:r>
      <w:r w:rsidRPr="00834B46">
        <w:rPr>
          <w:rFonts w:ascii="David" w:hAnsi="David" w:cs="David"/>
          <w:spacing w:val="0"/>
          <w:szCs w:val="24"/>
          <w:rtl/>
        </w:rPr>
        <w:t xml:space="preserve">. </w:t>
      </w:r>
    </w:p>
    <w:p w14:paraId="264A9594" w14:textId="77777777" w:rsidR="00834B46" w:rsidRPr="00834B46" w:rsidRDefault="00834B46" w:rsidP="00834B46">
      <w:pPr>
        <w:rPr>
          <w:rFonts w:ascii="David" w:eastAsia="Calibri" w:hAnsi="David"/>
          <w:rtl/>
        </w:rPr>
      </w:pPr>
    </w:p>
    <w:p w14:paraId="16590551" w14:textId="77777777" w:rsidR="00834B46" w:rsidRDefault="00834B46" w:rsidP="00834B46">
      <w:pPr>
        <w:pStyle w:val="Ruller40"/>
        <w:numPr>
          <w:ilvl w:val="0"/>
          <w:numId w:val="1"/>
        </w:numPr>
        <w:ind w:left="0" w:firstLine="0"/>
        <w:rPr>
          <w:rFonts w:ascii="David" w:hAnsi="David" w:cs="David"/>
          <w:szCs w:val="24"/>
          <w:rtl/>
        </w:rPr>
      </w:pPr>
      <w:r w:rsidRPr="00016C46">
        <w:rPr>
          <w:rFonts w:ascii="David" w:hAnsi="David" w:cs="David" w:hint="cs"/>
          <w:szCs w:val="24"/>
          <w:rtl/>
        </w:rPr>
        <w:t>לנוכח המפורט לעיל, ו</w:t>
      </w:r>
      <w:r>
        <w:rPr>
          <w:rFonts w:ascii="David" w:hAnsi="David" w:cs="David" w:hint="cs"/>
          <w:szCs w:val="24"/>
          <w:rtl/>
        </w:rPr>
        <w:t>בעיקר ב</w:t>
      </w:r>
      <w:r w:rsidRPr="00016C46">
        <w:rPr>
          <w:rFonts w:ascii="David" w:hAnsi="David" w:cs="David" w:hint="cs"/>
          <w:szCs w:val="24"/>
          <w:rtl/>
        </w:rPr>
        <w:t>שים לב לעמדת התביעה, אני סבור שהעונש המתאים צריך לעמוד בחלקו התחתון</w:t>
      </w:r>
      <w:r>
        <w:rPr>
          <w:rFonts w:ascii="David" w:hAnsi="David" w:cs="David" w:hint="cs"/>
          <w:szCs w:val="24"/>
          <w:rtl/>
        </w:rPr>
        <w:t xml:space="preserve"> של המתחם</w:t>
      </w:r>
      <w:r w:rsidRPr="00016C46">
        <w:rPr>
          <w:rFonts w:ascii="David" w:hAnsi="David" w:cs="David" w:hint="cs"/>
          <w:szCs w:val="24"/>
          <w:rtl/>
        </w:rPr>
        <w:t>. באיזון הכולל אני סבור שיש להטיל על הנאשם עונש מאסר שירוצה בעבודות</w:t>
      </w:r>
      <w:r>
        <w:rPr>
          <w:rFonts w:ascii="David" w:hAnsi="David" w:cs="David" w:hint="cs"/>
          <w:szCs w:val="24"/>
          <w:rtl/>
        </w:rPr>
        <w:t xml:space="preserve"> שירות</w:t>
      </w:r>
      <w:r w:rsidRPr="00016C46">
        <w:rPr>
          <w:rFonts w:ascii="David" w:hAnsi="David" w:cs="David" w:hint="cs"/>
          <w:szCs w:val="24"/>
          <w:rtl/>
        </w:rPr>
        <w:t xml:space="preserve"> ויאפשר לנאשם להשתלב בהליך טיפולי באמצעות צו מבחן, ככל שירצה ויירת</w:t>
      </w:r>
      <w:r w:rsidRPr="00016C46">
        <w:rPr>
          <w:rFonts w:ascii="David" w:hAnsi="David" w:cs="David" w:hint="eastAsia"/>
          <w:szCs w:val="24"/>
          <w:rtl/>
        </w:rPr>
        <w:t>ם</w:t>
      </w:r>
      <w:r w:rsidRPr="00016C46">
        <w:rPr>
          <w:rFonts w:ascii="David" w:hAnsi="David" w:cs="David" w:hint="cs"/>
          <w:szCs w:val="24"/>
          <w:rtl/>
        </w:rPr>
        <w:t xml:space="preserve"> לכך.</w:t>
      </w:r>
    </w:p>
    <w:p w14:paraId="702DB0E4" w14:textId="77777777" w:rsidR="00834B46" w:rsidRPr="00016C46" w:rsidRDefault="00834B46" w:rsidP="00834B46"/>
    <w:p w14:paraId="23E80B13" w14:textId="77777777" w:rsidR="00834B46" w:rsidRPr="00016C46" w:rsidRDefault="00834B46" w:rsidP="00834B46">
      <w:pPr>
        <w:pStyle w:val="Ruller40"/>
        <w:numPr>
          <w:ilvl w:val="0"/>
          <w:numId w:val="1"/>
        </w:numPr>
        <w:ind w:left="0" w:firstLine="0"/>
        <w:rPr>
          <w:rFonts w:ascii="David" w:hAnsi="David" w:cs="David"/>
          <w:szCs w:val="24"/>
          <w:rtl/>
        </w:rPr>
      </w:pPr>
      <w:r w:rsidRPr="00016C46">
        <w:rPr>
          <w:rFonts w:ascii="David" w:hAnsi="David" w:cs="David"/>
          <w:szCs w:val="24"/>
          <w:rtl/>
        </w:rPr>
        <w:t xml:space="preserve">הנאשם הופנה, בהסכמתו לקבלת חוות דעת הממונה על עבודות השירות. מחוות דעת הממונה מיום 24.1.2024 נמצא הנאשם מתאים לביצוע עונש מאסר בדרך של עבודות שירות. </w:t>
      </w:r>
    </w:p>
    <w:p w14:paraId="17FD8F47" w14:textId="77777777" w:rsidR="00834B46" w:rsidRDefault="00834B46" w:rsidP="00834B46">
      <w:pPr>
        <w:pStyle w:val="aa"/>
        <w:rPr>
          <w:rFonts w:ascii="David" w:hAnsi="David" w:cs="David"/>
          <w:szCs w:val="24"/>
          <w:highlight w:val="yellow"/>
          <w:rtl/>
        </w:rPr>
      </w:pPr>
    </w:p>
    <w:p w14:paraId="756E532F" w14:textId="77777777" w:rsidR="00834B46" w:rsidRDefault="00834B46" w:rsidP="00834B46">
      <w:pPr>
        <w:rPr>
          <w:rFonts w:ascii="David" w:hAnsi="David"/>
          <w:b/>
          <w:bCs/>
          <w:u w:val="single"/>
          <w:rtl/>
        </w:rPr>
      </w:pPr>
      <w:r>
        <w:rPr>
          <w:rFonts w:ascii="David" w:hAnsi="David"/>
          <w:b/>
          <w:bCs/>
          <w:u w:val="single"/>
          <w:rtl/>
        </w:rPr>
        <w:t>המיקום במתחם או חריגה ממנו</w:t>
      </w:r>
    </w:p>
    <w:p w14:paraId="247A1B5A" w14:textId="77777777" w:rsidR="00834B46" w:rsidRDefault="00834B46" w:rsidP="00834B46">
      <w:pPr>
        <w:rPr>
          <w:rFonts w:ascii="David" w:hAnsi="David"/>
          <w:highlight w:val="yellow"/>
          <w:rtl/>
        </w:rPr>
      </w:pPr>
    </w:p>
    <w:p w14:paraId="7B78071C" w14:textId="77777777" w:rsidR="00834B46" w:rsidRDefault="00834B46" w:rsidP="00834B46">
      <w:pPr>
        <w:pStyle w:val="Ruller40"/>
        <w:numPr>
          <w:ilvl w:val="0"/>
          <w:numId w:val="1"/>
        </w:numPr>
        <w:ind w:left="0" w:firstLine="0"/>
        <w:rPr>
          <w:rFonts w:ascii="David" w:hAnsi="David" w:cs="David"/>
          <w:szCs w:val="24"/>
          <w:rtl/>
        </w:rPr>
      </w:pPr>
      <w:r>
        <w:rPr>
          <w:rFonts w:ascii="David" w:hAnsi="David" w:cs="David"/>
          <w:szCs w:val="24"/>
          <w:rtl/>
        </w:rPr>
        <w:t xml:space="preserve">לאחר שנתתי דעתי לכלל הנסיבות שאינן קשורות בביצוע העבירה, הגעתי לכלל מסקנה שיש למקם את הנאשם ברף התחתון של מתחם העונש ההולם, כפי שעתרה התביעה.  </w:t>
      </w:r>
    </w:p>
    <w:p w14:paraId="46B5BEF3" w14:textId="77777777" w:rsidR="00834B46" w:rsidRDefault="00834B46" w:rsidP="00834B46">
      <w:pPr>
        <w:rPr>
          <w:rFonts w:ascii="David" w:hAnsi="David"/>
          <w:rtl/>
        </w:rPr>
      </w:pPr>
    </w:p>
    <w:p w14:paraId="456B3AD5" w14:textId="77777777" w:rsidR="00834B46" w:rsidRDefault="00834B46" w:rsidP="00834B46">
      <w:pPr>
        <w:spacing w:line="360" w:lineRule="auto"/>
        <w:jc w:val="both"/>
        <w:rPr>
          <w:rFonts w:ascii="David" w:hAnsi="David"/>
          <w:b/>
          <w:bCs/>
          <w:u w:val="single"/>
          <w:rtl/>
        </w:rPr>
      </w:pPr>
      <w:r>
        <w:rPr>
          <w:rFonts w:ascii="David" w:hAnsi="David"/>
          <w:b/>
          <w:bCs/>
          <w:u w:val="single"/>
          <w:rtl/>
        </w:rPr>
        <w:t>גזירת הדין</w:t>
      </w:r>
    </w:p>
    <w:p w14:paraId="3DBCCCF4" w14:textId="77777777" w:rsidR="00834B46" w:rsidRPr="00F42507" w:rsidRDefault="00834B46" w:rsidP="00834B46">
      <w:pPr>
        <w:pStyle w:val="Ruller40"/>
        <w:numPr>
          <w:ilvl w:val="0"/>
          <w:numId w:val="1"/>
        </w:numPr>
        <w:ind w:left="0" w:firstLine="0"/>
        <w:rPr>
          <w:rFonts w:ascii="David" w:hAnsi="David" w:cs="David"/>
          <w:szCs w:val="24"/>
          <w:rtl/>
        </w:rPr>
      </w:pPr>
      <w:r w:rsidRPr="00F42507">
        <w:rPr>
          <w:rFonts w:ascii="David" w:hAnsi="David" w:cs="David"/>
          <w:szCs w:val="24"/>
          <w:rtl/>
        </w:rPr>
        <w:t>לפיכך, אני מחליט לגזור על הנאשם את העונשים הבאים:</w:t>
      </w:r>
    </w:p>
    <w:p w14:paraId="0F0F82BD" w14:textId="77777777" w:rsidR="00834B46" w:rsidRPr="00F42507" w:rsidRDefault="00834B46" w:rsidP="00834B46">
      <w:pPr>
        <w:numPr>
          <w:ilvl w:val="0"/>
          <w:numId w:val="3"/>
        </w:numPr>
        <w:spacing w:after="160" w:line="360" w:lineRule="auto"/>
        <w:contextualSpacing/>
        <w:jc w:val="both"/>
        <w:rPr>
          <w:rFonts w:ascii="David" w:eastAsia="Calibri" w:hAnsi="David"/>
          <w:rtl/>
        </w:rPr>
      </w:pPr>
      <w:r w:rsidRPr="00F42507">
        <w:rPr>
          <w:rFonts w:ascii="David" w:eastAsia="Calibri" w:hAnsi="David" w:hint="cs"/>
          <w:b/>
          <w:bCs/>
          <w:rtl/>
        </w:rPr>
        <w:t>7</w:t>
      </w:r>
      <w:r w:rsidRPr="00F42507">
        <w:rPr>
          <w:rFonts w:ascii="David" w:eastAsia="Calibri" w:hAnsi="David"/>
          <w:rtl/>
        </w:rPr>
        <w:t xml:space="preserve"> חודשי מאסר, אשר ירוצו בעבודות שירות, החל מיום</w:t>
      </w:r>
      <w:r w:rsidRPr="00F42507">
        <w:rPr>
          <w:rFonts w:ascii="David" w:eastAsia="Calibri" w:hAnsi="David" w:hint="cs"/>
          <w:rtl/>
        </w:rPr>
        <w:t xml:space="preserve"> 15.5.2024 </w:t>
      </w:r>
      <w:r w:rsidRPr="00F42507">
        <w:rPr>
          <w:rFonts w:ascii="David" w:eastAsia="Calibri" w:hAnsi="David"/>
          <w:rtl/>
        </w:rPr>
        <w:t>, ב</w:t>
      </w:r>
      <w:r w:rsidRPr="00F42507">
        <w:rPr>
          <w:rFonts w:ascii="David" w:eastAsia="Calibri" w:hAnsi="David" w:hint="cs"/>
          <w:rtl/>
        </w:rPr>
        <w:t xml:space="preserve">עיריית דימונה </w:t>
      </w:r>
      <w:r w:rsidRPr="00F42507">
        <w:rPr>
          <w:rFonts w:ascii="David" w:eastAsia="Calibri" w:hAnsi="David"/>
          <w:rtl/>
        </w:rPr>
        <w:t>, וזאת על פי חוות דעת הממונה על עבודות השירות</w:t>
      </w:r>
      <w:r w:rsidRPr="00F42507">
        <w:rPr>
          <w:rFonts w:ascii="David" w:eastAsia="Calibri" w:hAnsi="David" w:hint="cs"/>
          <w:rtl/>
        </w:rPr>
        <w:t xml:space="preserve"> מיום 24.1.2024</w:t>
      </w:r>
      <w:r w:rsidRPr="00F42507">
        <w:rPr>
          <w:rFonts w:ascii="David" w:eastAsia="Calibri" w:hAnsi="David"/>
          <w:rtl/>
        </w:rPr>
        <w:t xml:space="preserve">. על הנאשם להתייצב ביום </w:t>
      </w:r>
      <w:r w:rsidRPr="00F42507">
        <w:rPr>
          <w:rFonts w:ascii="David" w:eastAsia="Calibri" w:hAnsi="David" w:hint="cs"/>
          <w:rtl/>
        </w:rPr>
        <w:t xml:space="preserve">15.5.2024 </w:t>
      </w:r>
      <w:r w:rsidRPr="00F42507">
        <w:rPr>
          <w:rFonts w:ascii="David" w:eastAsia="Calibri" w:hAnsi="David"/>
          <w:rtl/>
        </w:rPr>
        <w:t>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611734D2" w14:textId="77777777" w:rsidR="00834B46" w:rsidRDefault="00834B46" w:rsidP="00834B46">
      <w:pPr>
        <w:numPr>
          <w:ilvl w:val="0"/>
          <w:numId w:val="3"/>
        </w:numPr>
        <w:spacing w:after="160" w:line="360" w:lineRule="auto"/>
        <w:contextualSpacing/>
        <w:jc w:val="both"/>
        <w:rPr>
          <w:rFonts w:ascii="David" w:eastAsia="Calibri" w:hAnsi="David"/>
          <w:rtl/>
        </w:rPr>
      </w:pPr>
      <w:r w:rsidRPr="00F42507">
        <w:rPr>
          <w:rFonts w:ascii="David" w:eastAsia="Calibri" w:hAnsi="David" w:hint="cs"/>
          <w:b/>
          <w:bCs/>
          <w:rtl/>
        </w:rPr>
        <w:t>6</w:t>
      </w:r>
      <w:r>
        <w:rPr>
          <w:rFonts w:ascii="David" w:eastAsia="Calibri" w:hAnsi="David" w:hint="cs"/>
          <w:rtl/>
        </w:rPr>
        <w:t xml:space="preserve"> </w:t>
      </w:r>
      <w:r>
        <w:rPr>
          <w:rFonts w:ascii="David" w:eastAsia="Calibri" w:hAnsi="David"/>
          <w:rtl/>
        </w:rPr>
        <w:t>חודשי מאסר, שלא ירוצו אלא אם יעבור הנאשם עביר</w:t>
      </w:r>
      <w:r>
        <w:rPr>
          <w:rFonts w:ascii="David" w:eastAsia="Calibri" w:hAnsi="David" w:hint="cs"/>
          <w:rtl/>
        </w:rPr>
        <w:t>ות סמים מסוג פשע</w:t>
      </w:r>
      <w:r>
        <w:rPr>
          <w:rFonts w:ascii="David" w:eastAsia="Calibri" w:hAnsi="David"/>
          <w:rtl/>
        </w:rPr>
        <w:t xml:space="preserve"> וזאת בתוך שלוש </w:t>
      </w:r>
      <w:r>
        <w:rPr>
          <w:rFonts w:ascii="David" w:eastAsia="Calibri" w:hAnsi="David" w:hint="cs"/>
          <w:rtl/>
        </w:rPr>
        <w:t xml:space="preserve">שנים </w:t>
      </w:r>
      <w:r>
        <w:rPr>
          <w:rFonts w:ascii="David" w:eastAsia="Calibri" w:hAnsi="David"/>
          <w:rtl/>
        </w:rPr>
        <w:t>מהיום;</w:t>
      </w:r>
    </w:p>
    <w:p w14:paraId="525243EA" w14:textId="77777777" w:rsidR="00834B46" w:rsidRDefault="00834B46" w:rsidP="00834B46">
      <w:pPr>
        <w:numPr>
          <w:ilvl w:val="0"/>
          <w:numId w:val="3"/>
        </w:numPr>
        <w:spacing w:after="160" w:line="360" w:lineRule="auto"/>
        <w:contextualSpacing/>
        <w:jc w:val="both"/>
        <w:rPr>
          <w:rFonts w:ascii="David" w:eastAsia="Calibri" w:hAnsi="David"/>
        </w:rPr>
      </w:pPr>
      <w:r>
        <w:rPr>
          <w:rFonts w:ascii="David" w:eastAsia="Calibri" w:hAnsi="David"/>
          <w:rtl/>
        </w:rPr>
        <w:t xml:space="preserve">קנס בסך </w:t>
      </w:r>
      <w:r w:rsidRPr="0026291D">
        <w:rPr>
          <w:rFonts w:ascii="David" w:eastAsia="Calibri" w:hAnsi="David" w:hint="cs"/>
          <w:b/>
          <w:bCs/>
          <w:rtl/>
        </w:rPr>
        <w:t>4,000</w:t>
      </w:r>
      <w:r>
        <w:rPr>
          <w:rFonts w:ascii="David" w:eastAsia="Calibri" w:hAnsi="David"/>
          <w:rtl/>
        </w:rPr>
        <w:t xml:space="preserve"> ₪,</w:t>
      </w:r>
      <w:r>
        <w:rPr>
          <w:rFonts w:ascii="David" w:eastAsia="Calibri" w:hAnsi="David" w:hint="cs"/>
          <w:rtl/>
        </w:rPr>
        <w:t xml:space="preserve"> או 40 ימי מאסר תמורתו.</w:t>
      </w:r>
      <w:r>
        <w:rPr>
          <w:rFonts w:ascii="David" w:eastAsia="Calibri" w:hAnsi="David"/>
          <w:rtl/>
        </w:rPr>
        <w:t xml:space="preserve"> הקנס ישולם </w:t>
      </w:r>
      <w:r w:rsidRPr="002869B5">
        <w:rPr>
          <w:rFonts w:ascii="David" w:eastAsia="Calibri" w:hAnsi="David"/>
          <w:rtl/>
        </w:rPr>
        <w:t>ב-</w:t>
      </w:r>
      <w:r w:rsidRPr="002869B5">
        <w:rPr>
          <w:rFonts w:ascii="David" w:eastAsia="Calibri" w:hAnsi="David" w:hint="cs"/>
          <w:rtl/>
        </w:rPr>
        <w:t>4</w:t>
      </w:r>
      <w:r>
        <w:rPr>
          <w:rFonts w:ascii="David" w:eastAsia="Calibri" w:hAnsi="David"/>
          <w:rtl/>
        </w:rPr>
        <w:t xml:space="preserve"> תשלומים שווים ורצופים בכל  </w:t>
      </w:r>
      <w:r>
        <w:rPr>
          <w:rFonts w:ascii="David" w:eastAsia="Calibri" w:hAnsi="David" w:hint="cs"/>
          <w:rtl/>
        </w:rPr>
        <w:t>עשירי ב</w:t>
      </w:r>
      <w:r>
        <w:rPr>
          <w:rFonts w:ascii="David" w:eastAsia="Calibri" w:hAnsi="David"/>
          <w:rtl/>
        </w:rPr>
        <w:t xml:space="preserve">חודש. </w:t>
      </w:r>
      <w:r>
        <w:rPr>
          <w:rFonts w:ascii="David" w:eastAsia="Calibri" w:hAnsi="David" w:hint="cs"/>
          <w:rtl/>
        </w:rPr>
        <w:t xml:space="preserve">כל תשלום על סך 1,000 ₪. תשלום ישולם עד ליום 10.3.24. </w:t>
      </w:r>
      <w:r>
        <w:rPr>
          <w:rFonts w:ascii="David" w:eastAsia="Calibri" w:hAnsi="David"/>
          <w:rtl/>
        </w:rPr>
        <w:t>לא ישולם תשלום במועד או לא ישולם כלל, יעמוד הקנס לפירעון מיידי;</w:t>
      </w:r>
      <w:r w:rsidRPr="00E03DFC">
        <w:rPr>
          <w:rFonts w:ascii="David" w:eastAsia="Calibri" w:hAnsi="David"/>
          <w:rtl/>
        </w:rPr>
        <w:t xml:space="preserve"> </w:t>
      </w:r>
    </w:p>
    <w:p w14:paraId="390449DD" w14:textId="77777777" w:rsidR="00834B46" w:rsidRDefault="00834B46" w:rsidP="00834B46">
      <w:pPr>
        <w:spacing w:after="160" w:line="360" w:lineRule="auto"/>
        <w:ind w:left="720"/>
        <w:contextualSpacing/>
        <w:jc w:val="both"/>
        <w:rPr>
          <w:rFonts w:ascii="David" w:eastAsia="Calibri" w:hAnsi="David"/>
        </w:rPr>
      </w:pPr>
      <w:r>
        <w:rPr>
          <w:rFonts w:ascii="David" w:eastAsia="Calibri" w:hAnsi="David" w:hint="cs"/>
          <w:rtl/>
        </w:rPr>
        <w:t xml:space="preserve">ככל שקיים פיקדון, הקנס יקוזז מתיק המ"ת 42839-09-21 והיתרה תוחזר לנאשם. </w:t>
      </w:r>
    </w:p>
    <w:p w14:paraId="749285AA" w14:textId="77777777" w:rsidR="00834B46" w:rsidRPr="00F42507" w:rsidRDefault="00834B46" w:rsidP="00834B46">
      <w:pPr>
        <w:numPr>
          <w:ilvl w:val="0"/>
          <w:numId w:val="3"/>
        </w:numPr>
        <w:spacing w:after="160" w:line="360" w:lineRule="auto"/>
        <w:contextualSpacing/>
        <w:jc w:val="both"/>
        <w:rPr>
          <w:rFonts w:ascii="David" w:eastAsia="Calibri" w:hAnsi="David"/>
          <w:rtl/>
        </w:rPr>
      </w:pPr>
      <w:r w:rsidRPr="00F42507">
        <w:rPr>
          <w:rFonts w:ascii="David" w:eastAsia="Calibri" w:hAnsi="David"/>
          <w:rtl/>
        </w:rPr>
        <w:t xml:space="preserve">צו מבחן לתקופה של </w:t>
      </w:r>
      <w:r w:rsidRPr="00F42507">
        <w:rPr>
          <w:rFonts w:ascii="David" w:eastAsia="Calibri" w:hAnsi="David" w:hint="cs"/>
          <w:rtl/>
        </w:rPr>
        <w:t>שנה מהיום.</w:t>
      </w:r>
      <w:r w:rsidRPr="00F42507">
        <w:rPr>
          <w:rFonts w:ascii="David" w:eastAsia="Calibri" w:hAnsi="David"/>
          <w:rtl/>
        </w:rPr>
        <w:t xml:space="preserve">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341EB78E" w14:textId="77777777" w:rsidR="00834B46" w:rsidRDefault="00834B46" w:rsidP="00834B46">
      <w:pPr>
        <w:spacing w:after="120" w:line="360" w:lineRule="auto"/>
        <w:jc w:val="both"/>
        <w:rPr>
          <w:rFonts w:ascii="David" w:hAnsi="David"/>
          <w:rtl/>
        </w:rPr>
      </w:pPr>
    </w:p>
    <w:p w14:paraId="19749289" w14:textId="77777777" w:rsidR="00834B46" w:rsidRDefault="00834B46" w:rsidP="00834B46">
      <w:pPr>
        <w:spacing w:after="120" w:line="360" w:lineRule="auto"/>
        <w:jc w:val="both"/>
        <w:rPr>
          <w:rFonts w:ascii="David" w:hAnsi="David"/>
          <w:rtl/>
        </w:rPr>
      </w:pPr>
      <w:r w:rsidRPr="007545CC">
        <w:rPr>
          <w:rFonts w:ascii="David" w:hAnsi="David"/>
          <w:u w:val="single"/>
          <w:rtl/>
        </w:rPr>
        <w:t>לתשומת לב הנאשם</w:t>
      </w:r>
      <w:r>
        <w:rPr>
          <w:rFonts w:ascii="David" w:hAnsi="David" w:hint="cs"/>
          <w:rtl/>
        </w:rPr>
        <w:t>:</w:t>
      </w:r>
    </w:p>
    <w:p w14:paraId="28266458" w14:textId="77777777" w:rsidR="00834B46" w:rsidRDefault="00834B46" w:rsidP="00834B46">
      <w:pPr>
        <w:spacing w:after="120" w:line="360" w:lineRule="auto"/>
        <w:jc w:val="both"/>
        <w:rPr>
          <w:rFonts w:ascii="David" w:hAnsi="David"/>
          <w:rtl/>
        </w:rPr>
      </w:pPr>
      <w:r>
        <w:rPr>
          <w:rFonts w:ascii="David" w:hAnsi="David"/>
          <w:rtl/>
        </w:rPr>
        <w:t>החוב מועבר למרכז לגביית קנסות, אגרות והוצאות ברשות האכיפה והגבייה, בהתאם למועדים והתשלומים שנקבעו למעלה.</w:t>
      </w:r>
    </w:p>
    <w:p w14:paraId="63E43DE3" w14:textId="77777777" w:rsidR="00834B46" w:rsidRDefault="00834B46" w:rsidP="00834B46">
      <w:pPr>
        <w:spacing w:after="120" w:line="360" w:lineRule="auto"/>
        <w:jc w:val="both"/>
        <w:rPr>
          <w:rFonts w:ascii="David" w:hAnsi="David"/>
        </w:rPr>
      </w:pPr>
      <w:r>
        <w:rPr>
          <w:rFonts w:ascii="David" w:hAnsi="David"/>
          <w:rtl/>
        </w:rPr>
        <w:t>ניתן יהיה לשלם את הקנס תוך שלושה ימים מהיום לחשבון המרכז לגביית קנסות, אגרות והוצאות ברשות האכיפה והגבייה באחת מהדרכים הבאות:</w:t>
      </w:r>
    </w:p>
    <w:p w14:paraId="462716F7" w14:textId="77777777" w:rsidR="00834B46" w:rsidRDefault="00834B46" w:rsidP="00834B46">
      <w:pPr>
        <w:numPr>
          <w:ilvl w:val="0"/>
          <w:numId w:val="4"/>
        </w:numPr>
        <w:spacing w:after="120" w:line="360" w:lineRule="auto"/>
        <w:ind w:left="357" w:hanging="357"/>
        <w:jc w:val="both"/>
        <w:rPr>
          <w:rFonts w:ascii="David" w:hAnsi="David"/>
        </w:rPr>
      </w:pPr>
      <w:r>
        <w:rPr>
          <w:rFonts w:ascii="David" w:hAnsi="David"/>
          <w:rtl/>
        </w:rPr>
        <w:t xml:space="preserve">בכרטיס אשראי – באתר המקוון של רשות האכיפה והגבייה, </w:t>
      </w:r>
      <w:hyperlink r:id="rId22" w:history="1">
        <w:r>
          <w:rPr>
            <w:rStyle w:val="Hyperlink"/>
            <w:rFonts w:ascii="David" w:hAnsi="David"/>
          </w:rPr>
          <w:t>www.eca.gov.il</w:t>
        </w:r>
      </w:hyperlink>
      <w:r>
        <w:rPr>
          <w:rFonts w:ascii="David" w:hAnsi="David"/>
        </w:rPr>
        <w:t xml:space="preserve"> </w:t>
      </w:r>
      <w:r w:rsidR="000A0509">
        <w:rPr>
          <w:rFonts w:ascii="David" w:hAnsi="David"/>
          <w:rtl/>
        </w:rPr>
        <w:t xml:space="preserve"> </w:t>
      </w:r>
    </w:p>
    <w:p w14:paraId="64A8D1FA" w14:textId="77777777" w:rsidR="00834B46" w:rsidRDefault="00834B46" w:rsidP="00834B46">
      <w:pPr>
        <w:numPr>
          <w:ilvl w:val="0"/>
          <w:numId w:val="4"/>
        </w:numPr>
        <w:spacing w:after="120" w:line="360" w:lineRule="auto"/>
        <w:ind w:left="357" w:hanging="357"/>
        <w:jc w:val="both"/>
        <w:rPr>
          <w:rFonts w:ascii="David" w:hAnsi="David"/>
        </w:rPr>
      </w:pPr>
      <w:r>
        <w:rPr>
          <w:rFonts w:ascii="David" w:hAnsi="David"/>
          <w:rtl/>
        </w:rPr>
        <w:t>מוקד שירות טלפוני בשרות עצמי (מרכז גבייה)</w:t>
      </w:r>
      <w:r w:rsidR="000A0509">
        <w:rPr>
          <w:rFonts w:ascii="David" w:hAnsi="David"/>
          <w:rtl/>
        </w:rPr>
        <w:t xml:space="preserve"> </w:t>
      </w:r>
      <w:r>
        <w:rPr>
          <w:rFonts w:ascii="David" w:hAnsi="David"/>
          <w:rtl/>
        </w:rPr>
        <w:t xml:space="preserve"> – בטלפון 35592* או בטלפון 073-2055000</w:t>
      </w:r>
    </w:p>
    <w:p w14:paraId="3B8C5244" w14:textId="77777777" w:rsidR="00834B46" w:rsidRDefault="00834B46" w:rsidP="00834B46">
      <w:pPr>
        <w:numPr>
          <w:ilvl w:val="0"/>
          <w:numId w:val="4"/>
        </w:numPr>
        <w:spacing w:after="120" w:line="360" w:lineRule="auto"/>
        <w:ind w:left="357" w:hanging="357"/>
        <w:jc w:val="both"/>
        <w:rPr>
          <w:rFonts w:ascii="David" w:hAnsi="David"/>
          <w:rtl/>
        </w:rPr>
      </w:pPr>
      <w:r>
        <w:rPr>
          <w:rFonts w:ascii="David" w:hAnsi="David"/>
          <w:rtl/>
        </w:rPr>
        <w:t>במזומן בכל סניף של בנק הדואר – בהצגת תעודת זהות בלבד (אין צורך בשוברי תשלום).</w:t>
      </w:r>
    </w:p>
    <w:p w14:paraId="113CCA81" w14:textId="77777777" w:rsidR="00834B46" w:rsidRDefault="00834B46" w:rsidP="00834B46">
      <w:pPr>
        <w:spacing w:line="360" w:lineRule="auto"/>
        <w:rPr>
          <w:rFonts w:ascii="David" w:eastAsia="Calibri" w:hAnsi="David"/>
          <w:rtl/>
        </w:rPr>
      </w:pPr>
    </w:p>
    <w:p w14:paraId="64317B7F" w14:textId="77777777" w:rsidR="00834B46" w:rsidRDefault="00834B46" w:rsidP="00834B46">
      <w:pPr>
        <w:spacing w:line="360" w:lineRule="auto"/>
        <w:rPr>
          <w:rFonts w:ascii="David" w:eastAsia="Calibri" w:hAnsi="David"/>
          <w:rtl/>
        </w:rPr>
      </w:pPr>
      <w:r>
        <w:rPr>
          <w:rFonts w:ascii="David" w:eastAsia="Calibri" w:hAnsi="David" w:hint="cs"/>
          <w:rtl/>
        </w:rPr>
        <w:t xml:space="preserve">מוצגים, בהסכמת הצדדים, שני מכשירי טלפון נייד שנתפסו ברשות הנאשם, יוחזרו לידיו. הסמים יושמדו.  </w:t>
      </w:r>
    </w:p>
    <w:p w14:paraId="595B9FA9" w14:textId="77777777" w:rsidR="00834B46" w:rsidRDefault="00834B46" w:rsidP="00834B46">
      <w:pPr>
        <w:spacing w:line="360" w:lineRule="auto"/>
        <w:rPr>
          <w:rFonts w:ascii="David" w:eastAsia="Calibri" w:hAnsi="David"/>
          <w:rtl/>
        </w:rPr>
      </w:pPr>
    </w:p>
    <w:p w14:paraId="2B08FF25" w14:textId="77777777" w:rsidR="00834B46" w:rsidRDefault="00834B46" w:rsidP="00834B46">
      <w:pPr>
        <w:spacing w:line="360" w:lineRule="auto"/>
        <w:rPr>
          <w:rFonts w:ascii="David" w:eastAsia="Calibri" w:hAnsi="David"/>
          <w:rtl/>
        </w:rPr>
      </w:pPr>
      <w:r>
        <w:rPr>
          <w:rFonts w:ascii="David" w:eastAsia="Calibri" w:hAnsi="David" w:hint="cs"/>
          <w:rtl/>
        </w:rPr>
        <w:t>המזכירות תמציא ההחלטה ל</w:t>
      </w:r>
      <w:r w:rsidRPr="007545CC">
        <w:rPr>
          <w:rFonts w:ascii="David" w:eastAsia="Calibri" w:hAnsi="David" w:hint="cs"/>
          <w:b/>
          <w:bCs/>
          <w:rtl/>
        </w:rPr>
        <w:t>שירות המבחן</w:t>
      </w:r>
      <w:r>
        <w:rPr>
          <w:rFonts w:ascii="David" w:eastAsia="Calibri" w:hAnsi="David" w:hint="cs"/>
          <w:rtl/>
        </w:rPr>
        <w:t xml:space="preserve"> ו</w:t>
      </w:r>
      <w:r w:rsidRPr="007545CC">
        <w:rPr>
          <w:rFonts w:ascii="David" w:eastAsia="Calibri" w:hAnsi="David" w:hint="cs"/>
          <w:rtl/>
        </w:rPr>
        <w:t>ל</w:t>
      </w:r>
      <w:r w:rsidRPr="007545CC">
        <w:rPr>
          <w:rFonts w:ascii="David" w:eastAsia="Calibri" w:hAnsi="David" w:hint="cs"/>
          <w:b/>
          <w:bCs/>
          <w:rtl/>
        </w:rPr>
        <w:t>ממונה על עבודות השירות</w:t>
      </w:r>
      <w:r>
        <w:rPr>
          <w:rFonts w:ascii="David" w:eastAsia="Calibri" w:hAnsi="David" w:hint="cs"/>
          <w:rtl/>
        </w:rPr>
        <w:t>.</w:t>
      </w:r>
    </w:p>
    <w:p w14:paraId="133105BC" w14:textId="77777777" w:rsidR="00834B46" w:rsidRDefault="00834B46" w:rsidP="00834B46">
      <w:pPr>
        <w:spacing w:line="360" w:lineRule="auto"/>
        <w:rPr>
          <w:rFonts w:ascii="David" w:eastAsia="Calibri" w:hAnsi="David"/>
        </w:rPr>
      </w:pPr>
    </w:p>
    <w:p w14:paraId="5AB5C839" w14:textId="77777777" w:rsidR="00834B46" w:rsidRDefault="000A0509" w:rsidP="00834B46">
      <w:pPr>
        <w:spacing w:line="360" w:lineRule="auto"/>
        <w:rPr>
          <w:rFonts w:ascii="David" w:eastAsia="Calibri" w:hAnsi="David"/>
          <w:rtl/>
        </w:rPr>
      </w:pPr>
      <w:r w:rsidRPr="000A0509">
        <w:rPr>
          <w:rFonts w:ascii="David" w:eastAsia="Calibri" w:hAnsi="David"/>
          <w:color w:val="FFFFFF"/>
          <w:sz w:val="2"/>
          <w:szCs w:val="2"/>
          <w:rtl/>
        </w:rPr>
        <w:t>5129371</w:t>
      </w:r>
      <w:r w:rsidR="00834B46">
        <w:rPr>
          <w:rFonts w:ascii="David" w:eastAsia="Calibri" w:hAnsi="David" w:hint="cs"/>
          <w:rtl/>
        </w:rPr>
        <w:t>זכות ערעור לבית המשפט המחוזי בירושלים תוך 45 ימים מהיום.</w:t>
      </w:r>
    </w:p>
    <w:p w14:paraId="0ACF2520" w14:textId="77777777" w:rsidR="00834B46" w:rsidRPr="000A0509" w:rsidRDefault="000A0509" w:rsidP="00834B46">
      <w:pPr>
        <w:rPr>
          <w:rFonts w:ascii="Arial" w:hAnsi="Arial"/>
          <w:b/>
          <w:bCs/>
          <w:color w:val="FFFFFF"/>
          <w:sz w:val="2"/>
          <w:szCs w:val="2"/>
          <w:rtl/>
        </w:rPr>
      </w:pPr>
      <w:r w:rsidRPr="000A0509">
        <w:rPr>
          <w:rFonts w:ascii="Arial" w:hAnsi="Arial"/>
          <w:b/>
          <w:bCs/>
          <w:color w:val="FFFFFF"/>
          <w:sz w:val="2"/>
          <w:szCs w:val="2"/>
          <w:rtl/>
        </w:rPr>
        <w:t>54678313</w:t>
      </w:r>
    </w:p>
    <w:p w14:paraId="47CFFE1D" w14:textId="77777777" w:rsidR="00834B46" w:rsidRPr="000F2247" w:rsidRDefault="00834B46" w:rsidP="00834B46">
      <w:pPr>
        <w:rPr>
          <w:rFonts w:ascii="Arial" w:hAnsi="Arial"/>
          <w:b/>
          <w:bCs/>
          <w:sz w:val="26"/>
          <w:szCs w:val="26"/>
          <w:rtl/>
        </w:rPr>
      </w:pPr>
    </w:p>
    <w:p w14:paraId="11546EF0" w14:textId="77777777" w:rsidR="00834B46" w:rsidRPr="000F2247" w:rsidRDefault="000A0509" w:rsidP="00834B46">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כ"ה שבט תשפ"ד, 04 פברואר 2024, במעמד הצדדים. </w:t>
      </w:r>
      <w:bookmarkEnd w:id="8"/>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b/>
          <w:bCs/>
          <w:sz w:val="26"/>
          <w:szCs w:val="26"/>
          <w:rtl/>
        </w:rPr>
        <w:tab/>
      </w:r>
      <w:r w:rsidR="00834B46">
        <w:rPr>
          <w:rFonts w:ascii="Arial" w:hAnsi="Arial" w:hint="cs"/>
          <w:b/>
          <w:bCs/>
          <w:sz w:val="26"/>
          <w:szCs w:val="26"/>
          <w:rtl/>
        </w:rPr>
        <w:t xml:space="preserve">         </w:t>
      </w:r>
    </w:p>
    <w:p w14:paraId="6F309CD7" w14:textId="77777777" w:rsidR="00834B46" w:rsidRPr="000F2247" w:rsidRDefault="00834B46" w:rsidP="000A050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FDD207" w14:textId="77777777" w:rsidR="00834B46" w:rsidRPr="000F2247" w:rsidRDefault="00834B46" w:rsidP="00834B46">
      <w:pPr>
        <w:jc w:val="center"/>
        <w:rPr>
          <w:rFonts w:ascii="Arial" w:hAnsi="Arial"/>
          <w:b/>
          <w:bCs/>
          <w:sz w:val="26"/>
          <w:szCs w:val="26"/>
          <w:rtl/>
        </w:rPr>
      </w:pPr>
    </w:p>
    <w:p w14:paraId="426F1C00" w14:textId="77777777" w:rsidR="00DE3CD3" w:rsidRPr="000A0509" w:rsidRDefault="00DE3CD3" w:rsidP="000A0509">
      <w:pPr>
        <w:keepNext/>
        <w:rPr>
          <w:rFonts w:ascii="David" w:hAnsi="David"/>
          <w:color w:val="000000"/>
          <w:sz w:val="22"/>
          <w:szCs w:val="22"/>
          <w:rtl/>
        </w:rPr>
      </w:pPr>
    </w:p>
    <w:p w14:paraId="3B921473" w14:textId="77777777" w:rsidR="000A0509" w:rsidRPr="000A0509" w:rsidRDefault="000A0509" w:rsidP="000A0509">
      <w:pPr>
        <w:keepNext/>
        <w:rPr>
          <w:rFonts w:ascii="David" w:hAnsi="David"/>
          <w:color w:val="000000"/>
          <w:sz w:val="22"/>
          <w:szCs w:val="22"/>
          <w:rtl/>
        </w:rPr>
      </w:pPr>
      <w:r w:rsidRPr="000A0509">
        <w:rPr>
          <w:rFonts w:ascii="David" w:hAnsi="David"/>
          <w:color w:val="000000"/>
          <w:sz w:val="22"/>
          <w:szCs w:val="22"/>
          <w:rtl/>
        </w:rPr>
        <w:t>ביאלין אלעזר 54678313</w:t>
      </w:r>
    </w:p>
    <w:p w14:paraId="6E27618E" w14:textId="77777777" w:rsidR="000A0509" w:rsidRDefault="000A0509" w:rsidP="000A0509">
      <w:r w:rsidRPr="000A0509">
        <w:rPr>
          <w:color w:val="000000"/>
          <w:rtl/>
        </w:rPr>
        <w:t>נוסח מסמך זה כפוף לשינויי ניסוח ועריכה</w:t>
      </w:r>
    </w:p>
    <w:p w14:paraId="77D6865C" w14:textId="77777777" w:rsidR="000A0509" w:rsidRDefault="000A0509" w:rsidP="000A0509">
      <w:pPr>
        <w:rPr>
          <w:rtl/>
        </w:rPr>
      </w:pPr>
    </w:p>
    <w:p w14:paraId="7BED6856" w14:textId="77777777" w:rsidR="000A0509" w:rsidRDefault="000A0509" w:rsidP="000A0509">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DC8A141" w14:textId="77777777" w:rsidR="000A0509" w:rsidRPr="000A0509" w:rsidRDefault="000A0509" w:rsidP="000A0509">
      <w:pPr>
        <w:jc w:val="center"/>
        <w:rPr>
          <w:color w:val="0000FF"/>
          <w:u w:val="single"/>
        </w:rPr>
      </w:pPr>
    </w:p>
    <w:sectPr w:rsidR="000A0509" w:rsidRPr="000A0509" w:rsidSect="000A0509">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B34AF" w14:textId="77777777" w:rsidR="00351A0A" w:rsidRDefault="00351A0A" w:rsidP="009E3C25">
      <w:r>
        <w:separator/>
      </w:r>
    </w:p>
  </w:endnote>
  <w:endnote w:type="continuationSeparator" w:id="0">
    <w:p w14:paraId="0D0AE55B" w14:textId="77777777" w:rsidR="00351A0A" w:rsidRDefault="00351A0A" w:rsidP="009E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BEF25" w14:textId="77777777" w:rsidR="000A0509" w:rsidRDefault="000A0509" w:rsidP="000A05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7256EE" w14:textId="77777777" w:rsidR="009C58EB" w:rsidRPr="000A0509" w:rsidRDefault="000A0509" w:rsidP="000A05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2B1" w14:textId="77777777" w:rsidR="000A0509" w:rsidRDefault="000A0509" w:rsidP="000A05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C650F">
      <w:rPr>
        <w:rFonts w:ascii="FrankRuehl" w:hAnsi="FrankRuehl" w:cs="FrankRuehl"/>
        <w:noProof/>
        <w:rtl/>
      </w:rPr>
      <w:t>1</w:t>
    </w:r>
    <w:r>
      <w:rPr>
        <w:rFonts w:ascii="FrankRuehl" w:hAnsi="FrankRuehl" w:cs="FrankRuehl"/>
        <w:rtl/>
      </w:rPr>
      <w:fldChar w:fldCharType="end"/>
    </w:r>
  </w:p>
  <w:p w14:paraId="35A4B7F0" w14:textId="77777777" w:rsidR="009C58EB" w:rsidRPr="000A0509" w:rsidRDefault="000A0509" w:rsidP="000A05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440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EF220" w14:textId="77777777" w:rsidR="00351A0A" w:rsidRDefault="00351A0A" w:rsidP="009E3C25">
      <w:r>
        <w:separator/>
      </w:r>
    </w:p>
  </w:footnote>
  <w:footnote w:type="continuationSeparator" w:id="0">
    <w:p w14:paraId="4342CA87" w14:textId="77777777" w:rsidR="00351A0A" w:rsidRDefault="00351A0A" w:rsidP="009E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2B014" w14:textId="77777777" w:rsidR="000A0509" w:rsidRPr="000A0509" w:rsidRDefault="000A0509" w:rsidP="000A05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42879-09-21</w:t>
    </w:r>
    <w:r>
      <w:rPr>
        <w:rFonts w:ascii="David" w:hAnsi="David"/>
        <w:color w:val="000000"/>
        <w:sz w:val="22"/>
        <w:szCs w:val="22"/>
        <w:rtl/>
      </w:rPr>
      <w:tab/>
      <w:t xml:space="preserve"> מדינת ישראל נ' דניאל דוידוב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AB71A" w14:textId="77777777" w:rsidR="000A0509" w:rsidRPr="000A0509" w:rsidRDefault="000A0509" w:rsidP="000A05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42879-09-21</w:t>
    </w:r>
    <w:r>
      <w:rPr>
        <w:rFonts w:ascii="David" w:hAnsi="David"/>
        <w:color w:val="000000"/>
        <w:sz w:val="22"/>
        <w:szCs w:val="22"/>
        <w:rtl/>
      </w:rPr>
      <w:tab/>
      <w:t xml:space="preserve"> מדינת ישראל נ' דניאל דוידוב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04A"/>
    <w:multiLevelType w:val="hybridMultilevel"/>
    <w:tmpl w:val="E0386FBA"/>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82B3CBA"/>
    <w:multiLevelType w:val="hybridMultilevel"/>
    <w:tmpl w:val="9B302204"/>
    <w:lvl w:ilvl="0" w:tplc="6CA45900">
      <w:start w:val="1"/>
      <w:numFmt w:val="decimal"/>
      <w:lvlText w:val="%1."/>
      <w:lvlJc w:val="left"/>
      <w:pPr>
        <w:ind w:left="360" w:hanging="360"/>
      </w:pPr>
      <w:rPr>
        <w:rFonts w:ascii="David" w:hAnsi="David" w:cs="David" w:hint="default"/>
        <w:color w:val="auto"/>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45153C2"/>
    <w:multiLevelType w:val="hybridMultilevel"/>
    <w:tmpl w:val="E112E9FA"/>
    <w:lvl w:ilvl="0" w:tplc="685850B6">
      <w:start w:val="1"/>
      <w:numFmt w:val="hebrew1"/>
      <w:lvlText w:val="%1."/>
      <w:lvlJc w:val="left"/>
      <w:pPr>
        <w:ind w:left="927"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096172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6156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71638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38481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34B46"/>
    <w:rsid w:val="000A0509"/>
    <w:rsid w:val="000B7BA4"/>
    <w:rsid w:val="001B5A3B"/>
    <w:rsid w:val="00351A0A"/>
    <w:rsid w:val="003C338B"/>
    <w:rsid w:val="0047387C"/>
    <w:rsid w:val="00834B46"/>
    <w:rsid w:val="00876922"/>
    <w:rsid w:val="00950131"/>
    <w:rsid w:val="009C58EB"/>
    <w:rsid w:val="009C650F"/>
    <w:rsid w:val="009E3C25"/>
    <w:rsid w:val="00A056E1"/>
    <w:rsid w:val="00B2753D"/>
    <w:rsid w:val="00D270C2"/>
    <w:rsid w:val="00DE3C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FD5CCC2"/>
  <w15:chartTrackingRefBased/>
  <w15:docId w15:val="{DA6AF040-FFD0-44E6-925C-59D5907A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34B4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34B46"/>
    <w:pPr>
      <w:tabs>
        <w:tab w:val="center" w:pos="4153"/>
        <w:tab w:val="right" w:pos="8306"/>
      </w:tabs>
    </w:pPr>
  </w:style>
  <w:style w:type="character" w:customStyle="1" w:styleId="a4">
    <w:name w:val="כותרת עליונה תו"/>
    <w:link w:val="a3"/>
    <w:rsid w:val="00834B46"/>
    <w:rPr>
      <w:rFonts w:ascii="Times New Roman" w:eastAsia="Times New Roman" w:hAnsi="Times New Roman" w:cs="David"/>
      <w:sz w:val="24"/>
      <w:szCs w:val="24"/>
    </w:rPr>
  </w:style>
  <w:style w:type="paragraph" w:styleId="a5">
    <w:name w:val="footer"/>
    <w:basedOn w:val="a"/>
    <w:link w:val="a6"/>
    <w:rsid w:val="00834B46"/>
    <w:pPr>
      <w:tabs>
        <w:tab w:val="center" w:pos="4153"/>
        <w:tab w:val="right" w:pos="8306"/>
      </w:tabs>
    </w:pPr>
  </w:style>
  <w:style w:type="character" w:customStyle="1" w:styleId="a6">
    <w:name w:val="כותרת תחתונה תו"/>
    <w:link w:val="a5"/>
    <w:rsid w:val="00834B46"/>
    <w:rPr>
      <w:rFonts w:ascii="Times New Roman" w:eastAsia="Times New Roman" w:hAnsi="Times New Roman" w:cs="David"/>
      <w:sz w:val="24"/>
      <w:szCs w:val="24"/>
    </w:rPr>
  </w:style>
  <w:style w:type="table" w:styleId="a7">
    <w:name w:val="Table Grid"/>
    <w:basedOn w:val="a1"/>
    <w:rsid w:val="00834B4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34B46"/>
  </w:style>
  <w:style w:type="character" w:styleId="Hyperlink">
    <w:name w:val="Hyperlink"/>
    <w:rsid w:val="00834B46"/>
    <w:rPr>
      <w:color w:val="0000FF"/>
      <w:u w:val="single"/>
    </w:rPr>
  </w:style>
  <w:style w:type="character" w:customStyle="1" w:styleId="a9">
    <w:name w:val="פיסקת רשימה תו"/>
    <w:link w:val="aa"/>
    <w:locked/>
    <w:rsid w:val="00834B46"/>
  </w:style>
  <w:style w:type="paragraph" w:styleId="aa">
    <w:name w:val="List Paragraph"/>
    <w:basedOn w:val="a"/>
    <w:link w:val="a9"/>
    <w:qFormat/>
    <w:rsid w:val="00834B46"/>
    <w:pPr>
      <w:spacing w:after="160" w:line="256" w:lineRule="auto"/>
      <w:ind w:left="720"/>
      <w:contextualSpacing/>
    </w:pPr>
    <w:rPr>
      <w:rFonts w:ascii="Calibri" w:eastAsia="Calibri" w:hAnsi="Calibri" w:cs="Arial"/>
      <w:sz w:val="22"/>
      <w:szCs w:val="22"/>
    </w:rPr>
  </w:style>
  <w:style w:type="paragraph" w:styleId="ab">
    <w:name w:val="Quote"/>
    <w:basedOn w:val="a"/>
    <w:next w:val="a"/>
    <w:link w:val="ac"/>
    <w:qFormat/>
    <w:rsid w:val="00834B46"/>
    <w:pPr>
      <w:spacing w:before="200" w:after="160" w:line="256" w:lineRule="auto"/>
      <w:ind w:left="864" w:right="864"/>
      <w:jc w:val="center"/>
    </w:pPr>
    <w:rPr>
      <w:rFonts w:ascii="Calibri" w:eastAsia="Calibri" w:hAnsi="Calibri" w:cs="Arial"/>
      <w:i/>
      <w:iCs/>
      <w:color w:val="404040"/>
      <w:sz w:val="22"/>
      <w:szCs w:val="22"/>
    </w:rPr>
  </w:style>
  <w:style w:type="character" w:customStyle="1" w:styleId="ac">
    <w:name w:val="ציטוט תו"/>
    <w:link w:val="ab"/>
    <w:rsid w:val="00834B46"/>
    <w:rPr>
      <w:i/>
      <w:iCs/>
      <w:color w:val="404040"/>
    </w:rPr>
  </w:style>
  <w:style w:type="character" w:customStyle="1" w:styleId="Ruller4">
    <w:name w:val="Ruller 4 ממוספר תו"/>
    <w:link w:val="Ruller40"/>
    <w:locked/>
    <w:rsid w:val="00834B46"/>
    <w:rPr>
      <w:rFonts w:ascii="Garamond" w:hAnsi="Garamond" w:cs="FrankRuehl"/>
      <w:spacing w:val="10"/>
      <w:sz w:val="24"/>
      <w:szCs w:val="28"/>
    </w:rPr>
  </w:style>
  <w:style w:type="paragraph" w:customStyle="1" w:styleId="Ruller40">
    <w:name w:val="Ruller 4 ממוספר"/>
    <w:basedOn w:val="a"/>
    <w:next w:val="a"/>
    <w:link w:val="Ruller4"/>
    <w:rsid w:val="00834B46"/>
    <w:pPr>
      <w:tabs>
        <w:tab w:val="left" w:pos="800"/>
      </w:tabs>
      <w:overflowPunct w:val="0"/>
      <w:autoSpaceDE w:val="0"/>
      <w:autoSpaceDN w:val="0"/>
      <w:adjustRightInd w:val="0"/>
      <w:spacing w:line="360" w:lineRule="auto"/>
      <w:jc w:val="both"/>
    </w:pPr>
    <w:rPr>
      <w:rFonts w:ascii="Garamond" w:eastAsia="Calibri"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5786821" TargetMode="External"/><Relationship Id="rId18" Type="http://schemas.openxmlformats.org/officeDocument/2006/relationships/hyperlink" Target="http://www.nevo.co.il/case/21477472"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20010483"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7012287"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17978777" TargetMode="External"/><Relationship Id="rId20" Type="http://schemas.openxmlformats.org/officeDocument/2006/relationships/hyperlink" Target="http://www.nevo.co.il/case/600496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60548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780301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2828581" TargetMode="External"/><Relationship Id="rId22" Type="http://schemas.openxmlformats.org/officeDocument/2006/relationships/hyperlink" Target="http://www.eca.gov.il"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3495</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20933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7864368</vt:i4>
      </vt:variant>
      <vt:variant>
        <vt:i4>45</vt:i4>
      </vt:variant>
      <vt:variant>
        <vt:i4>0</vt:i4>
      </vt:variant>
      <vt:variant>
        <vt:i4>5</vt:i4>
      </vt:variant>
      <vt:variant>
        <vt:lpwstr>http://www.eca.gov.il/</vt:lpwstr>
      </vt:variant>
      <vt:variant>
        <vt:lpwstr/>
      </vt:variant>
      <vt:variant>
        <vt:i4>3801201</vt:i4>
      </vt:variant>
      <vt:variant>
        <vt:i4>42</vt:i4>
      </vt:variant>
      <vt:variant>
        <vt:i4>0</vt:i4>
      </vt:variant>
      <vt:variant>
        <vt:i4>5</vt:i4>
      </vt:variant>
      <vt:variant>
        <vt:lpwstr>http://www.nevo.co.il/case/20010483</vt:lpwstr>
      </vt:variant>
      <vt:variant>
        <vt:lpwstr/>
      </vt:variant>
      <vt:variant>
        <vt:i4>3866742</vt:i4>
      </vt:variant>
      <vt:variant>
        <vt:i4>39</vt:i4>
      </vt:variant>
      <vt:variant>
        <vt:i4>0</vt:i4>
      </vt:variant>
      <vt:variant>
        <vt:i4>5</vt:i4>
      </vt:variant>
      <vt:variant>
        <vt:lpwstr>http://www.nevo.co.il/case/6004964</vt:lpwstr>
      </vt:variant>
      <vt:variant>
        <vt:lpwstr/>
      </vt:variant>
      <vt:variant>
        <vt:i4>3473534</vt:i4>
      </vt:variant>
      <vt:variant>
        <vt:i4>36</vt:i4>
      </vt:variant>
      <vt:variant>
        <vt:i4>0</vt:i4>
      </vt:variant>
      <vt:variant>
        <vt:i4>5</vt:i4>
      </vt:variant>
      <vt:variant>
        <vt:lpwstr>http://www.nevo.co.il/case/7803012</vt:lpwstr>
      </vt:variant>
      <vt:variant>
        <vt:lpwstr/>
      </vt:variant>
      <vt:variant>
        <vt:i4>3539062</vt:i4>
      </vt:variant>
      <vt:variant>
        <vt:i4>33</vt:i4>
      </vt:variant>
      <vt:variant>
        <vt:i4>0</vt:i4>
      </vt:variant>
      <vt:variant>
        <vt:i4>5</vt:i4>
      </vt:variant>
      <vt:variant>
        <vt:lpwstr>http://www.nevo.co.il/case/21477472</vt:lpwstr>
      </vt:variant>
      <vt:variant>
        <vt:lpwstr/>
      </vt:variant>
      <vt:variant>
        <vt:i4>3342462</vt:i4>
      </vt:variant>
      <vt:variant>
        <vt:i4>30</vt:i4>
      </vt:variant>
      <vt:variant>
        <vt:i4>0</vt:i4>
      </vt:variant>
      <vt:variant>
        <vt:i4>5</vt:i4>
      </vt:variant>
      <vt:variant>
        <vt:lpwstr>http://www.nevo.co.il/case/7012287</vt:lpwstr>
      </vt:variant>
      <vt:variant>
        <vt:lpwstr/>
      </vt:variant>
      <vt:variant>
        <vt:i4>3604595</vt:i4>
      </vt:variant>
      <vt:variant>
        <vt:i4>27</vt:i4>
      </vt:variant>
      <vt:variant>
        <vt:i4>0</vt:i4>
      </vt:variant>
      <vt:variant>
        <vt:i4>5</vt:i4>
      </vt:variant>
      <vt:variant>
        <vt:lpwstr>http://www.nevo.co.il/case/17978777</vt:lpwstr>
      </vt:variant>
      <vt:variant>
        <vt:lpwstr/>
      </vt:variant>
      <vt:variant>
        <vt:i4>3473535</vt:i4>
      </vt:variant>
      <vt:variant>
        <vt:i4>24</vt:i4>
      </vt:variant>
      <vt:variant>
        <vt:i4>0</vt:i4>
      </vt:variant>
      <vt:variant>
        <vt:i4>5</vt:i4>
      </vt:variant>
      <vt:variant>
        <vt:lpwstr>http://www.nevo.co.il/case/5605484</vt:lpwstr>
      </vt:variant>
      <vt:variant>
        <vt:lpwstr/>
      </vt:variant>
      <vt:variant>
        <vt:i4>3801201</vt:i4>
      </vt:variant>
      <vt:variant>
        <vt:i4>21</vt:i4>
      </vt:variant>
      <vt:variant>
        <vt:i4>0</vt:i4>
      </vt:variant>
      <vt:variant>
        <vt:i4>5</vt:i4>
      </vt:variant>
      <vt:variant>
        <vt:lpwstr>http://www.nevo.co.il/case/22828581</vt:lpwstr>
      </vt:variant>
      <vt:variant>
        <vt:lpwstr/>
      </vt:variant>
      <vt:variant>
        <vt:i4>3407991</vt:i4>
      </vt:variant>
      <vt:variant>
        <vt:i4>18</vt:i4>
      </vt:variant>
      <vt:variant>
        <vt:i4>0</vt:i4>
      </vt:variant>
      <vt:variant>
        <vt:i4>5</vt:i4>
      </vt:variant>
      <vt:variant>
        <vt:lpwstr>http://www.nevo.co.il/case/5786821</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42879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דניאל דוידוב</vt:lpwstr>
  </property>
  <property fmtid="{D5CDD505-2E9C-101B-9397-08002B2CF9AE}" pid="10" name="LAWYER">
    <vt:lpwstr>דניאל לוין בוטביה;חן הולנדר</vt:lpwstr>
  </property>
  <property fmtid="{D5CDD505-2E9C-101B-9397-08002B2CF9AE}" pid="11" name="JUDGE">
    <vt:lpwstr>ביאלין אלעזר</vt:lpwstr>
  </property>
  <property fmtid="{D5CDD505-2E9C-101B-9397-08002B2CF9AE}" pid="12" name="CITY">
    <vt:lpwstr>י-ם</vt:lpwstr>
  </property>
  <property fmtid="{D5CDD505-2E9C-101B-9397-08002B2CF9AE}" pid="13" name="DATE">
    <vt:lpwstr>20240204</vt:lpwstr>
  </property>
  <property fmtid="{D5CDD505-2E9C-101B-9397-08002B2CF9AE}" pid="14" name="TYPE_N_DATE">
    <vt:lpwstr>38020240204</vt:lpwstr>
  </property>
  <property fmtid="{D5CDD505-2E9C-101B-9397-08002B2CF9AE}" pid="15" name="WORDNUMPAGES">
    <vt:lpwstr>12</vt:lpwstr>
  </property>
  <property fmtid="{D5CDD505-2E9C-101B-9397-08002B2CF9AE}" pid="16" name="TYPE_ABS_DATE">
    <vt:lpwstr>380020240204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5786821;22828581;5605484;17978777;7012287;21477472;7803012;6004964;20010483</vt:lpwstr>
  </property>
  <property fmtid="{D5CDD505-2E9C-101B-9397-08002B2CF9AE}" pid="36" name="LAWLISTTMP1">
    <vt:lpwstr>4216/013;019a</vt:lpwstr>
  </property>
</Properties>
</file>