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AD633B" w:rsidRPr="00D33DDD" w14:paraId="1C4F1CC3" w14:textId="77777777" w:rsidTr="003B5077">
        <w:trPr>
          <w:gridAfter w:val="1"/>
          <w:wAfter w:w="99" w:type="dxa"/>
          <w:trHeight w:hRule="exact" w:val="418"/>
          <w:jc w:val="center"/>
        </w:trPr>
        <w:tc>
          <w:tcPr>
            <w:tcW w:w="8721" w:type="dxa"/>
            <w:gridSpan w:val="4"/>
          </w:tcPr>
          <w:p w14:paraId="694522A6" w14:textId="77777777" w:rsidR="00AD633B" w:rsidRPr="00D33DDD" w:rsidRDefault="00AD633B" w:rsidP="009835EC">
            <w:pPr>
              <w:pStyle w:val="a4"/>
              <w:jc w:val="center"/>
              <w:rPr>
                <w:rFonts w:ascii="Tahoma" w:hAnsi="Tahoma" w:cs="Tahoma"/>
                <w:color w:val="000080"/>
                <w:rtl/>
              </w:rPr>
            </w:pPr>
            <w:bookmarkStart w:id="0" w:name="LastJudge"/>
            <w:r w:rsidRPr="00D33DDD">
              <w:rPr>
                <w:rFonts w:ascii="Tahoma" w:hAnsi="Tahoma" w:cs="Tahoma"/>
                <w:b/>
                <w:bCs/>
                <w:color w:val="000080"/>
                <w:rtl/>
              </w:rPr>
              <w:t>בית משפט השלום בקריות</w:t>
            </w:r>
          </w:p>
        </w:tc>
      </w:tr>
      <w:tr w:rsidR="00AD633B" w:rsidRPr="00D33DDD" w14:paraId="175F6358" w14:textId="77777777" w:rsidTr="003B5077">
        <w:trPr>
          <w:gridAfter w:val="1"/>
          <w:wAfter w:w="99" w:type="dxa"/>
          <w:trHeight w:val="664"/>
          <w:jc w:val="center"/>
        </w:trPr>
        <w:tc>
          <w:tcPr>
            <w:tcW w:w="5055" w:type="dxa"/>
            <w:gridSpan w:val="3"/>
          </w:tcPr>
          <w:p w14:paraId="220F323E" w14:textId="77777777" w:rsidR="00AD633B" w:rsidRPr="00D33DDD" w:rsidRDefault="00AD633B" w:rsidP="009835EC">
            <w:pPr>
              <w:rPr>
                <w:rFonts w:cs="FrankRuehl"/>
                <w:sz w:val="28"/>
                <w:szCs w:val="28"/>
                <w:rtl/>
              </w:rPr>
            </w:pPr>
            <w:r w:rsidRPr="00D33DDD">
              <w:rPr>
                <w:rFonts w:cs="FrankRuehl"/>
                <w:sz w:val="28"/>
                <w:szCs w:val="28"/>
                <w:rtl/>
              </w:rPr>
              <w:t>ת"פ</w:t>
            </w:r>
            <w:r w:rsidRPr="00D33DDD">
              <w:rPr>
                <w:rFonts w:cs="FrankRuehl" w:hint="cs"/>
                <w:sz w:val="28"/>
                <w:szCs w:val="28"/>
                <w:rtl/>
              </w:rPr>
              <w:t xml:space="preserve"> </w:t>
            </w:r>
            <w:r w:rsidRPr="00D33DDD">
              <w:rPr>
                <w:rFonts w:cs="FrankRuehl"/>
                <w:sz w:val="28"/>
                <w:szCs w:val="28"/>
                <w:rtl/>
              </w:rPr>
              <w:t>17415-10-21</w:t>
            </w:r>
            <w:r w:rsidRPr="00D33DDD">
              <w:rPr>
                <w:rFonts w:cs="FrankRuehl" w:hint="cs"/>
                <w:sz w:val="28"/>
                <w:szCs w:val="28"/>
                <w:rtl/>
              </w:rPr>
              <w:t xml:space="preserve"> </w:t>
            </w:r>
            <w:r w:rsidRPr="00D33DDD">
              <w:rPr>
                <w:rFonts w:cs="FrankRuehl"/>
                <w:sz w:val="28"/>
                <w:szCs w:val="28"/>
                <w:rtl/>
              </w:rPr>
              <w:t>מדינת ישראל נ' ספניאייב</w:t>
            </w:r>
          </w:p>
          <w:p w14:paraId="3C07405A" w14:textId="77777777" w:rsidR="00AD633B" w:rsidRPr="00D33DDD" w:rsidRDefault="00AD633B" w:rsidP="009835EC">
            <w:pPr>
              <w:pStyle w:val="a4"/>
              <w:rPr>
                <w:rFonts w:cs="FrankRuehl"/>
                <w:sz w:val="28"/>
                <w:szCs w:val="28"/>
                <w:rtl/>
              </w:rPr>
            </w:pPr>
          </w:p>
        </w:tc>
        <w:tc>
          <w:tcPr>
            <w:tcW w:w="3666" w:type="dxa"/>
          </w:tcPr>
          <w:p w14:paraId="7D3C8FA3" w14:textId="77777777" w:rsidR="00AD633B" w:rsidRPr="00D33DDD" w:rsidRDefault="00AD633B" w:rsidP="009835EC">
            <w:pPr>
              <w:pStyle w:val="a4"/>
              <w:jc w:val="right"/>
              <w:rPr>
                <w:rFonts w:cs="FrankRuehl"/>
                <w:sz w:val="28"/>
                <w:szCs w:val="28"/>
                <w:rtl/>
              </w:rPr>
            </w:pPr>
          </w:p>
        </w:tc>
      </w:tr>
      <w:tr w:rsidR="00AD633B" w:rsidRPr="00D33DDD" w14:paraId="54098C06" w14:textId="77777777" w:rsidTr="003B50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4172D5A6" w14:textId="77777777" w:rsidR="00AD633B" w:rsidRPr="00D33DDD" w:rsidRDefault="00AD633B" w:rsidP="00AD633B">
            <w:pPr>
              <w:jc w:val="both"/>
              <w:rPr>
                <w:rFonts w:ascii="David" w:hAnsi="David"/>
                <w:sz w:val="26"/>
                <w:szCs w:val="26"/>
              </w:rPr>
            </w:pPr>
            <w:r w:rsidRPr="00D33DDD">
              <w:rPr>
                <w:rFonts w:hint="cs"/>
                <w:rtl/>
              </w:rPr>
              <w:t xml:space="preserve"> </w:t>
            </w:r>
            <w:r w:rsidRPr="00D33DDD">
              <w:rPr>
                <w:rFonts w:ascii="David" w:hAnsi="David" w:hint="cs"/>
                <w:sz w:val="26"/>
                <w:szCs w:val="26"/>
                <w:rtl/>
              </w:rPr>
              <w:t>ל</w:t>
            </w:r>
            <w:r w:rsidRPr="00D33DDD">
              <w:rPr>
                <w:rFonts w:ascii="David" w:hAnsi="David"/>
                <w:sz w:val="26"/>
                <w:szCs w:val="26"/>
                <w:rtl/>
              </w:rPr>
              <w:t xml:space="preserve">פני </w:t>
            </w:r>
          </w:p>
        </w:tc>
        <w:tc>
          <w:tcPr>
            <w:tcW w:w="7897" w:type="dxa"/>
            <w:gridSpan w:val="4"/>
            <w:tcBorders>
              <w:top w:val="nil"/>
              <w:left w:val="nil"/>
              <w:bottom w:val="nil"/>
              <w:right w:val="nil"/>
            </w:tcBorders>
            <w:shd w:val="clear" w:color="auto" w:fill="auto"/>
          </w:tcPr>
          <w:p w14:paraId="6D7B215C" w14:textId="77777777" w:rsidR="00AD633B" w:rsidRPr="00D33DDD" w:rsidRDefault="00AD633B" w:rsidP="009835EC">
            <w:pPr>
              <w:rPr>
                <w:rFonts w:ascii="David" w:hAnsi="David"/>
                <w:b/>
                <w:bCs/>
                <w:sz w:val="26"/>
                <w:szCs w:val="26"/>
                <w:rtl/>
              </w:rPr>
            </w:pPr>
            <w:r w:rsidRPr="00D33DDD">
              <w:rPr>
                <w:rFonts w:ascii="David" w:hAnsi="David"/>
                <w:b/>
                <w:bCs/>
                <w:sz w:val="26"/>
                <w:szCs w:val="26"/>
                <w:rtl/>
              </w:rPr>
              <w:t>כבוד השופטת  סימי פלג קימלוב</w:t>
            </w:r>
          </w:p>
          <w:p w14:paraId="27BBC162" w14:textId="77777777" w:rsidR="00AD633B" w:rsidRPr="00D33DDD" w:rsidRDefault="00AD633B" w:rsidP="009835EC">
            <w:pPr>
              <w:rPr>
                <w:rFonts w:ascii="David" w:hAnsi="David"/>
                <w:sz w:val="26"/>
                <w:szCs w:val="26"/>
                <w:rtl/>
              </w:rPr>
            </w:pPr>
          </w:p>
          <w:p w14:paraId="68F682EC" w14:textId="77777777" w:rsidR="00AD633B" w:rsidRPr="00D33DDD" w:rsidRDefault="00AD633B" w:rsidP="00AD633B">
            <w:pPr>
              <w:jc w:val="both"/>
              <w:rPr>
                <w:rFonts w:ascii="David" w:hAnsi="David"/>
                <w:sz w:val="26"/>
                <w:szCs w:val="26"/>
              </w:rPr>
            </w:pPr>
          </w:p>
        </w:tc>
      </w:tr>
      <w:tr w:rsidR="00AD633B" w:rsidRPr="00D33DDD" w14:paraId="5848F004" w14:textId="77777777" w:rsidTr="003B50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D4D986D" w14:textId="77777777" w:rsidR="00AD633B" w:rsidRPr="00D33DDD" w:rsidRDefault="00AD633B" w:rsidP="00AD633B">
            <w:pPr>
              <w:jc w:val="both"/>
              <w:rPr>
                <w:rFonts w:ascii="David" w:hAnsi="David"/>
                <w:sz w:val="26"/>
                <w:szCs w:val="26"/>
              </w:rPr>
            </w:pPr>
            <w:bookmarkStart w:id="1" w:name="FirstAppellant"/>
            <w:r w:rsidRPr="00D33DDD">
              <w:rPr>
                <w:rFonts w:ascii="David" w:hAnsi="David"/>
                <w:sz w:val="26"/>
                <w:szCs w:val="26"/>
                <w:rtl/>
              </w:rPr>
              <w:t>בעניין:</w:t>
            </w:r>
          </w:p>
        </w:tc>
        <w:tc>
          <w:tcPr>
            <w:tcW w:w="3219" w:type="dxa"/>
            <w:tcBorders>
              <w:top w:val="nil"/>
              <w:left w:val="nil"/>
              <w:bottom w:val="nil"/>
              <w:right w:val="nil"/>
            </w:tcBorders>
            <w:shd w:val="clear" w:color="auto" w:fill="auto"/>
          </w:tcPr>
          <w:p w14:paraId="74DD43B1" w14:textId="77777777" w:rsidR="00AD633B" w:rsidRPr="00D33DDD" w:rsidRDefault="00AD633B" w:rsidP="00AD633B">
            <w:pPr>
              <w:suppressLineNumbers/>
            </w:pPr>
            <w:r w:rsidRPr="00D33DDD">
              <w:rPr>
                <w:rFonts w:ascii="Arial" w:hAnsi="Arial" w:hint="cs"/>
                <w:b/>
                <w:bCs/>
                <w:sz w:val="26"/>
                <w:szCs w:val="26"/>
                <w:rtl/>
              </w:rPr>
              <w:t>ה</w:t>
            </w:r>
            <w:r w:rsidRPr="00D33DDD">
              <w:rPr>
                <w:rFonts w:ascii="Arial" w:hAnsi="Arial"/>
                <w:b/>
                <w:bCs/>
                <w:sz w:val="26"/>
                <w:szCs w:val="26"/>
                <w:rtl/>
              </w:rPr>
              <w:t>מאשימה</w:t>
            </w:r>
          </w:p>
          <w:p w14:paraId="677AE30C" w14:textId="77777777" w:rsidR="00AD633B" w:rsidRPr="00D33DDD" w:rsidRDefault="00AD633B" w:rsidP="009835EC">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065260A" w14:textId="77777777" w:rsidR="00AD633B" w:rsidRPr="00D33DDD" w:rsidRDefault="00AD633B" w:rsidP="00AD633B">
            <w:pPr>
              <w:suppressLineNumbers/>
            </w:pPr>
            <w:r w:rsidRPr="00D33DDD">
              <w:rPr>
                <w:rFonts w:ascii="Arial" w:hAnsi="Arial"/>
                <w:b/>
                <w:bCs/>
                <w:sz w:val="26"/>
                <w:szCs w:val="26"/>
                <w:rtl/>
              </w:rPr>
              <w:t>מדינת ישראל</w:t>
            </w:r>
            <w:r w:rsidRPr="00D33DDD">
              <w:rPr>
                <w:rFonts w:ascii="Arial" w:hAnsi="Arial" w:hint="cs"/>
                <w:b/>
                <w:bCs/>
                <w:sz w:val="26"/>
                <w:szCs w:val="26"/>
                <w:rtl/>
              </w:rPr>
              <w:t xml:space="preserve"> </w:t>
            </w:r>
          </w:p>
          <w:p w14:paraId="73712FF0" w14:textId="77777777" w:rsidR="00AD633B" w:rsidRPr="00D33DDD" w:rsidRDefault="00AD633B" w:rsidP="009835EC">
            <w:pPr>
              <w:rPr>
                <w:rFonts w:ascii="David" w:hAnsi="David"/>
                <w:sz w:val="26"/>
                <w:szCs w:val="26"/>
              </w:rPr>
            </w:pPr>
          </w:p>
        </w:tc>
      </w:tr>
      <w:bookmarkEnd w:id="1"/>
      <w:tr w:rsidR="00AD633B" w:rsidRPr="00D33DDD" w14:paraId="2C5217FF" w14:textId="77777777" w:rsidTr="003B50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12C9D9A" w14:textId="77777777" w:rsidR="00AD633B" w:rsidRPr="00D33DDD" w:rsidRDefault="00AD633B" w:rsidP="00AD633B">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27A6CFC0" w14:textId="77777777" w:rsidR="00AD633B" w:rsidRPr="00D33DDD" w:rsidRDefault="00AD633B" w:rsidP="00AD633B">
            <w:pPr>
              <w:jc w:val="center"/>
              <w:rPr>
                <w:rFonts w:ascii="David" w:hAnsi="David"/>
                <w:b/>
                <w:bCs/>
                <w:sz w:val="26"/>
                <w:szCs w:val="26"/>
                <w:rtl/>
              </w:rPr>
            </w:pPr>
          </w:p>
          <w:p w14:paraId="457CB212" w14:textId="77777777" w:rsidR="00AD633B" w:rsidRPr="00D33DDD" w:rsidRDefault="00AD633B" w:rsidP="00AD633B">
            <w:pPr>
              <w:jc w:val="center"/>
              <w:rPr>
                <w:rFonts w:ascii="David" w:hAnsi="David"/>
                <w:b/>
                <w:bCs/>
                <w:sz w:val="26"/>
                <w:szCs w:val="26"/>
                <w:rtl/>
              </w:rPr>
            </w:pPr>
            <w:r w:rsidRPr="00D33DDD">
              <w:rPr>
                <w:rFonts w:ascii="David" w:hAnsi="David"/>
                <w:b/>
                <w:bCs/>
                <w:sz w:val="26"/>
                <w:szCs w:val="26"/>
                <w:rtl/>
              </w:rPr>
              <w:t>נגד</w:t>
            </w:r>
          </w:p>
          <w:p w14:paraId="5BC84028" w14:textId="77777777" w:rsidR="00AD633B" w:rsidRPr="00D33DDD" w:rsidRDefault="00AD633B" w:rsidP="00AD633B">
            <w:pPr>
              <w:jc w:val="both"/>
              <w:rPr>
                <w:rFonts w:ascii="David" w:hAnsi="David"/>
                <w:sz w:val="26"/>
                <w:szCs w:val="26"/>
              </w:rPr>
            </w:pPr>
          </w:p>
        </w:tc>
      </w:tr>
      <w:tr w:rsidR="00AD633B" w:rsidRPr="00D33DDD" w14:paraId="59643869" w14:textId="77777777" w:rsidTr="003B50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46F66D4" w14:textId="77777777" w:rsidR="00AD633B" w:rsidRPr="00D33DDD" w:rsidRDefault="00AD633B" w:rsidP="009835EC">
            <w:pPr>
              <w:rPr>
                <w:rFonts w:ascii="David" w:hAnsi="David"/>
                <w:sz w:val="26"/>
                <w:szCs w:val="26"/>
                <w:rtl/>
              </w:rPr>
            </w:pPr>
          </w:p>
        </w:tc>
        <w:tc>
          <w:tcPr>
            <w:tcW w:w="3219" w:type="dxa"/>
            <w:tcBorders>
              <w:top w:val="nil"/>
              <w:left w:val="nil"/>
              <w:bottom w:val="nil"/>
              <w:right w:val="nil"/>
            </w:tcBorders>
            <w:shd w:val="clear" w:color="auto" w:fill="auto"/>
          </w:tcPr>
          <w:p w14:paraId="20C8C103" w14:textId="77777777" w:rsidR="00AD633B" w:rsidRPr="00D33DDD" w:rsidRDefault="00AD633B" w:rsidP="009835EC">
            <w:pPr>
              <w:rPr>
                <w:rFonts w:ascii="Arial" w:hAnsi="Arial"/>
                <w:b/>
                <w:bCs/>
                <w:sz w:val="26"/>
                <w:szCs w:val="26"/>
                <w:rtl/>
              </w:rPr>
            </w:pPr>
            <w:r w:rsidRPr="00D33DDD">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0A15C71" w14:textId="77777777" w:rsidR="00AD633B" w:rsidRPr="00D33DDD" w:rsidRDefault="00AD633B" w:rsidP="00AD633B">
            <w:pPr>
              <w:suppressLineNumbers/>
              <w:rPr>
                <w:rFonts w:ascii="David" w:hAnsi="David"/>
                <w:sz w:val="26"/>
                <w:szCs w:val="26"/>
              </w:rPr>
            </w:pPr>
            <w:r w:rsidRPr="00D33DDD">
              <w:rPr>
                <w:rFonts w:ascii="Arial" w:hAnsi="Arial"/>
                <w:b/>
                <w:bCs/>
                <w:sz w:val="26"/>
                <w:szCs w:val="26"/>
                <w:rtl/>
              </w:rPr>
              <w:t>שמואל ספניאייב</w:t>
            </w:r>
            <w:r w:rsidRPr="00D33DDD">
              <w:rPr>
                <w:rFonts w:ascii="Arial" w:hAnsi="Arial" w:hint="cs"/>
                <w:b/>
                <w:bCs/>
                <w:sz w:val="26"/>
                <w:szCs w:val="26"/>
                <w:rtl/>
              </w:rPr>
              <w:t xml:space="preserve"> </w:t>
            </w:r>
          </w:p>
        </w:tc>
      </w:tr>
    </w:tbl>
    <w:p w14:paraId="74D4FA6B" w14:textId="77777777" w:rsidR="00D33DDD" w:rsidRPr="00D33DDD" w:rsidRDefault="00D33DDD" w:rsidP="00D33DDD">
      <w:pPr>
        <w:spacing w:before="120" w:after="120" w:line="240" w:lineRule="exact"/>
        <w:ind w:left="283" w:hanging="283"/>
        <w:jc w:val="both"/>
        <w:rPr>
          <w:rFonts w:ascii="FrankRuehl" w:hAnsi="FrankRuehl" w:cs="FrankRuehl"/>
          <w:rtl/>
        </w:rPr>
      </w:pPr>
    </w:p>
    <w:p w14:paraId="2997D8C1" w14:textId="77777777" w:rsidR="00D33DDD" w:rsidRPr="00D33DDD" w:rsidRDefault="00D33DDD" w:rsidP="00D33DDD">
      <w:pPr>
        <w:rPr>
          <w:sz w:val="26"/>
          <w:szCs w:val="26"/>
          <w:rtl/>
        </w:rPr>
      </w:pPr>
    </w:p>
    <w:p w14:paraId="41631D95" w14:textId="77777777" w:rsidR="003B5077" w:rsidRPr="003B5077" w:rsidRDefault="003B5077" w:rsidP="003B5077">
      <w:pPr>
        <w:spacing w:before="120" w:after="120" w:line="240" w:lineRule="exact"/>
        <w:ind w:left="283" w:hanging="283"/>
        <w:jc w:val="both"/>
        <w:rPr>
          <w:rFonts w:ascii="FrankRuehl" w:hAnsi="FrankRuehl" w:cs="FrankRuehl"/>
          <w:rtl/>
        </w:rPr>
      </w:pPr>
    </w:p>
    <w:p w14:paraId="1272C32F" w14:textId="77777777" w:rsidR="003A6E25" w:rsidRPr="003A6E25" w:rsidRDefault="003A6E25" w:rsidP="003A6E25">
      <w:pPr>
        <w:spacing w:before="120" w:after="120" w:line="240" w:lineRule="exact"/>
        <w:ind w:left="283" w:hanging="283"/>
        <w:jc w:val="both"/>
        <w:rPr>
          <w:rFonts w:ascii="FrankRuehl" w:hAnsi="FrankRuehl" w:cs="FrankRuehl"/>
          <w:rtl/>
        </w:rPr>
      </w:pPr>
    </w:p>
    <w:p w14:paraId="57B6A4AF" w14:textId="77777777" w:rsidR="00B35F46" w:rsidRDefault="00B35F46" w:rsidP="00B35F46">
      <w:pPr>
        <w:rPr>
          <w:sz w:val="26"/>
          <w:szCs w:val="26"/>
          <w:rtl/>
        </w:rPr>
      </w:pPr>
      <w:bookmarkStart w:id="2" w:name="LawTable"/>
      <w:bookmarkEnd w:id="2"/>
    </w:p>
    <w:p w14:paraId="14D8B9C6" w14:textId="77777777" w:rsidR="00B35F46" w:rsidRPr="00B35F46" w:rsidRDefault="00B35F46" w:rsidP="00B35F46">
      <w:pPr>
        <w:spacing w:before="120" w:after="120" w:line="240" w:lineRule="exact"/>
        <w:ind w:left="283" w:hanging="283"/>
        <w:jc w:val="both"/>
        <w:rPr>
          <w:rFonts w:ascii="FrankRuehl" w:hAnsi="FrankRuehl" w:cs="FrankRuehl"/>
          <w:rtl/>
        </w:rPr>
      </w:pPr>
    </w:p>
    <w:p w14:paraId="595B9F7E" w14:textId="77777777" w:rsidR="00B35F46" w:rsidRPr="00B35F46" w:rsidRDefault="00B35F46" w:rsidP="00B35F46">
      <w:pPr>
        <w:spacing w:before="120" w:after="120" w:line="240" w:lineRule="exact"/>
        <w:ind w:left="283" w:hanging="283"/>
        <w:jc w:val="both"/>
        <w:rPr>
          <w:rFonts w:ascii="FrankRuehl" w:hAnsi="FrankRuehl" w:cs="FrankRuehl"/>
          <w:rtl/>
        </w:rPr>
      </w:pPr>
    </w:p>
    <w:p w14:paraId="2B029851" w14:textId="77777777" w:rsidR="00B35F46" w:rsidRPr="00B35F46" w:rsidRDefault="00B35F46" w:rsidP="00B35F46">
      <w:pPr>
        <w:spacing w:before="120" w:after="120" w:line="240" w:lineRule="exact"/>
        <w:ind w:left="283" w:hanging="283"/>
        <w:jc w:val="both"/>
        <w:rPr>
          <w:rFonts w:ascii="FrankRuehl" w:hAnsi="FrankRuehl" w:cs="FrankRuehl"/>
          <w:rtl/>
        </w:rPr>
      </w:pPr>
      <w:r w:rsidRPr="00B35F46">
        <w:rPr>
          <w:rFonts w:ascii="FrankRuehl" w:hAnsi="FrankRuehl" w:cs="FrankRuehl"/>
          <w:rtl/>
        </w:rPr>
        <w:t xml:space="preserve">חקיקה שאוזכרה: </w:t>
      </w:r>
    </w:p>
    <w:p w14:paraId="1D9A125A" w14:textId="77777777" w:rsidR="00B35F46" w:rsidRPr="00B35F46" w:rsidRDefault="00B35F46" w:rsidP="00B35F46">
      <w:pPr>
        <w:spacing w:before="120" w:after="120" w:line="240" w:lineRule="exact"/>
        <w:ind w:left="283" w:hanging="283"/>
        <w:jc w:val="both"/>
        <w:rPr>
          <w:rFonts w:ascii="FrankRuehl" w:hAnsi="FrankRuehl" w:cs="FrankRuehl"/>
          <w:rtl/>
        </w:rPr>
      </w:pPr>
      <w:hyperlink r:id="rId7" w:history="1">
        <w:r w:rsidRPr="00B35F46">
          <w:rPr>
            <w:rFonts w:ascii="FrankRuehl" w:hAnsi="FrankRuehl" w:cs="FrankRuehl"/>
            <w:color w:val="0000FF"/>
            <w:rtl/>
          </w:rPr>
          <w:t>פקודת הסמים המסוכנים [נוסח חדש], תשל"ג-1973</w:t>
        </w:r>
      </w:hyperlink>
      <w:r w:rsidRPr="00B35F46">
        <w:rPr>
          <w:rFonts w:ascii="FrankRuehl" w:hAnsi="FrankRuehl" w:cs="FrankRuehl"/>
          <w:rtl/>
        </w:rPr>
        <w:t xml:space="preserve">: סע'  </w:t>
      </w:r>
      <w:hyperlink r:id="rId8" w:history="1">
        <w:r w:rsidRPr="00B35F46">
          <w:rPr>
            <w:rFonts w:ascii="FrankRuehl" w:hAnsi="FrankRuehl" w:cs="FrankRuehl"/>
            <w:color w:val="0000FF"/>
            <w:rtl/>
          </w:rPr>
          <w:t>6</w:t>
        </w:r>
      </w:hyperlink>
      <w:r w:rsidRPr="00B35F46">
        <w:rPr>
          <w:rFonts w:ascii="FrankRuehl" w:hAnsi="FrankRuehl" w:cs="FrankRuehl"/>
          <w:rtl/>
        </w:rPr>
        <w:t xml:space="preserve">, </w:t>
      </w:r>
      <w:hyperlink r:id="rId9" w:history="1">
        <w:r w:rsidRPr="00B35F46">
          <w:rPr>
            <w:rFonts w:ascii="FrankRuehl" w:hAnsi="FrankRuehl" w:cs="FrankRuehl"/>
            <w:color w:val="0000FF"/>
            <w:rtl/>
          </w:rPr>
          <w:t>10</w:t>
        </w:r>
      </w:hyperlink>
      <w:r w:rsidRPr="00B35F46">
        <w:rPr>
          <w:rFonts w:ascii="FrankRuehl" w:hAnsi="FrankRuehl" w:cs="FrankRuehl"/>
          <w:rtl/>
        </w:rPr>
        <w:t xml:space="preserve">, </w:t>
      </w:r>
      <w:hyperlink r:id="rId10" w:history="1">
        <w:r w:rsidRPr="00B35F46">
          <w:rPr>
            <w:rFonts w:ascii="FrankRuehl" w:hAnsi="FrankRuehl" w:cs="FrankRuehl"/>
            <w:color w:val="0000FF"/>
            <w:rtl/>
          </w:rPr>
          <w:t>36א (א)</w:t>
        </w:r>
      </w:hyperlink>
      <w:r w:rsidRPr="00B35F46">
        <w:rPr>
          <w:rFonts w:ascii="FrankRuehl" w:hAnsi="FrankRuehl" w:cs="FrankRuehl"/>
          <w:rtl/>
        </w:rPr>
        <w:t xml:space="preserve">, </w:t>
      </w:r>
      <w:hyperlink r:id="rId11" w:history="1">
        <w:r w:rsidRPr="00B35F46">
          <w:rPr>
            <w:rFonts w:ascii="FrankRuehl" w:hAnsi="FrankRuehl" w:cs="FrankRuehl"/>
            <w:color w:val="0000FF"/>
            <w:rtl/>
          </w:rPr>
          <w:t>36א(ב)</w:t>
        </w:r>
      </w:hyperlink>
    </w:p>
    <w:p w14:paraId="3ABEBFA4" w14:textId="77777777" w:rsidR="00B35F46" w:rsidRPr="00B35F46" w:rsidRDefault="00B35F46" w:rsidP="00B35F46">
      <w:pPr>
        <w:spacing w:before="120" w:after="120" w:line="240" w:lineRule="exact"/>
        <w:ind w:left="283" w:hanging="283"/>
        <w:jc w:val="both"/>
        <w:rPr>
          <w:rFonts w:ascii="FrankRuehl" w:hAnsi="FrankRuehl" w:cs="FrankRuehl"/>
          <w:rtl/>
        </w:rPr>
      </w:pPr>
      <w:hyperlink r:id="rId12" w:history="1">
        <w:r w:rsidRPr="00B35F46">
          <w:rPr>
            <w:rFonts w:ascii="FrankRuehl" w:hAnsi="FrankRuehl" w:cs="FrankRuehl"/>
            <w:color w:val="0000FF"/>
            <w:rtl/>
          </w:rPr>
          <w:t>חוק העונשין, תשל"ז-1977</w:t>
        </w:r>
      </w:hyperlink>
      <w:r w:rsidRPr="00B35F46">
        <w:rPr>
          <w:rFonts w:ascii="FrankRuehl" w:hAnsi="FrankRuehl" w:cs="FrankRuehl"/>
          <w:rtl/>
        </w:rPr>
        <w:t xml:space="preserve">: סע'  </w:t>
      </w:r>
      <w:hyperlink r:id="rId13" w:history="1">
        <w:r w:rsidRPr="00B35F46">
          <w:rPr>
            <w:rFonts w:ascii="FrankRuehl" w:hAnsi="FrankRuehl" w:cs="FrankRuehl"/>
            <w:color w:val="0000FF"/>
            <w:rtl/>
          </w:rPr>
          <w:t>40ג</w:t>
        </w:r>
      </w:hyperlink>
      <w:r w:rsidRPr="00B35F46">
        <w:rPr>
          <w:rFonts w:ascii="FrankRuehl" w:hAnsi="FrankRuehl" w:cs="FrankRuehl"/>
          <w:rtl/>
        </w:rPr>
        <w:t xml:space="preserve">, </w:t>
      </w:r>
      <w:hyperlink r:id="rId14" w:history="1">
        <w:r w:rsidRPr="00B35F46">
          <w:rPr>
            <w:rFonts w:ascii="FrankRuehl" w:hAnsi="FrankRuehl" w:cs="FrankRuehl"/>
            <w:color w:val="0000FF"/>
            <w:rtl/>
          </w:rPr>
          <w:t>400</w:t>
        </w:r>
      </w:hyperlink>
    </w:p>
    <w:p w14:paraId="42CAD237" w14:textId="77777777" w:rsidR="00B35F46" w:rsidRPr="00B35F46" w:rsidRDefault="00B35F46" w:rsidP="00B35F46">
      <w:pPr>
        <w:rPr>
          <w:sz w:val="26"/>
          <w:szCs w:val="26"/>
          <w:rtl/>
        </w:rPr>
      </w:pPr>
      <w:bookmarkStart w:id="3" w:name="LawTable_End"/>
      <w:bookmarkEnd w:id="3"/>
    </w:p>
    <w:p w14:paraId="79EF6770" w14:textId="77777777" w:rsidR="003B5077" w:rsidRPr="003A6E25" w:rsidRDefault="003B5077" w:rsidP="003A6E25">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D633B" w14:paraId="2BBA93DB" w14:textId="77777777" w:rsidTr="00AD633B">
        <w:trPr>
          <w:trHeight w:val="355"/>
          <w:jc w:val="center"/>
        </w:trPr>
        <w:tc>
          <w:tcPr>
            <w:tcW w:w="8820" w:type="dxa"/>
            <w:tcBorders>
              <w:top w:val="nil"/>
              <w:left w:val="nil"/>
              <w:bottom w:val="nil"/>
              <w:right w:val="nil"/>
            </w:tcBorders>
            <w:shd w:val="clear" w:color="auto" w:fill="auto"/>
          </w:tcPr>
          <w:p w14:paraId="70601D42" w14:textId="77777777" w:rsidR="00D33DDD" w:rsidRPr="00D33DDD" w:rsidRDefault="00D33DDD" w:rsidP="00D33DDD">
            <w:pPr>
              <w:jc w:val="center"/>
              <w:rPr>
                <w:rFonts w:ascii="David" w:hAnsi="David"/>
                <w:b/>
                <w:bCs/>
                <w:sz w:val="26"/>
                <w:szCs w:val="26"/>
                <w:u w:val="single"/>
                <w:rtl/>
              </w:rPr>
            </w:pPr>
            <w:bookmarkStart w:id="4" w:name="PsakDin" w:colFirst="0" w:colLast="0"/>
            <w:bookmarkEnd w:id="0"/>
            <w:r w:rsidRPr="00D33DDD">
              <w:rPr>
                <w:rFonts w:ascii="David" w:hAnsi="David"/>
                <w:b/>
                <w:bCs/>
                <w:sz w:val="26"/>
                <w:szCs w:val="26"/>
                <w:u w:val="single"/>
                <w:rtl/>
              </w:rPr>
              <w:t>גזר דין</w:t>
            </w:r>
          </w:p>
          <w:p w14:paraId="324F6AA2" w14:textId="77777777" w:rsidR="00AD633B" w:rsidRPr="00D33DDD" w:rsidRDefault="00AD633B" w:rsidP="00D33DDD">
            <w:pPr>
              <w:jc w:val="center"/>
              <w:rPr>
                <w:rFonts w:ascii="David" w:hAnsi="David"/>
                <w:bCs/>
                <w:sz w:val="26"/>
                <w:szCs w:val="26"/>
                <w:u w:val="single"/>
                <w:rtl/>
              </w:rPr>
            </w:pPr>
          </w:p>
        </w:tc>
      </w:tr>
    </w:tbl>
    <w:bookmarkEnd w:id="4"/>
    <w:p w14:paraId="2FC70B95" w14:textId="77777777" w:rsidR="00AD633B" w:rsidRDefault="00AD633B" w:rsidP="00AD633B">
      <w:pPr>
        <w:spacing w:line="360" w:lineRule="auto"/>
        <w:rPr>
          <w:rFonts w:ascii="Arial" w:hAnsi="Arial"/>
          <w:b/>
          <w:bCs/>
          <w:sz w:val="26"/>
          <w:szCs w:val="26"/>
          <w:rtl/>
        </w:rPr>
      </w:pPr>
      <w:r>
        <w:rPr>
          <w:rFonts w:ascii="Arial" w:hAnsi="Arial"/>
          <w:b/>
          <w:bCs/>
          <w:sz w:val="26"/>
          <w:szCs w:val="26"/>
          <w:rtl/>
        </w:rPr>
        <w:tab/>
      </w:r>
    </w:p>
    <w:p w14:paraId="02141080" w14:textId="77777777" w:rsidR="00AD633B" w:rsidRPr="009B01C0" w:rsidRDefault="00AD633B" w:rsidP="00AD633B">
      <w:pPr>
        <w:spacing w:line="360" w:lineRule="auto"/>
        <w:ind w:firstLine="720"/>
        <w:rPr>
          <w:rFonts w:ascii="Arial" w:hAnsi="Arial"/>
          <w:b/>
          <w:bCs/>
          <w:u w:val="single"/>
          <w:rtl/>
        </w:rPr>
      </w:pPr>
      <w:r w:rsidRPr="009B01C0">
        <w:rPr>
          <w:rFonts w:ascii="Arial" w:hAnsi="Arial" w:hint="cs"/>
          <w:b/>
          <w:bCs/>
          <w:u w:val="single"/>
          <w:rtl/>
        </w:rPr>
        <w:t xml:space="preserve">כתב האישום המתוקן </w:t>
      </w:r>
    </w:p>
    <w:p w14:paraId="56C9A8E9" w14:textId="77777777" w:rsidR="00AD633B" w:rsidRDefault="00AD633B" w:rsidP="00AD633B">
      <w:pPr>
        <w:pStyle w:val="aa"/>
        <w:numPr>
          <w:ilvl w:val="0"/>
          <w:numId w:val="1"/>
        </w:numPr>
        <w:spacing w:line="360" w:lineRule="auto"/>
        <w:jc w:val="both"/>
        <w:rPr>
          <w:rFonts w:ascii="Arial" w:hAnsi="Arial"/>
        </w:rPr>
      </w:pPr>
      <w:bookmarkStart w:id="5" w:name="ABSTRACT_START"/>
      <w:bookmarkEnd w:id="5"/>
      <w:r>
        <w:rPr>
          <w:rFonts w:ascii="Arial" w:hAnsi="Arial" w:hint="cs"/>
          <w:rtl/>
        </w:rPr>
        <w:t xml:space="preserve">הנאשם הורשע על פי הודאתו בעבירות של גידול יצור הכנת סמים מסוכנים </w:t>
      </w:r>
      <w:r>
        <w:rPr>
          <w:rFonts w:ascii="Arial" w:hAnsi="Arial"/>
          <w:rtl/>
        </w:rPr>
        <w:t>–</w:t>
      </w:r>
      <w:r>
        <w:rPr>
          <w:rFonts w:ascii="Arial" w:hAnsi="Arial" w:hint="cs"/>
          <w:rtl/>
        </w:rPr>
        <w:t xml:space="preserve"> עבירה לפי </w:t>
      </w:r>
      <w:hyperlink r:id="rId15" w:history="1">
        <w:r w:rsidR="003B5077" w:rsidRPr="003B5077">
          <w:rPr>
            <w:rStyle w:val="Hyperlink"/>
            <w:rFonts w:ascii="Arial" w:hAnsi="Arial" w:hint="eastAsia"/>
            <w:rtl/>
          </w:rPr>
          <w:t>סעיף</w:t>
        </w:r>
        <w:r w:rsidR="003B5077" w:rsidRPr="003B5077">
          <w:rPr>
            <w:rStyle w:val="Hyperlink"/>
            <w:rFonts w:ascii="Arial" w:hAnsi="Arial"/>
            <w:rtl/>
          </w:rPr>
          <w:t xml:space="preserve"> 6</w:t>
        </w:r>
      </w:hyperlink>
      <w:r>
        <w:rPr>
          <w:rFonts w:ascii="Arial" w:hAnsi="Arial" w:hint="cs"/>
          <w:rtl/>
        </w:rPr>
        <w:t xml:space="preserve"> ל</w:t>
      </w:r>
      <w:hyperlink r:id="rId16" w:history="1">
        <w:r w:rsidR="00D33DDD" w:rsidRPr="00D33DDD">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w:t>
      </w:r>
      <w:r w:rsidRPr="00216B40">
        <w:rPr>
          <w:rFonts w:ascii="Arial" w:hAnsi="Arial" w:hint="cs"/>
          <w:b/>
          <w:bCs/>
          <w:rtl/>
        </w:rPr>
        <w:t>(להלן: "פקודת הסמים"),</w:t>
      </w:r>
      <w:r>
        <w:rPr>
          <w:rFonts w:ascii="Arial" w:hAnsi="Arial" w:hint="cs"/>
          <w:rtl/>
        </w:rPr>
        <w:t xml:space="preserve"> נטילת חשמל, מים או גז בגניבה </w:t>
      </w:r>
      <w:r>
        <w:rPr>
          <w:rFonts w:ascii="Arial" w:hAnsi="Arial"/>
          <w:rtl/>
        </w:rPr>
        <w:t>–</w:t>
      </w:r>
      <w:r>
        <w:rPr>
          <w:rFonts w:ascii="Arial" w:hAnsi="Arial" w:hint="cs"/>
          <w:rtl/>
        </w:rPr>
        <w:t xml:space="preserve"> עבירה לפי </w:t>
      </w:r>
      <w:hyperlink r:id="rId17" w:history="1">
        <w:r w:rsidR="003B5077" w:rsidRPr="003B5077">
          <w:rPr>
            <w:rStyle w:val="Hyperlink"/>
            <w:rFonts w:ascii="Arial" w:hAnsi="Arial" w:hint="eastAsia"/>
            <w:rtl/>
          </w:rPr>
          <w:t>סעיף</w:t>
        </w:r>
        <w:r w:rsidR="003B5077" w:rsidRPr="003B5077">
          <w:rPr>
            <w:rStyle w:val="Hyperlink"/>
            <w:rFonts w:ascii="Arial" w:hAnsi="Arial"/>
            <w:rtl/>
          </w:rPr>
          <w:t xml:space="preserve"> 400</w:t>
        </w:r>
      </w:hyperlink>
      <w:r>
        <w:rPr>
          <w:rFonts w:ascii="Arial" w:hAnsi="Arial" w:hint="cs"/>
          <w:rtl/>
        </w:rPr>
        <w:t xml:space="preserve"> ל</w:t>
      </w:r>
      <w:hyperlink r:id="rId18" w:history="1">
        <w:r w:rsidR="00D33DDD" w:rsidRPr="00D33DDD">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 </w:t>
      </w:r>
      <w:r w:rsidRPr="00216B40">
        <w:rPr>
          <w:rFonts w:ascii="Arial" w:hAnsi="Arial" w:hint="cs"/>
          <w:b/>
          <w:bCs/>
          <w:rtl/>
        </w:rPr>
        <w:t>(להלן: "חוק העונשין")</w:t>
      </w:r>
      <w:r>
        <w:rPr>
          <w:rFonts w:ascii="Arial" w:hAnsi="Arial" w:hint="cs"/>
          <w:rtl/>
        </w:rPr>
        <w:t xml:space="preserve"> ועבירה של החזקת כלים להכנת סם שלא לצריכה עצמית </w:t>
      </w:r>
      <w:r>
        <w:rPr>
          <w:rFonts w:ascii="Arial" w:hAnsi="Arial"/>
          <w:rtl/>
        </w:rPr>
        <w:t>–</w:t>
      </w:r>
      <w:r>
        <w:rPr>
          <w:rFonts w:ascii="Arial" w:hAnsi="Arial" w:hint="cs"/>
          <w:rtl/>
        </w:rPr>
        <w:t xml:space="preserve"> עבירה לפי </w:t>
      </w:r>
      <w:hyperlink r:id="rId19" w:history="1">
        <w:r w:rsidR="003B5077" w:rsidRPr="003B5077">
          <w:rPr>
            <w:rStyle w:val="Hyperlink"/>
            <w:rFonts w:ascii="Arial" w:hAnsi="Arial" w:hint="eastAsia"/>
            <w:rtl/>
          </w:rPr>
          <w:t>סעיף</w:t>
        </w:r>
        <w:r w:rsidR="003B5077" w:rsidRPr="003B5077">
          <w:rPr>
            <w:rStyle w:val="Hyperlink"/>
            <w:rFonts w:ascii="Arial" w:hAnsi="Arial"/>
            <w:rtl/>
          </w:rPr>
          <w:t xml:space="preserve"> 10</w:t>
        </w:r>
      </w:hyperlink>
      <w:r>
        <w:rPr>
          <w:rFonts w:ascii="Arial" w:hAnsi="Arial" w:hint="cs"/>
          <w:rtl/>
        </w:rPr>
        <w:t xml:space="preserve"> רישא לפקודת הסמים. </w:t>
      </w:r>
    </w:p>
    <w:p w14:paraId="1161C525" w14:textId="77777777" w:rsidR="00AD633B" w:rsidRDefault="00AD633B" w:rsidP="00AD633B">
      <w:pPr>
        <w:pStyle w:val="aa"/>
        <w:spacing w:line="360" w:lineRule="auto"/>
        <w:jc w:val="both"/>
        <w:rPr>
          <w:rFonts w:ascii="Arial" w:hAnsi="Arial"/>
        </w:rPr>
      </w:pPr>
      <w:bookmarkStart w:id="6" w:name="ABSTRACT_END"/>
      <w:bookmarkEnd w:id="6"/>
    </w:p>
    <w:p w14:paraId="6ED4E665" w14:textId="77777777" w:rsidR="00AD633B" w:rsidRDefault="00AD633B" w:rsidP="00AD633B">
      <w:pPr>
        <w:pStyle w:val="aa"/>
        <w:numPr>
          <w:ilvl w:val="0"/>
          <w:numId w:val="1"/>
        </w:numPr>
        <w:spacing w:line="360" w:lineRule="auto"/>
        <w:jc w:val="both"/>
        <w:rPr>
          <w:rFonts w:ascii="Arial" w:hAnsi="Arial"/>
        </w:rPr>
      </w:pPr>
      <w:r>
        <w:rPr>
          <w:rFonts w:ascii="Arial" w:hAnsi="Arial" w:hint="cs"/>
          <w:rtl/>
        </w:rPr>
        <w:t xml:space="preserve">על פי עובדות כתב האישום המתוקן, בין המועדים 1.11.20 לבין 31.10.21 שכר הנאשם מבנה המצוי ברחוב התעשייה 17 בנשר אותו ייעד לגידול סם מסוכן מסוג קנבוס. </w:t>
      </w:r>
    </w:p>
    <w:p w14:paraId="7897953E" w14:textId="77777777" w:rsidR="00AD633B" w:rsidRPr="00811D41" w:rsidRDefault="00AD633B" w:rsidP="00AD633B">
      <w:pPr>
        <w:pStyle w:val="aa"/>
        <w:rPr>
          <w:rFonts w:ascii="Arial" w:hAnsi="Arial"/>
          <w:rtl/>
        </w:rPr>
      </w:pPr>
    </w:p>
    <w:p w14:paraId="6A4562BB" w14:textId="77777777" w:rsidR="00AD633B" w:rsidRDefault="00AD633B" w:rsidP="00AD633B">
      <w:pPr>
        <w:pStyle w:val="aa"/>
        <w:spacing w:line="360" w:lineRule="auto"/>
        <w:jc w:val="both"/>
        <w:rPr>
          <w:rFonts w:ascii="Arial" w:hAnsi="Arial"/>
        </w:rPr>
      </w:pPr>
      <w:r>
        <w:rPr>
          <w:rFonts w:ascii="Arial" w:hAnsi="Arial" w:hint="cs"/>
          <w:rtl/>
        </w:rPr>
        <w:lastRenderedPageBreak/>
        <w:t xml:space="preserve">במועד שאינו ידוע למאשימה בסמוך לתקופת השכירות צייד הנאשם את הדירה בציוד ובכלים ששימשו אותו לצורך גידול סם מסוכן כמפורט להלן: 75 מנורות, 75 שנאים, 9 מזגנים ניידים, 17 מאווררים, 7 בלוני חמצן, 2 שעוני לחות, 7 מזגנים נייחים, 190 קרטונים, 5 ארגזי עץ ו </w:t>
      </w:r>
      <w:r>
        <w:rPr>
          <w:rFonts w:ascii="Arial" w:hAnsi="Arial"/>
          <w:rtl/>
        </w:rPr>
        <w:t>–</w:t>
      </w:r>
      <w:r>
        <w:rPr>
          <w:rFonts w:ascii="Arial" w:hAnsi="Arial" w:hint="cs"/>
          <w:rtl/>
        </w:rPr>
        <w:t xml:space="preserve"> 5 מנועי מזגן. </w:t>
      </w:r>
    </w:p>
    <w:p w14:paraId="02E99FD7" w14:textId="77777777" w:rsidR="00AD633B" w:rsidRPr="00811D41" w:rsidRDefault="00AD633B" w:rsidP="00AD633B">
      <w:pPr>
        <w:pStyle w:val="aa"/>
        <w:rPr>
          <w:rFonts w:ascii="Arial" w:hAnsi="Arial"/>
          <w:rtl/>
        </w:rPr>
      </w:pPr>
    </w:p>
    <w:p w14:paraId="57A5B0E7" w14:textId="77777777" w:rsidR="00AD633B" w:rsidRDefault="00AD633B" w:rsidP="00AD633B">
      <w:pPr>
        <w:pStyle w:val="aa"/>
        <w:spacing w:line="360" w:lineRule="auto"/>
        <w:jc w:val="both"/>
        <w:rPr>
          <w:rFonts w:ascii="Arial" w:hAnsi="Arial"/>
        </w:rPr>
      </w:pPr>
      <w:r>
        <w:rPr>
          <w:rFonts w:ascii="Arial" w:hAnsi="Arial" w:hint="cs"/>
          <w:rtl/>
        </w:rPr>
        <w:t xml:space="preserve">ביום 18.3.21 בסמוך לשעה 14:30 גידל הנאשם בארבעה חדרים שונים במבנה בסך הכל 546 שתילים של סם מסוכן מסוג קנבוס במשקל כולל של 17.28 ק"ג. </w:t>
      </w:r>
    </w:p>
    <w:p w14:paraId="0A8077CC" w14:textId="77777777" w:rsidR="00AD633B" w:rsidRPr="00761925" w:rsidRDefault="00AD633B" w:rsidP="00AD633B">
      <w:pPr>
        <w:pStyle w:val="aa"/>
        <w:rPr>
          <w:rFonts w:ascii="Arial" w:hAnsi="Arial"/>
          <w:rtl/>
        </w:rPr>
      </w:pPr>
    </w:p>
    <w:p w14:paraId="7D808A79" w14:textId="77777777" w:rsidR="00AD633B" w:rsidRDefault="00AD633B" w:rsidP="00AD633B">
      <w:pPr>
        <w:pStyle w:val="aa"/>
        <w:spacing w:line="360" w:lineRule="auto"/>
        <w:jc w:val="both"/>
        <w:rPr>
          <w:rFonts w:ascii="Arial" w:hAnsi="Arial"/>
        </w:rPr>
      </w:pPr>
      <w:r>
        <w:rPr>
          <w:rFonts w:ascii="Arial" w:hAnsi="Arial" w:hint="cs"/>
          <w:rtl/>
        </w:rPr>
        <w:t xml:space="preserve">במהלך תקופת השכירות צרך הנאשם חשמל במרמה בשווי מוערך עשרות אלפי שקלים ושלא עולה על סך של 50,000 ₪ באופן שביצע חיבור מתחת למסד מונים ישירות מהנתיקים למהדקי יציאה אשר נותק עקב סכנה בטיחותית. </w:t>
      </w:r>
    </w:p>
    <w:p w14:paraId="474D3B18" w14:textId="77777777" w:rsidR="00AD633B" w:rsidRPr="00761925" w:rsidRDefault="00AD633B" w:rsidP="00AD633B">
      <w:pPr>
        <w:pStyle w:val="aa"/>
        <w:rPr>
          <w:rFonts w:ascii="Arial" w:hAnsi="Arial"/>
          <w:rtl/>
        </w:rPr>
      </w:pPr>
    </w:p>
    <w:p w14:paraId="78E0DA5D" w14:textId="77777777" w:rsidR="00AD633B" w:rsidRDefault="00AD633B" w:rsidP="00AD633B">
      <w:pPr>
        <w:pStyle w:val="aa"/>
        <w:numPr>
          <w:ilvl w:val="0"/>
          <w:numId w:val="1"/>
        </w:numPr>
        <w:spacing w:line="360" w:lineRule="auto"/>
        <w:jc w:val="both"/>
        <w:rPr>
          <w:rFonts w:ascii="Arial" w:hAnsi="Arial"/>
        </w:rPr>
      </w:pPr>
      <w:r>
        <w:rPr>
          <w:rFonts w:ascii="Arial" w:hAnsi="Arial" w:hint="cs"/>
          <w:rtl/>
        </w:rPr>
        <w:t xml:space="preserve">לאחר שהנאשם הורשע על פי הודאתו הופנה לקבלת תסקיר של שירות המבחן. </w:t>
      </w:r>
    </w:p>
    <w:p w14:paraId="65260909" w14:textId="77777777" w:rsidR="00AD633B" w:rsidRDefault="00AD633B" w:rsidP="00AD633B">
      <w:pPr>
        <w:pStyle w:val="aa"/>
        <w:spacing w:line="360" w:lineRule="auto"/>
        <w:jc w:val="both"/>
        <w:rPr>
          <w:rFonts w:ascii="Arial" w:hAnsi="Arial"/>
          <w:rtl/>
        </w:rPr>
      </w:pPr>
    </w:p>
    <w:p w14:paraId="7F3583CB" w14:textId="77777777" w:rsidR="00AD633B" w:rsidRDefault="00AD633B" w:rsidP="00AD633B">
      <w:pPr>
        <w:pStyle w:val="aa"/>
        <w:spacing w:line="360" w:lineRule="auto"/>
        <w:jc w:val="both"/>
        <w:rPr>
          <w:rFonts w:ascii="Arial" w:hAnsi="Arial"/>
          <w:b/>
          <w:bCs/>
          <w:u w:val="single"/>
          <w:rtl/>
        </w:rPr>
      </w:pPr>
    </w:p>
    <w:p w14:paraId="430E07AB" w14:textId="77777777" w:rsidR="00AD633B" w:rsidRPr="002E32E8" w:rsidRDefault="00AD633B" w:rsidP="00AD633B">
      <w:pPr>
        <w:pStyle w:val="aa"/>
        <w:spacing w:line="360" w:lineRule="auto"/>
        <w:jc w:val="both"/>
        <w:rPr>
          <w:rFonts w:ascii="Arial" w:hAnsi="Arial"/>
          <w:b/>
          <w:bCs/>
          <w:u w:val="single"/>
        </w:rPr>
      </w:pPr>
      <w:r w:rsidRPr="002E32E8">
        <w:rPr>
          <w:rFonts w:ascii="Arial" w:hAnsi="Arial" w:hint="cs"/>
          <w:b/>
          <w:bCs/>
          <w:u w:val="single"/>
          <w:rtl/>
        </w:rPr>
        <w:t xml:space="preserve">תסקירי שירות המבחן </w:t>
      </w:r>
    </w:p>
    <w:p w14:paraId="0C490DF4" w14:textId="77777777" w:rsidR="00AD633B" w:rsidRDefault="00AD633B" w:rsidP="00AD633B">
      <w:pPr>
        <w:pStyle w:val="aa"/>
        <w:numPr>
          <w:ilvl w:val="0"/>
          <w:numId w:val="1"/>
        </w:numPr>
        <w:spacing w:line="360" w:lineRule="auto"/>
        <w:ind w:left="714" w:hanging="357"/>
        <w:jc w:val="both"/>
        <w:rPr>
          <w:rFonts w:ascii="Arial" w:hAnsi="Arial"/>
        </w:rPr>
      </w:pPr>
      <w:r w:rsidRPr="004A13D0">
        <w:rPr>
          <w:rFonts w:ascii="Arial" w:hAnsi="Arial" w:hint="cs"/>
          <w:rtl/>
        </w:rPr>
        <w:t xml:space="preserve">ביום 26.6.23 הוגש תסקיר ראשון של שירות המבחן. </w:t>
      </w:r>
      <w:r>
        <w:rPr>
          <w:rFonts w:ascii="Arial" w:hAnsi="Arial" w:hint="cs"/>
          <w:rtl/>
        </w:rPr>
        <w:t>בתסקיר סקר שירות המבחן את הרקע האישי והמשפחתי של הנאשם כבן 55 נשוי ואב לשלושה ילדים בני 26-31. עלה לארץ בשנת 1992 עובד כמאבטח לילה בפרויקטים על פי צרכי החברה. שירות המבחן מציין שהנאשם סובל מהתמכרות להימורים ולחומרים ממכרים  קרוב לשלושים שנים. הנאשם ציין שהתמודד עם חובות משמעותיים לשוק האפור בשל נטייתו להימורים ולדבריו פעל לסגירת החובות על ידי מכירת ביתו וכיום הוא ומשפחתו מתגוררים בשכירות. עיון בגיליון הרשעותיו הקודמות של הנאשם מלמד כי אין לחובתו של הנאשם הרשעות קודמות. בהתייחסו לעבירות בהן הורשע הנאשם  הודה במיוחס לו וציין כי ביצע את העבירות מתוך רצון ברווח כלכלי וקל  ובמטרה לסגור את חובותיו לשוק האפור וכן תיאר כי גידל סמים לצורך שימושו האישי. הנאשם שלל קשרים עם גורמים שוליים בביצוע העבירות וציין כי שכר את המבנה ורכש את הציוד באופן עצמאי. בבדיקות שנערכו לנאשם לא נמצאו שרידי סם. הנאשם ביטא נכונות להשתלב באבחון והמתין להשתלב ביחידה להתמכרויות בחיפה. שירות המבחן מציין כי מסיכום אבחון עולה כי קיים סיכון להישנות עבירות על רקע נטיית</w:t>
      </w:r>
      <w:r>
        <w:rPr>
          <w:rFonts w:ascii="Arial" w:hAnsi="Arial" w:hint="eastAsia"/>
          <w:rtl/>
        </w:rPr>
        <w:t>ו</w:t>
      </w:r>
      <w:r>
        <w:rPr>
          <w:rFonts w:ascii="Arial" w:hAnsi="Arial" w:hint="cs"/>
          <w:rtl/>
        </w:rPr>
        <w:t xml:space="preserve"> של הנאשם להתמכרות וכי סיכון זה מצריך התערבות כוללת במצבו של הנאשם על מנת לסייע בהפחתת הסיכון ולפיכך שירות המבחן ביקש דחיה . </w:t>
      </w:r>
    </w:p>
    <w:p w14:paraId="69A91385" w14:textId="77777777" w:rsidR="00AD633B" w:rsidRDefault="00AD633B" w:rsidP="00AD633B">
      <w:pPr>
        <w:pStyle w:val="aa"/>
        <w:spacing w:line="360" w:lineRule="auto"/>
        <w:ind w:left="714"/>
        <w:jc w:val="both"/>
        <w:rPr>
          <w:rFonts w:ascii="Arial" w:hAnsi="Arial"/>
        </w:rPr>
      </w:pPr>
    </w:p>
    <w:p w14:paraId="165EB2E8" w14:textId="77777777" w:rsidR="00AD633B" w:rsidRDefault="00AD633B" w:rsidP="00AD633B">
      <w:pPr>
        <w:pStyle w:val="aa"/>
        <w:numPr>
          <w:ilvl w:val="0"/>
          <w:numId w:val="1"/>
        </w:numPr>
        <w:spacing w:line="360" w:lineRule="auto"/>
        <w:ind w:left="714" w:hanging="357"/>
        <w:jc w:val="both"/>
        <w:rPr>
          <w:rFonts w:ascii="Arial" w:hAnsi="Arial"/>
        </w:rPr>
      </w:pPr>
      <w:r>
        <w:rPr>
          <w:rFonts w:ascii="Arial" w:hAnsi="Arial" w:hint="cs"/>
          <w:rtl/>
        </w:rPr>
        <w:t xml:space="preserve">ביום 12.10.23 הוגש תסקיר נוסף של שירות המבחן. בתסקיר ציין שירות המבחן כי בתקופת הדחייה הופנה הנאשם לראיות ביחידה להתמכרויות לצורך הערכת מצבו. לאחר ראיון שעבר הנאשם התרשם הצוות המקצועי כי לאור דפוסי התנהגותו ועמדותיו הנוקשות יתקשה הנאשם להפיק תועלת מהתערבות טיפולית בתחום בעת הנוכחית. התרשמות זאת </w:t>
      </w:r>
      <w:r>
        <w:rPr>
          <w:rFonts w:ascii="Arial" w:hAnsi="Arial" w:hint="cs"/>
          <w:rtl/>
        </w:rPr>
        <w:lastRenderedPageBreak/>
        <w:t xml:space="preserve">לדעת שירות המבחן תואמת את קשייו של הנאשם לקחת אחריות על התנהלותו ואת המניפולטיביות במסירת מידע בה נוקט ואת  נוקשות המחשבה ואת עמדותיו כלפי דפוסי התמכרותו. לאור התרשמות הצוות הטיפולי הפרוגנוזה לשינוי דפוסי התנהגות באמצעות הליך טיפולי נמוכה. בהתאם, לא נמצא מתאים להמשך טיפול ולפיכך שירות המבחן לא בא בהמלצה טיפולית שתסייע בהפחתת הסיכון להישנות עבירות. </w:t>
      </w:r>
    </w:p>
    <w:p w14:paraId="4A021CBD" w14:textId="77777777" w:rsidR="00AD633B" w:rsidRPr="00F45660" w:rsidRDefault="00AD633B" w:rsidP="00AD633B">
      <w:pPr>
        <w:pStyle w:val="aa"/>
        <w:rPr>
          <w:rFonts w:ascii="Arial" w:hAnsi="Arial"/>
          <w:rtl/>
        </w:rPr>
      </w:pPr>
    </w:p>
    <w:p w14:paraId="4E1549D0" w14:textId="77777777" w:rsidR="00AD633B" w:rsidRPr="00424EAA" w:rsidRDefault="00AD633B" w:rsidP="00AD633B">
      <w:pPr>
        <w:pStyle w:val="aa"/>
        <w:spacing w:line="360" w:lineRule="auto"/>
        <w:ind w:left="714"/>
        <w:jc w:val="both"/>
        <w:rPr>
          <w:rFonts w:ascii="Arial" w:hAnsi="Arial"/>
          <w:b/>
          <w:bCs/>
          <w:u w:val="single"/>
        </w:rPr>
      </w:pPr>
      <w:r w:rsidRPr="00424EAA">
        <w:rPr>
          <w:rFonts w:ascii="Arial" w:hAnsi="Arial" w:hint="cs"/>
          <w:b/>
          <w:bCs/>
          <w:u w:val="single"/>
          <w:rtl/>
        </w:rPr>
        <w:t xml:space="preserve">טיעוני הצדדים לעונש </w:t>
      </w:r>
    </w:p>
    <w:p w14:paraId="21BD9186" w14:textId="77777777" w:rsidR="00AD633B" w:rsidRDefault="00AD633B" w:rsidP="00AD633B">
      <w:pPr>
        <w:pStyle w:val="aa"/>
        <w:numPr>
          <w:ilvl w:val="0"/>
          <w:numId w:val="1"/>
        </w:numPr>
        <w:spacing w:line="360" w:lineRule="auto"/>
        <w:ind w:left="714" w:hanging="357"/>
        <w:jc w:val="both"/>
        <w:rPr>
          <w:rFonts w:ascii="Arial" w:hAnsi="Arial"/>
        </w:rPr>
      </w:pPr>
      <w:r>
        <w:rPr>
          <w:rFonts w:ascii="Arial" w:hAnsi="Arial" w:hint="cs"/>
          <w:rtl/>
        </w:rPr>
        <w:t xml:space="preserve">במסגרת הראיות לעונש מטעם ההגנה העידה בתו של הנאשם הגברת אלינור ספניאייב ואמרה שמעשיו של אביה חמורים אך הנאשם נמצא בשיקום מחודש נובמבר וזה עוזר לו. כמו כן העידה אשתו של הנאשם הגברת שרה ספניאייב ואמרה : "הוא עשה הרבה בעיות עכשיו הוא לוקח טיפול והוא בסדר. הוא נכנס לדיכאון לפני כן". </w:t>
      </w:r>
    </w:p>
    <w:p w14:paraId="008476CF" w14:textId="77777777" w:rsidR="00AD633B" w:rsidRDefault="00AD633B" w:rsidP="00AD633B">
      <w:pPr>
        <w:pStyle w:val="aa"/>
        <w:spacing w:line="360" w:lineRule="auto"/>
        <w:ind w:left="714"/>
        <w:jc w:val="both"/>
        <w:rPr>
          <w:rFonts w:ascii="Arial" w:hAnsi="Arial"/>
        </w:rPr>
      </w:pPr>
    </w:p>
    <w:p w14:paraId="74CE8E5B" w14:textId="77777777" w:rsidR="00AD633B" w:rsidRDefault="00AD633B" w:rsidP="00AD633B">
      <w:pPr>
        <w:pStyle w:val="aa"/>
        <w:numPr>
          <w:ilvl w:val="0"/>
          <w:numId w:val="1"/>
        </w:numPr>
        <w:spacing w:line="360" w:lineRule="auto"/>
        <w:ind w:left="714" w:hanging="357"/>
        <w:jc w:val="both"/>
        <w:rPr>
          <w:rFonts w:ascii="Arial" w:hAnsi="Arial"/>
        </w:rPr>
      </w:pPr>
      <w:r>
        <w:rPr>
          <w:rFonts w:ascii="Arial" w:hAnsi="Arial" w:hint="cs"/>
          <w:rtl/>
        </w:rPr>
        <w:t xml:space="preserve">ב"כ המאשימה הגיש טיעונים לעונש בכתב  - ת/1 וכן פסיקה </w:t>
      </w:r>
      <w:r>
        <w:rPr>
          <w:rFonts w:ascii="Arial" w:hAnsi="Arial"/>
          <w:rtl/>
        </w:rPr>
        <w:t>–</w:t>
      </w:r>
      <w:r>
        <w:rPr>
          <w:rFonts w:ascii="Arial" w:hAnsi="Arial" w:hint="cs"/>
          <w:rtl/>
        </w:rPr>
        <w:t xml:space="preserve"> ת/2.  ב"כ המאשימה עתר להכריז על הנאשם סוחר סמים הגם שלא עתרה המאשימה להכרזה במועד הכרעת הדין והפנה לפסיקה ביחס למועד הכרזה על נאשם כסוחר סמים. כמו כן עתרה המאשימה לחילוט הכלים שעשה בהם שימוש הנאשם. ככל שבית המשפט לא ייעתר לבקשת המאשימה, התבקש בית המשפט להורות על חילוט בהתאם לסעיף </w:t>
      </w:r>
      <w:hyperlink r:id="rId20" w:history="1">
        <w:r w:rsidR="003B5077" w:rsidRPr="003B5077">
          <w:rPr>
            <w:rStyle w:val="Hyperlink"/>
            <w:rFonts w:ascii="Arial" w:hAnsi="Arial"/>
            <w:rtl/>
          </w:rPr>
          <w:t>36א (א)</w:t>
        </w:r>
      </w:hyperlink>
      <w:r>
        <w:rPr>
          <w:rFonts w:ascii="Arial" w:hAnsi="Arial" w:hint="cs"/>
          <w:rtl/>
        </w:rPr>
        <w:t xml:space="preserve"> המקים חובה על בית המשפט לחלט. ב"כ המאשימה טען כי הנאשם פגע בערכים חברתיים מוגנים  בשים לב לכך שמדובר בגידול שתילים בהיקף של 17.28 ק"ג לצד שכירת מבנה שארבעה חדרים ממנו ייעד הנאשם לגידול סמים ורכב ציוד ייעודי לצורך כך. ב"כ המאשימה הפנה לאמור בתסקיר שירות המבחן והעובדה כי לפי התסקיר לא קיים אופק שיקומי וטען כנגד המסמכים בעניין קבלת טיפול במסגרת "בית חם". נוכח האמור עתר ב"כ המאשימה למתחם ענישה שנע בין עונש של 12 חודשי מאסר ועד לעונש של 24 חודשי מאסר בפועל. באשר לעונשו של הנאשם בתוך המתחם לו עתרה המאשימה טען ב"כ המאשימה כי מדובר אמנם בנאשם ללא עבר פלילי אך בנסיבות העניין המאשימה עותרת לעונש של 14 חודשי מאסר בפועל, מאסר על תנאי, קנס כספי, התחייבות כספית להימנע מעבירה, פסילת רישיון הנהיגה של הנאשם וכן פסילה על תנאי. </w:t>
      </w:r>
    </w:p>
    <w:p w14:paraId="33382AE1" w14:textId="77777777" w:rsidR="00AD633B" w:rsidRDefault="00AD633B" w:rsidP="00AD633B">
      <w:pPr>
        <w:pStyle w:val="aa"/>
        <w:spacing w:line="360" w:lineRule="auto"/>
        <w:ind w:left="714"/>
        <w:jc w:val="both"/>
        <w:rPr>
          <w:rFonts w:ascii="Arial" w:hAnsi="Arial"/>
        </w:rPr>
      </w:pPr>
    </w:p>
    <w:p w14:paraId="0CD1B576" w14:textId="77777777" w:rsidR="00AD633B" w:rsidRDefault="00AD633B" w:rsidP="00AD633B">
      <w:pPr>
        <w:pStyle w:val="aa"/>
        <w:numPr>
          <w:ilvl w:val="0"/>
          <w:numId w:val="1"/>
        </w:numPr>
        <w:spacing w:line="360" w:lineRule="auto"/>
        <w:ind w:left="714" w:hanging="357"/>
        <w:jc w:val="both"/>
        <w:rPr>
          <w:rFonts w:ascii="Arial" w:hAnsi="Arial"/>
        </w:rPr>
      </w:pPr>
      <w:r>
        <w:rPr>
          <w:rFonts w:ascii="Arial" w:hAnsi="Arial" w:hint="cs"/>
          <w:rtl/>
        </w:rPr>
        <w:t xml:space="preserve">ב"כ הנאשם הדגיש כי הנאשם קיבל אחריות מלאה על מעשיו כבר בחקירתו. כמו כן ציין הסנגור את מצבו הרפואי של הנאשם והגיש מסמכים רפואיים </w:t>
      </w:r>
      <w:r>
        <w:rPr>
          <w:rFonts w:ascii="Arial" w:hAnsi="Arial"/>
          <w:rtl/>
        </w:rPr>
        <w:t>–</w:t>
      </w:r>
      <w:r>
        <w:rPr>
          <w:rFonts w:ascii="Arial" w:hAnsi="Arial" w:hint="cs"/>
          <w:rtl/>
        </w:rPr>
        <w:t xml:space="preserve"> </w:t>
      </w:r>
      <w:r w:rsidRPr="00C44B6B">
        <w:rPr>
          <w:rFonts w:ascii="Arial" w:hAnsi="Arial" w:hint="cs"/>
          <w:b/>
          <w:bCs/>
          <w:rtl/>
        </w:rPr>
        <w:t>נ/1.</w:t>
      </w:r>
      <w:r>
        <w:rPr>
          <w:rFonts w:ascii="Arial" w:hAnsi="Arial" w:hint="cs"/>
          <w:rtl/>
        </w:rPr>
        <w:t xml:space="preserve">   כמו כן הפנה הסנגור לתסקיר הראשון שהוגש בעניינו של הנאשם  בו סקר שירות המבחן גם את גורמי הסיכוי של הנאשם. הנאשם במשך חודשיים כך נטען פוקד את בית חם ומוסר בדיקות שתן. והוגשו מסמכים באשר לתכנית הטיפול </w:t>
      </w:r>
      <w:r>
        <w:rPr>
          <w:rFonts w:ascii="Arial" w:hAnsi="Arial"/>
          <w:rtl/>
        </w:rPr>
        <w:t>–</w:t>
      </w:r>
      <w:r>
        <w:rPr>
          <w:rFonts w:ascii="Arial" w:hAnsi="Arial" w:hint="cs"/>
          <w:rtl/>
        </w:rPr>
        <w:t xml:space="preserve"> נ/2. ב"כ הנאשם התייחס לפערי תרבות שיש בהם כדי להשליך על התנהלותו של הנאשם אל מול שירות המבחן וגורמי הטיפול. הסנגור הגיש פסיקה וטען כי הענישה הרווחת לא תואמת את עתירת המאשימה בתיק זה (</w:t>
      </w:r>
      <w:r w:rsidRPr="00B0624E">
        <w:rPr>
          <w:rFonts w:ascii="Arial" w:hAnsi="Arial" w:hint="cs"/>
          <w:b/>
          <w:bCs/>
          <w:rtl/>
        </w:rPr>
        <w:t xml:space="preserve">נ/3, נ/4 ו </w:t>
      </w:r>
      <w:r w:rsidRPr="00B0624E">
        <w:rPr>
          <w:rFonts w:ascii="Arial" w:hAnsi="Arial"/>
          <w:b/>
          <w:bCs/>
          <w:rtl/>
        </w:rPr>
        <w:t>–</w:t>
      </w:r>
      <w:r w:rsidRPr="00B0624E">
        <w:rPr>
          <w:rFonts w:ascii="Arial" w:hAnsi="Arial" w:hint="cs"/>
          <w:b/>
          <w:bCs/>
          <w:rtl/>
        </w:rPr>
        <w:t xml:space="preserve"> נ/5)</w:t>
      </w:r>
      <w:r>
        <w:rPr>
          <w:rFonts w:ascii="Arial" w:hAnsi="Arial" w:hint="cs"/>
          <w:rtl/>
        </w:rPr>
        <w:t xml:space="preserve">.  ב"כ הנאשם טען כי יש להימנע בנסיבותיו של הנאשם משליחתו למאסר מאחורי סורג ובריח ועתר להפנות את הנאשם לקבלת חוות דעת של הממונה על עבודות השירות. </w:t>
      </w:r>
    </w:p>
    <w:p w14:paraId="642B1A6D" w14:textId="77777777" w:rsidR="00AD633B" w:rsidRPr="00B0624E" w:rsidRDefault="00AD633B" w:rsidP="00AD633B">
      <w:pPr>
        <w:pStyle w:val="aa"/>
        <w:rPr>
          <w:rFonts w:ascii="Arial" w:hAnsi="Arial"/>
          <w:rtl/>
        </w:rPr>
      </w:pPr>
    </w:p>
    <w:p w14:paraId="64A1A807" w14:textId="77777777" w:rsidR="00AD633B" w:rsidRDefault="00AD633B" w:rsidP="00AD633B">
      <w:pPr>
        <w:pStyle w:val="aa"/>
        <w:numPr>
          <w:ilvl w:val="0"/>
          <w:numId w:val="1"/>
        </w:numPr>
        <w:spacing w:line="360" w:lineRule="auto"/>
        <w:ind w:left="714" w:hanging="357"/>
        <w:jc w:val="both"/>
        <w:rPr>
          <w:rFonts w:ascii="Arial" w:hAnsi="Arial"/>
        </w:rPr>
      </w:pPr>
      <w:r>
        <w:rPr>
          <w:rFonts w:ascii="Arial" w:hAnsi="Arial" w:hint="cs"/>
          <w:rtl/>
        </w:rPr>
        <w:t xml:space="preserve">הנאשם בדברו אמר שהוא מצטער על מעשיו וציין כי הוא מעוניין להמשיך את הטיפול בבית חם והוסיף כי הוא עובד מטעם חברה כל יום והולך לטיפול בבית חם פעמיים בשבוע. </w:t>
      </w:r>
    </w:p>
    <w:p w14:paraId="28B80BFB" w14:textId="77777777" w:rsidR="00AD633B" w:rsidRPr="00B0624E" w:rsidRDefault="00AD633B" w:rsidP="00AD633B">
      <w:pPr>
        <w:pStyle w:val="aa"/>
        <w:rPr>
          <w:rFonts w:ascii="Arial" w:hAnsi="Arial"/>
          <w:rtl/>
        </w:rPr>
      </w:pPr>
    </w:p>
    <w:p w14:paraId="37B06431" w14:textId="77777777" w:rsidR="00AD633B" w:rsidRPr="00B0624E" w:rsidRDefault="00AD633B" w:rsidP="00AD633B">
      <w:pPr>
        <w:pStyle w:val="aa"/>
        <w:spacing w:line="360" w:lineRule="auto"/>
        <w:ind w:left="714"/>
        <w:jc w:val="both"/>
        <w:rPr>
          <w:rFonts w:ascii="Arial" w:hAnsi="Arial"/>
          <w:b/>
          <w:bCs/>
          <w:u w:val="single"/>
        </w:rPr>
      </w:pPr>
      <w:r w:rsidRPr="00B0624E">
        <w:rPr>
          <w:rFonts w:ascii="Arial" w:hAnsi="Arial" w:hint="cs"/>
          <w:b/>
          <w:bCs/>
          <w:u w:val="single"/>
          <w:rtl/>
        </w:rPr>
        <w:t>דיון והכרעה</w:t>
      </w:r>
    </w:p>
    <w:p w14:paraId="050074A3" w14:textId="77777777" w:rsidR="00AD633B" w:rsidRDefault="00AD633B" w:rsidP="00AD633B">
      <w:pPr>
        <w:spacing w:line="360" w:lineRule="auto"/>
        <w:ind w:firstLine="720"/>
        <w:jc w:val="both"/>
        <w:rPr>
          <w:b/>
          <w:bCs/>
          <w:u w:val="single"/>
          <w:rtl/>
        </w:rPr>
      </w:pPr>
    </w:p>
    <w:p w14:paraId="7D87339A" w14:textId="77777777" w:rsidR="00AD633B" w:rsidRDefault="00AD633B" w:rsidP="00AD633B">
      <w:pPr>
        <w:spacing w:line="360" w:lineRule="auto"/>
        <w:ind w:firstLine="720"/>
        <w:jc w:val="both"/>
        <w:rPr>
          <w:b/>
          <w:bCs/>
          <w:u w:val="single"/>
          <w:rtl/>
        </w:rPr>
      </w:pPr>
      <w:r>
        <w:rPr>
          <w:rFonts w:hint="cs"/>
          <w:b/>
          <w:bCs/>
          <w:u w:val="single"/>
          <w:rtl/>
        </w:rPr>
        <w:t>הבקשה להכריז על הנאשם סוחר סמים</w:t>
      </w:r>
    </w:p>
    <w:p w14:paraId="46D3A975" w14:textId="77777777" w:rsidR="00AD633B" w:rsidRPr="00AD6724" w:rsidRDefault="00AD633B" w:rsidP="00AD633B">
      <w:pPr>
        <w:pStyle w:val="aa"/>
        <w:numPr>
          <w:ilvl w:val="0"/>
          <w:numId w:val="1"/>
        </w:numPr>
        <w:spacing w:line="360" w:lineRule="auto"/>
        <w:jc w:val="both"/>
        <w:rPr>
          <w:b/>
          <w:bCs/>
          <w:u w:val="single"/>
          <w:rtl/>
        </w:rPr>
      </w:pPr>
      <w:r>
        <w:rPr>
          <w:rFonts w:hint="cs"/>
          <w:rtl/>
        </w:rPr>
        <w:t xml:space="preserve">במהלך הדיון בו נשמעו טיעונים לעונש עתרה המאשימה להכריז על הנאשם סוחר סמים כאמור </w:t>
      </w:r>
      <w:hyperlink r:id="rId21" w:history="1">
        <w:r w:rsidR="003B5077" w:rsidRPr="003B5077">
          <w:rPr>
            <w:rStyle w:val="Hyperlink"/>
            <w:rFonts w:hint="eastAsia"/>
            <w:rtl/>
          </w:rPr>
          <w:t>בסעיף</w:t>
        </w:r>
        <w:r w:rsidR="003B5077" w:rsidRPr="003B5077">
          <w:rPr>
            <w:rStyle w:val="Hyperlink"/>
            <w:rtl/>
          </w:rPr>
          <w:t xml:space="preserve"> 36א(ב)</w:t>
        </w:r>
      </w:hyperlink>
      <w:r>
        <w:rPr>
          <w:rFonts w:hint="cs"/>
          <w:rtl/>
        </w:rPr>
        <w:t xml:space="preserve"> ל</w:t>
      </w:r>
      <w:hyperlink r:id="rId22" w:history="1">
        <w:r w:rsidR="00D33DDD" w:rsidRPr="00D33DDD">
          <w:rPr>
            <w:color w:val="0000FF"/>
            <w:u w:val="single"/>
            <w:rtl/>
          </w:rPr>
          <w:t>פקודת הסמים המסוכנים</w:t>
        </w:r>
      </w:hyperlink>
      <w:r>
        <w:rPr>
          <w:rFonts w:hint="cs"/>
          <w:rtl/>
        </w:rPr>
        <w:t xml:space="preserve">. המאשימה טענה כי הנאשם הודה והורשע בעבירות סמים כאשר ברור שהנאשם הפיק רווח לא מבוטל מהעבירות שביצע.  </w:t>
      </w:r>
    </w:p>
    <w:p w14:paraId="4118D9ED" w14:textId="77777777" w:rsidR="00AD633B" w:rsidRDefault="00AD633B" w:rsidP="00AD633B">
      <w:pPr>
        <w:spacing w:line="360" w:lineRule="auto"/>
        <w:jc w:val="both"/>
        <w:rPr>
          <w:rtl/>
        </w:rPr>
      </w:pPr>
    </w:p>
    <w:p w14:paraId="716D2C91" w14:textId="77777777" w:rsidR="00AD633B" w:rsidRDefault="00AD633B" w:rsidP="00AD633B">
      <w:pPr>
        <w:spacing w:line="360" w:lineRule="auto"/>
        <w:ind w:left="720" w:hanging="360"/>
        <w:jc w:val="both"/>
        <w:rPr>
          <w:rtl/>
        </w:rPr>
      </w:pPr>
      <w:r>
        <w:rPr>
          <w:rFonts w:hint="cs"/>
          <w:rtl/>
        </w:rPr>
        <w:t>13.</w:t>
      </w:r>
      <w:r>
        <w:rPr>
          <w:rFonts w:hint="cs"/>
          <w:rtl/>
        </w:rPr>
        <w:tab/>
        <w:t xml:space="preserve">הסנגור טען כי מבחינה דיונית, השלב להכרזה על הנאשם כסוחר סמים הוא בעת הכרעת הדין ומשתם שלב זה, מנועה המאשימה מלטעון להכרזת הנאשם כסוחר סמים.  </w:t>
      </w:r>
    </w:p>
    <w:p w14:paraId="04539DDB" w14:textId="77777777" w:rsidR="00AD633B" w:rsidRDefault="00AD633B" w:rsidP="00AD633B">
      <w:pPr>
        <w:spacing w:line="360" w:lineRule="auto"/>
        <w:jc w:val="both"/>
        <w:rPr>
          <w:rtl/>
        </w:rPr>
      </w:pPr>
    </w:p>
    <w:p w14:paraId="16DB92AF" w14:textId="77777777" w:rsidR="00AD633B" w:rsidRDefault="00AD633B" w:rsidP="00AD633B">
      <w:pPr>
        <w:spacing w:line="360" w:lineRule="auto"/>
        <w:ind w:left="720" w:hanging="360"/>
        <w:jc w:val="both"/>
        <w:rPr>
          <w:rtl/>
        </w:rPr>
      </w:pPr>
      <w:r>
        <w:rPr>
          <w:rFonts w:hint="cs"/>
          <w:rtl/>
        </w:rPr>
        <w:t>14.</w:t>
      </w:r>
      <w:r>
        <w:rPr>
          <w:rFonts w:hint="cs"/>
          <w:rtl/>
        </w:rPr>
        <w:tab/>
        <w:t xml:space="preserve">השאלות הנדרשות להכרעה מתייחסות להיבט הדיוני  וההיבט המהותי. האם משלא הוכרז הנאשם כסוחר סמים במסגרת הכרעת הדין, יש אפשרות עוד לעשות כן בשלב מאוחר יותר? </w:t>
      </w:r>
    </w:p>
    <w:p w14:paraId="0096F8ED" w14:textId="77777777" w:rsidR="00AD633B" w:rsidRDefault="00AD633B" w:rsidP="00AD633B">
      <w:pPr>
        <w:spacing w:line="360" w:lineRule="auto"/>
        <w:ind w:left="720" w:hanging="360"/>
        <w:jc w:val="both"/>
        <w:rPr>
          <w:rtl/>
        </w:rPr>
      </w:pPr>
    </w:p>
    <w:p w14:paraId="3AD85C29" w14:textId="77777777" w:rsidR="00AD633B" w:rsidRDefault="00AD633B" w:rsidP="00AD633B">
      <w:pPr>
        <w:spacing w:line="360" w:lineRule="auto"/>
        <w:ind w:left="720"/>
        <w:jc w:val="both"/>
        <w:rPr>
          <w:rtl/>
        </w:rPr>
      </w:pPr>
      <w:r>
        <w:rPr>
          <w:rFonts w:hint="cs"/>
          <w:rtl/>
        </w:rPr>
        <w:t xml:space="preserve">המסגרת הנורמטיבית קבועה </w:t>
      </w:r>
      <w:hyperlink r:id="rId23" w:history="1">
        <w:r w:rsidR="003B5077" w:rsidRPr="003B5077">
          <w:rPr>
            <w:rStyle w:val="Hyperlink"/>
            <w:rFonts w:hint="eastAsia"/>
            <w:rtl/>
          </w:rPr>
          <w:t>בסעיף</w:t>
        </w:r>
        <w:r w:rsidR="003B5077" w:rsidRPr="003B5077">
          <w:rPr>
            <w:rStyle w:val="Hyperlink"/>
            <w:rtl/>
          </w:rPr>
          <w:t xml:space="preserve"> 36א(ב)</w:t>
        </w:r>
      </w:hyperlink>
      <w:r>
        <w:rPr>
          <w:rFonts w:hint="cs"/>
          <w:rtl/>
        </w:rPr>
        <w:t xml:space="preserve"> ל</w:t>
      </w:r>
      <w:hyperlink r:id="rId24" w:history="1">
        <w:r w:rsidR="00D33DDD" w:rsidRPr="00D33DDD">
          <w:rPr>
            <w:color w:val="0000FF"/>
            <w:u w:val="single"/>
            <w:rtl/>
          </w:rPr>
          <w:t>פקודת הסמים המסוכנים</w:t>
        </w:r>
      </w:hyperlink>
      <w:r>
        <w:rPr>
          <w:rFonts w:hint="cs"/>
          <w:rtl/>
        </w:rPr>
        <w:t xml:space="preserve"> הקובע: </w:t>
      </w:r>
    </w:p>
    <w:p w14:paraId="1954765A" w14:textId="77777777" w:rsidR="00AD633B" w:rsidRDefault="00AD633B" w:rsidP="00AD633B">
      <w:pPr>
        <w:spacing w:line="360" w:lineRule="auto"/>
        <w:ind w:left="1440"/>
        <w:jc w:val="both"/>
        <w:rPr>
          <w:rtl/>
        </w:rPr>
      </w:pPr>
    </w:p>
    <w:p w14:paraId="584D1763" w14:textId="77777777" w:rsidR="00AD633B" w:rsidRDefault="00AD633B" w:rsidP="00AD633B">
      <w:pPr>
        <w:spacing w:line="360" w:lineRule="auto"/>
        <w:ind w:left="1440"/>
        <w:jc w:val="both"/>
        <w:rPr>
          <w:rFonts w:ascii="Miriam" w:hAnsi="Miriam" w:cs="Miriam"/>
          <w:rtl/>
        </w:rPr>
      </w:pPr>
      <w:r>
        <w:rPr>
          <w:rFonts w:hint="cs"/>
          <w:rtl/>
        </w:rPr>
        <w:t>"</w:t>
      </w:r>
      <w:r>
        <w:rPr>
          <w:rFonts w:ascii="Miriam" w:hAnsi="Miriam" w:cs="Miriam"/>
          <w:rtl/>
        </w:rPr>
        <w:t xml:space="preserve">בית המשפט שהרשיע אדם בעבירה של עסקת סמים והוכח לו כי הנידון הפיק רווח מעבירה של עסקת סמים או שהיה אמור להפיק רווח מעבירה כאמור, יקבע בהכרעת הדין, על פי בקשת תובע, שהנידון הוא סוחר סמים ומשעשה כן – יצווה בגזר הדין, כי בנוסף לכל עונש יחולט לאוצר המדינה כל רכוש של הנידון שהושג בעבירה של עסקת סמים, אלא אם כן סבר שלא לעשות כן מנימוקים מיוחדים שיפרט". </w:t>
      </w:r>
    </w:p>
    <w:p w14:paraId="20870FC0" w14:textId="77777777" w:rsidR="00AD633B" w:rsidRDefault="00AD633B" w:rsidP="00AD633B">
      <w:pPr>
        <w:jc w:val="both"/>
        <w:rPr>
          <w:rtl/>
        </w:rPr>
      </w:pPr>
    </w:p>
    <w:p w14:paraId="787409F8" w14:textId="77777777" w:rsidR="00AD633B" w:rsidRDefault="00AD633B" w:rsidP="00AD633B">
      <w:pPr>
        <w:spacing w:line="360" w:lineRule="auto"/>
        <w:ind w:left="720"/>
        <w:jc w:val="both"/>
        <w:rPr>
          <w:rFonts w:ascii="David" w:hAnsi="David"/>
          <w:rtl/>
        </w:rPr>
      </w:pPr>
      <w:r>
        <w:rPr>
          <w:rFonts w:hint="cs"/>
          <w:rtl/>
        </w:rPr>
        <w:t xml:space="preserve">כעולה מהוראות החוק, המועד להכרזה על נאשם כסוחר סמים הוא בהכרעת הדין. יחד עם זאת, בעניין זה קבע בית המשפט העליון כי אין מניעה להכריז על נאשם כסוחר סמים במועד שבין הכרעת הדין לגזר הדין ובלבד שהנאשם היה מודע לכוונת המאשימה לבקש זאת וניתנה לו הזדמנות לטעון בנושא ( </w:t>
      </w:r>
      <w:hyperlink r:id="rId25" w:history="1">
        <w:r w:rsidR="00D33DDD" w:rsidRPr="00D33DDD">
          <w:rPr>
            <w:color w:val="0000FF"/>
            <w:u w:val="single"/>
            <w:rtl/>
          </w:rPr>
          <w:t>ע"פ 170/07</w:t>
        </w:r>
      </w:hyperlink>
      <w:r>
        <w:rPr>
          <w:rFonts w:hint="cs"/>
          <w:rtl/>
        </w:rPr>
        <w:t xml:space="preserve"> </w:t>
      </w:r>
      <w:r>
        <w:rPr>
          <w:rFonts w:hint="cs"/>
          <w:b/>
          <w:bCs/>
          <w:rtl/>
        </w:rPr>
        <w:t>ליאור מטיס נ' מדינת ישראל</w:t>
      </w:r>
      <w:r>
        <w:rPr>
          <w:rFonts w:hint="cs"/>
          <w:rtl/>
        </w:rPr>
        <w:t xml:space="preserve"> (19.1107); </w:t>
      </w:r>
      <w:hyperlink r:id="rId26" w:history="1">
        <w:r w:rsidR="00D33DDD" w:rsidRPr="00D33DDD">
          <w:rPr>
            <w:color w:val="0000FF"/>
            <w:u w:val="single"/>
            <w:rtl/>
          </w:rPr>
          <w:t>דנ"פ 10402/07</w:t>
        </w:r>
      </w:hyperlink>
      <w:r>
        <w:rPr>
          <w:rFonts w:hint="cs"/>
          <w:rtl/>
        </w:rPr>
        <w:t xml:space="preserve"> </w:t>
      </w:r>
      <w:r>
        <w:rPr>
          <w:rFonts w:hint="cs"/>
          <w:b/>
          <w:bCs/>
          <w:rtl/>
        </w:rPr>
        <w:t>מטיס נ' מדינת ישראל</w:t>
      </w:r>
      <w:r>
        <w:rPr>
          <w:rFonts w:hint="cs"/>
          <w:rtl/>
        </w:rPr>
        <w:t xml:space="preserve"> (29.1.08)). </w:t>
      </w:r>
    </w:p>
    <w:p w14:paraId="16AF6B67" w14:textId="77777777" w:rsidR="00AD633B" w:rsidRDefault="00AD633B" w:rsidP="00AD633B">
      <w:pPr>
        <w:spacing w:line="360" w:lineRule="auto"/>
        <w:jc w:val="both"/>
        <w:rPr>
          <w:rtl/>
        </w:rPr>
      </w:pPr>
    </w:p>
    <w:p w14:paraId="62B80F14" w14:textId="77777777" w:rsidR="00AD633B" w:rsidRDefault="00AD633B" w:rsidP="00AD633B">
      <w:pPr>
        <w:spacing w:line="360" w:lineRule="auto"/>
        <w:ind w:left="720" w:hanging="360"/>
        <w:jc w:val="both"/>
        <w:rPr>
          <w:rtl/>
        </w:rPr>
      </w:pPr>
      <w:r>
        <w:rPr>
          <w:rFonts w:hint="cs"/>
          <w:rtl/>
        </w:rPr>
        <w:t>16.</w:t>
      </w:r>
      <w:r>
        <w:rPr>
          <w:rFonts w:hint="cs"/>
          <w:rtl/>
        </w:rPr>
        <w:tab/>
        <w:t xml:space="preserve">אשר על כן, בענייננו אני סבורה כי אין כל מניעה דיונית להכריז על הנאשם סוחר סמים אף בשלב זה. בכתב האישום המתוקן ציינה המאשימה במפורש כי בכוונתה לבקש להכריז כי הנאשם הוא סוחר סמים וכן לחלט את הרכוש שפורט בכתב האישום המתוקן. נראה כי מדובר בשכחה מטעם המאשימה שבשל שגגה לא ציינה את הדברים בעת הצגת הסדר הטיעון הדיוני שהושג בין הצדדים. לנאשם לא נגרם עוות דין ולסנגור ניתנה ההזדמנות לטעון בנושא והוא אכן טען בעניין עתירת המאשימה. </w:t>
      </w:r>
    </w:p>
    <w:p w14:paraId="4A27691A" w14:textId="77777777" w:rsidR="00AD633B" w:rsidRDefault="00AD633B" w:rsidP="00AD633B">
      <w:pPr>
        <w:spacing w:line="360" w:lineRule="auto"/>
        <w:jc w:val="both"/>
        <w:rPr>
          <w:rtl/>
        </w:rPr>
      </w:pPr>
    </w:p>
    <w:p w14:paraId="64F7E76E" w14:textId="77777777" w:rsidR="00AD633B" w:rsidRDefault="00AD633B" w:rsidP="00AD633B">
      <w:pPr>
        <w:spacing w:line="360" w:lineRule="auto"/>
        <w:ind w:left="720" w:hanging="360"/>
        <w:jc w:val="both"/>
        <w:rPr>
          <w:rtl/>
        </w:rPr>
      </w:pPr>
      <w:r>
        <w:rPr>
          <w:rFonts w:hint="cs"/>
          <w:rtl/>
        </w:rPr>
        <w:t>17.</w:t>
      </w:r>
      <w:r>
        <w:rPr>
          <w:rFonts w:hint="cs"/>
          <w:rtl/>
        </w:rPr>
        <w:tab/>
        <w:t>באשר לטענה המהותית ועתירת המאשימה הרי שלצורך הכרזה על הנאשם כסוחר סמים נדרשת המאשימה להוכיח שהתקיימו שני תנאים. התנאי הראשון כי מדובר ב</w:t>
      </w:r>
      <w:r>
        <w:rPr>
          <w:rFonts w:ascii="Miriam" w:hAnsi="Miriam" w:cs="Miriam"/>
          <w:rtl/>
        </w:rPr>
        <w:t>"עבירת סמים"</w:t>
      </w:r>
      <w:r>
        <w:rPr>
          <w:rFonts w:hint="cs"/>
          <w:rtl/>
        </w:rPr>
        <w:t xml:space="preserve"> ואין מחלוקת כי תנאי זה מתקיים בענייננו לאור העבירות בהן הורשע הנאשם. התנאי השני עניינו כי </w:t>
      </w:r>
      <w:r>
        <w:rPr>
          <w:rFonts w:ascii="Miriam" w:hAnsi="Miriam" w:cs="Miriam"/>
          <w:rtl/>
        </w:rPr>
        <w:t xml:space="preserve">"הנידון הפיק רווח מעבירה של עסקת סמים או שהיה אמור להפיק רווח מעבירה כאמור". </w:t>
      </w:r>
      <w:r>
        <w:rPr>
          <w:rFonts w:hint="cs"/>
          <w:rtl/>
        </w:rPr>
        <w:t xml:space="preserve">הנאשם טען כעולה מתסקיר שירות המבחן שהפיק רווח כספי ועבר את העבירות על מנת להפיק רווח מהעבירות על אף שטען גם כי גידל סמים לצריכתו העצמית.  לטעמי כעולה מעובדות כתב האישום המתוקן ועל רקע העובדה כי לנאשם היו חובות כספיים על רקע התמכרותו להימורים, מכאן שאין מקום שלא לתת את מלוא המשקל למסקנה היחידה שיש להסיק מעובדות כתב האישום המתוקן בו הודה הנאשם שאין מדובר בעבירות שבוצעו לצורך שימוש עצמי. (לעניין זה ראו : </w:t>
      </w:r>
      <w:hyperlink r:id="rId27" w:history="1">
        <w:r w:rsidR="00D33DDD" w:rsidRPr="00D33DDD">
          <w:rPr>
            <w:color w:val="0000FF"/>
            <w:u w:val="single"/>
            <w:rtl/>
          </w:rPr>
          <w:t>דנ"פ 10402/07</w:t>
        </w:r>
      </w:hyperlink>
      <w:r>
        <w:rPr>
          <w:rFonts w:hint="cs"/>
          <w:rtl/>
        </w:rPr>
        <w:t xml:space="preserve"> </w:t>
      </w:r>
      <w:r>
        <w:rPr>
          <w:rFonts w:hint="cs"/>
          <w:b/>
          <w:bCs/>
          <w:rtl/>
        </w:rPr>
        <w:t>מטיס נ' מדינת ישראל</w:t>
      </w:r>
      <w:r>
        <w:rPr>
          <w:rFonts w:hint="cs"/>
          <w:rtl/>
        </w:rPr>
        <w:t xml:space="preserve">).  </w:t>
      </w:r>
    </w:p>
    <w:p w14:paraId="157650C3" w14:textId="77777777" w:rsidR="00AD633B" w:rsidRDefault="00AD633B" w:rsidP="00AD633B">
      <w:pPr>
        <w:spacing w:line="360" w:lineRule="auto"/>
        <w:jc w:val="both"/>
        <w:rPr>
          <w:rtl/>
        </w:rPr>
      </w:pPr>
    </w:p>
    <w:p w14:paraId="77050E98" w14:textId="77777777" w:rsidR="00AD633B" w:rsidRDefault="00AD633B" w:rsidP="00AD633B">
      <w:pPr>
        <w:spacing w:line="360" w:lineRule="auto"/>
        <w:ind w:left="720" w:hanging="360"/>
        <w:jc w:val="both"/>
        <w:rPr>
          <w:rtl/>
        </w:rPr>
      </w:pPr>
      <w:r>
        <w:rPr>
          <w:rFonts w:hint="cs"/>
          <w:rtl/>
        </w:rPr>
        <w:t>18.</w:t>
      </w:r>
      <w:r>
        <w:rPr>
          <w:rFonts w:hint="cs"/>
          <w:rtl/>
        </w:rPr>
        <w:tab/>
      </w:r>
      <w:r w:rsidRPr="009B01C0">
        <w:rPr>
          <w:rFonts w:hint="cs"/>
          <w:b/>
          <w:bCs/>
          <w:rtl/>
        </w:rPr>
        <w:t>לסיכום, לאור נסיבות העבירות דעתי היא כי המאשימה הוכיחה שנתקיימו תנאי סעיף 36א(ב) לצורך  הכרזה על הנאשם כ"סוחר סמים".  אשר על כן אני מכריזה על הנאשם סוחר סמים.</w:t>
      </w:r>
      <w:r>
        <w:rPr>
          <w:rFonts w:hint="cs"/>
          <w:rtl/>
        </w:rPr>
        <w:t xml:space="preserve"> </w:t>
      </w:r>
    </w:p>
    <w:p w14:paraId="180DE18B" w14:textId="77777777" w:rsidR="00AD633B" w:rsidRDefault="00AD633B" w:rsidP="00AD633B">
      <w:pPr>
        <w:spacing w:after="160" w:line="360" w:lineRule="auto"/>
        <w:ind w:firstLine="720"/>
        <w:jc w:val="both"/>
        <w:rPr>
          <w:rFonts w:ascii="David" w:hAnsi="David"/>
          <w:b/>
          <w:bCs/>
          <w:u w:val="single"/>
          <w:rtl/>
        </w:rPr>
      </w:pPr>
    </w:p>
    <w:p w14:paraId="679262F1" w14:textId="77777777" w:rsidR="00AD633B" w:rsidRDefault="00AD633B" w:rsidP="00AD633B">
      <w:pPr>
        <w:spacing w:after="160" w:line="360" w:lineRule="auto"/>
        <w:ind w:firstLine="720"/>
        <w:jc w:val="both"/>
        <w:rPr>
          <w:rFonts w:ascii="David" w:hAnsi="David"/>
          <w:b/>
          <w:bCs/>
          <w:u w:val="single"/>
        </w:rPr>
      </w:pPr>
      <w:r>
        <w:rPr>
          <w:rFonts w:ascii="David" w:hAnsi="David"/>
          <w:b/>
          <w:bCs/>
          <w:u w:val="single"/>
          <w:rtl/>
        </w:rPr>
        <w:t>קביעת מתחם העונש ההולם</w:t>
      </w:r>
    </w:p>
    <w:p w14:paraId="75EAA265" w14:textId="77777777" w:rsidR="00AD633B" w:rsidRDefault="00AD633B" w:rsidP="00AD633B">
      <w:pPr>
        <w:pStyle w:val="aa"/>
        <w:numPr>
          <w:ilvl w:val="0"/>
          <w:numId w:val="1"/>
        </w:numPr>
        <w:spacing w:after="160" w:line="360" w:lineRule="auto"/>
        <w:jc w:val="both"/>
        <w:rPr>
          <w:rFonts w:ascii="David" w:hAnsi="David"/>
        </w:rPr>
      </w:pPr>
      <w:r>
        <w:rPr>
          <w:rFonts w:ascii="David" w:hAnsi="David"/>
          <w:rtl/>
        </w:rPr>
        <w:t>תיקון 113 ל</w:t>
      </w:r>
      <w:hyperlink r:id="rId28" w:history="1">
        <w:r w:rsidR="00D33DDD" w:rsidRPr="00D33DDD">
          <w:rPr>
            <w:rFonts w:ascii="David" w:hAnsi="David"/>
            <w:color w:val="0000FF"/>
            <w:u w:val="single"/>
            <w:rtl/>
          </w:rPr>
          <w:t>חוק העונשין</w:t>
        </w:r>
      </w:hyperlink>
      <w:r>
        <w:rPr>
          <w:rFonts w:ascii="David" w:hAnsi="David"/>
          <w:rtl/>
        </w:rPr>
        <w:t xml:space="preserve"> קובע, כי העיקרון המנחה בענישה הוא עקרון ההלימה – קיומו של יחס הולם בין חומרת מעשה העבירה בנסיבותיו ומידת אשמו של הנאשם ובין סוג ומידת העונש המוטל עליו. בהתאם </w:t>
      </w:r>
      <w:hyperlink r:id="rId29" w:history="1">
        <w:r w:rsidR="003B5077" w:rsidRPr="003B5077">
          <w:rPr>
            <w:rStyle w:val="Hyperlink"/>
            <w:rFonts w:ascii="David" w:hAnsi="David"/>
            <w:rtl/>
          </w:rPr>
          <w:t>לסעיף 40ג</w:t>
        </w:r>
      </w:hyperlink>
      <w:r>
        <w:rPr>
          <w:rFonts w:ascii="David" w:hAnsi="David"/>
          <w:rtl/>
        </w:rPr>
        <w:t xml:space="preserve"> ל</w:t>
      </w:r>
      <w:hyperlink r:id="rId30" w:history="1">
        <w:r w:rsidR="00D33DDD" w:rsidRPr="00D33DDD">
          <w:rPr>
            <w:rFonts w:ascii="David" w:hAnsi="David"/>
            <w:color w:val="0000FF"/>
            <w:u w:val="single"/>
            <w:rtl/>
          </w:rPr>
          <w:t>חוק העונשין</w:t>
        </w:r>
      </w:hyperlink>
      <w:r>
        <w:rPr>
          <w:rFonts w:ascii="David" w:hAnsi="David"/>
          <w:rtl/>
        </w:rPr>
        <w:t>, על בית המשפט לקבוע מתחם עונש הולם למעשה העבירה שביצע הנאשם בהתאם לעיקרון המנחה, ולשם כך יתחשב בערך החברתי שנפגע מביצוע העבירה, במידת הפגיעה בו, במדיניות הענישה הנהוגה ובנסיבות הקשורות בביצוע העבירה, כשבתוך מתחם העונש ההולם יגזור בית המשפט את העונש המתאים לנאשם.</w:t>
      </w:r>
    </w:p>
    <w:p w14:paraId="4564FDA5" w14:textId="77777777" w:rsidR="00AD633B" w:rsidRDefault="00AD633B" w:rsidP="00AD633B">
      <w:pPr>
        <w:pStyle w:val="aa"/>
        <w:spacing w:after="160" w:line="360" w:lineRule="auto"/>
        <w:jc w:val="both"/>
        <w:rPr>
          <w:rFonts w:ascii="David" w:hAnsi="David"/>
        </w:rPr>
      </w:pPr>
    </w:p>
    <w:p w14:paraId="4E636DA5" w14:textId="77777777" w:rsidR="00AD633B" w:rsidRDefault="00AD633B" w:rsidP="00AD633B">
      <w:pPr>
        <w:pStyle w:val="aa"/>
        <w:numPr>
          <w:ilvl w:val="0"/>
          <w:numId w:val="2"/>
        </w:numPr>
        <w:spacing w:line="360" w:lineRule="auto"/>
        <w:jc w:val="both"/>
        <w:rPr>
          <w:rFonts w:ascii="David" w:hAnsi="David"/>
          <w:b/>
          <w:bCs/>
          <w:lang w:eastAsia="he-IL"/>
        </w:rPr>
      </w:pPr>
      <w:r>
        <w:rPr>
          <w:rFonts w:ascii="Arial" w:hAnsi="Arial" w:hint="cs"/>
          <w:rtl/>
        </w:rPr>
        <w:t xml:space="preserve"> </w:t>
      </w:r>
      <w:r>
        <w:rPr>
          <w:rtl/>
        </w:rPr>
        <w:t>על בית המשפט לקבוע את מתחם הענישה ההולם את האירוע ובסופו של תהליך, יש להחליט אם נכון לחרוג מהמתחם שנקבע, שאחרת ייגזר העונש בגדרי המתחם.</w:t>
      </w:r>
      <w:r>
        <w:rPr>
          <w:rFonts w:ascii="Arial" w:hAnsi="Arial"/>
          <w:rtl/>
        </w:rPr>
        <w:t xml:space="preserve"> </w:t>
      </w:r>
      <w:r>
        <w:rPr>
          <w:rFonts w:ascii="Calibri" w:hAnsi="Calibri"/>
          <w:rtl/>
        </w:rPr>
        <w:t xml:space="preserve">בשלב הראשון על בית המשפט לבדוק האם העבירות בהן הורשע הנאשם מהוות אירוע אחד או מספר אירועים נפרדים. אם יגיע בית המשפט למסקנה כי מדובר באירועים נפרדים עליו לקבוע מתחם ענישה הולם לכל אירוע בנפרד ולאחר מכן לגזור את עונשו של הנאשם עונש נפרד לכל אירוע ובד בבד לקבוע האם ירוצו העונשים בחופף או במצטבר.  בית המשפט יכול להגיע למסקנה כי יש להשית עונש אחד כולל לאירועים כולם (ראה בעניין זה : </w:t>
      </w:r>
      <w:hyperlink r:id="rId31" w:history="1">
        <w:r w:rsidR="00D33DDD" w:rsidRPr="00D33DDD">
          <w:rPr>
            <w:rFonts w:ascii="Calibri" w:hAnsi="Calibri" w:hint="eastAsia"/>
            <w:color w:val="0000FF"/>
            <w:u w:val="single"/>
            <w:rtl/>
          </w:rPr>
          <w:t>ע</w:t>
        </w:r>
        <w:r w:rsidR="00D33DDD" w:rsidRPr="00D33DDD">
          <w:rPr>
            <w:rFonts w:ascii="Calibri" w:hAnsi="Calibri"/>
            <w:color w:val="0000FF"/>
            <w:u w:val="single"/>
            <w:rtl/>
          </w:rPr>
          <w:t>"</w:t>
        </w:r>
        <w:r w:rsidR="00D33DDD" w:rsidRPr="00D33DDD">
          <w:rPr>
            <w:rFonts w:ascii="Calibri" w:hAnsi="Calibri" w:hint="eastAsia"/>
            <w:color w:val="0000FF"/>
            <w:u w:val="single"/>
            <w:rtl/>
          </w:rPr>
          <w:t>פ</w:t>
        </w:r>
        <w:r w:rsidR="00D33DDD" w:rsidRPr="00D33DDD">
          <w:rPr>
            <w:rFonts w:ascii="Calibri" w:hAnsi="Calibri"/>
            <w:color w:val="0000FF"/>
            <w:u w:val="single"/>
            <w:rtl/>
          </w:rPr>
          <w:t xml:space="preserve"> 8641/12</w:t>
        </w:r>
      </w:hyperlink>
      <w:r>
        <w:rPr>
          <w:rFonts w:ascii="Calibri" w:hAnsi="Calibri"/>
          <w:rtl/>
        </w:rPr>
        <w:t xml:space="preserve"> </w:t>
      </w:r>
      <w:r>
        <w:rPr>
          <w:rFonts w:ascii="Calibri" w:hAnsi="Calibri"/>
          <w:b/>
          <w:bCs/>
          <w:rtl/>
        </w:rPr>
        <w:t>סעד נ' מדינת ישראל</w:t>
      </w:r>
      <w:r>
        <w:rPr>
          <w:rFonts w:ascii="Calibri" w:hAnsi="Calibri"/>
          <w:rtl/>
        </w:rPr>
        <w:t xml:space="preserve"> ; </w:t>
      </w:r>
      <w:hyperlink r:id="rId32" w:history="1">
        <w:r w:rsidR="00D33DDD" w:rsidRPr="00D33DDD">
          <w:rPr>
            <w:rFonts w:ascii="Calibri" w:hAnsi="Calibri" w:hint="eastAsia"/>
            <w:color w:val="0000FF"/>
            <w:u w:val="single"/>
            <w:rtl/>
          </w:rPr>
          <w:t>ע</w:t>
        </w:r>
        <w:r w:rsidR="00D33DDD" w:rsidRPr="00D33DDD">
          <w:rPr>
            <w:rFonts w:ascii="Calibri" w:hAnsi="Calibri"/>
            <w:color w:val="0000FF"/>
            <w:u w:val="single"/>
            <w:rtl/>
          </w:rPr>
          <w:t>"</w:t>
        </w:r>
        <w:r w:rsidR="00D33DDD" w:rsidRPr="00D33DDD">
          <w:rPr>
            <w:rFonts w:ascii="Calibri" w:hAnsi="Calibri" w:hint="eastAsia"/>
            <w:color w:val="0000FF"/>
            <w:u w:val="single"/>
            <w:rtl/>
          </w:rPr>
          <w:t>פ</w:t>
        </w:r>
        <w:r w:rsidR="00D33DDD" w:rsidRPr="00D33DDD">
          <w:rPr>
            <w:rFonts w:ascii="Calibri" w:hAnsi="Calibri"/>
            <w:color w:val="0000FF"/>
            <w:u w:val="single"/>
            <w:rtl/>
          </w:rPr>
          <w:t xml:space="preserve"> 4910/13</w:t>
        </w:r>
      </w:hyperlink>
      <w:r>
        <w:rPr>
          <w:rFonts w:ascii="Calibri" w:hAnsi="Calibri"/>
          <w:rtl/>
        </w:rPr>
        <w:t xml:space="preserve"> </w:t>
      </w:r>
      <w:r>
        <w:rPr>
          <w:rFonts w:ascii="Calibri" w:hAnsi="Calibri"/>
          <w:b/>
          <w:bCs/>
          <w:rtl/>
        </w:rPr>
        <w:t>ג'אבר נ' מדינת ישראל</w:t>
      </w:r>
      <w:r>
        <w:rPr>
          <w:rFonts w:ascii="Calibri" w:hAnsi="Calibri"/>
          <w:rtl/>
        </w:rPr>
        <w:t xml:space="preserve">( </w:t>
      </w:r>
      <w:r>
        <w:rPr>
          <w:rFonts w:ascii="Calibri" w:hAnsi="Calibri"/>
          <w:b/>
          <w:bCs/>
          <w:rtl/>
        </w:rPr>
        <w:t>להלן: "עניין  ג'אבר</w:t>
      </w:r>
      <w:r>
        <w:rPr>
          <w:rFonts w:ascii="Calibri" w:hAnsi="Calibri"/>
          <w:rtl/>
        </w:rPr>
        <w:t xml:space="preserve">")). בעניין ג'אבר קבע בית המשפט העליון, כי עבירות שיש ביניהן קשר ענייני הדוק ושניתן לקבוע כי מדובר במסכת עבריינית אחת ייחשבו לאירוע אחד. בענייננו, סבורני כי מדובר במסכת עבריינית אחת וכי יש זיקה וקשר הדוק בין העבירות שהורשע בהן הנאשם. אשר על כן, אני קובעת כי מדובר באירוע אחד. </w:t>
      </w:r>
    </w:p>
    <w:p w14:paraId="57723073" w14:textId="77777777" w:rsidR="00AD633B" w:rsidRDefault="00AD633B" w:rsidP="00AD633B">
      <w:pPr>
        <w:pStyle w:val="aa"/>
        <w:spacing w:line="360" w:lineRule="auto"/>
        <w:jc w:val="both"/>
        <w:rPr>
          <w:rFonts w:ascii="David" w:hAnsi="David"/>
          <w:b/>
          <w:bCs/>
          <w:lang w:eastAsia="he-IL"/>
        </w:rPr>
      </w:pPr>
    </w:p>
    <w:p w14:paraId="52B99FFE" w14:textId="77777777" w:rsidR="00AD633B" w:rsidRDefault="00AD633B" w:rsidP="00AD633B">
      <w:pPr>
        <w:pStyle w:val="aa"/>
        <w:numPr>
          <w:ilvl w:val="0"/>
          <w:numId w:val="3"/>
        </w:numPr>
        <w:spacing w:before="120" w:after="120" w:line="360" w:lineRule="auto"/>
        <w:jc w:val="both"/>
      </w:pPr>
      <w:r>
        <w:rPr>
          <w:b/>
          <w:bCs/>
          <w:rtl/>
        </w:rPr>
        <w:t>הערכים החברתיים בבסיס העבירות</w:t>
      </w:r>
      <w:r>
        <w:rPr>
          <w:rtl/>
        </w:rPr>
        <w:t xml:space="preserve">: פקודת הסמים נועדה ליתן הגנה על ערכים חברתיים של שמירה על בריאותו ושלומו הפיזי והנפשי של הציבור מפני הנזקים הנגרמים כתוצאה משימוש בסמים והשפעתם ההרסנית. זאת ועוד,  הערכים החברתיים המוגנים כוללים ההגנה על הציבור מפני נזקים עקיפים הנגרמים כתוצאה מעבריינות הנלווית לשימוש בסמים, ובכלל זה ההגנה על הביטחון האישי ורכוש הציבור (ראו בעניין זה: </w:t>
      </w:r>
      <w:hyperlink r:id="rId33" w:history="1">
        <w:r w:rsidR="00D33DDD" w:rsidRPr="00D33DDD">
          <w:rPr>
            <w:color w:val="0000FF"/>
            <w:u w:val="single"/>
            <w:rtl/>
          </w:rPr>
          <w:t>ע"פ 972/11</w:t>
        </w:r>
      </w:hyperlink>
      <w:r>
        <w:rPr>
          <w:rtl/>
        </w:rPr>
        <w:t xml:space="preserve"> </w:t>
      </w:r>
      <w:r>
        <w:rPr>
          <w:rFonts w:hint="cs"/>
          <w:b/>
          <w:bCs/>
          <w:rtl/>
        </w:rPr>
        <w:t>מדינת ישראל נ' יונה</w:t>
      </w:r>
      <w:r>
        <w:rPr>
          <w:rFonts w:hint="cs"/>
          <w:rtl/>
        </w:rPr>
        <w:t xml:space="preserve"> (4.7.12); </w:t>
      </w:r>
      <w:hyperlink r:id="rId34" w:history="1">
        <w:r w:rsidR="00D33DDD" w:rsidRPr="00D33DDD">
          <w:rPr>
            <w:color w:val="0000FF"/>
            <w:u w:val="single"/>
            <w:rtl/>
          </w:rPr>
          <w:t>ע"פ 6029/03</w:t>
        </w:r>
      </w:hyperlink>
      <w:r w:rsidRPr="00D33DDD">
        <w:rPr>
          <w:color w:val="000000"/>
          <w:rtl/>
        </w:rPr>
        <w:t xml:space="preserve"> מדינת ישראל נ' שמאי, פ"ד נח</w:t>
      </w:r>
      <w:r>
        <w:rPr>
          <w:rtl/>
        </w:rPr>
        <w:t xml:space="preserve"> (2) 734 (9.2.04); </w:t>
      </w:r>
      <w:hyperlink r:id="rId35" w:history="1">
        <w:r w:rsidR="00D33DDD" w:rsidRPr="00D33DDD">
          <w:rPr>
            <w:color w:val="0000FF"/>
            <w:u w:val="single"/>
            <w:rtl/>
          </w:rPr>
          <w:t>ע"פ 6021/95</w:t>
        </w:r>
      </w:hyperlink>
      <w:r>
        <w:rPr>
          <w:rtl/>
        </w:rPr>
        <w:t xml:space="preserve">, </w:t>
      </w:r>
      <w:r w:rsidRPr="00D33DDD">
        <w:rPr>
          <w:color w:val="000000"/>
          <w:rtl/>
        </w:rPr>
        <w:t>4998/95</w:t>
      </w:r>
      <w:r>
        <w:rPr>
          <w:rtl/>
        </w:rPr>
        <w:t xml:space="preserve">, 5267/95, 5313/95 </w:t>
      </w:r>
      <w:r>
        <w:rPr>
          <w:b/>
          <w:bCs/>
          <w:rtl/>
        </w:rPr>
        <w:t xml:space="preserve">מדינת ישראל נ' גומז </w:t>
      </w:r>
      <w:r>
        <w:rPr>
          <w:rtl/>
        </w:rPr>
        <w:t xml:space="preserve">(31.7.97); </w:t>
      </w:r>
      <w:hyperlink r:id="rId36" w:history="1">
        <w:r w:rsidR="00D33DDD" w:rsidRPr="00D33DDD">
          <w:rPr>
            <w:color w:val="0000FF"/>
            <w:u w:val="single"/>
            <w:rtl/>
          </w:rPr>
          <w:t>ע"פ 575/88</w:t>
        </w:r>
      </w:hyperlink>
      <w:r w:rsidRPr="00D33DDD">
        <w:rPr>
          <w:color w:val="000000"/>
          <w:rtl/>
        </w:rPr>
        <w:t xml:space="preserve"> עודה נ' מדינת ישראל, פ"ד מב</w:t>
      </w:r>
      <w:r>
        <w:rPr>
          <w:rtl/>
        </w:rPr>
        <w:t xml:space="preserve"> (4) 242 (11.12.88)).</w:t>
      </w:r>
    </w:p>
    <w:p w14:paraId="363BA28C" w14:textId="77777777" w:rsidR="00AD633B" w:rsidRDefault="00AD633B" w:rsidP="00AD633B">
      <w:pPr>
        <w:pStyle w:val="aa"/>
        <w:spacing w:before="120" w:after="120" w:line="360" w:lineRule="auto"/>
        <w:jc w:val="both"/>
      </w:pPr>
    </w:p>
    <w:p w14:paraId="28D7B572" w14:textId="77777777" w:rsidR="00AD633B" w:rsidRDefault="00AD633B" w:rsidP="00AD633B">
      <w:pPr>
        <w:pStyle w:val="aa"/>
        <w:numPr>
          <w:ilvl w:val="0"/>
          <w:numId w:val="3"/>
        </w:numPr>
        <w:spacing w:line="360" w:lineRule="auto"/>
        <w:jc w:val="both"/>
        <w:rPr>
          <w:rFonts w:ascii="David" w:hAnsi="David"/>
        </w:rPr>
      </w:pPr>
      <w:r>
        <w:rPr>
          <w:rFonts w:ascii="Arial" w:hAnsi="Arial" w:hint="cs"/>
          <w:rtl/>
        </w:rPr>
        <w:t xml:space="preserve"> </w:t>
      </w:r>
      <w:r>
        <w:rPr>
          <w:rFonts w:ascii="David" w:hAnsi="David"/>
          <w:color w:val="000000"/>
          <w:rtl/>
        </w:rPr>
        <w:t xml:space="preserve">פסיקת בית המשפט הדגישה את נזקי הסחר בסמים והעבירות הנלוות לסחר בסמים ולעניין זה יפים דברי כב' השופט י. עמית </w:t>
      </w:r>
      <w:r>
        <w:rPr>
          <w:rFonts w:ascii="David" w:hAnsi="David"/>
          <w:rtl/>
        </w:rPr>
        <w:t xml:space="preserve"> ב</w:t>
      </w:r>
      <w:hyperlink r:id="rId37" w:history="1">
        <w:r w:rsidR="00D33DDD" w:rsidRPr="00D33DDD">
          <w:rPr>
            <w:rFonts w:ascii="David" w:hAnsi="David"/>
            <w:color w:val="0000FF"/>
            <w:u w:val="single"/>
            <w:rtl/>
          </w:rPr>
          <w:t>ע"פ 3172/13</w:t>
        </w:r>
      </w:hyperlink>
      <w:r>
        <w:rPr>
          <w:rFonts w:ascii="David" w:hAnsi="David"/>
          <w:rtl/>
        </w:rPr>
        <w:t xml:space="preserve"> </w:t>
      </w:r>
      <w:r>
        <w:rPr>
          <w:rFonts w:ascii="David" w:hAnsi="David" w:hint="cs"/>
          <w:b/>
          <w:bCs/>
          <w:rtl/>
        </w:rPr>
        <w:t>סואעד נ' מדינת ישראל</w:t>
      </w:r>
      <w:r>
        <w:rPr>
          <w:rFonts w:ascii="David" w:hAnsi="David" w:hint="cs"/>
          <w:rtl/>
        </w:rPr>
        <w:t xml:space="preserve"> (פורסם בנבו, 6.1.14):</w:t>
      </w:r>
    </w:p>
    <w:p w14:paraId="76588F0F" w14:textId="77777777" w:rsidR="00AD633B" w:rsidRDefault="00AD633B" w:rsidP="00AD633B">
      <w:pPr>
        <w:spacing w:line="360" w:lineRule="auto"/>
        <w:jc w:val="both"/>
        <w:rPr>
          <w:rFonts w:ascii="David" w:hAnsi="David"/>
          <w:rtl/>
        </w:rPr>
      </w:pPr>
    </w:p>
    <w:p w14:paraId="3E751894" w14:textId="77777777" w:rsidR="00AD633B" w:rsidRDefault="00AD633B" w:rsidP="00AD633B">
      <w:pPr>
        <w:spacing w:line="360" w:lineRule="auto"/>
        <w:ind w:left="1440" w:right="567"/>
        <w:jc w:val="both"/>
        <w:rPr>
          <w:rFonts w:ascii="Miriam" w:hAnsi="Miriam" w:cs="Miriam"/>
          <w:rtl/>
        </w:rPr>
      </w:pPr>
      <w:r>
        <w:rPr>
          <w:rFonts w:ascii="Miriam" w:hAnsi="Miriam" w:cs="Miriam"/>
          <w:rtl/>
        </w:rPr>
        <w:t>"על פגיעתן הרבה של עבירות הסמים ועל תפקידו של בית המשפט במאבק בנגע הסמים לצד גורמים וגופים נוספים, עמד בית משפט זה פעמים רבות... אין ספור מילים נאמרו בדבר הצורך להכות בכל אחת ואחת מחוליות הפצת הסם... המאבק בנגע הסמים הוא סיזיפי ואל לנו להשלות את עצמנו כי ענישה מכבידה תביא לחיסול הנגע. כל עוד יהיה ביקוש לסמים יהיה גם היצע, כך גם בישראל וכך במדינות הים. אך המאבק אינו חסר תוחלת. גם אם לא ניתן לחסל את נגע הסמים לחלוטין, ניתן גם להקטין את היקפו ולצמצם את נזקיו".</w:t>
      </w:r>
    </w:p>
    <w:p w14:paraId="2D3CAF6C" w14:textId="77777777" w:rsidR="00AD633B" w:rsidRDefault="00AD633B" w:rsidP="00AD633B">
      <w:pPr>
        <w:spacing w:line="360" w:lineRule="auto"/>
        <w:ind w:right="567"/>
        <w:jc w:val="both"/>
        <w:rPr>
          <w:rFonts w:ascii="Miriam" w:hAnsi="Miriam" w:cs="Miriam"/>
          <w:rtl/>
        </w:rPr>
      </w:pPr>
    </w:p>
    <w:p w14:paraId="0C228AEB" w14:textId="77777777" w:rsidR="00AD633B" w:rsidRDefault="00AD633B" w:rsidP="00AD633B">
      <w:pPr>
        <w:pStyle w:val="aa"/>
        <w:numPr>
          <w:ilvl w:val="0"/>
          <w:numId w:val="3"/>
        </w:numPr>
        <w:spacing w:line="360" w:lineRule="auto"/>
        <w:jc w:val="both"/>
        <w:rPr>
          <w:rFonts w:ascii="David" w:hAnsi="David"/>
        </w:rPr>
      </w:pPr>
      <w:r>
        <w:rPr>
          <w:rFonts w:ascii="Arial" w:hAnsi="Arial" w:hint="cs"/>
          <w:rtl/>
        </w:rPr>
        <w:t xml:space="preserve"> </w:t>
      </w:r>
      <w:r>
        <w:rPr>
          <w:b/>
          <w:bCs/>
          <w:rtl/>
        </w:rPr>
        <w:t xml:space="preserve">באשר לנסיבות הקשורות בביצוע העבירה:  </w:t>
      </w:r>
      <w:r>
        <w:rPr>
          <w:rFonts w:ascii="David" w:hAnsi="David"/>
          <w:rtl/>
        </w:rPr>
        <w:t xml:space="preserve">בענייננו </w:t>
      </w:r>
      <w:r>
        <w:rPr>
          <w:rtl/>
        </w:rPr>
        <w:t xml:space="preserve">נסיבות ביצוע העבירה מלמדות בבירור על תכנון מוקדם. הנאשם הצטייד בכלים מתאימים לצורך גידול השתילים. הנאשם שכר </w:t>
      </w:r>
      <w:r>
        <w:rPr>
          <w:rFonts w:hint="cs"/>
          <w:rtl/>
        </w:rPr>
        <w:t xml:space="preserve">דירה אותה </w:t>
      </w:r>
      <w:r>
        <w:rPr>
          <w:rtl/>
        </w:rPr>
        <w:t>ייעד לצורך גידול הסמים. הנאשם גידל 546 שתילים של סם מסוג קנבוס במשקל כולל של</w:t>
      </w:r>
      <w:r>
        <w:rPr>
          <w:rFonts w:hint="cs"/>
          <w:rtl/>
        </w:rPr>
        <w:t xml:space="preserve"> 17.28 </w:t>
      </w:r>
      <w:r>
        <w:rPr>
          <w:rtl/>
        </w:rPr>
        <w:t xml:space="preserve"> ק"ג</w:t>
      </w:r>
      <w:r>
        <w:rPr>
          <w:rFonts w:hint="cs"/>
          <w:rtl/>
        </w:rPr>
        <w:t xml:space="preserve"> אותם גידל בארבעה חדרים</w:t>
      </w:r>
      <w:r>
        <w:rPr>
          <w:rtl/>
        </w:rPr>
        <w:t>. כמפורט בעובדות כתב האישום</w:t>
      </w:r>
      <w:r>
        <w:rPr>
          <w:rFonts w:hint="cs"/>
          <w:rtl/>
        </w:rPr>
        <w:t xml:space="preserve"> המתוקן </w:t>
      </w:r>
      <w:r>
        <w:rPr>
          <w:rtl/>
        </w:rPr>
        <w:t xml:space="preserve">. </w:t>
      </w:r>
      <w:r>
        <w:rPr>
          <w:rFonts w:ascii="David" w:hAnsi="David"/>
          <w:rtl/>
        </w:rPr>
        <w:t xml:space="preserve"> </w:t>
      </w:r>
    </w:p>
    <w:p w14:paraId="24381431" w14:textId="77777777" w:rsidR="00AD633B" w:rsidRDefault="00AD633B" w:rsidP="00AD633B">
      <w:pPr>
        <w:spacing w:line="360" w:lineRule="auto"/>
        <w:jc w:val="both"/>
        <w:rPr>
          <w:u w:val="single"/>
        </w:rPr>
      </w:pPr>
    </w:p>
    <w:p w14:paraId="166B65D5" w14:textId="77777777" w:rsidR="00AD633B" w:rsidRDefault="00AD633B" w:rsidP="00AD633B">
      <w:pPr>
        <w:pStyle w:val="aa"/>
        <w:numPr>
          <w:ilvl w:val="0"/>
          <w:numId w:val="3"/>
        </w:numPr>
        <w:spacing w:line="360" w:lineRule="auto"/>
        <w:jc w:val="both"/>
        <w:rPr>
          <w:rFonts w:ascii="David" w:hAnsi="David"/>
        </w:rPr>
      </w:pPr>
      <w:r w:rsidRPr="00AD6724">
        <w:rPr>
          <w:rFonts w:ascii="David" w:hAnsi="David"/>
          <w:b/>
          <w:bCs/>
          <w:rtl/>
        </w:rPr>
        <w:t>הנזק שנגרם וכן שהיה צפוי מביצוע העבירה –</w:t>
      </w:r>
      <w:r>
        <w:rPr>
          <w:rFonts w:ascii="David" w:hAnsi="David"/>
          <w:rtl/>
        </w:rPr>
        <w:t xml:space="preserve">  בדירת הנאשם נתפסה כמות של 546 שתילים, כמות גדולה ובמשקל ש</w:t>
      </w:r>
      <w:r>
        <w:rPr>
          <w:rFonts w:ascii="David" w:hAnsi="David" w:hint="cs"/>
          <w:rtl/>
        </w:rPr>
        <w:t xml:space="preserve">ל 17.28 </w:t>
      </w:r>
      <w:r>
        <w:rPr>
          <w:rFonts w:ascii="David" w:hAnsi="David"/>
          <w:rtl/>
        </w:rPr>
        <w:t xml:space="preserve"> ק"ג נטו שהינה כמות משמעותית באופן יחסי. לפיכך אני קובעת שהנזק הפוטנציאלי הוא ממשי.  </w:t>
      </w:r>
    </w:p>
    <w:p w14:paraId="312E618A" w14:textId="77777777" w:rsidR="00AD633B" w:rsidRPr="00AD6724" w:rsidRDefault="00AD633B" w:rsidP="00AD633B">
      <w:pPr>
        <w:pStyle w:val="aa"/>
        <w:rPr>
          <w:rFonts w:ascii="David" w:hAnsi="David"/>
          <w:rtl/>
        </w:rPr>
      </w:pPr>
    </w:p>
    <w:p w14:paraId="5B60B7B5" w14:textId="77777777" w:rsidR="00AD633B" w:rsidRDefault="00AD633B" w:rsidP="00AD633B">
      <w:pPr>
        <w:pStyle w:val="aa"/>
        <w:numPr>
          <w:ilvl w:val="0"/>
          <w:numId w:val="5"/>
        </w:numPr>
        <w:spacing w:after="120" w:line="360" w:lineRule="auto"/>
        <w:jc w:val="both"/>
        <w:rPr>
          <w:rFonts w:ascii="David" w:hAnsi="David"/>
          <w:color w:val="000000"/>
        </w:rPr>
      </w:pPr>
      <w:r w:rsidRPr="006E4F17">
        <w:rPr>
          <w:rFonts w:ascii="David" w:hAnsi="David"/>
          <w:b/>
          <w:bCs/>
          <w:rtl/>
        </w:rPr>
        <w:t>באשר למדיניות הענישה הנוהגת</w:t>
      </w:r>
      <w:r w:rsidRPr="006E4F17">
        <w:rPr>
          <w:rFonts w:ascii="David" w:hAnsi="David" w:hint="cs"/>
          <w:b/>
          <w:bCs/>
          <w:rtl/>
        </w:rPr>
        <w:t xml:space="preserve"> </w:t>
      </w:r>
      <w:r w:rsidRPr="006E4F17">
        <w:rPr>
          <w:rFonts w:ascii="David" w:hAnsi="David" w:hint="cs"/>
          <w:color w:val="000000"/>
          <w:rtl/>
        </w:rPr>
        <w:t xml:space="preserve">- </w:t>
      </w:r>
      <w:r w:rsidRPr="006E4F17">
        <w:rPr>
          <w:rFonts w:ascii="David" w:hAnsi="David"/>
          <w:color w:val="000000"/>
          <w:rtl/>
        </w:rPr>
        <w:t>בית המשפט העליון עמד לא אחת על הצורך להחמיר בענישה בעבירות הסמים על מנת למגר את התופעה.</w:t>
      </w:r>
    </w:p>
    <w:p w14:paraId="28748D05" w14:textId="77777777" w:rsidR="00AD633B" w:rsidRDefault="00AD633B" w:rsidP="00AD633B">
      <w:pPr>
        <w:pStyle w:val="aa"/>
        <w:spacing w:after="120" w:line="360" w:lineRule="auto"/>
        <w:jc w:val="both"/>
        <w:rPr>
          <w:rFonts w:ascii="David" w:hAnsi="David"/>
          <w:b/>
          <w:bCs/>
          <w:rtl/>
        </w:rPr>
      </w:pPr>
    </w:p>
    <w:p w14:paraId="1A52D2BC" w14:textId="77777777" w:rsidR="00AD633B" w:rsidRDefault="00AD633B" w:rsidP="00AD633B">
      <w:pPr>
        <w:pStyle w:val="aa"/>
        <w:spacing w:after="120" w:line="360" w:lineRule="auto"/>
        <w:jc w:val="both"/>
        <w:rPr>
          <w:rFonts w:ascii="David" w:hAnsi="David"/>
          <w:color w:val="000000"/>
          <w:rtl/>
        </w:rPr>
      </w:pPr>
      <w:r>
        <w:rPr>
          <w:rFonts w:ascii="David" w:hAnsi="David" w:hint="cs"/>
          <w:b/>
          <w:bCs/>
          <w:rtl/>
        </w:rPr>
        <w:t>הצדדים הפנו לפסיקה רלוונטית לשיטתם לעמדתם העונשית</w:t>
      </w:r>
      <w:r w:rsidRPr="0098261B">
        <w:rPr>
          <w:rFonts w:ascii="David" w:hAnsi="David" w:hint="cs"/>
          <w:color w:val="000000"/>
          <w:rtl/>
        </w:rPr>
        <w:t>.</w:t>
      </w:r>
      <w:r>
        <w:rPr>
          <w:rFonts w:ascii="David" w:hAnsi="David" w:hint="cs"/>
          <w:color w:val="000000"/>
          <w:rtl/>
        </w:rPr>
        <w:t xml:space="preserve"> אציין באשר לפסיקה שהוגשה על ידי ההגנה כי במרבית המקרים היו תסקירים חיוביים דבר שלא ניתן לקבוע ביחס לתסקיר שבפני. כך למשל ב</w:t>
      </w:r>
      <w:hyperlink r:id="rId38" w:history="1">
        <w:r w:rsidR="00D33DDD" w:rsidRPr="00D33DDD">
          <w:rPr>
            <w:rFonts w:ascii="David" w:hAnsi="David"/>
            <w:color w:val="0000FF"/>
            <w:u w:val="single"/>
            <w:rtl/>
          </w:rPr>
          <w:t>ת"פ 3766-09-21</w:t>
        </w:r>
      </w:hyperlink>
      <w:r>
        <w:rPr>
          <w:rFonts w:ascii="David" w:hAnsi="David" w:hint="cs"/>
          <w:color w:val="000000"/>
          <w:rtl/>
        </w:rPr>
        <w:t xml:space="preserve"> מדינת ישראל נ' משה גיא מדינה נקבע על ידי מותב זה מתחם עונש שנע בין 9 חודשי מאסר ועד לעונש של 24 חודשי מאסר ושירות המבחן המליץ על ענישה שיקומית. </w:t>
      </w:r>
    </w:p>
    <w:p w14:paraId="766B2892" w14:textId="77777777" w:rsidR="00AD633B" w:rsidRDefault="00AD633B" w:rsidP="00AD633B">
      <w:pPr>
        <w:pStyle w:val="aa"/>
        <w:spacing w:after="120" w:line="360" w:lineRule="auto"/>
        <w:jc w:val="both"/>
        <w:rPr>
          <w:rFonts w:ascii="David" w:hAnsi="David"/>
          <w:color w:val="000000"/>
          <w:rtl/>
        </w:rPr>
      </w:pPr>
    </w:p>
    <w:p w14:paraId="080064AD" w14:textId="77777777" w:rsidR="00AD633B" w:rsidRDefault="00AD633B" w:rsidP="00AD633B">
      <w:pPr>
        <w:pStyle w:val="aa"/>
        <w:spacing w:after="120" w:line="360" w:lineRule="auto"/>
        <w:jc w:val="both"/>
        <w:rPr>
          <w:rFonts w:ascii="David" w:hAnsi="David"/>
          <w:color w:val="000000"/>
          <w:rtl/>
        </w:rPr>
      </w:pPr>
      <w:r>
        <w:rPr>
          <w:rFonts w:ascii="David" w:hAnsi="David" w:hint="cs"/>
          <w:color w:val="000000"/>
          <w:rtl/>
        </w:rPr>
        <w:t>גם ב</w:t>
      </w:r>
      <w:hyperlink r:id="rId39" w:history="1">
        <w:r w:rsidR="00D33DDD" w:rsidRPr="00D33DDD">
          <w:rPr>
            <w:rFonts w:ascii="David" w:hAnsi="David"/>
            <w:color w:val="0000FF"/>
            <w:u w:val="single"/>
            <w:rtl/>
          </w:rPr>
          <w:t>ת"פ 3919-12-20</w:t>
        </w:r>
      </w:hyperlink>
      <w:r>
        <w:rPr>
          <w:rFonts w:ascii="David" w:hAnsi="David" w:hint="cs"/>
          <w:color w:val="000000"/>
          <w:rtl/>
        </w:rPr>
        <w:t xml:space="preserve"> מדינת ישראל נ' יעקב תורג'מן, הנאשם גידל 39.8 ק"ג סם מסוג קנבוס בית המשפט קבע מתחם ענישה שנע בין עונש של 8 חודשי מאסר בפועל ועד ל- 24 חודשי מאסר בפועל. שירות המבחן הגיש תסקיר חיובי בעניינו של הנאשם והושת על הנאשם עונש של מאסר על תנאי לצד של"צ וצו מבחן. </w:t>
      </w:r>
    </w:p>
    <w:p w14:paraId="1222E93D" w14:textId="77777777" w:rsidR="00AD633B" w:rsidRDefault="00AD633B" w:rsidP="00AD633B">
      <w:pPr>
        <w:pStyle w:val="aa"/>
        <w:spacing w:after="120" w:line="360" w:lineRule="auto"/>
        <w:jc w:val="both"/>
        <w:rPr>
          <w:rFonts w:ascii="David" w:hAnsi="David"/>
          <w:color w:val="000000"/>
          <w:rtl/>
        </w:rPr>
      </w:pPr>
    </w:p>
    <w:p w14:paraId="605A78F6" w14:textId="77777777" w:rsidR="00AD633B" w:rsidRDefault="00AD633B" w:rsidP="00AD633B">
      <w:pPr>
        <w:pStyle w:val="aa"/>
        <w:spacing w:after="120" w:line="360" w:lineRule="auto"/>
        <w:jc w:val="both"/>
        <w:rPr>
          <w:rFonts w:ascii="David" w:hAnsi="David"/>
          <w:color w:val="000000"/>
          <w:rtl/>
        </w:rPr>
      </w:pPr>
      <w:r>
        <w:rPr>
          <w:rFonts w:ascii="David" w:hAnsi="David" w:hint="cs"/>
          <w:color w:val="000000"/>
          <w:rtl/>
        </w:rPr>
        <w:t>באשר ל</w:t>
      </w:r>
      <w:hyperlink r:id="rId40" w:history="1">
        <w:r w:rsidR="00D33DDD" w:rsidRPr="00D33DDD">
          <w:rPr>
            <w:rFonts w:ascii="David" w:hAnsi="David"/>
            <w:color w:val="0000FF"/>
            <w:u w:val="single"/>
            <w:rtl/>
          </w:rPr>
          <w:t>ת"פ 20301-01-20</w:t>
        </w:r>
      </w:hyperlink>
      <w:r>
        <w:rPr>
          <w:rFonts w:ascii="David" w:hAnsi="David" w:hint="cs"/>
          <w:color w:val="000000"/>
          <w:rtl/>
        </w:rPr>
        <w:t xml:space="preserve"> מדינת ישראל נ' ברג </w:t>
      </w:r>
      <w:r>
        <w:rPr>
          <w:rFonts w:ascii="David" w:hAnsi="David"/>
          <w:color w:val="000000"/>
          <w:rtl/>
        </w:rPr>
        <w:t>–</w:t>
      </w:r>
      <w:r>
        <w:rPr>
          <w:rFonts w:ascii="David" w:hAnsi="David" w:hint="cs"/>
          <w:color w:val="000000"/>
          <w:rtl/>
        </w:rPr>
        <w:t xml:space="preserve"> מדובר בנאשם שגידל 171 שתילים מסוג קנבוס במשקל כולל של 15.644  בהמשך הפריע הנאשם לשוטרים. בית המשפט הנכבד קבע מתחם ענישה שנע בין עונש של 4  חודשי מאסר לבין עונש של 18 חודשי מאסר. גם בעניינו של נאשם זה  המליץ שירות המבחן על ענישה שיקומית. </w:t>
      </w:r>
    </w:p>
    <w:p w14:paraId="09DF713A" w14:textId="77777777" w:rsidR="00AD633B" w:rsidRDefault="00AD633B" w:rsidP="00AD633B">
      <w:pPr>
        <w:pStyle w:val="aa"/>
        <w:spacing w:after="120" w:line="360" w:lineRule="auto"/>
        <w:jc w:val="both"/>
        <w:rPr>
          <w:rFonts w:ascii="David" w:hAnsi="David"/>
          <w:color w:val="000000"/>
          <w:rtl/>
        </w:rPr>
      </w:pPr>
    </w:p>
    <w:p w14:paraId="5C077B36" w14:textId="77777777" w:rsidR="00AD633B" w:rsidRDefault="00AD633B" w:rsidP="00AD633B">
      <w:pPr>
        <w:pStyle w:val="aa"/>
        <w:spacing w:after="120" w:line="360" w:lineRule="auto"/>
        <w:jc w:val="both"/>
        <w:rPr>
          <w:rFonts w:ascii="David" w:hAnsi="David"/>
          <w:color w:val="000000"/>
          <w:rtl/>
        </w:rPr>
      </w:pPr>
      <w:r>
        <w:rPr>
          <w:rFonts w:ascii="David" w:hAnsi="David" w:hint="cs"/>
          <w:color w:val="000000"/>
          <w:rtl/>
        </w:rPr>
        <w:t xml:space="preserve">בענייננו במכלול הנסיבות הנאשם לא שולב בהליך טיפולי ועמדת שירות המבחן לא היתה לענישה שיקומית. </w:t>
      </w:r>
    </w:p>
    <w:p w14:paraId="260EA8DA" w14:textId="77777777" w:rsidR="00AD633B" w:rsidRDefault="00AD633B" w:rsidP="00AD633B">
      <w:pPr>
        <w:pStyle w:val="aa"/>
        <w:spacing w:after="120" w:line="360" w:lineRule="auto"/>
        <w:jc w:val="both"/>
        <w:rPr>
          <w:rFonts w:ascii="David" w:hAnsi="David"/>
          <w:color w:val="000000"/>
          <w:rtl/>
        </w:rPr>
      </w:pPr>
    </w:p>
    <w:p w14:paraId="1B706BB2" w14:textId="77777777" w:rsidR="00AD633B" w:rsidRDefault="00AD633B" w:rsidP="00AD633B">
      <w:pPr>
        <w:pStyle w:val="aa"/>
        <w:numPr>
          <w:ilvl w:val="0"/>
          <w:numId w:val="5"/>
        </w:numPr>
        <w:tabs>
          <w:tab w:val="num" w:pos="720"/>
        </w:tabs>
        <w:spacing w:after="120" w:line="360" w:lineRule="auto"/>
        <w:jc w:val="both"/>
        <w:rPr>
          <w:rFonts w:ascii="David" w:hAnsi="David"/>
          <w:color w:val="000000"/>
        </w:rPr>
      </w:pPr>
      <w:r w:rsidRPr="008E6F31">
        <w:rPr>
          <w:rFonts w:ascii="David" w:hAnsi="David"/>
          <w:color w:val="000000"/>
          <w:rtl/>
        </w:rPr>
        <w:t>בחינת מדיניות הענישה הנוהגת מעלה כי במקרים דומים בהם הורשעו נאשמים בעבירה של גידול סמים הוטלו על נאשמים עונשים במנעד רחב כמפורט להלן (אציין כי בענייננו הנסיבות חמורות יותר הן מבחינת משקל הסמים וכן מבחינת מספר השתילים):</w:t>
      </w:r>
    </w:p>
    <w:p w14:paraId="42E03D7E" w14:textId="77777777" w:rsidR="00AD633B" w:rsidRPr="008E6F31" w:rsidRDefault="00AD633B" w:rsidP="00AD633B">
      <w:pPr>
        <w:pStyle w:val="aa"/>
        <w:spacing w:after="120" w:line="360" w:lineRule="auto"/>
        <w:jc w:val="both"/>
        <w:rPr>
          <w:rFonts w:ascii="David" w:hAnsi="David"/>
          <w:color w:val="000000"/>
          <w:rtl/>
        </w:rPr>
      </w:pPr>
    </w:p>
    <w:p w14:paraId="2FA3DC99" w14:textId="77777777" w:rsidR="00AD633B" w:rsidRDefault="00D33DDD" w:rsidP="00AD633B">
      <w:pPr>
        <w:spacing w:line="360" w:lineRule="auto"/>
        <w:ind w:left="1616"/>
        <w:jc w:val="both"/>
        <w:rPr>
          <w:rtl/>
        </w:rPr>
      </w:pPr>
      <w:hyperlink r:id="rId41" w:history="1">
        <w:r w:rsidRPr="00D33DDD">
          <w:rPr>
            <w:color w:val="0000FF"/>
            <w:u w:val="single"/>
            <w:rtl/>
          </w:rPr>
          <w:t>רע"פ 1787/15</w:t>
        </w:r>
      </w:hyperlink>
      <w:r w:rsidR="00AD633B">
        <w:rPr>
          <w:rtl/>
        </w:rPr>
        <w:t xml:space="preserve"> </w:t>
      </w:r>
      <w:r w:rsidR="00AD633B">
        <w:rPr>
          <w:b/>
          <w:bCs/>
          <w:rtl/>
        </w:rPr>
        <w:t>אדי עמר נ' מדינת ישראל</w:t>
      </w:r>
      <w:r w:rsidR="00AD633B">
        <w:rPr>
          <w:rtl/>
        </w:rPr>
        <w:t xml:space="preserve"> (24.3.15) בית המשפט השלום גזר עונש של 8 חודשי מאסר לנאשם אשר הורשע בעבירות גידול, הכנה וייצור סמים, החזקה ושימוש בסמים שלא לצריכה עצמית והחזקת כלים להכנת סם שלא לצריכה עצמית במשקל של 4,380 ק"ג נטו וכן 9 שתילים. ערעורו של המבקש לבית המשפט המחוזי ובקשת הערעור לבית המשפט העליון נדחו. </w:t>
      </w:r>
    </w:p>
    <w:p w14:paraId="3C529A8C" w14:textId="77777777" w:rsidR="00AD633B" w:rsidRDefault="00AD633B" w:rsidP="00AD633B">
      <w:pPr>
        <w:spacing w:line="360" w:lineRule="auto"/>
        <w:ind w:left="1616"/>
        <w:jc w:val="both"/>
      </w:pPr>
      <w:r>
        <w:rPr>
          <w:rtl/>
        </w:rPr>
        <w:t xml:space="preserve"> </w:t>
      </w:r>
    </w:p>
    <w:p w14:paraId="47FFB2D8" w14:textId="77777777" w:rsidR="00AD633B" w:rsidRPr="00C62F9D" w:rsidRDefault="00AD633B" w:rsidP="00AD633B">
      <w:pPr>
        <w:spacing w:line="360" w:lineRule="auto"/>
        <w:ind w:left="1616"/>
        <w:jc w:val="both"/>
      </w:pPr>
      <w:r w:rsidRPr="00C62F9D">
        <w:rPr>
          <w:rtl/>
        </w:rPr>
        <w:t>ב</w:t>
      </w:r>
      <w:hyperlink r:id="rId42" w:history="1">
        <w:r w:rsidR="00D33DDD" w:rsidRPr="00D33DDD">
          <w:rPr>
            <w:color w:val="0000FF"/>
            <w:u w:val="single"/>
            <w:rtl/>
          </w:rPr>
          <w:t>רע"פ 6987/13</w:t>
        </w:r>
      </w:hyperlink>
      <w:r w:rsidRPr="00C62F9D">
        <w:rPr>
          <w:rtl/>
        </w:rPr>
        <w:t xml:space="preserve"> </w:t>
      </w:r>
      <w:r w:rsidRPr="00C62F9D">
        <w:rPr>
          <w:rFonts w:hint="cs"/>
          <w:b/>
          <w:bCs/>
          <w:rtl/>
        </w:rPr>
        <w:t xml:space="preserve">אברמוב נ' מדינת ישראל </w:t>
      </w:r>
      <w:r w:rsidRPr="00C62F9D">
        <w:rPr>
          <w:rFonts w:hint="cs"/>
          <w:rtl/>
        </w:rPr>
        <w:t xml:space="preserve">(21.10.13) דחה בית-המשפט העליון בקשת רשות ערעור של נאשם, אשר הורשע לפי הודאתו בעבירות של גידול סמים ובעבירות נלוות, לאחר שגידל בדירה שתילי קנבוס במשקל (נטו) של כעשרה ק"ג, ונדון לעונש של 12 חודשי מאסר בפועל, קנס בסך 7,500 ₪ ועונשים נוספים (ר' גם </w:t>
      </w:r>
      <w:hyperlink r:id="rId43" w:history="1">
        <w:r w:rsidR="00D33DDD" w:rsidRPr="00D33DDD">
          <w:rPr>
            <w:color w:val="0000FF"/>
            <w:u w:val="single"/>
            <w:rtl/>
          </w:rPr>
          <w:t>עפ"ג (מח' מרכז-לוד) 40734-05-13</w:t>
        </w:r>
      </w:hyperlink>
      <w:r w:rsidRPr="00C62F9D">
        <w:rPr>
          <w:rtl/>
        </w:rPr>
        <w:t xml:space="preserve"> </w:t>
      </w:r>
      <w:r w:rsidRPr="00C62F9D">
        <w:rPr>
          <w:rFonts w:hint="cs"/>
          <w:b/>
          <w:bCs/>
          <w:rtl/>
        </w:rPr>
        <w:t xml:space="preserve">אברמוב נ' מדינת ישראל </w:t>
      </w:r>
      <w:r w:rsidRPr="00C62F9D">
        <w:rPr>
          <w:rFonts w:hint="cs"/>
          <w:rtl/>
        </w:rPr>
        <w:t xml:space="preserve">(3.9.13) וכן </w:t>
      </w:r>
      <w:hyperlink r:id="rId44" w:history="1">
        <w:r w:rsidR="00D33DDD" w:rsidRPr="00D33DDD">
          <w:rPr>
            <w:color w:val="0000FF"/>
            <w:u w:val="single"/>
            <w:rtl/>
          </w:rPr>
          <w:t>ת"פ (נת') 388-12</w:t>
        </w:r>
      </w:hyperlink>
      <w:r w:rsidRPr="00C62F9D">
        <w:rPr>
          <w:rtl/>
        </w:rPr>
        <w:t xml:space="preserve"> </w:t>
      </w:r>
      <w:r w:rsidRPr="00C62F9D">
        <w:rPr>
          <w:rFonts w:hint="cs"/>
          <w:b/>
          <w:bCs/>
          <w:rtl/>
        </w:rPr>
        <w:t>מדינת ישראל נ' אברמוב</w:t>
      </w:r>
      <w:r w:rsidRPr="00C62F9D">
        <w:rPr>
          <w:rFonts w:hint="cs"/>
          <w:rtl/>
        </w:rPr>
        <w:t xml:space="preserve"> (1.5.13)). </w:t>
      </w:r>
    </w:p>
    <w:p w14:paraId="377CD4F9" w14:textId="77777777" w:rsidR="00AD633B" w:rsidRPr="00C62F9D" w:rsidRDefault="00AD633B" w:rsidP="00AD633B">
      <w:pPr>
        <w:spacing w:line="360" w:lineRule="auto"/>
        <w:ind w:left="1616"/>
        <w:jc w:val="both"/>
      </w:pPr>
    </w:p>
    <w:p w14:paraId="4B031964" w14:textId="77777777" w:rsidR="00AD633B" w:rsidRDefault="00AD633B" w:rsidP="00AD633B">
      <w:pPr>
        <w:spacing w:after="120" w:line="360" w:lineRule="auto"/>
        <w:ind w:left="1620"/>
        <w:jc w:val="both"/>
        <w:rPr>
          <w:sz w:val="26"/>
        </w:rPr>
      </w:pPr>
      <w:r w:rsidRPr="00C62F9D">
        <w:rPr>
          <w:sz w:val="26"/>
          <w:rtl/>
        </w:rPr>
        <w:t>ב</w:t>
      </w:r>
      <w:hyperlink r:id="rId45" w:history="1">
        <w:r w:rsidR="00D33DDD" w:rsidRPr="00D33DDD">
          <w:rPr>
            <w:color w:val="0000FF"/>
            <w:sz w:val="26"/>
            <w:u w:val="single"/>
            <w:rtl/>
          </w:rPr>
          <w:t>רע"פ 7675/13</w:t>
        </w:r>
      </w:hyperlink>
      <w:r w:rsidRPr="00C62F9D">
        <w:rPr>
          <w:sz w:val="26"/>
          <w:rtl/>
        </w:rPr>
        <w:t xml:space="preserve"> </w:t>
      </w:r>
      <w:r w:rsidRPr="00C62F9D">
        <w:rPr>
          <w:rFonts w:hint="cs"/>
          <w:b/>
          <w:bCs/>
          <w:sz w:val="26"/>
          <w:rtl/>
        </w:rPr>
        <w:t xml:space="preserve">סעפין נ' מדינת ישראל </w:t>
      </w:r>
      <w:r w:rsidRPr="00C62F9D">
        <w:rPr>
          <w:rFonts w:hint="cs"/>
          <w:sz w:val="26"/>
          <w:rtl/>
        </w:rPr>
        <w:t>(26.1.14) דחה בית-המשפט העליון בקשת רשות ערעור של נאשם</w:t>
      </w:r>
      <w:r>
        <w:rPr>
          <w:rFonts w:hint="cs"/>
          <w:sz w:val="26"/>
          <w:rtl/>
        </w:rPr>
        <w:t xml:space="preserve">, אשר הורשע בעבירות של ייצור, הכנה והפקה של סמים (גידול), החזקה שלא לצריכה עצמית, והחזקה לצריכה עצמית, ונדון ל- 11 חודשי מאסר בפועל, וקנס בסך 8,500 ₪. לנאשם היה רישיון להחזקת סם מסוכן עד 120 גרם. החזיק בסם במשקל של 307 גרם, וגידל שיח קנביס במשקל של 11.3 גרם. נקבע מתחם שבין 8 ל- 24 חודשים. </w:t>
      </w:r>
    </w:p>
    <w:p w14:paraId="50F1EF5D" w14:textId="77777777" w:rsidR="00AD633B" w:rsidRDefault="00AD633B" w:rsidP="00AD633B">
      <w:pPr>
        <w:pStyle w:val="a"/>
        <w:numPr>
          <w:ilvl w:val="0"/>
          <w:numId w:val="0"/>
        </w:numPr>
        <w:tabs>
          <w:tab w:val="left" w:pos="720"/>
        </w:tabs>
        <w:ind w:left="720" w:firstLine="720"/>
        <w:jc w:val="both"/>
        <w:rPr>
          <w:rFonts w:ascii="Arial" w:hAnsi="Arial"/>
          <w:color w:val="auto"/>
        </w:rPr>
      </w:pPr>
    </w:p>
    <w:p w14:paraId="6C789B0C" w14:textId="77777777" w:rsidR="00AD633B" w:rsidRDefault="00AD633B" w:rsidP="00AD633B">
      <w:pPr>
        <w:pStyle w:val="a"/>
        <w:numPr>
          <w:ilvl w:val="0"/>
          <w:numId w:val="0"/>
        </w:numPr>
        <w:tabs>
          <w:tab w:val="left" w:pos="720"/>
        </w:tabs>
        <w:ind w:left="1616"/>
        <w:jc w:val="both"/>
        <w:rPr>
          <w:rFonts w:ascii="Arial" w:hAnsi="Arial"/>
          <w:color w:val="auto"/>
          <w:rtl/>
        </w:rPr>
      </w:pPr>
      <w:r>
        <w:rPr>
          <w:rFonts w:ascii="Arial" w:hAnsi="Arial" w:hint="cs"/>
          <w:color w:val="auto"/>
          <w:rtl/>
        </w:rPr>
        <w:t>ב</w:t>
      </w:r>
      <w:hyperlink r:id="rId46" w:history="1">
        <w:r w:rsidR="00D33DDD" w:rsidRPr="00D33DDD">
          <w:rPr>
            <w:rFonts w:ascii="Arial" w:hAnsi="Arial"/>
            <w:color w:val="0000FF"/>
            <w:u w:val="single"/>
            <w:rtl/>
          </w:rPr>
          <w:t>ת"פ (ת"א) 27605-04-11</w:t>
        </w:r>
      </w:hyperlink>
      <w:r>
        <w:rPr>
          <w:rFonts w:ascii="Arial" w:hAnsi="Arial" w:hint="cs"/>
          <w:color w:val="auto"/>
          <w:rtl/>
        </w:rPr>
        <w:t xml:space="preserve"> </w:t>
      </w:r>
      <w:r>
        <w:rPr>
          <w:rFonts w:ascii="Arial" w:hAnsi="Arial" w:hint="cs"/>
          <w:b/>
          <w:bCs/>
          <w:color w:val="auto"/>
          <w:rtl/>
        </w:rPr>
        <w:t>מדינת ישראל נ' סבג</w:t>
      </w:r>
      <w:r>
        <w:rPr>
          <w:rFonts w:ascii="Arial" w:hAnsi="Arial" w:hint="cs"/>
          <w:color w:val="auto"/>
          <w:rtl/>
        </w:rPr>
        <w:t xml:space="preserve"> (13.2.14) הורשע נאשם בגידול במעבדה של סם מסוג קנבוס במשקל של 3.6 ק"ג, וכן בהחזקה של 462 גרם סם מסוג קנבוס, ונדון ל- 6 חודשי מאסר בפועל לריצוי מאחורי סורג ובריח (ערעור נדחה). </w:t>
      </w:r>
    </w:p>
    <w:p w14:paraId="69E11A83" w14:textId="77777777" w:rsidR="00AD633B" w:rsidRDefault="00AD633B" w:rsidP="00AD633B">
      <w:pPr>
        <w:spacing w:after="120" w:line="360" w:lineRule="auto"/>
        <w:ind w:left="1620"/>
        <w:jc w:val="both"/>
        <w:rPr>
          <w:sz w:val="26"/>
        </w:rPr>
      </w:pPr>
    </w:p>
    <w:p w14:paraId="7BC2F6DE" w14:textId="77777777" w:rsidR="00AD633B" w:rsidRDefault="00AD633B" w:rsidP="00AD633B">
      <w:pPr>
        <w:spacing w:line="360" w:lineRule="auto"/>
        <w:ind w:left="1616"/>
        <w:jc w:val="both"/>
      </w:pPr>
      <w:r w:rsidRPr="00C62F9D">
        <w:rPr>
          <w:rtl/>
        </w:rPr>
        <w:t>ב</w:t>
      </w:r>
      <w:hyperlink r:id="rId47" w:history="1">
        <w:r w:rsidR="00D33DDD" w:rsidRPr="00D33DDD">
          <w:rPr>
            <w:color w:val="0000FF"/>
            <w:u w:val="single"/>
            <w:rtl/>
          </w:rPr>
          <w:t>ת"פ (מח' מרכז) 2456-07-10</w:t>
        </w:r>
      </w:hyperlink>
      <w:r w:rsidRPr="00C62F9D">
        <w:rPr>
          <w:rtl/>
        </w:rPr>
        <w:t xml:space="preserve"> </w:t>
      </w:r>
      <w:r w:rsidRPr="00C62F9D">
        <w:rPr>
          <w:rFonts w:hint="cs"/>
          <w:b/>
          <w:bCs/>
          <w:rtl/>
        </w:rPr>
        <w:t>מדינת ישראל נ' תבל</w:t>
      </w:r>
      <w:r w:rsidRPr="00C62F9D">
        <w:rPr>
          <w:rFonts w:hint="cs"/>
          <w:rtl/>
        </w:rPr>
        <w:t xml:space="preserve"> (8.5.11) הורשע נאשם על-פי הודאתו בעבירות של ייצור, הכנה והפקת סמים מסוכנים ועבירות נוספות. כתב </w:t>
      </w:r>
      <w:r>
        <w:rPr>
          <w:rFonts w:hint="cs"/>
          <w:rtl/>
        </w:rPr>
        <w:t xml:space="preserve">האישום הוגש נגד ארבעה נאשמים, כאשר גזר הדין מתייחס לנאשם 3 בלבד. ברשות הנאשם נמצא סם מסוג קנבוס בכמות העולה על 8.9 ק"ג. נידון ל- 8 חודשי מאסר בפועל, קנס בסך 10,000 ₪ ועונשים נוספים. </w:t>
      </w:r>
    </w:p>
    <w:p w14:paraId="01859658" w14:textId="77777777" w:rsidR="00AD633B" w:rsidRDefault="00AD633B" w:rsidP="00AD633B">
      <w:pPr>
        <w:spacing w:line="360" w:lineRule="auto"/>
        <w:ind w:left="1616"/>
        <w:jc w:val="both"/>
      </w:pPr>
    </w:p>
    <w:p w14:paraId="7CE54C76" w14:textId="77777777" w:rsidR="00AD633B" w:rsidRPr="00C62F9D" w:rsidRDefault="00AD633B" w:rsidP="00AD633B">
      <w:pPr>
        <w:spacing w:after="120" w:line="360" w:lineRule="auto"/>
        <w:ind w:left="1620"/>
        <w:jc w:val="both"/>
      </w:pPr>
      <w:r w:rsidRPr="00C62F9D">
        <w:rPr>
          <w:sz w:val="26"/>
          <w:rtl/>
        </w:rPr>
        <w:t>ב</w:t>
      </w:r>
      <w:hyperlink r:id="rId48" w:history="1">
        <w:r w:rsidR="00D33DDD" w:rsidRPr="00D33DDD">
          <w:rPr>
            <w:color w:val="0000FF"/>
            <w:sz w:val="26"/>
            <w:u w:val="single"/>
            <w:rtl/>
          </w:rPr>
          <w:t>רע"פ 7005/14</w:t>
        </w:r>
      </w:hyperlink>
      <w:r w:rsidRPr="00C62F9D">
        <w:rPr>
          <w:sz w:val="26"/>
          <w:rtl/>
        </w:rPr>
        <w:t xml:space="preserve"> </w:t>
      </w:r>
      <w:r w:rsidRPr="00C62F9D">
        <w:rPr>
          <w:rFonts w:hint="cs"/>
          <w:b/>
          <w:bCs/>
          <w:sz w:val="26"/>
          <w:rtl/>
        </w:rPr>
        <w:t xml:space="preserve">דגן נ' מדינת ישראל </w:t>
      </w:r>
      <w:r w:rsidRPr="00C62F9D">
        <w:rPr>
          <w:rFonts w:hint="cs"/>
          <w:sz w:val="26"/>
          <w:rtl/>
        </w:rPr>
        <w:t xml:space="preserve">(30.11.14) דחה בית-המשפט העליון בקשת רשות ערעור של נאשם אשר הורשע בעבירת גידול סמים ונדון ל- 10 חודשי מאסר בפועל. הנאשם גידל סם מסוג קנבוס במשקל של 2,721 גרם. </w:t>
      </w:r>
    </w:p>
    <w:p w14:paraId="03B3484D" w14:textId="77777777" w:rsidR="00AD633B" w:rsidRPr="00C62F9D" w:rsidRDefault="00AD633B" w:rsidP="00AD633B">
      <w:pPr>
        <w:spacing w:after="120" w:line="360" w:lineRule="auto"/>
        <w:ind w:left="1620"/>
        <w:jc w:val="both"/>
      </w:pPr>
    </w:p>
    <w:p w14:paraId="0FE9738A" w14:textId="77777777" w:rsidR="00AD633B" w:rsidRPr="00C62F9D" w:rsidRDefault="00D33DDD" w:rsidP="00AD633B">
      <w:pPr>
        <w:spacing w:after="120" w:line="360" w:lineRule="auto"/>
        <w:ind w:left="1620"/>
        <w:jc w:val="both"/>
      </w:pPr>
      <w:hyperlink r:id="rId49" w:history="1">
        <w:r w:rsidRPr="00D33DDD">
          <w:rPr>
            <w:color w:val="0000FF"/>
            <w:u w:val="single"/>
            <w:rtl/>
          </w:rPr>
          <w:t>רע"פ 7819/15</w:t>
        </w:r>
      </w:hyperlink>
      <w:r w:rsidR="00AD633B" w:rsidRPr="00C62F9D">
        <w:rPr>
          <w:rtl/>
        </w:rPr>
        <w:t xml:space="preserve"> </w:t>
      </w:r>
      <w:r w:rsidR="00AD633B" w:rsidRPr="00C62F9D">
        <w:rPr>
          <w:b/>
          <w:bCs/>
          <w:rtl/>
        </w:rPr>
        <w:t>עופר סלור נ' מדינת ישראל</w:t>
      </w:r>
      <w:r w:rsidR="00AD633B" w:rsidRPr="00C62F9D">
        <w:rPr>
          <w:rtl/>
        </w:rPr>
        <w:t xml:space="preserve"> (22.5.16) בית המשפט המשפט השלום גזר עונש של 9 חודשי מאסר בפועל לנאשם שהודה בשתי עבירות של גידול, ייצור והכנת סמים מסוכנים והחזקת סמים שלא לצריכה עצמית בכך שגידל במעבדה שהקים בדירתו 45 שתילים של סם מסוכן במשקל של 7,440 גרם נטו. ערעורו לבית המשפט המחוזי וכן בקשת רשות ערעור שהגיש נדחו. </w:t>
      </w:r>
    </w:p>
    <w:p w14:paraId="0A022624" w14:textId="77777777" w:rsidR="00AD633B" w:rsidRPr="00C62F9D" w:rsidRDefault="00AD633B" w:rsidP="00AD633B">
      <w:pPr>
        <w:spacing w:after="120" w:line="360" w:lineRule="auto"/>
        <w:ind w:left="1620"/>
        <w:jc w:val="both"/>
      </w:pPr>
    </w:p>
    <w:p w14:paraId="0F7DDE9D" w14:textId="77777777" w:rsidR="00AD633B" w:rsidRDefault="00D33DDD" w:rsidP="00AD633B">
      <w:pPr>
        <w:spacing w:after="120" w:line="360" w:lineRule="auto"/>
        <w:ind w:left="1620"/>
        <w:jc w:val="both"/>
      </w:pPr>
      <w:hyperlink r:id="rId50" w:history="1">
        <w:r w:rsidRPr="00D33DDD">
          <w:rPr>
            <w:color w:val="0000FF"/>
            <w:u w:val="single"/>
            <w:rtl/>
          </w:rPr>
          <w:t>עפ"ג 42358-10-14</w:t>
        </w:r>
      </w:hyperlink>
      <w:r w:rsidR="00AD633B" w:rsidRPr="00C62F9D">
        <w:rPr>
          <w:rtl/>
        </w:rPr>
        <w:t xml:space="preserve"> </w:t>
      </w:r>
      <w:r w:rsidR="00AD633B" w:rsidRPr="00C62F9D">
        <w:rPr>
          <w:rFonts w:hint="cs"/>
          <w:b/>
          <w:bCs/>
          <w:rtl/>
        </w:rPr>
        <w:t>גיא נ' מדינת ישראל</w:t>
      </w:r>
      <w:r w:rsidR="00AD633B" w:rsidRPr="00C62F9D">
        <w:rPr>
          <w:rFonts w:hint="cs"/>
          <w:rtl/>
        </w:rPr>
        <w:t xml:space="preserve"> </w:t>
      </w:r>
      <w:r w:rsidR="00AD633B" w:rsidRPr="00C62F9D">
        <w:rPr>
          <w:sz w:val="22"/>
          <w:rtl/>
        </w:rPr>
        <w:t xml:space="preserve">[פורסם בנבו] </w:t>
      </w:r>
      <w:r w:rsidR="00AD633B" w:rsidRPr="00C62F9D">
        <w:rPr>
          <w:rtl/>
        </w:rPr>
        <w:t xml:space="preserve">(18.2.15), בו נדחה ערעור נאשם על חומרת עונשו – 8 חודשי מאסר והפעלת מאסר מותנה – בגין עבירה של גידול סם מסוג קנבוס במשקל 5.5 ק"ג והחזקת כלים לגידול הסם. יצוין כי בית המשפט המחוזי קבע שמתחם </w:t>
      </w:r>
      <w:r w:rsidR="00AD633B">
        <w:rPr>
          <w:rtl/>
        </w:rPr>
        <w:t xml:space="preserve">העונש שנקבע   (7-20 חודשי מאסר) הוא ראוי. </w:t>
      </w:r>
    </w:p>
    <w:p w14:paraId="6AD1F4F7" w14:textId="77777777" w:rsidR="00AD633B" w:rsidRDefault="00AD633B" w:rsidP="00AD633B">
      <w:pPr>
        <w:spacing w:after="120" w:line="360" w:lineRule="auto"/>
        <w:ind w:left="1620"/>
        <w:jc w:val="both"/>
      </w:pPr>
    </w:p>
    <w:p w14:paraId="13AF8FF5" w14:textId="77777777" w:rsidR="00AD633B" w:rsidRPr="00C62F9D" w:rsidRDefault="00AD633B" w:rsidP="00AD633B">
      <w:pPr>
        <w:spacing w:after="120" w:line="360" w:lineRule="auto"/>
        <w:ind w:left="1620"/>
        <w:jc w:val="both"/>
        <w:rPr>
          <w:sz w:val="26"/>
        </w:rPr>
      </w:pPr>
      <w:r w:rsidRPr="00C62F9D">
        <w:rPr>
          <w:sz w:val="26"/>
          <w:rtl/>
        </w:rPr>
        <w:t>ב</w:t>
      </w:r>
      <w:hyperlink r:id="rId51" w:history="1">
        <w:r w:rsidR="00D33DDD" w:rsidRPr="00D33DDD">
          <w:rPr>
            <w:color w:val="0000FF"/>
            <w:sz w:val="26"/>
            <w:u w:val="single"/>
            <w:rtl/>
          </w:rPr>
          <w:t>ת"פ (ק"ג) 62268-10-13</w:t>
        </w:r>
      </w:hyperlink>
      <w:r w:rsidRPr="00C62F9D">
        <w:rPr>
          <w:sz w:val="26"/>
          <w:rtl/>
        </w:rPr>
        <w:t xml:space="preserve"> </w:t>
      </w:r>
      <w:r w:rsidRPr="00C62F9D">
        <w:rPr>
          <w:rFonts w:hint="cs"/>
          <w:b/>
          <w:bCs/>
          <w:sz w:val="26"/>
          <w:rtl/>
        </w:rPr>
        <w:t xml:space="preserve">מדינת ישראל נ' אליהו </w:t>
      </w:r>
      <w:r w:rsidRPr="00C62F9D">
        <w:rPr>
          <w:rFonts w:hint="cs"/>
          <w:sz w:val="26"/>
          <w:rtl/>
        </w:rPr>
        <w:t xml:space="preserve">(30.11.14) הורשע נאשם בגידול במעבדה של סם מסוג קנבוס במשקל 10.9 ק"ג, ונדון ל- 10 חודשי מאסר בפועל, לצד קנס בסך 5,000 ₪. </w:t>
      </w:r>
    </w:p>
    <w:p w14:paraId="513276F4" w14:textId="77777777" w:rsidR="00AD633B" w:rsidRPr="00C62F9D" w:rsidRDefault="00AD633B" w:rsidP="00AD633B">
      <w:pPr>
        <w:spacing w:after="120" w:line="360" w:lineRule="auto"/>
        <w:ind w:left="1620"/>
        <w:jc w:val="both"/>
        <w:rPr>
          <w:sz w:val="26"/>
          <w:rtl/>
        </w:rPr>
      </w:pPr>
    </w:p>
    <w:p w14:paraId="180A5D63" w14:textId="77777777" w:rsidR="00AD633B" w:rsidRPr="00C62F9D" w:rsidRDefault="00AD633B" w:rsidP="00AD633B">
      <w:pPr>
        <w:spacing w:after="120" w:line="360" w:lineRule="auto"/>
        <w:ind w:left="1620"/>
        <w:jc w:val="both"/>
        <w:rPr>
          <w:sz w:val="26"/>
        </w:rPr>
      </w:pPr>
      <w:r w:rsidRPr="00C62F9D">
        <w:rPr>
          <w:sz w:val="26"/>
          <w:rtl/>
        </w:rPr>
        <w:t>ב</w:t>
      </w:r>
      <w:hyperlink r:id="rId52" w:history="1">
        <w:r w:rsidR="00D33DDD" w:rsidRPr="00D33DDD">
          <w:rPr>
            <w:color w:val="0000FF"/>
            <w:sz w:val="26"/>
            <w:u w:val="single"/>
            <w:rtl/>
          </w:rPr>
          <w:t>עפ"ג (מח' ת"א) 17155-07-10</w:t>
        </w:r>
      </w:hyperlink>
      <w:r w:rsidRPr="00C62F9D">
        <w:rPr>
          <w:sz w:val="26"/>
          <w:rtl/>
        </w:rPr>
        <w:t xml:space="preserve"> </w:t>
      </w:r>
      <w:r w:rsidRPr="00C62F9D">
        <w:rPr>
          <w:rFonts w:hint="cs"/>
          <w:b/>
          <w:bCs/>
          <w:sz w:val="26"/>
          <w:rtl/>
        </w:rPr>
        <w:t xml:space="preserve">מדינת ישראל נ' נסים </w:t>
      </w:r>
      <w:r w:rsidRPr="00C62F9D">
        <w:rPr>
          <w:rFonts w:hint="cs"/>
          <w:sz w:val="26"/>
          <w:rtl/>
        </w:rPr>
        <w:t xml:space="preserve">(1.11.10) התקבל ערעור המדינה על עונשו של נאשם שהורשע בגידול של שתילי קנבוס במשקל של למעלה מ- 11 ק"ג. עונשו של נאשם 1 הועמד על 9 חודשי מאסר במקום 6 חודשים.  </w:t>
      </w:r>
    </w:p>
    <w:p w14:paraId="60AD6446" w14:textId="77777777" w:rsidR="00AD633B" w:rsidRPr="00C62F9D" w:rsidRDefault="00AD633B" w:rsidP="00AD633B">
      <w:pPr>
        <w:spacing w:after="120" w:line="360" w:lineRule="auto"/>
        <w:ind w:left="1620"/>
        <w:jc w:val="both"/>
      </w:pPr>
    </w:p>
    <w:p w14:paraId="76ECABF1" w14:textId="77777777" w:rsidR="00AD633B" w:rsidRPr="00C62F9D" w:rsidRDefault="00AD633B" w:rsidP="00AD633B">
      <w:pPr>
        <w:spacing w:after="120" w:line="360" w:lineRule="auto"/>
        <w:ind w:left="1620"/>
        <w:jc w:val="both"/>
        <w:rPr>
          <w:sz w:val="26"/>
          <w:rtl/>
        </w:rPr>
      </w:pPr>
      <w:r w:rsidRPr="00C62F9D">
        <w:rPr>
          <w:rtl/>
        </w:rPr>
        <w:t>ב</w:t>
      </w:r>
      <w:hyperlink r:id="rId53" w:history="1">
        <w:r w:rsidR="00D33DDD" w:rsidRPr="00D33DDD">
          <w:rPr>
            <w:color w:val="0000FF"/>
            <w:sz w:val="26"/>
            <w:u w:val="single"/>
            <w:rtl/>
          </w:rPr>
          <w:t>ת"פ (ק"ג) 62268-10-13</w:t>
        </w:r>
      </w:hyperlink>
      <w:r w:rsidRPr="00C62F9D">
        <w:rPr>
          <w:sz w:val="26"/>
          <w:rtl/>
        </w:rPr>
        <w:t xml:space="preserve"> </w:t>
      </w:r>
      <w:r w:rsidRPr="00C62F9D">
        <w:rPr>
          <w:rFonts w:hint="cs"/>
          <w:b/>
          <w:bCs/>
          <w:sz w:val="26"/>
          <w:rtl/>
        </w:rPr>
        <w:t xml:space="preserve">מדינת ישראל נ' אליהו </w:t>
      </w:r>
      <w:r w:rsidRPr="00C62F9D">
        <w:rPr>
          <w:rFonts w:hint="cs"/>
          <w:sz w:val="26"/>
          <w:rtl/>
        </w:rPr>
        <w:t xml:space="preserve">(30.11.14) הורשע נאשם בגידול במעבדה של סם מסוג קנבוס במשקל 10.9 ק"ג, ונדון ל- 10 חודשי מאסר בפועל, לצד קנס בסך 5,000 ₪. </w:t>
      </w:r>
    </w:p>
    <w:p w14:paraId="708D2692" w14:textId="77777777" w:rsidR="00AD633B" w:rsidRDefault="00AD633B" w:rsidP="00AD633B">
      <w:pPr>
        <w:spacing w:after="120" w:line="360" w:lineRule="auto"/>
        <w:ind w:left="1620"/>
        <w:jc w:val="both"/>
        <w:rPr>
          <w:sz w:val="26"/>
        </w:rPr>
      </w:pPr>
      <w:r w:rsidRPr="00C62F9D">
        <w:rPr>
          <w:sz w:val="26"/>
          <w:rtl/>
        </w:rPr>
        <w:t>ב</w:t>
      </w:r>
      <w:hyperlink r:id="rId54" w:history="1">
        <w:r w:rsidR="00D33DDD" w:rsidRPr="00D33DDD">
          <w:rPr>
            <w:color w:val="0000FF"/>
            <w:sz w:val="26"/>
            <w:u w:val="single"/>
            <w:rtl/>
          </w:rPr>
          <w:t>ת"פ (קריות) 641-08-17</w:t>
        </w:r>
      </w:hyperlink>
      <w:r w:rsidRPr="00C62F9D">
        <w:rPr>
          <w:sz w:val="26"/>
          <w:rtl/>
        </w:rPr>
        <w:t xml:space="preserve"> </w:t>
      </w:r>
      <w:r w:rsidRPr="00C62F9D">
        <w:rPr>
          <w:b/>
          <w:bCs/>
          <w:sz w:val="26"/>
          <w:rtl/>
        </w:rPr>
        <w:t xml:space="preserve">מדינת </w:t>
      </w:r>
      <w:r>
        <w:rPr>
          <w:b/>
          <w:bCs/>
          <w:sz w:val="26"/>
          <w:rtl/>
        </w:rPr>
        <w:t>ישראל נ' פיריינר</w:t>
      </w:r>
      <w:r>
        <w:rPr>
          <w:sz w:val="26"/>
          <w:rtl/>
        </w:rPr>
        <w:t xml:space="preserve"> (20.11.17) הורשע נאשם בגידול במעבדה סם מסוכן מסוג קנבוס במשקל של מעל 9 ק"ג ו – 135 שתילים, ונדון ל- 11 חודשי מאסר בפועל לצד קנס כספי בסך של 5,000 ₪. </w:t>
      </w:r>
    </w:p>
    <w:p w14:paraId="720DB023" w14:textId="77777777" w:rsidR="00AD633B" w:rsidRDefault="00AD633B" w:rsidP="00AD633B">
      <w:pPr>
        <w:spacing w:line="360" w:lineRule="auto"/>
        <w:ind w:left="1440" w:hanging="720"/>
        <w:jc w:val="both"/>
        <w:rPr>
          <w:rFonts w:ascii="Arial" w:hAnsi="Arial"/>
          <w:rtl/>
        </w:rPr>
      </w:pPr>
    </w:p>
    <w:p w14:paraId="122B2DB9" w14:textId="77777777" w:rsidR="00AD633B" w:rsidRDefault="00D33DDD" w:rsidP="00AD633B">
      <w:pPr>
        <w:spacing w:line="360" w:lineRule="auto"/>
        <w:ind w:left="1620"/>
        <w:jc w:val="both"/>
        <w:rPr>
          <w:rFonts w:ascii="Arial" w:hAnsi="Arial"/>
          <w:rtl/>
        </w:rPr>
      </w:pPr>
      <w:hyperlink r:id="rId55" w:history="1">
        <w:r w:rsidRPr="00D33DDD">
          <w:rPr>
            <w:rFonts w:ascii="Arial" w:hAnsi="Arial"/>
            <w:color w:val="0000FF"/>
            <w:u w:val="single"/>
            <w:rtl/>
          </w:rPr>
          <w:t>ת"פ (קריות) 6636-07-17</w:t>
        </w:r>
      </w:hyperlink>
      <w:r w:rsidR="00AD633B">
        <w:rPr>
          <w:rFonts w:ascii="Arial" w:hAnsi="Arial"/>
          <w:rtl/>
        </w:rPr>
        <w:t xml:space="preserve"> </w:t>
      </w:r>
      <w:r w:rsidR="00AD633B">
        <w:rPr>
          <w:rFonts w:ascii="Arial" w:hAnsi="Arial"/>
          <w:b/>
          <w:bCs/>
          <w:rtl/>
        </w:rPr>
        <w:t>מדינת ישראל נגד נפתלייב</w:t>
      </w:r>
      <w:r w:rsidR="00AD633B">
        <w:rPr>
          <w:rFonts w:ascii="Arial" w:hAnsi="Arial"/>
          <w:rtl/>
        </w:rPr>
        <w:t xml:space="preserve"> (25.6.18) הורשע נאשם בגידול סמים במטע תפוחים במשקל של 8.4 ק"ג בכמות של 1,352 שתילים , נדון ל6 חודשי עבודות שירות, צו מבחן וקנס כספי. </w:t>
      </w:r>
    </w:p>
    <w:p w14:paraId="1D85C131" w14:textId="77777777" w:rsidR="00AD633B" w:rsidRDefault="00AD633B" w:rsidP="00AD633B">
      <w:pPr>
        <w:spacing w:line="360" w:lineRule="auto"/>
        <w:jc w:val="both"/>
        <w:rPr>
          <w:rFonts w:ascii="Arial" w:hAnsi="Arial"/>
          <w:rtl/>
        </w:rPr>
      </w:pPr>
    </w:p>
    <w:p w14:paraId="2F512402" w14:textId="77777777" w:rsidR="00AD633B" w:rsidRDefault="00AD633B" w:rsidP="00AD633B">
      <w:pPr>
        <w:pStyle w:val="a"/>
        <w:numPr>
          <w:ilvl w:val="0"/>
          <w:numId w:val="3"/>
        </w:numPr>
        <w:tabs>
          <w:tab w:val="left" w:pos="720"/>
        </w:tabs>
        <w:jc w:val="both"/>
        <w:rPr>
          <w:b/>
          <w:bCs/>
        </w:rPr>
      </w:pPr>
      <w:r>
        <w:rPr>
          <w:rFonts w:hint="cs"/>
          <w:b/>
          <w:bCs/>
          <w:rtl/>
        </w:rPr>
        <w:t xml:space="preserve">לפיכך סבורני כי מתחם העונש ההולם בנסיבות תיק זה נע החל מ 9  חודשי מאסר בפועל  ועד 24  חודשי מאסר בפועל בצירוף ענישה נלווית. </w:t>
      </w:r>
    </w:p>
    <w:p w14:paraId="56DF24D6" w14:textId="77777777" w:rsidR="00AD633B" w:rsidRDefault="00AD633B" w:rsidP="00AD633B">
      <w:pPr>
        <w:pStyle w:val="aa"/>
        <w:numPr>
          <w:ilvl w:val="0"/>
          <w:numId w:val="1"/>
        </w:numPr>
        <w:spacing w:line="360" w:lineRule="auto"/>
        <w:ind w:left="714" w:hanging="357"/>
        <w:jc w:val="both"/>
        <w:rPr>
          <w:rFonts w:ascii="Arial" w:hAnsi="Arial"/>
        </w:rPr>
      </w:pPr>
      <w:r>
        <w:rPr>
          <w:rFonts w:ascii="Arial" w:hAnsi="Arial" w:hint="cs"/>
          <w:rtl/>
        </w:rPr>
        <w:t xml:space="preserve">בנסיבות תיק זה לא מצאתי לחרוג ממתחם העונש ההולם אותו קבעתי לקולא או לחומרא. </w:t>
      </w:r>
    </w:p>
    <w:p w14:paraId="499503DA" w14:textId="77777777" w:rsidR="00AD633B" w:rsidRDefault="00AD633B" w:rsidP="00AD633B">
      <w:pPr>
        <w:pStyle w:val="aa"/>
        <w:spacing w:line="360" w:lineRule="auto"/>
        <w:ind w:left="714"/>
        <w:jc w:val="both"/>
        <w:rPr>
          <w:rFonts w:ascii="Arial" w:hAnsi="Arial"/>
        </w:rPr>
      </w:pPr>
    </w:p>
    <w:p w14:paraId="74C1A16D" w14:textId="77777777" w:rsidR="00AD633B" w:rsidRDefault="00AD633B" w:rsidP="00AD633B">
      <w:pPr>
        <w:pStyle w:val="aa"/>
        <w:numPr>
          <w:ilvl w:val="0"/>
          <w:numId w:val="1"/>
        </w:numPr>
        <w:spacing w:line="360" w:lineRule="auto"/>
        <w:ind w:left="714" w:hanging="357"/>
        <w:jc w:val="both"/>
        <w:rPr>
          <w:rFonts w:ascii="Arial" w:hAnsi="Arial"/>
        </w:rPr>
      </w:pPr>
      <w:r>
        <w:rPr>
          <w:rFonts w:ascii="Arial" w:hAnsi="Arial" w:hint="cs"/>
          <w:rtl/>
        </w:rPr>
        <w:t xml:space="preserve">באשר לעונשו של הנאשם בתוך מתחם העונש ההולם הרי שנתתי משקל להודאת הנאשם בהזדמנות הראשונה וכן את המוטיבציה של הנאשם כפי שהביע אותה לשינוי אך יחד עם זאת לא ניתן להתעלם מהאמור בתסקיר שירות המבחן באשר לסיכויי השיקום והעובדה כי קיימת פרוגנוזה נמוכה לשיקום. עיינתי במסמכים שהוגשו לעיוני מ"בית חם". הנאשם החל טיפול בבית חם בתאריך 5.11.23 . המסמך נ/2 הוגש על ידי  מנהל המוסד "בית חם" ולא על ידי גורם מקצועי כלשהו. לא ברור מהם הדגשים בתכנית המוצעת בשים לב לעובדה כי הנאשם מכור להימורים בנוסף להתמכרות לסמים כפי שהעיד על עצמו. לא ברור מהו הטיפול שאמור הנאשם לקבל ולא ברור על סמך מה נרשם על ידי מר אילוז כי שליחתו למאסר של הנאשם עלולה להוביל לרגרסיה ולנסיגה משמעותית במצבו. בכל מקרה מדובר במסמך שנחזה להיות בעל המלצות טיפוליות אך המסמך לא הוגש על ידי גורם טיפולי ולא ברור מי ערך את האבחון לנאשם והגיע למסקנות. לפיכך, הגם שאני נותנת משקל למוטיבציה של הנאשם אינני סבורה כי למסמך שהוגש יש משקל של ממש לעניין העונש ובוודאי שלא בעל משקל לחריגה ממתחם העונש הראוי. נתתי משקל לקולא גם למצבו הרפואי של הנאשם כפי שמשתקף במסמכים הרפואיים שהוגשו כמו כן נתתי משקל לעובדה שלנאשם אין עבר פלילי. </w:t>
      </w:r>
    </w:p>
    <w:p w14:paraId="435ACDA1" w14:textId="77777777" w:rsidR="00AD633B" w:rsidRPr="00C62F9D" w:rsidRDefault="00AD633B" w:rsidP="00AD633B">
      <w:pPr>
        <w:pStyle w:val="aa"/>
        <w:rPr>
          <w:rFonts w:ascii="Arial" w:hAnsi="Arial"/>
          <w:rtl/>
        </w:rPr>
      </w:pPr>
    </w:p>
    <w:p w14:paraId="0D8F7D39" w14:textId="77777777" w:rsidR="00AD633B" w:rsidRPr="00743ED6" w:rsidRDefault="00AD633B" w:rsidP="00AD633B">
      <w:pPr>
        <w:pStyle w:val="aa"/>
        <w:numPr>
          <w:ilvl w:val="0"/>
          <w:numId w:val="1"/>
        </w:numPr>
        <w:spacing w:line="360" w:lineRule="auto"/>
        <w:ind w:left="714" w:hanging="357"/>
        <w:jc w:val="both"/>
        <w:rPr>
          <w:rFonts w:ascii="Arial" w:hAnsi="Arial"/>
          <w:b/>
          <w:bCs/>
        </w:rPr>
      </w:pPr>
      <w:r w:rsidRPr="00743ED6">
        <w:rPr>
          <w:rFonts w:ascii="Arial" w:hAnsi="Arial" w:hint="cs"/>
          <w:b/>
          <w:bCs/>
          <w:rtl/>
        </w:rPr>
        <w:t>במכלול השיקולים לקולא ולחומרא אני גוזרת את עונשו של הנאשם לעונשים הבאים:</w:t>
      </w:r>
    </w:p>
    <w:p w14:paraId="54C39E1E" w14:textId="77777777" w:rsidR="00AD633B" w:rsidRPr="00743ED6" w:rsidRDefault="00AD633B" w:rsidP="00AD633B">
      <w:pPr>
        <w:pStyle w:val="aa"/>
        <w:rPr>
          <w:rFonts w:ascii="Arial" w:hAnsi="Arial"/>
          <w:b/>
          <w:bCs/>
          <w:rtl/>
        </w:rPr>
      </w:pPr>
    </w:p>
    <w:p w14:paraId="6F95B764" w14:textId="77777777" w:rsidR="00AD633B" w:rsidRDefault="00AD633B" w:rsidP="00AD633B">
      <w:pPr>
        <w:pStyle w:val="aa"/>
        <w:spacing w:line="360" w:lineRule="auto"/>
        <w:ind w:left="714"/>
        <w:jc w:val="both"/>
        <w:rPr>
          <w:rFonts w:ascii="Arial" w:hAnsi="Arial"/>
          <w:b/>
          <w:bCs/>
          <w:rtl/>
        </w:rPr>
      </w:pPr>
      <w:r w:rsidRPr="00743ED6">
        <w:rPr>
          <w:rFonts w:ascii="Arial" w:hAnsi="Arial" w:hint="cs"/>
          <w:b/>
          <w:bCs/>
          <w:rtl/>
        </w:rPr>
        <w:t xml:space="preserve">9 חודשי מאסר בפועל </w:t>
      </w:r>
      <w:r>
        <w:rPr>
          <w:rFonts w:ascii="Arial" w:hAnsi="Arial" w:hint="cs"/>
          <w:b/>
          <w:bCs/>
          <w:rtl/>
        </w:rPr>
        <w:t>.</w:t>
      </w:r>
    </w:p>
    <w:p w14:paraId="5DA97701" w14:textId="77777777" w:rsidR="00AD633B" w:rsidRDefault="00AD633B" w:rsidP="00AD633B">
      <w:pPr>
        <w:pStyle w:val="aa"/>
        <w:spacing w:line="360" w:lineRule="auto"/>
        <w:ind w:left="714"/>
        <w:jc w:val="both"/>
        <w:rPr>
          <w:rFonts w:ascii="Arial" w:hAnsi="Arial"/>
          <w:b/>
          <w:bCs/>
          <w:rtl/>
        </w:rPr>
      </w:pPr>
    </w:p>
    <w:p w14:paraId="49474EFC" w14:textId="77777777" w:rsidR="00AD633B" w:rsidRDefault="00AD633B" w:rsidP="00AD633B">
      <w:pPr>
        <w:pStyle w:val="aa"/>
        <w:spacing w:line="360" w:lineRule="auto"/>
        <w:ind w:left="714"/>
        <w:jc w:val="both"/>
        <w:rPr>
          <w:rFonts w:ascii="Arial" w:hAnsi="Arial"/>
          <w:b/>
          <w:bCs/>
          <w:rtl/>
        </w:rPr>
      </w:pPr>
      <w:r>
        <w:rPr>
          <w:rFonts w:ascii="Arial" w:hAnsi="Arial" w:hint="cs"/>
          <w:b/>
          <w:bCs/>
          <w:rtl/>
        </w:rPr>
        <w:t xml:space="preserve">מאסר על תנאי למשך 6 חודשים והתנאי הוא שהנאשם לא יעבור במשך 3 שנים מיום שחרורו כל עבירה מסוג פשע על פי פקודת הסמים. </w:t>
      </w:r>
    </w:p>
    <w:p w14:paraId="4FADE96B" w14:textId="77777777" w:rsidR="00AD633B" w:rsidRDefault="00AD633B" w:rsidP="00AD633B">
      <w:pPr>
        <w:pStyle w:val="aa"/>
        <w:spacing w:line="360" w:lineRule="auto"/>
        <w:ind w:left="714"/>
        <w:jc w:val="both"/>
        <w:rPr>
          <w:rFonts w:ascii="Arial" w:hAnsi="Arial"/>
          <w:b/>
          <w:bCs/>
          <w:rtl/>
        </w:rPr>
      </w:pPr>
    </w:p>
    <w:p w14:paraId="5DE09FD6" w14:textId="77777777" w:rsidR="00AD633B" w:rsidRDefault="00AD633B" w:rsidP="00AD633B">
      <w:pPr>
        <w:pStyle w:val="aa"/>
        <w:spacing w:line="360" w:lineRule="auto"/>
        <w:ind w:left="714"/>
        <w:jc w:val="both"/>
        <w:rPr>
          <w:rFonts w:ascii="Arial" w:hAnsi="Arial"/>
          <w:b/>
          <w:bCs/>
          <w:rtl/>
        </w:rPr>
      </w:pPr>
      <w:r>
        <w:rPr>
          <w:rFonts w:ascii="Arial" w:hAnsi="Arial" w:hint="cs"/>
          <w:b/>
          <w:bCs/>
          <w:rtl/>
        </w:rPr>
        <w:t xml:space="preserve">אני מחייבת את הנאשם בקנס כספי בסך של 5,000 ₪ אשר ישולם ב </w:t>
      </w:r>
      <w:r>
        <w:rPr>
          <w:rFonts w:ascii="Arial" w:hAnsi="Arial"/>
          <w:b/>
          <w:bCs/>
          <w:rtl/>
        </w:rPr>
        <w:t>–</w:t>
      </w:r>
      <w:r>
        <w:rPr>
          <w:rFonts w:ascii="Arial" w:hAnsi="Arial" w:hint="cs"/>
          <w:b/>
          <w:bCs/>
          <w:rtl/>
        </w:rPr>
        <w:t xml:space="preserve"> 8 תשלומים שווים ורצופים החל מיום 28.5.24 ובכל 28 לחודש לאחר מכן. </w:t>
      </w:r>
    </w:p>
    <w:p w14:paraId="0D60B926" w14:textId="77777777" w:rsidR="00AD633B" w:rsidRDefault="00AD633B" w:rsidP="00AD633B">
      <w:pPr>
        <w:spacing w:line="360" w:lineRule="auto"/>
        <w:ind w:left="720"/>
        <w:jc w:val="both"/>
        <w:rPr>
          <w:rFonts w:ascii="David" w:hAnsi="David"/>
          <w:b/>
          <w:bCs/>
          <w:rtl/>
        </w:rPr>
      </w:pPr>
    </w:p>
    <w:p w14:paraId="52ABA991" w14:textId="77777777" w:rsidR="00AD633B" w:rsidRPr="00743ED6" w:rsidRDefault="00AD633B" w:rsidP="00AD633B">
      <w:pPr>
        <w:spacing w:line="360" w:lineRule="auto"/>
        <w:ind w:left="720"/>
        <w:jc w:val="both"/>
        <w:rPr>
          <w:rFonts w:ascii="David" w:hAnsi="David"/>
          <w:b/>
          <w:bCs/>
          <w:sz w:val="22"/>
          <w:szCs w:val="22"/>
        </w:rPr>
      </w:pPr>
      <w:r w:rsidRPr="00743ED6">
        <w:rPr>
          <w:rFonts w:ascii="David" w:hAnsi="David"/>
          <w:b/>
          <w:bCs/>
          <w:rtl/>
        </w:rPr>
        <w:t>את הסכום יש לשלם ישירות לחשבון המרכז לגביית קנסות, אגרות והוצאות ברשות האכיפה והגבייה באחת מהדרכים הבאות:</w:t>
      </w:r>
    </w:p>
    <w:p w14:paraId="1E94F373" w14:textId="77777777" w:rsidR="00AD633B" w:rsidRPr="00743ED6" w:rsidRDefault="00AD633B" w:rsidP="00AD633B">
      <w:pPr>
        <w:pStyle w:val="aa"/>
        <w:numPr>
          <w:ilvl w:val="0"/>
          <w:numId w:val="6"/>
        </w:numPr>
        <w:spacing w:line="360" w:lineRule="auto"/>
        <w:ind w:left="1080"/>
        <w:jc w:val="both"/>
        <w:rPr>
          <w:rFonts w:ascii="David" w:hAnsi="David"/>
          <w:b/>
          <w:bCs/>
          <w:rtl/>
        </w:rPr>
      </w:pPr>
      <w:r w:rsidRPr="00743ED6">
        <w:rPr>
          <w:rFonts w:ascii="David" w:hAnsi="David"/>
          <w:b/>
          <w:bCs/>
          <w:rtl/>
        </w:rPr>
        <w:t xml:space="preserve">בכרטיס אשראי – באתר המקוון של רשות האכיפה והגבייה, </w:t>
      </w:r>
      <w:hyperlink r:id="rId56" w:history="1">
        <w:r w:rsidRPr="00743ED6">
          <w:rPr>
            <w:rStyle w:val="Hyperlink"/>
            <w:rFonts w:ascii="David" w:hAnsi="David"/>
            <w:b/>
            <w:bCs/>
          </w:rPr>
          <w:t>www.eca.gov.il</w:t>
        </w:r>
      </w:hyperlink>
      <w:r w:rsidRPr="00743ED6">
        <w:rPr>
          <w:rFonts w:ascii="David" w:hAnsi="David"/>
          <w:b/>
          <w:bCs/>
        </w:rPr>
        <w:t xml:space="preserve"> </w:t>
      </w:r>
      <w:r w:rsidR="00D33DDD">
        <w:rPr>
          <w:rFonts w:ascii="David" w:hAnsi="David"/>
          <w:b/>
          <w:bCs/>
          <w:rtl/>
        </w:rPr>
        <w:t xml:space="preserve"> </w:t>
      </w:r>
    </w:p>
    <w:p w14:paraId="534C3919" w14:textId="77777777" w:rsidR="00AD633B" w:rsidRPr="00743ED6" w:rsidRDefault="00AD633B" w:rsidP="00AD633B">
      <w:pPr>
        <w:pStyle w:val="aa"/>
        <w:numPr>
          <w:ilvl w:val="0"/>
          <w:numId w:val="6"/>
        </w:numPr>
        <w:spacing w:line="360" w:lineRule="auto"/>
        <w:ind w:left="1080"/>
        <w:jc w:val="both"/>
        <w:rPr>
          <w:rFonts w:ascii="David" w:hAnsi="David"/>
          <w:b/>
          <w:bCs/>
          <w:rtl/>
        </w:rPr>
      </w:pPr>
      <w:r w:rsidRPr="00743ED6">
        <w:rPr>
          <w:rFonts w:ascii="David" w:hAnsi="David"/>
          <w:b/>
          <w:bCs/>
          <w:rtl/>
        </w:rPr>
        <w:t>מוקד שירות טלפוני בשרות עצמי (מרכז גבייה)</w:t>
      </w:r>
      <w:r w:rsidR="00D33DDD">
        <w:rPr>
          <w:rFonts w:ascii="David" w:hAnsi="David"/>
          <w:b/>
          <w:bCs/>
          <w:rtl/>
        </w:rPr>
        <w:t xml:space="preserve"> </w:t>
      </w:r>
      <w:r w:rsidRPr="00743ED6">
        <w:rPr>
          <w:rFonts w:ascii="David" w:hAnsi="David"/>
          <w:b/>
          <w:bCs/>
          <w:rtl/>
        </w:rPr>
        <w:t xml:space="preserve"> – בטלפון 35592* או בטלפון 073-2055000</w:t>
      </w:r>
    </w:p>
    <w:p w14:paraId="2E37685F" w14:textId="77777777" w:rsidR="00AD633B" w:rsidRPr="00743ED6" w:rsidRDefault="00AD633B" w:rsidP="00AD633B">
      <w:pPr>
        <w:ind w:firstLine="720"/>
        <w:rPr>
          <w:rFonts w:ascii="David" w:hAnsi="David"/>
          <w:b/>
          <w:bCs/>
        </w:rPr>
      </w:pPr>
      <w:r w:rsidRPr="00743ED6">
        <w:rPr>
          <w:rFonts w:ascii="David" w:hAnsi="David"/>
          <w:b/>
          <w:bCs/>
          <w:rtl/>
        </w:rPr>
        <w:t>במזומן בכל סניף של בנק הדואר – בהצגת תעודת זהות בלבד (אין צורך בשוברי תשלום).</w:t>
      </w:r>
    </w:p>
    <w:p w14:paraId="1EABDAC2" w14:textId="77777777" w:rsidR="00AD633B" w:rsidRDefault="00AD633B" w:rsidP="00AD633B">
      <w:pPr>
        <w:rPr>
          <w:rtl/>
        </w:rPr>
      </w:pPr>
    </w:p>
    <w:p w14:paraId="41F3FA93" w14:textId="77777777" w:rsidR="00AD633B" w:rsidRDefault="00AD633B" w:rsidP="00AD633B"/>
    <w:p w14:paraId="47E0B8C9" w14:textId="77777777" w:rsidR="00AD633B" w:rsidRPr="00405D3A" w:rsidRDefault="00AD633B" w:rsidP="00AD633B">
      <w:pPr>
        <w:pStyle w:val="aa"/>
        <w:spacing w:line="360" w:lineRule="auto"/>
        <w:ind w:left="714"/>
        <w:jc w:val="both"/>
        <w:rPr>
          <w:rFonts w:ascii="Arial" w:hAnsi="Arial"/>
          <w:rtl/>
        </w:rPr>
      </w:pPr>
      <w:r>
        <w:rPr>
          <w:rFonts w:ascii="Arial" w:hAnsi="Arial" w:hint="cs"/>
          <w:b/>
          <w:bCs/>
          <w:rtl/>
        </w:rPr>
        <w:t xml:space="preserve">אני פוסלת את הנאשם פסילה בפועל של 2 חודשים. הנאשם יפקיד את רישיון הנהיגה בתוך 90 ימים במזכירות בית המשפט. </w:t>
      </w:r>
    </w:p>
    <w:p w14:paraId="131DD9A1" w14:textId="77777777" w:rsidR="00AD633B" w:rsidRDefault="00AD633B" w:rsidP="00AD633B">
      <w:pPr>
        <w:pStyle w:val="aa"/>
        <w:spacing w:line="360" w:lineRule="auto"/>
        <w:ind w:left="714"/>
        <w:jc w:val="both"/>
        <w:rPr>
          <w:rFonts w:ascii="Arial" w:hAnsi="Arial"/>
          <w:b/>
          <w:bCs/>
          <w:rtl/>
        </w:rPr>
      </w:pPr>
    </w:p>
    <w:p w14:paraId="7B32AA76" w14:textId="77777777" w:rsidR="00AD633B" w:rsidRDefault="00AD633B" w:rsidP="00AD633B">
      <w:pPr>
        <w:pStyle w:val="aa"/>
        <w:spacing w:line="360" w:lineRule="auto"/>
        <w:ind w:left="714"/>
        <w:jc w:val="both"/>
        <w:rPr>
          <w:rFonts w:ascii="Arial" w:hAnsi="Arial"/>
          <w:b/>
          <w:bCs/>
          <w:rtl/>
        </w:rPr>
      </w:pPr>
      <w:r w:rsidRPr="009B01C0">
        <w:rPr>
          <w:rFonts w:ascii="Arial" w:hAnsi="Arial" w:hint="cs"/>
          <w:b/>
          <w:bCs/>
          <w:rtl/>
        </w:rPr>
        <w:t>אני פוסלת את הנאשם פסילה על תנאי לתקופה של חודשיים למשך שנתיים מיום שחרורו  והתנאי הוא שהנאשם   לא יעבור עבירת סמים</w:t>
      </w:r>
      <w:r>
        <w:rPr>
          <w:rFonts w:ascii="Arial" w:hAnsi="Arial" w:hint="cs"/>
          <w:b/>
          <w:bCs/>
          <w:rtl/>
        </w:rPr>
        <w:t xml:space="preserve"> על פי פקודת הסמים </w:t>
      </w:r>
      <w:r w:rsidRPr="009B01C0">
        <w:rPr>
          <w:rFonts w:ascii="Arial" w:hAnsi="Arial" w:hint="cs"/>
          <w:b/>
          <w:bCs/>
          <w:rtl/>
        </w:rPr>
        <w:t xml:space="preserve"> ויורשע בה.     </w:t>
      </w:r>
    </w:p>
    <w:p w14:paraId="61C25AD0" w14:textId="77777777" w:rsidR="00AD633B" w:rsidRDefault="00AD633B" w:rsidP="00AD633B">
      <w:pPr>
        <w:pStyle w:val="aa"/>
        <w:spacing w:line="360" w:lineRule="auto"/>
        <w:ind w:left="714"/>
        <w:jc w:val="both"/>
        <w:rPr>
          <w:rFonts w:ascii="Arial" w:hAnsi="Arial"/>
          <w:b/>
          <w:bCs/>
          <w:rtl/>
        </w:rPr>
      </w:pPr>
    </w:p>
    <w:p w14:paraId="7822D7C4" w14:textId="77777777" w:rsidR="00AD633B" w:rsidRDefault="00AD633B" w:rsidP="00AD633B">
      <w:pPr>
        <w:pStyle w:val="aa"/>
        <w:spacing w:line="360" w:lineRule="auto"/>
        <w:ind w:left="714"/>
        <w:jc w:val="both"/>
        <w:rPr>
          <w:rFonts w:ascii="Arial" w:hAnsi="Arial"/>
          <w:b/>
          <w:bCs/>
          <w:rtl/>
        </w:rPr>
      </w:pPr>
      <w:r>
        <w:rPr>
          <w:rFonts w:ascii="Arial" w:hAnsi="Arial" w:hint="cs"/>
          <w:b/>
          <w:bCs/>
          <w:rtl/>
        </w:rPr>
        <w:t xml:space="preserve">בחלוף תקופת הערעור ניתן להשמיד את המוצגים </w:t>
      </w:r>
      <w:r>
        <w:rPr>
          <w:rFonts w:ascii="Arial" w:hAnsi="Arial"/>
          <w:b/>
          <w:bCs/>
          <w:rtl/>
        </w:rPr>
        <w:t>–</w:t>
      </w:r>
      <w:r>
        <w:rPr>
          <w:rFonts w:ascii="Arial" w:hAnsi="Arial" w:hint="cs"/>
          <w:b/>
          <w:bCs/>
          <w:rtl/>
        </w:rPr>
        <w:t xml:space="preserve"> הסמים והציוד הנלווה או לחלט את הציוד שמפורט בכתב האישום המתוקן . </w:t>
      </w:r>
    </w:p>
    <w:p w14:paraId="6BBC8438" w14:textId="77777777" w:rsidR="00AD633B" w:rsidRDefault="00AD633B" w:rsidP="00AD633B">
      <w:pPr>
        <w:pStyle w:val="aa"/>
        <w:spacing w:line="360" w:lineRule="auto"/>
        <w:ind w:left="714"/>
        <w:jc w:val="both"/>
        <w:rPr>
          <w:rFonts w:ascii="Arial" w:hAnsi="Arial"/>
          <w:b/>
          <w:bCs/>
          <w:rtl/>
        </w:rPr>
      </w:pPr>
    </w:p>
    <w:p w14:paraId="3A2948A9" w14:textId="77777777" w:rsidR="00AD633B" w:rsidRDefault="00AD633B" w:rsidP="00AD633B">
      <w:pPr>
        <w:pStyle w:val="aa"/>
        <w:spacing w:line="360" w:lineRule="auto"/>
        <w:ind w:left="714"/>
        <w:jc w:val="both"/>
        <w:rPr>
          <w:rFonts w:ascii="Arial" w:hAnsi="Arial"/>
          <w:b/>
          <w:bCs/>
          <w:rtl/>
        </w:rPr>
      </w:pPr>
      <w:r>
        <w:rPr>
          <w:rFonts w:ascii="Arial" w:hAnsi="Arial" w:hint="cs"/>
          <w:b/>
          <w:bCs/>
          <w:rtl/>
        </w:rPr>
        <w:t xml:space="preserve">זכות ערעור בתוך 45 יום לבית המשפט המחוזי. </w:t>
      </w:r>
    </w:p>
    <w:p w14:paraId="5CD56006" w14:textId="77777777" w:rsidR="00AD633B" w:rsidRDefault="00AD633B" w:rsidP="00AD633B">
      <w:pPr>
        <w:pStyle w:val="aa"/>
        <w:spacing w:line="360" w:lineRule="auto"/>
        <w:ind w:left="714"/>
        <w:jc w:val="both"/>
        <w:rPr>
          <w:rFonts w:ascii="Arial" w:hAnsi="Arial"/>
          <w:b/>
          <w:bCs/>
          <w:rtl/>
        </w:rPr>
      </w:pPr>
      <w:r>
        <w:rPr>
          <w:rFonts w:ascii="Arial" w:hAnsi="Arial" w:hint="cs"/>
          <w:b/>
          <w:bCs/>
          <w:rtl/>
        </w:rPr>
        <w:t xml:space="preserve">המזכירות תמציא למשרד הרישוי. </w:t>
      </w:r>
    </w:p>
    <w:p w14:paraId="00D19DDA" w14:textId="77777777" w:rsidR="00AD633B" w:rsidRDefault="00AD633B" w:rsidP="00AD633B">
      <w:pPr>
        <w:pStyle w:val="aa"/>
        <w:spacing w:line="360" w:lineRule="auto"/>
        <w:ind w:left="714"/>
        <w:jc w:val="both"/>
        <w:rPr>
          <w:rFonts w:ascii="Arial" w:hAnsi="Arial"/>
          <w:b/>
          <w:bCs/>
          <w:rtl/>
        </w:rPr>
      </w:pPr>
    </w:p>
    <w:p w14:paraId="04A1553E" w14:textId="77777777" w:rsidR="00AD633B" w:rsidRPr="00D33DDD" w:rsidRDefault="00D33DDD" w:rsidP="00AD633B">
      <w:pPr>
        <w:pStyle w:val="aa"/>
        <w:spacing w:line="360" w:lineRule="auto"/>
        <w:ind w:left="714"/>
        <w:jc w:val="both"/>
        <w:rPr>
          <w:rFonts w:ascii="Arial" w:hAnsi="Arial"/>
          <w:b/>
          <w:bCs/>
          <w:color w:val="FFFFFF"/>
          <w:sz w:val="2"/>
          <w:szCs w:val="2"/>
          <w:rtl/>
        </w:rPr>
      </w:pPr>
      <w:r w:rsidRPr="00D33DDD">
        <w:rPr>
          <w:rFonts w:ascii="Arial" w:hAnsi="Arial"/>
          <w:b/>
          <w:bCs/>
          <w:color w:val="FFFFFF"/>
          <w:sz w:val="2"/>
          <w:szCs w:val="2"/>
          <w:rtl/>
        </w:rPr>
        <w:t>5129371</w:t>
      </w:r>
      <w:r w:rsidR="00AD633B" w:rsidRPr="00D33DDD">
        <w:rPr>
          <w:rFonts w:ascii="Arial" w:hAnsi="Arial" w:hint="cs"/>
          <w:b/>
          <w:bCs/>
          <w:color w:val="FFFFFF"/>
          <w:sz w:val="2"/>
          <w:szCs w:val="2"/>
          <w:rtl/>
        </w:rPr>
        <w:t xml:space="preserve">                 </w:t>
      </w:r>
    </w:p>
    <w:p w14:paraId="3C4FE2F9" w14:textId="77777777" w:rsidR="00AD633B" w:rsidRPr="00D33DDD" w:rsidRDefault="00D33DDD" w:rsidP="00AD633B">
      <w:pPr>
        <w:rPr>
          <w:rFonts w:ascii="Arial" w:hAnsi="Arial"/>
          <w:b/>
          <w:bCs/>
          <w:color w:val="FFFFFF"/>
          <w:sz w:val="2"/>
          <w:szCs w:val="2"/>
          <w:rtl/>
        </w:rPr>
      </w:pPr>
      <w:r w:rsidRPr="00D33DDD">
        <w:rPr>
          <w:rFonts w:ascii="Arial" w:hAnsi="Arial"/>
          <w:b/>
          <w:bCs/>
          <w:color w:val="FFFFFF"/>
          <w:sz w:val="2"/>
          <w:szCs w:val="2"/>
          <w:rtl/>
        </w:rPr>
        <w:t>54678313</w:t>
      </w:r>
    </w:p>
    <w:p w14:paraId="5FC33950" w14:textId="77777777" w:rsidR="00AD633B" w:rsidRPr="000F2247" w:rsidRDefault="00D33DDD" w:rsidP="00AD633B">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כ"ג אדר א' תשפ"ד, 03 מרץ 2024, בנוכחות הצדדים. </w:t>
      </w:r>
      <w:bookmarkEnd w:id="7"/>
      <w:r w:rsidR="00AD633B">
        <w:rPr>
          <w:rFonts w:ascii="Arial" w:hAnsi="Arial"/>
          <w:b/>
          <w:bCs/>
          <w:sz w:val="26"/>
          <w:szCs w:val="26"/>
          <w:rtl/>
        </w:rPr>
        <w:tab/>
      </w:r>
      <w:r w:rsidR="00AD633B">
        <w:rPr>
          <w:rFonts w:ascii="Arial" w:hAnsi="Arial"/>
          <w:b/>
          <w:bCs/>
          <w:sz w:val="26"/>
          <w:szCs w:val="26"/>
          <w:rtl/>
        </w:rPr>
        <w:tab/>
      </w:r>
      <w:r w:rsidR="00AD633B">
        <w:rPr>
          <w:rFonts w:ascii="Arial" w:hAnsi="Arial"/>
          <w:b/>
          <w:bCs/>
          <w:sz w:val="26"/>
          <w:szCs w:val="26"/>
          <w:rtl/>
        </w:rPr>
        <w:tab/>
      </w:r>
      <w:r w:rsidR="00AD633B">
        <w:rPr>
          <w:rFonts w:ascii="Arial" w:hAnsi="Arial"/>
          <w:b/>
          <w:bCs/>
          <w:sz w:val="26"/>
          <w:szCs w:val="26"/>
          <w:rtl/>
        </w:rPr>
        <w:tab/>
      </w:r>
      <w:r w:rsidR="00AD633B">
        <w:rPr>
          <w:rFonts w:ascii="Arial" w:hAnsi="Arial"/>
          <w:b/>
          <w:bCs/>
          <w:sz w:val="26"/>
          <w:szCs w:val="26"/>
          <w:rtl/>
        </w:rPr>
        <w:tab/>
      </w:r>
      <w:r w:rsidR="00AD633B">
        <w:rPr>
          <w:rFonts w:ascii="Arial" w:hAnsi="Arial"/>
          <w:b/>
          <w:bCs/>
          <w:sz w:val="26"/>
          <w:szCs w:val="26"/>
          <w:rtl/>
        </w:rPr>
        <w:tab/>
      </w:r>
      <w:r w:rsidR="00AD633B">
        <w:rPr>
          <w:rFonts w:ascii="Arial" w:hAnsi="Arial"/>
          <w:b/>
          <w:bCs/>
          <w:sz w:val="26"/>
          <w:szCs w:val="26"/>
          <w:rtl/>
        </w:rPr>
        <w:tab/>
      </w:r>
      <w:r w:rsidR="00AD633B">
        <w:rPr>
          <w:rFonts w:ascii="Arial" w:hAnsi="Arial" w:hint="cs"/>
          <w:b/>
          <w:bCs/>
          <w:sz w:val="26"/>
          <w:szCs w:val="26"/>
          <w:rtl/>
        </w:rPr>
        <w:t xml:space="preserve">         </w:t>
      </w:r>
    </w:p>
    <w:p w14:paraId="5F7A9E42" w14:textId="77777777" w:rsidR="00AD633B" w:rsidRDefault="00AD633B" w:rsidP="00D33DDD">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Pr>
          <w:rFonts w:ascii="Arial" w:hAnsi="Arial" w:hint="cs"/>
          <w:b/>
          <w:bCs/>
          <w:sz w:val="26"/>
          <w:szCs w:val="26"/>
          <w:rtl/>
        </w:rPr>
        <w:t>,</w:t>
      </w:r>
    </w:p>
    <w:p w14:paraId="7E162EE7" w14:textId="77777777" w:rsidR="00AD633B" w:rsidRDefault="00AD633B" w:rsidP="00AD633B">
      <w:pPr>
        <w:jc w:val="center"/>
        <w:rPr>
          <w:rFonts w:ascii="Arial" w:hAnsi="Arial"/>
          <w:b/>
          <w:bCs/>
          <w:sz w:val="26"/>
          <w:szCs w:val="26"/>
          <w:rtl/>
        </w:rPr>
      </w:pPr>
    </w:p>
    <w:p w14:paraId="34124775" w14:textId="77777777" w:rsidR="00AD633B" w:rsidRPr="000F2247" w:rsidRDefault="00AD633B" w:rsidP="00AD633B">
      <w:pPr>
        <w:jc w:val="center"/>
        <w:rPr>
          <w:rFonts w:ascii="Arial" w:hAnsi="Arial"/>
          <w:b/>
          <w:bCs/>
          <w:sz w:val="26"/>
          <w:szCs w:val="26"/>
          <w:rtl/>
        </w:rPr>
      </w:pPr>
    </w:p>
    <w:p w14:paraId="3C4C30F1" w14:textId="77777777" w:rsidR="00D121D2" w:rsidRPr="00D33DDD" w:rsidRDefault="00D121D2" w:rsidP="00D33DDD">
      <w:pPr>
        <w:keepNext/>
        <w:rPr>
          <w:rFonts w:ascii="David" w:hAnsi="David"/>
          <w:color w:val="000000"/>
          <w:sz w:val="22"/>
          <w:szCs w:val="22"/>
          <w:rtl/>
        </w:rPr>
      </w:pPr>
    </w:p>
    <w:p w14:paraId="51FE546F" w14:textId="77777777" w:rsidR="00D33DDD" w:rsidRPr="00D33DDD" w:rsidRDefault="00D33DDD" w:rsidP="00D33DDD">
      <w:pPr>
        <w:keepNext/>
        <w:rPr>
          <w:rFonts w:ascii="David" w:hAnsi="David"/>
          <w:color w:val="000000"/>
          <w:sz w:val="22"/>
          <w:szCs w:val="22"/>
          <w:rtl/>
        </w:rPr>
      </w:pPr>
      <w:r w:rsidRPr="00D33DDD">
        <w:rPr>
          <w:rFonts w:ascii="David" w:hAnsi="David"/>
          <w:color w:val="000000"/>
          <w:sz w:val="22"/>
          <w:szCs w:val="22"/>
          <w:rtl/>
        </w:rPr>
        <w:t>סימי פלג קימלוב 54678313</w:t>
      </w:r>
    </w:p>
    <w:p w14:paraId="24F9F9B9" w14:textId="77777777" w:rsidR="00D33DDD" w:rsidRDefault="00D33DDD" w:rsidP="00D33DDD">
      <w:r w:rsidRPr="00D33DDD">
        <w:rPr>
          <w:color w:val="000000"/>
          <w:rtl/>
        </w:rPr>
        <w:t>נוסח מסמך זה כפוף לשינויי ניסוח ועריכה</w:t>
      </w:r>
    </w:p>
    <w:p w14:paraId="24EDE80E" w14:textId="77777777" w:rsidR="00D33DDD" w:rsidRDefault="00D33DDD" w:rsidP="00D33DDD">
      <w:pPr>
        <w:rPr>
          <w:rtl/>
        </w:rPr>
      </w:pPr>
    </w:p>
    <w:p w14:paraId="55EC1D41" w14:textId="77777777" w:rsidR="00D33DDD" w:rsidRDefault="00D33DDD" w:rsidP="00D33DDD">
      <w:pPr>
        <w:jc w:val="center"/>
        <w:rPr>
          <w:color w:val="0000FF"/>
          <w:u w:val="single"/>
        </w:rPr>
      </w:pPr>
      <w:hyperlink r:id="rId57" w:history="1">
        <w:r>
          <w:rPr>
            <w:color w:val="0000FF"/>
            <w:u w:val="single"/>
            <w:rtl/>
          </w:rPr>
          <w:t>בעניין עריכה ושינויים במסמכי פסיקה, חקיקה ועוד באתר נבו – הקש כאן</w:t>
        </w:r>
      </w:hyperlink>
    </w:p>
    <w:p w14:paraId="5E2B1AFB" w14:textId="77777777" w:rsidR="00D33DDD" w:rsidRPr="00D33DDD" w:rsidRDefault="00D33DDD" w:rsidP="00D33DDD">
      <w:pPr>
        <w:jc w:val="center"/>
        <w:rPr>
          <w:color w:val="0000FF"/>
          <w:u w:val="single"/>
        </w:rPr>
      </w:pPr>
    </w:p>
    <w:sectPr w:rsidR="00D33DDD" w:rsidRPr="00D33DDD" w:rsidSect="00D33DDD">
      <w:headerReference w:type="even" r:id="rId58"/>
      <w:headerReference w:type="default" r:id="rId59"/>
      <w:footerReference w:type="even" r:id="rId60"/>
      <w:footerReference w:type="default" r:id="rId6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0A84D" w14:textId="77777777" w:rsidR="004D664C" w:rsidRDefault="004D664C" w:rsidP="00677035">
      <w:r>
        <w:separator/>
      </w:r>
    </w:p>
  </w:endnote>
  <w:endnote w:type="continuationSeparator" w:id="0">
    <w:p w14:paraId="6C628622" w14:textId="77777777" w:rsidR="004D664C" w:rsidRDefault="004D664C" w:rsidP="00677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131C1" w14:textId="77777777" w:rsidR="00D33DDD" w:rsidRDefault="00D33DDD" w:rsidP="00D33DD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w:t>
    </w:r>
    <w:r>
      <w:rPr>
        <w:rFonts w:ascii="FrankRuehl" w:hAnsi="FrankRuehl" w:cs="FrankRuehl"/>
        <w:rtl/>
      </w:rPr>
      <w:fldChar w:fldCharType="end"/>
    </w:r>
  </w:p>
  <w:p w14:paraId="0B8E7EA6" w14:textId="77777777" w:rsidR="009835EC" w:rsidRPr="00D33DDD" w:rsidRDefault="00D33DDD" w:rsidP="00D33DD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5FA15" w14:textId="77777777" w:rsidR="00D33DDD" w:rsidRDefault="00D33DDD" w:rsidP="00D33DDD">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6524D">
      <w:rPr>
        <w:rFonts w:ascii="FrankRuehl" w:hAnsi="FrankRuehl" w:cs="FrankRuehl"/>
        <w:noProof/>
        <w:rtl/>
      </w:rPr>
      <w:t>1</w:t>
    </w:r>
    <w:r>
      <w:rPr>
        <w:rFonts w:ascii="FrankRuehl" w:hAnsi="FrankRuehl" w:cs="FrankRuehl"/>
        <w:rtl/>
      </w:rPr>
      <w:fldChar w:fldCharType="end"/>
    </w:r>
  </w:p>
  <w:p w14:paraId="0417D392" w14:textId="77777777" w:rsidR="009835EC" w:rsidRPr="00D33DDD" w:rsidRDefault="00D33DDD" w:rsidP="00D33DDD">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288AD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1E79EF" w14:textId="77777777" w:rsidR="004D664C" w:rsidRDefault="004D664C" w:rsidP="00677035">
      <w:r>
        <w:separator/>
      </w:r>
    </w:p>
  </w:footnote>
  <w:footnote w:type="continuationSeparator" w:id="0">
    <w:p w14:paraId="203B0F77" w14:textId="77777777" w:rsidR="004D664C" w:rsidRDefault="004D664C" w:rsidP="00677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5D550A" w14:textId="77777777" w:rsidR="00D33DDD" w:rsidRPr="00D33DDD" w:rsidRDefault="00D33DDD" w:rsidP="00D33DD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17415-10-21</w:t>
    </w:r>
    <w:r>
      <w:rPr>
        <w:rFonts w:ascii="David" w:hAnsi="David"/>
        <w:color w:val="000000"/>
        <w:sz w:val="22"/>
        <w:szCs w:val="22"/>
        <w:rtl/>
      </w:rPr>
      <w:tab/>
      <w:t xml:space="preserve"> מדינת ישראל נ' שמואל ספניאייב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740C5" w14:textId="77777777" w:rsidR="00D33DDD" w:rsidRPr="00D33DDD" w:rsidRDefault="00D33DDD" w:rsidP="00D33DDD">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17415-10-21</w:t>
    </w:r>
    <w:r>
      <w:rPr>
        <w:rFonts w:ascii="David" w:hAnsi="David"/>
        <w:color w:val="000000"/>
        <w:sz w:val="22"/>
        <w:szCs w:val="22"/>
        <w:rtl/>
      </w:rPr>
      <w:tab/>
      <w:t xml:space="preserve"> מדינת ישראל נ' שמואל ספניאייב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720" w:hanging="360"/>
      </w:pPr>
      <w:rPr>
        <w:rFonts w:ascii="Symbol" w:hAnsi="Symbol" w:hint="default"/>
      </w:rPr>
    </w:lvl>
    <w:lvl w:ilvl="1" w:tplc="D0AE272C">
      <w:start w:val="1"/>
      <w:numFmt w:val="bullet"/>
      <w:lvlText w:val="o"/>
      <w:lvlJc w:val="left"/>
      <w:pPr>
        <w:ind w:left="1440" w:hanging="360"/>
      </w:pPr>
      <w:rPr>
        <w:rFonts w:ascii="Courier New" w:hAnsi="Courier New" w:cs="Courier New" w:hint="default"/>
      </w:rPr>
    </w:lvl>
    <w:lvl w:ilvl="2" w:tplc="4CE8AFEC">
      <w:start w:val="1"/>
      <w:numFmt w:val="bullet"/>
      <w:lvlText w:val=""/>
      <w:lvlJc w:val="left"/>
      <w:pPr>
        <w:ind w:left="2160" w:hanging="360"/>
      </w:pPr>
      <w:rPr>
        <w:rFonts w:ascii="Wingdings" w:hAnsi="Wingdings" w:hint="default"/>
      </w:rPr>
    </w:lvl>
    <w:lvl w:ilvl="3" w:tplc="66DC63D4">
      <w:start w:val="1"/>
      <w:numFmt w:val="bullet"/>
      <w:lvlText w:val=""/>
      <w:lvlJc w:val="left"/>
      <w:pPr>
        <w:ind w:left="2880" w:hanging="360"/>
      </w:pPr>
      <w:rPr>
        <w:rFonts w:ascii="Symbol" w:hAnsi="Symbol" w:hint="default"/>
      </w:rPr>
    </w:lvl>
    <w:lvl w:ilvl="4" w:tplc="39E8D01E">
      <w:start w:val="1"/>
      <w:numFmt w:val="bullet"/>
      <w:lvlText w:val="o"/>
      <w:lvlJc w:val="left"/>
      <w:pPr>
        <w:ind w:left="3600" w:hanging="360"/>
      </w:pPr>
      <w:rPr>
        <w:rFonts w:ascii="Courier New" w:hAnsi="Courier New" w:cs="Courier New" w:hint="default"/>
      </w:rPr>
    </w:lvl>
    <w:lvl w:ilvl="5" w:tplc="A17A33F8">
      <w:start w:val="1"/>
      <w:numFmt w:val="bullet"/>
      <w:lvlText w:val=""/>
      <w:lvlJc w:val="left"/>
      <w:pPr>
        <w:ind w:left="4320" w:hanging="360"/>
      </w:pPr>
      <w:rPr>
        <w:rFonts w:ascii="Wingdings" w:hAnsi="Wingdings" w:hint="default"/>
      </w:rPr>
    </w:lvl>
    <w:lvl w:ilvl="6" w:tplc="32B25C30">
      <w:start w:val="1"/>
      <w:numFmt w:val="bullet"/>
      <w:lvlText w:val=""/>
      <w:lvlJc w:val="left"/>
      <w:pPr>
        <w:ind w:left="5040" w:hanging="360"/>
      </w:pPr>
      <w:rPr>
        <w:rFonts w:ascii="Symbol" w:hAnsi="Symbol" w:hint="default"/>
      </w:rPr>
    </w:lvl>
    <w:lvl w:ilvl="7" w:tplc="117C14FE">
      <w:start w:val="1"/>
      <w:numFmt w:val="bullet"/>
      <w:lvlText w:val="o"/>
      <w:lvlJc w:val="left"/>
      <w:pPr>
        <w:ind w:left="5760" w:hanging="360"/>
      </w:pPr>
      <w:rPr>
        <w:rFonts w:ascii="Courier New" w:hAnsi="Courier New" w:cs="Courier New" w:hint="default"/>
      </w:rPr>
    </w:lvl>
    <w:lvl w:ilvl="8" w:tplc="A12A52C8">
      <w:start w:val="1"/>
      <w:numFmt w:val="bullet"/>
      <w:lvlText w:val=""/>
      <w:lvlJc w:val="left"/>
      <w:pPr>
        <w:ind w:left="6480" w:hanging="360"/>
      </w:pPr>
      <w:rPr>
        <w:rFonts w:ascii="Wingdings" w:hAnsi="Wingdings" w:hint="default"/>
      </w:rPr>
    </w:lvl>
  </w:abstractNum>
  <w:abstractNum w:abstractNumId="1" w15:restartNumberingAfterBreak="0">
    <w:nsid w:val="1C5E6DF5"/>
    <w:multiLevelType w:val="hybridMultilevel"/>
    <w:tmpl w:val="92D8E068"/>
    <w:lvl w:ilvl="0" w:tplc="801EA03E">
      <w:start w:val="1"/>
      <w:numFmt w:val="decimal"/>
      <w:pStyle w:val="a"/>
      <w:lvlText w:val="%1."/>
      <w:lvlJc w:val="left"/>
      <w:pPr>
        <w:tabs>
          <w:tab w:val="num" w:pos="720"/>
        </w:tabs>
        <w:ind w:left="720" w:hanging="720"/>
      </w:pPr>
      <w:rPr>
        <w:rFonts w:cs="Times New Roman"/>
        <w:b w:val="0"/>
        <w:bCs w:val="0"/>
      </w:rPr>
    </w:lvl>
    <w:lvl w:ilvl="1" w:tplc="DBDC14B4">
      <w:start w:val="1"/>
      <w:numFmt w:val="hebrew1"/>
      <w:lvlText w:val="%2."/>
      <w:lvlJc w:val="left"/>
      <w:pPr>
        <w:tabs>
          <w:tab w:val="num" w:pos="1620"/>
        </w:tabs>
        <w:ind w:left="1620" w:hanging="360"/>
      </w:pPr>
      <w:rPr>
        <w:rFonts w:cs="David"/>
        <w:b w:val="0"/>
        <w:bCs w:val="0"/>
      </w:rPr>
    </w:lvl>
    <w:lvl w:ilvl="2" w:tplc="C3B0CB38">
      <w:start w:val="1"/>
      <w:numFmt w:val="decimal"/>
      <w:lvlText w:val="(%3)"/>
      <w:lvlJc w:val="left"/>
      <w:pPr>
        <w:tabs>
          <w:tab w:val="num" w:pos="2340"/>
        </w:tabs>
        <w:ind w:left="234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EB769B3"/>
    <w:multiLevelType w:val="hybridMultilevel"/>
    <w:tmpl w:val="CE985C34"/>
    <w:lvl w:ilvl="0" w:tplc="180604A2">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2C2E20"/>
    <w:multiLevelType w:val="hybridMultilevel"/>
    <w:tmpl w:val="6D7CA7CE"/>
    <w:lvl w:ilvl="0" w:tplc="34CAA1D2">
      <w:start w:val="12"/>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2DE0B61"/>
    <w:multiLevelType w:val="hybridMultilevel"/>
    <w:tmpl w:val="82546D48"/>
    <w:lvl w:ilvl="0" w:tplc="CC821C62">
      <w:start w:val="10"/>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D262862"/>
    <w:multiLevelType w:val="hybridMultilevel"/>
    <w:tmpl w:val="28803A7C"/>
    <w:lvl w:ilvl="0" w:tplc="7D2092E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7082949">
    <w:abstractNumId w:val="5"/>
  </w:num>
  <w:num w:numId="2" w16cid:durableId="1642998076">
    <w:abstractNumId w:val="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22659818">
    <w:abstractNumId w:val="3"/>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89404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7043609">
    <w:abstractNumId w:val="2"/>
  </w:num>
  <w:num w:numId="6" w16cid:durableId="917716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633B"/>
    <w:rsid w:val="001B5A3B"/>
    <w:rsid w:val="00293BC9"/>
    <w:rsid w:val="003A6E25"/>
    <w:rsid w:val="003B5077"/>
    <w:rsid w:val="004D664C"/>
    <w:rsid w:val="0062625E"/>
    <w:rsid w:val="00677035"/>
    <w:rsid w:val="009835EC"/>
    <w:rsid w:val="00987D5F"/>
    <w:rsid w:val="00AD633B"/>
    <w:rsid w:val="00B35F46"/>
    <w:rsid w:val="00D121D2"/>
    <w:rsid w:val="00D33DDD"/>
    <w:rsid w:val="00D6524D"/>
    <w:rsid w:val="00ED53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FC527A"/>
  <w15:chartTrackingRefBased/>
  <w15:docId w15:val="{636FC5B1-65A3-4048-BA72-A2E66DF08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D633B"/>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AD633B"/>
    <w:pPr>
      <w:tabs>
        <w:tab w:val="center" w:pos="4153"/>
        <w:tab w:val="right" w:pos="8306"/>
      </w:tabs>
    </w:pPr>
  </w:style>
  <w:style w:type="character" w:customStyle="1" w:styleId="a5">
    <w:name w:val="כותרת עליונה תו"/>
    <w:link w:val="a4"/>
    <w:rsid w:val="00AD633B"/>
    <w:rPr>
      <w:rFonts w:ascii="Times New Roman" w:eastAsia="Times New Roman" w:hAnsi="Times New Roman" w:cs="David"/>
      <w:sz w:val="24"/>
      <w:szCs w:val="24"/>
    </w:rPr>
  </w:style>
  <w:style w:type="paragraph" w:styleId="a6">
    <w:name w:val="footer"/>
    <w:basedOn w:val="a0"/>
    <w:link w:val="a7"/>
    <w:rsid w:val="00AD633B"/>
    <w:pPr>
      <w:tabs>
        <w:tab w:val="center" w:pos="4153"/>
        <w:tab w:val="right" w:pos="8306"/>
      </w:tabs>
    </w:pPr>
  </w:style>
  <w:style w:type="character" w:customStyle="1" w:styleId="a7">
    <w:name w:val="כותרת תחתונה תו"/>
    <w:link w:val="a6"/>
    <w:rsid w:val="00AD633B"/>
    <w:rPr>
      <w:rFonts w:ascii="Times New Roman" w:eastAsia="Times New Roman" w:hAnsi="Times New Roman" w:cs="David"/>
      <w:sz w:val="24"/>
      <w:szCs w:val="24"/>
    </w:rPr>
  </w:style>
  <w:style w:type="table" w:styleId="a8">
    <w:name w:val="Table Grid"/>
    <w:basedOn w:val="a2"/>
    <w:rsid w:val="00AD633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AD633B"/>
  </w:style>
  <w:style w:type="paragraph" w:styleId="aa">
    <w:name w:val="List Paragraph"/>
    <w:basedOn w:val="a0"/>
    <w:link w:val="ab"/>
    <w:qFormat/>
    <w:rsid w:val="00AD633B"/>
    <w:pPr>
      <w:ind w:left="720"/>
      <w:contextualSpacing/>
    </w:pPr>
  </w:style>
  <w:style w:type="character" w:customStyle="1" w:styleId="ab">
    <w:name w:val="פיסקת רשימה תו"/>
    <w:link w:val="aa"/>
    <w:locked/>
    <w:rsid w:val="00AD633B"/>
    <w:rPr>
      <w:rFonts w:ascii="Times New Roman" w:eastAsia="Times New Roman" w:hAnsi="Times New Roman" w:cs="David"/>
      <w:sz w:val="24"/>
      <w:szCs w:val="24"/>
    </w:rPr>
  </w:style>
  <w:style w:type="character" w:styleId="Hyperlink">
    <w:name w:val="Hyperlink"/>
    <w:rsid w:val="00AD633B"/>
    <w:rPr>
      <w:color w:val="0000FF"/>
      <w:u w:val="single"/>
    </w:rPr>
  </w:style>
  <w:style w:type="paragraph" w:customStyle="1" w:styleId="a">
    <w:name w:val="ממוספר"/>
    <w:basedOn w:val="a0"/>
    <w:rsid w:val="00AD633B"/>
    <w:pPr>
      <w:numPr>
        <w:numId w:val="4"/>
      </w:numPr>
      <w:spacing w:after="120" w:line="360" w:lineRule="auto"/>
    </w:pPr>
    <w:rPr>
      <w:rFonts w:ascii="David" w:hAnsi="David"/>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c"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5681790" TargetMode="External"/><Relationship Id="rId39" Type="http://schemas.openxmlformats.org/officeDocument/2006/relationships/hyperlink" Target="http://www.nevo.co.il/case/27204996" TargetMode="External"/><Relationship Id="rId21" Type="http://schemas.openxmlformats.org/officeDocument/2006/relationships/hyperlink" Target="http://www.nevo.co.il/law/4216/36a.b" TargetMode="External"/><Relationship Id="rId34" Type="http://schemas.openxmlformats.org/officeDocument/2006/relationships/hyperlink" Target="http://www.nevo.co.il/case/5786821" TargetMode="External"/><Relationship Id="rId42" Type="http://schemas.openxmlformats.org/officeDocument/2006/relationships/hyperlink" Target="http://www.nevo.co.il/case/8291661" TargetMode="External"/><Relationship Id="rId47" Type="http://schemas.openxmlformats.org/officeDocument/2006/relationships/hyperlink" Target="http://www.nevo.co.il/case/4855721" TargetMode="External"/><Relationship Id="rId50" Type="http://schemas.openxmlformats.org/officeDocument/2006/relationships/hyperlink" Target="http://www.nevo.co.il/case/18119161" TargetMode="External"/><Relationship Id="rId55" Type="http://schemas.openxmlformats.org/officeDocument/2006/relationships/hyperlink" Target="http://www.nevo.co.il/case/22801421" TargetMode="External"/><Relationship Id="rId63"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law/70301/40c" TargetMode="External"/><Relationship Id="rId11" Type="http://schemas.openxmlformats.org/officeDocument/2006/relationships/hyperlink" Target="http://www.nevo.co.il/law/4216/36a.b" TargetMode="External"/><Relationship Id="rId24" Type="http://schemas.openxmlformats.org/officeDocument/2006/relationships/hyperlink" Target="http://www.nevo.co.il/law/4216" TargetMode="External"/><Relationship Id="rId32" Type="http://schemas.openxmlformats.org/officeDocument/2006/relationships/hyperlink" Target="http://www.nevo.co.il/case/13093721" TargetMode="External"/><Relationship Id="rId37" Type="http://schemas.openxmlformats.org/officeDocument/2006/relationships/hyperlink" Target="http://www.nevo.co.il/case/6987521" TargetMode="External"/><Relationship Id="rId40" Type="http://schemas.openxmlformats.org/officeDocument/2006/relationships/hyperlink" Target="http://www.nevo.co.il/case/26346062" TargetMode="External"/><Relationship Id="rId45" Type="http://schemas.openxmlformats.org/officeDocument/2006/relationships/hyperlink" Target="http://www.nevo.co.il/case/10459111" TargetMode="External"/><Relationship Id="rId53" Type="http://schemas.openxmlformats.org/officeDocument/2006/relationships/hyperlink" Target="http://www.nevo.co.il/case/8477253" TargetMode="External"/><Relationship Id="rId58"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www.nevo.co.il/law/4216/10" TargetMode="External"/><Relationship Id="rId14" Type="http://schemas.openxmlformats.org/officeDocument/2006/relationships/hyperlink" Target="http://www.nevo.co.il/law/70301/400"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681790"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6045416" TargetMode="External"/><Relationship Id="rId43" Type="http://schemas.openxmlformats.org/officeDocument/2006/relationships/hyperlink" Target="http://www.nevo.co.il/case/7851842" TargetMode="External"/><Relationship Id="rId48" Type="http://schemas.openxmlformats.org/officeDocument/2006/relationships/hyperlink" Target="http://www.nevo.co.il/case/18107527" TargetMode="External"/><Relationship Id="rId56" Type="http://schemas.openxmlformats.org/officeDocument/2006/relationships/hyperlink" Target="http://www.eca.gov.il" TargetMode="External"/><Relationship Id="rId8" Type="http://schemas.openxmlformats.org/officeDocument/2006/relationships/hyperlink" Target="http://www.nevo.co.il/law/4216/6" TargetMode="External"/><Relationship Id="rId51" Type="http://schemas.openxmlformats.org/officeDocument/2006/relationships/hyperlink" Target="http://www.nevo.co.il/case/8477253"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70301/400" TargetMode="External"/><Relationship Id="rId25" Type="http://schemas.openxmlformats.org/officeDocument/2006/relationships/hyperlink" Target="http://www.nevo.co.il/case/5681787" TargetMode="External"/><Relationship Id="rId33" Type="http://schemas.openxmlformats.org/officeDocument/2006/relationships/hyperlink" Target="http://www.nevo.co.il/case/5738608" TargetMode="External"/><Relationship Id="rId38" Type="http://schemas.openxmlformats.org/officeDocument/2006/relationships/hyperlink" Target="http://www.nevo.co.il/case/27910565" TargetMode="External"/><Relationship Id="rId46" Type="http://schemas.openxmlformats.org/officeDocument/2006/relationships/hyperlink" Target="http://www.nevo.co.il/case/2791796" TargetMode="External"/><Relationship Id="rId59" Type="http://schemas.openxmlformats.org/officeDocument/2006/relationships/header" Target="header2.xml"/><Relationship Id="rId20" Type="http://schemas.openxmlformats.org/officeDocument/2006/relationships/hyperlink" Target="http://www.nevo.co.il/law/4216/36a.a" TargetMode="External"/><Relationship Id="rId41" Type="http://schemas.openxmlformats.org/officeDocument/2006/relationships/hyperlink" Target="http://www.nevo.co.il/case/20111708" TargetMode="External"/><Relationship Id="rId54" Type="http://schemas.openxmlformats.org/officeDocument/2006/relationships/hyperlink" Target="http://www.nevo.co.il/case/22876671"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6" TargetMode="External"/><Relationship Id="rId23" Type="http://schemas.openxmlformats.org/officeDocument/2006/relationships/hyperlink" Target="http://www.nevo.co.il/law/4216/36a.b"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17939812" TargetMode="External"/><Relationship Id="rId49" Type="http://schemas.openxmlformats.org/officeDocument/2006/relationships/hyperlink" Target="http://www.nevo.co.il/case/20685141" TargetMode="External"/><Relationship Id="rId57" Type="http://schemas.openxmlformats.org/officeDocument/2006/relationships/hyperlink" Target="http://www.nevo.co.il/advertisements/nevo-100.doc" TargetMode="External"/><Relationship Id="rId10" Type="http://schemas.openxmlformats.org/officeDocument/2006/relationships/hyperlink" Target="http://www.nevo.co.il/law/4216/36a.a" TargetMode="External"/><Relationship Id="rId31" Type="http://schemas.openxmlformats.org/officeDocument/2006/relationships/hyperlink" Target="http://www.nevo.co.il/case/5573417" TargetMode="External"/><Relationship Id="rId44" Type="http://schemas.openxmlformats.org/officeDocument/2006/relationships/hyperlink" Target="http://www.nevo.co.il/case/6900588" TargetMode="External"/><Relationship Id="rId52" Type="http://schemas.openxmlformats.org/officeDocument/2006/relationships/hyperlink" Target="http://www.nevo.co.il/case/4773189"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3543</Words>
  <Characters>17715</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21216</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7864368</vt:i4>
      </vt:variant>
      <vt:variant>
        <vt:i4>147</vt:i4>
      </vt:variant>
      <vt:variant>
        <vt:i4>0</vt:i4>
      </vt:variant>
      <vt:variant>
        <vt:i4>5</vt:i4>
      </vt:variant>
      <vt:variant>
        <vt:lpwstr>http://www.eca.gov.il/</vt:lpwstr>
      </vt:variant>
      <vt:variant>
        <vt:lpwstr/>
      </vt:variant>
      <vt:variant>
        <vt:i4>3735666</vt:i4>
      </vt:variant>
      <vt:variant>
        <vt:i4>144</vt:i4>
      </vt:variant>
      <vt:variant>
        <vt:i4>0</vt:i4>
      </vt:variant>
      <vt:variant>
        <vt:i4>5</vt:i4>
      </vt:variant>
      <vt:variant>
        <vt:lpwstr>http://www.nevo.co.il/case/22801421</vt:lpwstr>
      </vt:variant>
      <vt:variant>
        <vt:lpwstr/>
      </vt:variant>
      <vt:variant>
        <vt:i4>3866743</vt:i4>
      </vt:variant>
      <vt:variant>
        <vt:i4>141</vt:i4>
      </vt:variant>
      <vt:variant>
        <vt:i4>0</vt:i4>
      </vt:variant>
      <vt:variant>
        <vt:i4>5</vt:i4>
      </vt:variant>
      <vt:variant>
        <vt:lpwstr>http://www.nevo.co.il/case/22876671</vt:lpwstr>
      </vt:variant>
      <vt:variant>
        <vt:lpwstr/>
      </vt:variant>
      <vt:variant>
        <vt:i4>4063346</vt:i4>
      </vt:variant>
      <vt:variant>
        <vt:i4>138</vt:i4>
      </vt:variant>
      <vt:variant>
        <vt:i4>0</vt:i4>
      </vt:variant>
      <vt:variant>
        <vt:i4>5</vt:i4>
      </vt:variant>
      <vt:variant>
        <vt:lpwstr>http://www.nevo.co.il/case/8477253</vt:lpwstr>
      </vt:variant>
      <vt:variant>
        <vt:lpwstr/>
      </vt:variant>
      <vt:variant>
        <vt:i4>3866744</vt:i4>
      </vt:variant>
      <vt:variant>
        <vt:i4>135</vt:i4>
      </vt:variant>
      <vt:variant>
        <vt:i4>0</vt:i4>
      </vt:variant>
      <vt:variant>
        <vt:i4>5</vt:i4>
      </vt:variant>
      <vt:variant>
        <vt:lpwstr>http://www.nevo.co.il/case/4773189</vt:lpwstr>
      </vt:variant>
      <vt:variant>
        <vt:lpwstr/>
      </vt:variant>
      <vt:variant>
        <vt:i4>4063346</vt:i4>
      </vt:variant>
      <vt:variant>
        <vt:i4>132</vt:i4>
      </vt:variant>
      <vt:variant>
        <vt:i4>0</vt:i4>
      </vt:variant>
      <vt:variant>
        <vt:i4>5</vt:i4>
      </vt:variant>
      <vt:variant>
        <vt:lpwstr>http://www.nevo.co.il/case/8477253</vt:lpwstr>
      </vt:variant>
      <vt:variant>
        <vt:lpwstr/>
      </vt:variant>
      <vt:variant>
        <vt:i4>4128892</vt:i4>
      </vt:variant>
      <vt:variant>
        <vt:i4>129</vt:i4>
      </vt:variant>
      <vt:variant>
        <vt:i4>0</vt:i4>
      </vt:variant>
      <vt:variant>
        <vt:i4>5</vt:i4>
      </vt:variant>
      <vt:variant>
        <vt:lpwstr>http://www.nevo.co.il/case/18119161</vt:lpwstr>
      </vt:variant>
      <vt:variant>
        <vt:lpwstr/>
      </vt:variant>
      <vt:variant>
        <vt:i4>3473533</vt:i4>
      </vt:variant>
      <vt:variant>
        <vt:i4>126</vt:i4>
      </vt:variant>
      <vt:variant>
        <vt:i4>0</vt:i4>
      </vt:variant>
      <vt:variant>
        <vt:i4>5</vt:i4>
      </vt:variant>
      <vt:variant>
        <vt:lpwstr>http://www.nevo.co.il/case/20685141</vt:lpwstr>
      </vt:variant>
      <vt:variant>
        <vt:lpwstr/>
      </vt:variant>
      <vt:variant>
        <vt:i4>3473529</vt:i4>
      </vt:variant>
      <vt:variant>
        <vt:i4>123</vt:i4>
      </vt:variant>
      <vt:variant>
        <vt:i4>0</vt:i4>
      </vt:variant>
      <vt:variant>
        <vt:i4>5</vt:i4>
      </vt:variant>
      <vt:variant>
        <vt:lpwstr>http://www.nevo.co.il/case/18107527</vt:lpwstr>
      </vt:variant>
      <vt:variant>
        <vt:lpwstr/>
      </vt:variant>
      <vt:variant>
        <vt:i4>3604603</vt:i4>
      </vt:variant>
      <vt:variant>
        <vt:i4>120</vt:i4>
      </vt:variant>
      <vt:variant>
        <vt:i4>0</vt:i4>
      </vt:variant>
      <vt:variant>
        <vt:i4>5</vt:i4>
      </vt:variant>
      <vt:variant>
        <vt:lpwstr>http://www.nevo.co.il/case/4855721</vt:lpwstr>
      </vt:variant>
      <vt:variant>
        <vt:lpwstr/>
      </vt:variant>
      <vt:variant>
        <vt:i4>3801211</vt:i4>
      </vt:variant>
      <vt:variant>
        <vt:i4>117</vt:i4>
      </vt:variant>
      <vt:variant>
        <vt:i4>0</vt:i4>
      </vt:variant>
      <vt:variant>
        <vt:i4>5</vt:i4>
      </vt:variant>
      <vt:variant>
        <vt:lpwstr>http://www.nevo.co.il/case/2791796</vt:lpwstr>
      </vt:variant>
      <vt:variant>
        <vt:lpwstr/>
      </vt:variant>
      <vt:variant>
        <vt:i4>3997808</vt:i4>
      </vt:variant>
      <vt:variant>
        <vt:i4>114</vt:i4>
      </vt:variant>
      <vt:variant>
        <vt:i4>0</vt:i4>
      </vt:variant>
      <vt:variant>
        <vt:i4>5</vt:i4>
      </vt:variant>
      <vt:variant>
        <vt:lpwstr>http://www.nevo.co.il/case/10459111</vt:lpwstr>
      </vt:variant>
      <vt:variant>
        <vt:lpwstr/>
      </vt:variant>
      <vt:variant>
        <vt:i4>3866741</vt:i4>
      </vt:variant>
      <vt:variant>
        <vt:i4>111</vt:i4>
      </vt:variant>
      <vt:variant>
        <vt:i4>0</vt:i4>
      </vt:variant>
      <vt:variant>
        <vt:i4>5</vt:i4>
      </vt:variant>
      <vt:variant>
        <vt:lpwstr>http://www.nevo.co.il/case/6900588</vt:lpwstr>
      </vt:variant>
      <vt:variant>
        <vt:lpwstr/>
      </vt:variant>
      <vt:variant>
        <vt:i4>3670137</vt:i4>
      </vt:variant>
      <vt:variant>
        <vt:i4>108</vt:i4>
      </vt:variant>
      <vt:variant>
        <vt:i4>0</vt:i4>
      </vt:variant>
      <vt:variant>
        <vt:i4>5</vt:i4>
      </vt:variant>
      <vt:variant>
        <vt:lpwstr>http://www.nevo.co.il/case/7851842</vt:lpwstr>
      </vt:variant>
      <vt:variant>
        <vt:lpwstr/>
      </vt:variant>
      <vt:variant>
        <vt:i4>3539057</vt:i4>
      </vt:variant>
      <vt:variant>
        <vt:i4>105</vt:i4>
      </vt:variant>
      <vt:variant>
        <vt:i4>0</vt:i4>
      </vt:variant>
      <vt:variant>
        <vt:i4>5</vt:i4>
      </vt:variant>
      <vt:variant>
        <vt:lpwstr>http://www.nevo.co.il/case/8291661</vt:lpwstr>
      </vt:variant>
      <vt:variant>
        <vt:lpwstr/>
      </vt:variant>
      <vt:variant>
        <vt:i4>3276914</vt:i4>
      </vt:variant>
      <vt:variant>
        <vt:i4>102</vt:i4>
      </vt:variant>
      <vt:variant>
        <vt:i4>0</vt:i4>
      </vt:variant>
      <vt:variant>
        <vt:i4>5</vt:i4>
      </vt:variant>
      <vt:variant>
        <vt:lpwstr>http://www.nevo.co.il/case/20111708</vt:lpwstr>
      </vt:variant>
      <vt:variant>
        <vt:lpwstr/>
      </vt:variant>
      <vt:variant>
        <vt:i4>3211382</vt:i4>
      </vt:variant>
      <vt:variant>
        <vt:i4>99</vt:i4>
      </vt:variant>
      <vt:variant>
        <vt:i4>0</vt:i4>
      </vt:variant>
      <vt:variant>
        <vt:i4>5</vt:i4>
      </vt:variant>
      <vt:variant>
        <vt:lpwstr>http://www.nevo.co.il/case/26346062</vt:lpwstr>
      </vt:variant>
      <vt:variant>
        <vt:lpwstr/>
      </vt:variant>
      <vt:variant>
        <vt:i4>3997818</vt:i4>
      </vt:variant>
      <vt:variant>
        <vt:i4>96</vt:i4>
      </vt:variant>
      <vt:variant>
        <vt:i4>0</vt:i4>
      </vt:variant>
      <vt:variant>
        <vt:i4>5</vt:i4>
      </vt:variant>
      <vt:variant>
        <vt:lpwstr>http://www.nevo.co.il/case/27204996</vt:lpwstr>
      </vt:variant>
      <vt:variant>
        <vt:lpwstr/>
      </vt:variant>
      <vt:variant>
        <vt:i4>3997815</vt:i4>
      </vt:variant>
      <vt:variant>
        <vt:i4>93</vt:i4>
      </vt:variant>
      <vt:variant>
        <vt:i4>0</vt:i4>
      </vt:variant>
      <vt:variant>
        <vt:i4>5</vt:i4>
      </vt:variant>
      <vt:variant>
        <vt:lpwstr>http://www.nevo.co.il/case/27910565</vt:lpwstr>
      </vt:variant>
      <vt:variant>
        <vt:lpwstr/>
      </vt:variant>
      <vt:variant>
        <vt:i4>3801208</vt:i4>
      </vt:variant>
      <vt:variant>
        <vt:i4>90</vt:i4>
      </vt:variant>
      <vt:variant>
        <vt:i4>0</vt:i4>
      </vt:variant>
      <vt:variant>
        <vt:i4>5</vt:i4>
      </vt:variant>
      <vt:variant>
        <vt:lpwstr>http://www.nevo.co.il/case/6987521</vt:lpwstr>
      </vt:variant>
      <vt:variant>
        <vt:lpwstr/>
      </vt:variant>
      <vt:variant>
        <vt:i4>3145848</vt:i4>
      </vt:variant>
      <vt:variant>
        <vt:i4>87</vt:i4>
      </vt:variant>
      <vt:variant>
        <vt:i4>0</vt:i4>
      </vt:variant>
      <vt:variant>
        <vt:i4>5</vt:i4>
      </vt:variant>
      <vt:variant>
        <vt:lpwstr>http://www.nevo.co.il/case/17939812</vt:lpwstr>
      </vt:variant>
      <vt:variant>
        <vt:lpwstr/>
      </vt:variant>
      <vt:variant>
        <vt:i4>3145840</vt:i4>
      </vt:variant>
      <vt:variant>
        <vt:i4>84</vt:i4>
      </vt:variant>
      <vt:variant>
        <vt:i4>0</vt:i4>
      </vt:variant>
      <vt:variant>
        <vt:i4>5</vt:i4>
      </vt:variant>
      <vt:variant>
        <vt:lpwstr>http://www.nevo.co.il/case/6045416</vt:lpwstr>
      </vt:variant>
      <vt:variant>
        <vt:lpwstr/>
      </vt:variant>
      <vt:variant>
        <vt:i4>3407991</vt:i4>
      </vt:variant>
      <vt:variant>
        <vt:i4>81</vt:i4>
      </vt:variant>
      <vt:variant>
        <vt:i4>0</vt:i4>
      </vt:variant>
      <vt:variant>
        <vt:i4>5</vt:i4>
      </vt:variant>
      <vt:variant>
        <vt:lpwstr>http://www.nevo.co.il/case/5786821</vt:lpwstr>
      </vt:variant>
      <vt:variant>
        <vt:lpwstr/>
      </vt:variant>
      <vt:variant>
        <vt:i4>3670139</vt:i4>
      </vt:variant>
      <vt:variant>
        <vt:i4>78</vt:i4>
      </vt:variant>
      <vt:variant>
        <vt:i4>0</vt:i4>
      </vt:variant>
      <vt:variant>
        <vt:i4>5</vt:i4>
      </vt:variant>
      <vt:variant>
        <vt:lpwstr>http://www.nevo.co.il/case/5738608</vt:lpwstr>
      </vt:variant>
      <vt:variant>
        <vt:lpwstr/>
      </vt:variant>
      <vt:variant>
        <vt:i4>3145849</vt:i4>
      </vt:variant>
      <vt:variant>
        <vt:i4>75</vt:i4>
      </vt:variant>
      <vt:variant>
        <vt:i4>0</vt:i4>
      </vt:variant>
      <vt:variant>
        <vt:i4>5</vt:i4>
      </vt:variant>
      <vt:variant>
        <vt:lpwstr>http://www.nevo.co.il/case/13093721</vt:lpwstr>
      </vt:variant>
      <vt:variant>
        <vt:lpwstr/>
      </vt:variant>
      <vt:variant>
        <vt:i4>3211379</vt:i4>
      </vt:variant>
      <vt:variant>
        <vt:i4>72</vt:i4>
      </vt:variant>
      <vt:variant>
        <vt:i4>0</vt:i4>
      </vt:variant>
      <vt:variant>
        <vt:i4>5</vt:i4>
      </vt:variant>
      <vt:variant>
        <vt:lpwstr>http://www.nevo.co.il/case/5573417</vt:lpwstr>
      </vt:variant>
      <vt:variant>
        <vt:lpwstr/>
      </vt:variant>
      <vt:variant>
        <vt:i4>7995492</vt:i4>
      </vt:variant>
      <vt:variant>
        <vt:i4>69</vt:i4>
      </vt:variant>
      <vt:variant>
        <vt:i4>0</vt:i4>
      </vt:variant>
      <vt:variant>
        <vt:i4>5</vt:i4>
      </vt:variant>
      <vt:variant>
        <vt:lpwstr>http://www.nevo.co.il/law/70301</vt:lpwstr>
      </vt:variant>
      <vt:variant>
        <vt:lpwstr/>
      </vt:variant>
      <vt:variant>
        <vt:i4>6619233</vt:i4>
      </vt:variant>
      <vt:variant>
        <vt:i4>66</vt:i4>
      </vt:variant>
      <vt:variant>
        <vt:i4>0</vt:i4>
      </vt:variant>
      <vt:variant>
        <vt:i4>5</vt:i4>
      </vt:variant>
      <vt:variant>
        <vt:lpwstr>http://www.nevo.co.il/law/70301/40c</vt:lpwstr>
      </vt:variant>
      <vt:variant>
        <vt:lpwstr/>
      </vt:variant>
      <vt:variant>
        <vt:i4>7995492</vt:i4>
      </vt:variant>
      <vt:variant>
        <vt:i4>63</vt:i4>
      </vt:variant>
      <vt:variant>
        <vt:i4>0</vt:i4>
      </vt:variant>
      <vt:variant>
        <vt:i4>5</vt:i4>
      </vt:variant>
      <vt:variant>
        <vt:lpwstr>http://www.nevo.co.il/law/70301</vt:lpwstr>
      </vt:variant>
      <vt:variant>
        <vt:lpwstr/>
      </vt:variant>
      <vt:variant>
        <vt:i4>3801210</vt:i4>
      </vt:variant>
      <vt:variant>
        <vt:i4>60</vt:i4>
      </vt:variant>
      <vt:variant>
        <vt:i4>0</vt:i4>
      </vt:variant>
      <vt:variant>
        <vt:i4>5</vt:i4>
      </vt:variant>
      <vt:variant>
        <vt:lpwstr>http://www.nevo.co.il/case/5681790</vt:lpwstr>
      </vt:variant>
      <vt:variant>
        <vt:lpwstr/>
      </vt:variant>
      <vt:variant>
        <vt:i4>3801210</vt:i4>
      </vt:variant>
      <vt:variant>
        <vt:i4>57</vt:i4>
      </vt:variant>
      <vt:variant>
        <vt:i4>0</vt:i4>
      </vt:variant>
      <vt:variant>
        <vt:i4>5</vt:i4>
      </vt:variant>
      <vt:variant>
        <vt:lpwstr>http://www.nevo.co.il/case/5681790</vt:lpwstr>
      </vt:variant>
      <vt:variant>
        <vt:lpwstr/>
      </vt:variant>
      <vt:variant>
        <vt:i4>3997819</vt:i4>
      </vt:variant>
      <vt:variant>
        <vt:i4>54</vt:i4>
      </vt:variant>
      <vt:variant>
        <vt:i4>0</vt:i4>
      </vt:variant>
      <vt:variant>
        <vt:i4>5</vt:i4>
      </vt:variant>
      <vt:variant>
        <vt:lpwstr>http://www.nevo.co.il/case/5681787</vt:lpwstr>
      </vt:variant>
      <vt:variant>
        <vt:lpwstr/>
      </vt:variant>
      <vt:variant>
        <vt:i4>8257637</vt:i4>
      </vt:variant>
      <vt:variant>
        <vt:i4>51</vt:i4>
      </vt:variant>
      <vt:variant>
        <vt:i4>0</vt:i4>
      </vt:variant>
      <vt:variant>
        <vt:i4>5</vt:i4>
      </vt:variant>
      <vt:variant>
        <vt:lpwstr>http://www.nevo.co.il/law/4216</vt:lpwstr>
      </vt:variant>
      <vt:variant>
        <vt:lpwstr/>
      </vt:variant>
      <vt:variant>
        <vt:i4>5111890</vt:i4>
      </vt:variant>
      <vt:variant>
        <vt:i4>48</vt:i4>
      </vt:variant>
      <vt:variant>
        <vt:i4>0</vt:i4>
      </vt:variant>
      <vt:variant>
        <vt:i4>5</vt:i4>
      </vt:variant>
      <vt:variant>
        <vt:lpwstr>http://www.nevo.co.il/law/4216/36a.b</vt:lpwstr>
      </vt:variant>
      <vt:variant>
        <vt:lpwstr/>
      </vt:variant>
      <vt:variant>
        <vt:i4>8257637</vt:i4>
      </vt:variant>
      <vt:variant>
        <vt:i4>45</vt:i4>
      </vt:variant>
      <vt:variant>
        <vt:i4>0</vt:i4>
      </vt:variant>
      <vt:variant>
        <vt:i4>5</vt:i4>
      </vt:variant>
      <vt:variant>
        <vt:lpwstr>http://www.nevo.co.il/law/4216</vt:lpwstr>
      </vt:variant>
      <vt:variant>
        <vt:lpwstr/>
      </vt:variant>
      <vt:variant>
        <vt:i4>5111890</vt:i4>
      </vt:variant>
      <vt:variant>
        <vt:i4>42</vt:i4>
      </vt:variant>
      <vt:variant>
        <vt:i4>0</vt:i4>
      </vt:variant>
      <vt:variant>
        <vt:i4>5</vt:i4>
      </vt:variant>
      <vt:variant>
        <vt:lpwstr>http://www.nevo.co.il/law/4216/36a.b</vt:lpwstr>
      </vt:variant>
      <vt:variant>
        <vt:lpwstr/>
      </vt:variant>
      <vt:variant>
        <vt:i4>5046354</vt:i4>
      </vt:variant>
      <vt:variant>
        <vt:i4>39</vt:i4>
      </vt:variant>
      <vt:variant>
        <vt:i4>0</vt:i4>
      </vt:variant>
      <vt:variant>
        <vt:i4>5</vt:i4>
      </vt:variant>
      <vt:variant>
        <vt:lpwstr>http://www.nevo.co.il/law/4216/36a.a</vt:lpwstr>
      </vt:variant>
      <vt:variant>
        <vt:lpwstr/>
      </vt:variant>
      <vt:variant>
        <vt:i4>5177418</vt:i4>
      </vt:variant>
      <vt:variant>
        <vt:i4>36</vt:i4>
      </vt:variant>
      <vt:variant>
        <vt:i4>0</vt:i4>
      </vt:variant>
      <vt:variant>
        <vt:i4>5</vt:i4>
      </vt:variant>
      <vt:variant>
        <vt:lpwstr>http://www.nevo.co.il/law/4216/10</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6619233</vt:i4>
      </vt:variant>
      <vt:variant>
        <vt:i4>18</vt:i4>
      </vt:variant>
      <vt:variant>
        <vt:i4>0</vt:i4>
      </vt:variant>
      <vt:variant>
        <vt:i4>5</vt:i4>
      </vt:variant>
      <vt:variant>
        <vt:lpwstr>http://www.nevo.co.il/law/70301/40c</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5111890</vt:i4>
      </vt:variant>
      <vt:variant>
        <vt:i4>12</vt:i4>
      </vt:variant>
      <vt:variant>
        <vt:i4>0</vt:i4>
      </vt:variant>
      <vt:variant>
        <vt:i4>5</vt:i4>
      </vt:variant>
      <vt:variant>
        <vt:lpwstr>http://www.nevo.co.il/law/4216/36a.b</vt:lpwstr>
      </vt:variant>
      <vt:variant>
        <vt:lpwstr/>
      </vt:variant>
      <vt:variant>
        <vt:i4>5046354</vt:i4>
      </vt:variant>
      <vt:variant>
        <vt:i4>9</vt:i4>
      </vt:variant>
      <vt:variant>
        <vt:i4>0</vt:i4>
      </vt:variant>
      <vt:variant>
        <vt:i4>5</vt:i4>
      </vt:variant>
      <vt:variant>
        <vt:lpwstr>http://www.nevo.co.il/law/4216/36a.a</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2025-04-23T01:12:00Z</dcterms:created>
  <dcterms:modified xsi:type="dcterms:W3CDTF">2025-04-23T01:12:00Z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17415</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שמואל ספניאייב</vt:lpwstr>
  </property>
  <property fmtid="{D5CDD505-2E9C-101B-9397-08002B2CF9AE}" pid="10" name="JUDGE">
    <vt:lpwstr>סימי פלג קימלוב</vt:lpwstr>
  </property>
  <property fmtid="{D5CDD505-2E9C-101B-9397-08002B2CF9AE}" pid="11" name="CITY">
    <vt:lpwstr>קריות</vt:lpwstr>
  </property>
  <property fmtid="{D5CDD505-2E9C-101B-9397-08002B2CF9AE}" pid="12" name="DATE">
    <vt:lpwstr>20240303</vt:lpwstr>
  </property>
  <property fmtid="{D5CDD505-2E9C-101B-9397-08002B2CF9AE}" pid="13" name="TYPE_N_DATE">
    <vt:lpwstr>38020240303</vt:lpwstr>
  </property>
  <property fmtid="{D5CDD505-2E9C-101B-9397-08002B2CF9AE}" pid="14" name="WORDNUMPAGES">
    <vt:lpwstr>11</vt:lpwstr>
  </property>
  <property fmtid="{D5CDD505-2E9C-101B-9397-08002B2CF9AE}" pid="15" name="TYPE_ABS_DATE">
    <vt:lpwstr>380020240303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5681787;5681790:2;5573417;13093721;5738608;5786821;6045416;17939812;6987521;27910565;27204996;26346062;20111708;8291661;7851842;6900588;10459111;2791796;4855721;18107527;20685141;18119161;8477253:2;4773189;22876671;22801421</vt:lpwstr>
  </property>
  <property fmtid="{D5CDD505-2E9C-101B-9397-08002B2CF9AE}" pid="36" name="LAWLISTTMP1">
    <vt:lpwstr>4216/006;010;036a.a;036a.b:2</vt:lpwstr>
  </property>
  <property fmtid="{D5CDD505-2E9C-101B-9397-08002B2CF9AE}" pid="37" name="LAWLISTTMP2">
    <vt:lpwstr>70301/400;040c</vt:lpwstr>
  </property>
</Properties>
</file>