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A87954" w:rsidRPr="007258B0" w14:paraId="64DB178D" w14:textId="77777777" w:rsidTr="00752F68">
        <w:trPr>
          <w:gridAfter w:val="1"/>
          <w:wAfter w:w="99" w:type="dxa"/>
          <w:trHeight w:hRule="exact" w:val="418"/>
          <w:jc w:val="center"/>
        </w:trPr>
        <w:tc>
          <w:tcPr>
            <w:tcW w:w="8721" w:type="dxa"/>
            <w:gridSpan w:val="4"/>
          </w:tcPr>
          <w:p w14:paraId="624DFC76" w14:textId="77777777" w:rsidR="00A87954" w:rsidRPr="007258B0" w:rsidRDefault="00A87954" w:rsidP="00C14E76">
            <w:pPr>
              <w:pStyle w:val="a4"/>
              <w:jc w:val="center"/>
              <w:rPr>
                <w:rFonts w:ascii="Tahoma" w:hAnsi="Tahoma" w:cs="Tahoma"/>
                <w:color w:val="000080"/>
                <w:rtl/>
              </w:rPr>
            </w:pPr>
            <w:bookmarkStart w:id="0" w:name="LastJudge"/>
            <w:r w:rsidRPr="007258B0">
              <w:rPr>
                <w:rFonts w:ascii="Tahoma" w:hAnsi="Tahoma" w:cs="Tahoma"/>
                <w:b/>
                <w:bCs/>
                <w:color w:val="000080"/>
                <w:rtl/>
              </w:rPr>
              <w:t>בית משפט השלום בראשון לציון</w:t>
            </w:r>
          </w:p>
        </w:tc>
      </w:tr>
      <w:tr w:rsidR="00A87954" w:rsidRPr="007258B0" w14:paraId="0185017E" w14:textId="77777777" w:rsidTr="00752F68">
        <w:trPr>
          <w:gridAfter w:val="1"/>
          <w:wAfter w:w="99" w:type="dxa"/>
          <w:trHeight w:val="337"/>
          <w:jc w:val="center"/>
        </w:trPr>
        <w:tc>
          <w:tcPr>
            <w:tcW w:w="5054" w:type="dxa"/>
            <w:gridSpan w:val="3"/>
          </w:tcPr>
          <w:p w14:paraId="44237083" w14:textId="77777777" w:rsidR="00A87954" w:rsidRPr="007258B0" w:rsidRDefault="00A87954" w:rsidP="00C14E76">
            <w:pPr>
              <w:rPr>
                <w:rFonts w:cs="FrankRuehl"/>
                <w:sz w:val="28"/>
                <w:szCs w:val="28"/>
                <w:rtl/>
              </w:rPr>
            </w:pPr>
            <w:r w:rsidRPr="007258B0">
              <w:rPr>
                <w:rFonts w:cs="FrankRuehl"/>
                <w:sz w:val="28"/>
                <w:szCs w:val="28"/>
                <w:rtl/>
              </w:rPr>
              <w:t>ת"פ</w:t>
            </w:r>
            <w:r w:rsidRPr="007258B0">
              <w:rPr>
                <w:rFonts w:cs="FrankRuehl" w:hint="cs"/>
                <w:sz w:val="28"/>
                <w:szCs w:val="28"/>
                <w:rtl/>
              </w:rPr>
              <w:t xml:space="preserve"> </w:t>
            </w:r>
            <w:r w:rsidRPr="007258B0">
              <w:rPr>
                <w:rFonts w:cs="FrankRuehl"/>
                <w:sz w:val="28"/>
                <w:szCs w:val="28"/>
                <w:rtl/>
              </w:rPr>
              <w:t>27743-10-21</w:t>
            </w:r>
            <w:r w:rsidRPr="007258B0">
              <w:rPr>
                <w:rFonts w:cs="FrankRuehl" w:hint="cs"/>
                <w:sz w:val="28"/>
                <w:szCs w:val="28"/>
                <w:rtl/>
              </w:rPr>
              <w:t xml:space="preserve"> </w:t>
            </w:r>
            <w:r w:rsidRPr="007258B0">
              <w:rPr>
                <w:rFonts w:cs="FrankRuehl"/>
                <w:sz w:val="28"/>
                <w:szCs w:val="28"/>
                <w:rtl/>
              </w:rPr>
              <w:t>מדינת ישראל נ' יעקבי</w:t>
            </w:r>
          </w:p>
          <w:p w14:paraId="1EA027D6" w14:textId="77777777" w:rsidR="00A87954" w:rsidRPr="007258B0" w:rsidRDefault="00A87954" w:rsidP="00C14E76">
            <w:pPr>
              <w:pStyle w:val="a4"/>
              <w:rPr>
                <w:rFonts w:cs="FrankRuehl"/>
                <w:sz w:val="28"/>
                <w:szCs w:val="28"/>
                <w:rtl/>
              </w:rPr>
            </w:pPr>
          </w:p>
        </w:tc>
        <w:tc>
          <w:tcPr>
            <w:tcW w:w="3667" w:type="dxa"/>
          </w:tcPr>
          <w:p w14:paraId="0124F2D8" w14:textId="77777777" w:rsidR="00A87954" w:rsidRPr="007258B0" w:rsidRDefault="00A87954" w:rsidP="00C14E76">
            <w:pPr>
              <w:pStyle w:val="a4"/>
              <w:jc w:val="right"/>
              <w:rPr>
                <w:rFonts w:cs="FrankRuehl"/>
                <w:sz w:val="28"/>
                <w:szCs w:val="28"/>
                <w:rtl/>
              </w:rPr>
            </w:pPr>
          </w:p>
        </w:tc>
      </w:tr>
      <w:tr w:rsidR="00A87954" w:rsidRPr="007258B0" w14:paraId="3F7E92C2" w14:textId="77777777" w:rsidTr="00752F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696FB04" w14:textId="77777777" w:rsidR="00A87954" w:rsidRPr="007258B0" w:rsidRDefault="00A87954" w:rsidP="00A87954">
            <w:pPr>
              <w:jc w:val="both"/>
              <w:rPr>
                <w:rFonts w:ascii="David" w:hAnsi="David"/>
                <w:sz w:val="26"/>
                <w:szCs w:val="26"/>
              </w:rPr>
            </w:pPr>
            <w:r w:rsidRPr="007258B0">
              <w:rPr>
                <w:rFonts w:hint="cs"/>
                <w:rtl/>
              </w:rPr>
              <w:t xml:space="preserve"> </w:t>
            </w:r>
            <w:r w:rsidRPr="007258B0">
              <w:rPr>
                <w:rFonts w:ascii="David" w:hAnsi="David" w:hint="cs"/>
                <w:sz w:val="26"/>
                <w:szCs w:val="26"/>
                <w:rtl/>
              </w:rPr>
              <w:t>ל</w:t>
            </w:r>
            <w:r w:rsidRPr="007258B0">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928AF4A" w14:textId="77777777" w:rsidR="00A87954" w:rsidRPr="007258B0" w:rsidRDefault="00A87954" w:rsidP="00C14E76">
            <w:pPr>
              <w:rPr>
                <w:rFonts w:ascii="David" w:hAnsi="David"/>
                <w:b/>
                <w:bCs/>
                <w:sz w:val="26"/>
                <w:szCs w:val="26"/>
                <w:rtl/>
              </w:rPr>
            </w:pPr>
            <w:r w:rsidRPr="007258B0">
              <w:rPr>
                <w:rFonts w:ascii="David" w:hAnsi="David"/>
                <w:b/>
                <w:bCs/>
                <w:sz w:val="26"/>
                <w:szCs w:val="26"/>
                <w:rtl/>
              </w:rPr>
              <w:t>כבוד השופט  טל ענר</w:t>
            </w:r>
          </w:p>
          <w:p w14:paraId="38D98B84" w14:textId="77777777" w:rsidR="00A87954" w:rsidRPr="007258B0" w:rsidRDefault="00A87954" w:rsidP="00C14E76">
            <w:pPr>
              <w:rPr>
                <w:rFonts w:ascii="David" w:hAnsi="David"/>
                <w:sz w:val="26"/>
                <w:szCs w:val="26"/>
                <w:rtl/>
              </w:rPr>
            </w:pPr>
          </w:p>
          <w:p w14:paraId="0CCA146F" w14:textId="77777777" w:rsidR="00A87954" w:rsidRPr="007258B0" w:rsidRDefault="00A87954" w:rsidP="00A87954">
            <w:pPr>
              <w:jc w:val="both"/>
              <w:rPr>
                <w:rFonts w:ascii="David" w:hAnsi="David"/>
                <w:sz w:val="26"/>
                <w:szCs w:val="26"/>
              </w:rPr>
            </w:pPr>
          </w:p>
        </w:tc>
      </w:tr>
      <w:tr w:rsidR="00A87954" w:rsidRPr="007258B0" w14:paraId="3F9BC8D7" w14:textId="77777777" w:rsidTr="00752F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5D0EB4C" w14:textId="77777777" w:rsidR="00A87954" w:rsidRPr="007258B0" w:rsidRDefault="00A87954" w:rsidP="00A87954">
            <w:pPr>
              <w:jc w:val="both"/>
              <w:rPr>
                <w:rFonts w:ascii="David" w:hAnsi="David"/>
                <w:sz w:val="26"/>
                <w:szCs w:val="26"/>
              </w:rPr>
            </w:pPr>
            <w:bookmarkStart w:id="1" w:name="FirstAppellant"/>
            <w:r w:rsidRPr="007258B0">
              <w:rPr>
                <w:rFonts w:ascii="David" w:hAnsi="David"/>
                <w:sz w:val="26"/>
                <w:szCs w:val="26"/>
                <w:rtl/>
              </w:rPr>
              <w:t>בעניין:</w:t>
            </w:r>
          </w:p>
        </w:tc>
        <w:tc>
          <w:tcPr>
            <w:tcW w:w="3219" w:type="dxa"/>
            <w:tcBorders>
              <w:top w:val="nil"/>
              <w:left w:val="nil"/>
              <w:bottom w:val="nil"/>
              <w:right w:val="nil"/>
            </w:tcBorders>
            <w:shd w:val="clear" w:color="auto" w:fill="auto"/>
          </w:tcPr>
          <w:p w14:paraId="6ADFC61B" w14:textId="77777777" w:rsidR="00A87954" w:rsidRPr="007258B0" w:rsidRDefault="00A87954" w:rsidP="00A87954">
            <w:pPr>
              <w:suppressLineNumbers/>
            </w:pPr>
            <w:r w:rsidRPr="007258B0">
              <w:rPr>
                <w:rFonts w:ascii="Arial" w:hAnsi="Arial" w:hint="cs"/>
                <w:b/>
                <w:bCs/>
                <w:sz w:val="26"/>
                <w:szCs w:val="26"/>
                <w:rtl/>
              </w:rPr>
              <w:t>ה</w:t>
            </w:r>
            <w:r w:rsidRPr="007258B0">
              <w:rPr>
                <w:rFonts w:ascii="Arial" w:hAnsi="Arial"/>
                <w:b/>
                <w:bCs/>
                <w:sz w:val="26"/>
                <w:szCs w:val="26"/>
                <w:rtl/>
              </w:rPr>
              <w:t>מאשימה</w:t>
            </w:r>
          </w:p>
          <w:p w14:paraId="25BFF19F" w14:textId="77777777" w:rsidR="00A87954" w:rsidRPr="007258B0" w:rsidRDefault="00A87954" w:rsidP="00C14E7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FA52552" w14:textId="77777777" w:rsidR="00A87954" w:rsidRPr="007258B0" w:rsidRDefault="00A87954" w:rsidP="00A87954">
            <w:pPr>
              <w:suppressLineNumbers/>
            </w:pPr>
            <w:r w:rsidRPr="007258B0">
              <w:rPr>
                <w:rFonts w:ascii="Arial" w:hAnsi="Arial"/>
                <w:b/>
                <w:bCs/>
                <w:sz w:val="26"/>
                <w:szCs w:val="26"/>
                <w:rtl/>
              </w:rPr>
              <w:t>מדינת ישראל</w:t>
            </w:r>
            <w:r w:rsidRPr="007258B0">
              <w:rPr>
                <w:rFonts w:ascii="Arial" w:hAnsi="Arial" w:hint="cs"/>
                <w:b/>
                <w:bCs/>
                <w:sz w:val="26"/>
                <w:szCs w:val="26"/>
                <w:rtl/>
              </w:rPr>
              <w:t xml:space="preserve"> </w:t>
            </w:r>
          </w:p>
          <w:p w14:paraId="0D959C59" w14:textId="77777777" w:rsidR="00A87954" w:rsidRPr="007258B0" w:rsidRDefault="00A87954" w:rsidP="00C14E76">
            <w:pPr>
              <w:rPr>
                <w:rFonts w:ascii="David" w:hAnsi="David"/>
                <w:sz w:val="26"/>
                <w:szCs w:val="26"/>
              </w:rPr>
            </w:pPr>
          </w:p>
        </w:tc>
      </w:tr>
      <w:bookmarkEnd w:id="1"/>
      <w:tr w:rsidR="00A87954" w:rsidRPr="007258B0" w14:paraId="112FABE1" w14:textId="77777777" w:rsidTr="00752F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74B705" w14:textId="77777777" w:rsidR="00A87954" w:rsidRPr="007258B0" w:rsidRDefault="00A87954" w:rsidP="00A8795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69E2FA1" w14:textId="77777777" w:rsidR="00A87954" w:rsidRPr="007258B0" w:rsidRDefault="00A87954" w:rsidP="00A87954">
            <w:pPr>
              <w:jc w:val="center"/>
              <w:rPr>
                <w:rFonts w:ascii="David" w:hAnsi="David"/>
                <w:b/>
                <w:bCs/>
                <w:sz w:val="26"/>
                <w:szCs w:val="26"/>
                <w:rtl/>
              </w:rPr>
            </w:pPr>
          </w:p>
          <w:p w14:paraId="0D961426" w14:textId="77777777" w:rsidR="00A87954" w:rsidRPr="007258B0" w:rsidRDefault="00A87954" w:rsidP="00A87954">
            <w:pPr>
              <w:jc w:val="center"/>
              <w:rPr>
                <w:rFonts w:ascii="David" w:hAnsi="David"/>
                <w:b/>
                <w:bCs/>
                <w:sz w:val="26"/>
                <w:szCs w:val="26"/>
                <w:rtl/>
              </w:rPr>
            </w:pPr>
            <w:r w:rsidRPr="007258B0">
              <w:rPr>
                <w:rFonts w:ascii="David" w:hAnsi="David"/>
                <w:b/>
                <w:bCs/>
                <w:sz w:val="26"/>
                <w:szCs w:val="26"/>
                <w:rtl/>
              </w:rPr>
              <w:t>נגד</w:t>
            </w:r>
          </w:p>
          <w:p w14:paraId="518FB56B" w14:textId="77777777" w:rsidR="00A87954" w:rsidRPr="007258B0" w:rsidRDefault="00A87954" w:rsidP="00A87954">
            <w:pPr>
              <w:jc w:val="both"/>
              <w:rPr>
                <w:rFonts w:ascii="David" w:hAnsi="David"/>
                <w:sz w:val="26"/>
                <w:szCs w:val="26"/>
              </w:rPr>
            </w:pPr>
          </w:p>
        </w:tc>
      </w:tr>
      <w:tr w:rsidR="00A87954" w:rsidRPr="007258B0" w14:paraId="6E7B7D14" w14:textId="77777777" w:rsidTr="00752F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CE1A0B1" w14:textId="77777777" w:rsidR="00A87954" w:rsidRPr="007258B0" w:rsidRDefault="00A87954" w:rsidP="00C14E76">
            <w:pPr>
              <w:rPr>
                <w:rFonts w:ascii="David" w:hAnsi="David"/>
                <w:sz w:val="26"/>
                <w:szCs w:val="26"/>
                <w:rtl/>
              </w:rPr>
            </w:pPr>
          </w:p>
        </w:tc>
        <w:tc>
          <w:tcPr>
            <w:tcW w:w="3219" w:type="dxa"/>
            <w:tcBorders>
              <w:top w:val="nil"/>
              <w:left w:val="nil"/>
              <w:bottom w:val="nil"/>
              <w:right w:val="nil"/>
            </w:tcBorders>
            <w:shd w:val="clear" w:color="auto" w:fill="auto"/>
          </w:tcPr>
          <w:p w14:paraId="26DE8ADB" w14:textId="77777777" w:rsidR="00A87954" w:rsidRPr="007258B0" w:rsidRDefault="00A87954" w:rsidP="00C14E76">
            <w:pPr>
              <w:rPr>
                <w:rFonts w:ascii="Arial" w:hAnsi="Arial"/>
                <w:b/>
                <w:bCs/>
                <w:sz w:val="26"/>
                <w:szCs w:val="26"/>
                <w:rtl/>
              </w:rPr>
            </w:pPr>
            <w:r w:rsidRPr="007258B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281C468" w14:textId="77777777" w:rsidR="00A87954" w:rsidRPr="007258B0" w:rsidRDefault="00A87954" w:rsidP="00A87954">
            <w:pPr>
              <w:suppressLineNumbers/>
            </w:pPr>
            <w:r w:rsidRPr="007258B0">
              <w:rPr>
                <w:rFonts w:ascii="Arial" w:hAnsi="Arial"/>
                <w:b/>
                <w:bCs/>
                <w:sz w:val="26"/>
                <w:szCs w:val="26"/>
                <w:rtl/>
              </w:rPr>
              <w:t>משה יעקבי</w:t>
            </w:r>
          </w:p>
          <w:p w14:paraId="0758A340" w14:textId="77777777" w:rsidR="00A87954" w:rsidRPr="007258B0" w:rsidRDefault="00A87954" w:rsidP="00C14E76">
            <w:pPr>
              <w:rPr>
                <w:rFonts w:ascii="David" w:hAnsi="David"/>
                <w:sz w:val="26"/>
                <w:szCs w:val="26"/>
              </w:rPr>
            </w:pPr>
          </w:p>
        </w:tc>
      </w:tr>
    </w:tbl>
    <w:p w14:paraId="127A5643" w14:textId="77777777" w:rsidR="00A87954" w:rsidRPr="007258B0" w:rsidRDefault="00A87954" w:rsidP="00A87954">
      <w:pPr>
        <w:rPr>
          <w:sz w:val="26"/>
          <w:szCs w:val="26"/>
          <w:rtl/>
        </w:rPr>
      </w:pPr>
    </w:p>
    <w:p w14:paraId="7A4C14B0" w14:textId="77777777" w:rsidR="007258B0" w:rsidRPr="007258B0" w:rsidRDefault="007258B0" w:rsidP="007258B0">
      <w:pPr>
        <w:spacing w:before="120" w:after="120" w:line="240" w:lineRule="exact"/>
        <w:ind w:left="283" w:hanging="283"/>
        <w:jc w:val="both"/>
        <w:rPr>
          <w:rFonts w:ascii="FrankRuehl" w:hAnsi="FrankRuehl" w:cs="FrankRuehl"/>
          <w:rtl/>
        </w:rPr>
      </w:pPr>
    </w:p>
    <w:p w14:paraId="53C2A7A9" w14:textId="77777777" w:rsidR="007258B0" w:rsidRPr="007258B0" w:rsidRDefault="007258B0" w:rsidP="007258B0">
      <w:pPr>
        <w:rPr>
          <w:sz w:val="26"/>
          <w:szCs w:val="26"/>
          <w:rtl/>
        </w:rPr>
      </w:pPr>
    </w:p>
    <w:p w14:paraId="6DA6E4D2" w14:textId="77777777" w:rsidR="00752F68" w:rsidRPr="00752F68" w:rsidRDefault="00752F68" w:rsidP="00752F68">
      <w:pPr>
        <w:spacing w:before="120" w:after="120" w:line="240" w:lineRule="exact"/>
        <w:ind w:left="283" w:hanging="283"/>
        <w:jc w:val="both"/>
        <w:rPr>
          <w:rFonts w:ascii="FrankRuehl" w:hAnsi="FrankRuehl" w:cs="FrankRuehl"/>
          <w:rtl/>
        </w:rPr>
      </w:pPr>
    </w:p>
    <w:p w14:paraId="36A531BE" w14:textId="77777777" w:rsidR="00BA65AB" w:rsidRPr="00BA65AB" w:rsidRDefault="00BA65AB" w:rsidP="00BA65AB">
      <w:pPr>
        <w:spacing w:before="120" w:after="120" w:line="240" w:lineRule="exact"/>
        <w:ind w:left="283" w:hanging="283"/>
        <w:jc w:val="both"/>
        <w:rPr>
          <w:rFonts w:ascii="FrankRuehl" w:hAnsi="FrankRuehl" w:cs="FrankRuehl"/>
          <w:rtl/>
        </w:rPr>
      </w:pPr>
    </w:p>
    <w:p w14:paraId="7A721DC3" w14:textId="77777777" w:rsidR="000020EC" w:rsidRDefault="000020EC" w:rsidP="000020EC">
      <w:pPr>
        <w:rPr>
          <w:sz w:val="26"/>
          <w:szCs w:val="26"/>
          <w:rtl/>
        </w:rPr>
      </w:pPr>
      <w:bookmarkStart w:id="2" w:name="LawTable"/>
      <w:bookmarkEnd w:id="2"/>
    </w:p>
    <w:p w14:paraId="06ECB695" w14:textId="77777777" w:rsidR="000020EC" w:rsidRPr="000020EC" w:rsidRDefault="000020EC" w:rsidP="000020EC">
      <w:pPr>
        <w:spacing w:before="120" w:after="120" w:line="240" w:lineRule="exact"/>
        <w:ind w:left="283" w:hanging="283"/>
        <w:jc w:val="both"/>
        <w:rPr>
          <w:rFonts w:ascii="FrankRuehl" w:hAnsi="FrankRuehl" w:cs="FrankRuehl"/>
          <w:rtl/>
        </w:rPr>
      </w:pPr>
    </w:p>
    <w:p w14:paraId="4225259B" w14:textId="77777777" w:rsidR="000020EC" w:rsidRPr="000020EC" w:rsidRDefault="000020EC" w:rsidP="000020EC">
      <w:pPr>
        <w:spacing w:before="120" w:after="120" w:line="240" w:lineRule="exact"/>
        <w:ind w:left="283" w:hanging="283"/>
        <w:jc w:val="both"/>
        <w:rPr>
          <w:rFonts w:ascii="FrankRuehl" w:hAnsi="FrankRuehl" w:cs="FrankRuehl"/>
          <w:rtl/>
        </w:rPr>
      </w:pPr>
    </w:p>
    <w:p w14:paraId="26207CFB" w14:textId="77777777" w:rsidR="000020EC" w:rsidRPr="000020EC" w:rsidRDefault="000020EC" w:rsidP="000020EC">
      <w:pPr>
        <w:spacing w:before="120" w:after="120" w:line="240" w:lineRule="exact"/>
        <w:ind w:left="283" w:hanging="283"/>
        <w:jc w:val="both"/>
        <w:rPr>
          <w:rFonts w:ascii="FrankRuehl" w:hAnsi="FrankRuehl" w:cs="FrankRuehl"/>
          <w:rtl/>
        </w:rPr>
      </w:pPr>
      <w:r w:rsidRPr="000020EC">
        <w:rPr>
          <w:rFonts w:ascii="FrankRuehl" w:hAnsi="FrankRuehl" w:cs="FrankRuehl"/>
          <w:rtl/>
        </w:rPr>
        <w:t xml:space="preserve">חקיקה שאוזכרה: </w:t>
      </w:r>
    </w:p>
    <w:p w14:paraId="47678293" w14:textId="77777777" w:rsidR="000020EC" w:rsidRPr="000020EC" w:rsidRDefault="000020EC" w:rsidP="000020EC">
      <w:pPr>
        <w:spacing w:before="120" w:after="120" w:line="240" w:lineRule="exact"/>
        <w:ind w:left="283" w:hanging="283"/>
        <w:jc w:val="both"/>
        <w:rPr>
          <w:rFonts w:ascii="FrankRuehl" w:hAnsi="FrankRuehl" w:cs="FrankRuehl"/>
          <w:rtl/>
        </w:rPr>
      </w:pPr>
      <w:hyperlink r:id="rId7" w:history="1">
        <w:r w:rsidRPr="000020EC">
          <w:rPr>
            <w:rFonts w:ascii="FrankRuehl" w:hAnsi="FrankRuehl" w:cs="FrankRuehl"/>
            <w:color w:val="0000FF"/>
            <w:rtl/>
          </w:rPr>
          <w:t>פקודת הסמים המסוכנים [נוסח חדש], תשל"ג-1973</w:t>
        </w:r>
      </w:hyperlink>
      <w:r w:rsidRPr="000020EC">
        <w:rPr>
          <w:rFonts w:ascii="FrankRuehl" w:hAnsi="FrankRuehl" w:cs="FrankRuehl"/>
          <w:rtl/>
        </w:rPr>
        <w:t xml:space="preserve">: סע'  </w:t>
      </w:r>
      <w:hyperlink r:id="rId8" w:history="1">
        <w:r w:rsidRPr="000020EC">
          <w:rPr>
            <w:rFonts w:ascii="FrankRuehl" w:hAnsi="FrankRuehl" w:cs="FrankRuehl"/>
            <w:color w:val="0000FF"/>
            <w:rtl/>
          </w:rPr>
          <w:t>6</w:t>
        </w:r>
      </w:hyperlink>
    </w:p>
    <w:p w14:paraId="69090FA0" w14:textId="77777777" w:rsidR="000020EC" w:rsidRPr="000020EC" w:rsidRDefault="000020EC" w:rsidP="000020EC">
      <w:pPr>
        <w:spacing w:before="120" w:after="120" w:line="240" w:lineRule="exact"/>
        <w:ind w:left="283" w:hanging="283"/>
        <w:jc w:val="both"/>
        <w:rPr>
          <w:rFonts w:ascii="FrankRuehl" w:hAnsi="FrankRuehl" w:cs="FrankRuehl"/>
          <w:rtl/>
        </w:rPr>
      </w:pPr>
      <w:hyperlink r:id="rId9" w:history="1">
        <w:r w:rsidRPr="000020EC">
          <w:rPr>
            <w:rFonts w:ascii="FrankRuehl" w:hAnsi="FrankRuehl" w:cs="FrankRuehl"/>
            <w:color w:val="0000FF"/>
            <w:rtl/>
          </w:rPr>
          <w:t>חוק העונשין, תשל"ז-1977</w:t>
        </w:r>
      </w:hyperlink>
      <w:r w:rsidRPr="000020EC">
        <w:rPr>
          <w:rFonts w:ascii="FrankRuehl" w:hAnsi="FrankRuehl" w:cs="FrankRuehl"/>
          <w:rtl/>
        </w:rPr>
        <w:t xml:space="preserve">: סע'  </w:t>
      </w:r>
      <w:hyperlink r:id="rId10" w:history="1">
        <w:r w:rsidRPr="000020EC">
          <w:rPr>
            <w:rFonts w:ascii="FrankRuehl" w:hAnsi="FrankRuehl" w:cs="FrankRuehl"/>
            <w:color w:val="0000FF"/>
            <w:rtl/>
          </w:rPr>
          <w:t>40ד</w:t>
        </w:r>
      </w:hyperlink>
      <w:r w:rsidRPr="000020EC">
        <w:rPr>
          <w:rFonts w:ascii="FrankRuehl" w:hAnsi="FrankRuehl" w:cs="FrankRuehl"/>
          <w:rtl/>
        </w:rPr>
        <w:t xml:space="preserve">, </w:t>
      </w:r>
      <w:hyperlink r:id="rId11" w:history="1">
        <w:r w:rsidRPr="000020EC">
          <w:rPr>
            <w:rFonts w:ascii="FrankRuehl" w:hAnsi="FrankRuehl" w:cs="FrankRuehl"/>
            <w:color w:val="0000FF"/>
            <w:rtl/>
          </w:rPr>
          <w:t>40ח</w:t>
        </w:r>
      </w:hyperlink>
      <w:r w:rsidRPr="000020EC">
        <w:rPr>
          <w:rFonts w:ascii="FrankRuehl" w:hAnsi="FrankRuehl" w:cs="FrankRuehl"/>
          <w:rtl/>
        </w:rPr>
        <w:t xml:space="preserve">, </w:t>
      </w:r>
      <w:hyperlink r:id="rId12" w:history="1">
        <w:r w:rsidRPr="000020EC">
          <w:rPr>
            <w:rFonts w:ascii="FrankRuehl" w:hAnsi="FrankRuehl" w:cs="FrankRuehl"/>
            <w:color w:val="0000FF"/>
            <w:rtl/>
          </w:rPr>
          <w:t>40י</w:t>
        </w:r>
      </w:hyperlink>
      <w:r w:rsidRPr="000020EC">
        <w:rPr>
          <w:rFonts w:ascii="FrankRuehl" w:hAnsi="FrankRuehl" w:cs="FrankRuehl"/>
          <w:rtl/>
        </w:rPr>
        <w:t xml:space="preserve">, </w:t>
      </w:r>
      <w:hyperlink r:id="rId13" w:history="1">
        <w:r w:rsidRPr="000020EC">
          <w:rPr>
            <w:rFonts w:ascii="FrankRuehl" w:hAnsi="FrankRuehl" w:cs="FrankRuehl"/>
            <w:color w:val="0000FF"/>
            <w:rtl/>
          </w:rPr>
          <w:t>400</w:t>
        </w:r>
      </w:hyperlink>
    </w:p>
    <w:p w14:paraId="1BA95F3E" w14:textId="77777777" w:rsidR="000020EC" w:rsidRPr="000020EC" w:rsidRDefault="000020EC" w:rsidP="000020EC">
      <w:pPr>
        <w:rPr>
          <w:sz w:val="26"/>
          <w:szCs w:val="26"/>
          <w:rtl/>
        </w:rPr>
      </w:pPr>
      <w:bookmarkStart w:id="3" w:name="LawTable_End"/>
      <w:bookmarkEnd w:id="3"/>
    </w:p>
    <w:p w14:paraId="4BB79980" w14:textId="77777777" w:rsidR="00752F68" w:rsidRPr="00BA65AB" w:rsidRDefault="00752F68" w:rsidP="00BA65AB">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87954" w14:paraId="370532E8" w14:textId="77777777" w:rsidTr="00A87954">
        <w:trPr>
          <w:trHeight w:val="355"/>
          <w:jc w:val="center"/>
        </w:trPr>
        <w:tc>
          <w:tcPr>
            <w:tcW w:w="8820" w:type="dxa"/>
            <w:tcBorders>
              <w:top w:val="nil"/>
              <w:left w:val="nil"/>
              <w:bottom w:val="nil"/>
              <w:right w:val="nil"/>
            </w:tcBorders>
            <w:shd w:val="clear" w:color="auto" w:fill="auto"/>
          </w:tcPr>
          <w:p w14:paraId="5D88A461" w14:textId="77777777" w:rsidR="007258B0" w:rsidRPr="007258B0" w:rsidRDefault="007258B0" w:rsidP="007258B0">
            <w:pPr>
              <w:jc w:val="center"/>
              <w:rPr>
                <w:rFonts w:ascii="David" w:hAnsi="David"/>
                <w:b/>
                <w:bCs/>
                <w:sz w:val="32"/>
                <w:szCs w:val="32"/>
                <w:u w:val="single"/>
                <w:rtl/>
              </w:rPr>
            </w:pPr>
            <w:bookmarkStart w:id="4" w:name="PsakDin" w:colFirst="0" w:colLast="0"/>
            <w:bookmarkEnd w:id="0"/>
            <w:r w:rsidRPr="007258B0">
              <w:rPr>
                <w:rFonts w:ascii="David" w:hAnsi="David"/>
                <w:b/>
                <w:bCs/>
                <w:sz w:val="32"/>
                <w:szCs w:val="32"/>
                <w:u w:val="single"/>
                <w:rtl/>
              </w:rPr>
              <w:t>גזר דין</w:t>
            </w:r>
          </w:p>
          <w:p w14:paraId="5E17181F" w14:textId="77777777" w:rsidR="00A87954" w:rsidRPr="007258B0" w:rsidRDefault="00A87954" w:rsidP="007258B0">
            <w:pPr>
              <w:jc w:val="center"/>
              <w:rPr>
                <w:rFonts w:ascii="David" w:hAnsi="David"/>
                <w:bCs/>
                <w:sz w:val="32"/>
                <w:szCs w:val="32"/>
                <w:u w:val="single"/>
                <w:rtl/>
              </w:rPr>
            </w:pPr>
          </w:p>
        </w:tc>
      </w:tr>
      <w:bookmarkEnd w:id="4"/>
    </w:tbl>
    <w:p w14:paraId="5D7EB95C" w14:textId="77777777" w:rsidR="00A87954" w:rsidRPr="000F2247" w:rsidRDefault="00A87954" w:rsidP="00A87954">
      <w:pPr>
        <w:rPr>
          <w:rFonts w:ascii="Arial" w:hAnsi="Arial"/>
          <w:b/>
          <w:bCs/>
          <w:sz w:val="26"/>
          <w:szCs w:val="26"/>
          <w:rtl/>
        </w:rPr>
      </w:pPr>
    </w:p>
    <w:p w14:paraId="6199D869" w14:textId="77777777" w:rsidR="00A87954" w:rsidRDefault="00A87954" w:rsidP="00A87954">
      <w:pPr>
        <w:rPr>
          <w:b/>
          <w:bCs/>
          <w:u w:val="single" w:color="000000"/>
          <w:rtl/>
        </w:rPr>
      </w:pPr>
    </w:p>
    <w:p w14:paraId="661013C0" w14:textId="77777777" w:rsidR="00A87954" w:rsidRDefault="00A87954" w:rsidP="00A87954">
      <w:pPr>
        <w:rPr>
          <w:b/>
          <w:bCs/>
          <w:u w:val="single" w:color="000000"/>
        </w:rPr>
      </w:pPr>
      <w:r>
        <w:rPr>
          <w:rFonts w:hint="cs"/>
          <w:b/>
          <w:bCs/>
          <w:u w:val="single" w:color="000000"/>
          <w:rtl/>
        </w:rPr>
        <w:t>רקע עובדתי</w:t>
      </w:r>
    </w:p>
    <w:p w14:paraId="11D2A444" w14:textId="77777777" w:rsidR="00A87954" w:rsidRDefault="00A87954" w:rsidP="00A87954">
      <w:pPr>
        <w:rPr>
          <w:b/>
          <w:bCs/>
          <w:u w:val="double" w:color="000000"/>
          <w:rtl/>
        </w:rPr>
      </w:pPr>
    </w:p>
    <w:p w14:paraId="58F46D50" w14:textId="77777777" w:rsidR="00A87954" w:rsidRDefault="00A87954" w:rsidP="00A87954">
      <w:pPr>
        <w:pStyle w:val="ab"/>
        <w:spacing w:after="0"/>
        <w:ind w:left="566" w:right="0" w:firstLine="0"/>
        <w:rPr>
          <w:szCs w:val="24"/>
        </w:rPr>
      </w:pPr>
    </w:p>
    <w:p w14:paraId="34128123" w14:textId="77777777" w:rsidR="00A87954" w:rsidRDefault="00A87954" w:rsidP="00A87954">
      <w:pPr>
        <w:pStyle w:val="ab"/>
        <w:numPr>
          <w:ilvl w:val="0"/>
          <w:numId w:val="2"/>
        </w:numPr>
        <w:spacing w:after="0"/>
        <w:ind w:right="0"/>
        <w:rPr>
          <w:szCs w:val="24"/>
          <w:rtl/>
        </w:rPr>
      </w:pPr>
      <w:bookmarkStart w:id="5" w:name="ABSTRACT_START"/>
      <w:bookmarkEnd w:id="5"/>
      <w:r>
        <w:rPr>
          <w:rFonts w:hint="cs"/>
          <w:szCs w:val="24"/>
          <w:rtl/>
        </w:rPr>
        <w:t xml:space="preserve">הנאשם הודה, במסגרת הסדר טיעון, בעובדות כתב אישום מתוקן. כמתואר בכתב האישום, החל מיום 20.10.20 ועד ליום מעצרו שכר הנאשם דירה בראשון לציון, הקים בה מעבדה לגידול סמים, החזיק כלים המשמשים להכנת סם מסוכן, וגידל סם מסוכן מסוג קנביס. בפשיטה שערכה המשטרה ביום 4.10.21 נמצאו 2 חדרי גידול פעילים ובהם סם מסוג קנביס במשקל </w:t>
      </w:r>
      <w:r>
        <w:rPr>
          <w:szCs w:val="24"/>
          <w:rtl/>
        </w:rPr>
        <w:br/>
      </w:r>
      <w:r>
        <w:rPr>
          <w:rFonts w:hint="cs"/>
          <w:szCs w:val="24"/>
          <w:rtl/>
        </w:rPr>
        <w:t xml:space="preserve">כ-34 ק"ג, כשמחירו של גרם סם הוא כ- 60 ₪. לצורכי גידול הסם נטל הנאשם חשמל שלא כדין בשווי משוער של כ- 57,000 ₪. </w:t>
      </w:r>
    </w:p>
    <w:p w14:paraId="44F0E4D8" w14:textId="77777777" w:rsidR="00A87954" w:rsidRDefault="00A87954" w:rsidP="00A87954">
      <w:pPr>
        <w:pStyle w:val="ab"/>
        <w:spacing w:after="0"/>
        <w:ind w:left="566" w:right="0" w:firstLine="0"/>
        <w:rPr>
          <w:szCs w:val="24"/>
        </w:rPr>
      </w:pPr>
    </w:p>
    <w:p w14:paraId="68881718" w14:textId="77777777" w:rsidR="00A87954" w:rsidRDefault="00A87954" w:rsidP="00A87954">
      <w:pPr>
        <w:pStyle w:val="ab"/>
        <w:numPr>
          <w:ilvl w:val="0"/>
          <w:numId w:val="2"/>
        </w:numPr>
        <w:spacing w:after="0"/>
        <w:ind w:right="0"/>
        <w:rPr>
          <w:szCs w:val="24"/>
        </w:rPr>
      </w:pPr>
      <w:bookmarkStart w:id="6" w:name="ABSTRACT_END"/>
      <w:bookmarkEnd w:id="6"/>
      <w:r>
        <w:rPr>
          <w:rFonts w:hint="cs"/>
          <w:szCs w:val="24"/>
          <w:rtl/>
        </w:rPr>
        <w:t xml:space="preserve">בעקבות הודאתו במעשים אלה הורשע הנאשם בעבירה של </w:t>
      </w:r>
      <w:r>
        <w:rPr>
          <w:rFonts w:hint="cs"/>
          <w:b/>
          <w:bCs/>
          <w:szCs w:val="24"/>
          <w:rtl/>
        </w:rPr>
        <w:t>ייצור, הכנה והפקת סם</w:t>
      </w:r>
      <w:r>
        <w:rPr>
          <w:rFonts w:hint="cs"/>
          <w:szCs w:val="24"/>
          <w:rtl/>
        </w:rPr>
        <w:t xml:space="preserve">, עבירה לפי  </w:t>
      </w:r>
      <w:hyperlink r:id="rId14" w:history="1">
        <w:r w:rsidR="00752F68" w:rsidRPr="00752F68">
          <w:rPr>
            <w:rStyle w:val="Hyperlink"/>
            <w:rFonts w:hint="eastAsia"/>
            <w:szCs w:val="24"/>
            <w:rtl/>
          </w:rPr>
          <w:t>סעיף</w:t>
        </w:r>
        <w:r w:rsidR="00752F68" w:rsidRPr="00752F68">
          <w:rPr>
            <w:rStyle w:val="Hyperlink"/>
            <w:szCs w:val="24"/>
            <w:rtl/>
          </w:rPr>
          <w:t xml:space="preserve"> 6</w:t>
        </w:r>
      </w:hyperlink>
      <w:r>
        <w:rPr>
          <w:rFonts w:hint="cs"/>
          <w:szCs w:val="24"/>
          <w:rtl/>
        </w:rPr>
        <w:t xml:space="preserve"> ל</w:t>
      </w:r>
      <w:hyperlink r:id="rId15" w:history="1">
        <w:r w:rsidR="007258B0" w:rsidRPr="007258B0">
          <w:rPr>
            <w:color w:val="0000FF"/>
            <w:szCs w:val="24"/>
            <w:u w:val="single"/>
            <w:rtl/>
          </w:rPr>
          <w:t>פקודת הסמים המסוכנים</w:t>
        </w:r>
      </w:hyperlink>
      <w:r>
        <w:rPr>
          <w:rFonts w:hint="cs"/>
          <w:szCs w:val="24"/>
          <w:rtl/>
        </w:rPr>
        <w:t xml:space="preserve">, התשל"ג-1973 (להלן: הפקודה), וכן </w:t>
      </w:r>
      <w:r>
        <w:rPr>
          <w:rFonts w:hint="cs"/>
          <w:b/>
          <w:bCs/>
          <w:szCs w:val="24"/>
          <w:rtl/>
        </w:rPr>
        <w:t>בנטילת חשמל</w:t>
      </w:r>
      <w:r>
        <w:rPr>
          <w:rFonts w:hint="cs"/>
          <w:szCs w:val="24"/>
          <w:rtl/>
        </w:rPr>
        <w:t xml:space="preserve">, עבירה לפי </w:t>
      </w:r>
      <w:hyperlink r:id="rId16" w:history="1">
        <w:r w:rsidR="00752F68" w:rsidRPr="00752F68">
          <w:rPr>
            <w:rStyle w:val="Hyperlink"/>
            <w:rFonts w:hint="eastAsia"/>
            <w:szCs w:val="24"/>
            <w:rtl/>
          </w:rPr>
          <w:t>סעיף</w:t>
        </w:r>
        <w:r w:rsidR="00752F68" w:rsidRPr="00752F68">
          <w:rPr>
            <w:rStyle w:val="Hyperlink"/>
            <w:szCs w:val="24"/>
            <w:rtl/>
          </w:rPr>
          <w:t xml:space="preserve"> 400</w:t>
        </w:r>
      </w:hyperlink>
      <w:r>
        <w:rPr>
          <w:rFonts w:hint="cs"/>
          <w:szCs w:val="24"/>
          <w:rtl/>
        </w:rPr>
        <w:t xml:space="preserve"> ל</w:t>
      </w:r>
      <w:hyperlink r:id="rId17" w:history="1">
        <w:r w:rsidR="007258B0" w:rsidRPr="007258B0">
          <w:rPr>
            <w:color w:val="0000FF"/>
            <w:szCs w:val="24"/>
            <w:u w:val="single"/>
            <w:rtl/>
          </w:rPr>
          <w:t>חוק העונשין</w:t>
        </w:r>
      </w:hyperlink>
      <w:r>
        <w:rPr>
          <w:rFonts w:hint="cs"/>
          <w:szCs w:val="24"/>
          <w:rtl/>
        </w:rPr>
        <w:t xml:space="preserve">, תשל"ז-1977. </w:t>
      </w:r>
    </w:p>
    <w:p w14:paraId="47EAF1BF" w14:textId="77777777" w:rsidR="00A87954" w:rsidRDefault="00A87954" w:rsidP="00A87954">
      <w:pPr>
        <w:pStyle w:val="ab"/>
        <w:rPr>
          <w:b/>
          <w:bCs/>
          <w:szCs w:val="24"/>
          <w:u w:val="double" w:color="000000"/>
        </w:rPr>
      </w:pPr>
    </w:p>
    <w:p w14:paraId="1B491A29" w14:textId="77777777" w:rsidR="00A87954" w:rsidRDefault="00A87954" w:rsidP="00A87954">
      <w:pPr>
        <w:rPr>
          <w:b/>
          <w:bCs/>
          <w:u w:val="double" w:color="000000"/>
          <w:rtl/>
        </w:rPr>
      </w:pPr>
    </w:p>
    <w:p w14:paraId="5E7D4E57" w14:textId="77777777" w:rsidR="00A87954" w:rsidRDefault="00A87954" w:rsidP="00A87954">
      <w:pPr>
        <w:rPr>
          <w:u w:val="single"/>
          <w:rtl/>
        </w:rPr>
      </w:pPr>
      <w:r>
        <w:rPr>
          <w:rFonts w:hint="cs"/>
          <w:b/>
          <w:bCs/>
          <w:u w:val="single" w:color="000000"/>
          <w:rtl/>
        </w:rPr>
        <w:t>תסקירי שירות המבחן</w:t>
      </w:r>
      <w:r>
        <w:rPr>
          <w:rFonts w:hint="cs"/>
          <w:b/>
          <w:bCs/>
          <w:u w:val="single"/>
          <w:rtl/>
        </w:rPr>
        <w:t xml:space="preserve"> </w:t>
      </w:r>
      <w:r>
        <w:rPr>
          <w:rFonts w:hint="cs"/>
          <w:u w:val="single"/>
          <w:rtl/>
        </w:rPr>
        <w:t xml:space="preserve"> </w:t>
      </w:r>
    </w:p>
    <w:p w14:paraId="08334955" w14:textId="77777777" w:rsidR="00A87954" w:rsidRDefault="00A87954" w:rsidP="00A87954">
      <w:pPr>
        <w:pStyle w:val="ab"/>
        <w:rPr>
          <w:szCs w:val="24"/>
        </w:rPr>
      </w:pPr>
    </w:p>
    <w:p w14:paraId="329100AC" w14:textId="77777777" w:rsidR="00A87954" w:rsidRDefault="00A87954" w:rsidP="00A87954">
      <w:pPr>
        <w:pStyle w:val="ab"/>
        <w:spacing w:after="0"/>
        <w:ind w:left="566" w:right="0" w:firstLine="0"/>
        <w:rPr>
          <w:szCs w:val="24"/>
        </w:rPr>
      </w:pPr>
    </w:p>
    <w:p w14:paraId="7FD38233" w14:textId="77777777" w:rsidR="00A87954" w:rsidRPr="005945BD" w:rsidRDefault="00A87954" w:rsidP="00A87954">
      <w:pPr>
        <w:pStyle w:val="ab"/>
        <w:numPr>
          <w:ilvl w:val="0"/>
          <w:numId w:val="2"/>
        </w:numPr>
        <w:spacing w:after="0"/>
        <w:ind w:right="0"/>
        <w:rPr>
          <w:szCs w:val="24"/>
          <w:rtl/>
        </w:rPr>
      </w:pPr>
      <w:r>
        <w:rPr>
          <w:rFonts w:hint="cs"/>
          <w:szCs w:val="24"/>
          <w:rtl/>
        </w:rPr>
        <w:t xml:space="preserve">במסגרת הסכמה דיונית הופנה הנאשם לשירות המבחן. </w:t>
      </w:r>
      <w:r w:rsidRPr="005945BD">
        <w:rPr>
          <w:rFonts w:hint="cs"/>
          <w:b/>
          <w:bCs/>
          <w:szCs w:val="24"/>
          <w:rtl/>
        </w:rPr>
        <w:t>תסקיר ראשון</w:t>
      </w:r>
      <w:r>
        <w:rPr>
          <w:rFonts w:hint="cs"/>
          <w:szCs w:val="24"/>
          <w:rtl/>
        </w:rPr>
        <w:t xml:space="preserve"> בעניינו הוגש ביום </w:t>
      </w:r>
      <w:r>
        <w:rPr>
          <w:szCs w:val="24"/>
        </w:rPr>
        <w:t>16.3.2023</w:t>
      </w:r>
      <w:r>
        <w:rPr>
          <w:rFonts w:hint="cs"/>
          <w:szCs w:val="24"/>
          <w:rtl/>
        </w:rPr>
        <w:t xml:space="preserve">. בתמצית, הנאשם גרוש כבן </w:t>
      </w:r>
      <w:r>
        <w:rPr>
          <w:szCs w:val="24"/>
        </w:rPr>
        <w:t>66</w:t>
      </w:r>
      <w:r>
        <w:rPr>
          <w:rFonts w:hint="cs"/>
          <w:szCs w:val="24"/>
          <w:rtl/>
        </w:rPr>
        <w:t>, אב לשלושה ילדים בוגרים, מתגורר בראשון לציון יחד עם אמו הקשישה ומסייע בטיפול הרפואי בה. הנאשם רכש השכלה ושירת בצה"ל, ובעבר עבד כ-20 שנה כפקיד בבנק, אך פוטר לאחר שהורשע בעבירת רכוש בהיותו כבן 45. בסביבות גיל 50 בעקבות קשייו במציאת עבודה קבועה החל להתרועע עם חברה שולית, לצרוך סמים ולבצע עבירות רכוש ומרמה במטרה להרוויח 'כסף קל'. בגין עבירות אלו ריצה מאסר ממושך, בו</w:t>
      </w:r>
      <w:r w:rsidRPr="005945BD">
        <w:rPr>
          <w:rFonts w:hint="cs"/>
          <w:szCs w:val="24"/>
          <w:rtl/>
        </w:rPr>
        <w:t xml:space="preserve"> חווה טראומה שלא אפרט בשל צנעת הפרט, אשר דרדרה את מצבו הרגשי. בעקבות זאת, החל לצרוך קנביס ואלכוהול. בשנת 2012 החל בטיפול פסיכיאטרי. בשנת 2019 אובחן כמתמודד עם הפרעות נפשיות והתנהגותיות על רקע השימוש בקנביס ובאלכוהול. משנת 2012 אינו עובד ומתקיים מקצבת ביטוח לאומי. לחובת הנאשם מספר הרשעות אשר התיישנו על עבירות רכוש ומרמה.  </w:t>
      </w:r>
    </w:p>
    <w:p w14:paraId="7036D5D0" w14:textId="77777777" w:rsidR="00A87954" w:rsidRDefault="00A87954" w:rsidP="00A87954">
      <w:pPr>
        <w:pStyle w:val="ab"/>
        <w:spacing w:after="0"/>
        <w:ind w:left="566" w:right="0" w:firstLine="0"/>
        <w:rPr>
          <w:szCs w:val="24"/>
        </w:rPr>
      </w:pPr>
    </w:p>
    <w:p w14:paraId="02B56D00" w14:textId="77777777" w:rsidR="00A87954" w:rsidRDefault="00A87954" w:rsidP="00A87954">
      <w:pPr>
        <w:pStyle w:val="ab"/>
        <w:numPr>
          <w:ilvl w:val="0"/>
          <w:numId w:val="2"/>
        </w:numPr>
        <w:spacing w:after="0"/>
        <w:ind w:right="0"/>
        <w:rPr>
          <w:szCs w:val="24"/>
        </w:rPr>
      </w:pPr>
      <w:r>
        <w:rPr>
          <w:rFonts w:hint="cs"/>
          <w:szCs w:val="24"/>
          <w:rtl/>
        </w:rPr>
        <w:t xml:space="preserve">ביחס לעבירות דנן, הנאשם לקח אחריות ותיאר אורח חיים שולי והתמכרותי לקנביס. תיאר מצב כלכלי רעוע שבעקבותיו נענה להצעתם של גורמים עברייניים לגדל סמים, אך מאז ניתק קשריו עמם. הביע מודעות והבנה לדפוסים העבריינים המושרשים בו, והביע נזקקות לגמילה מאלכוהול וסמים. באחת מבדיקות השתן שביצע, נמצאו שרידי סם (אך יצוין כי הנאשם מחזיק כיום ברישיון לשימוש רפואי בקנביס). </w:t>
      </w:r>
    </w:p>
    <w:p w14:paraId="052343CA" w14:textId="77777777" w:rsidR="00A87954" w:rsidRDefault="00A87954" w:rsidP="00A87954">
      <w:pPr>
        <w:pStyle w:val="ab"/>
        <w:rPr>
          <w:szCs w:val="24"/>
        </w:rPr>
      </w:pPr>
    </w:p>
    <w:p w14:paraId="34EC44FF" w14:textId="77777777" w:rsidR="00A87954" w:rsidRDefault="00A87954" w:rsidP="00A87954">
      <w:pPr>
        <w:pStyle w:val="ab"/>
        <w:numPr>
          <w:ilvl w:val="0"/>
          <w:numId w:val="2"/>
        </w:numPr>
        <w:spacing w:after="0"/>
        <w:ind w:right="0"/>
        <w:rPr>
          <w:szCs w:val="24"/>
          <w:rtl/>
        </w:rPr>
      </w:pPr>
      <w:r>
        <w:rPr>
          <w:rFonts w:hint="cs"/>
          <w:szCs w:val="24"/>
          <w:rtl/>
        </w:rPr>
        <w:t>בשנת 2019 פנה מיוזמתו למרפאה לבריאות הנפש בבאר יעקב. מחוות הדעת הפסיכיאטרית עלה כי הוא סובל מהפרעות שונות בשילוב עם חרדות ותגובות דיכאוניות. מחוות דעת עדכנית עלה כי אינו מסוכן לעצמו או לסביבתו והומלץ על כניסתו למוסד גמילה בשילוב עם המשך מעקב פסיכיאטרי.</w:t>
      </w:r>
    </w:p>
    <w:p w14:paraId="671FC656" w14:textId="77777777" w:rsidR="00A87954" w:rsidRDefault="00A87954" w:rsidP="00A87954">
      <w:pPr>
        <w:pStyle w:val="ab"/>
        <w:rPr>
          <w:szCs w:val="24"/>
        </w:rPr>
      </w:pPr>
    </w:p>
    <w:p w14:paraId="4908CEC9" w14:textId="77777777" w:rsidR="00A87954" w:rsidRDefault="00A87954" w:rsidP="00A87954">
      <w:pPr>
        <w:pStyle w:val="ab"/>
        <w:numPr>
          <w:ilvl w:val="0"/>
          <w:numId w:val="2"/>
        </w:numPr>
        <w:spacing w:after="0"/>
        <w:ind w:right="0"/>
        <w:rPr>
          <w:szCs w:val="24"/>
          <w:rtl/>
        </w:rPr>
      </w:pPr>
      <w:r>
        <w:rPr>
          <w:rFonts w:hint="cs"/>
          <w:szCs w:val="24"/>
          <w:rtl/>
        </w:rPr>
        <w:t xml:space="preserve">שרות המבחן התרשם כי הנאשם מודע למעשיו, לנזקקות לטיפול וכי הוא בעל מוטיבציה לשיקום אורח חייו. להערכת השרות, הנאשם זקוק לטיפול אינטנסיבי בתחום ההתמכרויות וטיפול רגשי. לאור נכונותו ורצונו בגמילה, הומלץ לעקוב אחר שילובו ויכולתו להתגייס לתהליך. </w:t>
      </w:r>
    </w:p>
    <w:p w14:paraId="71F1C8A3" w14:textId="77777777" w:rsidR="00A87954" w:rsidRDefault="00A87954" w:rsidP="00A87954">
      <w:pPr>
        <w:pStyle w:val="ab"/>
        <w:spacing w:after="0"/>
        <w:ind w:left="566" w:right="0" w:firstLine="0"/>
        <w:rPr>
          <w:szCs w:val="24"/>
        </w:rPr>
      </w:pPr>
    </w:p>
    <w:p w14:paraId="63AB0A53" w14:textId="77777777" w:rsidR="00A87954" w:rsidRDefault="00A87954" w:rsidP="00A87954">
      <w:pPr>
        <w:pStyle w:val="ab"/>
        <w:numPr>
          <w:ilvl w:val="0"/>
          <w:numId w:val="2"/>
        </w:numPr>
        <w:spacing w:after="0"/>
        <w:ind w:right="0"/>
        <w:rPr>
          <w:szCs w:val="24"/>
        </w:rPr>
      </w:pPr>
      <w:r w:rsidRPr="005945BD">
        <w:rPr>
          <w:rFonts w:hint="cs"/>
          <w:b/>
          <w:bCs/>
          <w:szCs w:val="24"/>
          <w:rtl/>
        </w:rPr>
        <w:t>תסקיר שני</w:t>
      </w:r>
      <w:r>
        <w:rPr>
          <w:rFonts w:hint="cs"/>
          <w:szCs w:val="24"/>
          <w:rtl/>
        </w:rPr>
        <w:t xml:space="preserve"> הוגש ביום 14.6.23, ועלה ממנו שהנאשם השתלב באשפוזית בראשון לציון, ומתמודד עם מצב נפשי מורכב. הומלץ על המשך מעקב, הגברת מינון הטיפול התרופתי, והתחלת הליך הגמילה מסמים ואלכוהול. בשתיים מבדיקות השתן שעשה נמצאו שרידי קנאביס בהתאם לרישוי שברשותו.</w:t>
      </w:r>
    </w:p>
    <w:p w14:paraId="33B80EC2" w14:textId="77777777" w:rsidR="00A87954" w:rsidRDefault="00A87954" w:rsidP="00A87954"/>
    <w:p w14:paraId="371B04F0" w14:textId="77777777" w:rsidR="00A87954" w:rsidRDefault="00A87954" w:rsidP="00A87954">
      <w:pPr>
        <w:pStyle w:val="ab"/>
        <w:numPr>
          <w:ilvl w:val="0"/>
          <w:numId w:val="2"/>
        </w:numPr>
        <w:spacing w:after="0"/>
        <w:ind w:right="0"/>
        <w:rPr>
          <w:szCs w:val="24"/>
          <w:rtl/>
        </w:rPr>
      </w:pPr>
      <w:r>
        <w:rPr>
          <w:rFonts w:hint="cs"/>
          <w:szCs w:val="24"/>
          <w:rtl/>
        </w:rPr>
        <w:t xml:space="preserve">שירות המבחן מנה את </w:t>
      </w:r>
      <w:r>
        <w:rPr>
          <w:rFonts w:hint="cs"/>
          <w:szCs w:val="24"/>
          <w:u w:val="single"/>
          <w:rtl/>
        </w:rPr>
        <w:t>גורמי הסיכון</w:t>
      </w:r>
      <w:r>
        <w:rPr>
          <w:rFonts w:hint="cs"/>
          <w:szCs w:val="24"/>
          <w:rtl/>
        </w:rPr>
        <w:t xml:space="preserve"> הבאים: אורח חייו השולי-התמכרותי, התמודדויות בתחום הנפשי, קשיים בוויסות דחפים והצבת גבולות, אימפולסיביות וחוסר תפקוד בכלל מישורי חייו בשני העשורים האחרונים. באשר ל</w:t>
      </w:r>
      <w:r>
        <w:rPr>
          <w:rFonts w:hint="cs"/>
          <w:szCs w:val="24"/>
          <w:u w:val="single"/>
          <w:rtl/>
        </w:rPr>
        <w:t>סיכויי השיקום</w:t>
      </w:r>
      <w:r>
        <w:rPr>
          <w:rFonts w:hint="cs"/>
          <w:szCs w:val="24"/>
          <w:rtl/>
        </w:rPr>
        <w:t xml:space="preserve"> הוזכרו: פנייתו העצמאית ליחידה להתמכרויות בראשון לציון, שילובו באשפוזית, המוטיבציה שביטא לשיקום ושינוי, הבעת החרטה ובדיקות השתן הנקיות מסמי רחוב (בכפוף להיתר שברשותו לקנאביס). הומלץ על המשך מעקב לבחינת התגייסותו להליך הטיפולי שיקומי.</w:t>
      </w:r>
    </w:p>
    <w:p w14:paraId="22994A93" w14:textId="77777777" w:rsidR="00A87954" w:rsidRDefault="00A87954" w:rsidP="00A87954">
      <w:pPr>
        <w:pStyle w:val="ab"/>
        <w:rPr>
          <w:szCs w:val="24"/>
        </w:rPr>
      </w:pPr>
    </w:p>
    <w:p w14:paraId="6DCEA5A4" w14:textId="77777777" w:rsidR="00A87954" w:rsidRDefault="00A87954" w:rsidP="00A87954">
      <w:pPr>
        <w:pStyle w:val="ab"/>
        <w:numPr>
          <w:ilvl w:val="0"/>
          <w:numId w:val="2"/>
        </w:numPr>
        <w:spacing w:after="0"/>
        <w:ind w:right="0"/>
        <w:rPr>
          <w:szCs w:val="24"/>
        </w:rPr>
      </w:pPr>
      <w:r w:rsidRPr="005945BD">
        <w:rPr>
          <w:rFonts w:hint="cs"/>
          <w:b/>
          <w:bCs/>
          <w:szCs w:val="24"/>
          <w:rtl/>
        </w:rPr>
        <w:t>תסקיר שלישי</w:t>
      </w:r>
      <w:r>
        <w:rPr>
          <w:rFonts w:hint="cs"/>
          <w:szCs w:val="24"/>
          <w:rtl/>
        </w:rPr>
        <w:t xml:space="preserve"> מיום 18.9.23 ציין כי הנאשם סיים בהצלחה הליך גמילה מסמים ואלכוהול וכיום נעזר בקנאביס הרפואי בהתאם לרישיון שברשותו וממשיך בטיפול התרופתי שקיבל. מאז שסיים את הליך הגמילה מבצע בדיקות שתן אחת לשבוע וממתין לתחילת טיפול פרטני על ידי עובדת סוציאלית. בנוסף, פעמיים בשבוע משתתף הנאשם בקבוצות לעזרה עצמית למכורים נקיים. מעיון בגיליון רישום פלילי עדכני עולה כי לא נפתחו לו תיקים חדשים. </w:t>
      </w:r>
    </w:p>
    <w:p w14:paraId="2BB58648" w14:textId="77777777" w:rsidR="00A87954" w:rsidRPr="00F50A2A" w:rsidRDefault="00A87954" w:rsidP="00A87954">
      <w:pPr>
        <w:pStyle w:val="ab"/>
        <w:rPr>
          <w:szCs w:val="24"/>
          <w:rtl/>
        </w:rPr>
      </w:pPr>
    </w:p>
    <w:p w14:paraId="6DED3BD0" w14:textId="77777777" w:rsidR="00A87954" w:rsidRDefault="00A87954" w:rsidP="00A87954">
      <w:pPr>
        <w:pStyle w:val="ab"/>
        <w:numPr>
          <w:ilvl w:val="0"/>
          <w:numId w:val="2"/>
        </w:numPr>
        <w:spacing w:after="0"/>
        <w:ind w:right="0"/>
        <w:rPr>
          <w:szCs w:val="24"/>
          <w:rtl/>
        </w:rPr>
      </w:pPr>
      <w:r>
        <w:rPr>
          <w:rFonts w:hint="cs"/>
          <w:szCs w:val="24"/>
          <w:rtl/>
        </w:rPr>
        <w:t>שירות המבחן המליץ על הטלת צו מבחן למשך 12 חודשים, שבמסגרתו ימשיך הנאשם את הטיפול ביחידה להתמכרויות. עוד הומלץ על ענישה שיקומית חינוכית בדמות צו של"צ בהיקף של 300 שעות. ענישה זו, להשקפת שירות המבחן, מאזנת בין חומרת העבירה ובין הצורך להשקיע מאמצים וכוחות בהתפתחות אישית ומקצועית, לצד עשייה שיש בה תרומה לחברה. השרות סבור כי ענישה קונקרטית תפר את האיזון במצבו הנפשי ואת התמודדותו בתחום ההתמכרות.</w:t>
      </w:r>
    </w:p>
    <w:p w14:paraId="411C9B97" w14:textId="77777777" w:rsidR="00A87954" w:rsidRDefault="00A87954" w:rsidP="00A87954">
      <w:pPr>
        <w:pStyle w:val="ab"/>
        <w:rPr>
          <w:szCs w:val="24"/>
        </w:rPr>
      </w:pPr>
    </w:p>
    <w:p w14:paraId="0189C19B" w14:textId="77777777" w:rsidR="00A87954" w:rsidRDefault="00A87954" w:rsidP="00A87954">
      <w:pPr>
        <w:pStyle w:val="ab"/>
        <w:numPr>
          <w:ilvl w:val="0"/>
          <w:numId w:val="2"/>
        </w:numPr>
        <w:spacing w:after="0"/>
        <w:ind w:right="0"/>
        <w:rPr>
          <w:szCs w:val="24"/>
          <w:rtl/>
        </w:rPr>
      </w:pPr>
      <w:r w:rsidRPr="005945BD">
        <w:rPr>
          <w:rFonts w:hint="cs"/>
          <w:b/>
          <w:bCs/>
          <w:szCs w:val="24"/>
          <w:rtl/>
        </w:rPr>
        <w:t>תסקיר רביעי</w:t>
      </w:r>
      <w:r>
        <w:rPr>
          <w:rFonts w:hint="cs"/>
          <w:szCs w:val="24"/>
          <w:rtl/>
        </w:rPr>
        <w:t xml:space="preserve"> ומשלים מיום 16.11.23 מציין כי הנאשם מתמיד בהליך הטיפולי, מביע נכונות להמשך ולמסירת בדיקות שתן פעמיים בשבוע. עוד מצוין כי מבדיקה שנעשתה, הנאשם מגיע באופן קבוע ובמועד לשיחות הטיפול, וכי לדבריו חלפו ארבעה חודשים מאז סיים הליך גמילה מאלכוהול - לא השתמש באלכוהול וצורך קנאביס בהתאם להיתר שברשותו.</w:t>
      </w:r>
    </w:p>
    <w:p w14:paraId="1CD5114E" w14:textId="77777777" w:rsidR="00A87954" w:rsidRDefault="00A87954" w:rsidP="00A87954">
      <w:pPr>
        <w:rPr>
          <w:b/>
          <w:bCs/>
          <w:u w:val="double" w:color="000000"/>
        </w:rPr>
      </w:pPr>
    </w:p>
    <w:p w14:paraId="3505A771" w14:textId="77777777" w:rsidR="00A87954" w:rsidRDefault="00A87954" w:rsidP="00A87954">
      <w:pPr>
        <w:rPr>
          <w:b/>
          <w:bCs/>
          <w:u w:val="double" w:color="000000"/>
          <w:rtl/>
        </w:rPr>
      </w:pPr>
    </w:p>
    <w:p w14:paraId="34F571AE" w14:textId="77777777" w:rsidR="00A87954" w:rsidRDefault="00A87954" w:rsidP="00A87954">
      <w:pPr>
        <w:rPr>
          <w:u w:val="single"/>
          <w:rtl/>
        </w:rPr>
      </w:pPr>
      <w:r>
        <w:rPr>
          <w:rFonts w:hint="cs"/>
          <w:b/>
          <w:bCs/>
          <w:u w:val="single" w:color="000000"/>
          <w:rtl/>
        </w:rPr>
        <w:t>טיעוני הצדדים לעונש</w:t>
      </w:r>
      <w:r>
        <w:rPr>
          <w:rFonts w:hint="cs"/>
          <w:b/>
          <w:bCs/>
          <w:u w:val="single"/>
          <w:rtl/>
        </w:rPr>
        <w:t xml:space="preserve"> </w:t>
      </w:r>
    </w:p>
    <w:p w14:paraId="4716F751" w14:textId="77777777" w:rsidR="00A87954" w:rsidRDefault="00A87954" w:rsidP="00A87954">
      <w:pPr>
        <w:bidi w:val="0"/>
        <w:ind w:firstLine="60"/>
        <w:rPr>
          <w:u w:val="single"/>
          <w:rtl/>
        </w:rPr>
      </w:pPr>
    </w:p>
    <w:p w14:paraId="571AAB1D" w14:textId="77777777" w:rsidR="00A87954" w:rsidRDefault="00A87954" w:rsidP="00A87954">
      <w:pPr>
        <w:pStyle w:val="ab"/>
        <w:spacing w:after="0"/>
        <w:ind w:left="566" w:right="0" w:firstLine="0"/>
        <w:rPr>
          <w:szCs w:val="24"/>
        </w:rPr>
      </w:pPr>
    </w:p>
    <w:p w14:paraId="35236109" w14:textId="77777777" w:rsidR="00A87954" w:rsidRDefault="00A87954" w:rsidP="00A87954">
      <w:pPr>
        <w:pStyle w:val="ab"/>
        <w:numPr>
          <w:ilvl w:val="0"/>
          <w:numId w:val="2"/>
        </w:numPr>
        <w:spacing w:after="0"/>
        <w:ind w:right="0"/>
        <w:rPr>
          <w:szCs w:val="24"/>
        </w:rPr>
      </w:pPr>
      <w:r>
        <w:rPr>
          <w:rFonts w:hint="cs"/>
          <w:szCs w:val="24"/>
          <w:rtl/>
        </w:rPr>
        <w:t xml:space="preserve">המאשימה עמדה על חומרת העבירות בהן הורשע הנאשם ועל הערכים המוגנים שנפגעו – </w:t>
      </w:r>
      <w:r w:rsidRPr="00A87954">
        <w:rPr>
          <w:rFonts w:eastAsia="Calibri" w:hint="cs"/>
          <w:color w:val="auto"/>
          <w:szCs w:val="24"/>
          <w:rtl/>
        </w:rPr>
        <w:t>בריאות</w:t>
      </w:r>
      <w:r w:rsidRPr="00A87954">
        <w:rPr>
          <w:rFonts w:eastAsia="Calibri" w:hint="cs"/>
          <w:color w:val="auto"/>
          <w:szCs w:val="24"/>
        </w:rPr>
        <w:t xml:space="preserve"> </w:t>
      </w:r>
      <w:r w:rsidRPr="00A87954">
        <w:rPr>
          <w:rFonts w:eastAsia="Calibri" w:hint="cs"/>
          <w:color w:val="auto"/>
          <w:szCs w:val="24"/>
          <w:rtl/>
        </w:rPr>
        <w:t>הציבור, בטחונו</w:t>
      </w:r>
      <w:r w:rsidRPr="00A87954">
        <w:rPr>
          <w:rFonts w:eastAsia="Calibri" w:hint="cs"/>
          <w:color w:val="auto"/>
          <w:szCs w:val="24"/>
        </w:rPr>
        <w:t xml:space="preserve"> </w:t>
      </w:r>
      <w:r w:rsidRPr="00A87954">
        <w:rPr>
          <w:rFonts w:eastAsia="Calibri" w:hint="cs"/>
          <w:color w:val="auto"/>
          <w:szCs w:val="24"/>
          <w:rtl/>
        </w:rPr>
        <w:t xml:space="preserve">ורכושו; המאשימה ציינה את </w:t>
      </w:r>
      <w:r>
        <w:rPr>
          <w:rFonts w:hint="cs"/>
          <w:szCs w:val="24"/>
          <w:rtl/>
        </w:rPr>
        <w:t>יחסו של בית המשפט העליון לעבירות הסמים ולתוצאותיהם. עוד הוסיפה כי היחס בפסיקה לעבירות אלו דומה ליחס לעבירות של סחר והפצה בהיותן חלק מרכזי בשרשרת ההפצה והסחר, וכי על בתי המשפט להטיל</w:t>
      </w:r>
      <w:r>
        <w:rPr>
          <w:rFonts w:hint="cs"/>
          <w:szCs w:val="24"/>
        </w:rPr>
        <w:t xml:space="preserve"> </w:t>
      </w:r>
      <w:r>
        <w:rPr>
          <w:rFonts w:hint="cs"/>
          <w:szCs w:val="24"/>
          <w:rtl/>
        </w:rPr>
        <w:t>ענישה</w:t>
      </w:r>
      <w:r>
        <w:rPr>
          <w:rFonts w:hint="cs"/>
          <w:szCs w:val="24"/>
        </w:rPr>
        <w:t xml:space="preserve"> </w:t>
      </w:r>
      <w:r>
        <w:rPr>
          <w:rFonts w:hint="cs"/>
          <w:szCs w:val="24"/>
          <w:rtl/>
        </w:rPr>
        <w:t>מרתיעה</w:t>
      </w:r>
      <w:r>
        <w:rPr>
          <w:rFonts w:hint="cs"/>
          <w:szCs w:val="24"/>
        </w:rPr>
        <w:t xml:space="preserve"> </w:t>
      </w:r>
      <w:r>
        <w:rPr>
          <w:rFonts w:hint="cs"/>
          <w:szCs w:val="24"/>
          <w:rtl/>
        </w:rPr>
        <w:t xml:space="preserve">והולמת. המאשימה הזכירה את עברו הפלילי של הנאשם ועתרה לקבוע מתחם ענישה של </w:t>
      </w:r>
      <w:r>
        <w:rPr>
          <w:szCs w:val="24"/>
        </w:rPr>
        <w:t>18</w:t>
      </w:r>
      <w:r>
        <w:rPr>
          <w:rFonts w:hint="cs"/>
          <w:szCs w:val="24"/>
          <w:rtl/>
        </w:rPr>
        <w:t xml:space="preserve"> ל- </w:t>
      </w:r>
      <w:r>
        <w:rPr>
          <w:szCs w:val="24"/>
        </w:rPr>
        <w:t>36</w:t>
      </w:r>
      <w:r>
        <w:rPr>
          <w:rFonts w:hint="cs"/>
          <w:szCs w:val="24"/>
          <w:rtl/>
        </w:rPr>
        <w:t xml:space="preserve"> חודשי מאסר.</w:t>
      </w:r>
    </w:p>
    <w:p w14:paraId="294E6685" w14:textId="77777777" w:rsidR="00A87954" w:rsidRDefault="00A87954" w:rsidP="00A87954">
      <w:pPr>
        <w:pStyle w:val="ab"/>
        <w:spacing w:after="0"/>
        <w:ind w:left="566" w:right="0" w:firstLine="0"/>
        <w:rPr>
          <w:szCs w:val="24"/>
        </w:rPr>
      </w:pPr>
    </w:p>
    <w:p w14:paraId="3FBFC466" w14:textId="77777777" w:rsidR="00A87954" w:rsidRDefault="00A87954" w:rsidP="00A87954">
      <w:pPr>
        <w:pStyle w:val="ab"/>
        <w:numPr>
          <w:ilvl w:val="0"/>
          <w:numId w:val="2"/>
        </w:numPr>
        <w:spacing w:after="0"/>
        <w:ind w:right="0"/>
        <w:rPr>
          <w:szCs w:val="24"/>
        </w:rPr>
      </w:pPr>
      <w:r>
        <w:rPr>
          <w:rFonts w:hint="cs"/>
          <w:szCs w:val="24"/>
          <w:rtl/>
        </w:rPr>
        <w:t>המאשימה סבורה שאין לאמץ את המלצת שירות המבחן לענישה שיקומית, שכן הנאשם נמצא בראשית הדרך ויש לתת בכורה לשיקולי הרתעה ולאינטרס הציבורי על פני נסיבותיו האישיות. בהתייחסה לנסיבות שאינן קשורות בביצוע העבירה ציינה המאשימה את מצבו הפיזי והנפשי של הנאשם, ומנגד את עברו הפלילי. לטעם המאשימה, יש למקם את העונש בתחתית המתחם. לפיכך, עתרה לגזור על הנאשם 18 חודשי מאסר לצד מאסר על תנאי וקנס משמעותי בסך 30 אלף ₪. בנוסף, ביקשה להכריז עליו כסוחר סמים ולהורות על חילוט הרכוש.</w:t>
      </w:r>
    </w:p>
    <w:p w14:paraId="3ADE4CDB" w14:textId="77777777" w:rsidR="00A87954" w:rsidRDefault="00A87954" w:rsidP="00A87954">
      <w:pPr>
        <w:pStyle w:val="ab"/>
        <w:spacing w:after="0"/>
        <w:ind w:left="566" w:right="0" w:firstLine="0"/>
        <w:rPr>
          <w:szCs w:val="24"/>
        </w:rPr>
      </w:pPr>
    </w:p>
    <w:p w14:paraId="7D373231" w14:textId="77777777" w:rsidR="00A87954" w:rsidRDefault="00A87954" w:rsidP="00A87954">
      <w:pPr>
        <w:pStyle w:val="ab"/>
        <w:numPr>
          <w:ilvl w:val="0"/>
          <w:numId w:val="2"/>
        </w:numPr>
        <w:spacing w:after="0"/>
        <w:ind w:right="0"/>
        <w:rPr>
          <w:szCs w:val="24"/>
        </w:rPr>
      </w:pPr>
      <w:r>
        <w:rPr>
          <w:rFonts w:hint="cs"/>
          <w:szCs w:val="24"/>
          <w:rtl/>
        </w:rPr>
        <w:t xml:space="preserve">הסניגור סבור שיש לאמץ את המלצתו המקצועית של שירות המבחן ולקבוע את עונשו של הנאשם על פי שיקולי שיקומו. הסנגור טען כי הנאשם הופעל על ידי אחרים, והדגיש את הודאתו בהזדמנות הראשונה, קבלת האחריות, והחיסכון בזמן שיפוטי. עוד ציין את הטיפול הנפשי שעובר הנאשם מיוזמתו משנת 2021, את רצונו להיגמל ולהתנקות מכל החומרים להם התמכר, ואת התסקיר החיובי בעניינו. נטען כי לעברו הפלילי משקל מועט - </w:t>
      </w:r>
      <w:r w:rsidRPr="00A87954">
        <w:rPr>
          <w:rFonts w:eastAsia="Calibri" w:hint="cs"/>
          <w:color w:val="auto"/>
          <w:szCs w:val="24"/>
          <w:rtl/>
        </w:rPr>
        <w:t>הרשעותיו</w:t>
      </w:r>
      <w:r w:rsidRPr="00A87954">
        <w:rPr>
          <w:rFonts w:eastAsia="Calibri" w:hint="cs"/>
          <w:color w:val="auto"/>
          <w:szCs w:val="24"/>
        </w:rPr>
        <w:t xml:space="preserve"> </w:t>
      </w:r>
      <w:r w:rsidRPr="00A87954">
        <w:rPr>
          <w:rFonts w:eastAsia="Calibri" w:hint="cs"/>
          <w:color w:val="auto"/>
          <w:szCs w:val="24"/>
          <w:rtl/>
        </w:rPr>
        <w:t>הקודמות</w:t>
      </w:r>
      <w:r w:rsidRPr="00A87954">
        <w:rPr>
          <w:rFonts w:eastAsia="Calibri" w:hint="cs"/>
          <w:color w:val="auto"/>
          <w:szCs w:val="24"/>
        </w:rPr>
        <w:t xml:space="preserve"> </w:t>
      </w:r>
      <w:r w:rsidRPr="00A87954">
        <w:rPr>
          <w:rFonts w:eastAsia="Calibri" w:hint="cs"/>
          <w:color w:val="auto"/>
          <w:szCs w:val="24"/>
          <w:rtl/>
        </w:rPr>
        <w:t>הן</w:t>
      </w:r>
      <w:r w:rsidRPr="00A87954">
        <w:rPr>
          <w:rFonts w:eastAsia="Calibri" w:hint="cs"/>
          <w:color w:val="auto"/>
          <w:szCs w:val="24"/>
        </w:rPr>
        <w:t xml:space="preserve"> </w:t>
      </w:r>
      <w:r w:rsidRPr="00A87954">
        <w:rPr>
          <w:rFonts w:eastAsia="Calibri" w:hint="cs"/>
          <w:color w:val="auto"/>
          <w:szCs w:val="24"/>
          <w:rtl/>
        </w:rPr>
        <w:t>ישנות, האחרונה</w:t>
      </w:r>
      <w:r w:rsidRPr="00A87954">
        <w:rPr>
          <w:rFonts w:eastAsia="Calibri" w:hint="cs"/>
          <w:color w:val="auto"/>
          <w:szCs w:val="24"/>
        </w:rPr>
        <w:t xml:space="preserve"> </w:t>
      </w:r>
      <w:r w:rsidRPr="00A87954">
        <w:rPr>
          <w:rFonts w:eastAsia="Calibri" w:hint="cs"/>
          <w:color w:val="auto"/>
          <w:szCs w:val="24"/>
          <w:rtl/>
        </w:rPr>
        <w:t>שבהם</w:t>
      </w:r>
      <w:r w:rsidRPr="00A87954">
        <w:rPr>
          <w:rFonts w:eastAsia="Calibri" w:hint="cs"/>
          <w:color w:val="auto"/>
          <w:szCs w:val="24"/>
        </w:rPr>
        <w:t xml:space="preserve"> </w:t>
      </w:r>
      <w:r w:rsidRPr="00A87954">
        <w:rPr>
          <w:rFonts w:eastAsia="Calibri" w:hint="cs"/>
          <w:color w:val="auto"/>
          <w:szCs w:val="24"/>
          <w:rtl/>
        </w:rPr>
        <w:t>מלפני</w:t>
      </w:r>
      <w:r w:rsidRPr="00A87954">
        <w:rPr>
          <w:rFonts w:eastAsia="Calibri" w:hint="cs"/>
          <w:color w:val="auto"/>
          <w:szCs w:val="24"/>
        </w:rPr>
        <w:t xml:space="preserve"> </w:t>
      </w:r>
      <w:r w:rsidRPr="00A87954">
        <w:rPr>
          <w:rFonts w:eastAsia="Calibri" w:hint="cs"/>
          <w:color w:val="auto"/>
          <w:szCs w:val="24"/>
          <w:rtl/>
        </w:rPr>
        <w:t>כעשור</w:t>
      </w:r>
      <w:r w:rsidRPr="00A87954">
        <w:rPr>
          <w:rFonts w:eastAsia="Calibri"/>
          <w:color w:val="auto"/>
          <w:szCs w:val="24"/>
        </w:rPr>
        <w:t>.</w:t>
      </w:r>
      <w:r>
        <w:rPr>
          <w:szCs w:val="24"/>
          <w:rtl/>
        </w:rPr>
        <w:t xml:space="preserve"> </w:t>
      </w:r>
    </w:p>
    <w:p w14:paraId="498D6A53" w14:textId="77777777" w:rsidR="00A87954" w:rsidRDefault="00A87954" w:rsidP="00A87954">
      <w:pPr>
        <w:pStyle w:val="ab"/>
        <w:rPr>
          <w:szCs w:val="24"/>
        </w:rPr>
      </w:pPr>
    </w:p>
    <w:p w14:paraId="5134DAFA" w14:textId="77777777" w:rsidR="00A87954" w:rsidRDefault="00A87954" w:rsidP="00A87954">
      <w:pPr>
        <w:pStyle w:val="ab"/>
        <w:numPr>
          <w:ilvl w:val="0"/>
          <w:numId w:val="2"/>
        </w:numPr>
        <w:spacing w:after="0"/>
        <w:ind w:right="0"/>
        <w:rPr>
          <w:szCs w:val="24"/>
          <w:rtl/>
        </w:rPr>
      </w:pPr>
      <w:r>
        <w:rPr>
          <w:rFonts w:hint="cs"/>
          <w:szCs w:val="24"/>
          <w:rtl/>
        </w:rPr>
        <w:t xml:space="preserve">לטעמו בנסיבות התיק, המתחם יכול ויתחיל מששה או שמונה חודשים שירוצו על דרך של עבודות שירות עד 24 חודשים מאסר בפועל. הסניגור מודע לכך שמתן צו של"צ מהווה סטייה משמעותית לקולא ממתחם הענישה אך סבור שהדבר מוצדק בענייננו. לגבי הנסיבות שאינן קשורות בביצוע העבירה, הסניגור ציין את גילו, את העובדה שיש לו רקע פסיכיאטרי, את הטראומה שפרצה ודרדרה את מצבו הנפשי עת ריצה מאסר, את ההחרפה במצבו כשהיה במעצר בית, וכתוצאה מכך את אשפוזו למשך כשלושה שבועות. </w:t>
      </w:r>
    </w:p>
    <w:p w14:paraId="73C18714" w14:textId="77777777" w:rsidR="00A87954" w:rsidRDefault="00A87954" w:rsidP="00A87954">
      <w:pPr>
        <w:rPr>
          <w:rtl/>
        </w:rPr>
      </w:pPr>
    </w:p>
    <w:p w14:paraId="6267F76F" w14:textId="77777777" w:rsidR="00A87954" w:rsidRDefault="00A87954" w:rsidP="00A87954">
      <w:pPr>
        <w:pStyle w:val="ab"/>
        <w:numPr>
          <w:ilvl w:val="0"/>
          <w:numId w:val="2"/>
        </w:numPr>
        <w:spacing w:after="0"/>
        <w:ind w:right="0"/>
        <w:rPr>
          <w:szCs w:val="24"/>
          <w:rtl/>
        </w:rPr>
      </w:pPr>
      <w:r>
        <w:rPr>
          <w:rFonts w:hint="cs"/>
          <w:szCs w:val="24"/>
          <w:rtl/>
        </w:rPr>
        <w:t>הנאשם בדברו האחרון התנצל ואמר שטעה כשהסכים לשמש כ"קוף" ולגדל סמים, שלא ממש הבין במה דברים אמורים, שהוא מותש, המשפט ארך שנתיים ומצבו האישי בכי רע. הנאשם ציין את קשייו בחזרה לעבודה ואמר שיש לו הזדמנות לעבוד עם קבלן שיפוצים והוא "רק רוצה לסיים את העניין הזה".</w:t>
      </w:r>
    </w:p>
    <w:p w14:paraId="498C5030" w14:textId="77777777" w:rsidR="00A87954" w:rsidRDefault="00A87954" w:rsidP="00A87954">
      <w:pPr>
        <w:pStyle w:val="ab"/>
        <w:rPr>
          <w:szCs w:val="24"/>
        </w:rPr>
      </w:pPr>
    </w:p>
    <w:p w14:paraId="26ED2CBD" w14:textId="77777777" w:rsidR="00A87954" w:rsidRDefault="00A87954" w:rsidP="00A87954">
      <w:pPr>
        <w:rPr>
          <w:b/>
          <w:bCs/>
          <w:u w:val="single"/>
          <w:rtl/>
        </w:rPr>
      </w:pPr>
    </w:p>
    <w:p w14:paraId="73DA0654" w14:textId="77777777" w:rsidR="00A87954" w:rsidRDefault="00A87954" w:rsidP="00A87954">
      <w:pPr>
        <w:rPr>
          <w:b/>
          <w:bCs/>
          <w:u w:val="single"/>
          <w:rtl/>
        </w:rPr>
      </w:pPr>
      <w:r>
        <w:rPr>
          <w:rFonts w:hint="cs"/>
          <w:b/>
          <w:bCs/>
          <w:u w:val="single"/>
          <w:rtl/>
        </w:rPr>
        <w:t>דיון והכרעה</w:t>
      </w:r>
    </w:p>
    <w:p w14:paraId="0E31C326" w14:textId="77777777" w:rsidR="00A87954" w:rsidRDefault="00A87954" w:rsidP="00A87954">
      <w:pPr>
        <w:pStyle w:val="ab"/>
        <w:rPr>
          <w:szCs w:val="24"/>
        </w:rPr>
      </w:pPr>
    </w:p>
    <w:p w14:paraId="26183B62" w14:textId="77777777" w:rsidR="00A87954" w:rsidRDefault="00A87954" w:rsidP="00A87954">
      <w:pPr>
        <w:pStyle w:val="ab"/>
        <w:spacing w:after="0"/>
        <w:ind w:left="566" w:right="0" w:firstLine="0"/>
        <w:rPr>
          <w:szCs w:val="24"/>
        </w:rPr>
      </w:pPr>
    </w:p>
    <w:p w14:paraId="0AAAE962" w14:textId="77777777" w:rsidR="00A87954" w:rsidRDefault="00A87954" w:rsidP="00A87954">
      <w:pPr>
        <w:pStyle w:val="ab"/>
        <w:numPr>
          <w:ilvl w:val="0"/>
          <w:numId w:val="2"/>
        </w:numPr>
        <w:spacing w:after="0"/>
        <w:ind w:right="0"/>
        <w:rPr>
          <w:szCs w:val="24"/>
          <w:rtl/>
        </w:rPr>
      </w:pPr>
      <w:r>
        <w:rPr>
          <w:rFonts w:hint="cs"/>
          <w:szCs w:val="24"/>
          <w:rtl/>
        </w:rPr>
        <w:t xml:space="preserve">כהוראת המחוקק, מתחם העונש יעוצב בהתאם לעיקרון המנחה – הלימה, תוך התחשבות </w:t>
      </w:r>
      <w:r>
        <w:rPr>
          <w:rStyle w:val="default"/>
          <w:rFonts w:hint="cs"/>
          <w:szCs w:val="24"/>
          <w:rtl/>
        </w:rPr>
        <w:t>בערכים החברתיים שנפגעו מביצוע העבירה, במידת הפגיעה בו, במדיניות הענישה הנהוגה ובנסיבות הקשורות בביצוע העבירה</w:t>
      </w:r>
      <w:r>
        <w:rPr>
          <w:rStyle w:val="default"/>
          <w:szCs w:val="24"/>
        </w:rPr>
        <w:t>.</w:t>
      </w:r>
    </w:p>
    <w:p w14:paraId="59C812B7" w14:textId="77777777" w:rsidR="00A87954" w:rsidRDefault="00A87954" w:rsidP="00A87954">
      <w:pPr>
        <w:pStyle w:val="a"/>
        <w:numPr>
          <w:ilvl w:val="0"/>
          <w:numId w:val="0"/>
        </w:numPr>
        <w:tabs>
          <w:tab w:val="left" w:pos="720"/>
        </w:tabs>
        <w:spacing w:after="0"/>
        <w:jc w:val="both"/>
        <w:rPr>
          <w:b/>
          <w:bCs/>
        </w:rPr>
      </w:pPr>
    </w:p>
    <w:p w14:paraId="6B82E692" w14:textId="77777777" w:rsidR="00A87954" w:rsidRDefault="00A87954" w:rsidP="00A87954">
      <w:pPr>
        <w:pStyle w:val="a"/>
        <w:numPr>
          <w:ilvl w:val="0"/>
          <w:numId w:val="2"/>
        </w:numPr>
        <w:tabs>
          <w:tab w:val="left" w:pos="720"/>
        </w:tabs>
        <w:spacing w:after="0"/>
        <w:jc w:val="both"/>
        <w:rPr>
          <w:rtl/>
        </w:rPr>
      </w:pPr>
      <w:r>
        <w:rPr>
          <w:rFonts w:hint="cs"/>
          <w:rtl/>
        </w:rPr>
        <w:t xml:space="preserve">הערכים המוגנים בהם פגע הנאשם הם: שמירה על בריאות הציבור, ביטחונו, רכושו, ההגנה על הציבור מפני הנזקים החברתיים הישירים והעקיפים, אשר נגרמים כתוצאה מסמים מסוכנים לרבות ביצוע עבירות נלוות אשר מבוצעות כדי לממן את צריכת הסמים. נטילת החשמל שלא כדין מאפשרת את הפגיעה בערכים האחרים, לצד הפגיעה הממונית. </w:t>
      </w:r>
    </w:p>
    <w:p w14:paraId="17D4650E" w14:textId="77777777" w:rsidR="00A87954" w:rsidRDefault="00A87954" w:rsidP="00A87954">
      <w:pPr>
        <w:pStyle w:val="ab"/>
        <w:rPr>
          <w:szCs w:val="24"/>
        </w:rPr>
      </w:pPr>
    </w:p>
    <w:p w14:paraId="4A3580DC" w14:textId="77777777" w:rsidR="00A87954" w:rsidRPr="0010499F" w:rsidRDefault="00A87954" w:rsidP="00A87954">
      <w:pPr>
        <w:pStyle w:val="a"/>
        <w:numPr>
          <w:ilvl w:val="0"/>
          <w:numId w:val="2"/>
        </w:numPr>
        <w:tabs>
          <w:tab w:val="left" w:pos="720"/>
        </w:tabs>
        <w:spacing w:after="0"/>
        <w:jc w:val="both"/>
      </w:pPr>
      <w:r>
        <w:rPr>
          <w:rFonts w:hint="cs"/>
          <w:rtl/>
        </w:rPr>
        <w:t>ב</w:t>
      </w:r>
      <w:hyperlink r:id="rId18" w:history="1">
        <w:r w:rsidR="007258B0" w:rsidRPr="007258B0">
          <w:rPr>
            <w:color w:val="0000FF"/>
            <w:u w:val="single"/>
            <w:rtl/>
          </w:rPr>
          <w:t>ע"פ 972/11</w:t>
        </w:r>
      </w:hyperlink>
      <w:r>
        <w:rPr>
          <w:rFonts w:hint="cs"/>
          <w:b/>
          <w:bCs/>
          <w:rtl/>
        </w:rPr>
        <w:t xml:space="preserve"> מדינת ישראל נ' יונה</w:t>
      </w:r>
      <w:r w:rsidR="007258B0">
        <w:rPr>
          <w:rFonts w:hint="cs"/>
          <w:rtl/>
        </w:rPr>
        <w:t xml:space="preserve"> </w:t>
      </w:r>
      <w:r>
        <w:rPr>
          <w:rFonts w:hint="cs"/>
          <w:rtl/>
        </w:rPr>
        <w:t>(4.7.2012), התייחס בית המשפט העליון</w:t>
      </w:r>
      <w:r w:rsidR="007258B0">
        <w:rPr>
          <w:rFonts w:hint="cs"/>
          <w:rtl/>
        </w:rPr>
        <w:t xml:space="preserve">  </w:t>
      </w:r>
      <w:r>
        <w:rPr>
          <w:rFonts w:hint="cs"/>
          <w:rtl/>
        </w:rPr>
        <w:t>לחומרה</w:t>
      </w:r>
      <w:r w:rsidR="007258B0">
        <w:rPr>
          <w:rFonts w:hint="cs"/>
          <w:rtl/>
        </w:rPr>
        <w:t xml:space="preserve"> </w:t>
      </w:r>
      <w:r>
        <w:rPr>
          <w:rFonts w:hint="cs"/>
          <w:rtl/>
        </w:rPr>
        <w:t>הטמונה בעבירות הסמים:</w:t>
      </w:r>
      <w:r w:rsidR="007258B0">
        <w:rPr>
          <w:rFonts w:hint="cs"/>
          <w:rtl/>
        </w:rPr>
        <w:t xml:space="preserve"> </w:t>
      </w:r>
    </w:p>
    <w:p w14:paraId="019D494C" w14:textId="77777777" w:rsidR="00A87954" w:rsidRDefault="00A87954" w:rsidP="00A87954">
      <w:pPr>
        <w:pStyle w:val="ab"/>
        <w:rPr>
          <w:b/>
          <w:bCs/>
          <w:rtl/>
        </w:rPr>
      </w:pPr>
    </w:p>
    <w:p w14:paraId="0A11A621" w14:textId="77777777" w:rsidR="00A87954" w:rsidRDefault="00A87954" w:rsidP="00A87954">
      <w:pPr>
        <w:pStyle w:val="a"/>
        <w:numPr>
          <w:ilvl w:val="0"/>
          <w:numId w:val="0"/>
        </w:numPr>
        <w:tabs>
          <w:tab w:val="left" w:pos="720"/>
        </w:tabs>
        <w:spacing w:after="0"/>
        <w:ind w:left="1440"/>
        <w:jc w:val="both"/>
        <w:rPr>
          <w:rtl/>
        </w:rPr>
      </w:pPr>
      <w:r>
        <w:rPr>
          <w:rFonts w:hint="cs"/>
          <w:b/>
          <w:bCs/>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p>
    <w:p w14:paraId="621EF855" w14:textId="77777777" w:rsidR="00A87954" w:rsidRDefault="00A87954" w:rsidP="00A87954">
      <w:pPr>
        <w:pStyle w:val="ab"/>
        <w:rPr>
          <w:szCs w:val="24"/>
        </w:rPr>
      </w:pPr>
    </w:p>
    <w:p w14:paraId="5929D0FF" w14:textId="77777777" w:rsidR="00A87954" w:rsidRDefault="00A87954" w:rsidP="00A87954">
      <w:pPr>
        <w:pStyle w:val="a"/>
        <w:numPr>
          <w:ilvl w:val="0"/>
          <w:numId w:val="2"/>
        </w:numPr>
        <w:tabs>
          <w:tab w:val="left" w:pos="720"/>
        </w:tabs>
        <w:spacing w:after="0"/>
        <w:jc w:val="both"/>
        <w:rPr>
          <w:rtl/>
        </w:rPr>
      </w:pPr>
      <w:r>
        <w:rPr>
          <w:rFonts w:hint="cs"/>
          <w:rtl/>
        </w:rPr>
        <w:t xml:space="preserve">מידת הפגיעה בערכים המוגנים בענייננו היא משמעותית, בשים לב לכמות הסם הגדולה שנתפסה – למעלה מ-34 ק"ג, לשכירת מקום ייעודי לצורך הגידול, ולציוד הרב שנתפס ומעיד על פעילות עבריינית שיטתית ומאורגנת שהושקעו בה מחשבה, זמן וממון. </w:t>
      </w:r>
    </w:p>
    <w:p w14:paraId="3443AF63" w14:textId="77777777" w:rsidR="00A87954" w:rsidRDefault="00A87954" w:rsidP="00A87954">
      <w:pPr>
        <w:pStyle w:val="ab"/>
        <w:rPr>
          <w:szCs w:val="24"/>
        </w:rPr>
      </w:pPr>
    </w:p>
    <w:p w14:paraId="23AC4042" w14:textId="77777777" w:rsidR="00A87954" w:rsidRDefault="00A87954" w:rsidP="00A87954">
      <w:pPr>
        <w:pStyle w:val="a"/>
        <w:numPr>
          <w:ilvl w:val="0"/>
          <w:numId w:val="2"/>
        </w:numPr>
        <w:tabs>
          <w:tab w:val="left" w:pos="720"/>
        </w:tabs>
        <w:spacing w:after="0"/>
        <w:jc w:val="both"/>
        <w:rPr>
          <w:rtl/>
        </w:rPr>
      </w:pPr>
      <w:r>
        <w:rPr>
          <w:rFonts w:hint="cs"/>
          <w:rtl/>
        </w:rPr>
        <w:t xml:space="preserve">הנאשם טוען ששימש "קוף" קרי פעל בשטח בשליחותם של עבריינים אחרים – אך משקל הטענה מוגבל. </w:t>
      </w:r>
      <w:r>
        <w:rPr>
          <w:rFonts w:hint="cs"/>
          <w:u w:val="single"/>
          <w:rtl/>
        </w:rPr>
        <w:t>ראשית</w:t>
      </w:r>
      <w:r>
        <w:rPr>
          <w:rFonts w:hint="cs"/>
          <w:rtl/>
        </w:rPr>
        <w:t xml:space="preserve">, הדבר לא הוכח בפניי בשלב בירור האשמה (ר' </w:t>
      </w:r>
      <w:hyperlink r:id="rId19" w:history="1">
        <w:r w:rsidR="00752F68" w:rsidRPr="00752F68">
          <w:rPr>
            <w:rStyle w:val="Hyperlink"/>
            <w:rFonts w:hint="eastAsia"/>
            <w:rtl/>
          </w:rPr>
          <w:t>סעיף</w:t>
        </w:r>
        <w:r w:rsidR="00752F68" w:rsidRPr="00752F68">
          <w:rPr>
            <w:rStyle w:val="Hyperlink"/>
            <w:rtl/>
          </w:rPr>
          <w:t xml:space="preserve"> 40י</w:t>
        </w:r>
      </w:hyperlink>
      <w:r>
        <w:rPr>
          <w:rFonts w:hint="cs"/>
          <w:rtl/>
        </w:rPr>
        <w:t xml:space="preserve"> ל</w:t>
      </w:r>
      <w:hyperlink r:id="rId20" w:history="1">
        <w:r w:rsidR="007258B0" w:rsidRPr="007258B0">
          <w:rPr>
            <w:color w:val="0000FF"/>
            <w:u w:val="single"/>
            <w:rtl/>
          </w:rPr>
          <w:t>חוק העונשין</w:t>
        </w:r>
      </w:hyperlink>
      <w:r>
        <w:rPr>
          <w:rFonts w:hint="cs"/>
          <w:rtl/>
        </w:rPr>
        <w:t xml:space="preserve">), ואינו מתיישב עם נוסח העובדות בהן בחר הנאשם להודות. </w:t>
      </w:r>
      <w:r>
        <w:rPr>
          <w:rFonts w:hint="cs"/>
          <w:u w:val="single"/>
          <w:rtl/>
        </w:rPr>
        <w:t>שנית</w:t>
      </w:r>
      <w:r>
        <w:rPr>
          <w:rFonts w:hint="cs"/>
          <w:rtl/>
        </w:rPr>
        <w:t xml:space="preserve">, גם אם נניח לטובת הנאשם שהיוזמה לא הייתה שלו, ושהרווח המתוכנן לא היה אמור להיגרף ברובו לכיסו, עדיין חלקו בשרשרת הגידול היה משמעותי, אין בלתו. </w:t>
      </w:r>
      <w:r>
        <w:rPr>
          <w:rFonts w:hint="cs"/>
          <w:u w:val="single"/>
          <w:rtl/>
        </w:rPr>
        <w:t>שלישית</w:t>
      </w:r>
      <w:r>
        <w:rPr>
          <w:rFonts w:hint="cs"/>
          <w:rtl/>
        </w:rPr>
        <w:t>, העובדה שדרג עברייני "בכיר" יותר לא נחשף (למשל, בשל העובדה שהנאשם לא הפלילו) אינה ממעטת ממידת אשמו של הנאשם שבפניי.</w:t>
      </w:r>
    </w:p>
    <w:p w14:paraId="2229EEE8" w14:textId="77777777" w:rsidR="00A87954" w:rsidRDefault="00A87954" w:rsidP="00A87954">
      <w:pPr>
        <w:pStyle w:val="ab"/>
        <w:rPr>
          <w:szCs w:val="24"/>
        </w:rPr>
      </w:pPr>
    </w:p>
    <w:p w14:paraId="3DBF0655" w14:textId="77777777" w:rsidR="00A87954" w:rsidRDefault="00A87954" w:rsidP="00A87954">
      <w:pPr>
        <w:pStyle w:val="a"/>
        <w:numPr>
          <w:ilvl w:val="0"/>
          <w:numId w:val="2"/>
        </w:numPr>
        <w:tabs>
          <w:tab w:val="left" w:pos="720"/>
        </w:tabs>
        <w:spacing w:after="0"/>
        <w:jc w:val="both"/>
        <w:rPr>
          <w:rtl/>
        </w:rPr>
      </w:pPr>
      <w:r>
        <w:rPr>
          <w:rFonts w:hint="cs"/>
          <w:rtl/>
        </w:rPr>
        <w:t>סקירת הפסיקה בעבירות של גידול קנביס ב"מעבדות" בדירות מגורים מלמד על מנעד מגוון, המושפע בין היתר מכמות הסם שנתפסה, היקף ותחכום הגידול, מידת המעורבות של הנאשם ועוד. כאמת מידה לקביעת המתחם התבססתי על פסקי הדין הבאים, מרביתם של בית המשפט העליון, וכולם עוסקים בנאשמים שגידלו קנביס ב"מעבדה", בהיקפים דומים לנאשם:</w:t>
      </w:r>
    </w:p>
    <w:p w14:paraId="6462D2BA" w14:textId="77777777" w:rsidR="00A87954" w:rsidRDefault="00A87954" w:rsidP="00A87954">
      <w:pPr>
        <w:pStyle w:val="ab"/>
        <w:rPr>
          <w:szCs w:val="24"/>
        </w:rPr>
      </w:pPr>
    </w:p>
    <w:p w14:paraId="3E3B2055" w14:textId="77777777" w:rsidR="00A87954" w:rsidRDefault="007258B0" w:rsidP="00A87954">
      <w:pPr>
        <w:pStyle w:val="a"/>
        <w:numPr>
          <w:ilvl w:val="0"/>
          <w:numId w:val="3"/>
        </w:numPr>
        <w:tabs>
          <w:tab w:val="left" w:pos="720"/>
        </w:tabs>
        <w:spacing w:after="0"/>
        <w:jc w:val="both"/>
        <w:rPr>
          <w:rtl/>
        </w:rPr>
      </w:pPr>
      <w:hyperlink r:id="rId21" w:history="1">
        <w:r w:rsidRPr="007258B0">
          <w:rPr>
            <w:color w:val="0000FF"/>
            <w:u w:val="single"/>
            <w:rtl/>
          </w:rPr>
          <w:t>רע"פ 1530/23</w:t>
        </w:r>
      </w:hyperlink>
      <w:r>
        <w:rPr>
          <w:rFonts w:hint="cs"/>
          <w:rtl/>
        </w:rPr>
        <w:t xml:space="preserve"> </w:t>
      </w:r>
      <w:r w:rsidR="00A87954">
        <w:rPr>
          <w:rFonts w:hint="cs"/>
          <w:b/>
          <w:bCs/>
          <w:rtl/>
        </w:rPr>
        <w:t>רגב נ' מדינת ישראל</w:t>
      </w:r>
      <w:r>
        <w:rPr>
          <w:rFonts w:hint="cs"/>
          <w:rtl/>
        </w:rPr>
        <w:t xml:space="preserve"> </w:t>
      </w:r>
      <w:r w:rsidR="00A87954">
        <w:rPr>
          <w:rFonts w:hint="cs"/>
          <w:rtl/>
        </w:rPr>
        <w:t>(15.3.2023): נדחתה בקשת רשות ערעור של נאשם שהורשע בגידול קנביס במשקל כ-</w:t>
      </w:r>
      <w:r w:rsidR="00A87954" w:rsidRPr="00584E12">
        <w:rPr>
          <w:rFonts w:hint="cs"/>
          <w:b/>
          <w:bCs/>
          <w:rtl/>
        </w:rPr>
        <w:t>41 ק"ג</w:t>
      </w:r>
      <w:r w:rsidR="00A87954">
        <w:rPr>
          <w:rFonts w:hint="cs"/>
          <w:rtl/>
        </w:rPr>
        <w:t xml:space="preserve">. נקבע מתחם ענישה של </w:t>
      </w:r>
      <w:r w:rsidR="00A87954">
        <w:rPr>
          <w:rFonts w:hint="cs"/>
          <w:u w:val="single"/>
          <w:rtl/>
        </w:rPr>
        <w:t>8 חודשי עבודות שירות ועד 36 חודשי מאסר</w:t>
      </w:r>
      <w:r w:rsidR="00A87954">
        <w:rPr>
          <w:rFonts w:hint="cs"/>
          <w:rtl/>
        </w:rPr>
        <w:t xml:space="preserve">, ונגזרו 14 חודשי מאסר (בשל עבר פלילי ואי-השתלבות בהליך טיפולי שהוצע). </w:t>
      </w:r>
    </w:p>
    <w:p w14:paraId="7D5432E5" w14:textId="77777777" w:rsidR="00A87954" w:rsidRDefault="00A87954" w:rsidP="00A87954">
      <w:pPr>
        <w:pStyle w:val="a"/>
        <w:numPr>
          <w:ilvl w:val="0"/>
          <w:numId w:val="0"/>
        </w:numPr>
        <w:tabs>
          <w:tab w:val="left" w:pos="720"/>
        </w:tabs>
        <w:spacing w:after="0"/>
        <w:ind w:left="1286"/>
        <w:jc w:val="both"/>
      </w:pPr>
    </w:p>
    <w:p w14:paraId="2231691D" w14:textId="77777777" w:rsidR="00A87954" w:rsidRDefault="00A87954" w:rsidP="00A87954">
      <w:pPr>
        <w:pStyle w:val="a"/>
        <w:numPr>
          <w:ilvl w:val="0"/>
          <w:numId w:val="3"/>
        </w:numPr>
        <w:tabs>
          <w:tab w:val="left" w:pos="720"/>
        </w:tabs>
        <w:spacing w:after="0"/>
        <w:jc w:val="both"/>
      </w:pPr>
      <w:r>
        <w:rPr>
          <w:rFonts w:hint="cs"/>
          <w:rtl/>
        </w:rPr>
        <w:t xml:space="preserve">ע"פ </w:t>
      </w:r>
      <w:hyperlink r:id="rId22" w:history="1">
        <w:r w:rsidR="00BA65AB" w:rsidRPr="00BA65AB">
          <w:rPr>
            <w:color w:val="0000FF"/>
            <w:u w:val="single"/>
            <w:rtl/>
          </w:rPr>
          <w:t xml:space="preserve">513/21 </w:t>
        </w:r>
      </w:hyperlink>
      <w:r w:rsidR="007258B0">
        <w:rPr>
          <w:rFonts w:hint="cs"/>
          <w:rtl/>
        </w:rPr>
        <w:t xml:space="preserve"> </w:t>
      </w:r>
      <w:r>
        <w:rPr>
          <w:rFonts w:hint="cs"/>
          <w:b/>
          <w:bCs/>
          <w:rtl/>
        </w:rPr>
        <w:t>יהושע</w:t>
      </w:r>
      <w:r w:rsidR="007258B0">
        <w:rPr>
          <w:rFonts w:hint="cs"/>
          <w:b/>
          <w:bCs/>
          <w:rtl/>
        </w:rPr>
        <w:t xml:space="preserve"> </w:t>
      </w:r>
      <w:r>
        <w:rPr>
          <w:rFonts w:hint="cs"/>
          <w:b/>
          <w:bCs/>
          <w:rtl/>
        </w:rPr>
        <w:t>נ' מדינת ישראל</w:t>
      </w:r>
      <w:r w:rsidR="007258B0">
        <w:rPr>
          <w:rFonts w:hint="cs"/>
          <w:rtl/>
        </w:rPr>
        <w:t xml:space="preserve"> </w:t>
      </w:r>
      <w:r>
        <w:rPr>
          <w:rFonts w:hint="cs"/>
          <w:rtl/>
        </w:rPr>
        <w:t xml:space="preserve">(4.3.2021): הנאשם הורשע בגידול שתילי קנביס במשקל כולל של </w:t>
      </w:r>
      <w:r w:rsidRPr="00584E12">
        <w:rPr>
          <w:rFonts w:hint="cs"/>
          <w:b/>
          <w:bCs/>
          <w:rtl/>
        </w:rPr>
        <w:t>10 ק"ג</w:t>
      </w:r>
      <w:r>
        <w:rPr>
          <w:rFonts w:hint="cs"/>
          <w:rtl/>
        </w:rPr>
        <w:t xml:space="preserve">. בית משפט השלום קבע מתחם עונש הולם שנע בין 6 חודשי מאסר לריצוי בעבודות שרות ל-24 חודשי מאסר, וגזר את דינו של הנאשם תוך חריגה מהמתחם מטעמי שיקום, לעונש של"צ, מאסר מותנה וקנס. ערעור על קולת העונש </w:t>
      </w:r>
      <w:r>
        <w:rPr>
          <w:rFonts w:hint="cs"/>
          <w:u w:val="single"/>
          <w:rtl/>
        </w:rPr>
        <w:t>התקבל</w:t>
      </w:r>
      <w:r>
        <w:rPr>
          <w:rFonts w:hint="cs"/>
          <w:rtl/>
        </w:rPr>
        <w:t>. נקבע כי הרף התחתון של מתחם הענישה גבוה יותר, והעונש הועמד על 10 חודשי מאסר בפועל. בקשת רשות ערעור נדחתה.</w:t>
      </w:r>
    </w:p>
    <w:p w14:paraId="5C9A42FE" w14:textId="77777777" w:rsidR="00A87954" w:rsidRDefault="007258B0" w:rsidP="00A87954">
      <w:pPr>
        <w:pStyle w:val="ab"/>
        <w:spacing w:after="0"/>
        <w:ind w:left="714"/>
        <w:rPr>
          <w:szCs w:val="24"/>
          <w:rtl/>
        </w:rPr>
      </w:pPr>
      <w:r>
        <w:rPr>
          <w:szCs w:val="24"/>
        </w:rPr>
        <w:t xml:space="preserve"> </w:t>
      </w:r>
    </w:p>
    <w:p w14:paraId="2508F2BA" w14:textId="77777777" w:rsidR="00A87954" w:rsidRDefault="007258B0" w:rsidP="00A87954">
      <w:pPr>
        <w:pStyle w:val="ab"/>
        <w:numPr>
          <w:ilvl w:val="0"/>
          <w:numId w:val="3"/>
        </w:numPr>
        <w:spacing w:after="0" w:line="330" w:lineRule="atLeast"/>
        <w:rPr>
          <w:szCs w:val="24"/>
          <w:rtl/>
        </w:rPr>
      </w:pPr>
      <w:hyperlink r:id="rId23" w:history="1">
        <w:r w:rsidRPr="007258B0">
          <w:rPr>
            <w:color w:val="0000FF"/>
            <w:szCs w:val="24"/>
            <w:u w:val="single"/>
            <w:rtl/>
          </w:rPr>
          <w:t>רע"פ 3287/21</w:t>
        </w:r>
      </w:hyperlink>
      <w:r>
        <w:rPr>
          <w:szCs w:val="24"/>
        </w:rPr>
        <w:t xml:space="preserve"> </w:t>
      </w:r>
      <w:r w:rsidR="00A87954">
        <w:rPr>
          <w:rFonts w:hint="cs"/>
          <w:b/>
          <w:bCs/>
          <w:szCs w:val="24"/>
          <w:rtl/>
        </w:rPr>
        <w:t>עתמין נ' מדינת ישראל</w:t>
      </w:r>
      <w:r>
        <w:rPr>
          <w:rFonts w:hint="cs"/>
          <w:szCs w:val="24"/>
          <w:rtl/>
        </w:rPr>
        <w:t xml:space="preserve"> </w:t>
      </w:r>
      <w:r w:rsidR="00A87954">
        <w:rPr>
          <w:szCs w:val="24"/>
        </w:rPr>
        <w:t>(12.5.2021)</w:t>
      </w:r>
      <w:r>
        <w:rPr>
          <w:szCs w:val="24"/>
        </w:rPr>
        <w:t xml:space="preserve"> </w:t>
      </w:r>
      <w:r w:rsidR="00A87954">
        <w:rPr>
          <w:rFonts w:hint="cs"/>
          <w:szCs w:val="24"/>
          <w:rtl/>
        </w:rPr>
        <w:t xml:space="preserve">: הנאשם הורשע בגידול קנביס במשקל </w:t>
      </w:r>
      <w:r w:rsidR="00A87954" w:rsidRPr="00584E12">
        <w:rPr>
          <w:rFonts w:hint="cs"/>
          <w:b/>
          <w:bCs/>
          <w:szCs w:val="24"/>
          <w:rtl/>
        </w:rPr>
        <w:t>57 ק"ג</w:t>
      </w:r>
      <w:r w:rsidR="00A87954">
        <w:rPr>
          <w:rFonts w:hint="cs"/>
          <w:szCs w:val="24"/>
          <w:rtl/>
        </w:rPr>
        <w:t xml:space="preserve">. בית משפט השלום קבע מתחם ענישה הנע בין 20 ל-40 חודשי מאסר, אך חרג לקולא מן המתחם  משיקולי שיקום. ערעור על קולת העונש </w:t>
      </w:r>
      <w:r w:rsidR="00A87954">
        <w:rPr>
          <w:rFonts w:hint="cs"/>
          <w:szCs w:val="24"/>
          <w:u w:val="single"/>
          <w:rtl/>
        </w:rPr>
        <w:t>התקבל</w:t>
      </w:r>
      <w:r w:rsidR="00A87954">
        <w:rPr>
          <w:rFonts w:hint="cs"/>
          <w:szCs w:val="24"/>
          <w:rtl/>
        </w:rPr>
        <w:t xml:space="preserve">, ובית המשפט המחוזי קבע מתחם ענישה שנע בין </w:t>
      </w:r>
      <w:r w:rsidR="00A87954">
        <w:rPr>
          <w:rFonts w:hint="cs"/>
          <w:szCs w:val="24"/>
          <w:u w:val="single"/>
          <w:rtl/>
        </w:rPr>
        <w:t>24 ל-48 חודשי מאסר</w:t>
      </w:r>
      <w:r w:rsidR="00A87954">
        <w:rPr>
          <w:rFonts w:hint="cs"/>
          <w:szCs w:val="24"/>
          <w:rtl/>
        </w:rPr>
        <w:t>, והשית על המבקש 20 חודשי מאסר משיקולי שיקום. בקשת רשות ערעור – נדחתה.</w:t>
      </w:r>
    </w:p>
    <w:p w14:paraId="635484FD" w14:textId="77777777" w:rsidR="00A87954" w:rsidRDefault="00A87954" w:rsidP="00A87954">
      <w:pPr>
        <w:spacing w:line="330" w:lineRule="atLeast"/>
      </w:pPr>
    </w:p>
    <w:p w14:paraId="3C7EB953" w14:textId="77777777" w:rsidR="00A87954" w:rsidRDefault="007258B0" w:rsidP="00A87954">
      <w:pPr>
        <w:pStyle w:val="ab"/>
        <w:numPr>
          <w:ilvl w:val="0"/>
          <w:numId w:val="3"/>
        </w:numPr>
        <w:spacing w:after="0" w:line="330" w:lineRule="atLeast"/>
        <w:rPr>
          <w:szCs w:val="24"/>
        </w:rPr>
      </w:pPr>
      <w:hyperlink r:id="rId24" w:history="1">
        <w:r w:rsidRPr="007258B0">
          <w:rPr>
            <w:color w:val="0000FF"/>
            <w:szCs w:val="24"/>
            <w:u w:val="single"/>
            <w:rtl/>
          </w:rPr>
          <w:t>רע"פ 174/21</w:t>
        </w:r>
      </w:hyperlink>
      <w:r>
        <w:rPr>
          <w:szCs w:val="24"/>
        </w:rPr>
        <w:t xml:space="preserve"> </w:t>
      </w:r>
      <w:r w:rsidR="00A87954">
        <w:rPr>
          <w:rFonts w:hint="cs"/>
          <w:b/>
          <w:bCs/>
          <w:szCs w:val="24"/>
          <w:rtl/>
        </w:rPr>
        <w:t>סויסה נ' מדינת ישראל</w:t>
      </w:r>
      <w:r>
        <w:rPr>
          <w:rFonts w:hint="cs"/>
          <w:szCs w:val="24"/>
          <w:rtl/>
        </w:rPr>
        <w:t xml:space="preserve"> </w:t>
      </w:r>
      <w:r w:rsidR="00A87954">
        <w:rPr>
          <w:rFonts w:hint="cs"/>
          <w:szCs w:val="24"/>
          <w:rtl/>
        </w:rPr>
        <w:t xml:space="preserve">(25.2.21): הנאשם הורשע בגידול </w:t>
      </w:r>
      <w:r w:rsidR="00A87954" w:rsidRPr="00584E12">
        <w:rPr>
          <w:rFonts w:hint="cs"/>
          <w:b/>
          <w:bCs/>
          <w:szCs w:val="24"/>
          <w:rtl/>
        </w:rPr>
        <w:t>38 ק"ג</w:t>
      </w:r>
      <w:r w:rsidR="00A87954">
        <w:rPr>
          <w:rFonts w:hint="cs"/>
          <w:szCs w:val="24"/>
          <w:rtl/>
        </w:rPr>
        <w:t xml:space="preserve"> קנביס במעבדה. בית המשפט השלום קבע מתחם שנע בין 10 ל-28 חודשי מאסר, חרג מהמתחם מטעמי שיקום, והשית על הנאשם 9 חודשי עבודות שירות. ערעור על קולת העונש התקבל - בית המשפט המחוזי קבע </w:t>
      </w:r>
      <w:r w:rsidR="00A87954">
        <w:rPr>
          <w:rFonts w:hint="cs"/>
          <w:szCs w:val="24"/>
          <w:u w:val="single"/>
          <w:rtl/>
        </w:rPr>
        <w:t>מתחם ענישה שנע בין 15 ל-30 חודשי מאסר בפועל</w:t>
      </w:r>
      <w:r w:rsidR="00A87954">
        <w:rPr>
          <w:rFonts w:hint="cs"/>
          <w:szCs w:val="24"/>
          <w:rtl/>
        </w:rPr>
        <w:t>, ודן את הנאשם ל-12 חודשי מאסר בפועל.</w:t>
      </w:r>
    </w:p>
    <w:p w14:paraId="64986FB4" w14:textId="77777777" w:rsidR="00A87954" w:rsidRDefault="00A87954" w:rsidP="00A87954">
      <w:pPr>
        <w:spacing w:line="330" w:lineRule="atLeast"/>
        <w:rPr>
          <w:rtl/>
        </w:rPr>
      </w:pPr>
    </w:p>
    <w:p w14:paraId="47024254" w14:textId="77777777" w:rsidR="00A87954" w:rsidRDefault="007258B0" w:rsidP="00A87954">
      <w:pPr>
        <w:pStyle w:val="ab"/>
        <w:numPr>
          <w:ilvl w:val="0"/>
          <w:numId w:val="3"/>
        </w:numPr>
        <w:spacing w:after="0" w:line="330" w:lineRule="atLeast"/>
        <w:rPr>
          <w:szCs w:val="24"/>
          <w:rtl/>
        </w:rPr>
      </w:pPr>
      <w:hyperlink r:id="rId25" w:history="1">
        <w:r w:rsidRPr="007258B0">
          <w:rPr>
            <w:color w:val="0000FF"/>
            <w:szCs w:val="24"/>
            <w:u w:val="single"/>
            <w:rtl/>
          </w:rPr>
          <w:t>רע"פ 5293/18</w:t>
        </w:r>
      </w:hyperlink>
      <w:r>
        <w:rPr>
          <w:rFonts w:hint="cs"/>
          <w:szCs w:val="24"/>
          <w:rtl/>
        </w:rPr>
        <w:t xml:space="preserve"> </w:t>
      </w:r>
      <w:r w:rsidR="00A87954">
        <w:rPr>
          <w:rFonts w:hint="cs"/>
          <w:b/>
          <w:bCs/>
          <w:szCs w:val="24"/>
          <w:rtl/>
        </w:rPr>
        <w:t>חכים נ' מדינת ישראל</w:t>
      </w:r>
      <w:r>
        <w:rPr>
          <w:rFonts w:hint="cs"/>
          <w:szCs w:val="24"/>
          <w:rtl/>
        </w:rPr>
        <w:t xml:space="preserve"> </w:t>
      </w:r>
      <w:r w:rsidR="00A87954">
        <w:rPr>
          <w:rFonts w:hint="cs"/>
          <w:szCs w:val="24"/>
          <w:rtl/>
        </w:rPr>
        <w:t xml:space="preserve">(12.7.2018): הנאשם הקים בדירתו מעבדה לגידול קנביס בה נתפסו </w:t>
      </w:r>
      <w:r w:rsidR="00A87954" w:rsidRPr="00584E12">
        <w:rPr>
          <w:rFonts w:hint="cs"/>
          <w:b/>
          <w:bCs/>
          <w:szCs w:val="24"/>
          <w:rtl/>
        </w:rPr>
        <w:t>33 ק"ג סם</w:t>
      </w:r>
      <w:r w:rsidR="00A87954">
        <w:rPr>
          <w:rFonts w:hint="cs"/>
          <w:szCs w:val="24"/>
          <w:rtl/>
        </w:rPr>
        <w:t xml:space="preserve">. בית משפט השלום קבע </w:t>
      </w:r>
      <w:r w:rsidR="00A87954">
        <w:rPr>
          <w:rFonts w:hint="cs"/>
          <w:szCs w:val="24"/>
          <w:u w:val="single"/>
          <w:rtl/>
        </w:rPr>
        <w:t>מתחם ענישה שתחתיתו ב-12 חודשי מאסר</w:t>
      </w:r>
      <w:r w:rsidR="00A87954">
        <w:rPr>
          <w:rFonts w:hint="cs"/>
          <w:szCs w:val="24"/>
          <w:rtl/>
        </w:rPr>
        <w:t>, חרג לקולא מהמתחם מטעמי שיקום וגזר על הנאשם 6 חודשי עבודות שירות. ערעורי שני הצדדים נדחו וכך גם בקשת רשות ערעור.</w:t>
      </w:r>
    </w:p>
    <w:p w14:paraId="3CB7669C" w14:textId="77777777" w:rsidR="00A87954" w:rsidRDefault="00A87954" w:rsidP="00A87954">
      <w:pPr>
        <w:spacing w:line="330" w:lineRule="atLeast"/>
        <w:rPr>
          <w:rtl/>
        </w:rPr>
      </w:pPr>
    </w:p>
    <w:p w14:paraId="62E83D32" w14:textId="77777777" w:rsidR="00A87954" w:rsidRDefault="007258B0" w:rsidP="00A87954">
      <w:pPr>
        <w:pStyle w:val="ab"/>
        <w:numPr>
          <w:ilvl w:val="0"/>
          <w:numId w:val="3"/>
        </w:numPr>
        <w:spacing w:after="0" w:line="330" w:lineRule="atLeast"/>
        <w:rPr>
          <w:szCs w:val="24"/>
          <w:rtl/>
        </w:rPr>
      </w:pPr>
      <w:hyperlink r:id="rId26" w:history="1">
        <w:r w:rsidRPr="007258B0">
          <w:rPr>
            <w:color w:val="0000FF"/>
            <w:szCs w:val="24"/>
            <w:u w:val="single"/>
            <w:rtl/>
          </w:rPr>
          <w:t>עפ"ג (מרכז) 34383-10-16</w:t>
        </w:r>
      </w:hyperlink>
      <w:r>
        <w:rPr>
          <w:rFonts w:hint="cs"/>
          <w:szCs w:val="24"/>
          <w:rtl/>
        </w:rPr>
        <w:t xml:space="preserve"> </w:t>
      </w:r>
      <w:r w:rsidR="00A87954">
        <w:rPr>
          <w:rFonts w:hint="cs"/>
          <w:b/>
          <w:bCs/>
          <w:szCs w:val="24"/>
          <w:rtl/>
        </w:rPr>
        <w:t>מדינת ישראל נ' קדר</w:t>
      </w:r>
      <w:r>
        <w:rPr>
          <w:rFonts w:hint="cs"/>
          <w:szCs w:val="24"/>
          <w:rtl/>
        </w:rPr>
        <w:t xml:space="preserve"> </w:t>
      </w:r>
      <w:r w:rsidR="00A87954">
        <w:rPr>
          <w:rFonts w:hint="cs"/>
          <w:szCs w:val="24"/>
          <w:rtl/>
        </w:rPr>
        <w:t xml:space="preserve">(12.2.2017): הנאשם הורשע בגידול קנביס במשקל </w:t>
      </w:r>
      <w:r w:rsidR="00A87954" w:rsidRPr="00584E12">
        <w:rPr>
          <w:rFonts w:hint="cs"/>
          <w:b/>
          <w:bCs/>
          <w:szCs w:val="24"/>
          <w:rtl/>
        </w:rPr>
        <w:t>25 ק"ג</w:t>
      </w:r>
      <w:r w:rsidR="00A87954">
        <w:rPr>
          <w:rFonts w:hint="cs"/>
          <w:szCs w:val="24"/>
          <w:rtl/>
        </w:rPr>
        <w:t xml:space="preserve">. בית משפט השלום גזר עליו מאסר בפועל לתקופה של 6 חודשים בדרך של עבודות שירות, תוך חריגה מהמתחם מטעמי שיקום. ערעור על קולת העונש התקבל ונקבע כי </w:t>
      </w:r>
      <w:r w:rsidR="00A87954">
        <w:rPr>
          <w:rFonts w:hint="cs"/>
          <w:szCs w:val="24"/>
          <w:u w:val="single"/>
          <w:rtl/>
        </w:rPr>
        <w:t>מתחם העונש ההולם נע בין 10 ל-26 חודשים</w:t>
      </w:r>
      <w:r w:rsidR="00A87954">
        <w:rPr>
          <w:rFonts w:hint="cs"/>
          <w:szCs w:val="24"/>
          <w:rtl/>
        </w:rPr>
        <w:t>. נגזרו על הנאשם 8 חודשי מאסר, בהתחשב בהליך השיקום שעבר.</w:t>
      </w:r>
    </w:p>
    <w:p w14:paraId="02808ECB" w14:textId="77777777" w:rsidR="00A87954" w:rsidRDefault="00A87954" w:rsidP="00A87954">
      <w:pPr>
        <w:pStyle w:val="ab"/>
        <w:rPr>
          <w:szCs w:val="24"/>
        </w:rPr>
      </w:pPr>
    </w:p>
    <w:p w14:paraId="18F2BD3E" w14:textId="77777777" w:rsidR="00A87954" w:rsidRDefault="00A87954" w:rsidP="00A87954">
      <w:pPr>
        <w:pStyle w:val="ab"/>
        <w:numPr>
          <w:ilvl w:val="0"/>
          <w:numId w:val="3"/>
        </w:numPr>
        <w:spacing w:after="0" w:line="330" w:lineRule="atLeast"/>
        <w:rPr>
          <w:szCs w:val="24"/>
          <w:rtl/>
        </w:rPr>
      </w:pPr>
      <w:r>
        <w:rPr>
          <w:rFonts w:hint="cs"/>
          <w:szCs w:val="24"/>
          <w:rtl/>
        </w:rPr>
        <w:t xml:space="preserve">ליישום בערכאות דיוניות ר' למשל </w:t>
      </w:r>
      <w:hyperlink r:id="rId27" w:history="1">
        <w:r w:rsidR="007258B0" w:rsidRPr="007258B0">
          <w:rPr>
            <w:color w:val="0000FF"/>
            <w:szCs w:val="24"/>
            <w:u w:val="single"/>
            <w:rtl/>
          </w:rPr>
          <w:t>ת"פ (רמלה) 5486-09-21</w:t>
        </w:r>
      </w:hyperlink>
      <w:r>
        <w:rPr>
          <w:rFonts w:hint="cs"/>
          <w:szCs w:val="24"/>
          <w:rtl/>
        </w:rPr>
        <w:t xml:space="preserve"> </w:t>
      </w:r>
      <w:r>
        <w:rPr>
          <w:rFonts w:hint="cs"/>
          <w:b/>
          <w:bCs/>
          <w:szCs w:val="24"/>
          <w:rtl/>
        </w:rPr>
        <w:t>מדינת ישראל נ' משה עזרא</w:t>
      </w:r>
      <w:r>
        <w:rPr>
          <w:rFonts w:hint="cs"/>
          <w:szCs w:val="24"/>
          <w:rtl/>
        </w:rPr>
        <w:t xml:space="preserve"> (פורסם בנבו, 23.3.23) - נקבע מתחם 15-30 חודשי מאסר בפועל; </w:t>
      </w:r>
      <w:hyperlink r:id="rId28" w:history="1">
        <w:r w:rsidR="007258B0" w:rsidRPr="007258B0">
          <w:rPr>
            <w:color w:val="0000FF"/>
            <w:szCs w:val="24"/>
            <w:u w:val="single"/>
            <w:rtl/>
          </w:rPr>
          <w:t>ת"פ (חדרה) 28615-01-22</w:t>
        </w:r>
      </w:hyperlink>
      <w:r>
        <w:rPr>
          <w:rFonts w:hint="cs"/>
          <w:szCs w:val="24"/>
          <w:rtl/>
        </w:rPr>
        <w:t xml:space="preserve"> </w:t>
      </w:r>
      <w:r>
        <w:rPr>
          <w:rFonts w:hint="cs"/>
          <w:b/>
          <w:bCs/>
          <w:szCs w:val="24"/>
          <w:rtl/>
        </w:rPr>
        <w:t>מדינת ישראל נ' איליזרוב</w:t>
      </w:r>
      <w:r>
        <w:rPr>
          <w:rFonts w:hint="cs"/>
          <w:szCs w:val="24"/>
          <w:rtl/>
        </w:rPr>
        <w:t xml:space="preserve"> (פורסם בנבו, 21.9.23) - נקבע מתחם של 12-30 חודשי מאסר; </w:t>
      </w:r>
      <w:hyperlink r:id="rId29" w:history="1">
        <w:r w:rsidR="007258B0" w:rsidRPr="007258B0">
          <w:rPr>
            <w:color w:val="0000FF"/>
            <w:szCs w:val="24"/>
            <w:u w:val="single"/>
            <w:rtl/>
          </w:rPr>
          <w:t>ת"פ 61099-12-18</w:t>
        </w:r>
      </w:hyperlink>
      <w:r>
        <w:rPr>
          <w:szCs w:val="24"/>
          <w:rtl/>
        </w:rPr>
        <w:t xml:space="preserve"> </w:t>
      </w:r>
      <w:r>
        <w:rPr>
          <w:rFonts w:hint="cs"/>
          <w:b/>
          <w:bCs/>
          <w:szCs w:val="24"/>
          <w:rtl/>
        </w:rPr>
        <w:t>מ"י נגד יצחק חסן</w:t>
      </w:r>
      <w:r>
        <w:rPr>
          <w:rFonts w:hint="cs"/>
          <w:szCs w:val="24"/>
          <w:rtl/>
        </w:rPr>
        <w:t xml:space="preserve"> (2.12.21) - נקבע מתחם של 18-30 חודשי מאסר.</w:t>
      </w:r>
    </w:p>
    <w:p w14:paraId="3352AF8B" w14:textId="77777777" w:rsidR="00A87954" w:rsidRDefault="00A87954" w:rsidP="00A87954">
      <w:pPr>
        <w:pStyle w:val="ab"/>
        <w:rPr>
          <w:szCs w:val="24"/>
        </w:rPr>
      </w:pPr>
    </w:p>
    <w:p w14:paraId="062544EF" w14:textId="77777777" w:rsidR="00A87954" w:rsidRDefault="00A87954" w:rsidP="00A87954">
      <w:pPr>
        <w:pStyle w:val="ab"/>
        <w:numPr>
          <w:ilvl w:val="0"/>
          <w:numId w:val="2"/>
        </w:numPr>
        <w:spacing w:after="0"/>
        <w:ind w:right="0"/>
        <w:rPr>
          <w:szCs w:val="24"/>
          <w:rtl/>
        </w:rPr>
      </w:pPr>
      <w:r>
        <w:rPr>
          <w:rFonts w:hint="cs"/>
          <w:szCs w:val="24"/>
          <w:rtl/>
        </w:rPr>
        <w:t xml:space="preserve">בהתבסס על האמור עד כה, קרי הערכים החברתיים בהם פגע בנאשם, מידת הפגיעה בהם, נסיבות ביצוע העבירה ומדיניות הענישה כפי שתוארו לעיל – סבורני כי </w:t>
      </w:r>
      <w:r>
        <w:rPr>
          <w:rFonts w:hint="cs"/>
          <w:b/>
          <w:bCs/>
          <w:szCs w:val="24"/>
          <w:u w:val="single" w:color="000000"/>
          <w:rtl/>
        </w:rPr>
        <w:t>מתחם העונש ההולם</w:t>
      </w:r>
      <w:r>
        <w:rPr>
          <w:rFonts w:hint="cs"/>
          <w:b/>
          <w:bCs/>
          <w:szCs w:val="24"/>
          <w:u w:val="single"/>
          <w:rtl/>
        </w:rPr>
        <w:t xml:space="preserve"> בענייננו נע בין 12 לבין </w:t>
      </w:r>
      <w:r>
        <w:rPr>
          <w:b/>
          <w:bCs/>
          <w:szCs w:val="24"/>
          <w:u w:val="single" w:color="000000"/>
        </w:rPr>
        <w:t>30</w:t>
      </w:r>
      <w:r>
        <w:rPr>
          <w:rFonts w:hint="cs"/>
          <w:b/>
          <w:bCs/>
          <w:szCs w:val="24"/>
          <w:u w:val="single" w:color="000000"/>
          <w:rtl/>
        </w:rPr>
        <w:t xml:space="preserve"> חודשי מאסר בפועל</w:t>
      </w:r>
      <w:r>
        <w:rPr>
          <w:rFonts w:hint="cs"/>
          <w:szCs w:val="24"/>
          <w:rtl/>
        </w:rPr>
        <w:t xml:space="preserve">. </w:t>
      </w:r>
    </w:p>
    <w:p w14:paraId="5ED24BB4" w14:textId="77777777" w:rsidR="00A87954" w:rsidRDefault="00A87954" w:rsidP="00A87954">
      <w:pPr>
        <w:rPr>
          <w:b/>
          <w:bCs/>
          <w:u w:val="single"/>
        </w:rPr>
      </w:pPr>
    </w:p>
    <w:p w14:paraId="44AF3226" w14:textId="77777777" w:rsidR="00A87954" w:rsidRDefault="00A87954" w:rsidP="00A87954">
      <w:pPr>
        <w:pStyle w:val="ab"/>
        <w:numPr>
          <w:ilvl w:val="0"/>
          <w:numId w:val="2"/>
        </w:numPr>
        <w:spacing w:after="0"/>
        <w:ind w:right="0"/>
        <w:rPr>
          <w:szCs w:val="24"/>
        </w:rPr>
      </w:pPr>
      <w:r>
        <w:rPr>
          <w:rFonts w:hint="cs"/>
          <w:szCs w:val="24"/>
          <w:rtl/>
        </w:rPr>
        <w:t xml:space="preserve">הודאתו של הנאשם, נטילת האחריות, מצבו הנפשי ונסיבות חייו כפי שתוארו בתסקירים ומפי </w:t>
      </w:r>
      <w:r>
        <w:rPr>
          <w:rFonts w:hint="cs"/>
          <w:szCs w:val="24"/>
          <w:rtl/>
        </w:rPr>
        <w:br/>
        <w:t xml:space="preserve">בא-כוחו, מביאים למסקנה שיש לגזור את עונשו של הנאשם ברף התחתון של כל מתחם שייקבע  - כפי שעתרה המאשימה. </w:t>
      </w:r>
    </w:p>
    <w:p w14:paraId="1023BC04" w14:textId="77777777" w:rsidR="00A87954" w:rsidRPr="00584E12" w:rsidRDefault="00A87954" w:rsidP="00A87954">
      <w:pPr>
        <w:pStyle w:val="ab"/>
        <w:rPr>
          <w:b/>
          <w:bCs/>
          <w:szCs w:val="24"/>
          <w:rtl/>
        </w:rPr>
      </w:pPr>
    </w:p>
    <w:p w14:paraId="45F0A19F" w14:textId="77777777" w:rsidR="00A87954" w:rsidRDefault="00A87954" w:rsidP="00A87954">
      <w:pPr>
        <w:pStyle w:val="ab"/>
        <w:spacing w:after="0"/>
        <w:ind w:left="566" w:right="0" w:firstLine="0"/>
        <w:rPr>
          <w:szCs w:val="24"/>
          <w:rtl/>
        </w:rPr>
      </w:pPr>
      <w:r>
        <w:rPr>
          <w:rFonts w:hint="cs"/>
          <w:b/>
          <w:bCs/>
          <w:szCs w:val="24"/>
          <w:rtl/>
        </w:rPr>
        <w:t xml:space="preserve">השאלה בה נותר להכריע היא האם יש מקום להקל עמו מעבר לכך ולסטות ממתחם הענישה משיקולי שיקום, כפי שמאפשר </w:t>
      </w:r>
      <w:hyperlink r:id="rId30" w:history="1">
        <w:r w:rsidR="00752F68" w:rsidRPr="00752F68">
          <w:rPr>
            <w:rStyle w:val="Hyperlink"/>
            <w:rFonts w:hint="eastAsia"/>
            <w:b/>
            <w:bCs/>
            <w:szCs w:val="24"/>
            <w:rtl/>
          </w:rPr>
          <w:t>סעיף</w:t>
        </w:r>
        <w:r w:rsidR="00752F68" w:rsidRPr="00752F68">
          <w:rPr>
            <w:rStyle w:val="Hyperlink"/>
            <w:b/>
            <w:bCs/>
            <w:szCs w:val="24"/>
            <w:rtl/>
          </w:rPr>
          <w:t xml:space="preserve"> 40ד</w:t>
        </w:r>
      </w:hyperlink>
      <w:r>
        <w:rPr>
          <w:rFonts w:hint="cs"/>
          <w:b/>
          <w:bCs/>
          <w:szCs w:val="24"/>
          <w:rtl/>
        </w:rPr>
        <w:t xml:space="preserve"> ל</w:t>
      </w:r>
      <w:hyperlink r:id="rId31" w:history="1">
        <w:r w:rsidR="007258B0" w:rsidRPr="007258B0">
          <w:rPr>
            <w:b/>
            <w:bCs/>
            <w:color w:val="0000FF"/>
            <w:szCs w:val="24"/>
            <w:u w:val="single"/>
            <w:rtl/>
          </w:rPr>
          <w:t>חוק העונשין</w:t>
        </w:r>
      </w:hyperlink>
      <w:r>
        <w:rPr>
          <w:rFonts w:hint="cs"/>
          <w:szCs w:val="24"/>
          <w:rtl/>
        </w:rPr>
        <w:t xml:space="preserve">. </w:t>
      </w:r>
    </w:p>
    <w:p w14:paraId="3B752522" w14:textId="77777777" w:rsidR="00A87954" w:rsidRDefault="00A87954" w:rsidP="00A87954">
      <w:pPr>
        <w:pStyle w:val="ab"/>
        <w:spacing w:after="0"/>
        <w:ind w:left="566" w:right="0" w:firstLine="0"/>
        <w:rPr>
          <w:szCs w:val="24"/>
        </w:rPr>
      </w:pPr>
    </w:p>
    <w:p w14:paraId="181E5110" w14:textId="77777777" w:rsidR="00A87954" w:rsidRDefault="00A87954" w:rsidP="00A87954">
      <w:pPr>
        <w:pStyle w:val="ab"/>
        <w:numPr>
          <w:ilvl w:val="0"/>
          <w:numId w:val="2"/>
        </w:numPr>
        <w:spacing w:after="0"/>
        <w:ind w:right="0"/>
        <w:rPr>
          <w:szCs w:val="24"/>
        </w:rPr>
      </w:pPr>
      <w:r>
        <w:rPr>
          <w:rFonts w:hint="cs"/>
          <w:szCs w:val="24"/>
          <w:rtl/>
        </w:rPr>
        <w:t xml:space="preserve">תשובתי לשאלה זו חיובית ואנמק בקצרה. </w:t>
      </w:r>
    </w:p>
    <w:p w14:paraId="5E187FC5" w14:textId="77777777" w:rsidR="00A87954" w:rsidRDefault="00A87954" w:rsidP="00A87954">
      <w:pPr>
        <w:pStyle w:val="ab"/>
        <w:rPr>
          <w:szCs w:val="24"/>
        </w:rPr>
      </w:pPr>
    </w:p>
    <w:p w14:paraId="6CEA81CE" w14:textId="77777777" w:rsidR="00A87954" w:rsidRDefault="00A87954" w:rsidP="00A87954">
      <w:pPr>
        <w:pStyle w:val="ab"/>
        <w:spacing w:after="0"/>
        <w:ind w:left="566" w:right="0" w:firstLine="0"/>
        <w:rPr>
          <w:szCs w:val="24"/>
          <w:rtl/>
        </w:rPr>
      </w:pPr>
      <w:r>
        <w:rPr>
          <w:rFonts w:hint="cs"/>
          <w:szCs w:val="24"/>
          <w:rtl/>
        </w:rPr>
        <w:t xml:space="preserve">ההלכה הפסוקה </w:t>
      </w:r>
      <w:r w:rsidRPr="00A87954">
        <w:rPr>
          <w:rFonts w:hint="cs"/>
          <w:szCs w:val="24"/>
          <w:rtl/>
        </w:rPr>
        <w:t>מלמדת כי סטייה מעקרון ההלימה תיעשה באופן זהיר, וכאשר סיכויי השיקום מובהקים (</w:t>
      </w:r>
      <w:hyperlink r:id="rId32" w:history="1">
        <w:r w:rsidR="007258B0" w:rsidRPr="007258B0">
          <w:rPr>
            <w:color w:val="0000FF"/>
            <w:szCs w:val="24"/>
            <w:u w:val="single"/>
            <w:rtl/>
          </w:rPr>
          <w:t>ע"פ 126/22</w:t>
        </w:r>
      </w:hyperlink>
      <w:r w:rsidR="007258B0">
        <w:rPr>
          <w:rFonts w:hint="cs"/>
          <w:szCs w:val="24"/>
          <w:rtl/>
        </w:rPr>
        <w:t xml:space="preserve"> </w:t>
      </w:r>
      <w:r w:rsidRPr="00A87954">
        <w:rPr>
          <w:rFonts w:hint="cs"/>
          <w:b/>
          <w:bCs/>
          <w:szCs w:val="24"/>
          <w:rtl/>
        </w:rPr>
        <w:t>מדינת ישראל נ' פלוני</w:t>
      </w:r>
      <w:r w:rsidRPr="00A87954">
        <w:rPr>
          <w:rFonts w:hint="cs"/>
          <w:szCs w:val="24"/>
          <w:rtl/>
        </w:rPr>
        <w:t xml:space="preserve"> (27.4.2022, פסקה 16);</w:t>
      </w:r>
      <w:r w:rsidR="007258B0">
        <w:rPr>
          <w:rFonts w:hint="cs"/>
          <w:szCs w:val="24"/>
          <w:rtl/>
        </w:rPr>
        <w:t xml:space="preserve"> </w:t>
      </w:r>
      <w:hyperlink r:id="rId33" w:history="1">
        <w:r w:rsidR="007258B0" w:rsidRPr="007258B0">
          <w:rPr>
            <w:color w:val="0000FF"/>
            <w:szCs w:val="24"/>
            <w:u w:val="single"/>
            <w:rtl/>
          </w:rPr>
          <w:t>ע"פ 1229/19</w:t>
        </w:r>
      </w:hyperlink>
      <w:r w:rsidR="007258B0">
        <w:rPr>
          <w:rFonts w:hint="cs"/>
          <w:szCs w:val="24"/>
          <w:rtl/>
        </w:rPr>
        <w:t xml:space="preserve"> </w:t>
      </w:r>
      <w:r w:rsidRPr="00A87954">
        <w:rPr>
          <w:rFonts w:hint="cs"/>
          <w:b/>
          <w:bCs/>
          <w:szCs w:val="24"/>
          <w:rtl/>
        </w:rPr>
        <w:t>סלומינסקי נ' מדינת ישראל</w:t>
      </w:r>
      <w:r w:rsidRPr="00A87954">
        <w:rPr>
          <w:rFonts w:hint="cs"/>
          <w:szCs w:val="24"/>
          <w:rtl/>
        </w:rPr>
        <w:t xml:space="preserve"> (1.7.2019, פסקה 13)). אמות המידה האופייניות בהן יש להתחשב לצורך הערכת סיכויי השיקום כוללות את המוטיבציה שהביע הנאשם; הצלחת הליכי הטיפול; הליכי גמילה שעבר; שינוי בדפוסי התנהגות וחשיבה; הבעת חרטה כנה ועוד. הכלי המרכזי להערכת סיכויי השיקום הוא תסקיר שירות המבחן. (</w:t>
      </w:r>
      <w:hyperlink r:id="rId34" w:history="1">
        <w:r w:rsidR="007258B0" w:rsidRPr="007258B0">
          <w:rPr>
            <w:color w:val="0000FF"/>
            <w:szCs w:val="24"/>
            <w:u w:val="single"/>
            <w:rtl/>
          </w:rPr>
          <w:t>ע"פ 6637/17</w:t>
        </w:r>
      </w:hyperlink>
      <w:r w:rsidR="007258B0">
        <w:rPr>
          <w:rFonts w:hint="cs"/>
          <w:szCs w:val="24"/>
          <w:rtl/>
        </w:rPr>
        <w:t xml:space="preserve"> </w:t>
      </w:r>
      <w:r w:rsidRPr="00A87954">
        <w:rPr>
          <w:rFonts w:hint="cs"/>
          <w:b/>
          <w:bCs/>
          <w:szCs w:val="24"/>
          <w:rtl/>
        </w:rPr>
        <w:t>קרנדל נ' מדינת ישראל</w:t>
      </w:r>
      <w:r w:rsidR="007258B0">
        <w:rPr>
          <w:rFonts w:hint="cs"/>
          <w:szCs w:val="24"/>
          <w:rtl/>
        </w:rPr>
        <w:t xml:space="preserve"> </w:t>
      </w:r>
      <w:r w:rsidRPr="00A87954">
        <w:rPr>
          <w:rFonts w:hint="cs"/>
          <w:szCs w:val="24"/>
          <w:rtl/>
        </w:rPr>
        <w:t>(18.4.2018, פסקאות 23-25)).</w:t>
      </w:r>
    </w:p>
    <w:p w14:paraId="7B82A27C" w14:textId="77777777" w:rsidR="00A87954" w:rsidRDefault="00A87954" w:rsidP="00A87954">
      <w:pPr>
        <w:rPr>
          <w:rtl/>
        </w:rPr>
      </w:pPr>
    </w:p>
    <w:p w14:paraId="5DA0698E" w14:textId="77777777" w:rsidR="00A87954" w:rsidRDefault="00A87954" w:rsidP="00A87954">
      <w:pPr>
        <w:pStyle w:val="ab"/>
        <w:numPr>
          <w:ilvl w:val="0"/>
          <w:numId w:val="2"/>
        </w:numPr>
        <w:spacing w:after="0"/>
        <w:ind w:right="0"/>
        <w:rPr>
          <w:szCs w:val="24"/>
        </w:rPr>
      </w:pPr>
      <w:r>
        <w:rPr>
          <w:rFonts w:hint="cs"/>
          <w:szCs w:val="24"/>
          <w:rtl/>
        </w:rPr>
        <w:t>מהתסקירים בהם עיינתי בקפידה עולה שהנאשם עבר תהליך טיפולי משמעותי, עקבי, נהג בפתיחות עם גורמי הטיפול והצליח לבחון את החלקים הבעייתיים בהתנהגותו בעבר. הנאשם, שאינו אדם צעיר עוד, הצליח למרות התהפוכות שעבר בחייו וכישלונות העבר שלו – לרבות הפליליים – לייצב את מהלך חייו ולהיענות ליד הטיפולית שהושטה לו ולהזדמנות השיקומית שהוצעה לו. מדובר בהליך שנמשך חודשים רבים ושוכנעתי כי התקיימה (ובנקל) דרישת המחוקק ש"הנאשם השתקם או כי יש סיכוי של ממש שישתקם". שליחתו למאסר בפועל בעת הזו עלולה לגרום לרגרסיה חריפה במישור התפקודי והנפשי ולאיין את ההישגים הטיפוליים שהושגו עד כה.</w:t>
      </w:r>
    </w:p>
    <w:p w14:paraId="6DFE45D3" w14:textId="77777777" w:rsidR="00A87954" w:rsidRDefault="00A87954" w:rsidP="00A87954">
      <w:pPr>
        <w:pStyle w:val="ab"/>
        <w:rPr>
          <w:szCs w:val="24"/>
        </w:rPr>
      </w:pPr>
    </w:p>
    <w:p w14:paraId="4EC9964E" w14:textId="77777777" w:rsidR="00A87954" w:rsidRDefault="00A87954" w:rsidP="00A87954">
      <w:pPr>
        <w:pStyle w:val="ab"/>
        <w:numPr>
          <w:ilvl w:val="0"/>
          <w:numId w:val="2"/>
        </w:numPr>
        <w:spacing w:after="0"/>
        <w:ind w:right="0"/>
        <w:rPr>
          <w:szCs w:val="24"/>
          <w:rtl/>
        </w:rPr>
      </w:pPr>
      <w:r>
        <w:rPr>
          <w:rFonts w:hint="cs"/>
          <w:szCs w:val="24"/>
          <w:rtl/>
        </w:rPr>
        <w:t xml:space="preserve">עם זאת, לא אוכל לאמץ את המלצת שירות המבחן במלואה, קרי להסתפק בהטלת עבודות של"צ. הליכי השיקום שעבר הנאשם מבורכים, ומצדיקים הימנעות מכליאתו בבית האסורים, אך עדיין סבורני כי נוכח חומרת העבירות צריך העונש לכלול רכיב גמולי, בדמות מאסר לריצוי בעבודות שירות. בשל מצבו הכלכלי של הנאשם (ר' </w:t>
      </w:r>
      <w:hyperlink r:id="rId35" w:history="1">
        <w:r w:rsidR="00752F68" w:rsidRPr="00752F68">
          <w:rPr>
            <w:rStyle w:val="Hyperlink"/>
            <w:rFonts w:hint="eastAsia"/>
            <w:szCs w:val="24"/>
            <w:rtl/>
          </w:rPr>
          <w:t>סעיף</w:t>
        </w:r>
        <w:r w:rsidR="00752F68" w:rsidRPr="00752F68">
          <w:rPr>
            <w:rStyle w:val="Hyperlink"/>
            <w:szCs w:val="24"/>
            <w:rtl/>
          </w:rPr>
          <w:t xml:space="preserve"> 40ח</w:t>
        </w:r>
      </w:hyperlink>
      <w:r>
        <w:rPr>
          <w:rFonts w:hint="cs"/>
          <w:szCs w:val="24"/>
          <w:rtl/>
        </w:rPr>
        <w:t xml:space="preserve"> ל</w:t>
      </w:r>
      <w:hyperlink r:id="rId36" w:history="1">
        <w:r w:rsidR="007258B0" w:rsidRPr="007258B0">
          <w:rPr>
            <w:color w:val="0000FF"/>
            <w:szCs w:val="24"/>
            <w:u w:val="single"/>
            <w:rtl/>
          </w:rPr>
          <w:t>חוק העונשין</w:t>
        </w:r>
      </w:hyperlink>
      <w:r>
        <w:rPr>
          <w:rFonts w:hint="cs"/>
          <w:szCs w:val="24"/>
          <w:rtl/>
        </w:rPr>
        <w:t>) ונוכח העובדה שיצטרך לרצות עבודות שירות בתקופה הקרובה, אטיל עליו קנס מתון בלבד.</w:t>
      </w:r>
    </w:p>
    <w:p w14:paraId="2698027B" w14:textId="77777777" w:rsidR="00A87954" w:rsidRDefault="00A87954" w:rsidP="00A87954">
      <w:pPr>
        <w:pStyle w:val="ab"/>
        <w:spacing w:after="0"/>
        <w:ind w:left="566" w:right="0" w:firstLine="0"/>
        <w:rPr>
          <w:szCs w:val="24"/>
        </w:rPr>
      </w:pPr>
    </w:p>
    <w:p w14:paraId="30A401D9" w14:textId="77777777" w:rsidR="00A87954" w:rsidRDefault="00A87954" w:rsidP="00A87954">
      <w:pPr>
        <w:pStyle w:val="ab"/>
        <w:numPr>
          <w:ilvl w:val="0"/>
          <w:numId w:val="2"/>
        </w:numPr>
        <w:spacing w:after="0"/>
        <w:ind w:right="0"/>
        <w:rPr>
          <w:szCs w:val="24"/>
        </w:rPr>
      </w:pPr>
      <w:r>
        <w:rPr>
          <w:rFonts w:hint="cs"/>
          <w:szCs w:val="24"/>
          <w:rtl/>
        </w:rPr>
        <w:t xml:space="preserve">אשר על כן, אני גוזר על הנאשם את העונשים הבאים: </w:t>
      </w:r>
    </w:p>
    <w:p w14:paraId="1EE7C185" w14:textId="77777777" w:rsidR="00A87954" w:rsidRDefault="00A87954" w:rsidP="00A87954">
      <w:pPr>
        <w:bidi w:val="0"/>
        <w:ind w:firstLine="60"/>
      </w:pPr>
    </w:p>
    <w:p w14:paraId="3BF7BD12" w14:textId="77777777" w:rsidR="00A87954" w:rsidRDefault="00A87954" w:rsidP="00A87954">
      <w:pPr>
        <w:pStyle w:val="ab"/>
        <w:numPr>
          <w:ilvl w:val="0"/>
          <w:numId w:val="4"/>
        </w:numPr>
        <w:spacing w:after="0"/>
        <w:ind w:right="0"/>
        <w:rPr>
          <w:szCs w:val="24"/>
        </w:rPr>
      </w:pPr>
      <w:r>
        <w:rPr>
          <w:rFonts w:hint="cs"/>
          <w:b/>
          <w:bCs/>
          <w:szCs w:val="24"/>
          <w:rtl/>
        </w:rPr>
        <w:t xml:space="preserve">שישה (6) חודשי מאסר בפועל, שירוצו על דרך של עבודות שירות </w:t>
      </w:r>
      <w:r>
        <w:rPr>
          <w:rFonts w:hint="cs"/>
          <w:szCs w:val="24"/>
          <w:rtl/>
        </w:rPr>
        <w:t>בהתאם להמלצת הממונה, במקום: "שווים חולון" בהתאם למגבלות הרפואיות שנקבעו. הנאשם יתחיל בריצוי עבודות השירות ביום 30.1.2024 ועליו הנאשם להתייצב במועד זה במשרדי הממונה על עבודות השירות בשעה 8:00. הנאשם מוזהר כי עליו לקיים את הוראות הממונה על עבודות השירות, אחרת יכול שיופקע העונש כך שירצה אותו במאסר מאחורי סורג ובריח.</w:t>
      </w:r>
    </w:p>
    <w:p w14:paraId="2A1D2665" w14:textId="77777777" w:rsidR="00A87954" w:rsidRDefault="00A87954" w:rsidP="00A87954">
      <w:pPr>
        <w:bidi w:val="0"/>
        <w:rPr>
          <w:b/>
          <w:bCs/>
        </w:rPr>
      </w:pPr>
    </w:p>
    <w:p w14:paraId="3B56B5C7" w14:textId="77777777" w:rsidR="00A87954" w:rsidRDefault="00A87954" w:rsidP="00A87954">
      <w:pPr>
        <w:pStyle w:val="ab"/>
        <w:numPr>
          <w:ilvl w:val="0"/>
          <w:numId w:val="4"/>
        </w:numPr>
        <w:spacing w:after="0"/>
        <w:ind w:right="0"/>
        <w:rPr>
          <w:szCs w:val="24"/>
        </w:rPr>
      </w:pPr>
      <w:r>
        <w:rPr>
          <w:rFonts w:hint="cs"/>
          <w:b/>
          <w:bCs/>
          <w:szCs w:val="24"/>
          <w:rtl/>
        </w:rPr>
        <w:t>שישה חודשי מאסר מותנה</w:t>
      </w:r>
      <w:r>
        <w:rPr>
          <w:rFonts w:hint="cs"/>
          <w:szCs w:val="24"/>
          <w:rtl/>
        </w:rPr>
        <w:t>, שלא יעבור עבירה על פקודת הסמים (למעט החזקת סם לצריכה עצמית), במשך שנתיים מהיום.</w:t>
      </w:r>
    </w:p>
    <w:p w14:paraId="088858E8" w14:textId="77777777" w:rsidR="00A87954" w:rsidRDefault="00A87954" w:rsidP="00A87954"/>
    <w:p w14:paraId="71C765F0" w14:textId="77777777" w:rsidR="00A87954" w:rsidRDefault="00A87954" w:rsidP="00A87954">
      <w:pPr>
        <w:pStyle w:val="ab"/>
        <w:numPr>
          <w:ilvl w:val="0"/>
          <w:numId w:val="4"/>
        </w:numPr>
        <w:spacing w:after="0"/>
        <w:ind w:right="0"/>
        <w:rPr>
          <w:szCs w:val="24"/>
          <w:rtl/>
        </w:rPr>
      </w:pPr>
      <w:r>
        <w:rPr>
          <w:rFonts w:hint="cs"/>
          <w:b/>
          <w:bCs/>
          <w:szCs w:val="24"/>
          <w:rtl/>
        </w:rPr>
        <w:t>צו מבחן למשך 12 חודשים</w:t>
      </w:r>
      <w:r>
        <w:rPr>
          <w:rFonts w:hint="cs"/>
          <w:szCs w:val="24"/>
          <w:rtl/>
        </w:rPr>
        <w:t>.</w:t>
      </w:r>
    </w:p>
    <w:p w14:paraId="099EA818" w14:textId="77777777" w:rsidR="00A87954" w:rsidRDefault="00A87954" w:rsidP="00A87954"/>
    <w:p w14:paraId="26A35698" w14:textId="77777777" w:rsidR="00A87954" w:rsidRDefault="00A87954" w:rsidP="00A87954">
      <w:pPr>
        <w:pStyle w:val="ab"/>
        <w:numPr>
          <w:ilvl w:val="0"/>
          <w:numId w:val="4"/>
        </w:numPr>
        <w:snapToGrid w:val="0"/>
        <w:spacing w:after="0"/>
        <w:ind w:right="0"/>
        <w:rPr>
          <w:szCs w:val="24"/>
        </w:rPr>
      </w:pPr>
      <w:r>
        <w:rPr>
          <w:rFonts w:hint="cs"/>
          <w:b/>
          <w:bCs/>
          <w:szCs w:val="24"/>
          <w:rtl/>
        </w:rPr>
        <w:t>קנס כספי בסך 10,000 ₪</w:t>
      </w:r>
      <w:r>
        <w:rPr>
          <w:rFonts w:hint="cs"/>
          <w:szCs w:val="24"/>
          <w:rtl/>
        </w:rPr>
        <w:t>. הקנס ישולם בעשרים תשלומים חודשיים שווים ורצופים החל מיום 1.1.2024 ואילך. איחור באחד התשלומים יביא להעמדת הקנס כולו לפירעון מיידי.</w:t>
      </w:r>
    </w:p>
    <w:p w14:paraId="633DCFB2" w14:textId="77777777" w:rsidR="00A87954" w:rsidRPr="0010499F" w:rsidRDefault="00A87954" w:rsidP="00A87954">
      <w:pPr>
        <w:pStyle w:val="ab"/>
        <w:rPr>
          <w:szCs w:val="24"/>
        </w:rPr>
      </w:pPr>
    </w:p>
    <w:p w14:paraId="5555CEA2" w14:textId="77777777" w:rsidR="00A87954" w:rsidRDefault="00A87954" w:rsidP="00A87954">
      <w:pPr>
        <w:pStyle w:val="ab"/>
        <w:numPr>
          <w:ilvl w:val="0"/>
          <w:numId w:val="4"/>
        </w:numPr>
        <w:spacing w:after="0"/>
        <w:ind w:right="0"/>
        <w:rPr>
          <w:szCs w:val="24"/>
          <w:rtl/>
        </w:rPr>
      </w:pPr>
      <w:r>
        <w:rPr>
          <w:rFonts w:hint="cs"/>
          <w:b/>
          <w:bCs/>
          <w:szCs w:val="24"/>
          <w:u w:val="single"/>
          <w:rtl/>
        </w:rPr>
        <w:t>הרכוש המפורט בסעיף 3 לכתב האישום יחולט לטובת המדינה</w:t>
      </w:r>
      <w:r>
        <w:rPr>
          <w:rFonts w:hint="cs"/>
          <w:szCs w:val="24"/>
          <w:rtl/>
        </w:rPr>
        <w:t xml:space="preserve">.  </w:t>
      </w:r>
    </w:p>
    <w:p w14:paraId="57E4F710" w14:textId="77777777" w:rsidR="00A87954" w:rsidRDefault="00A87954" w:rsidP="00A87954">
      <w:pPr>
        <w:rPr>
          <w:rtl/>
        </w:rPr>
      </w:pPr>
    </w:p>
    <w:p w14:paraId="05E71554" w14:textId="77777777" w:rsidR="00A87954" w:rsidRDefault="00A87954" w:rsidP="00A87954">
      <w:pPr>
        <w:rPr>
          <w:rtl/>
        </w:rPr>
      </w:pPr>
      <w:r>
        <w:rPr>
          <w:rFonts w:hint="cs"/>
          <w:b/>
          <w:bCs/>
          <w:rtl/>
        </w:rPr>
        <w:t>זכות ערעור לבית המשפט המחוזי בלוד תוך 45 ימים מהיום.</w:t>
      </w:r>
      <w:r>
        <w:rPr>
          <w:rFonts w:hint="cs"/>
          <w:rtl/>
        </w:rPr>
        <w:t xml:space="preserve">  </w:t>
      </w:r>
    </w:p>
    <w:p w14:paraId="0D29FC4E" w14:textId="77777777" w:rsidR="00A87954" w:rsidRDefault="00A87954" w:rsidP="00A87954">
      <w:pPr>
        <w:rPr>
          <w:rtl/>
        </w:rPr>
      </w:pPr>
    </w:p>
    <w:p w14:paraId="1EC0E613" w14:textId="77777777" w:rsidR="00A87954" w:rsidRDefault="00A87954" w:rsidP="00A87954">
      <w:pPr>
        <w:rPr>
          <w:rtl/>
        </w:rPr>
      </w:pPr>
      <w:r>
        <w:rPr>
          <w:rFonts w:hint="cs"/>
          <w:rtl/>
        </w:rPr>
        <w:t>המזכירות תשלח עותק מגזר הדין לשירות המבחן ולממונה על עבודות השירות.</w:t>
      </w:r>
    </w:p>
    <w:p w14:paraId="6947210B" w14:textId="77777777" w:rsidR="00A87954" w:rsidRDefault="00A87954" w:rsidP="00A87954">
      <w:pPr>
        <w:rPr>
          <w:rtl/>
        </w:rPr>
      </w:pPr>
    </w:p>
    <w:p w14:paraId="68CBA166" w14:textId="77777777" w:rsidR="00A87954" w:rsidRDefault="00A87954" w:rsidP="00A87954">
      <w:pPr>
        <w:rPr>
          <w:rtl/>
        </w:rPr>
      </w:pPr>
    </w:p>
    <w:p w14:paraId="66FBB04D" w14:textId="77777777" w:rsidR="00A87954" w:rsidRPr="007258B0" w:rsidRDefault="007258B0" w:rsidP="00A87954">
      <w:pPr>
        <w:rPr>
          <w:rFonts w:ascii="Arial" w:hAnsi="Arial"/>
          <w:b/>
          <w:bCs/>
          <w:color w:val="FFFFFF"/>
          <w:sz w:val="2"/>
          <w:szCs w:val="2"/>
          <w:rtl/>
        </w:rPr>
      </w:pPr>
      <w:r w:rsidRPr="007258B0">
        <w:rPr>
          <w:rFonts w:ascii="Arial" w:hAnsi="Arial"/>
          <w:b/>
          <w:bCs/>
          <w:color w:val="FFFFFF"/>
          <w:sz w:val="2"/>
          <w:szCs w:val="2"/>
          <w:rtl/>
        </w:rPr>
        <w:t>5129371</w:t>
      </w:r>
    </w:p>
    <w:p w14:paraId="60A7698A" w14:textId="77777777" w:rsidR="00A87954" w:rsidRPr="007258B0" w:rsidRDefault="007258B0" w:rsidP="00A87954">
      <w:pPr>
        <w:rPr>
          <w:rFonts w:ascii="Arial" w:hAnsi="Arial"/>
          <w:b/>
          <w:bCs/>
          <w:color w:val="FFFFFF"/>
          <w:sz w:val="2"/>
          <w:szCs w:val="2"/>
          <w:rtl/>
        </w:rPr>
      </w:pPr>
      <w:r w:rsidRPr="007258B0">
        <w:rPr>
          <w:rFonts w:ascii="Arial" w:hAnsi="Arial"/>
          <w:b/>
          <w:bCs/>
          <w:color w:val="FFFFFF"/>
          <w:sz w:val="2"/>
          <w:szCs w:val="2"/>
          <w:rtl/>
        </w:rPr>
        <w:t>54678313</w:t>
      </w:r>
    </w:p>
    <w:p w14:paraId="1188BEBC" w14:textId="77777777" w:rsidR="00A87954" w:rsidRPr="000F2247" w:rsidRDefault="00A87954" w:rsidP="00A87954">
      <w:pPr>
        <w:rPr>
          <w:rFonts w:ascii="Arial" w:hAnsi="Arial"/>
          <w:b/>
          <w:bCs/>
          <w:sz w:val="26"/>
          <w:szCs w:val="26"/>
          <w:rtl/>
        </w:rPr>
      </w:pPr>
    </w:p>
    <w:p w14:paraId="4609DF7B" w14:textId="77777777" w:rsidR="00A87954" w:rsidRPr="000F2247" w:rsidRDefault="007258B0" w:rsidP="00A87954">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 כסלו תשפ"ד, 23 נובמבר 2023, במעמד הצדדים. </w:t>
      </w:r>
      <w:bookmarkEnd w:id="7"/>
      <w:r w:rsidR="00A87954">
        <w:rPr>
          <w:rFonts w:ascii="Arial" w:hAnsi="Arial"/>
          <w:b/>
          <w:bCs/>
          <w:sz w:val="26"/>
          <w:szCs w:val="26"/>
          <w:rtl/>
        </w:rPr>
        <w:tab/>
      </w:r>
      <w:r w:rsidR="00A87954">
        <w:rPr>
          <w:rFonts w:ascii="Arial" w:hAnsi="Arial"/>
          <w:b/>
          <w:bCs/>
          <w:sz w:val="26"/>
          <w:szCs w:val="26"/>
          <w:rtl/>
        </w:rPr>
        <w:tab/>
      </w:r>
      <w:r w:rsidR="00A87954">
        <w:rPr>
          <w:rFonts w:ascii="Arial" w:hAnsi="Arial"/>
          <w:b/>
          <w:bCs/>
          <w:sz w:val="26"/>
          <w:szCs w:val="26"/>
          <w:rtl/>
        </w:rPr>
        <w:tab/>
      </w:r>
      <w:r w:rsidR="00A87954">
        <w:rPr>
          <w:rFonts w:ascii="Arial" w:hAnsi="Arial"/>
          <w:b/>
          <w:bCs/>
          <w:sz w:val="26"/>
          <w:szCs w:val="26"/>
          <w:rtl/>
        </w:rPr>
        <w:tab/>
      </w:r>
      <w:r w:rsidR="00A87954">
        <w:rPr>
          <w:rFonts w:ascii="Arial" w:hAnsi="Arial"/>
          <w:b/>
          <w:bCs/>
          <w:sz w:val="26"/>
          <w:szCs w:val="26"/>
          <w:rtl/>
        </w:rPr>
        <w:tab/>
      </w:r>
      <w:r w:rsidR="00A87954">
        <w:rPr>
          <w:rFonts w:ascii="Arial" w:hAnsi="Arial"/>
          <w:b/>
          <w:bCs/>
          <w:sz w:val="26"/>
          <w:szCs w:val="26"/>
          <w:rtl/>
        </w:rPr>
        <w:tab/>
      </w:r>
      <w:r w:rsidR="00A87954">
        <w:rPr>
          <w:rFonts w:ascii="Arial" w:hAnsi="Arial"/>
          <w:b/>
          <w:bCs/>
          <w:sz w:val="26"/>
          <w:szCs w:val="26"/>
          <w:rtl/>
        </w:rPr>
        <w:tab/>
      </w:r>
      <w:r w:rsidR="00A87954">
        <w:rPr>
          <w:rFonts w:ascii="Arial" w:hAnsi="Arial" w:hint="cs"/>
          <w:b/>
          <w:bCs/>
          <w:sz w:val="26"/>
          <w:szCs w:val="26"/>
          <w:rtl/>
        </w:rPr>
        <w:t xml:space="preserve">         </w:t>
      </w:r>
    </w:p>
    <w:p w14:paraId="03CF3978" w14:textId="77777777" w:rsidR="00A87954" w:rsidRPr="000F2247" w:rsidRDefault="00A87954" w:rsidP="007258B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FDC6485" w14:textId="77777777" w:rsidR="00A87954" w:rsidRPr="000F2247" w:rsidRDefault="00A87954" w:rsidP="00A87954">
      <w:pPr>
        <w:jc w:val="center"/>
        <w:rPr>
          <w:rFonts w:ascii="Arial" w:hAnsi="Arial"/>
          <w:b/>
          <w:bCs/>
          <w:sz w:val="26"/>
          <w:szCs w:val="26"/>
          <w:rtl/>
        </w:rPr>
      </w:pPr>
    </w:p>
    <w:p w14:paraId="05091770" w14:textId="77777777" w:rsidR="00290C18" w:rsidRPr="007258B0" w:rsidRDefault="00290C18" w:rsidP="007258B0">
      <w:pPr>
        <w:keepNext/>
        <w:rPr>
          <w:rFonts w:ascii="David" w:hAnsi="David"/>
          <w:color w:val="000000"/>
          <w:sz w:val="22"/>
          <w:szCs w:val="22"/>
          <w:rtl/>
        </w:rPr>
      </w:pPr>
    </w:p>
    <w:p w14:paraId="48D4E45A" w14:textId="77777777" w:rsidR="007258B0" w:rsidRPr="007258B0" w:rsidRDefault="007258B0" w:rsidP="007258B0">
      <w:pPr>
        <w:keepNext/>
        <w:rPr>
          <w:rFonts w:ascii="David" w:hAnsi="David"/>
          <w:color w:val="000000"/>
          <w:sz w:val="22"/>
          <w:szCs w:val="22"/>
          <w:rtl/>
        </w:rPr>
      </w:pPr>
      <w:r w:rsidRPr="007258B0">
        <w:rPr>
          <w:rFonts w:ascii="David" w:hAnsi="David"/>
          <w:color w:val="000000"/>
          <w:sz w:val="22"/>
          <w:szCs w:val="22"/>
          <w:rtl/>
        </w:rPr>
        <w:t>טל ענר 54678313</w:t>
      </w:r>
    </w:p>
    <w:p w14:paraId="2A49212C" w14:textId="77777777" w:rsidR="007258B0" w:rsidRDefault="007258B0" w:rsidP="007258B0">
      <w:r w:rsidRPr="007258B0">
        <w:rPr>
          <w:color w:val="000000"/>
          <w:rtl/>
        </w:rPr>
        <w:t>נוסח מסמך זה כפוף לשינויי ניסוח ועריכה</w:t>
      </w:r>
    </w:p>
    <w:p w14:paraId="528A4B9B" w14:textId="77777777" w:rsidR="007258B0" w:rsidRDefault="007258B0" w:rsidP="007258B0">
      <w:pPr>
        <w:rPr>
          <w:rtl/>
        </w:rPr>
      </w:pPr>
    </w:p>
    <w:p w14:paraId="1E83631C" w14:textId="77777777" w:rsidR="007258B0" w:rsidRDefault="007258B0" w:rsidP="007258B0">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317DEEEE" w14:textId="77777777" w:rsidR="007258B0" w:rsidRPr="007258B0" w:rsidRDefault="007258B0" w:rsidP="007258B0">
      <w:pPr>
        <w:jc w:val="center"/>
        <w:rPr>
          <w:color w:val="0000FF"/>
          <w:u w:val="single"/>
        </w:rPr>
      </w:pPr>
    </w:p>
    <w:sectPr w:rsidR="007258B0" w:rsidRPr="007258B0" w:rsidSect="007258B0">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C7A16" w14:textId="77777777" w:rsidR="00787746" w:rsidRDefault="00787746" w:rsidP="00ED008C">
      <w:r>
        <w:separator/>
      </w:r>
    </w:p>
  </w:endnote>
  <w:endnote w:type="continuationSeparator" w:id="0">
    <w:p w14:paraId="3A3259BD" w14:textId="77777777" w:rsidR="00787746" w:rsidRDefault="00787746" w:rsidP="00ED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5EEB" w14:textId="77777777" w:rsidR="007258B0" w:rsidRDefault="007258B0" w:rsidP="007258B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23E2D9E" w14:textId="77777777" w:rsidR="00C14E76" w:rsidRPr="007258B0" w:rsidRDefault="007258B0" w:rsidP="007258B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5D245" w14:textId="77777777" w:rsidR="007258B0" w:rsidRDefault="007258B0" w:rsidP="007258B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1A6D">
      <w:rPr>
        <w:rFonts w:ascii="FrankRuehl" w:hAnsi="FrankRuehl" w:cs="FrankRuehl"/>
        <w:noProof/>
        <w:rtl/>
      </w:rPr>
      <w:t>1</w:t>
    </w:r>
    <w:r>
      <w:rPr>
        <w:rFonts w:ascii="FrankRuehl" w:hAnsi="FrankRuehl" w:cs="FrankRuehl"/>
        <w:rtl/>
      </w:rPr>
      <w:fldChar w:fldCharType="end"/>
    </w:r>
  </w:p>
  <w:p w14:paraId="3FE065B3" w14:textId="77777777" w:rsidR="00C14E76" w:rsidRPr="007258B0" w:rsidRDefault="007258B0" w:rsidP="007258B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D703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44689" w14:textId="77777777" w:rsidR="00787746" w:rsidRDefault="00787746" w:rsidP="00ED008C">
      <w:r>
        <w:separator/>
      </w:r>
    </w:p>
  </w:footnote>
  <w:footnote w:type="continuationSeparator" w:id="0">
    <w:p w14:paraId="74E98241" w14:textId="77777777" w:rsidR="00787746" w:rsidRDefault="00787746" w:rsidP="00ED0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9207A" w14:textId="77777777" w:rsidR="007258B0" w:rsidRPr="007258B0" w:rsidRDefault="007258B0" w:rsidP="007258B0">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27743-10-21</w:t>
    </w:r>
    <w:r>
      <w:rPr>
        <w:rFonts w:ascii="David" w:hAnsi="David"/>
        <w:color w:val="000000"/>
        <w:sz w:val="22"/>
        <w:szCs w:val="22"/>
        <w:rtl/>
      </w:rPr>
      <w:tab/>
      <w:t xml:space="preserve"> מדינת ישראל נ' משה יעקבי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73BBF" w14:textId="77777777" w:rsidR="007258B0" w:rsidRPr="007258B0" w:rsidRDefault="007258B0" w:rsidP="007258B0">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27743-10-21</w:t>
    </w:r>
    <w:r>
      <w:rPr>
        <w:rFonts w:ascii="David" w:hAnsi="David"/>
        <w:color w:val="000000"/>
        <w:sz w:val="22"/>
        <w:szCs w:val="22"/>
        <w:rtl/>
      </w:rPr>
      <w:tab/>
      <w:t xml:space="preserve"> מדינת ישראל נ' משה יעקבי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6761B"/>
    <w:multiLevelType w:val="hybridMultilevel"/>
    <w:tmpl w:val="7C5435F2"/>
    <w:lvl w:ilvl="0" w:tplc="D8F6F10A">
      <w:start w:val="1"/>
      <w:numFmt w:val="hebrew1"/>
      <w:lvlText w:val="%1."/>
      <w:lvlJc w:val="left"/>
      <w:pPr>
        <w:ind w:left="1286" w:hanging="360"/>
      </w:pPr>
      <w:rPr>
        <w:rFonts w:ascii="David" w:hAnsi="David" w:cs="David" w:hint="default"/>
      </w:rPr>
    </w:lvl>
    <w:lvl w:ilvl="1" w:tplc="04090019">
      <w:start w:val="1"/>
      <w:numFmt w:val="lowerLetter"/>
      <w:lvlText w:val="%2."/>
      <w:lvlJc w:val="left"/>
      <w:pPr>
        <w:ind w:left="2006" w:hanging="360"/>
      </w:pPr>
    </w:lvl>
    <w:lvl w:ilvl="2" w:tplc="0409001B">
      <w:start w:val="1"/>
      <w:numFmt w:val="lowerRoman"/>
      <w:lvlText w:val="%3."/>
      <w:lvlJc w:val="right"/>
      <w:pPr>
        <w:ind w:left="2726" w:hanging="180"/>
      </w:pPr>
    </w:lvl>
    <w:lvl w:ilvl="3" w:tplc="0409000F">
      <w:start w:val="1"/>
      <w:numFmt w:val="decimal"/>
      <w:lvlText w:val="%4."/>
      <w:lvlJc w:val="left"/>
      <w:pPr>
        <w:ind w:left="3446" w:hanging="360"/>
      </w:pPr>
    </w:lvl>
    <w:lvl w:ilvl="4" w:tplc="04090019">
      <w:start w:val="1"/>
      <w:numFmt w:val="lowerLetter"/>
      <w:lvlText w:val="%5."/>
      <w:lvlJc w:val="left"/>
      <w:pPr>
        <w:ind w:left="4166" w:hanging="360"/>
      </w:pPr>
    </w:lvl>
    <w:lvl w:ilvl="5" w:tplc="0409001B">
      <w:start w:val="1"/>
      <w:numFmt w:val="lowerRoman"/>
      <w:lvlText w:val="%6."/>
      <w:lvlJc w:val="right"/>
      <w:pPr>
        <w:ind w:left="4886" w:hanging="180"/>
      </w:pPr>
    </w:lvl>
    <w:lvl w:ilvl="6" w:tplc="0409000F">
      <w:start w:val="1"/>
      <w:numFmt w:val="decimal"/>
      <w:lvlText w:val="%7."/>
      <w:lvlJc w:val="left"/>
      <w:pPr>
        <w:ind w:left="5606" w:hanging="360"/>
      </w:pPr>
    </w:lvl>
    <w:lvl w:ilvl="7" w:tplc="04090019">
      <w:start w:val="1"/>
      <w:numFmt w:val="lowerLetter"/>
      <w:lvlText w:val="%8."/>
      <w:lvlJc w:val="left"/>
      <w:pPr>
        <w:ind w:left="6326" w:hanging="360"/>
      </w:pPr>
    </w:lvl>
    <w:lvl w:ilvl="8" w:tplc="0409001B">
      <w:start w:val="1"/>
      <w:numFmt w:val="lowerRoman"/>
      <w:lvlText w:val="%9."/>
      <w:lvlJc w:val="right"/>
      <w:pPr>
        <w:ind w:left="7046" w:hanging="180"/>
      </w:pPr>
    </w:lvl>
  </w:abstractNum>
  <w:abstractNum w:abstractNumId="1" w15:restartNumberingAfterBreak="0">
    <w:nsid w:val="1C5E6DF5"/>
    <w:multiLevelType w:val="hybridMultilevel"/>
    <w:tmpl w:val="5FA22BDC"/>
    <w:lvl w:ilvl="0" w:tplc="018491C6">
      <w:start w:val="1"/>
      <w:numFmt w:val="decimal"/>
      <w:pStyle w:val="a"/>
      <w:lvlText w:val="%1."/>
      <w:lvlJc w:val="left"/>
      <w:pPr>
        <w:tabs>
          <w:tab w:val="num" w:pos="720"/>
        </w:tabs>
        <w:ind w:left="720" w:hanging="720"/>
      </w:pPr>
      <w:rPr>
        <w:rFonts w:ascii="Times New Roman" w:eastAsia="Times New Roman" w:hAnsi="Times New Roman" w:cs="David"/>
      </w:rPr>
    </w:lvl>
    <w:lvl w:ilvl="1" w:tplc="DB562B38">
      <w:start w:val="1"/>
      <w:numFmt w:val="hebrew1"/>
      <w:lvlText w:val="%2."/>
      <w:lvlJc w:val="left"/>
      <w:pPr>
        <w:tabs>
          <w:tab w:val="num" w:pos="1494"/>
        </w:tabs>
        <w:ind w:left="1494"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8B608A6"/>
    <w:multiLevelType w:val="hybridMultilevel"/>
    <w:tmpl w:val="F29C0B3A"/>
    <w:lvl w:ilvl="0" w:tplc="15388588">
      <w:start w:val="1"/>
      <w:numFmt w:val="decimal"/>
      <w:lvlText w:val="%1."/>
      <w:lvlJc w:val="left"/>
      <w:pPr>
        <w:ind w:left="566" w:hanging="360"/>
      </w:pPr>
      <w:rPr>
        <w:b w:val="0"/>
        <w:bCs w:val="0"/>
      </w:rPr>
    </w:lvl>
    <w:lvl w:ilvl="1" w:tplc="04090019">
      <w:start w:val="1"/>
      <w:numFmt w:val="lowerLetter"/>
      <w:lvlText w:val="%2."/>
      <w:lvlJc w:val="left"/>
      <w:pPr>
        <w:ind w:left="1286" w:hanging="360"/>
      </w:pPr>
    </w:lvl>
    <w:lvl w:ilvl="2" w:tplc="0409001B">
      <w:start w:val="1"/>
      <w:numFmt w:val="lowerRoman"/>
      <w:lvlText w:val="%3."/>
      <w:lvlJc w:val="right"/>
      <w:pPr>
        <w:ind w:left="2006" w:hanging="180"/>
      </w:pPr>
    </w:lvl>
    <w:lvl w:ilvl="3" w:tplc="0409000F">
      <w:start w:val="1"/>
      <w:numFmt w:val="decimal"/>
      <w:lvlText w:val="%4."/>
      <w:lvlJc w:val="left"/>
      <w:pPr>
        <w:ind w:left="2726" w:hanging="360"/>
      </w:pPr>
    </w:lvl>
    <w:lvl w:ilvl="4" w:tplc="04090019">
      <w:start w:val="1"/>
      <w:numFmt w:val="lowerLetter"/>
      <w:lvlText w:val="%5."/>
      <w:lvlJc w:val="left"/>
      <w:pPr>
        <w:ind w:left="3446" w:hanging="360"/>
      </w:pPr>
    </w:lvl>
    <w:lvl w:ilvl="5" w:tplc="0409001B">
      <w:start w:val="1"/>
      <w:numFmt w:val="lowerRoman"/>
      <w:lvlText w:val="%6."/>
      <w:lvlJc w:val="right"/>
      <w:pPr>
        <w:ind w:left="4166" w:hanging="180"/>
      </w:pPr>
    </w:lvl>
    <w:lvl w:ilvl="6" w:tplc="0409000F">
      <w:start w:val="1"/>
      <w:numFmt w:val="decimal"/>
      <w:lvlText w:val="%7."/>
      <w:lvlJc w:val="left"/>
      <w:pPr>
        <w:ind w:left="4886" w:hanging="360"/>
      </w:pPr>
    </w:lvl>
    <w:lvl w:ilvl="7" w:tplc="04090019">
      <w:start w:val="1"/>
      <w:numFmt w:val="lowerLetter"/>
      <w:lvlText w:val="%8."/>
      <w:lvlJc w:val="left"/>
      <w:pPr>
        <w:ind w:left="5606" w:hanging="360"/>
      </w:pPr>
    </w:lvl>
    <w:lvl w:ilvl="8" w:tplc="0409001B">
      <w:start w:val="1"/>
      <w:numFmt w:val="lowerRoman"/>
      <w:lvlText w:val="%9."/>
      <w:lvlJc w:val="right"/>
      <w:pPr>
        <w:ind w:left="6326" w:hanging="180"/>
      </w:pPr>
    </w:lvl>
  </w:abstractNum>
  <w:abstractNum w:abstractNumId="3" w15:restartNumberingAfterBreak="0">
    <w:nsid w:val="536812B8"/>
    <w:multiLevelType w:val="hybridMultilevel"/>
    <w:tmpl w:val="D0BE910C"/>
    <w:lvl w:ilvl="0" w:tplc="4704EE54">
      <w:start w:val="1"/>
      <w:numFmt w:val="hebrew1"/>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71320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31142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60753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5689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7954"/>
    <w:rsid w:val="000020EC"/>
    <w:rsid w:val="00022C0F"/>
    <w:rsid w:val="00073A51"/>
    <w:rsid w:val="001B5A3B"/>
    <w:rsid w:val="00290C18"/>
    <w:rsid w:val="007258B0"/>
    <w:rsid w:val="00752F68"/>
    <w:rsid w:val="00787746"/>
    <w:rsid w:val="00862097"/>
    <w:rsid w:val="00A56EFF"/>
    <w:rsid w:val="00A87954"/>
    <w:rsid w:val="00B57500"/>
    <w:rsid w:val="00BA65AB"/>
    <w:rsid w:val="00BC7DB3"/>
    <w:rsid w:val="00C14E76"/>
    <w:rsid w:val="00E21A6D"/>
    <w:rsid w:val="00E52EBA"/>
    <w:rsid w:val="00ED00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142743"/>
  <w15:chartTrackingRefBased/>
  <w15:docId w15:val="{6517CCBE-5EC7-4894-AE27-89CDD7DF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87954"/>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A87954"/>
    <w:pPr>
      <w:tabs>
        <w:tab w:val="center" w:pos="4153"/>
        <w:tab w:val="right" w:pos="8306"/>
      </w:tabs>
    </w:pPr>
  </w:style>
  <w:style w:type="character" w:customStyle="1" w:styleId="a5">
    <w:name w:val="כותרת עליונה תו"/>
    <w:link w:val="a4"/>
    <w:rsid w:val="00A87954"/>
    <w:rPr>
      <w:rFonts w:ascii="Times New Roman" w:eastAsia="Times New Roman" w:hAnsi="Times New Roman" w:cs="David"/>
      <w:sz w:val="24"/>
      <w:szCs w:val="24"/>
    </w:rPr>
  </w:style>
  <w:style w:type="paragraph" w:styleId="a6">
    <w:name w:val="footer"/>
    <w:basedOn w:val="a0"/>
    <w:link w:val="a7"/>
    <w:rsid w:val="00A87954"/>
    <w:pPr>
      <w:tabs>
        <w:tab w:val="center" w:pos="4153"/>
        <w:tab w:val="right" w:pos="8306"/>
      </w:tabs>
    </w:pPr>
  </w:style>
  <w:style w:type="character" w:customStyle="1" w:styleId="a7">
    <w:name w:val="כותרת תחתונה תו"/>
    <w:link w:val="a6"/>
    <w:rsid w:val="00A87954"/>
    <w:rPr>
      <w:rFonts w:ascii="Times New Roman" w:eastAsia="Times New Roman" w:hAnsi="Times New Roman" w:cs="David"/>
      <w:sz w:val="24"/>
      <w:szCs w:val="24"/>
    </w:rPr>
  </w:style>
  <w:style w:type="table" w:styleId="a8">
    <w:name w:val="Table Grid"/>
    <w:basedOn w:val="a2"/>
    <w:rsid w:val="00A8795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A87954"/>
  </w:style>
  <w:style w:type="character" w:customStyle="1" w:styleId="aa">
    <w:name w:val="פיסקת רשימה תו"/>
    <w:link w:val="ab"/>
    <w:locked/>
    <w:rsid w:val="00A87954"/>
    <w:rPr>
      <w:rFonts w:ascii="David" w:eastAsia="David" w:hAnsi="David" w:cs="David"/>
      <w:color w:val="000000"/>
      <w:sz w:val="24"/>
    </w:rPr>
  </w:style>
  <w:style w:type="paragraph" w:styleId="ab">
    <w:name w:val="List Paragraph"/>
    <w:basedOn w:val="a0"/>
    <w:link w:val="aa"/>
    <w:qFormat/>
    <w:rsid w:val="00A87954"/>
    <w:pPr>
      <w:spacing w:after="3" w:line="360" w:lineRule="auto"/>
      <w:ind w:left="720" w:right="24" w:hanging="367"/>
      <w:contextualSpacing/>
      <w:jc w:val="both"/>
    </w:pPr>
    <w:rPr>
      <w:rFonts w:ascii="David" w:eastAsia="David" w:hAnsi="David"/>
      <w:color w:val="000000"/>
      <w:szCs w:val="22"/>
    </w:rPr>
  </w:style>
  <w:style w:type="paragraph" w:customStyle="1" w:styleId="a">
    <w:name w:val="ממוספר"/>
    <w:basedOn w:val="a0"/>
    <w:rsid w:val="00A87954"/>
    <w:pPr>
      <w:numPr>
        <w:numId w:val="1"/>
      </w:numPr>
      <w:spacing w:after="120" w:line="360" w:lineRule="auto"/>
    </w:pPr>
    <w:rPr>
      <w:rFonts w:ascii="David" w:hAnsi="David"/>
      <w:color w:val="000000"/>
    </w:rPr>
  </w:style>
  <w:style w:type="character" w:customStyle="1" w:styleId="default">
    <w:name w:val="default"/>
    <w:rsid w:val="00A87954"/>
  </w:style>
  <w:style w:type="character" w:styleId="Hyperlink">
    <w:name w:val="Hyperlink"/>
    <w:rsid w:val="007258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5738608" TargetMode="External"/><Relationship Id="rId26" Type="http://schemas.openxmlformats.org/officeDocument/2006/relationships/hyperlink" Target="http://www.nevo.co.il/case/22087107" TargetMode="External"/><Relationship Id="rId39" Type="http://schemas.openxmlformats.org/officeDocument/2006/relationships/header" Target="header2.xml"/><Relationship Id="rId21" Type="http://schemas.openxmlformats.org/officeDocument/2006/relationships/hyperlink" Target="http://www.nevo.co.il/case/29428682" TargetMode="External"/><Relationship Id="rId34" Type="http://schemas.openxmlformats.org/officeDocument/2006/relationships/hyperlink" Target="http://www.nevo.co.il/case/22938500"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5263984"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h" TargetMode="External"/><Relationship Id="rId24" Type="http://schemas.openxmlformats.org/officeDocument/2006/relationships/hyperlink" Target="http://www.nevo.co.il/case/27313460" TargetMode="External"/><Relationship Id="rId32" Type="http://schemas.openxmlformats.org/officeDocument/2006/relationships/hyperlink" Target="http://www.nevo.co.il/case/28226828"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7615803" TargetMode="External"/><Relationship Id="rId28" Type="http://schemas.openxmlformats.org/officeDocument/2006/relationships/hyperlink" Target="http://www.nevo.co.il/case/28243717"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d" TargetMode="External"/><Relationship Id="rId19" Type="http://schemas.openxmlformats.org/officeDocument/2006/relationships/hyperlink" Target="http://www.nevo.co.il/law/70301/40j"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7347635" TargetMode="External"/><Relationship Id="rId27" Type="http://schemas.openxmlformats.org/officeDocument/2006/relationships/hyperlink" Target="http://www.nevo.co.il/case/27913236" TargetMode="External"/><Relationship Id="rId30" Type="http://schemas.openxmlformats.org/officeDocument/2006/relationships/hyperlink" Target="http://www.nevo.co.il/law/70301/40d" TargetMode="External"/><Relationship Id="rId35" Type="http://schemas.openxmlformats.org/officeDocument/2006/relationships/hyperlink" Target="http://www.nevo.co.il/law/70301/40h"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j"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4492983" TargetMode="External"/><Relationship Id="rId33" Type="http://schemas.openxmlformats.org/officeDocument/2006/relationships/hyperlink" Target="http://www.nevo.co.il/case/2545924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2563</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15352</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http://www.nevo.co.il/law/70301/40h</vt:lpwstr>
      </vt:variant>
      <vt:variant>
        <vt:lpwstr/>
      </vt:variant>
      <vt:variant>
        <vt:i4>3342448</vt:i4>
      </vt:variant>
      <vt:variant>
        <vt:i4>81</vt:i4>
      </vt:variant>
      <vt:variant>
        <vt:i4>0</vt:i4>
      </vt:variant>
      <vt:variant>
        <vt:i4>5</vt:i4>
      </vt:variant>
      <vt:variant>
        <vt:lpwstr>http://www.nevo.co.il/case/22938500</vt:lpwstr>
      </vt:variant>
      <vt:variant>
        <vt:lpwstr/>
      </vt:variant>
      <vt:variant>
        <vt:i4>3866742</vt:i4>
      </vt:variant>
      <vt:variant>
        <vt:i4>78</vt:i4>
      </vt:variant>
      <vt:variant>
        <vt:i4>0</vt:i4>
      </vt:variant>
      <vt:variant>
        <vt:i4>5</vt:i4>
      </vt:variant>
      <vt:variant>
        <vt:lpwstr>http://www.nevo.co.il/case/25459244</vt:lpwstr>
      </vt:variant>
      <vt:variant>
        <vt:lpwstr/>
      </vt:variant>
      <vt:variant>
        <vt:i4>3407990</vt:i4>
      </vt:variant>
      <vt:variant>
        <vt:i4>75</vt:i4>
      </vt:variant>
      <vt:variant>
        <vt:i4>0</vt:i4>
      </vt:variant>
      <vt:variant>
        <vt:i4>5</vt:i4>
      </vt:variant>
      <vt:variant>
        <vt:lpwstr>http://www.nevo.co.il/case/28226828</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3866750</vt:i4>
      </vt:variant>
      <vt:variant>
        <vt:i4>66</vt:i4>
      </vt:variant>
      <vt:variant>
        <vt:i4>0</vt:i4>
      </vt:variant>
      <vt:variant>
        <vt:i4>5</vt:i4>
      </vt:variant>
      <vt:variant>
        <vt:lpwstr>http://www.nevo.co.il/case/25263984</vt:lpwstr>
      </vt:variant>
      <vt:variant>
        <vt:lpwstr/>
      </vt:variant>
      <vt:variant>
        <vt:i4>3276927</vt:i4>
      </vt:variant>
      <vt:variant>
        <vt:i4>63</vt:i4>
      </vt:variant>
      <vt:variant>
        <vt:i4>0</vt:i4>
      </vt:variant>
      <vt:variant>
        <vt:i4>5</vt:i4>
      </vt:variant>
      <vt:variant>
        <vt:lpwstr>http://www.nevo.co.il/case/28243717</vt:lpwstr>
      </vt:variant>
      <vt:variant>
        <vt:lpwstr/>
      </vt:variant>
      <vt:variant>
        <vt:i4>3866736</vt:i4>
      </vt:variant>
      <vt:variant>
        <vt:i4>60</vt:i4>
      </vt:variant>
      <vt:variant>
        <vt:i4>0</vt:i4>
      </vt:variant>
      <vt:variant>
        <vt:i4>5</vt:i4>
      </vt:variant>
      <vt:variant>
        <vt:lpwstr>http://www.nevo.co.il/case/27913236</vt:lpwstr>
      </vt:variant>
      <vt:variant>
        <vt:lpwstr/>
      </vt:variant>
      <vt:variant>
        <vt:i4>3473535</vt:i4>
      </vt:variant>
      <vt:variant>
        <vt:i4>57</vt:i4>
      </vt:variant>
      <vt:variant>
        <vt:i4>0</vt:i4>
      </vt:variant>
      <vt:variant>
        <vt:i4>5</vt:i4>
      </vt:variant>
      <vt:variant>
        <vt:lpwstr>http://www.nevo.co.il/case/22087107</vt:lpwstr>
      </vt:variant>
      <vt:variant>
        <vt:lpwstr/>
      </vt:variant>
      <vt:variant>
        <vt:i4>3932272</vt:i4>
      </vt:variant>
      <vt:variant>
        <vt:i4>54</vt:i4>
      </vt:variant>
      <vt:variant>
        <vt:i4>0</vt:i4>
      </vt:variant>
      <vt:variant>
        <vt:i4>5</vt:i4>
      </vt:variant>
      <vt:variant>
        <vt:lpwstr>http://www.nevo.co.il/case/24492983</vt:lpwstr>
      </vt:variant>
      <vt:variant>
        <vt:lpwstr/>
      </vt:variant>
      <vt:variant>
        <vt:i4>3407990</vt:i4>
      </vt:variant>
      <vt:variant>
        <vt:i4>51</vt:i4>
      </vt:variant>
      <vt:variant>
        <vt:i4>0</vt:i4>
      </vt:variant>
      <vt:variant>
        <vt:i4>5</vt:i4>
      </vt:variant>
      <vt:variant>
        <vt:lpwstr>http://www.nevo.co.il/case/27313460</vt:lpwstr>
      </vt:variant>
      <vt:variant>
        <vt:lpwstr/>
      </vt:variant>
      <vt:variant>
        <vt:i4>3211386</vt:i4>
      </vt:variant>
      <vt:variant>
        <vt:i4>48</vt:i4>
      </vt:variant>
      <vt:variant>
        <vt:i4>0</vt:i4>
      </vt:variant>
      <vt:variant>
        <vt:i4>5</vt:i4>
      </vt:variant>
      <vt:variant>
        <vt:lpwstr>http://www.nevo.co.il/case/27615803</vt:lpwstr>
      </vt:variant>
      <vt:variant>
        <vt:lpwstr/>
      </vt:variant>
      <vt:variant>
        <vt:i4>3473521</vt:i4>
      </vt:variant>
      <vt:variant>
        <vt:i4>45</vt:i4>
      </vt:variant>
      <vt:variant>
        <vt:i4>0</vt:i4>
      </vt:variant>
      <vt:variant>
        <vt:i4>5</vt:i4>
      </vt:variant>
      <vt:variant>
        <vt:lpwstr>http://www.nevo.co.il/case/27347635</vt:lpwstr>
      </vt:variant>
      <vt:variant>
        <vt:lpwstr/>
      </vt:variant>
      <vt:variant>
        <vt:i4>3539065</vt:i4>
      </vt:variant>
      <vt:variant>
        <vt:i4>42</vt:i4>
      </vt:variant>
      <vt:variant>
        <vt:i4>0</vt:i4>
      </vt:variant>
      <vt:variant>
        <vt:i4>5</vt:i4>
      </vt:variant>
      <vt:variant>
        <vt:lpwstr>http://www.nevo.co.il/case/29428682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http://www.nevo.co.il/law/70301/40j</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6619233</vt:i4>
      </vt:variant>
      <vt:variant>
        <vt:i4>15</vt:i4>
      </vt:variant>
      <vt:variant>
        <vt:i4>0</vt:i4>
      </vt:variant>
      <vt:variant>
        <vt:i4>5</vt:i4>
      </vt:variant>
      <vt:variant>
        <vt:lpwstr>http://www.nevo.co.il/law/70301/40j</vt:lpwstr>
      </vt:variant>
      <vt:variant>
        <vt:lpwstr/>
      </vt:variant>
      <vt:variant>
        <vt:i4>6619233</vt:i4>
      </vt:variant>
      <vt:variant>
        <vt:i4>12</vt:i4>
      </vt:variant>
      <vt:variant>
        <vt:i4>0</vt:i4>
      </vt:variant>
      <vt:variant>
        <vt:i4>5</vt:i4>
      </vt:variant>
      <vt:variant>
        <vt:lpwstr>http://www.nevo.co.il/law/70301/40h</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2025-04-23T01:12:00Z</dcterms:created>
  <dcterms:modified xsi:type="dcterms:W3CDTF">2025-04-23T01:12:00Z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27743</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משה יעקבי</vt:lpwstr>
  </property>
  <property fmtid="{D5CDD505-2E9C-101B-9397-08002B2CF9AE}" pid="10" name="JUDGE">
    <vt:lpwstr>טל ענר</vt:lpwstr>
  </property>
  <property fmtid="{D5CDD505-2E9C-101B-9397-08002B2CF9AE}" pid="11" name="CITY">
    <vt:lpwstr>ראשל"צ</vt:lpwstr>
  </property>
  <property fmtid="{D5CDD505-2E9C-101B-9397-08002B2CF9AE}" pid="12" name="DATE">
    <vt:lpwstr>20231123</vt:lpwstr>
  </property>
  <property fmtid="{D5CDD505-2E9C-101B-9397-08002B2CF9AE}" pid="13" name="TYPE_N_DATE">
    <vt:lpwstr>38020231123</vt:lpwstr>
  </property>
  <property fmtid="{D5CDD505-2E9C-101B-9397-08002B2CF9AE}" pid="14" name="WORDNUMPAGES">
    <vt:lpwstr>9</vt:lpwstr>
  </property>
  <property fmtid="{D5CDD505-2E9C-101B-9397-08002B2CF9AE}" pid="15" name="TYPE_ABS_DATE">
    <vt:lpwstr>380020231123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5738608;29428682;27347635;27615803;27313460;24492983;22087107;27913236;28243717;25263984;28226828;25459244;22938500</vt:lpwstr>
  </property>
  <property fmtid="{D5CDD505-2E9C-101B-9397-08002B2CF9AE}" pid="36" name="LAWLISTTMP1">
    <vt:lpwstr>4216/006</vt:lpwstr>
  </property>
  <property fmtid="{D5CDD505-2E9C-101B-9397-08002B2CF9AE}" pid="37" name="LAWLISTTMP2">
    <vt:lpwstr>70301/400;040j;040d;040h</vt:lpwstr>
  </property>
</Properties>
</file>