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82"/>
      </w:tblGrid>
      <w:tr w:rsidR="00CD3D65" w:rsidRPr="009C68C4" w14:paraId="3B3DF218" w14:textId="77777777" w:rsidTr="00AF3618">
        <w:trPr>
          <w:trHeight w:hRule="exact" w:val="418"/>
          <w:jc w:val="center"/>
        </w:trPr>
        <w:tc>
          <w:tcPr>
            <w:tcW w:w="8529" w:type="dxa"/>
            <w:gridSpan w:val="2"/>
          </w:tcPr>
          <w:p w14:paraId="55AF257C" w14:textId="77777777" w:rsidR="00CD3D65" w:rsidRPr="009C68C4" w:rsidRDefault="00CD3D65" w:rsidP="00C508E5">
            <w:pPr>
              <w:pStyle w:val="a3"/>
              <w:jc w:val="center"/>
              <w:rPr>
                <w:rFonts w:ascii="Tahoma" w:hAnsi="Tahoma" w:cs="Tahoma"/>
                <w:color w:val="000080"/>
                <w:rtl/>
              </w:rPr>
            </w:pPr>
            <w:r w:rsidRPr="009C68C4">
              <w:rPr>
                <w:rFonts w:ascii="Tahoma" w:hAnsi="Tahoma" w:cs="Tahoma"/>
                <w:b/>
                <w:bCs/>
                <w:color w:val="000080"/>
                <w:rtl/>
              </w:rPr>
              <w:t>בית משפט השלום בנתניה</w:t>
            </w:r>
          </w:p>
        </w:tc>
      </w:tr>
      <w:tr w:rsidR="00CD3D65" w:rsidRPr="009C68C4" w14:paraId="22D5144F" w14:textId="77777777" w:rsidTr="00AF3618">
        <w:trPr>
          <w:trHeight w:val="337"/>
          <w:jc w:val="center"/>
        </w:trPr>
        <w:tc>
          <w:tcPr>
            <w:tcW w:w="4947" w:type="dxa"/>
          </w:tcPr>
          <w:p w14:paraId="527D59B6" w14:textId="77777777" w:rsidR="00CD3D65" w:rsidRPr="009C68C4" w:rsidRDefault="00CD3D65" w:rsidP="00C508E5">
            <w:pPr>
              <w:rPr>
                <w:rFonts w:cs="FrankRuehl"/>
                <w:sz w:val="28"/>
                <w:szCs w:val="28"/>
                <w:rtl/>
              </w:rPr>
            </w:pPr>
            <w:r w:rsidRPr="009C68C4">
              <w:rPr>
                <w:rFonts w:cs="FrankRuehl"/>
                <w:sz w:val="28"/>
                <w:szCs w:val="28"/>
                <w:rtl/>
              </w:rPr>
              <w:t>ת"פ</w:t>
            </w:r>
            <w:r w:rsidRPr="009C68C4">
              <w:rPr>
                <w:rFonts w:cs="FrankRuehl" w:hint="cs"/>
                <w:sz w:val="28"/>
                <w:szCs w:val="28"/>
                <w:rtl/>
              </w:rPr>
              <w:t xml:space="preserve"> </w:t>
            </w:r>
            <w:r w:rsidRPr="009C68C4">
              <w:rPr>
                <w:rFonts w:cs="FrankRuehl"/>
                <w:sz w:val="28"/>
                <w:szCs w:val="28"/>
                <w:rtl/>
              </w:rPr>
              <w:t>3092-10-21</w:t>
            </w:r>
            <w:r w:rsidRPr="009C68C4">
              <w:rPr>
                <w:rFonts w:cs="FrankRuehl" w:hint="cs"/>
                <w:sz w:val="28"/>
                <w:szCs w:val="28"/>
                <w:rtl/>
              </w:rPr>
              <w:t xml:space="preserve"> </w:t>
            </w:r>
            <w:r w:rsidRPr="009C68C4">
              <w:rPr>
                <w:rFonts w:cs="FrankRuehl"/>
                <w:sz w:val="28"/>
                <w:szCs w:val="28"/>
                <w:rtl/>
              </w:rPr>
              <w:t>מדינת ישראל נ' מויאל</w:t>
            </w:r>
          </w:p>
        </w:tc>
        <w:tc>
          <w:tcPr>
            <w:tcW w:w="3582" w:type="dxa"/>
          </w:tcPr>
          <w:p w14:paraId="2DE77089" w14:textId="77777777" w:rsidR="00CD3D65" w:rsidRPr="009C68C4" w:rsidRDefault="00CD3D65" w:rsidP="00C508E5">
            <w:pPr>
              <w:pStyle w:val="a3"/>
              <w:jc w:val="right"/>
              <w:rPr>
                <w:rFonts w:cs="FrankRuehl"/>
                <w:sz w:val="28"/>
                <w:szCs w:val="28"/>
                <w:rtl/>
              </w:rPr>
            </w:pPr>
          </w:p>
        </w:tc>
      </w:tr>
    </w:tbl>
    <w:p w14:paraId="6378DAB0" w14:textId="77777777" w:rsidR="00CD3D65" w:rsidRPr="009C68C4" w:rsidRDefault="00CD3D65" w:rsidP="00CD3D65">
      <w:pPr>
        <w:pStyle w:val="a3"/>
        <w:rPr>
          <w:rtl/>
        </w:rPr>
      </w:pPr>
      <w:r w:rsidRPr="009C68C4">
        <w:rPr>
          <w:rFonts w:hint="cs"/>
          <w:rtl/>
        </w:rPr>
        <w:t xml:space="preserve"> </w:t>
      </w:r>
    </w:p>
    <w:p w14:paraId="2E6A706C" w14:textId="77777777" w:rsidR="00CD3D65" w:rsidRPr="009C68C4" w:rsidRDefault="00CD3D65" w:rsidP="00CD3D65">
      <w:pPr>
        <w:spacing w:before="120" w:after="120" w:line="360" w:lineRule="auto"/>
        <w:jc w:val="both"/>
        <w:rPr>
          <w:rFonts w:cs="FrankRuehl"/>
          <w:sz w:val="28"/>
          <w:szCs w:val="28"/>
          <w:rtl/>
        </w:rPr>
      </w:pPr>
    </w:p>
    <w:p w14:paraId="4467BAF2" w14:textId="77777777" w:rsidR="00CD3D65" w:rsidRPr="009C68C4" w:rsidRDefault="00CD3D65" w:rsidP="00CD3D65">
      <w:pPr>
        <w:spacing w:before="120" w:after="120" w:line="360" w:lineRule="auto"/>
        <w:jc w:val="both"/>
        <w:rPr>
          <w:rFonts w:cs="FrankRuehl"/>
          <w:sz w:val="28"/>
          <w:szCs w:val="28"/>
          <w:rtl/>
        </w:rPr>
      </w:pPr>
    </w:p>
    <w:tbl>
      <w:tblPr>
        <w:bidiVisual/>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297"/>
        <w:gridCol w:w="3689"/>
      </w:tblGrid>
      <w:tr w:rsidR="00CD3D65" w:rsidRPr="009C68C4" w14:paraId="4E0E146F" w14:textId="77777777" w:rsidTr="00CD3D65">
        <w:trPr>
          <w:trHeight w:val="295"/>
          <w:jc w:val="center"/>
        </w:trPr>
        <w:tc>
          <w:tcPr>
            <w:tcW w:w="1231" w:type="dxa"/>
            <w:tcBorders>
              <w:top w:val="nil"/>
              <w:left w:val="nil"/>
              <w:bottom w:val="nil"/>
              <w:right w:val="nil"/>
            </w:tcBorders>
            <w:shd w:val="clear" w:color="auto" w:fill="auto"/>
          </w:tcPr>
          <w:p w14:paraId="5A7BBC57" w14:textId="77777777" w:rsidR="00CD3D65" w:rsidRPr="009C68C4" w:rsidRDefault="00CD3D65" w:rsidP="00CD3D65">
            <w:pPr>
              <w:jc w:val="both"/>
              <w:rPr>
                <w:rFonts w:ascii="David" w:hAnsi="David"/>
                <w:sz w:val="26"/>
                <w:szCs w:val="26"/>
              </w:rPr>
            </w:pPr>
            <w:r w:rsidRPr="009C68C4">
              <w:rPr>
                <w:rFonts w:ascii="David" w:hAnsi="David" w:hint="cs"/>
                <w:sz w:val="26"/>
                <w:szCs w:val="26"/>
                <w:rtl/>
              </w:rPr>
              <w:t>ל</w:t>
            </w:r>
            <w:r w:rsidRPr="009C68C4">
              <w:rPr>
                <w:rFonts w:ascii="David" w:hAnsi="David"/>
                <w:sz w:val="26"/>
                <w:szCs w:val="26"/>
                <w:rtl/>
              </w:rPr>
              <w:t>פני</w:t>
            </w:r>
          </w:p>
        </w:tc>
        <w:tc>
          <w:tcPr>
            <w:tcW w:w="6986" w:type="dxa"/>
            <w:gridSpan w:val="2"/>
            <w:tcBorders>
              <w:top w:val="nil"/>
              <w:left w:val="nil"/>
              <w:bottom w:val="nil"/>
              <w:right w:val="nil"/>
            </w:tcBorders>
            <w:shd w:val="clear" w:color="auto" w:fill="auto"/>
          </w:tcPr>
          <w:p w14:paraId="57F53B0F" w14:textId="77777777" w:rsidR="00CD3D65" w:rsidRPr="009C68C4" w:rsidRDefault="00CD3D65" w:rsidP="00C508E5">
            <w:pPr>
              <w:rPr>
                <w:rFonts w:ascii="David" w:hAnsi="David"/>
                <w:b/>
                <w:bCs/>
                <w:sz w:val="26"/>
                <w:szCs w:val="26"/>
                <w:rtl/>
              </w:rPr>
            </w:pPr>
            <w:r w:rsidRPr="009C68C4">
              <w:rPr>
                <w:rFonts w:ascii="David" w:hAnsi="David"/>
                <w:b/>
                <w:bCs/>
                <w:sz w:val="26"/>
                <w:szCs w:val="26"/>
                <w:rtl/>
              </w:rPr>
              <w:t>כבוד השופטת, סגנית הנשיא  זהר דיבון סגל</w:t>
            </w:r>
          </w:p>
          <w:p w14:paraId="75E7860A" w14:textId="77777777" w:rsidR="00CD3D65" w:rsidRPr="009C68C4" w:rsidRDefault="00CD3D65" w:rsidP="00CD3D65">
            <w:pPr>
              <w:jc w:val="both"/>
              <w:rPr>
                <w:rFonts w:ascii="David" w:hAnsi="David"/>
                <w:sz w:val="26"/>
                <w:szCs w:val="26"/>
              </w:rPr>
            </w:pPr>
          </w:p>
        </w:tc>
      </w:tr>
      <w:tr w:rsidR="00CD3D65" w:rsidRPr="009C68C4" w14:paraId="18A4B1EB" w14:textId="77777777" w:rsidTr="00CD3D65">
        <w:trPr>
          <w:trHeight w:val="355"/>
          <w:jc w:val="center"/>
        </w:trPr>
        <w:tc>
          <w:tcPr>
            <w:tcW w:w="1231" w:type="dxa"/>
            <w:tcBorders>
              <w:top w:val="nil"/>
              <w:left w:val="nil"/>
              <w:bottom w:val="nil"/>
              <w:right w:val="nil"/>
            </w:tcBorders>
            <w:shd w:val="clear" w:color="auto" w:fill="auto"/>
          </w:tcPr>
          <w:p w14:paraId="0D32C842" w14:textId="77777777" w:rsidR="00CD3D65" w:rsidRPr="009C68C4" w:rsidRDefault="00CD3D65" w:rsidP="00CD3D65">
            <w:pPr>
              <w:jc w:val="both"/>
              <w:rPr>
                <w:rFonts w:ascii="David" w:hAnsi="David"/>
                <w:sz w:val="26"/>
                <w:szCs w:val="26"/>
                <w:rtl/>
              </w:rPr>
            </w:pPr>
            <w:bookmarkStart w:id="0" w:name="FirstAppellant"/>
            <w:bookmarkStart w:id="1" w:name="FirstLawyer"/>
            <w:bookmarkStart w:id="2" w:name="LastJudge"/>
            <w:bookmarkEnd w:id="2"/>
            <w:r w:rsidRPr="009C68C4">
              <w:rPr>
                <w:rFonts w:ascii="David" w:hAnsi="David"/>
                <w:sz w:val="26"/>
                <w:szCs w:val="26"/>
                <w:rtl/>
              </w:rPr>
              <w:t>בעניין:</w:t>
            </w:r>
          </w:p>
          <w:p w14:paraId="70394EF6" w14:textId="77777777" w:rsidR="00CD3D65" w:rsidRPr="009C68C4" w:rsidRDefault="00CD3D65" w:rsidP="00CD3D65">
            <w:pPr>
              <w:suppressLineNumbers/>
            </w:pPr>
            <w:r w:rsidRPr="009C68C4">
              <w:rPr>
                <w:rFonts w:ascii="Arial" w:hAnsi="Arial" w:hint="cs"/>
                <w:b/>
                <w:bCs/>
                <w:sz w:val="26"/>
                <w:szCs w:val="26"/>
                <w:rtl/>
              </w:rPr>
              <w:t>ה</w:t>
            </w:r>
            <w:r w:rsidRPr="009C68C4">
              <w:rPr>
                <w:rFonts w:ascii="Arial" w:hAnsi="Arial"/>
                <w:b/>
                <w:bCs/>
                <w:sz w:val="26"/>
                <w:szCs w:val="26"/>
                <w:rtl/>
              </w:rPr>
              <w:t>מאשימה</w:t>
            </w:r>
          </w:p>
          <w:p w14:paraId="61971C0A" w14:textId="77777777" w:rsidR="00CD3D65" w:rsidRPr="009C68C4" w:rsidRDefault="00CD3D65" w:rsidP="00CD3D65">
            <w:pPr>
              <w:jc w:val="both"/>
              <w:rPr>
                <w:rFonts w:ascii="David" w:hAnsi="David"/>
                <w:sz w:val="26"/>
                <w:szCs w:val="26"/>
              </w:rPr>
            </w:pPr>
          </w:p>
        </w:tc>
        <w:tc>
          <w:tcPr>
            <w:tcW w:w="3297" w:type="dxa"/>
            <w:tcBorders>
              <w:top w:val="nil"/>
              <w:left w:val="nil"/>
              <w:bottom w:val="nil"/>
              <w:right w:val="nil"/>
            </w:tcBorders>
            <w:shd w:val="clear" w:color="auto" w:fill="auto"/>
            <w:vAlign w:val="center"/>
          </w:tcPr>
          <w:p w14:paraId="7D1BA264" w14:textId="77777777" w:rsidR="00CD3D65" w:rsidRPr="009C68C4" w:rsidRDefault="00CD3D65" w:rsidP="00CD3D65">
            <w:pPr>
              <w:suppressLineNumbers/>
              <w:rPr>
                <w:rFonts w:ascii="Arial" w:hAnsi="Arial"/>
                <w:b/>
                <w:bCs/>
                <w:sz w:val="26"/>
                <w:szCs w:val="26"/>
                <w:rtl/>
              </w:rPr>
            </w:pPr>
            <w:r w:rsidRPr="009C68C4">
              <w:rPr>
                <w:rFonts w:ascii="Arial" w:hAnsi="Arial"/>
                <w:b/>
                <w:bCs/>
                <w:sz w:val="26"/>
                <w:szCs w:val="26"/>
                <w:rtl/>
              </w:rPr>
              <w:br/>
              <w:t>מדינת ישראל</w:t>
            </w:r>
            <w:r w:rsidRPr="009C68C4">
              <w:rPr>
                <w:rFonts w:ascii="Arial" w:hAnsi="Arial" w:hint="cs"/>
                <w:b/>
                <w:bCs/>
                <w:sz w:val="26"/>
                <w:szCs w:val="26"/>
                <w:rtl/>
              </w:rPr>
              <w:t xml:space="preserve"> </w:t>
            </w:r>
          </w:p>
          <w:p w14:paraId="2831D2B6" w14:textId="77777777" w:rsidR="00CD3D65" w:rsidRPr="009C68C4" w:rsidRDefault="00CD3D65" w:rsidP="00CD3D65">
            <w:pPr>
              <w:suppressLineNumbers/>
              <w:rPr>
                <w:rFonts w:ascii="Arial" w:hAnsi="Arial"/>
                <w:b/>
                <w:bCs/>
                <w:sz w:val="26"/>
                <w:szCs w:val="26"/>
                <w:rtl/>
              </w:rPr>
            </w:pPr>
            <w:r w:rsidRPr="009C68C4">
              <w:rPr>
                <w:rFonts w:ascii="Arial" w:hAnsi="Arial" w:hint="cs"/>
                <w:b/>
                <w:bCs/>
                <w:sz w:val="26"/>
                <w:szCs w:val="26"/>
                <w:rtl/>
              </w:rPr>
              <w:t>יחידת תביעות שלוחת נתניה</w:t>
            </w:r>
          </w:p>
          <w:p w14:paraId="1A6D57AD" w14:textId="77777777" w:rsidR="00CD3D65" w:rsidRPr="009C68C4" w:rsidRDefault="00CD3D65" w:rsidP="00CD3D65">
            <w:pPr>
              <w:suppressLineNumbers/>
            </w:pPr>
            <w:r w:rsidRPr="009C68C4">
              <w:rPr>
                <w:rFonts w:ascii="Arial" w:hAnsi="Arial" w:hint="cs"/>
                <w:b/>
                <w:bCs/>
                <w:sz w:val="26"/>
                <w:szCs w:val="26"/>
                <w:rtl/>
              </w:rPr>
              <w:t xml:space="preserve">ע"י </w:t>
            </w:r>
            <w:r w:rsidRPr="009C68C4">
              <w:rPr>
                <w:rFonts w:ascii="Arial" w:hAnsi="Arial"/>
                <w:b/>
                <w:bCs/>
                <w:sz w:val="26"/>
                <w:szCs w:val="26"/>
                <w:rtl/>
              </w:rPr>
              <w:t>ב"כ עוה"</w:t>
            </w:r>
            <w:r w:rsidRPr="009C68C4">
              <w:rPr>
                <w:rFonts w:ascii="Arial" w:hAnsi="Arial" w:hint="cs"/>
                <w:b/>
                <w:bCs/>
                <w:sz w:val="26"/>
                <w:szCs w:val="26"/>
                <w:rtl/>
              </w:rPr>
              <w:t xml:space="preserve">ד כהן </w:t>
            </w:r>
          </w:p>
        </w:tc>
        <w:tc>
          <w:tcPr>
            <w:tcW w:w="3689" w:type="dxa"/>
            <w:tcBorders>
              <w:top w:val="nil"/>
              <w:left w:val="nil"/>
              <w:bottom w:val="nil"/>
              <w:right w:val="nil"/>
            </w:tcBorders>
            <w:shd w:val="clear" w:color="auto" w:fill="auto"/>
            <w:vAlign w:val="center"/>
          </w:tcPr>
          <w:p w14:paraId="6FC94D3B" w14:textId="77777777" w:rsidR="00CD3D65" w:rsidRPr="009C68C4" w:rsidRDefault="00CD3D65" w:rsidP="00C508E5">
            <w:pPr>
              <w:rPr>
                <w:rFonts w:ascii="David" w:hAnsi="David"/>
                <w:sz w:val="26"/>
                <w:szCs w:val="26"/>
              </w:rPr>
            </w:pPr>
          </w:p>
        </w:tc>
      </w:tr>
      <w:bookmarkEnd w:id="0"/>
      <w:bookmarkEnd w:id="1"/>
      <w:tr w:rsidR="00CD3D65" w:rsidRPr="009C68C4" w14:paraId="7D85BBBE" w14:textId="77777777" w:rsidTr="00CD3D65">
        <w:trPr>
          <w:trHeight w:val="355"/>
          <w:jc w:val="center"/>
        </w:trPr>
        <w:tc>
          <w:tcPr>
            <w:tcW w:w="1231" w:type="dxa"/>
            <w:tcBorders>
              <w:top w:val="nil"/>
              <w:left w:val="nil"/>
              <w:bottom w:val="nil"/>
              <w:right w:val="nil"/>
            </w:tcBorders>
            <w:shd w:val="clear" w:color="auto" w:fill="auto"/>
          </w:tcPr>
          <w:p w14:paraId="014A43FD" w14:textId="77777777" w:rsidR="00CD3D65" w:rsidRPr="009C68C4" w:rsidRDefault="00CD3D65" w:rsidP="00CD3D65">
            <w:pPr>
              <w:jc w:val="both"/>
              <w:rPr>
                <w:rFonts w:ascii="David" w:hAnsi="David"/>
                <w:sz w:val="26"/>
                <w:szCs w:val="26"/>
                <w:rtl/>
              </w:rPr>
            </w:pPr>
          </w:p>
        </w:tc>
        <w:tc>
          <w:tcPr>
            <w:tcW w:w="6986" w:type="dxa"/>
            <w:gridSpan w:val="2"/>
            <w:tcBorders>
              <w:top w:val="nil"/>
              <w:left w:val="nil"/>
              <w:bottom w:val="nil"/>
              <w:right w:val="nil"/>
            </w:tcBorders>
            <w:shd w:val="clear" w:color="auto" w:fill="auto"/>
          </w:tcPr>
          <w:p w14:paraId="191EFC8E" w14:textId="77777777" w:rsidR="00CD3D65" w:rsidRPr="009C68C4" w:rsidRDefault="00CD3D65" w:rsidP="00CD3D65">
            <w:pPr>
              <w:jc w:val="center"/>
              <w:rPr>
                <w:rFonts w:ascii="David" w:hAnsi="David"/>
                <w:b/>
                <w:bCs/>
                <w:sz w:val="26"/>
                <w:szCs w:val="26"/>
                <w:rtl/>
              </w:rPr>
            </w:pPr>
          </w:p>
          <w:p w14:paraId="54CB9D8A" w14:textId="77777777" w:rsidR="00CD3D65" w:rsidRPr="009C68C4" w:rsidRDefault="00CD3D65" w:rsidP="00C508E5">
            <w:pPr>
              <w:rPr>
                <w:rFonts w:ascii="David" w:hAnsi="David"/>
                <w:b/>
                <w:bCs/>
                <w:sz w:val="26"/>
                <w:szCs w:val="26"/>
                <w:rtl/>
              </w:rPr>
            </w:pPr>
            <w:r w:rsidRPr="009C68C4">
              <w:rPr>
                <w:rFonts w:ascii="David" w:hAnsi="David" w:hint="cs"/>
                <w:b/>
                <w:bCs/>
                <w:sz w:val="26"/>
                <w:szCs w:val="26"/>
                <w:rtl/>
              </w:rPr>
              <w:t xml:space="preserve">                        </w:t>
            </w:r>
            <w:r w:rsidRPr="009C68C4">
              <w:rPr>
                <w:rFonts w:ascii="David" w:hAnsi="David"/>
                <w:b/>
                <w:bCs/>
                <w:sz w:val="26"/>
                <w:szCs w:val="26"/>
                <w:rtl/>
              </w:rPr>
              <w:t>נגד</w:t>
            </w:r>
          </w:p>
          <w:p w14:paraId="2267A731" w14:textId="77777777" w:rsidR="00CD3D65" w:rsidRPr="009C68C4" w:rsidRDefault="00CD3D65" w:rsidP="00CD3D65">
            <w:pPr>
              <w:jc w:val="both"/>
              <w:rPr>
                <w:rFonts w:ascii="David" w:hAnsi="David"/>
                <w:sz w:val="26"/>
                <w:szCs w:val="26"/>
              </w:rPr>
            </w:pPr>
          </w:p>
        </w:tc>
      </w:tr>
      <w:tr w:rsidR="00CD3D65" w:rsidRPr="009C68C4" w14:paraId="54F6FB9B" w14:textId="77777777" w:rsidTr="00CD3D65">
        <w:trPr>
          <w:trHeight w:val="355"/>
          <w:jc w:val="center"/>
        </w:trPr>
        <w:tc>
          <w:tcPr>
            <w:tcW w:w="1231" w:type="dxa"/>
            <w:tcBorders>
              <w:top w:val="nil"/>
              <w:left w:val="nil"/>
              <w:bottom w:val="nil"/>
              <w:right w:val="nil"/>
            </w:tcBorders>
            <w:shd w:val="clear" w:color="auto" w:fill="auto"/>
          </w:tcPr>
          <w:p w14:paraId="0E806A07" w14:textId="77777777" w:rsidR="00CD3D65" w:rsidRPr="009C68C4" w:rsidRDefault="00CD3D65" w:rsidP="00C508E5">
            <w:pPr>
              <w:rPr>
                <w:rFonts w:ascii="David" w:hAnsi="David"/>
                <w:sz w:val="26"/>
                <w:szCs w:val="26"/>
                <w:rtl/>
              </w:rPr>
            </w:pPr>
            <w:r w:rsidRPr="009C68C4">
              <w:rPr>
                <w:rFonts w:ascii="Arial" w:hAnsi="Arial"/>
                <w:b/>
                <w:bCs/>
                <w:sz w:val="26"/>
                <w:szCs w:val="26"/>
                <w:rtl/>
              </w:rPr>
              <w:t>הנאשם</w:t>
            </w:r>
          </w:p>
        </w:tc>
        <w:tc>
          <w:tcPr>
            <w:tcW w:w="3297" w:type="dxa"/>
            <w:tcBorders>
              <w:top w:val="nil"/>
              <w:left w:val="nil"/>
              <w:bottom w:val="nil"/>
              <w:right w:val="nil"/>
            </w:tcBorders>
            <w:shd w:val="clear" w:color="auto" w:fill="auto"/>
          </w:tcPr>
          <w:p w14:paraId="6F7047B6" w14:textId="77777777" w:rsidR="00CD3D65" w:rsidRPr="009C68C4" w:rsidRDefault="00CD3D65" w:rsidP="00CD3D65">
            <w:pPr>
              <w:suppressLineNumbers/>
              <w:rPr>
                <w:rFonts w:ascii="Arial" w:hAnsi="Arial"/>
                <w:b/>
                <w:bCs/>
                <w:sz w:val="26"/>
                <w:szCs w:val="26"/>
                <w:rtl/>
              </w:rPr>
            </w:pPr>
            <w:r w:rsidRPr="009C68C4">
              <w:rPr>
                <w:rFonts w:ascii="Arial" w:hAnsi="Arial"/>
                <w:b/>
                <w:bCs/>
                <w:sz w:val="26"/>
                <w:szCs w:val="26"/>
                <w:rtl/>
              </w:rPr>
              <w:t>אושר מויאל</w:t>
            </w:r>
            <w:r w:rsidRPr="009C68C4">
              <w:rPr>
                <w:rFonts w:ascii="Arial" w:hAnsi="Arial" w:hint="cs"/>
                <w:b/>
                <w:bCs/>
                <w:sz w:val="26"/>
                <w:szCs w:val="26"/>
                <w:rtl/>
              </w:rPr>
              <w:t xml:space="preserve"> </w:t>
            </w:r>
          </w:p>
          <w:p w14:paraId="417C01A9" w14:textId="77777777" w:rsidR="00CD3D65" w:rsidRPr="009C68C4" w:rsidRDefault="00CD3D65" w:rsidP="00CD3D65">
            <w:pPr>
              <w:suppressLineNumbers/>
            </w:pPr>
            <w:r w:rsidRPr="009C68C4">
              <w:rPr>
                <w:rFonts w:ascii="Arial" w:hAnsi="Arial"/>
                <w:b/>
                <w:bCs/>
                <w:sz w:val="26"/>
                <w:szCs w:val="26"/>
                <w:rtl/>
              </w:rPr>
              <w:t>ע"י ב"כ עוה"ד</w:t>
            </w:r>
            <w:r w:rsidRPr="009C68C4">
              <w:rPr>
                <w:rFonts w:ascii="Arial" w:hAnsi="Arial" w:hint="cs"/>
                <w:b/>
                <w:bCs/>
                <w:sz w:val="26"/>
                <w:szCs w:val="26"/>
                <w:rtl/>
              </w:rPr>
              <w:t xml:space="preserve"> רונית אבישר</w:t>
            </w:r>
          </w:p>
          <w:p w14:paraId="4D5883A4" w14:textId="77777777" w:rsidR="00CD3D65" w:rsidRPr="009C68C4" w:rsidRDefault="00CD3D65" w:rsidP="00C508E5">
            <w:pPr>
              <w:rPr>
                <w:rFonts w:ascii="Arial" w:hAnsi="Arial"/>
                <w:b/>
                <w:bCs/>
                <w:sz w:val="26"/>
                <w:szCs w:val="26"/>
                <w:rtl/>
              </w:rPr>
            </w:pPr>
          </w:p>
        </w:tc>
        <w:tc>
          <w:tcPr>
            <w:tcW w:w="3689" w:type="dxa"/>
            <w:tcBorders>
              <w:top w:val="nil"/>
              <w:left w:val="nil"/>
              <w:bottom w:val="nil"/>
              <w:right w:val="nil"/>
            </w:tcBorders>
            <w:shd w:val="clear" w:color="auto" w:fill="auto"/>
            <w:vAlign w:val="center"/>
          </w:tcPr>
          <w:p w14:paraId="57BEFCD9" w14:textId="77777777" w:rsidR="00CD3D65" w:rsidRPr="009C68C4" w:rsidRDefault="00CD3D65" w:rsidP="00CD3D65">
            <w:pPr>
              <w:suppressLineNumbers/>
              <w:rPr>
                <w:rFonts w:ascii="David" w:hAnsi="David"/>
                <w:sz w:val="26"/>
                <w:szCs w:val="26"/>
              </w:rPr>
            </w:pPr>
          </w:p>
        </w:tc>
      </w:tr>
    </w:tbl>
    <w:p w14:paraId="221F3CEE" w14:textId="77777777" w:rsidR="007578F1" w:rsidRPr="007578F1" w:rsidRDefault="007578F1" w:rsidP="007578F1">
      <w:pPr>
        <w:spacing w:before="120" w:after="120" w:line="240" w:lineRule="exact"/>
        <w:ind w:left="283" w:hanging="283"/>
        <w:jc w:val="both"/>
        <w:rPr>
          <w:rFonts w:ascii="FrankRuehl" w:hAnsi="FrankRuehl" w:cs="FrankRuehl"/>
          <w:rtl/>
        </w:rPr>
      </w:pPr>
    </w:p>
    <w:p w14:paraId="23714536" w14:textId="77777777" w:rsidR="00760FF8" w:rsidRDefault="00760FF8" w:rsidP="00760FF8">
      <w:pPr>
        <w:rPr>
          <w:rtl/>
        </w:rPr>
      </w:pPr>
      <w:bookmarkStart w:id="3" w:name="LawTable"/>
      <w:bookmarkEnd w:id="3"/>
    </w:p>
    <w:p w14:paraId="4B78FEC9" w14:textId="77777777" w:rsidR="00760FF8" w:rsidRPr="00760FF8" w:rsidRDefault="00760FF8" w:rsidP="00760FF8">
      <w:pPr>
        <w:spacing w:before="120" w:after="120" w:line="240" w:lineRule="exact"/>
        <w:ind w:left="283" w:hanging="283"/>
        <w:jc w:val="both"/>
        <w:rPr>
          <w:rFonts w:ascii="FrankRuehl" w:hAnsi="FrankRuehl" w:cs="FrankRuehl"/>
          <w:rtl/>
        </w:rPr>
      </w:pPr>
    </w:p>
    <w:p w14:paraId="7BD33A82" w14:textId="77777777" w:rsidR="00760FF8" w:rsidRPr="00760FF8" w:rsidRDefault="00760FF8" w:rsidP="00760FF8">
      <w:pPr>
        <w:spacing w:before="120" w:after="120" w:line="240" w:lineRule="exact"/>
        <w:ind w:left="283" w:hanging="283"/>
        <w:jc w:val="both"/>
        <w:rPr>
          <w:rFonts w:ascii="FrankRuehl" w:hAnsi="FrankRuehl" w:cs="FrankRuehl"/>
          <w:rtl/>
        </w:rPr>
      </w:pPr>
    </w:p>
    <w:p w14:paraId="71789718" w14:textId="77777777" w:rsidR="00760FF8" w:rsidRPr="00760FF8" w:rsidRDefault="00760FF8" w:rsidP="00760FF8">
      <w:pPr>
        <w:spacing w:before="120" w:after="120" w:line="240" w:lineRule="exact"/>
        <w:ind w:left="283" w:hanging="283"/>
        <w:jc w:val="both"/>
        <w:rPr>
          <w:rFonts w:ascii="FrankRuehl" w:hAnsi="FrankRuehl" w:cs="FrankRuehl"/>
          <w:rtl/>
        </w:rPr>
      </w:pPr>
      <w:r w:rsidRPr="00760FF8">
        <w:rPr>
          <w:rFonts w:ascii="FrankRuehl" w:hAnsi="FrankRuehl" w:cs="FrankRuehl"/>
          <w:rtl/>
        </w:rPr>
        <w:t xml:space="preserve">חקיקה שאוזכרה: </w:t>
      </w:r>
    </w:p>
    <w:p w14:paraId="3A4955F3" w14:textId="77777777" w:rsidR="00760FF8" w:rsidRPr="00760FF8" w:rsidRDefault="00760FF8" w:rsidP="00760FF8">
      <w:pPr>
        <w:spacing w:before="120" w:after="120" w:line="240" w:lineRule="exact"/>
        <w:ind w:left="283" w:hanging="283"/>
        <w:jc w:val="both"/>
        <w:rPr>
          <w:rFonts w:ascii="FrankRuehl" w:hAnsi="FrankRuehl" w:cs="FrankRuehl"/>
          <w:rtl/>
        </w:rPr>
      </w:pPr>
      <w:hyperlink r:id="rId7" w:history="1">
        <w:r w:rsidRPr="00760FF8">
          <w:rPr>
            <w:rFonts w:ascii="FrankRuehl" w:hAnsi="FrankRuehl" w:cs="FrankRuehl"/>
            <w:color w:val="0000FF"/>
            <w:rtl/>
          </w:rPr>
          <w:t>פקודת הסמים המסוכנים [נוסח חדש], תשל"ג-1973</w:t>
        </w:r>
      </w:hyperlink>
      <w:r w:rsidRPr="00760FF8">
        <w:rPr>
          <w:rFonts w:ascii="FrankRuehl" w:hAnsi="FrankRuehl" w:cs="FrankRuehl"/>
          <w:rtl/>
        </w:rPr>
        <w:t xml:space="preserve">: סע'  </w:t>
      </w:r>
      <w:hyperlink r:id="rId8" w:history="1">
        <w:r w:rsidRPr="00760FF8">
          <w:rPr>
            <w:rFonts w:ascii="FrankRuehl" w:hAnsi="FrankRuehl" w:cs="FrankRuehl"/>
            <w:color w:val="0000FF"/>
            <w:rtl/>
          </w:rPr>
          <w:t>7(א)</w:t>
        </w:r>
      </w:hyperlink>
      <w:r w:rsidRPr="00760FF8">
        <w:rPr>
          <w:rFonts w:ascii="FrankRuehl" w:hAnsi="FrankRuehl" w:cs="FrankRuehl"/>
          <w:rtl/>
        </w:rPr>
        <w:t xml:space="preserve">, </w:t>
      </w:r>
      <w:hyperlink r:id="rId9" w:history="1">
        <w:r w:rsidRPr="00760FF8">
          <w:rPr>
            <w:rFonts w:ascii="FrankRuehl" w:hAnsi="FrankRuehl" w:cs="FrankRuehl"/>
            <w:color w:val="0000FF"/>
            <w:rtl/>
          </w:rPr>
          <w:t>7(ג)</w:t>
        </w:r>
      </w:hyperlink>
    </w:p>
    <w:p w14:paraId="2A732A37" w14:textId="77777777" w:rsidR="00760FF8" w:rsidRPr="00760FF8" w:rsidRDefault="00760FF8" w:rsidP="00760FF8">
      <w:pPr>
        <w:spacing w:before="120" w:after="120" w:line="240" w:lineRule="exact"/>
        <w:ind w:left="283" w:hanging="283"/>
        <w:jc w:val="both"/>
        <w:rPr>
          <w:rFonts w:ascii="FrankRuehl" w:hAnsi="FrankRuehl" w:cs="FrankRuehl"/>
          <w:rtl/>
        </w:rPr>
      </w:pPr>
      <w:hyperlink r:id="rId10" w:history="1">
        <w:r w:rsidRPr="00760FF8">
          <w:rPr>
            <w:rFonts w:ascii="FrankRuehl" w:hAnsi="FrankRuehl" w:cs="FrankRuehl"/>
            <w:color w:val="0000FF"/>
            <w:rtl/>
          </w:rPr>
          <w:t>חוק המתווכים במקרקעין, תשנ"ו-1996</w:t>
        </w:r>
      </w:hyperlink>
      <w:r w:rsidRPr="00760FF8">
        <w:rPr>
          <w:rFonts w:ascii="FrankRuehl" w:hAnsi="FrankRuehl" w:cs="FrankRuehl"/>
          <w:rtl/>
        </w:rPr>
        <w:t xml:space="preserve">: סע'  </w:t>
      </w:r>
      <w:hyperlink r:id="rId11" w:history="1">
        <w:r w:rsidRPr="00760FF8">
          <w:rPr>
            <w:rFonts w:ascii="FrankRuehl" w:hAnsi="FrankRuehl" w:cs="FrankRuehl"/>
            <w:color w:val="0000FF"/>
            <w:rtl/>
          </w:rPr>
          <w:t>5(א)(4)</w:t>
        </w:r>
      </w:hyperlink>
    </w:p>
    <w:p w14:paraId="1F2738C7" w14:textId="77777777" w:rsidR="00760FF8" w:rsidRPr="00760FF8" w:rsidRDefault="00760FF8" w:rsidP="00760FF8">
      <w:pPr>
        <w:rPr>
          <w:rtl/>
        </w:rPr>
      </w:pPr>
      <w:bookmarkStart w:id="4" w:name="LawTable_End"/>
      <w:bookmarkEnd w:id="4"/>
    </w:p>
    <w:p w14:paraId="3EB9F7FE" w14:textId="77777777" w:rsidR="009C68C4" w:rsidRPr="007578F1" w:rsidRDefault="009C68C4" w:rsidP="007578F1"/>
    <w:tbl>
      <w:tblPr>
        <w:bidiVisual/>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7"/>
      </w:tblGrid>
      <w:tr w:rsidR="00CD3D65" w:rsidRPr="00776BBD" w14:paraId="4CC51F7E" w14:textId="77777777" w:rsidTr="00CD3D65">
        <w:trPr>
          <w:trHeight w:val="355"/>
          <w:jc w:val="center"/>
        </w:trPr>
        <w:tc>
          <w:tcPr>
            <w:tcW w:w="8217" w:type="dxa"/>
            <w:tcBorders>
              <w:top w:val="nil"/>
              <w:left w:val="nil"/>
              <w:bottom w:val="nil"/>
              <w:right w:val="nil"/>
            </w:tcBorders>
            <w:shd w:val="clear" w:color="auto" w:fill="auto"/>
          </w:tcPr>
          <w:p w14:paraId="7F6BB2F8" w14:textId="77777777" w:rsidR="009C68C4" w:rsidRPr="009C68C4" w:rsidRDefault="009C68C4" w:rsidP="009C68C4">
            <w:pPr>
              <w:jc w:val="center"/>
              <w:rPr>
                <w:rFonts w:ascii="David" w:hAnsi="David"/>
                <w:b/>
                <w:bCs/>
                <w:sz w:val="32"/>
                <w:szCs w:val="32"/>
                <w:rtl/>
              </w:rPr>
            </w:pPr>
            <w:bookmarkStart w:id="5" w:name="PsakDin" w:colFirst="0" w:colLast="0"/>
            <w:r w:rsidRPr="009C68C4">
              <w:rPr>
                <w:rFonts w:ascii="David" w:hAnsi="David"/>
                <w:b/>
                <w:bCs/>
                <w:sz w:val="32"/>
                <w:szCs w:val="32"/>
                <w:rtl/>
              </w:rPr>
              <w:t>גזר דין</w:t>
            </w:r>
          </w:p>
          <w:p w14:paraId="61BDE348" w14:textId="77777777" w:rsidR="00CD3D65" w:rsidRPr="009C68C4" w:rsidRDefault="00CD3D65" w:rsidP="009C68C4">
            <w:pPr>
              <w:jc w:val="center"/>
              <w:rPr>
                <w:rFonts w:ascii="David" w:hAnsi="David"/>
                <w:bCs/>
                <w:sz w:val="32"/>
                <w:szCs w:val="32"/>
                <w:rtl/>
              </w:rPr>
            </w:pPr>
          </w:p>
        </w:tc>
      </w:tr>
    </w:tbl>
    <w:p w14:paraId="4155F28D"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Miriam" w:hAnsi="Miriam" w:cs="Miriam"/>
        </w:rPr>
      </w:pPr>
      <w:bookmarkStart w:id="6" w:name="ABSTRACT_START"/>
      <w:bookmarkEnd w:id="5"/>
      <w:bookmarkEnd w:id="6"/>
      <w:r w:rsidRPr="008C258C">
        <w:rPr>
          <w:rFonts w:cs="FrankRuehl" w:hint="cs"/>
          <w:sz w:val="28"/>
          <w:szCs w:val="28"/>
          <w:rtl/>
        </w:rPr>
        <w:t>ה</w:t>
      </w:r>
      <w:r w:rsidRPr="008C258C">
        <w:rPr>
          <w:rFonts w:cs="FrankRuehl"/>
          <w:sz w:val="28"/>
          <w:szCs w:val="28"/>
          <w:rtl/>
        </w:rPr>
        <w:t>נאשם הו</w:t>
      </w:r>
      <w:r>
        <w:rPr>
          <w:rFonts w:cs="FrankRuehl" w:hint="cs"/>
          <w:sz w:val="28"/>
          <w:szCs w:val="28"/>
          <w:rtl/>
        </w:rPr>
        <w:t xml:space="preserve">דה </w:t>
      </w:r>
      <w:r w:rsidRPr="008C258C">
        <w:rPr>
          <w:rFonts w:cs="FrankRuehl"/>
          <w:sz w:val="28"/>
          <w:szCs w:val="28"/>
          <w:rtl/>
        </w:rPr>
        <w:t>במסגרת הסדר טיעון</w:t>
      </w:r>
      <w:r>
        <w:rPr>
          <w:rFonts w:cs="FrankRuehl" w:hint="cs"/>
          <w:sz w:val="28"/>
          <w:szCs w:val="28"/>
          <w:rtl/>
        </w:rPr>
        <w:t xml:space="preserve"> דיוני</w:t>
      </w:r>
      <w:r w:rsidRPr="008C258C">
        <w:rPr>
          <w:rFonts w:cs="FrankRuehl"/>
          <w:sz w:val="28"/>
          <w:szCs w:val="28"/>
          <w:rtl/>
        </w:rPr>
        <w:t xml:space="preserve">, בביצוע עבירה של </w:t>
      </w:r>
      <w:r w:rsidRPr="008C258C">
        <w:rPr>
          <w:rFonts w:ascii="Miriam" w:hAnsi="Miriam" w:cs="Miriam"/>
          <w:rtl/>
        </w:rPr>
        <w:t>החזקה או שימוש בסמים שלא לצריכה עצמית</w:t>
      </w:r>
      <w:r w:rsidRPr="008C258C">
        <w:rPr>
          <w:rFonts w:cs="FrankRuehl"/>
          <w:sz w:val="28"/>
          <w:szCs w:val="28"/>
          <w:rtl/>
        </w:rPr>
        <w:t xml:space="preserve">, לפי </w:t>
      </w:r>
      <w:hyperlink r:id="rId12" w:history="1">
        <w:r w:rsidR="00AF3618" w:rsidRPr="00AF3618">
          <w:rPr>
            <w:rStyle w:val="Hyperlink"/>
            <w:rFonts w:cs="FrankRuehl"/>
            <w:sz w:val="28"/>
            <w:szCs w:val="28"/>
            <w:rtl/>
          </w:rPr>
          <w:t>סעיף 7(א)</w:t>
        </w:r>
      </w:hyperlink>
      <w:r w:rsidRPr="008C258C">
        <w:rPr>
          <w:rFonts w:cs="FrankRuehl"/>
          <w:sz w:val="28"/>
          <w:szCs w:val="28"/>
          <w:rtl/>
        </w:rPr>
        <w:t xml:space="preserve"> </w:t>
      </w:r>
      <w:hyperlink r:id="rId13" w:history="1">
        <w:r w:rsidR="00AF3618" w:rsidRPr="00AF3618">
          <w:rPr>
            <w:rStyle w:val="Hyperlink"/>
            <w:rFonts w:cs="FrankRuehl"/>
            <w:sz w:val="28"/>
            <w:szCs w:val="28"/>
            <w:rtl/>
          </w:rPr>
          <w:t>וסעיף 7(ג)</w:t>
        </w:r>
      </w:hyperlink>
      <w:r w:rsidRPr="008C258C">
        <w:rPr>
          <w:rFonts w:cs="FrankRuehl"/>
          <w:sz w:val="28"/>
          <w:szCs w:val="28"/>
          <w:rtl/>
        </w:rPr>
        <w:t xml:space="preserve"> רישא ל</w:t>
      </w:r>
      <w:hyperlink r:id="rId14" w:history="1">
        <w:r w:rsidR="009C68C4" w:rsidRPr="009C68C4">
          <w:rPr>
            <w:rFonts w:cs="FrankRuehl" w:hint="cs"/>
            <w:color w:val="0000FF"/>
            <w:sz w:val="28"/>
            <w:szCs w:val="28"/>
            <w:u w:val="single"/>
            <w:rtl/>
          </w:rPr>
          <w:t>פקודת</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הסמים</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המסוכנים</w:t>
        </w:r>
      </w:hyperlink>
      <w:r w:rsidRPr="008C258C">
        <w:rPr>
          <w:rFonts w:cs="FrankRuehl"/>
          <w:sz w:val="28"/>
          <w:szCs w:val="28"/>
          <w:rtl/>
        </w:rPr>
        <w:t xml:space="preserve"> (נוסח חדש), תשל"ג–1973 </w:t>
      </w:r>
      <w:bookmarkStart w:id="7" w:name="ABSTRACT_END"/>
      <w:bookmarkEnd w:id="7"/>
      <w:r w:rsidRPr="008C258C">
        <w:rPr>
          <w:rFonts w:cs="FrankRuehl"/>
          <w:sz w:val="28"/>
          <w:szCs w:val="28"/>
          <w:rtl/>
        </w:rPr>
        <w:t xml:space="preserve">(להלן: </w:t>
      </w:r>
      <w:r w:rsidRPr="008C258C">
        <w:rPr>
          <w:rFonts w:ascii="Miriam" w:hAnsi="Miriam" w:cs="Miriam"/>
          <w:rtl/>
        </w:rPr>
        <w:t>פקודת הסמים המסוכנים</w:t>
      </w:r>
      <w:r w:rsidRPr="008C258C">
        <w:rPr>
          <w:rFonts w:cs="FrankRuehl"/>
          <w:sz w:val="28"/>
          <w:szCs w:val="28"/>
          <w:rtl/>
        </w:rPr>
        <w:t xml:space="preserve">) </w:t>
      </w:r>
    </w:p>
    <w:p w14:paraId="1946D388"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noProof/>
          <w:sz w:val="28"/>
          <w:szCs w:val="28"/>
        </w:rPr>
      </w:pPr>
      <w:r w:rsidRPr="008C258C">
        <w:rPr>
          <w:rFonts w:cs="FrankRuehl"/>
          <w:sz w:val="28"/>
          <w:szCs w:val="28"/>
          <w:rtl/>
        </w:rPr>
        <w:t xml:space="preserve">כחלק מהסדר הטיעון הדיוני התבקש שירות המבחן להגיש תסקיר שיבחן את נסיבותיו האישיות, נסיבות ביצוע העבירות ויעביר המלצותיו לבית המשפט. לבקשת ההגנה התבקש שירות המבחן להתייחס לסוגיית ההרשעה. </w:t>
      </w:r>
      <w:r w:rsidRPr="008C258C">
        <w:rPr>
          <w:rFonts w:ascii="FrankRuehl" w:hAnsi="FrankRuehl" w:cs="FrankRuehl"/>
          <w:sz w:val="28"/>
          <w:szCs w:val="28"/>
          <w:rtl/>
        </w:rPr>
        <w:t xml:space="preserve">בסופו של תהליך אבחון שהתבסס על שיחה עם הנאשם, מסמכים שהציג, עיון בפרוטוקול הכרעת הדין וגיליון הרישום הפלילי, ועל אף שהנאשם לא שולב בטיפול, המליץ שירות המבחן לשקול בחיוב אפשרות להימנע מהרשעת הנאשם ולהטיל עליו לבצע של"צ בהיקף 250 שעות. </w:t>
      </w:r>
    </w:p>
    <w:p w14:paraId="4D2DC6BF"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Miriam" w:hAnsi="Miriam" w:cs="Miriam"/>
        </w:rPr>
      </w:pPr>
      <w:r w:rsidRPr="008C258C">
        <w:rPr>
          <w:rFonts w:ascii="FrankRuehl" w:hAnsi="FrankRuehl" w:cs="FrankRuehl"/>
          <w:sz w:val="28"/>
          <w:szCs w:val="28"/>
          <w:rtl/>
        </w:rPr>
        <w:lastRenderedPageBreak/>
        <w:t xml:space="preserve">חרף אופיו החיובי של תסקיר המבחן, הצדדים לא גיבשו הסכמה לעניין העונש שראוי שיושת על הנאשם וכל צד טען כראות עיניו וכמיטב שיקול דעתו המקצועי. המחלוקת נוגעת בשאלת ההרשעה ובכך נתמקד. </w:t>
      </w:r>
    </w:p>
    <w:p w14:paraId="702E6C05" w14:textId="77777777" w:rsidR="00CD3D65" w:rsidRDefault="00CD3D65" w:rsidP="00CD3D65">
      <w:pPr>
        <w:pStyle w:val="aa"/>
        <w:tabs>
          <w:tab w:val="left" w:pos="-58"/>
        </w:tabs>
        <w:spacing w:before="120" w:after="120" w:line="360" w:lineRule="auto"/>
        <w:ind w:left="-58"/>
        <w:contextualSpacing w:val="0"/>
        <w:jc w:val="both"/>
        <w:rPr>
          <w:rFonts w:ascii="Miriam" w:hAnsi="Miriam" w:cs="Miriam"/>
        </w:rPr>
      </w:pPr>
      <w:r>
        <w:rPr>
          <w:rFonts w:ascii="Miriam" w:hAnsi="Miriam" w:cs="Miriam"/>
          <w:rtl/>
        </w:rPr>
        <w:t xml:space="preserve">עובדות כתב אישום מתוקן </w:t>
      </w:r>
    </w:p>
    <w:p w14:paraId="3FF2E577"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Miriam" w:hAnsi="Miriam" w:cs="Miriam"/>
          <w:rtl/>
        </w:rPr>
      </w:pPr>
      <w:r w:rsidRPr="008C258C">
        <w:rPr>
          <w:rFonts w:ascii="FrankRuehl" w:hAnsi="FrankRuehl" w:cs="FrankRuehl"/>
          <w:noProof/>
          <w:sz w:val="28"/>
          <w:szCs w:val="28"/>
          <w:rtl/>
        </w:rPr>
        <w:t xml:space="preserve">ביום 9.1.2019 בשעות הבוקר נערך חיפוש בדירת הנאשם בהתאם לצו שיפוטי. במהלך החיפוש נמצא כי הנאשם החזיק 5 מכשירי פלאפון וכן החזיק </w:t>
      </w:r>
      <w:r w:rsidRPr="008C258C">
        <w:rPr>
          <w:rFonts w:ascii="FrankRuehl" w:hAnsi="FrankRuehl" w:cs="FrankRuehl" w:hint="cs"/>
          <w:noProof/>
          <w:sz w:val="28"/>
          <w:szCs w:val="28"/>
          <w:rtl/>
        </w:rPr>
        <w:t xml:space="preserve">הנאשם </w:t>
      </w:r>
      <w:r w:rsidRPr="008C258C">
        <w:rPr>
          <w:rFonts w:ascii="FrankRuehl" w:hAnsi="FrankRuehl" w:cs="FrankRuehl"/>
          <w:noProof/>
          <w:sz w:val="28"/>
          <w:szCs w:val="28"/>
          <w:rtl/>
        </w:rPr>
        <w:t xml:space="preserve">בתוך מסגרת עץ שנמצאה מחוץ לדירה </w:t>
      </w:r>
      <w:r w:rsidRPr="008C258C">
        <w:rPr>
          <w:rFonts w:ascii="FrankRuehl" w:hAnsi="FrankRuehl" w:cs="FrankRuehl" w:hint="cs"/>
          <w:noProof/>
          <w:sz w:val="28"/>
          <w:szCs w:val="28"/>
          <w:rtl/>
        </w:rPr>
        <w:t>ו</w:t>
      </w:r>
      <w:r w:rsidRPr="008C258C">
        <w:rPr>
          <w:rFonts w:ascii="FrankRuehl" w:hAnsi="FrankRuehl" w:cs="FrankRuehl"/>
          <w:noProof/>
          <w:sz w:val="28"/>
          <w:szCs w:val="28"/>
          <w:rtl/>
        </w:rPr>
        <w:t xml:space="preserve">בסמוך לדלת הכניסה בשקית זבל ובתוכה 100 גרם של סם מסוכן מסוג קנבוס המחולק ל-8 שקיות. </w:t>
      </w:r>
    </w:p>
    <w:p w14:paraId="6459E490" w14:textId="77777777" w:rsidR="00CD3D65" w:rsidRDefault="00CD3D65" w:rsidP="00CD3D65">
      <w:pPr>
        <w:pStyle w:val="aa"/>
        <w:tabs>
          <w:tab w:val="left" w:pos="-58"/>
        </w:tabs>
        <w:spacing w:before="120" w:after="120" w:line="360" w:lineRule="auto"/>
        <w:ind w:left="-58"/>
        <w:contextualSpacing w:val="0"/>
        <w:jc w:val="both"/>
        <w:rPr>
          <w:rFonts w:ascii="FrankRuehl" w:hAnsi="FrankRuehl" w:cs="FrankRuehl"/>
          <w:sz w:val="28"/>
          <w:szCs w:val="28"/>
        </w:rPr>
      </w:pPr>
      <w:r>
        <w:rPr>
          <w:rFonts w:ascii="Miriam" w:hAnsi="Miriam" w:cs="Miriam"/>
          <w:rtl/>
        </w:rPr>
        <w:t>תסקיר מבחן מיום 1.2.2024</w:t>
      </w:r>
    </w:p>
    <w:p w14:paraId="67A25C73"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8C258C">
        <w:rPr>
          <w:rFonts w:ascii="FrankRuehl" w:hAnsi="FrankRuehl" w:cs="FrankRuehl"/>
          <w:sz w:val="28"/>
          <w:szCs w:val="28"/>
          <w:rtl/>
        </w:rPr>
        <w:t xml:space="preserve">הנאשם בן 26, אב לילדה בת כשנה וחצי, מתגורר עם אשתו (במועד כתיבת התסקיר הייתה מצויה בהריון מתקדם) בשכירות בעיר נתניה ועובד בחנות למוצרי חשמל. אשת הנאשם עובדת כסייעת רפואית בבית ספר ואת מערכת היחסים עמה תיאר הנאשם כמשמעותית ותומכת. הנאשם הינו הבכור מבין שלושה אחים. הוריו התגרשו כשהיה ילד ובגיל 9 שולב בפנימייה במעורבות הרווחה עד גיל 16 אז חזר להתגורר בבית אמו. הנאשם סיים את לימודיו בבית ספר לחינוך מיוחד. בגיל המתאים גויס לצבא ושירת שירות חלקי בצה"ל כלוחם בחיל ההנדסה, אז נפטר אביו ומשנותק הקשר עם אמו הוכר כחייל בודד והתגורר בבית החייל (הוצגו אישורים). בהמשך ערק על רקע קשיים כלכליים וחובות ושוחרר משירות סדיר. כן שיתף הנאשם כי אחיו היה מעורב בפלילים בתחום הסמים, אחותו מתמודדת עם קשיים נפרדים ועם ארבעה אחים למחצה הוא אינו בקשר. </w:t>
      </w:r>
    </w:p>
    <w:p w14:paraId="5AC19672"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8C258C">
        <w:rPr>
          <w:rFonts w:ascii="FrankRuehl" w:hAnsi="FrankRuehl" w:cs="FrankRuehl"/>
          <w:sz w:val="28"/>
          <w:szCs w:val="28"/>
          <w:rtl/>
        </w:rPr>
        <w:t xml:space="preserve">הנאשם מסר כי עבד בתחום המזון בעבודות מזדמנות והתקשה להשתלב בתעסוקה קבועה וכן התמודד עם קשיים כלכליים, קשיים רגשיים עקב אובדן אביו והתקשה במציאת מקום מגורים קבוע. בהיותו מנהל אורח חיים הישרדותי מצא מענה לקשייו ותחושת השייכות אצל גורמים שוליים, כשברקע כאמור ביצע העבירה הנוכחית. </w:t>
      </w:r>
    </w:p>
    <w:p w14:paraId="4FB5781E"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ascii="FrankRuehl" w:hAnsi="FrankRuehl" w:cs="FrankRuehl"/>
          <w:sz w:val="28"/>
          <w:szCs w:val="28"/>
          <w:rtl/>
        </w:rPr>
        <w:t>הנאשם תיאר בפני קצינת המבחן ניסיון להביא לשינוי באורח חייו, כשבשנת 2020 עבר להתגורר עם דודו ביבנה ועבד בתחום התיווך, וחזר להתגורר בנתניה בשנת 2022 ונישא לבחירת ליבו. כן מסר, החל בלימודים וסיים 3 קורסים בתחומים התחדשות עירונית, ייעוץ משכנתאות ונדל"ן, זאת בין השנים 2022-2023 (הוצגו אישורים). עוד מסר כי על רקע קשייו הרגשיים, פנה לקבלת עזרה דרך קופת החולים ומצוי ברשימת המתנה לקבלת טיפול פסיכולוגי (הוצג אישור).</w:t>
      </w:r>
      <w:r>
        <w:rPr>
          <w:rFonts w:ascii="FrankRuehl" w:hAnsi="FrankRuehl" w:cs="FrankRuehl"/>
          <w:sz w:val="28"/>
          <w:szCs w:val="28"/>
        </w:rPr>
        <w:t xml:space="preserve"> </w:t>
      </w:r>
    </w:p>
    <w:p w14:paraId="7FCDF588" w14:textId="77777777" w:rsidR="00CD3D65" w:rsidRPr="00771EBE"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tl/>
        </w:rPr>
      </w:pPr>
      <w:r>
        <w:rPr>
          <w:rFonts w:ascii="FrankRuehl" w:hAnsi="FrankRuehl" w:cs="FrankRuehl"/>
          <w:sz w:val="28"/>
          <w:szCs w:val="28"/>
          <w:rtl/>
        </w:rPr>
        <w:t>הנאשם, נעדר הרשעות קודמות</w:t>
      </w:r>
      <w:r>
        <w:rPr>
          <w:rFonts w:ascii="FrankRuehl" w:hAnsi="FrankRuehl" w:cs="FrankRuehl" w:hint="cs"/>
          <w:sz w:val="28"/>
          <w:szCs w:val="28"/>
          <w:rtl/>
        </w:rPr>
        <w:t xml:space="preserve"> ואין לחובתו תיקים נוספים</w:t>
      </w:r>
      <w:r>
        <w:rPr>
          <w:rFonts w:ascii="FrankRuehl" w:hAnsi="FrankRuehl" w:cs="FrankRuehl"/>
          <w:sz w:val="28"/>
          <w:szCs w:val="28"/>
          <w:rtl/>
        </w:rPr>
        <w:t xml:space="preserve">, שלל שימוש בסמים לאורך חייו ובדיקת שתן לאיתור שרידי סם שמסר נמצאה שלילית. בהתייחסותו לביצוע העבירה, תיאר הנאשם מעורבות בתחום הסמים אך התקשה לקחת אחריות על החזקת הסמים שנתפסו במקום </w:t>
      </w:r>
      <w:r>
        <w:rPr>
          <w:rFonts w:ascii="FrankRuehl" w:hAnsi="FrankRuehl" w:cs="FrankRuehl"/>
          <w:sz w:val="28"/>
          <w:szCs w:val="28"/>
          <w:rtl/>
        </w:rPr>
        <w:lastRenderedPageBreak/>
        <w:t>מגוריו דאז. עוד תיאר כי חבר לגורמים שוליים – שכר דירה על שמו והתגורר עמם ללא צורך לשלם, ובתמורה לקח חלק פעיל בביצוע סרטונים ואימות נתונים של מעורבים בתחום הסמים ביישומון "טלגראס". כן שיתף כי מעורבות גורמי אכיפת החוק וכן ההליך המשפטי היוו הרתעה עבורו והוא ניתק קשריו עם גורמים שוליים והחל בשינוי אורח חייו כאמור.</w:t>
      </w:r>
      <w:r w:rsidRPr="00771EBE">
        <w:rPr>
          <w:rFonts w:ascii="FrankRuehl" w:hAnsi="FrankRuehl" w:cs="FrankRuehl"/>
          <w:sz w:val="28"/>
          <w:szCs w:val="28"/>
          <w:rtl/>
        </w:rPr>
        <w:t xml:space="preserve"> </w:t>
      </w:r>
    </w:p>
    <w:p w14:paraId="1B514C0F"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ascii="Corbel" w:hAnsi="Corbel" w:cs="FrankRuehl"/>
          <w:sz w:val="28"/>
          <w:szCs w:val="28"/>
        </w:rPr>
      </w:pPr>
      <w:r w:rsidRPr="008C258C">
        <w:rPr>
          <w:rFonts w:ascii="FrankRuehl" w:hAnsi="FrankRuehl" w:cs="FrankRuehl"/>
          <w:sz w:val="28"/>
          <w:szCs w:val="28"/>
          <w:rtl/>
        </w:rPr>
        <w:t xml:space="preserve">שירות המבחן התרשם מנאשם צעיר שגדל במשפחה בעייתית, כבוגר ניהל אורח חיים הישרדותי ומצא מענה לצרכיו הבסיסיים בקרב גורמים שוליים. להערכת שירות המבחן הנאשם לא מתאפיין כבעל דפוסים עברייניים מושרשים. בין גורמי הסיכון להישנות עבירה, שקל שירות המבחן את השיקולים הבאים: קשיי הנאשם למציאת פתרונות מקדמים במצבי דחק ומשבר, קשריו עם גורמים שוליים, העובדה כי נעדר גורמי תמיכה במסגרת המשפחתית הגרעינית, והערכה כי יתקשה לפנות לעזרת שירותי הרווחה נוכח חוויות ילדותו מולם. עם זאת, העריך שירות המבחן את השיקולים לשיקום הנאשם ובהם: העדר עבר פלילי, הנאשם מגלה יכולת להתמדה וקידום עצמי, בשנים האחרונות עובד ולומד באופן עקבי, מבטא שאיפות ומגלה מוטיבציה להתנהלות נורמטיבית ומקדמת, נעזר באחרים בסביבתו – דודו, אשתו ומשפחתו המורחבת, יזם לאחרונה פניה לטיפול, ההליך המתנהל כנגדו מהווה אפקט הרתעה, הוא מפרנס את משפחתו וניכר כי ביצוע העבירה לא מאפיין את מהלך חייו בשנים האחרונות. נוכח המפורט המליץ שירות המבחן על ענישה חינוכית כאמור. </w:t>
      </w:r>
    </w:p>
    <w:p w14:paraId="18DF936C"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Corbel" w:hAnsi="Corbel" w:cs="FrankRuehl"/>
          <w:sz w:val="28"/>
          <w:szCs w:val="28"/>
        </w:rPr>
      </w:pPr>
      <w:r>
        <w:rPr>
          <w:rFonts w:ascii="FrankRuehl" w:hAnsi="FrankRuehl" w:cs="FrankRuehl"/>
          <w:sz w:val="28"/>
          <w:szCs w:val="28"/>
          <w:rtl/>
        </w:rPr>
        <w:t xml:space="preserve">באשר לשאלת ביטול הרשעת הנאשם בדין, האחרון הביע בפני שירות המבחן חשש כי הרשעתו עשויה לפגוע במאמציו להשתלב בעתידית בתחום התיווך. נוכח זאת ונוכח התרשמות שירות המבחן מתפקוד חיובי של הנאשם והעדר תיקים חדשים, המליץ לשקול בחיוב להימנע מהרשעה. </w:t>
      </w:r>
    </w:p>
    <w:p w14:paraId="54276402" w14:textId="77777777" w:rsidR="00CD3D65" w:rsidRDefault="00CD3D65" w:rsidP="00CD3D65">
      <w:pPr>
        <w:tabs>
          <w:tab w:val="left" w:pos="-58"/>
        </w:tabs>
        <w:spacing w:before="120" w:after="120" w:line="360" w:lineRule="auto"/>
        <w:ind w:left="-58"/>
        <w:jc w:val="both"/>
        <w:rPr>
          <w:rFonts w:ascii="Miriam" w:hAnsi="Miriam" w:cs="Miriam"/>
          <w:rtl/>
        </w:rPr>
      </w:pPr>
      <w:r>
        <w:rPr>
          <w:rFonts w:ascii="Miriam" w:hAnsi="Miriam" w:cs="Miriam"/>
          <w:rtl/>
        </w:rPr>
        <w:t>טיעוני הצדדים לעונש</w:t>
      </w:r>
    </w:p>
    <w:p w14:paraId="06348F66"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8C258C">
        <w:rPr>
          <w:rFonts w:ascii="Miriam" w:hAnsi="Miriam" w:cs="Miriam"/>
          <w:rtl/>
        </w:rPr>
        <w:t>המאשימה</w:t>
      </w:r>
      <w:r w:rsidRPr="008C258C">
        <w:rPr>
          <w:rFonts w:cs="FrankRuehl"/>
          <w:sz w:val="28"/>
          <w:szCs w:val="28"/>
          <w:rtl/>
        </w:rPr>
        <w:t xml:space="preserve"> עמדה בטיעוניה על הערכים החברתיים המוגנים שנפגעו כתוצאה מביצוע העבירות בהן הורשע הנאשם ובהם הגנה על בריאות הציבור מפני נזקים ישירים ועקיפים הנגרמים עקב השימוש בסמים. בסקירת נסיבות ביצוע העבירה הפנתה לסוג הסמים, הכמות שנתפסה והחלוקה לשקיות נפרדות. לפיכך ולאור מדיניות הענישה הנהוגה</w:t>
      </w:r>
      <w:r w:rsidRPr="008C258C">
        <w:rPr>
          <w:rFonts w:cs="FrankRuehl" w:hint="cs"/>
          <w:sz w:val="28"/>
          <w:szCs w:val="28"/>
          <w:rtl/>
        </w:rPr>
        <w:t>,</w:t>
      </w:r>
      <w:r w:rsidRPr="008C258C">
        <w:rPr>
          <w:rFonts w:cs="FrankRuehl"/>
          <w:sz w:val="28"/>
          <w:szCs w:val="28"/>
          <w:rtl/>
        </w:rPr>
        <w:t xml:space="preserve"> עתרה לקבוע מתחם ענישה בין מאסר על תנאי ועד מאסר לתקופה של מספר חודשים בעבודות שירות. עמדתה זו תמכה בפסיקה. </w:t>
      </w:r>
    </w:p>
    <w:p w14:paraId="296DFA66"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8C258C">
        <w:rPr>
          <w:rFonts w:cs="FrankRuehl"/>
          <w:sz w:val="28"/>
          <w:szCs w:val="28"/>
          <w:rtl/>
        </w:rPr>
        <w:t xml:space="preserve">המאשימה אינה מתעלמת מאופיו החיובי של התסקיר אך סבורה כי המלצתו לא תוכל לעמוד. </w:t>
      </w:r>
      <w:r w:rsidRPr="008C258C">
        <w:rPr>
          <w:rFonts w:cs="FrankRuehl" w:hint="cs"/>
          <w:sz w:val="28"/>
          <w:szCs w:val="28"/>
          <w:rtl/>
        </w:rPr>
        <w:t xml:space="preserve">זאת </w:t>
      </w:r>
      <w:r w:rsidRPr="008C258C">
        <w:rPr>
          <w:rFonts w:cs="FrankRuehl"/>
          <w:sz w:val="28"/>
          <w:szCs w:val="28"/>
          <w:rtl/>
        </w:rPr>
        <w:t xml:space="preserve">הן משום שהנאשם לא החל בטיפול כלשהו והן משום שלא עלה בידיו להוכיח פגיעה קונקרטית בעתידו באם יורשע. בעניין זה נטען כי לא די בתרחישים תאורטיים. לטעם המאשימה לאור הנסיבות העומדות לזכות הנאשם ובהן גילו, העדר הרשעות, ההודאה והחיסכון בזמן שיפוטי כמו גם יתר הנסיבות המפורטות בתסקיר, העונש הראוי לנאשם הוא מאסר על תנאי, צו של"צ פסילה בפועל ועל תנאי.  </w:t>
      </w:r>
    </w:p>
    <w:p w14:paraId="7B2BD353"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8C258C">
        <w:rPr>
          <w:rFonts w:ascii="FrankRuehl" w:hAnsi="FrankRuehl" w:cs="FrankRuehl"/>
          <w:sz w:val="28"/>
          <w:szCs w:val="28"/>
          <w:rtl/>
        </w:rPr>
        <w:t>מנגד, ב"כ הנאשם לא חסכה מאמץ לשכנע את בית המשפט כי עסקינן במקרה ייחודי ומיוחד המצדיק חריגה מהכלל והימנעות מהרשעה כהמלצת התסקיר. בתוך כך עמדה על נסיבותיו האישיות החריגות של הנאשם, ובכלל זה הוצאתו מהבית בצעירותו, שהייתו במוסדות עד לגיוסו לצבא. כן נטען כי הנאשם ביצע את העבירה על רקע מצוקה כלכלית אליה נקלע עם שחרורו מהצבא, חבירתו לגורמים עברייני</w:t>
      </w:r>
      <w:r w:rsidRPr="008C258C">
        <w:rPr>
          <w:rFonts w:ascii="FrankRuehl" w:hAnsi="FrankRuehl" w:cs="FrankRuehl" w:hint="cs"/>
          <w:sz w:val="28"/>
          <w:szCs w:val="28"/>
          <w:rtl/>
        </w:rPr>
        <w:t>י</w:t>
      </w:r>
      <w:r w:rsidRPr="008C258C">
        <w:rPr>
          <w:rFonts w:ascii="FrankRuehl" w:hAnsi="FrankRuehl" w:cs="FrankRuehl"/>
          <w:sz w:val="28"/>
          <w:szCs w:val="28"/>
          <w:rtl/>
        </w:rPr>
        <w:t>ם ומגורים משותפים עם שני</w:t>
      </w:r>
      <w:r w:rsidRPr="008C258C">
        <w:rPr>
          <w:rFonts w:ascii="FrankRuehl" w:hAnsi="FrankRuehl" w:cs="FrankRuehl" w:hint="cs"/>
          <w:sz w:val="28"/>
          <w:szCs w:val="28"/>
          <w:rtl/>
        </w:rPr>
        <w:t>י</w:t>
      </w:r>
      <w:r w:rsidRPr="008C258C">
        <w:rPr>
          <w:rFonts w:ascii="FrankRuehl" w:hAnsi="FrankRuehl" w:cs="FrankRuehl"/>
          <w:sz w:val="28"/>
          <w:szCs w:val="28"/>
          <w:rtl/>
        </w:rPr>
        <w:t xml:space="preserve">ם מהם. הודגש כי מאז הסתבכותו של הנאשם, הוא עושה מאמצים כבירים להימנע מקשרים חברתיים בעיתיים, </w:t>
      </w:r>
      <w:r w:rsidRPr="008C258C">
        <w:rPr>
          <w:rFonts w:cs="FrankRuehl"/>
          <w:sz w:val="28"/>
          <w:szCs w:val="28"/>
          <w:rtl/>
        </w:rPr>
        <w:t xml:space="preserve">ולא שב הסתבך בפלילים. </w:t>
      </w:r>
    </w:p>
    <w:p w14:paraId="5B5700CD"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8C258C">
        <w:rPr>
          <w:rFonts w:cs="FrankRuehl"/>
          <w:sz w:val="28"/>
          <w:szCs w:val="28"/>
          <w:rtl/>
        </w:rPr>
        <w:t>עוד לטענת ההגנה, הרשע</w:t>
      </w:r>
      <w:r w:rsidRPr="008C258C">
        <w:rPr>
          <w:rFonts w:cs="FrankRuehl" w:hint="cs"/>
          <w:sz w:val="28"/>
          <w:szCs w:val="28"/>
          <w:rtl/>
        </w:rPr>
        <w:t xml:space="preserve">ת </w:t>
      </w:r>
      <w:r w:rsidRPr="008C258C">
        <w:rPr>
          <w:rFonts w:cs="FrankRuehl"/>
          <w:sz w:val="28"/>
          <w:szCs w:val="28"/>
          <w:rtl/>
        </w:rPr>
        <w:t xml:space="preserve">הנאשם, בחור צעיר שנמצא בתחילת דרכו המקצועית, בהכרח תפגע במקור עיסוקו הנוכחי וכן בשאיפותיו המקצועיות העתידיות לעסוק בתיווך נדל"ן כעולה משלל המסמכים והתעודות המקצועיות (חלקם הוגשו לנט המשפט לאחר שהסתיים הטיעון לעונש). למצער ובאם בית המשפט ימצא שלא הוכח הנזק הקונקרטי בראיות הרי לתפיסת ההגנה נכון וראוי להגמיש את הדרישה הראייתית לנוכח היות הנאשם "בגיר צעיר" ומשום סוג העבירה, שכלל אינה נחשבת לעבירה חמורה לא מבין עבירות הסמים ולא בכלל.   </w:t>
      </w:r>
    </w:p>
    <w:p w14:paraId="33C696CF" w14:textId="77777777" w:rsidR="00CD3D65" w:rsidRPr="008C258C"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8C258C">
        <w:rPr>
          <w:rFonts w:cs="FrankRuehl"/>
          <w:sz w:val="28"/>
          <w:szCs w:val="28"/>
          <w:rtl/>
        </w:rPr>
        <w:t xml:space="preserve">לפיכך, ובהתבסס על פסיקה התואמת לשיטת ההגנה ככפפה ליד המקרה, עתרה ההגנה לאמץ את המלצות שירות המבחן, הן לעניין הענישה החינוכית והן לעניין ביטול ההרשעה.  </w:t>
      </w:r>
    </w:p>
    <w:p w14:paraId="649450F9" w14:textId="77777777" w:rsidR="00CD3D65" w:rsidRPr="00730E6E" w:rsidRDefault="00CD3D65" w:rsidP="00CD3D65">
      <w:pPr>
        <w:pStyle w:val="aa"/>
        <w:numPr>
          <w:ilvl w:val="0"/>
          <w:numId w:val="1"/>
        </w:numPr>
        <w:tabs>
          <w:tab w:val="left" w:pos="-58"/>
        </w:tabs>
        <w:spacing w:before="120" w:after="120" w:line="360" w:lineRule="auto"/>
        <w:ind w:left="-58" w:firstLine="0"/>
        <w:contextualSpacing w:val="0"/>
        <w:jc w:val="both"/>
        <w:rPr>
          <w:rFonts w:ascii="Miriam" w:hAnsi="Miriam" w:cs="Miriam"/>
        </w:rPr>
      </w:pPr>
      <w:r w:rsidRPr="008C258C">
        <w:rPr>
          <w:rFonts w:ascii="Miriam" w:hAnsi="Miriam" w:cs="Miriam"/>
          <w:rtl/>
        </w:rPr>
        <w:t>הנאשם בדברו האחרון</w:t>
      </w:r>
      <w:r w:rsidRPr="008C258C">
        <w:rPr>
          <w:rFonts w:cs="FrankRuehl"/>
          <w:sz w:val="28"/>
          <w:szCs w:val="28"/>
          <w:rtl/>
        </w:rPr>
        <w:t xml:space="preserve"> אמר את הדברים הבאים: "אני עובד במרכז לעודפי חשמל בתור סוכן מכירות. אני מתרגש. אני עובד שם כמעט שלוש שנים. נודע להם כעת על התיק הזה. אני עובד עם לקוחות שבהם לעשות עסקאות בהרבה כסף. אני מתכוון להמשיך בתחום הזה כרגע והמטרה בסוף להיות איש נדל"ן. התחלתי קורס חדש. עוד פעם אני עובר את הקורס בתיווך. עברתי את הקורס פעם קודמת לא זוכר בדיוק 2019. קניתי את הקורס לעשר שנים ואני יכול לפתוח ולעשות את המסלולים שבחרתי. יש לי קבלה על כך. אני יכול לפתוח איזה קורס שאני רוצה שקניתי ובתוך הקורס יש שישה קורסים שאני יכול לפתוח מה שאני רוצה. יש שם יזמות, נדלן, נדלן חול, סחר באינטרנט, ייעוץ משכנתאות, התחדשות עירונית ששלוש מתוך 6 עשיתי. המטרה לסיים את כולם ולהתקדם בתחום הזה. אני רק אגיד שלא באתי מרקע סוציאלי קל, הייתי מטופל רווחה עד גיל 18 והתגייסתי לצבא ובצבא התייתמתי והשתחררתי בעקבות כך שהתייתמתי והשתחררתי בגלל מצב נפשי ולא היה לי אפשרות לעבוד עקב מצב נפשי. הדבר העיקרי שהוא שניסיתי להתאבד בצבא ולכן שחררו אותי. עברתי טיפול פסיכולוגי ופסיכיאטרי תקופה, הייתי שוב בטיפול פסיכיאטרי כי אני רוצה לשקם את חיי ולא רוצה לתת לעבר שלי להפריע לי לעתיד. לא היה לי איפה לגור, הייתי חייל בודד, שהשתחררתי לא היה לי עזרה ולאן ללכת, השכרתי דירה עם אחי ומאוד זולה, בשכונות פחות טובות, דירת מחסן שגם לא היה מקלחת ושירותים בדירה ורק בשביל לישון בו. הכרתי מישהו באותו תקופה ובגלל שגרתי בשכונה לא שכונה טובה, הכרתי מישהו הציע לי לעשות סרטון בטלגראס בתמורה לגור בדירה ותמורה שייתן לי דמי כיס, בתמורה לגור בדירה ולדמי כיס ועשיתי סרטונים לטלגראס זה לא היה לצורך סחר ושימוש אלא צורך נטו לעשות סרטונים הללו. באה משטרה וחקרה אותנו, אני ברחתי מנתניה, אותם גורמים הפחידו אותי, אותם שותפים לתיק, הייתי תקופה ביבנה ושם עשיתי את הקורס נדלן ואחרי כן עברתי לקריית גת ואחרי כמה שנים, שנתיים חזרתי לנתניה. הרשיתי לעצמי לחזור כי אותו בחור נרצח. הכרתי את אשתי התחתני ואני עתיד להיות אבא בפעם השנייה בעוד חודש".</w:t>
      </w:r>
    </w:p>
    <w:p w14:paraId="28F34F21"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Miriam" w:hAnsi="Miriam" w:cs="Miriam"/>
        </w:rPr>
      </w:pPr>
      <w:r w:rsidRPr="00730E6E">
        <w:rPr>
          <w:rFonts w:ascii="Miriam" w:hAnsi="Miriam" w:cs="Miriam"/>
          <w:rtl/>
        </w:rPr>
        <w:t xml:space="preserve">דיון והכרעה </w:t>
      </w:r>
    </w:p>
    <w:p w14:paraId="192F6355" w14:textId="77777777" w:rsidR="00CD3D65" w:rsidRPr="00730E6E"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730E6E">
        <w:rPr>
          <w:rFonts w:ascii="Miriam" w:hAnsi="Miriam" w:cs="Miriam"/>
          <w:rtl/>
        </w:rPr>
        <w:t xml:space="preserve">אי הרשעה </w:t>
      </w:r>
    </w:p>
    <w:p w14:paraId="4A026C26" w14:textId="77777777" w:rsidR="00CD3D65" w:rsidRPr="00730E6E"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730E6E">
        <w:rPr>
          <w:rFonts w:ascii="Corbel" w:hAnsi="Corbel" w:cs="FrankRuehl"/>
          <w:sz w:val="28"/>
          <w:szCs w:val="28"/>
          <w:rtl/>
        </w:rPr>
        <w:t xml:space="preserve">אקדים </w:t>
      </w:r>
      <w:r w:rsidRPr="00730E6E">
        <w:rPr>
          <w:rFonts w:cs="FrankRuehl"/>
          <w:sz w:val="28"/>
          <w:szCs w:val="28"/>
          <w:rtl/>
        </w:rPr>
        <w:t>תוצאה</w:t>
      </w:r>
      <w:r w:rsidRPr="00730E6E">
        <w:rPr>
          <w:rFonts w:ascii="Corbel" w:hAnsi="Corbel" w:cs="FrankRuehl"/>
          <w:sz w:val="28"/>
          <w:szCs w:val="28"/>
          <w:rtl/>
        </w:rPr>
        <w:t xml:space="preserve"> להנמקה ואומר כי לאחר ששמעתי את טיעוני הצדדים ועיינתי בתסקירי שירות המבחן, כמו גם המסמכים והפסיקה שהוגשו לעיוני, לא שוכנעתי כי עניינו של הנאשם נופל בגדר אותם חריגים שבחריגים המצדיקים הימנעות מהרשעה בדין. אנמק טעמיי. </w:t>
      </w:r>
    </w:p>
    <w:p w14:paraId="59FBD774"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Pr>
          <w:rFonts w:cs="FrankRuehl"/>
          <w:sz w:val="26"/>
          <w:szCs w:val="28"/>
          <w:rtl/>
        </w:rPr>
        <w:t xml:space="preserve">ככלל, נאשם שאשמתו הוכחה יורשע בדין, למעט מקרים חריגים שבחריגים בהם נמצא יחס שאינו סביר בין חומרת העבירה לבין הנזק הצפוי לנאשם מן ההרשעה. </w:t>
      </w:r>
      <w:r>
        <w:rPr>
          <w:rFonts w:cs="FrankRuehl"/>
          <w:sz w:val="28"/>
          <w:szCs w:val="28"/>
          <w:rtl/>
        </w:rPr>
        <w:t>הרציונל העומד מאחורי כלל זה הוא הצורך להעביר מסר של הרתעת היחיד והרבים, לשקף את הפסול שבמעשה העבירה בעיני החברה ולאפשר הטלת ענישה ראויה. עם זאת ברי כי הענישה לעולם אינדיבידואלית ועל בית המשפט לבחון את נסיבות המקרה לגופו כמו גם את נסיבותיו האישיות של כל נאשם הנקרא לתת את הדין בפניו.</w:t>
      </w:r>
      <w:r>
        <w:rPr>
          <w:rFonts w:cs="FrankRuehl" w:hint="cs"/>
          <w:sz w:val="28"/>
          <w:szCs w:val="28"/>
        </w:rPr>
        <w:t xml:space="preserve"> </w:t>
      </w:r>
    </w:p>
    <w:p w14:paraId="2D855B54" w14:textId="77777777" w:rsidR="00CD3D65" w:rsidRPr="00835684"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Pr>
          <w:rFonts w:cs="FrankRuehl"/>
          <w:sz w:val="26"/>
          <w:szCs w:val="28"/>
          <w:rtl/>
        </w:rPr>
        <w:t>כידוע, ההלכה בשאלת ההימנעות מהרשעה נקבעה ב</w:t>
      </w:r>
      <w:hyperlink r:id="rId15" w:history="1">
        <w:r w:rsidR="009C68C4" w:rsidRPr="009C68C4">
          <w:rPr>
            <w:rFonts w:cs="FrankRuehl" w:hint="cs"/>
            <w:color w:val="0000FF"/>
            <w:sz w:val="26"/>
            <w:szCs w:val="28"/>
            <w:u w:val="single"/>
            <w:rtl/>
          </w:rPr>
          <w:t>ע</w:t>
        </w:r>
        <w:r w:rsidR="009C68C4" w:rsidRPr="009C68C4">
          <w:rPr>
            <w:rFonts w:cs="FrankRuehl"/>
            <w:color w:val="0000FF"/>
            <w:sz w:val="26"/>
            <w:szCs w:val="28"/>
            <w:u w:val="single"/>
            <w:rtl/>
          </w:rPr>
          <w:t>"</w:t>
        </w:r>
        <w:r w:rsidR="009C68C4" w:rsidRPr="009C68C4">
          <w:rPr>
            <w:rFonts w:cs="FrankRuehl" w:hint="cs"/>
            <w:color w:val="0000FF"/>
            <w:sz w:val="26"/>
            <w:szCs w:val="28"/>
            <w:u w:val="single"/>
            <w:rtl/>
          </w:rPr>
          <w:t>פ</w:t>
        </w:r>
        <w:r w:rsidR="009C68C4" w:rsidRPr="009C68C4">
          <w:rPr>
            <w:rFonts w:cs="FrankRuehl"/>
            <w:color w:val="0000FF"/>
            <w:sz w:val="26"/>
            <w:szCs w:val="28"/>
            <w:u w:val="single"/>
            <w:rtl/>
          </w:rPr>
          <w:t xml:space="preserve"> 2083/96</w:t>
        </w:r>
      </w:hyperlink>
      <w:r>
        <w:rPr>
          <w:rFonts w:cs="Miriam"/>
          <w:b/>
          <w:sz w:val="26"/>
          <w:rtl/>
        </w:rPr>
        <w:t xml:space="preserve"> </w:t>
      </w:r>
      <w:r>
        <w:rPr>
          <w:rFonts w:cs="Miriam"/>
          <w:b/>
          <w:rtl/>
        </w:rPr>
        <w:t xml:space="preserve">כתב נ' מדינת </w:t>
      </w:r>
      <w:r>
        <w:rPr>
          <w:rFonts w:cs="Miriam"/>
          <w:rtl/>
        </w:rPr>
        <w:t>ישראל</w:t>
      </w:r>
      <w:r>
        <w:rPr>
          <w:rFonts w:cs="FrankRuehl"/>
          <w:sz w:val="26"/>
          <w:szCs w:val="28"/>
          <w:rtl/>
        </w:rPr>
        <w:t xml:space="preserve">, פ"ד נב(3) 337 (להלן : </w:t>
      </w:r>
      <w:r>
        <w:rPr>
          <w:rFonts w:cs="Miriam"/>
          <w:b/>
          <w:rtl/>
        </w:rPr>
        <w:t>עניין כתב</w:t>
      </w:r>
      <w:r>
        <w:rPr>
          <w:rFonts w:cs="FrankRuehl"/>
          <w:sz w:val="26"/>
          <w:szCs w:val="28"/>
          <w:rtl/>
        </w:rPr>
        <w:t xml:space="preserve">), כאשר החלטה לסיים את ההליך ללא הרשעה מותנית בהתקיימותם של שני תנאים מצטברים: הראשון – סוג העבירה בנסיבותיה מאפשר ביטול ההרשעה מבלי לפגוע באופן מהותי בשיקולי ענישה נוספים, השני – ההרשעה תפגע פגיעה חמורה בשיקומו של הנאשם. </w:t>
      </w:r>
      <w:r>
        <w:rPr>
          <w:rFonts w:cs="FrankRuehl"/>
          <w:sz w:val="28"/>
          <w:szCs w:val="28"/>
          <w:rtl/>
        </w:rPr>
        <w:t>על הנאשם המבקש להימנע מהרשעתו הנטל להצביע על פגיעה קשה וקונקרטית בסיכויי שיקומו ועליו לבסס פגיעה זו בראיות (</w:t>
      </w:r>
      <w:hyperlink r:id="rId16"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1535/20</w:t>
        </w:r>
      </w:hyperlink>
      <w:r>
        <w:rPr>
          <w:rFonts w:cs="FrankRuehl"/>
          <w:sz w:val="28"/>
          <w:szCs w:val="28"/>
          <w:rtl/>
        </w:rPr>
        <w:t xml:space="preserve"> </w:t>
      </w:r>
      <w:r>
        <w:rPr>
          <w:rFonts w:cs="Miriam"/>
          <w:b/>
          <w:rtl/>
        </w:rPr>
        <w:t>דוקורקר נ' מדינת ישראל</w:t>
      </w:r>
      <w:r>
        <w:rPr>
          <w:rFonts w:cs="FrankRuehl"/>
          <w:sz w:val="28"/>
          <w:szCs w:val="28"/>
          <w:rtl/>
        </w:rPr>
        <w:t xml:space="preserve"> פס' 7 (15.03.2020); </w:t>
      </w:r>
      <w:hyperlink r:id="rId17"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5018/18</w:t>
        </w:r>
      </w:hyperlink>
      <w:r>
        <w:rPr>
          <w:rFonts w:cs="FrankRuehl"/>
          <w:sz w:val="28"/>
          <w:szCs w:val="28"/>
          <w:rtl/>
        </w:rPr>
        <w:t xml:space="preserve"> </w:t>
      </w:r>
      <w:r>
        <w:rPr>
          <w:rFonts w:cs="Miriam"/>
          <w:b/>
          <w:rtl/>
        </w:rPr>
        <w:t>בוזגלו נ' מדינת ישראל</w:t>
      </w:r>
      <w:r>
        <w:rPr>
          <w:rFonts w:cs="FrankRuehl"/>
          <w:sz w:val="28"/>
          <w:szCs w:val="28"/>
          <w:rtl/>
        </w:rPr>
        <w:t xml:space="preserve"> סעיף 9 (21.10.18) (להלן: עניין בוזגלו); </w:t>
      </w:r>
      <w:hyperlink r:id="rId18"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7224/14</w:t>
        </w:r>
      </w:hyperlink>
      <w:r>
        <w:rPr>
          <w:rFonts w:cs="FrankRuehl"/>
          <w:sz w:val="28"/>
          <w:szCs w:val="28"/>
          <w:rtl/>
        </w:rPr>
        <w:t xml:space="preserve"> </w:t>
      </w:r>
      <w:r>
        <w:rPr>
          <w:rFonts w:cs="Miriam"/>
          <w:b/>
          <w:rtl/>
        </w:rPr>
        <w:t>פרנסקי נ' מדינת ישראל</w:t>
      </w:r>
      <w:r>
        <w:rPr>
          <w:rFonts w:cs="FrankRuehl"/>
          <w:sz w:val="28"/>
          <w:szCs w:val="28"/>
          <w:rtl/>
        </w:rPr>
        <w:t xml:space="preserve"> (10.11.2014); </w:t>
      </w:r>
      <w:hyperlink r:id="rId19"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3589/14</w:t>
        </w:r>
      </w:hyperlink>
      <w:r>
        <w:rPr>
          <w:rFonts w:cs="FrankRuehl"/>
          <w:sz w:val="28"/>
          <w:szCs w:val="28"/>
          <w:rtl/>
        </w:rPr>
        <w:t xml:space="preserve"> </w:t>
      </w:r>
      <w:r>
        <w:rPr>
          <w:rFonts w:cs="Miriam"/>
          <w:b/>
          <w:rtl/>
        </w:rPr>
        <w:t>מדינת ישראל נ' לוזון</w:t>
      </w:r>
      <w:r>
        <w:rPr>
          <w:rFonts w:cs="FrankRuehl"/>
          <w:sz w:val="28"/>
          <w:szCs w:val="28"/>
          <w:rtl/>
        </w:rPr>
        <w:t xml:space="preserve"> (10.6.2014)).</w:t>
      </w:r>
      <w:r w:rsidRPr="00835684">
        <w:rPr>
          <w:rFonts w:cs="FrankRuehl"/>
          <w:sz w:val="28"/>
          <w:szCs w:val="28"/>
        </w:rPr>
        <w:t xml:space="preserve"> </w:t>
      </w:r>
    </w:p>
    <w:p w14:paraId="700D655A" w14:textId="77777777" w:rsidR="00CD3D65" w:rsidRPr="00835684"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Pr>
          <w:rFonts w:ascii="FrankRuehl" w:hAnsi="FrankRuehl" w:cs="FrankRuehl"/>
          <w:sz w:val="28"/>
          <w:szCs w:val="28"/>
          <w:rtl/>
        </w:rPr>
        <w:t>לצד זאת אפשר להצביע על מקרים בהם בוטלה הרשעה אף בהיעדר אינדיקציה מוחשית ממשית לפגיעה קונקרטית וזאת חרף החובה המוטלת על הנאשם המבקש להימנע מהרשעתו. בהקשר זה</w:t>
      </w:r>
      <w:r>
        <w:rPr>
          <w:rFonts w:cs="FrankRuehl"/>
          <w:sz w:val="28"/>
          <w:szCs w:val="28"/>
          <w:rtl/>
        </w:rPr>
        <w:t xml:space="preserve"> ראו</w:t>
      </w:r>
      <w:r>
        <w:rPr>
          <w:rFonts w:cs="FrankRuehl" w:hint="cs"/>
          <w:sz w:val="28"/>
          <w:szCs w:val="28"/>
          <w:rtl/>
        </w:rPr>
        <w:t xml:space="preserve"> ע"פ </w:t>
      </w:r>
      <w:hyperlink r:id="rId20" w:history="1">
        <w:r w:rsidR="007578F1" w:rsidRPr="007578F1">
          <w:rPr>
            <w:rFonts w:cs="FrankRuehl"/>
            <w:color w:val="0000FF"/>
            <w:sz w:val="28"/>
            <w:szCs w:val="28"/>
            <w:u w:val="single"/>
            <w:rtl/>
          </w:rPr>
          <w:t xml:space="preserve">4466/14 </w:t>
        </w:r>
      </w:hyperlink>
      <w:r>
        <w:rPr>
          <w:rFonts w:cs="FrankRuehl" w:hint="cs"/>
          <w:sz w:val="28"/>
          <w:szCs w:val="28"/>
          <w:rtl/>
        </w:rPr>
        <w:t xml:space="preserve"> </w:t>
      </w:r>
      <w:r>
        <w:rPr>
          <w:rFonts w:cs="Miriam"/>
          <w:b/>
          <w:rtl/>
        </w:rPr>
        <w:t>פורטל נ' מדינת ישראל</w:t>
      </w:r>
      <w:r>
        <w:rPr>
          <w:rFonts w:cs="FrankRuehl"/>
          <w:sz w:val="32"/>
          <w:szCs w:val="32"/>
          <w:rtl/>
        </w:rPr>
        <w:t xml:space="preserve"> </w:t>
      </w:r>
      <w:r>
        <w:rPr>
          <w:rFonts w:cs="FrankRuehl"/>
          <w:sz w:val="28"/>
          <w:szCs w:val="28"/>
          <w:rtl/>
        </w:rPr>
        <w:t>(22.5.2014);</w:t>
      </w:r>
      <w:r>
        <w:rPr>
          <w:rFonts w:cs="FrankRuehl" w:hint="cs"/>
          <w:sz w:val="28"/>
          <w:szCs w:val="28"/>
          <w:rtl/>
        </w:rPr>
        <w:t xml:space="preserve"> </w:t>
      </w:r>
      <w:hyperlink r:id="rId21"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1721/12</w:t>
        </w:r>
      </w:hyperlink>
      <w:r>
        <w:rPr>
          <w:rFonts w:cs="FrankRuehl" w:hint="cs"/>
          <w:sz w:val="28"/>
          <w:szCs w:val="28"/>
          <w:rtl/>
        </w:rPr>
        <w:t xml:space="preserve"> </w:t>
      </w:r>
      <w:r>
        <w:rPr>
          <w:rFonts w:cs="Miriam"/>
          <w:b/>
          <w:rtl/>
        </w:rPr>
        <w:t>איראשי נ' מדינת ישראל</w:t>
      </w:r>
      <w:r>
        <w:rPr>
          <w:rFonts w:cs="FrankRuehl"/>
          <w:sz w:val="28"/>
          <w:szCs w:val="28"/>
          <w:rtl/>
        </w:rPr>
        <w:t xml:space="preserve"> (30.3.2014); </w:t>
      </w:r>
      <w:hyperlink r:id="rId22" w:history="1">
        <w:r w:rsidR="009C68C4" w:rsidRPr="009C68C4">
          <w:rPr>
            <w:rFonts w:cs="FrankRuehl" w:hint="cs"/>
            <w:color w:val="0000FF"/>
            <w:sz w:val="28"/>
            <w:szCs w:val="28"/>
            <w:u w:val="single"/>
            <w:rtl/>
          </w:rPr>
          <w:t>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111/14</w:t>
        </w:r>
      </w:hyperlink>
      <w:r>
        <w:rPr>
          <w:rFonts w:cs="FrankRuehl"/>
          <w:sz w:val="28"/>
          <w:szCs w:val="28"/>
          <w:rtl/>
        </w:rPr>
        <w:t xml:space="preserve"> </w:t>
      </w:r>
      <w:r>
        <w:rPr>
          <w:rFonts w:ascii="Miriam" w:hAnsi="Miriam" w:cs="Miriam"/>
          <w:rtl/>
        </w:rPr>
        <w:t>פלוני נ' מדינת ישראל</w:t>
      </w:r>
      <w:r>
        <w:rPr>
          <w:rFonts w:cs="FrankRuehl"/>
          <w:rtl/>
        </w:rPr>
        <w:t xml:space="preserve"> </w:t>
      </w:r>
      <w:r>
        <w:rPr>
          <w:rFonts w:cs="FrankRuehl"/>
          <w:sz w:val="28"/>
          <w:szCs w:val="28"/>
          <w:rtl/>
        </w:rPr>
        <w:t>(1.4.2014);</w:t>
      </w:r>
      <w:r>
        <w:rPr>
          <w:rFonts w:cs="FrankRuehl" w:hint="cs"/>
          <w:sz w:val="28"/>
          <w:szCs w:val="28"/>
          <w:rtl/>
        </w:rPr>
        <w:t xml:space="preserve"> </w:t>
      </w:r>
      <w:hyperlink r:id="rId23" w:history="1">
        <w:r w:rsidR="009C68C4" w:rsidRPr="009C68C4">
          <w:rPr>
            <w:rFonts w:cs="FrankRuehl" w:hint="cs"/>
            <w:color w:val="0000FF"/>
            <w:szCs w:val="28"/>
            <w:u w:val="single"/>
            <w:rtl/>
          </w:rPr>
          <w:t>ע</w:t>
        </w:r>
        <w:r w:rsidR="009C68C4" w:rsidRPr="009C68C4">
          <w:rPr>
            <w:rFonts w:cs="FrankRuehl"/>
            <w:color w:val="0000FF"/>
            <w:szCs w:val="28"/>
            <w:u w:val="single"/>
            <w:rtl/>
          </w:rPr>
          <w:t>"</w:t>
        </w:r>
        <w:r w:rsidR="009C68C4" w:rsidRPr="009C68C4">
          <w:rPr>
            <w:rFonts w:cs="FrankRuehl" w:hint="cs"/>
            <w:color w:val="0000FF"/>
            <w:szCs w:val="28"/>
            <w:u w:val="single"/>
            <w:rtl/>
          </w:rPr>
          <w:t>פ</w:t>
        </w:r>
        <w:r w:rsidR="009C68C4" w:rsidRPr="009C68C4">
          <w:rPr>
            <w:rFonts w:cs="FrankRuehl"/>
            <w:color w:val="0000FF"/>
            <w:szCs w:val="28"/>
            <w:u w:val="single"/>
            <w:rtl/>
          </w:rPr>
          <w:t xml:space="preserve"> 1880/13</w:t>
        </w:r>
      </w:hyperlink>
      <w:r>
        <w:rPr>
          <w:rFonts w:cs="FrankRuehl" w:hint="cs"/>
          <w:sz w:val="28"/>
          <w:szCs w:val="28"/>
          <w:rtl/>
        </w:rPr>
        <w:t xml:space="preserve"> </w:t>
      </w:r>
      <w:r>
        <w:rPr>
          <w:rFonts w:cs="Miriam"/>
          <w:b/>
          <w:rtl/>
        </w:rPr>
        <w:t>אברהם נ' מדינת ישראל</w:t>
      </w:r>
      <w:r>
        <w:rPr>
          <w:rFonts w:cs="FrankRuehl"/>
          <w:sz w:val="28"/>
          <w:szCs w:val="28"/>
          <w:rtl/>
        </w:rPr>
        <w:t xml:space="preserve"> (3.2.2014)); </w:t>
      </w:r>
      <w:hyperlink r:id="rId24"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3446/10</w:t>
        </w:r>
      </w:hyperlink>
      <w:r>
        <w:rPr>
          <w:rFonts w:cs="FrankRuehl"/>
          <w:sz w:val="28"/>
          <w:szCs w:val="28"/>
          <w:rtl/>
        </w:rPr>
        <w:t xml:space="preserve"> </w:t>
      </w:r>
      <w:r>
        <w:rPr>
          <w:rFonts w:cs="Miriam"/>
          <w:b/>
          <w:rtl/>
        </w:rPr>
        <w:t>אלחלים נ' מדינת ישראל</w:t>
      </w:r>
      <w:r>
        <w:rPr>
          <w:rFonts w:cs="FrankRuehl"/>
          <w:sz w:val="32"/>
          <w:szCs w:val="32"/>
          <w:rtl/>
        </w:rPr>
        <w:t xml:space="preserve"> </w:t>
      </w:r>
      <w:r>
        <w:rPr>
          <w:rFonts w:cs="FrankRuehl"/>
          <w:sz w:val="28"/>
          <w:szCs w:val="28"/>
          <w:rtl/>
        </w:rPr>
        <w:t>(6.4.2011).</w:t>
      </w:r>
      <w:r w:rsidRPr="00835684">
        <w:rPr>
          <w:rFonts w:cs="FrankRuehl"/>
          <w:sz w:val="28"/>
          <w:szCs w:val="28"/>
          <w:rtl/>
        </w:rPr>
        <w:t xml:space="preserve"> </w:t>
      </w:r>
    </w:p>
    <w:p w14:paraId="4CF6249B" w14:textId="77777777" w:rsidR="00CD3D65" w:rsidRPr="00835684"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Pr>
          <w:rFonts w:cs="FrankRuehl"/>
          <w:szCs w:val="28"/>
          <w:rtl/>
        </w:rPr>
        <w:t>הוסיפה וקבעה ההלכה הפסוקה כי בין התבחינים השונים מתקיימת "מקבילית כוחות" במובן זה שככל שמעשה העבירה חמור יותר, נדרש המבקש להימנע מהרשעה להוכיח פגיעה קונקרטית ולא יהא די בתרחיש תאורטי או אף בהוכחת מידת וודאות קרובה לקיומו של נזק קונקרטי. וגם ההפך הוא הנכון. ככל שמעשה העבירה קל יותר אפשר שבית המשפט ייטה להסתפק בהוכחת פגיעה כללית יותר. למותר להזכיר כי בחינת היחס בין התבחינים השונים תעשה רק מקום בו השתכנע בית המשפט כי סוג העבירה, בנסיבותיה מאפשר לוותר על הרשעה מבלי לפגוע בייתר שיקולי הענישה (</w:t>
      </w:r>
      <w:r>
        <w:rPr>
          <w:rFonts w:cs="FrankRuehl"/>
          <w:sz w:val="28"/>
          <w:szCs w:val="28"/>
          <w:rtl/>
        </w:rPr>
        <w:t>(ראו</w:t>
      </w:r>
      <w:r>
        <w:rPr>
          <w:rFonts w:cs="FrankRuehl" w:hint="cs"/>
          <w:sz w:val="28"/>
          <w:szCs w:val="28"/>
          <w:rtl/>
        </w:rPr>
        <w:t xml:space="preserve"> </w:t>
      </w:r>
      <w:hyperlink r:id="rId25" w:history="1">
        <w:r w:rsidR="009C68C4" w:rsidRPr="009C68C4">
          <w:rPr>
            <w:rFonts w:cs="FrankRuehl" w:hint="cs"/>
            <w:color w:val="0000FF"/>
            <w:sz w:val="28"/>
            <w:szCs w:val="28"/>
            <w:u w:val="single"/>
            <w:rtl/>
          </w:rPr>
          <w:t>עפ</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ג</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מרכז</w:t>
        </w:r>
        <w:r w:rsidR="009C68C4" w:rsidRPr="009C68C4">
          <w:rPr>
            <w:rFonts w:cs="FrankRuehl"/>
            <w:color w:val="0000FF"/>
            <w:sz w:val="28"/>
            <w:szCs w:val="28"/>
            <w:u w:val="single"/>
            <w:rtl/>
          </w:rPr>
          <w:t>) 44406-12-11</w:t>
        </w:r>
      </w:hyperlink>
      <w:r>
        <w:rPr>
          <w:rFonts w:cs="FrankRuehl" w:hint="cs"/>
          <w:sz w:val="28"/>
          <w:szCs w:val="28"/>
          <w:rtl/>
        </w:rPr>
        <w:t xml:space="preserve"> </w:t>
      </w:r>
      <w:r>
        <w:rPr>
          <w:rFonts w:cs="FrankRuehl"/>
          <w:sz w:val="28"/>
          <w:szCs w:val="28"/>
          <w:rtl/>
        </w:rPr>
        <w:t>‏</w:t>
      </w:r>
      <w:r>
        <w:rPr>
          <w:rFonts w:ascii="Miriam" w:hAnsi="Miriam" w:cs="Miriam"/>
          <w:rtl/>
        </w:rPr>
        <w:t>שואהנה נ' מדינת ישראל</w:t>
      </w:r>
      <w:r>
        <w:rPr>
          <w:rFonts w:cs="FrankRuehl"/>
          <w:rtl/>
        </w:rPr>
        <w:t xml:space="preserve"> </w:t>
      </w:r>
      <w:r>
        <w:rPr>
          <w:rFonts w:cs="FrankRuehl"/>
          <w:sz w:val="28"/>
          <w:szCs w:val="28"/>
          <w:rtl/>
        </w:rPr>
        <w:t xml:space="preserve">(16.2.2012); </w:t>
      </w:r>
      <w:hyperlink r:id="rId26" w:history="1">
        <w:r w:rsidR="009C68C4" w:rsidRPr="009C68C4">
          <w:rPr>
            <w:rFonts w:cs="FrankRuehl" w:hint="cs"/>
            <w:color w:val="0000FF"/>
            <w:szCs w:val="28"/>
            <w:u w:val="single"/>
            <w:rtl/>
          </w:rPr>
          <w:t>ע</w:t>
        </w:r>
        <w:r w:rsidR="009C68C4" w:rsidRPr="009C68C4">
          <w:rPr>
            <w:rFonts w:cs="FrankRuehl"/>
            <w:color w:val="0000FF"/>
            <w:szCs w:val="28"/>
            <w:u w:val="single"/>
            <w:rtl/>
          </w:rPr>
          <w:t>"</w:t>
        </w:r>
        <w:r w:rsidR="009C68C4" w:rsidRPr="009C68C4">
          <w:rPr>
            <w:rFonts w:cs="FrankRuehl" w:hint="cs"/>
            <w:color w:val="0000FF"/>
            <w:szCs w:val="28"/>
            <w:u w:val="single"/>
            <w:rtl/>
          </w:rPr>
          <w:t>פ</w:t>
        </w:r>
        <w:r w:rsidR="009C68C4" w:rsidRPr="009C68C4">
          <w:rPr>
            <w:rFonts w:cs="FrankRuehl"/>
            <w:color w:val="0000FF"/>
            <w:szCs w:val="28"/>
            <w:u w:val="single"/>
            <w:rtl/>
          </w:rPr>
          <w:t xml:space="preserve"> (</w:t>
        </w:r>
        <w:r w:rsidR="009C68C4" w:rsidRPr="009C68C4">
          <w:rPr>
            <w:rFonts w:cs="FrankRuehl" w:hint="cs"/>
            <w:color w:val="0000FF"/>
            <w:szCs w:val="28"/>
            <w:u w:val="single"/>
            <w:rtl/>
          </w:rPr>
          <w:t>מחוזי</w:t>
        </w:r>
        <w:r w:rsidR="009C68C4" w:rsidRPr="009C68C4">
          <w:rPr>
            <w:rFonts w:cs="FrankRuehl"/>
            <w:color w:val="0000FF"/>
            <w:szCs w:val="28"/>
            <w:u w:val="single"/>
            <w:rtl/>
          </w:rPr>
          <w:t xml:space="preserve"> </w:t>
        </w:r>
        <w:r w:rsidR="009C68C4" w:rsidRPr="009C68C4">
          <w:rPr>
            <w:rFonts w:cs="FrankRuehl" w:hint="cs"/>
            <w:color w:val="0000FF"/>
            <w:szCs w:val="28"/>
            <w:u w:val="single"/>
            <w:rtl/>
          </w:rPr>
          <w:t>מרכז</w:t>
        </w:r>
        <w:r w:rsidR="009C68C4" w:rsidRPr="009C68C4">
          <w:rPr>
            <w:rFonts w:cs="FrankRuehl"/>
            <w:color w:val="0000FF"/>
            <w:szCs w:val="28"/>
            <w:u w:val="single"/>
            <w:rtl/>
          </w:rPr>
          <w:t>) 24457-03-15</w:t>
        </w:r>
      </w:hyperlink>
      <w:r>
        <w:rPr>
          <w:rFonts w:cs="FrankRuehl"/>
          <w:szCs w:val="28"/>
          <w:rtl/>
        </w:rPr>
        <w:t xml:space="preserve"> </w:t>
      </w:r>
      <w:hyperlink r:id="rId27" w:history="1">
        <w:r w:rsidR="007578F1" w:rsidRPr="007578F1">
          <w:rPr>
            <w:rFonts w:cs="FrankRuehl"/>
            <w:color w:val="0000FF"/>
            <w:szCs w:val="28"/>
            <w:u w:val="single"/>
            <w:rtl/>
          </w:rPr>
          <w:t xml:space="preserve">26443-03-15 </w:t>
        </w:r>
      </w:hyperlink>
      <w:r>
        <w:rPr>
          <w:rFonts w:cs="FrankRuehl"/>
          <w:szCs w:val="28"/>
          <w:rtl/>
        </w:rPr>
        <w:t xml:space="preserve"> </w:t>
      </w:r>
      <w:r>
        <w:rPr>
          <w:rFonts w:ascii="Miriam" w:hAnsi="Miriam" w:cs="Miriam"/>
          <w:rtl/>
        </w:rPr>
        <w:t>גוטרמן נ' מדינת ישראל(</w:t>
      </w:r>
      <w:r>
        <w:rPr>
          <w:rFonts w:cs="FrankRuehl"/>
          <w:szCs w:val="28"/>
          <w:rtl/>
        </w:rPr>
        <w:t>21.6.2015)).</w:t>
      </w:r>
      <w:r w:rsidRPr="00835684">
        <w:rPr>
          <w:rFonts w:cs="FrankRuehl"/>
          <w:sz w:val="28"/>
          <w:szCs w:val="28"/>
          <w:rtl/>
        </w:rPr>
        <w:t xml:space="preserve"> </w:t>
      </w:r>
    </w:p>
    <w:p w14:paraId="19E73257"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cs="FrankRuehl"/>
          <w:sz w:val="28"/>
          <w:szCs w:val="28"/>
          <w:rtl/>
        </w:rPr>
        <w:t xml:space="preserve">ומן הכלל אל הפרט. </w:t>
      </w:r>
    </w:p>
    <w:p w14:paraId="5582F9E3"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cs="FrankRuehl"/>
          <w:sz w:val="22"/>
          <w:szCs w:val="28"/>
          <w:rtl/>
        </w:rPr>
        <w:t xml:space="preserve">הנאשם במעשיו פגע בערכים המוגנים שעניינם הגנה על בריאות הציבור מפני הנזקים הישירים והעקיפים הנגרמים כתוצאה מביצוע עבירות נלוות לצריכת הסם בהיותן מחולל פשיעה. </w:t>
      </w:r>
      <w:r w:rsidRPr="000D36C2">
        <w:rPr>
          <w:rFonts w:ascii="FrankRuehl" w:hAnsi="FrankRuehl" w:cs="FrankRuehl"/>
          <w:sz w:val="28"/>
          <w:szCs w:val="28"/>
          <w:rtl/>
        </w:rPr>
        <w:t>כעולה מעובדות כתב האישום המתוקן, גורמי אכיפת החוק ערכו חיפוש בדירת הנאשם על פי צו שיפוטי ונתפסו 5 טלפונים וכן 100 גרם של סם מסוכן מסוג קנאביס. נכון כי כמות הסם אינה מהגדולה שנראתה במחוזותיה אך הנסיבות בהן הוחזקו הסמים, ובכלל זה, הטמנתם מחוץ לדירה בתוך מסגרת עץ, בשקית זבל וחלוקתם ל</w:t>
      </w:r>
      <w:r w:rsidRPr="000D36C2">
        <w:rPr>
          <w:rFonts w:ascii="FrankRuehl" w:hAnsi="FrankRuehl" w:cs="FrankRuehl" w:hint="cs"/>
          <w:sz w:val="28"/>
          <w:szCs w:val="28"/>
          <w:rtl/>
        </w:rPr>
        <w:t xml:space="preserve"> </w:t>
      </w:r>
      <w:r w:rsidRPr="000D36C2">
        <w:rPr>
          <w:rFonts w:ascii="FrankRuehl" w:hAnsi="FrankRuehl" w:cs="FrankRuehl"/>
          <w:sz w:val="28"/>
          <w:szCs w:val="28"/>
          <w:rtl/>
        </w:rPr>
        <w:t xml:space="preserve">– 8 שקיות נפרדות מלמדת על כוונה להפצה. הודות למאמצים שהשקיעו רשויות החוק הנזק הקונקרטי נמנע והסמים לא הגיעו למשתמשי הקצה.   </w:t>
      </w:r>
    </w:p>
    <w:p w14:paraId="1CB961D8"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ascii="FrankRuehl" w:hAnsi="FrankRuehl" w:cs="FrankRuehl"/>
          <w:sz w:val="28"/>
          <w:szCs w:val="28"/>
          <w:rtl/>
        </w:rPr>
        <w:t>הנאשם הסביר את מעשיו במשבר שחווה לאחר שחרורו מהצבא, העדר תמיכה ועוגן משפחתי וחבירתו לגורמים שוליים. בכלל זה, שכר דירה על שמו והתגורר בה עם גורמים עבריינ</w:t>
      </w:r>
      <w:r w:rsidRPr="000D36C2">
        <w:rPr>
          <w:rFonts w:ascii="FrankRuehl" w:hAnsi="FrankRuehl" w:cs="FrankRuehl" w:hint="cs"/>
          <w:sz w:val="28"/>
          <w:szCs w:val="28"/>
          <w:rtl/>
        </w:rPr>
        <w:t>י</w:t>
      </w:r>
      <w:r w:rsidRPr="000D36C2">
        <w:rPr>
          <w:rFonts w:ascii="FrankRuehl" w:hAnsi="FrankRuehl" w:cs="FrankRuehl"/>
          <w:sz w:val="28"/>
          <w:szCs w:val="28"/>
          <w:rtl/>
        </w:rPr>
        <w:t xml:space="preserve">ים, ללא צורך לשלם, ובתמורה לקח חלק פעיל בביצוע סרטונים ואימות נתונים של מעורבים בתחום הסמים ביישומון ה"טלגראס". דברים דומים מסר הנאשם בדברו האחרון. </w:t>
      </w:r>
    </w:p>
    <w:p w14:paraId="0EEB4FEC"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ascii="FrankRuehl" w:hAnsi="FrankRuehl" w:cs="FrankRuehl"/>
          <w:sz w:val="28"/>
          <w:szCs w:val="28"/>
          <w:rtl/>
        </w:rPr>
        <w:t xml:space="preserve">גם בהתעלם מהעובדה כי נתון זה אינו בבחינת עובדה מוסכמת על הצדדים והוא אף לא מצא ביטוי בעובדות כתב האישום המתוקן, הרי בית המשפט אינו משוכנע כי מדובר בנסיבה לקולה, כלל ועיקר. ההפך הוא הנכון. מבלי להקל כהוא זה בנסיבותיו האישיות של הנאשם, הרי משברים אישיים חמורים ככל שיהיו אינם יכולים להצדיק ביצוע עבירות מסוג זה או בכלל. </w:t>
      </w:r>
    </w:p>
    <w:p w14:paraId="7465C9E7"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tl/>
        </w:rPr>
      </w:pPr>
      <w:r w:rsidRPr="000D36C2">
        <w:rPr>
          <w:rFonts w:ascii="FrankRuehl" w:hAnsi="FrankRuehl" w:cs="FrankRuehl"/>
          <w:sz w:val="28"/>
          <w:szCs w:val="28"/>
          <w:rtl/>
        </w:rPr>
        <w:t xml:space="preserve">הנאשם כמו רבים אחרים, התפתה </w:t>
      </w:r>
      <w:r w:rsidRPr="000D36C2">
        <w:rPr>
          <w:rFonts w:ascii="FrankRuehl" w:hAnsi="FrankRuehl" w:cs="FrankRuehl" w:hint="cs"/>
          <w:sz w:val="28"/>
          <w:szCs w:val="28"/>
          <w:rtl/>
        </w:rPr>
        <w:t>ו</w:t>
      </w:r>
      <w:r w:rsidRPr="000D36C2">
        <w:rPr>
          <w:rFonts w:ascii="FrankRuehl" w:hAnsi="FrankRuehl" w:cs="FrankRuehl"/>
          <w:sz w:val="28"/>
          <w:szCs w:val="28"/>
          <w:rtl/>
        </w:rPr>
        <w:t>לקח חלק בהפצתם של סמים מסוכנים</w:t>
      </w:r>
      <w:r>
        <w:rPr>
          <w:rFonts w:ascii="FrankRuehl" w:hAnsi="FrankRuehl" w:cs="FrankRuehl" w:hint="cs"/>
          <w:sz w:val="28"/>
          <w:szCs w:val="28"/>
          <w:rtl/>
        </w:rPr>
        <w:t>, כשחלקו התמצה</w:t>
      </w:r>
      <w:r w:rsidRPr="000D36C2">
        <w:rPr>
          <w:rFonts w:ascii="FrankRuehl" w:hAnsi="FrankRuehl" w:cs="FrankRuehl"/>
          <w:sz w:val="28"/>
          <w:szCs w:val="28"/>
          <w:rtl/>
        </w:rPr>
        <w:t xml:space="preserve"> </w:t>
      </w:r>
      <w:r>
        <w:rPr>
          <w:rFonts w:ascii="FrankRuehl" w:hAnsi="FrankRuehl" w:cs="FrankRuehl" w:hint="cs"/>
          <w:sz w:val="28"/>
          <w:szCs w:val="28"/>
          <w:rtl/>
        </w:rPr>
        <w:t>ב</w:t>
      </w:r>
      <w:r w:rsidRPr="000D36C2">
        <w:rPr>
          <w:rFonts w:ascii="FrankRuehl" w:hAnsi="FrankRuehl" w:cs="FrankRuehl"/>
          <w:sz w:val="28"/>
          <w:szCs w:val="28"/>
          <w:rtl/>
        </w:rPr>
        <w:t>פרסומם ביישומון "טלגראס" לו נחשפים צרכני סמים רבים פוטנציאלים</w:t>
      </w:r>
      <w:r w:rsidRPr="000D36C2">
        <w:rPr>
          <w:rFonts w:ascii="FrankRuehl" w:hAnsi="FrankRuehl" w:cs="FrankRuehl" w:hint="cs"/>
          <w:sz w:val="28"/>
          <w:szCs w:val="28"/>
          <w:rtl/>
        </w:rPr>
        <w:t>,</w:t>
      </w:r>
      <w:r w:rsidRPr="000D36C2">
        <w:rPr>
          <w:rFonts w:ascii="FrankRuehl" w:hAnsi="FrankRuehl" w:cs="FrankRuehl"/>
          <w:sz w:val="28"/>
          <w:szCs w:val="28"/>
          <w:rtl/>
        </w:rPr>
        <w:t xml:space="preserve"> במטרה לעודד אותם להמשיך לרכוש סמים. הנאשם עשה זאת בידיעה כי הוא עובר על החוק ובמחשבה כי יוכל לגרוף כסף קל ומהיר, מבלי להיתפס ומבלי לתת את הדעת להשלכות מעשיו. ניכר כי בבסיס העבירות עומדת מערכת ערכים קלוקלת הנותנת לגיטימציה לשימוש בסמים וטשטוש גבולות החוק. למרבה הצער, הוא אינו הראשון שחוטא בעבירה מעין זו, </w:t>
      </w:r>
      <w:r w:rsidRPr="000D36C2">
        <w:rPr>
          <w:rFonts w:ascii="FrankRuehl" w:hAnsi="FrankRuehl" w:cs="FrankRuehl" w:hint="cs"/>
          <w:sz w:val="28"/>
          <w:szCs w:val="28"/>
          <w:rtl/>
        </w:rPr>
        <w:t>ו</w:t>
      </w:r>
      <w:r w:rsidRPr="000D36C2">
        <w:rPr>
          <w:rFonts w:ascii="FrankRuehl" w:hAnsi="FrankRuehl" w:cs="FrankRuehl"/>
          <w:sz w:val="28"/>
          <w:szCs w:val="28"/>
          <w:rtl/>
        </w:rPr>
        <w:t xml:space="preserve">הוא אינו האחרון. </w:t>
      </w:r>
    </w:p>
    <w:p w14:paraId="7FFF9375"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cs="FrankRuehl"/>
          <w:sz w:val="22"/>
          <w:szCs w:val="28"/>
          <w:rtl/>
        </w:rPr>
        <w:t>אמנם מדובר בסם מסוכן מסוג קנב</w:t>
      </w:r>
      <w:r w:rsidRPr="000D36C2">
        <w:rPr>
          <w:rFonts w:cs="FrankRuehl" w:hint="cs"/>
          <w:sz w:val="22"/>
          <w:szCs w:val="28"/>
          <w:rtl/>
        </w:rPr>
        <w:t>ו</w:t>
      </w:r>
      <w:r w:rsidRPr="000D36C2">
        <w:rPr>
          <w:rFonts w:cs="FrankRuehl"/>
          <w:sz w:val="22"/>
          <w:szCs w:val="28"/>
          <w:rtl/>
        </w:rPr>
        <w:t xml:space="preserve">ס, </w:t>
      </w:r>
      <w:r w:rsidRPr="000D36C2">
        <w:rPr>
          <w:rFonts w:ascii="FrankRuehl" w:hAnsi="FrankRuehl" w:cs="FrankRuehl"/>
          <w:sz w:val="28"/>
          <w:szCs w:val="28"/>
          <w:rtl/>
        </w:rPr>
        <w:t xml:space="preserve">אשר חומרתו פחותה בהשוואה לסוגי סמים אחרים, כגון קוקאין והרואין. ראו: </w:t>
      </w:r>
      <w:hyperlink r:id="rId28" w:history="1">
        <w:r w:rsidR="009C68C4" w:rsidRPr="009C68C4">
          <w:rPr>
            <w:rFonts w:ascii="FrankRuehl" w:hAnsi="FrankRuehl" w:cs="FrankRuehl"/>
            <w:color w:val="0000FF"/>
            <w:sz w:val="28"/>
            <w:szCs w:val="28"/>
            <w:u w:val="single"/>
            <w:rtl/>
          </w:rPr>
          <w:t>בש"פ 8640/20</w:t>
        </w:r>
      </w:hyperlink>
      <w:r w:rsidRPr="000D36C2">
        <w:rPr>
          <w:rFonts w:ascii="FrankRuehl" w:hAnsi="FrankRuehl" w:cs="FrankRuehl"/>
          <w:sz w:val="28"/>
          <w:szCs w:val="28"/>
          <w:rtl/>
        </w:rPr>
        <w:t xml:space="preserve"> </w:t>
      </w:r>
      <w:r w:rsidRPr="000D36C2">
        <w:rPr>
          <w:rFonts w:ascii="Miriam" w:hAnsi="Miriam" w:cs="Miriam"/>
          <w:b/>
          <w:rtl/>
        </w:rPr>
        <w:t>אבו קרינאת נ' מדינת ישראל</w:t>
      </w:r>
      <w:r w:rsidRPr="000D36C2">
        <w:rPr>
          <w:rFonts w:ascii="FrankRuehl" w:hAnsi="FrankRuehl" w:cs="FrankRuehl"/>
          <w:sz w:val="28"/>
          <w:szCs w:val="28"/>
          <w:rtl/>
        </w:rPr>
        <w:t xml:space="preserve"> (23.12.2020), </w:t>
      </w:r>
      <w:hyperlink r:id="rId29" w:history="1">
        <w:r w:rsidR="009C68C4" w:rsidRPr="009C68C4">
          <w:rPr>
            <w:rFonts w:ascii="FrankRuehl" w:hAnsi="FrankRuehl" w:cs="FrankRuehl"/>
            <w:color w:val="0000FF"/>
            <w:sz w:val="28"/>
            <w:szCs w:val="28"/>
            <w:u w:val="single"/>
            <w:rtl/>
          </w:rPr>
          <w:t>בש"פ 3812/21</w:t>
        </w:r>
      </w:hyperlink>
      <w:r w:rsidRPr="000D36C2">
        <w:rPr>
          <w:rFonts w:ascii="FrankRuehl" w:hAnsi="FrankRuehl" w:cs="FrankRuehl"/>
          <w:sz w:val="28"/>
          <w:szCs w:val="28"/>
          <w:rtl/>
        </w:rPr>
        <w:t xml:space="preserve"> </w:t>
      </w:r>
      <w:r w:rsidRPr="000D36C2">
        <w:rPr>
          <w:rFonts w:ascii="Miriam" w:hAnsi="Miriam" w:cs="Miriam"/>
          <w:b/>
          <w:rtl/>
        </w:rPr>
        <w:t>מוקלד נ' מדינת ישראל</w:t>
      </w:r>
      <w:r w:rsidRPr="000D36C2">
        <w:rPr>
          <w:rFonts w:ascii="FrankRuehl" w:hAnsi="FrankRuehl" w:cs="FrankRuehl"/>
          <w:sz w:val="28"/>
          <w:szCs w:val="28"/>
          <w:rtl/>
        </w:rPr>
        <w:t xml:space="preserve"> (15.6.2021), </w:t>
      </w:r>
      <w:hyperlink r:id="rId30" w:history="1">
        <w:r w:rsidR="009C68C4" w:rsidRPr="009C68C4">
          <w:rPr>
            <w:rFonts w:ascii="FrankRuehl" w:hAnsi="FrankRuehl" w:cs="FrankRuehl"/>
            <w:color w:val="0000FF"/>
            <w:sz w:val="28"/>
            <w:szCs w:val="28"/>
            <w:u w:val="single"/>
            <w:rtl/>
          </w:rPr>
          <w:t>ת"פ (מחוזי מרכז) 4435-07-19</w:t>
        </w:r>
      </w:hyperlink>
      <w:r w:rsidRPr="000D36C2">
        <w:rPr>
          <w:rFonts w:ascii="FrankRuehl" w:hAnsi="FrankRuehl" w:cs="FrankRuehl"/>
          <w:sz w:val="28"/>
          <w:szCs w:val="28"/>
          <w:rtl/>
        </w:rPr>
        <w:t xml:space="preserve"> </w:t>
      </w:r>
      <w:r w:rsidRPr="000D36C2">
        <w:rPr>
          <w:rFonts w:ascii="Miriam" w:hAnsi="Miriam" w:cs="Miriam"/>
          <w:b/>
          <w:rtl/>
        </w:rPr>
        <w:t>מדינת ישראל נ' אליהו</w:t>
      </w:r>
      <w:r w:rsidRPr="000D36C2">
        <w:rPr>
          <w:rFonts w:ascii="FrankRuehl" w:hAnsi="FrankRuehl" w:cs="FrankRuehl"/>
          <w:sz w:val="28"/>
          <w:szCs w:val="28"/>
          <w:rtl/>
        </w:rPr>
        <w:t xml:space="preserve"> (4.5.2021)</w:t>
      </w:r>
      <w:r w:rsidRPr="000D36C2">
        <w:rPr>
          <w:rFonts w:ascii="FrankRuehl" w:hAnsi="FrankRuehl" w:cs="FrankRuehl" w:hint="cs"/>
          <w:sz w:val="28"/>
          <w:szCs w:val="28"/>
          <w:rtl/>
        </w:rPr>
        <w:t>.</w:t>
      </w:r>
      <w:r w:rsidRPr="000D36C2">
        <w:rPr>
          <w:rFonts w:ascii="FrankRuehl" w:hAnsi="FrankRuehl" w:cs="FrankRuehl"/>
          <w:sz w:val="28"/>
          <w:szCs w:val="28"/>
          <w:rtl/>
        </w:rPr>
        <w:t xml:space="preserve"> ואמנם, בשנים האחרונות ננקטת מדיניות אכיפה וענישה מקלה כלפי המשתמשים בסמים מסוג קנבוס, אך זו אינה חלה על מי שמחזיק סמים שלא לצריכתו העצמית, מגדל לשם הפצה או סוחר בסמים מסוג זה. מדיניות הענישה הנוהגת כלפי העוסקים בשלבי הייצור או ההספקה של הסמים, נותרה ועודנה ממשית ומרתיעה. </w:t>
      </w:r>
    </w:p>
    <w:p w14:paraId="0AC8E91E"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ascii="FrankRuehl" w:hAnsi="FrankRuehl" w:cs="FrankRuehl"/>
          <w:sz w:val="28"/>
          <w:szCs w:val="28"/>
          <w:rtl/>
        </w:rPr>
        <w:t xml:space="preserve">לעניין זה יפים הדברים שנקבעו </w:t>
      </w:r>
      <w:r>
        <w:rPr>
          <w:rFonts w:ascii="FrankRuehl" w:hAnsi="FrankRuehl" w:cs="FrankRuehl" w:hint="cs"/>
          <w:sz w:val="28"/>
          <w:szCs w:val="28"/>
          <w:rtl/>
        </w:rPr>
        <w:t>ב</w:t>
      </w:r>
      <w:hyperlink r:id="rId31" w:history="1">
        <w:r w:rsidR="009C68C4" w:rsidRPr="009C68C4">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Pr>
          <w:rFonts w:ascii="Miriam" w:hAnsi="Miriam" w:cs="Miriam"/>
          <w:rtl/>
        </w:rPr>
        <w:t>זנזורי נ' מדינת ישראל</w:t>
      </w:r>
      <w:r>
        <w:rPr>
          <w:rFonts w:ascii="FrankRuehl" w:hAnsi="FrankRuehl" w:cs="FrankRuehl"/>
          <w:sz w:val="28"/>
          <w:szCs w:val="28"/>
          <w:rtl/>
        </w:rPr>
        <w:t xml:space="preserve"> (12.8.2018):</w:t>
      </w:r>
      <w:r>
        <w:rPr>
          <w:rFonts w:ascii="FrankRuehl" w:hAnsi="FrankRuehl" w:cs="FrankRuehl" w:hint="cs"/>
          <w:sz w:val="28"/>
          <w:szCs w:val="28"/>
          <w:rtl/>
        </w:rPr>
        <w:t xml:space="preserve"> </w:t>
      </w:r>
    </w:p>
    <w:p w14:paraId="58A3CFE1" w14:textId="77777777" w:rsidR="00CD3D65" w:rsidRDefault="00CD3D65" w:rsidP="00CD3D65">
      <w:pPr>
        <w:pStyle w:val="aa"/>
        <w:tabs>
          <w:tab w:val="left" w:pos="-58"/>
        </w:tabs>
        <w:spacing w:before="120" w:after="120" w:line="360" w:lineRule="auto"/>
        <w:ind w:left="658" w:right="1276"/>
        <w:contextualSpacing w:val="0"/>
        <w:jc w:val="both"/>
        <w:rPr>
          <w:rFonts w:ascii="FrankRuehl" w:hAnsi="FrankRuehl" w:cs="FrankRuehl"/>
          <w:sz w:val="28"/>
          <w:szCs w:val="28"/>
        </w:rPr>
      </w:pPr>
      <w:r w:rsidRPr="00147C5F">
        <w:rPr>
          <w:rFonts w:ascii="FrankRuehl" w:hAnsi="FrankRuehl" w:cs="FrankRuehl"/>
          <w:sz w:val="28"/>
          <w:szCs w:val="28"/>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כסך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1F6ADC7B"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ascii="FrankRuehl" w:hAnsi="FrankRuehl" w:cs="FrankRuehl"/>
          <w:sz w:val="28"/>
          <w:szCs w:val="28"/>
          <w:rtl/>
        </w:rPr>
        <w:t xml:space="preserve">וכן ראו בהקשר זה </w:t>
      </w:r>
      <w:hyperlink r:id="rId32" w:history="1">
        <w:r w:rsidR="009C68C4" w:rsidRPr="009C68C4">
          <w:rPr>
            <w:rFonts w:ascii="FrankRuehl" w:hAnsi="FrankRuehl" w:cs="FrankRuehl"/>
            <w:color w:val="0000FF"/>
            <w:sz w:val="28"/>
            <w:szCs w:val="28"/>
            <w:u w:val="single"/>
            <w:rtl/>
          </w:rPr>
          <w:t>ע"פ 2139/22</w:t>
        </w:r>
      </w:hyperlink>
      <w:r>
        <w:rPr>
          <w:rFonts w:ascii="FrankRuehl" w:hAnsi="FrankRuehl" w:cs="FrankRuehl"/>
          <w:sz w:val="28"/>
          <w:szCs w:val="28"/>
          <w:rtl/>
        </w:rPr>
        <w:t xml:space="preserve"> </w:t>
      </w:r>
      <w:r>
        <w:rPr>
          <w:rFonts w:ascii="Miriam" w:hAnsi="Miriam" w:cs="Miriam"/>
          <w:rtl/>
        </w:rPr>
        <w:t>ג'אנח נ' מדינת ישראל</w:t>
      </w:r>
      <w:r>
        <w:rPr>
          <w:rFonts w:ascii="FrankRuehl" w:hAnsi="FrankRuehl" w:cs="FrankRuehl"/>
          <w:sz w:val="28"/>
          <w:szCs w:val="28"/>
          <w:rtl/>
        </w:rPr>
        <w:t xml:space="preserve"> (14.7.2022): </w:t>
      </w:r>
    </w:p>
    <w:p w14:paraId="61992A2E" w14:textId="77777777" w:rsidR="00CD3D65" w:rsidRDefault="00CD3D65" w:rsidP="00CD3D65">
      <w:pPr>
        <w:pStyle w:val="aa"/>
        <w:tabs>
          <w:tab w:val="left" w:pos="-58"/>
        </w:tabs>
        <w:spacing w:before="120" w:after="120" w:line="360" w:lineRule="auto"/>
        <w:ind w:left="516" w:right="1276"/>
        <w:contextualSpacing w:val="0"/>
        <w:jc w:val="both"/>
        <w:rPr>
          <w:rFonts w:ascii="FrankRuehl" w:hAnsi="FrankRuehl" w:cs="FrankRuehl"/>
          <w:sz w:val="28"/>
          <w:szCs w:val="28"/>
        </w:rPr>
      </w:pPr>
      <w:r>
        <w:rPr>
          <w:rFonts w:ascii="FrankRuehl" w:hAnsi="FrankRuehl" w:cs="FrankRuehl"/>
          <w:sz w:val="28"/>
          <w:szCs w:val="28"/>
          <w:rtl/>
        </w:rPr>
        <w:t xml:space="preserve">"אין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מכל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אינן בעלות תוחלת כלכלית". </w:t>
      </w:r>
    </w:p>
    <w:p w14:paraId="4BF41C33"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ascii="FrankRuehl" w:hAnsi="FrankRuehl" w:cs="FrankRuehl" w:hint="cs"/>
          <w:sz w:val="28"/>
          <w:szCs w:val="28"/>
          <w:rtl/>
        </w:rPr>
        <w:t xml:space="preserve">ראו בנוסף, </w:t>
      </w:r>
      <w:hyperlink r:id="rId33" w:history="1">
        <w:r w:rsidR="009C68C4" w:rsidRPr="009C68C4">
          <w:rPr>
            <w:rFonts w:ascii="FrankRuehl" w:hAnsi="FrankRuehl" w:cs="FrankRuehl"/>
            <w:color w:val="0000FF"/>
            <w:sz w:val="28"/>
            <w:szCs w:val="28"/>
            <w:u w:val="single"/>
            <w:rtl/>
          </w:rPr>
          <w:t>רע"פ 1530/23</w:t>
        </w:r>
      </w:hyperlink>
      <w:r w:rsidRPr="000D36C2">
        <w:rPr>
          <w:rFonts w:ascii="FrankRuehl" w:hAnsi="FrankRuehl" w:cs="FrankRuehl"/>
          <w:sz w:val="28"/>
          <w:szCs w:val="28"/>
          <w:rtl/>
        </w:rPr>
        <w:t xml:space="preserve"> </w:t>
      </w:r>
      <w:r w:rsidRPr="000D36C2">
        <w:rPr>
          <w:rFonts w:ascii="Miriam" w:hAnsi="Miriam" w:cs="Miriam"/>
          <w:rtl/>
        </w:rPr>
        <w:t>רגב נ' מדינת ישראל</w:t>
      </w:r>
      <w:r w:rsidRPr="000D36C2">
        <w:rPr>
          <w:rFonts w:ascii="FrankRuehl" w:hAnsi="FrankRuehl" w:cs="FrankRuehl"/>
          <w:sz w:val="28"/>
          <w:szCs w:val="28"/>
          <w:rtl/>
        </w:rPr>
        <w:t xml:space="preserve"> (15.3.2023);</w:t>
      </w:r>
      <w:r w:rsidRPr="000D36C2">
        <w:rPr>
          <w:rFonts w:ascii="FrankRuehl" w:hAnsi="FrankRuehl" w:cs="FrankRuehl"/>
          <w:sz w:val="28"/>
          <w:szCs w:val="28"/>
        </w:rPr>
        <w:t xml:space="preserve"> </w:t>
      </w:r>
      <w:r w:rsidRPr="000D36C2">
        <w:rPr>
          <w:rFonts w:ascii="FrankRuehl" w:hAnsi="FrankRuehl" w:cs="FrankRuehl"/>
          <w:sz w:val="28"/>
          <w:szCs w:val="28"/>
          <w:rtl/>
        </w:rPr>
        <w:t xml:space="preserve"> </w:t>
      </w:r>
      <w:hyperlink r:id="rId34" w:history="1">
        <w:r w:rsidR="009C68C4" w:rsidRPr="009C68C4">
          <w:rPr>
            <w:rFonts w:ascii="FrankRuehl" w:hAnsi="FrankRuehl" w:cs="FrankRuehl"/>
            <w:color w:val="0000FF"/>
            <w:sz w:val="28"/>
            <w:szCs w:val="28"/>
            <w:u w:val="single"/>
            <w:rtl/>
          </w:rPr>
          <w:t>רע"פ 3287/21</w:t>
        </w:r>
      </w:hyperlink>
      <w:r w:rsidRPr="000D36C2">
        <w:rPr>
          <w:rFonts w:ascii="FrankRuehl" w:hAnsi="FrankRuehl" w:cs="FrankRuehl"/>
          <w:sz w:val="28"/>
          <w:szCs w:val="28"/>
          <w:rtl/>
        </w:rPr>
        <w:t xml:space="preserve"> </w:t>
      </w:r>
      <w:r w:rsidRPr="000D36C2">
        <w:rPr>
          <w:rFonts w:ascii="Miriam" w:hAnsi="Miriam" w:cs="Miriam"/>
          <w:rtl/>
        </w:rPr>
        <w:t>עתמין נ' מדינת ישראל</w:t>
      </w:r>
      <w:r w:rsidRPr="000D36C2">
        <w:rPr>
          <w:rFonts w:ascii="FrankRuehl" w:hAnsi="FrankRuehl" w:cs="FrankRuehl"/>
          <w:sz w:val="28"/>
          <w:szCs w:val="28"/>
          <w:rtl/>
        </w:rPr>
        <w:t xml:space="preserve"> (12.5.2021)</w:t>
      </w:r>
      <w:r w:rsidRPr="000D36C2">
        <w:rPr>
          <w:rFonts w:ascii="FrankRuehl" w:hAnsi="FrankRuehl" w:cs="FrankRuehl" w:hint="cs"/>
          <w:sz w:val="28"/>
          <w:szCs w:val="28"/>
          <w:rtl/>
        </w:rPr>
        <w:t xml:space="preserve">; </w:t>
      </w:r>
      <w:hyperlink r:id="rId35" w:history="1">
        <w:r w:rsidR="009C68C4" w:rsidRPr="009C68C4">
          <w:rPr>
            <w:rFonts w:ascii="FrankRuehl" w:hAnsi="FrankRuehl" w:cs="FrankRuehl"/>
            <w:color w:val="0000FF"/>
            <w:sz w:val="28"/>
            <w:szCs w:val="28"/>
            <w:u w:val="single"/>
            <w:rtl/>
          </w:rPr>
          <w:t>רע"פ 174/21</w:t>
        </w:r>
      </w:hyperlink>
      <w:r w:rsidRPr="000D36C2">
        <w:rPr>
          <w:rFonts w:ascii="FrankRuehl" w:hAnsi="FrankRuehl" w:cs="FrankRuehl" w:hint="cs"/>
          <w:sz w:val="28"/>
          <w:szCs w:val="28"/>
          <w:rtl/>
        </w:rPr>
        <w:t xml:space="preserve"> </w:t>
      </w:r>
      <w:r w:rsidRPr="000D36C2">
        <w:rPr>
          <w:rFonts w:ascii="Miriam" w:hAnsi="Miriam" w:cs="Miriam" w:hint="cs"/>
          <w:rtl/>
        </w:rPr>
        <w:t>סוויסה נ' מדינת ישראל</w:t>
      </w:r>
      <w:r w:rsidRPr="000D36C2">
        <w:rPr>
          <w:rFonts w:ascii="FrankRuehl" w:hAnsi="FrankRuehl" w:cs="FrankRuehl" w:hint="cs"/>
          <w:sz w:val="28"/>
          <w:szCs w:val="28"/>
          <w:rtl/>
        </w:rPr>
        <w:t xml:space="preserve"> (25.2.2021)</w:t>
      </w:r>
      <w:r w:rsidRPr="000D36C2">
        <w:rPr>
          <w:rFonts w:ascii="FrankRuehl" w:hAnsi="FrankRuehl" w:cs="FrankRuehl"/>
          <w:sz w:val="28"/>
          <w:szCs w:val="28"/>
          <w:rtl/>
        </w:rPr>
        <w:t xml:space="preserve"> (להלן: </w:t>
      </w:r>
      <w:r w:rsidRPr="000D36C2">
        <w:rPr>
          <w:rFonts w:ascii="Miriam" w:hAnsi="Miriam" w:cs="Miriam"/>
          <w:rtl/>
        </w:rPr>
        <w:t>עניין</w:t>
      </w:r>
      <w:r w:rsidRPr="000D36C2">
        <w:rPr>
          <w:rFonts w:ascii="FrankRuehl" w:hAnsi="FrankRuehl" w:cs="FrankRuehl"/>
          <w:sz w:val="28"/>
          <w:szCs w:val="28"/>
          <w:rtl/>
        </w:rPr>
        <w:t xml:space="preserve"> </w:t>
      </w:r>
      <w:r w:rsidRPr="000D36C2">
        <w:rPr>
          <w:rFonts w:ascii="Miriam" w:hAnsi="Miriam" w:cs="Miriam"/>
          <w:rtl/>
        </w:rPr>
        <w:t>עתמין</w:t>
      </w:r>
      <w:r w:rsidRPr="000D36C2">
        <w:rPr>
          <w:rFonts w:ascii="FrankRuehl" w:hAnsi="FrankRuehl" w:cs="FrankRuehl"/>
          <w:sz w:val="28"/>
          <w:szCs w:val="28"/>
          <w:rtl/>
        </w:rPr>
        <w:t xml:space="preserve">) </w:t>
      </w:r>
      <w:hyperlink r:id="rId36" w:history="1">
        <w:r w:rsidR="009C68C4" w:rsidRPr="009C68C4">
          <w:rPr>
            <w:rFonts w:ascii="FrankRuehl" w:hAnsi="FrankRuehl" w:cs="FrankRuehl"/>
            <w:color w:val="0000FF"/>
            <w:sz w:val="28"/>
            <w:szCs w:val="28"/>
            <w:u w:val="single"/>
            <w:rtl/>
          </w:rPr>
          <w:t>ע"פ 126/22</w:t>
        </w:r>
      </w:hyperlink>
      <w:r w:rsidRPr="000D36C2">
        <w:rPr>
          <w:rFonts w:ascii="FrankRuehl" w:hAnsi="FrankRuehl" w:cs="FrankRuehl"/>
          <w:sz w:val="28"/>
          <w:szCs w:val="28"/>
          <w:rtl/>
        </w:rPr>
        <w:t xml:space="preserve"> </w:t>
      </w:r>
      <w:r w:rsidRPr="000D36C2">
        <w:rPr>
          <w:rFonts w:ascii="Miriam" w:hAnsi="Miriam" w:cs="Miriam"/>
          <w:rtl/>
        </w:rPr>
        <w:t>מדינת ישראל נ' פלוני</w:t>
      </w:r>
      <w:r w:rsidRPr="000D36C2">
        <w:rPr>
          <w:rFonts w:ascii="FrankRuehl" w:hAnsi="FrankRuehl" w:cs="FrankRuehl"/>
          <w:sz w:val="28"/>
          <w:szCs w:val="28"/>
          <w:rtl/>
        </w:rPr>
        <w:t xml:space="preserve"> (27.4.2022)</w:t>
      </w:r>
      <w:r w:rsidRPr="000D36C2">
        <w:rPr>
          <w:rFonts w:ascii="FrankRuehl" w:hAnsi="FrankRuehl" w:cs="FrankRuehl" w:hint="cs"/>
          <w:sz w:val="28"/>
          <w:szCs w:val="28"/>
          <w:rtl/>
        </w:rPr>
        <w:t xml:space="preserve">; </w:t>
      </w:r>
      <w:hyperlink r:id="rId37" w:history="1">
        <w:r w:rsidR="009C68C4" w:rsidRPr="009C68C4">
          <w:rPr>
            <w:rFonts w:ascii="FrankRuehl" w:hAnsi="FrankRuehl" w:cs="FrankRuehl"/>
            <w:color w:val="0000FF"/>
            <w:sz w:val="28"/>
            <w:szCs w:val="28"/>
            <w:u w:val="single"/>
            <w:rtl/>
          </w:rPr>
          <w:t>ע"פ 6299/20</w:t>
        </w:r>
      </w:hyperlink>
      <w:r w:rsidRPr="000D36C2">
        <w:rPr>
          <w:rFonts w:ascii="FrankRuehl" w:hAnsi="FrankRuehl" w:cs="FrankRuehl" w:hint="cs"/>
          <w:sz w:val="28"/>
          <w:szCs w:val="28"/>
          <w:rtl/>
        </w:rPr>
        <w:t xml:space="preserve"> </w:t>
      </w:r>
      <w:r w:rsidRPr="000D36C2">
        <w:rPr>
          <w:rFonts w:ascii="Miriam" w:hAnsi="Miriam" w:cs="Miriam" w:hint="cs"/>
          <w:rtl/>
        </w:rPr>
        <w:t>חן נ' מדינת ישראל</w:t>
      </w:r>
      <w:r w:rsidRPr="000D36C2">
        <w:rPr>
          <w:rFonts w:ascii="FrankRuehl" w:hAnsi="FrankRuehl" w:cs="FrankRuehl" w:hint="cs"/>
          <w:sz w:val="28"/>
          <w:szCs w:val="28"/>
          <w:rtl/>
        </w:rPr>
        <w:t xml:space="preserve"> (4.2.2021) ו</w:t>
      </w:r>
      <w:hyperlink r:id="rId38" w:history="1">
        <w:r w:rsidR="009C68C4" w:rsidRPr="009C68C4">
          <w:rPr>
            <w:rFonts w:ascii="FrankRuehl" w:hAnsi="FrankRuehl" w:cs="FrankRuehl"/>
            <w:color w:val="0000FF"/>
            <w:sz w:val="28"/>
            <w:szCs w:val="28"/>
            <w:u w:val="single"/>
            <w:rtl/>
          </w:rPr>
          <w:t>ע"פ 5807/17</w:t>
        </w:r>
      </w:hyperlink>
      <w:r w:rsidRPr="000D36C2">
        <w:rPr>
          <w:rFonts w:ascii="FrankRuehl" w:hAnsi="FrankRuehl" w:cs="FrankRuehl" w:hint="cs"/>
          <w:sz w:val="28"/>
          <w:szCs w:val="28"/>
          <w:rtl/>
        </w:rPr>
        <w:t xml:space="preserve"> </w:t>
      </w:r>
      <w:r w:rsidRPr="000D36C2">
        <w:rPr>
          <w:rFonts w:ascii="Miriam" w:hAnsi="Miriam" w:cs="Miriam"/>
          <w:rtl/>
        </w:rPr>
        <w:t>דרחי נ' מדינת ישראל</w:t>
      </w:r>
      <w:r w:rsidRPr="000D36C2">
        <w:rPr>
          <w:rFonts w:ascii="FrankRuehl" w:hAnsi="FrankRuehl" w:cs="FrankRuehl"/>
          <w:sz w:val="28"/>
          <w:szCs w:val="28"/>
          <w:rtl/>
        </w:rPr>
        <w:t xml:space="preserve"> (18.6.2018)</w:t>
      </w:r>
      <w:r w:rsidRPr="000D36C2">
        <w:rPr>
          <w:rFonts w:ascii="FrankRuehl" w:hAnsi="FrankRuehl" w:cs="FrankRuehl" w:hint="cs"/>
          <w:sz w:val="28"/>
          <w:szCs w:val="28"/>
          <w:rtl/>
        </w:rPr>
        <w:t xml:space="preserve">. </w:t>
      </w:r>
      <w:r w:rsidRPr="000D36C2">
        <w:rPr>
          <w:rFonts w:ascii="FrankRuehl" w:hAnsi="FrankRuehl" w:cs="FrankRuehl"/>
          <w:sz w:val="28"/>
          <w:szCs w:val="28"/>
          <w:rtl/>
        </w:rPr>
        <w:t xml:space="preserve"> </w:t>
      </w:r>
    </w:p>
    <w:p w14:paraId="6EEAA32C"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ascii="FrankRuehl" w:hAnsi="FrankRuehl" w:cs="FrankRuehl"/>
          <w:sz w:val="28"/>
          <w:szCs w:val="28"/>
          <w:rtl/>
        </w:rPr>
        <w:t xml:space="preserve">באשר למדיניות הענישה הנהוגה, בחינה של פסקי דין רבים מלמדת כי כאשר מדובר בעבירות שעניינן החזקת סמים במשקל של עשרות גרמים עד מאות בודדות שלא לצריכה עצמית, </w:t>
      </w:r>
      <w:r w:rsidRPr="000D36C2">
        <w:rPr>
          <w:rFonts w:ascii="FrankRuehl" w:hAnsi="FrankRuehl" w:cs="FrankRuehl" w:hint="cs"/>
          <w:sz w:val="28"/>
          <w:szCs w:val="28"/>
          <w:rtl/>
        </w:rPr>
        <w:t xml:space="preserve">נקבע מתחם הענישה </w:t>
      </w:r>
      <w:r w:rsidRPr="000D36C2">
        <w:rPr>
          <w:rFonts w:ascii="FrankRuehl" w:hAnsi="FrankRuehl" w:cs="FrankRuehl"/>
          <w:sz w:val="28"/>
          <w:szCs w:val="28"/>
          <w:rtl/>
        </w:rPr>
        <w:t>בין מאסר מותנה ועד מאסר לתקופה של 8-12 חודשים לצד רכיבי ענישה נוספים</w:t>
      </w:r>
      <w:r w:rsidRPr="000D36C2">
        <w:rPr>
          <w:rFonts w:ascii="FrankRuehl" w:hAnsi="FrankRuehl" w:cs="FrankRuehl" w:hint="cs"/>
          <w:sz w:val="28"/>
          <w:szCs w:val="28"/>
          <w:rtl/>
        </w:rPr>
        <w:t>, כעתירת המאשימה.</w:t>
      </w:r>
      <w:r w:rsidRPr="000D36C2">
        <w:rPr>
          <w:rFonts w:ascii="FrankRuehl" w:hAnsi="FrankRuehl" w:cs="FrankRuehl"/>
          <w:sz w:val="28"/>
          <w:szCs w:val="28"/>
          <w:rtl/>
        </w:rPr>
        <w:t xml:space="preserve"> ראו לדוגמה: </w:t>
      </w:r>
      <w:hyperlink r:id="rId39" w:history="1">
        <w:r w:rsidR="009C68C4" w:rsidRPr="009C68C4">
          <w:rPr>
            <w:rFonts w:ascii="FrankRuehl" w:hAnsi="FrankRuehl" w:cs="FrankRuehl"/>
            <w:color w:val="0000FF"/>
            <w:sz w:val="28"/>
            <w:szCs w:val="28"/>
            <w:u w:val="single"/>
            <w:rtl/>
          </w:rPr>
          <w:t>רע"פ 2590/10</w:t>
        </w:r>
      </w:hyperlink>
      <w:r w:rsidRPr="000D36C2">
        <w:rPr>
          <w:rFonts w:ascii="FrankRuehl" w:hAnsi="FrankRuehl" w:cs="FrankRuehl"/>
          <w:sz w:val="28"/>
          <w:szCs w:val="28"/>
          <w:rtl/>
        </w:rPr>
        <w:t xml:space="preserve"> </w:t>
      </w:r>
      <w:r w:rsidRPr="000D36C2">
        <w:rPr>
          <w:rFonts w:ascii="Miriam" w:hAnsi="Miriam" w:cs="Miriam"/>
          <w:rtl/>
        </w:rPr>
        <w:t>שגיא נ' מדינת ישראל</w:t>
      </w:r>
      <w:r w:rsidRPr="000D36C2">
        <w:rPr>
          <w:rFonts w:ascii="FrankRuehl" w:hAnsi="FrankRuehl" w:cs="FrankRuehl"/>
          <w:rtl/>
        </w:rPr>
        <w:t xml:space="preserve"> </w:t>
      </w:r>
      <w:r w:rsidRPr="000D36C2">
        <w:rPr>
          <w:rFonts w:ascii="FrankRuehl" w:hAnsi="FrankRuehl" w:cs="FrankRuehl"/>
          <w:sz w:val="28"/>
          <w:szCs w:val="28"/>
          <w:rtl/>
        </w:rPr>
        <w:t xml:space="preserve">(8.4.2010); עפ"ג (ת"א) </w:t>
      </w:r>
      <w:hyperlink r:id="rId40" w:history="1">
        <w:r w:rsidR="007578F1" w:rsidRPr="007578F1">
          <w:rPr>
            <w:rFonts w:ascii="FrankRuehl" w:hAnsi="FrankRuehl" w:cs="FrankRuehl"/>
            <w:color w:val="0000FF"/>
            <w:sz w:val="28"/>
            <w:szCs w:val="28"/>
            <w:u w:val="single"/>
            <w:rtl/>
          </w:rPr>
          <w:t xml:space="preserve">20903-09-19 </w:t>
        </w:r>
      </w:hyperlink>
      <w:r w:rsidRPr="000D36C2">
        <w:rPr>
          <w:rFonts w:ascii="FrankRuehl" w:hAnsi="FrankRuehl" w:cs="FrankRuehl"/>
          <w:sz w:val="28"/>
          <w:szCs w:val="28"/>
          <w:rtl/>
        </w:rPr>
        <w:t xml:space="preserve"> </w:t>
      </w:r>
      <w:r w:rsidRPr="000D36C2">
        <w:rPr>
          <w:rFonts w:ascii="Miriam" w:hAnsi="Miriam" w:cs="Miriam"/>
          <w:rtl/>
        </w:rPr>
        <w:t>ברבי נ' מדינת ישראל</w:t>
      </w:r>
      <w:r w:rsidRPr="000D36C2">
        <w:rPr>
          <w:rFonts w:ascii="FrankRuehl" w:hAnsi="FrankRuehl" w:cs="FrankRuehl"/>
          <w:rtl/>
        </w:rPr>
        <w:t xml:space="preserve"> </w:t>
      </w:r>
      <w:r w:rsidRPr="000D36C2">
        <w:rPr>
          <w:rFonts w:ascii="FrankRuehl" w:hAnsi="FrankRuehl" w:cs="FrankRuehl"/>
          <w:sz w:val="28"/>
          <w:szCs w:val="28"/>
          <w:rtl/>
        </w:rPr>
        <w:t xml:space="preserve">(11.12.2019); ע"פ (מרכז) </w:t>
      </w:r>
      <w:hyperlink r:id="rId41" w:history="1">
        <w:r w:rsidR="007578F1" w:rsidRPr="007578F1">
          <w:rPr>
            <w:rFonts w:ascii="FrankRuehl" w:hAnsi="FrankRuehl" w:cs="FrankRuehl"/>
            <w:color w:val="0000FF"/>
            <w:sz w:val="28"/>
            <w:szCs w:val="28"/>
            <w:u w:val="single"/>
            <w:rtl/>
          </w:rPr>
          <w:t xml:space="preserve">44117-05-16 </w:t>
        </w:r>
      </w:hyperlink>
      <w:r w:rsidRPr="000D36C2">
        <w:rPr>
          <w:rFonts w:ascii="FrankRuehl" w:hAnsi="FrankRuehl" w:cs="FrankRuehl"/>
          <w:sz w:val="28"/>
          <w:szCs w:val="28"/>
          <w:rtl/>
        </w:rPr>
        <w:t xml:space="preserve"> </w:t>
      </w:r>
      <w:r w:rsidRPr="000D36C2">
        <w:rPr>
          <w:rFonts w:ascii="Miriam" w:hAnsi="Miriam" w:cs="Miriam"/>
          <w:rtl/>
        </w:rPr>
        <w:t>מדהלה נ' מדינת ישראל</w:t>
      </w:r>
      <w:r w:rsidRPr="000D36C2">
        <w:rPr>
          <w:rFonts w:ascii="FrankRuehl" w:hAnsi="FrankRuehl" w:cs="FrankRuehl"/>
          <w:sz w:val="28"/>
          <w:szCs w:val="28"/>
          <w:rtl/>
        </w:rPr>
        <w:t xml:space="preserve"> (11.12.2016); </w:t>
      </w:r>
      <w:hyperlink r:id="rId42" w:history="1">
        <w:r w:rsidR="009C68C4" w:rsidRPr="009C68C4">
          <w:rPr>
            <w:rFonts w:ascii="FrankRuehl" w:hAnsi="FrankRuehl" w:cs="FrankRuehl"/>
            <w:color w:val="0000FF"/>
            <w:sz w:val="28"/>
            <w:szCs w:val="28"/>
            <w:u w:val="single"/>
            <w:rtl/>
          </w:rPr>
          <w:t>ת"פ 42107-06-20</w:t>
        </w:r>
      </w:hyperlink>
      <w:r w:rsidRPr="000D36C2">
        <w:rPr>
          <w:rFonts w:ascii="FrankRuehl" w:hAnsi="FrankRuehl" w:cs="FrankRuehl"/>
          <w:sz w:val="28"/>
          <w:szCs w:val="28"/>
          <w:rtl/>
        </w:rPr>
        <w:t xml:space="preserve"> </w:t>
      </w:r>
      <w:r w:rsidRPr="000D36C2">
        <w:rPr>
          <w:rFonts w:ascii="Miriam" w:hAnsi="Miriam" w:cs="Miriam"/>
          <w:rtl/>
        </w:rPr>
        <w:t>מדינת ישראל נ' מגבורה</w:t>
      </w:r>
      <w:r w:rsidRPr="000D36C2">
        <w:rPr>
          <w:rFonts w:ascii="FrankRuehl" w:hAnsi="FrankRuehl" w:cs="FrankRuehl"/>
          <w:sz w:val="28"/>
          <w:szCs w:val="28"/>
          <w:rtl/>
        </w:rPr>
        <w:t xml:space="preserve"> (9.5.2022); </w:t>
      </w:r>
      <w:hyperlink r:id="rId43" w:history="1">
        <w:r w:rsidR="009C68C4" w:rsidRPr="009C68C4">
          <w:rPr>
            <w:rFonts w:ascii="FrankRuehl" w:hAnsi="FrankRuehl" w:cs="FrankRuehl"/>
            <w:color w:val="0000FF"/>
            <w:sz w:val="28"/>
            <w:szCs w:val="28"/>
            <w:u w:val="single"/>
            <w:rtl/>
          </w:rPr>
          <w:t>ת"פ 33265-09-20</w:t>
        </w:r>
      </w:hyperlink>
      <w:r w:rsidRPr="000D36C2">
        <w:rPr>
          <w:rFonts w:ascii="FrankRuehl" w:hAnsi="FrankRuehl" w:cs="FrankRuehl"/>
          <w:sz w:val="28"/>
          <w:szCs w:val="28"/>
          <w:rtl/>
        </w:rPr>
        <w:t xml:space="preserve"> </w:t>
      </w:r>
      <w:r w:rsidRPr="000D36C2">
        <w:rPr>
          <w:rFonts w:ascii="Miriam" w:hAnsi="Miriam" w:cs="Miriam"/>
          <w:rtl/>
        </w:rPr>
        <w:t>מדינת ישראל נ' שמואלי</w:t>
      </w:r>
      <w:r w:rsidRPr="000D36C2">
        <w:rPr>
          <w:rFonts w:ascii="FrankRuehl" w:hAnsi="FrankRuehl" w:cs="FrankRuehl"/>
          <w:sz w:val="28"/>
          <w:szCs w:val="28"/>
          <w:rtl/>
        </w:rPr>
        <w:t xml:space="preserve"> (22.12.2021); </w:t>
      </w:r>
      <w:hyperlink r:id="rId44" w:history="1">
        <w:r w:rsidR="009C68C4" w:rsidRPr="009C68C4">
          <w:rPr>
            <w:rFonts w:ascii="FrankRuehl" w:hAnsi="FrankRuehl" w:cs="FrankRuehl"/>
            <w:color w:val="0000FF"/>
            <w:sz w:val="28"/>
            <w:szCs w:val="28"/>
            <w:u w:val="single"/>
            <w:rtl/>
          </w:rPr>
          <w:t>ת"פ (ת"א) 13643-06-20</w:t>
        </w:r>
      </w:hyperlink>
      <w:r w:rsidRPr="000D36C2">
        <w:rPr>
          <w:rFonts w:ascii="FrankRuehl" w:hAnsi="FrankRuehl" w:cs="FrankRuehl"/>
          <w:sz w:val="28"/>
          <w:szCs w:val="28"/>
          <w:rtl/>
        </w:rPr>
        <w:t xml:space="preserve"> </w:t>
      </w:r>
      <w:r w:rsidRPr="000D36C2">
        <w:rPr>
          <w:rFonts w:ascii="Miriam" w:hAnsi="Miriam" w:cs="Miriam"/>
          <w:rtl/>
        </w:rPr>
        <w:t>מדינת ישראל נ' אסף דרעי</w:t>
      </w:r>
      <w:r w:rsidRPr="000D36C2">
        <w:rPr>
          <w:rFonts w:ascii="FrankRuehl" w:hAnsi="FrankRuehl" w:cs="FrankRuehl"/>
          <w:sz w:val="28"/>
          <w:szCs w:val="28"/>
          <w:rtl/>
        </w:rPr>
        <w:t xml:space="preserve"> (13.10.2021);  </w:t>
      </w:r>
      <w:hyperlink r:id="rId45" w:history="1">
        <w:r w:rsidR="009C68C4" w:rsidRPr="009C68C4">
          <w:rPr>
            <w:rFonts w:ascii="FrankRuehl" w:hAnsi="FrankRuehl" w:cs="FrankRuehl"/>
            <w:color w:val="0000FF"/>
            <w:sz w:val="28"/>
            <w:szCs w:val="28"/>
            <w:u w:val="single"/>
            <w:rtl/>
          </w:rPr>
          <w:t>ת"פ 24763-04-21</w:t>
        </w:r>
      </w:hyperlink>
      <w:r w:rsidRPr="000D36C2">
        <w:rPr>
          <w:rFonts w:ascii="FrankRuehl" w:hAnsi="FrankRuehl" w:cs="FrankRuehl"/>
          <w:sz w:val="28"/>
          <w:szCs w:val="28"/>
          <w:rtl/>
        </w:rPr>
        <w:t xml:space="preserve"> </w:t>
      </w:r>
      <w:r w:rsidRPr="000D36C2">
        <w:rPr>
          <w:rFonts w:ascii="Miriam" w:hAnsi="Miriam" w:cs="Miriam"/>
          <w:rtl/>
        </w:rPr>
        <w:t>מדינת ישראל נ' מולה</w:t>
      </w:r>
      <w:r w:rsidRPr="000D36C2">
        <w:rPr>
          <w:rFonts w:ascii="FrankRuehl" w:hAnsi="FrankRuehl" w:cs="FrankRuehl"/>
          <w:rtl/>
        </w:rPr>
        <w:t xml:space="preserve"> </w:t>
      </w:r>
      <w:r w:rsidRPr="000D36C2">
        <w:rPr>
          <w:rFonts w:ascii="FrankRuehl" w:hAnsi="FrankRuehl" w:cs="FrankRuehl"/>
          <w:sz w:val="28"/>
          <w:szCs w:val="28"/>
          <w:rtl/>
        </w:rPr>
        <w:t xml:space="preserve">(12.12.2021); </w:t>
      </w:r>
      <w:hyperlink r:id="rId46" w:history="1">
        <w:r w:rsidR="009C68C4" w:rsidRPr="009C68C4">
          <w:rPr>
            <w:rFonts w:ascii="FrankRuehl" w:hAnsi="FrankRuehl" w:cs="FrankRuehl"/>
            <w:color w:val="0000FF"/>
            <w:sz w:val="28"/>
            <w:szCs w:val="28"/>
            <w:u w:val="single"/>
            <w:rtl/>
          </w:rPr>
          <w:t>ת"פ 37960-03-21</w:t>
        </w:r>
      </w:hyperlink>
      <w:r w:rsidRPr="000D36C2">
        <w:rPr>
          <w:rFonts w:ascii="FrankRuehl" w:hAnsi="FrankRuehl" w:cs="FrankRuehl"/>
          <w:sz w:val="28"/>
          <w:szCs w:val="28"/>
          <w:rtl/>
        </w:rPr>
        <w:t xml:space="preserve"> </w:t>
      </w:r>
      <w:r w:rsidRPr="000D36C2">
        <w:rPr>
          <w:rFonts w:ascii="Miriam" w:hAnsi="Miriam" w:cs="Miriam"/>
          <w:rtl/>
        </w:rPr>
        <w:t>מדינת ישראל נ' כהן</w:t>
      </w:r>
      <w:r w:rsidRPr="000D36C2">
        <w:rPr>
          <w:rFonts w:ascii="FrankRuehl" w:hAnsi="FrankRuehl" w:cs="FrankRuehl"/>
          <w:rtl/>
        </w:rPr>
        <w:t xml:space="preserve"> </w:t>
      </w:r>
      <w:r w:rsidRPr="000D36C2">
        <w:rPr>
          <w:rFonts w:ascii="FrankRuehl" w:hAnsi="FrankRuehl" w:cs="FrankRuehl"/>
          <w:sz w:val="28"/>
          <w:szCs w:val="28"/>
          <w:rtl/>
        </w:rPr>
        <w:t xml:space="preserve">(13.10.2021); </w:t>
      </w:r>
      <w:hyperlink r:id="rId47" w:history="1">
        <w:r w:rsidR="009C68C4" w:rsidRPr="009C68C4">
          <w:rPr>
            <w:rFonts w:ascii="FrankRuehl" w:hAnsi="FrankRuehl" w:cs="FrankRuehl"/>
            <w:color w:val="0000FF"/>
            <w:sz w:val="28"/>
            <w:szCs w:val="28"/>
            <w:u w:val="single"/>
            <w:rtl/>
          </w:rPr>
          <w:t>ת"פ 72369-06-20</w:t>
        </w:r>
      </w:hyperlink>
      <w:r w:rsidRPr="000D36C2">
        <w:rPr>
          <w:rFonts w:ascii="FrankRuehl" w:hAnsi="FrankRuehl" w:cs="FrankRuehl"/>
          <w:sz w:val="28"/>
          <w:szCs w:val="28"/>
          <w:rtl/>
        </w:rPr>
        <w:t xml:space="preserve"> </w:t>
      </w:r>
      <w:r w:rsidRPr="000D36C2">
        <w:rPr>
          <w:rFonts w:ascii="Miriam" w:hAnsi="Miriam" w:cs="Miriam"/>
          <w:rtl/>
        </w:rPr>
        <w:t>מדינת ישראל נ' טרי</w:t>
      </w:r>
      <w:r w:rsidRPr="000D36C2">
        <w:rPr>
          <w:rFonts w:ascii="FrankRuehl" w:hAnsi="FrankRuehl" w:cs="FrankRuehl"/>
          <w:sz w:val="28"/>
          <w:szCs w:val="28"/>
          <w:rtl/>
        </w:rPr>
        <w:t xml:space="preserve"> (13.10.2021); </w:t>
      </w:r>
      <w:hyperlink r:id="rId48" w:history="1">
        <w:r w:rsidR="009C68C4" w:rsidRPr="009C68C4">
          <w:rPr>
            <w:rFonts w:ascii="FrankRuehl" w:hAnsi="FrankRuehl" w:cs="FrankRuehl"/>
            <w:color w:val="0000FF"/>
            <w:sz w:val="28"/>
            <w:szCs w:val="28"/>
            <w:u w:val="single"/>
            <w:rtl/>
          </w:rPr>
          <w:t>ת"פ 46913-07-18</w:t>
        </w:r>
      </w:hyperlink>
      <w:r w:rsidRPr="000D36C2">
        <w:rPr>
          <w:rFonts w:ascii="FrankRuehl" w:hAnsi="FrankRuehl" w:cs="FrankRuehl"/>
          <w:sz w:val="28"/>
          <w:szCs w:val="28"/>
          <w:rtl/>
        </w:rPr>
        <w:t xml:space="preserve"> </w:t>
      </w:r>
      <w:r w:rsidRPr="000D36C2">
        <w:rPr>
          <w:rFonts w:ascii="Miriam" w:hAnsi="Miriam" w:cs="Miriam"/>
          <w:rtl/>
        </w:rPr>
        <w:t>מדינת ישראל נ' מקסימוב</w:t>
      </w:r>
      <w:r w:rsidRPr="000D36C2">
        <w:rPr>
          <w:rFonts w:ascii="FrankRuehl" w:hAnsi="FrankRuehl" w:cs="FrankRuehl"/>
          <w:rtl/>
        </w:rPr>
        <w:t xml:space="preserve"> </w:t>
      </w:r>
      <w:r w:rsidRPr="000D36C2">
        <w:rPr>
          <w:rFonts w:ascii="FrankRuehl" w:hAnsi="FrankRuehl" w:cs="FrankRuehl"/>
          <w:sz w:val="28"/>
          <w:szCs w:val="28"/>
          <w:rtl/>
        </w:rPr>
        <w:t xml:space="preserve">(10.8.2020); </w:t>
      </w:r>
      <w:hyperlink r:id="rId49" w:history="1">
        <w:r w:rsidR="009C68C4" w:rsidRPr="009C68C4">
          <w:rPr>
            <w:rFonts w:ascii="FrankRuehl" w:hAnsi="FrankRuehl" w:cs="FrankRuehl"/>
            <w:color w:val="0000FF"/>
            <w:sz w:val="28"/>
            <w:szCs w:val="28"/>
            <w:u w:val="single"/>
            <w:rtl/>
          </w:rPr>
          <w:t>ת"פ 21678-03-18</w:t>
        </w:r>
      </w:hyperlink>
      <w:r w:rsidRPr="000D36C2">
        <w:rPr>
          <w:rFonts w:ascii="FrankRuehl" w:hAnsi="FrankRuehl" w:cs="FrankRuehl"/>
          <w:sz w:val="28"/>
          <w:szCs w:val="28"/>
          <w:rtl/>
        </w:rPr>
        <w:t xml:space="preserve"> </w:t>
      </w:r>
      <w:r w:rsidRPr="000D36C2">
        <w:rPr>
          <w:rFonts w:ascii="Miriam" w:hAnsi="Miriam" w:cs="Miriam"/>
          <w:rtl/>
        </w:rPr>
        <w:t>מדינת ישראל נ' בוסטינוב</w:t>
      </w:r>
      <w:r w:rsidRPr="000D36C2">
        <w:rPr>
          <w:rFonts w:ascii="FrankRuehl" w:hAnsi="FrankRuehl" w:cs="FrankRuehl"/>
          <w:rtl/>
        </w:rPr>
        <w:t xml:space="preserve"> </w:t>
      </w:r>
      <w:r w:rsidRPr="000D36C2">
        <w:rPr>
          <w:rFonts w:ascii="FrankRuehl" w:hAnsi="FrankRuehl" w:cs="FrankRuehl"/>
          <w:sz w:val="28"/>
          <w:szCs w:val="28"/>
          <w:rtl/>
        </w:rPr>
        <w:t xml:space="preserve">(20.6.2020); </w:t>
      </w:r>
      <w:hyperlink r:id="rId50" w:history="1">
        <w:r w:rsidR="009C68C4" w:rsidRPr="009C68C4">
          <w:rPr>
            <w:rFonts w:ascii="FrankRuehl" w:hAnsi="FrankRuehl" w:cs="FrankRuehl"/>
            <w:color w:val="0000FF"/>
            <w:sz w:val="28"/>
            <w:szCs w:val="28"/>
            <w:u w:val="single"/>
            <w:rtl/>
          </w:rPr>
          <w:t>ת"פ 53684-05-17</w:t>
        </w:r>
      </w:hyperlink>
      <w:r w:rsidRPr="000D36C2">
        <w:rPr>
          <w:rFonts w:ascii="FrankRuehl" w:hAnsi="FrankRuehl" w:cs="FrankRuehl"/>
          <w:sz w:val="28"/>
          <w:szCs w:val="28"/>
          <w:rtl/>
        </w:rPr>
        <w:t xml:space="preserve"> </w:t>
      </w:r>
      <w:r w:rsidRPr="000D36C2">
        <w:rPr>
          <w:rFonts w:ascii="Miriam" w:hAnsi="Miriam" w:cs="Miriam"/>
          <w:rtl/>
        </w:rPr>
        <w:t>מדינת ישראל נ' בלטרמן</w:t>
      </w:r>
      <w:r w:rsidRPr="000D36C2">
        <w:rPr>
          <w:rFonts w:ascii="FrankRuehl" w:hAnsi="FrankRuehl" w:cs="FrankRuehl"/>
          <w:rtl/>
        </w:rPr>
        <w:t xml:space="preserve"> </w:t>
      </w:r>
      <w:r w:rsidRPr="000D36C2">
        <w:rPr>
          <w:rFonts w:ascii="FrankRuehl" w:hAnsi="FrankRuehl" w:cs="FrankRuehl"/>
          <w:sz w:val="28"/>
          <w:szCs w:val="28"/>
          <w:rtl/>
        </w:rPr>
        <w:t xml:space="preserve">(4.5.2020); </w:t>
      </w:r>
      <w:hyperlink r:id="rId51" w:history="1">
        <w:r w:rsidR="009C68C4" w:rsidRPr="009C68C4">
          <w:rPr>
            <w:rFonts w:ascii="FrankRuehl" w:hAnsi="FrankRuehl" w:cs="FrankRuehl"/>
            <w:color w:val="0000FF"/>
            <w:sz w:val="28"/>
            <w:szCs w:val="28"/>
            <w:u w:val="single"/>
            <w:rtl/>
          </w:rPr>
          <w:t>ת"פ (י-ם) 60525-06-18</w:t>
        </w:r>
      </w:hyperlink>
      <w:r w:rsidRPr="000D36C2">
        <w:rPr>
          <w:rFonts w:ascii="FrankRuehl" w:hAnsi="FrankRuehl" w:cs="FrankRuehl"/>
          <w:sz w:val="28"/>
          <w:szCs w:val="28"/>
          <w:rtl/>
        </w:rPr>
        <w:t xml:space="preserve"> </w:t>
      </w:r>
      <w:r w:rsidRPr="000D36C2">
        <w:rPr>
          <w:rFonts w:ascii="Miriam" w:hAnsi="Miriam" w:cs="Miriam"/>
          <w:rtl/>
        </w:rPr>
        <w:t>מדינת ישראל נ' אביב כהן</w:t>
      </w:r>
      <w:r w:rsidRPr="000D36C2">
        <w:rPr>
          <w:rFonts w:ascii="FrankRuehl" w:hAnsi="FrankRuehl" w:cs="FrankRuehl"/>
          <w:rtl/>
        </w:rPr>
        <w:t xml:space="preserve"> </w:t>
      </w:r>
      <w:r w:rsidRPr="000D36C2">
        <w:rPr>
          <w:rFonts w:ascii="FrankRuehl" w:hAnsi="FrankRuehl" w:cs="FrankRuehl"/>
          <w:sz w:val="28"/>
          <w:szCs w:val="28"/>
          <w:rtl/>
        </w:rPr>
        <w:t xml:space="preserve">(2.1.2020); </w:t>
      </w:r>
      <w:hyperlink r:id="rId52" w:history="1">
        <w:r w:rsidR="009C68C4" w:rsidRPr="009C68C4">
          <w:rPr>
            <w:rFonts w:ascii="FrankRuehl" w:hAnsi="FrankRuehl" w:cs="FrankRuehl"/>
            <w:color w:val="0000FF"/>
            <w:sz w:val="28"/>
            <w:szCs w:val="28"/>
            <w:u w:val="single"/>
            <w:rtl/>
          </w:rPr>
          <w:t>ת"פ 39357-02-19</w:t>
        </w:r>
      </w:hyperlink>
      <w:r w:rsidRPr="000D36C2">
        <w:rPr>
          <w:rFonts w:ascii="FrankRuehl" w:hAnsi="FrankRuehl" w:cs="FrankRuehl"/>
          <w:sz w:val="28"/>
          <w:szCs w:val="28"/>
          <w:rtl/>
        </w:rPr>
        <w:t xml:space="preserve"> </w:t>
      </w:r>
      <w:r w:rsidRPr="000D36C2">
        <w:rPr>
          <w:rFonts w:ascii="Miriam" w:hAnsi="Miriam" w:cs="Miriam"/>
          <w:rtl/>
        </w:rPr>
        <w:t>מדינת ישראל נ' בוקובזה</w:t>
      </w:r>
      <w:r w:rsidRPr="000D36C2">
        <w:rPr>
          <w:rFonts w:ascii="FrankRuehl" w:hAnsi="FrankRuehl" w:cs="FrankRuehl"/>
          <w:rtl/>
        </w:rPr>
        <w:t xml:space="preserve"> </w:t>
      </w:r>
      <w:r w:rsidRPr="000D36C2">
        <w:rPr>
          <w:rFonts w:ascii="FrankRuehl" w:hAnsi="FrankRuehl" w:cs="FrankRuehl"/>
          <w:sz w:val="28"/>
          <w:szCs w:val="28"/>
          <w:rtl/>
        </w:rPr>
        <w:t xml:space="preserve">(31.12.2019); </w:t>
      </w:r>
      <w:hyperlink r:id="rId53" w:history="1">
        <w:r w:rsidR="009C68C4" w:rsidRPr="009C68C4">
          <w:rPr>
            <w:rFonts w:ascii="FrankRuehl" w:hAnsi="FrankRuehl" w:cs="FrankRuehl"/>
            <w:color w:val="0000FF"/>
            <w:sz w:val="28"/>
            <w:szCs w:val="28"/>
            <w:u w:val="single"/>
            <w:rtl/>
          </w:rPr>
          <w:t>ת"פ 61688-02-18</w:t>
        </w:r>
      </w:hyperlink>
      <w:r w:rsidRPr="000D36C2">
        <w:rPr>
          <w:rFonts w:ascii="FrankRuehl" w:hAnsi="FrankRuehl" w:cs="FrankRuehl"/>
          <w:sz w:val="28"/>
          <w:szCs w:val="28"/>
          <w:rtl/>
        </w:rPr>
        <w:t xml:space="preserve"> </w:t>
      </w:r>
      <w:r w:rsidRPr="000D36C2">
        <w:rPr>
          <w:rFonts w:ascii="Miriam" w:hAnsi="Miriam" w:cs="Miriam"/>
          <w:rtl/>
        </w:rPr>
        <w:t>מדינת ישראל נ' פיקדו</w:t>
      </w:r>
      <w:r w:rsidRPr="000D36C2">
        <w:rPr>
          <w:rFonts w:ascii="FrankRuehl" w:hAnsi="FrankRuehl" w:cs="FrankRuehl"/>
          <w:rtl/>
        </w:rPr>
        <w:t xml:space="preserve"> </w:t>
      </w:r>
      <w:r w:rsidRPr="000D36C2">
        <w:rPr>
          <w:rFonts w:ascii="FrankRuehl" w:hAnsi="FrankRuehl" w:cs="FrankRuehl"/>
          <w:sz w:val="28"/>
          <w:szCs w:val="28"/>
          <w:rtl/>
        </w:rPr>
        <w:t xml:space="preserve">(25.9.2019); </w:t>
      </w:r>
      <w:hyperlink r:id="rId54" w:history="1">
        <w:r w:rsidR="009C68C4" w:rsidRPr="009C68C4">
          <w:rPr>
            <w:rFonts w:ascii="FrankRuehl" w:hAnsi="FrankRuehl" w:cs="FrankRuehl"/>
            <w:color w:val="0000FF"/>
            <w:sz w:val="28"/>
            <w:szCs w:val="28"/>
            <w:u w:val="single"/>
            <w:rtl/>
          </w:rPr>
          <w:t>ת"פ 53788-02-16</w:t>
        </w:r>
      </w:hyperlink>
      <w:r w:rsidRPr="000D36C2">
        <w:rPr>
          <w:rFonts w:ascii="FrankRuehl" w:hAnsi="FrankRuehl" w:cs="FrankRuehl" w:hint="cs"/>
          <w:sz w:val="28"/>
          <w:szCs w:val="28"/>
          <w:rtl/>
        </w:rPr>
        <w:t xml:space="preserve"> </w:t>
      </w:r>
      <w:r w:rsidRPr="000D36C2">
        <w:rPr>
          <w:rFonts w:ascii="Miriam" w:hAnsi="Miriam" w:cs="Miriam"/>
          <w:rtl/>
        </w:rPr>
        <w:t>מדינת ישראל נ</w:t>
      </w:r>
      <w:r w:rsidRPr="000D36C2">
        <w:rPr>
          <w:rFonts w:ascii="Miriam" w:hAnsi="Miriam" w:cs="Miriam" w:hint="cs"/>
          <w:rtl/>
        </w:rPr>
        <w:t>'</w:t>
      </w:r>
      <w:r w:rsidRPr="000D36C2">
        <w:rPr>
          <w:rFonts w:ascii="Miriam" w:hAnsi="Miriam" w:cs="Miriam"/>
          <w:rtl/>
        </w:rPr>
        <w:t xml:space="preserve"> קלוורי</w:t>
      </w:r>
      <w:r w:rsidRPr="000D36C2">
        <w:rPr>
          <w:rFonts w:ascii="FrankRuehl" w:hAnsi="FrankRuehl" w:cs="FrankRuehl"/>
          <w:sz w:val="28"/>
          <w:szCs w:val="28"/>
          <w:rtl/>
        </w:rPr>
        <w:t xml:space="preserve"> (16.7.2018); </w:t>
      </w:r>
      <w:hyperlink r:id="rId55" w:history="1">
        <w:r w:rsidR="009C68C4" w:rsidRPr="009C68C4">
          <w:rPr>
            <w:rFonts w:ascii="FrankRuehl" w:hAnsi="FrankRuehl" w:cs="FrankRuehl"/>
            <w:color w:val="0000FF"/>
            <w:sz w:val="28"/>
            <w:szCs w:val="28"/>
            <w:u w:val="single"/>
            <w:rtl/>
          </w:rPr>
          <w:t>ת"פ (קריות) 20685-11-16</w:t>
        </w:r>
      </w:hyperlink>
      <w:r w:rsidRPr="000D36C2">
        <w:rPr>
          <w:rFonts w:ascii="FrankRuehl" w:hAnsi="FrankRuehl" w:cs="FrankRuehl"/>
          <w:sz w:val="28"/>
          <w:szCs w:val="28"/>
          <w:rtl/>
        </w:rPr>
        <w:t xml:space="preserve"> </w:t>
      </w:r>
      <w:r w:rsidRPr="000D36C2">
        <w:rPr>
          <w:rFonts w:ascii="Miriam" w:hAnsi="Miriam" w:cs="Miriam"/>
          <w:rtl/>
        </w:rPr>
        <w:t>מדינת ישראל נ' לאופר</w:t>
      </w:r>
      <w:r w:rsidRPr="000D36C2">
        <w:rPr>
          <w:rFonts w:ascii="FrankRuehl" w:hAnsi="FrankRuehl" w:cs="FrankRuehl"/>
          <w:rtl/>
        </w:rPr>
        <w:t xml:space="preserve"> </w:t>
      </w:r>
      <w:r w:rsidRPr="000D36C2">
        <w:rPr>
          <w:rFonts w:ascii="FrankRuehl" w:hAnsi="FrankRuehl" w:cs="FrankRuehl"/>
          <w:sz w:val="28"/>
          <w:szCs w:val="28"/>
          <w:rtl/>
        </w:rPr>
        <w:t xml:space="preserve">(24.6.2018). </w:t>
      </w:r>
    </w:p>
    <w:p w14:paraId="3A82B63C" w14:textId="77777777" w:rsidR="00CD3D65" w:rsidRPr="00617653"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tl/>
        </w:rPr>
      </w:pPr>
      <w:r w:rsidRPr="00617653">
        <w:rPr>
          <w:rFonts w:cs="FrankRuehl"/>
          <w:sz w:val="22"/>
          <w:szCs w:val="28"/>
          <w:rtl/>
        </w:rPr>
        <w:t xml:space="preserve">לפיכך, וככל שהדבר נוגע בתנאי הראשון, מבלי לטעת מסמרות מקובלת עליי טענת ההגנה שלפיה סוג העבירה בנסיבותיה מאפשר ביטולה של הרשעה מבלי לפגוע בשיקולי ענישה נוספים, ולא מדובר </w:t>
      </w:r>
      <w:r w:rsidRPr="00617653">
        <w:rPr>
          <w:rFonts w:ascii="FrankRuehl" w:hAnsi="FrankRuehl" w:cs="FrankRuehl"/>
          <w:sz w:val="28"/>
          <w:szCs w:val="28"/>
          <w:rtl/>
        </w:rPr>
        <w:t xml:space="preserve">בסוג העבירות שחומרתן משמשת מחסום בלתי עביר מפני הימנעות מהרשעה. </w:t>
      </w:r>
    </w:p>
    <w:p w14:paraId="43960153" w14:textId="77777777" w:rsidR="00CD3D65" w:rsidRPr="00147C5F"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Pr>
          <w:rFonts w:cs="FrankRuehl" w:hint="cs"/>
          <w:sz w:val="28"/>
          <w:szCs w:val="28"/>
          <w:rtl/>
        </w:rPr>
        <w:t>באשר לתנאי השני שעניינו פגיעה חמורה בעתידו או בשיקומו של הנאשם.</w:t>
      </w:r>
      <w:r w:rsidRPr="00147C5F">
        <w:rPr>
          <w:rFonts w:cs="FrankRuehl"/>
          <w:sz w:val="28"/>
          <w:szCs w:val="28"/>
          <w:rtl/>
        </w:rPr>
        <w:t xml:space="preserve"> </w:t>
      </w:r>
    </w:p>
    <w:p w14:paraId="6CBDABB6"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tl/>
        </w:rPr>
      </w:pPr>
      <w:r w:rsidRPr="000D36C2">
        <w:rPr>
          <w:rFonts w:cs="FrankRuehl" w:hint="cs"/>
          <w:sz w:val="28"/>
          <w:szCs w:val="28"/>
          <w:rtl/>
        </w:rPr>
        <w:t xml:space="preserve">הנאשם </w:t>
      </w:r>
      <w:r w:rsidRPr="000D36C2">
        <w:rPr>
          <w:rFonts w:cs="FrankRuehl"/>
          <w:sz w:val="28"/>
          <w:szCs w:val="28"/>
          <w:rtl/>
        </w:rPr>
        <w:t xml:space="preserve">יליד 1997, </w:t>
      </w:r>
      <w:r w:rsidRPr="000D36C2">
        <w:rPr>
          <w:rFonts w:ascii="FrankRuehl" w:hAnsi="FrankRuehl" w:cs="FrankRuehl"/>
          <w:sz w:val="28"/>
          <w:szCs w:val="28"/>
          <w:rtl/>
        </w:rPr>
        <w:t>נשוי, אב לשני ילדים קטינים, מתגורר עם אשתו וילדיו בדירה שכורה בנתניה, עובד בחנות למוצרי חשמל. הנאשם ביסודו אדם נורמטיבי, אין לחובת</w:t>
      </w:r>
      <w:r>
        <w:rPr>
          <w:rFonts w:ascii="FrankRuehl" w:hAnsi="FrankRuehl" w:cs="FrankRuehl" w:hint="cs"/>
          <w:sz w:val="28"/>
          <w:szCs w:val="28"/>
          <w:rtl/>
        </w:rPr>
        <w:t>ו</w:t>
      </w:r>
      <w:r w:rsidRPr="000D36C2">
        <w:rPr>
          <w:rFonts w:ascii="FrankRuehl" w:hAnsi="FrankRuehl" w:cs="FrankRuehl"/>
          <w:sz w:val="28"/>
          <w:szCs w:val="28"/>
          <w:rtl/>
        </w:rPr>
        <w:t xml:space="preserve"> הרשעות קודמות ומאז ביצוע העבירה בגינה נותן את הדין חלף זמן ניכר ואף לא עומדת נגדו כל טענה בפרק זמן</w:t>
      </w:r>
      <w:r w:rsidRPr="000D36C2">
        <w:rPr>
          <w:rFonts w:ascii="FrankRuehl" w:hAnsi="FrankRuehl" w:cs="FrankRuehl" w:hint="cs"/>
          <w:sz w:val="28"/>
          <w:szCs w:val="28"/>
          <w:rtl/>
        </w:rPr>
        <w:t xml:space="preserve"> ממושך </w:t>
      </w:r>
      <w:r w:rsidRPr="000D36C2">
        <w:rPr>
          <w:rFonts w:ascii="FrankRuehl" w:hAnsi="FrankRuehl" w:cs="FrankRuehl"/>
          <w:sz w:val="28"/>
          <w:szCs w:val="28"/>
          <w:rtl/>
        </w:rPr>
        <w:t xml:space="preserve">זה. </w:t>
      </w:r>
    </w:p>
    <w:p w14:paraId="437147CC"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Cs w:val="28"/>
        </w:rPr>
      </w:pPr>
      <w:r w:rsidRPr="000D36C2">
        <w:rPr>
          <w:rFonts w:ascii="FrankRuehl" w:hAnsi="FrankRuehl" w:cs="FrankRuehl"/>
          <w:sz w:val="28"/>
          <w:szCs w:val="28"/>
          <w:rtl/>
        </w:rPr>
        <w:t>הנאשם הודה ולקח אחריות על מעשיו, חסך זמן שיפוטי ניכר, וההליך הפלילי, כמו גם מעורבות גורמי האכיפה מלכתחילה, מהווים</w:t>
      </w:r>
      <w:r w:rsidRPr="000D36C2">
        <w:rPr>
          <w:rFonts w:ascii="FrankRuehl" w:hAnsi="FrankRuehl" w:cs="FrankRuehl" w:hint="cs"/>
          <w:sz w:val="28"/>
          <w:szCs w:val="28"/>
          <w:rtl/>
        </w:rPr>
        <w:t xml:space="preserve"> עבורו</w:t>
      </w:r>
      <w:r w:rsidRPr="000D36C2">
        <w:rPr>
          <w:rFonts w:ascii="FrankRuehl" w:hAnsi="FrankRuehl" w:cs="FrankRuehl"/>
          <w:sz w:val="28"/>
          <w:szCs w:val="28"/>
          <w:rtl/>
        </w:rPr>
        <w:t xml:space="preserve"> גורם מרתיע ומציב גבול. </w:t>
      </w:r>
    </w:p>
    <w:p w14:paraId="6BDC3F7D" w14:textId="77777777" w:rsidR="00CD3D65" w:rsidRPr="00835684" w:rsidRDefault="00CD3D65" w:rsidP="00CD3D65">
      <w:pPr>
        <w:pStyle w:val="aa"/>
        <w:numPr>
          <w:ilvl w:val="0"/>
          <w:numId w:val="1"/>
        </w:numPr>
        <w:tabs>
          <w:tab w:val="left" w:pos="-58"/>
        </w:tabs>
        <w:spacing w:before="120" w:after="120" w:line="360" w:lineRule="auto"/>
        <w:ind w:left="-58" w:firstLine="0"/>
        <w:contextualSpacing w:val="0"/>
        <w:jc w:val="both"/>
        <w:rPr>
          <w:rFonts w:cs="FrankRuehl"/>
          <w:szCs w:val="28"/>
        </w:rPr>
      </w:pPr>
      <w:r>
        <w:rPr>
          <w:rFonts w:ascii="FrankRuehl" w:hAnsi="FrankRuehl" w:cs="FrankRuehl"/>
          <w:sz w:val="28"/>
          <w:szCs w:val="28"/>
          <w:rtl/>
        </w:rPr>
        <w:t xml:space="preserve">נסיבותיו האישיות מורכבות כפי שמשתקף </w:t>
      </w:r>
      <w:r>
        <w:rPr>
          <w:rFonts w:ascii="FrankRuehl" w:hAnsi="FrankRuehl" w:cs="FrankRuehl" w:hint="cs"/>
          <w:sz w:val="28"/>
          <w:szCs w:val="28"/>
          <w:rtl/>
        </w:rPr>
        <w:t>ב</w:t>
      </w:r>
      <w:r>
        <w:rPr>
          <w:rFonts w:ascii="FrankRuehl" w:hAnsi="FrankRuehl" w:cs="FrankRuehl"/>
          <w:sz w:val="28"/>
          <w:szCs w:val="28"/>
          <w:rtl/>
        </w:rPr>
        <w:t xml:space="preserve">תסקיר המבחן ובטיעוני באת כוחו. בתמצית, הנאשם גדל במשפחה רב בעייתית אשר התקשתה להוות גורם מכוון ותומך. במעורבות גורמי הרווחה הוצא מביתו והתחנך בפנימייה עד גיל 16. </w:t>
      </w:r>
      <w:r>
        <w:rPr>
          <w:rFonts w:ascii="FrankRuehl" w:hAnsi="FrankRuehl" w:cs="FrankRuehl" w:hint="cs"/>
          <w:sz w:val="28"/>
          <w:szCs w:val="28"/>
          <w:rtl/>
        </w:rPr>
        <w:t xml:space="preserve">אז </w:t>
      </w:r>
      <w:r>
        <w:rPr>
          <w:rFonts w:ascii="FrankRuehl" w:hAnsi="FrankRuehl" w:cs="FrankRuehl"/>
          <w:sz w:val="28"/>
          <w:szCs w:val="28"/>
          <w:rtl/>
        </w:rPr>
        <w:t xml:space="preserve">חזר להתגורר בבית עמו וסיים לימודים בבית ספר לחינוך מיוחד. בגיל המתאים גויס לצה"ל ושירת בחיל הנדסה ועל רקע פטירת אביו וניתוק הקשר עם </w:t>
      </w:r>
      <w:r>
        <w:rPr>
          <w:rFonts w:ascii="FrankRuehl" w:hAnsi="FrankRuehl" w:cs="FrankRuehl" w:hint="cs"/>
          <w:sz w:val="28"/>
          <w:szCs w:val="28"/>
          <w:rtl/>
        </w:rPr>
        <w:t>א</w:t>
      </w:r>
      <w:r>
        <w:rPr>
          <w:rFonts w:ascii="FrankRuehl" w:hAnsi="FrankRuehl" w:cs="FrankRuehl"/>
          <w:sz w:val="28"/>
          <w:szCs w:val="28"/>
          <w:rtl/>
        </w:rPr>
        <w:t>מו –</w:t>
      </w:r>
      <w:r>
        <w:rPr>
          <w:rFonts w:ascii="FrankRuehl" w:hAnsi="FrankRuehl" w:cs="FrankRuehl" w:hint="cs"/>
          <w:sz w:val="28"/>
          <w:szCs w:val="28"/>
          <w:rtl/>
        </w:rPr>
        <w:t xml:space="preserve"> </w:t>
      </w:r>
      <w:r>
        <w:rPr>
          <w:rFonts w:ascii="FrankRuehl" w:hAnsi="FrankRuehl" w:cs="FrankRuehl"/>
          <w:sz w:val="28"/>
          <w:szCs w:val="28"/>
          <w:rtl/>
        </w:rPr>
        <w:t xml:space="preserve">הוכר כחייל בודד והתגורר בבית החייל. מהמסגרת הצבאית נפלט הנאשם לאחר שערק מהשירות על רקע קשיים כלכליים וחובות כמו גם העדר עורף משפחתי תומך. </w:t>
      </w:r>
    </w:p>
    <w:p w14:paraId="7B7C8B34"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0D36C2">
        <w:rPr>
          <w:rFonts w:ascii="FrankRuehl" w:hAnsi="FrankRuehl" w:cs="FrankRuehl"/>
          <w:sz w:val="28"/>
          <w:szCs w:val="28"/>
          <w:rtl/>
        </w:rPr>
        <w:t xml:space="preserve">לאורך השנים </w:t>
      </w:r>
      <w:r w:rsidRPr="000D36C2">
        <w:rPr>
          <w:rFonts w:ascii="FrankRuehl" w:hAnsi="FrankRuehl" w:cs="FrankRuehl" w:hint="cs"/>
          <w:sz w:val="28"/>
          <w:szCs w:val="28"/>
          <w:rtl/>
        </w:rPr>
        <w:t xml:space="preserve">הנאשם </w:t>
      </w:r>
      <w:r w:rsidRPr="000D36C2">
        <w:rPr>
          <w:rFonts w:ascii="FrankRuehl" w:hAnsi="FrankRuehl" w:cs="FrankRuehl"/>
          <w:sz w:val="28"/>
          <w:szCs w:val="28"/>
          <w:rtl/>
        </w:rPr>
        <w:t>גילה לא רק קשיים לימוד</w:t>
      </w:r>
      <w:r w:rsidRPr="000D36C2">
        <w:rPr>
          <w:rFonts w:ascii="FrankRuehl" w:hAnsi="FrankRuehl" w:cs="FrankRuehl" w:hint="cs"/>
          <w:sz w:val="28"/>
          <w:szCs w:val="28"/>
          <w:rtl/>
        </w:rPr>
        <w:t>י</w:t>
      </w:r>
      <w:r w:rsidRPr="000D36C2">
        <w:rPr>
          <w:rFonts w:ascii="FrankRuehl" w:hAnsi="FrankRuehl" w:cs="FrankRuehl"/>
          <w:sz w:val="28"/>
          <w:szCs w:val="28"/>
          <w:rtl/>
        </w:rPr>
        <w:t xml:space="preserve">ים אלא </w:t>
      </w:r>
      <w:r w:rsidRPr="000D36C2">
        <w:rPr>
          <w:rFonts w:ascii="FrankRuehl" w:hAnsi="FrankRuehl" w:cs="FrankRuehl" w:hint="cs"/>
          <w:sz w:val="28"/>
          <w:szCs w:val="28"/>
          <w:rtl/>
        </w:rPr>
        <w:t xml:space="preserve">גם </w:t>
      </w:r>
      <w:r w:rsidRPr="000D36C2">
        <w:rPr>
          <w:rFonts w:ascii="FrankRuehl" w:hAnsi="FrankRuehl" w:cs="FrankRuehl"/>
          <w:sz w:val="28"/>
          <w:szCs w:val="28"/>
          <w:rtl/>
        </w:rPr>
        <w:t>התקשה במציאת מקום מגורים קבוע ובשמירה על רצף תעסוקתי</w:t>
      </w:r>
      <w:r w:rsidRPr="000D36C2">
        <w:rPr>
          <w:rFonts w:ascii="FrankRuehl" w:hAnsi="FrankRuehl" w:cs="FrankRuehl" w:hint="cs"/>
          <w:sz w:val="28"/>
          <w:szCs w:val="28"/>
          <w:rtl/>
        </w:rPr>
        <w:t>,</w:t>
      </w:r>
      <w:r w:rsidRPr="000D36C2">
        <w:rPr>
          <w:rFonts w:ascii="FrankRuehl" w:hAnsi="FrankRuehl" w:cs="FrankRuehl"/>
          <w:sz w:val="28"/>
          <w:szCs w:val="28"/>
          <w:rtl/>
        </w:rPr>
        <w:t xml:space="preserve"> </w:t>
      </w:r>
      <w:r w:rsidRPr="000D36C2">
        <w:rPr>
          <w:rFonts w:ascii="FrankRuehl" w:hAnsi="FrankRuehl" w:cs="FrankRuehl" w:hint="cs"/>
          <w:sz w:val="28"/>
          <w:szCs w:val="28"/>
          <w:rtl/>
        </w:rPr>
        <w:t>ניהל</w:t>
      </w:r>
      <w:r w:rsidRPr="000D36C2">
        <w:rPr>
          <w:rFonts w:ascii="FrankRuehl" w:hAnsi="FrankRuehl" w:cs="FrankRuehl"/>
          <w:sz w:val="28"/>
          <w:szCs w:val="28"/>
          <w:rtl/>
        </w:rPr>
        <w:t xml:space="preserve"> אורח חיים הישרדותי ומצא מענה לקשייו בקרב גורמים שוליים. לדבריו על רקע זה ביצע את העבירה וניכר כי התקשה לשקול לעומק את מעשיו והשלכותיהם. הנאשם התקשה לקחת אחריות מלאה בפני שירות המבחן על החזקת הסמים, כך גם בפני</w:t>
      </w:r>
      <w:r w:rsidRPr="000D36C2">
        <w:rPr>
          <w:rFonts w:ascii="FrankRuehl" w:hAnsi="FrankRuehl" w:cs="FrankRuehl" w:hint="cs"/>
          <w:sz w:val="28"/>
          <w:szCs w:val="28"/>
          <w:rtl/>
        </w:rPr>
        <w:t>י</w:t>
      </w:r>
      <w:r w:rsidRPr="000D36C2">
        <w:rPr>
          <w:rFonts w:ascii="FrankRuehl" w:hAnsi="FrankRuehl" w:cs="FrankRuehl"/>
          <w:sz w:val="28"/>
          <w:szCs w:val="28"/>
          <w:rtl/>
        </w:rPr>
        <w:t xml:space="preserve">. אך הוא ביטא צער וחרטה על בחירותיו. בהמשך לניסיון הנאשם להביא לשינוי באורח חייו, בשנת 2020 התגורר עם דודו ביבנה ועבד תקופה מסוימת בתחום התיווך ובהמשך בשנת 2022 נישא ועבר להתגורר בנתניה. בנוסף, החל לימודים במספר קורסים בתחום התחדשות עירונית משכנתאות ונדל"ן. </w:t>
      </w:r>
    </w:p>
    <w:p w14:paraId="73F54033"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Cs w:val="28"/>
          <w:rtl/>
        </w:rPr>
      </w:pPr>
      <w:r w:rsidRPr="000D36C2">
        <w:rPr>
          <w:rFonts w:ascii="FrankRuehl" w:hAnsi="FrankRuehl" w:cs="FrankRuehl"/>
          <w:sz w:val="28"/>
          <w:szCs w:val="28"/>
          <w:rtl/>
        </w:rPr>
        <w:t xml:space="preserve">הנאשם החל בעבודה כסוכן מכירות ברשת המרכז לעודפי חשמל, לשביעות רצון החברה ולקוחותיה. בניסיון לשכנע להימנע מהרשעה ביקשה </w:t>
      </w:r>
      <w:r w:rsidRPr="000D36C2">
        <w:rPr>
          <w:rFonts w:ascii="FrankRuehl" w:hAnsi="FrankRuehl" w:cs="FrankRuehl" w:hint="cs"/>
          <w:sz w:val="28"/>
          <w:szCs w:val="28"/>
          <w:rtl/>
        </w:rPr>
        <w:t xml:space="preserve">ההגנה </w:t>
      </w:r>
      <w:r w:rsidRPr="000D36C2">
        <w:rPr>
          <w:rFonts w:ascii="FrankRuehl" w:hAnsi="FrankRuehl" w:cs="FrankRuehl"/>
          <w:sz w:val="28"/>
          <w:szCs w:val="28"/>
          <w:rtl/>
        </w:rPr>
        <w:t>להסתמך על מסמך שנחזה להיות מטעמו של המעסיק (</w:t>
      </w:r>
      <w:r w:rsidRPr="000D36C2">
        <w:rPr>
          <w:rFonts w:ascii="Miriam" w:hAnsi="Miriam" w:cs="Miriam"/>
          <w:rtl/>
        </w:rPr>
        <w:t>טענ/2</w:t>
      </w:r>
      <w:r w:rsidRPr="000D36C2">
        <w:rPr>
          <w:rFonts w:ascii="FrankRuehl" w:hAnsi="FrankRuehl" w:cs="FrankRuehl"/>
          <w:sz w:val="28"/>
          <w:szCs w:val="28"/>
          <w:rtl/>
        </w:rPr>
        <w:t>)</w:t>
      </w:r>
      <w:r>
        <w:rPr>
          <w:rFonts w:ascii="FrankRuehl" w:hAnsi="FrankRuehl" w:cs="FrankRuehl" w:hint="cs"/>
          <w:sz w:val="28"/>
          <w:szCs w:val="28"/>
          <w:rtl/>
        </w:rPr>
        <w:t>.</w:t>
      </w:r>
      <w:r w:rsidRPr="000D36C2">
        <w:rPr>
          <w:rFonts w:ascii="FrankRuehl" w:hAnsi="FrankRuehl" w:cs="FrankRuehl"/>
          <w:sz w:val="28"/>
          <w:szCs w:val="28"/>
          <w:rtl/>
        </w:rPr>
        <w:t xml:space="preserve"> שם נכתב באופן לקוני כי הרשעה בדין עשויה לפגוע בפרנסתו של הנאשם ובהתפתחותו המקצועית. </w:t>
      </w:r>
      <w:r>
        <w:rPr>
          <w:rFonts w:ascii="FrankRuehl" w:hAnsi="FrankRuehl" w:cs="FrankRuehl" w:hint="cs"/>
          <w:sz w:val="28"/>
          <w:szCs w:val="28"/>
          <w:rtl/>
        </w:rPr>
        <w:t xml:space="preserve">אולם, </w:t>
      </w:r>
      <w:r w:rsidRPr="000D36C2">
        <w:rPr>
          <w:rFonts w:ascii="FrankRuehl" w:hAnsi="FrankRuehl" w:cs="FrankRuehl"/>
          <w:sz w:val="28"/>
          <w:szCs w:val="28"/>
          <w:rtl/>
        </w:rPr>
        <w:t xml:space="preserve">המסמך אינו חתום ואינו נושא תאריך. </w:t>
      </w:r>
      <w:r w:rsidRPr="000D36C2">
        <w:rPr>
          <w:rFonts w:ascii="FrankRuehl" w:hAnsi="FrankRuehl" w:cs="FrankRuehl" w:hint="cs"/>
          <w:sz w:val="28"/>
          <w:szCs w:val="28"/>
          <w:rtl/>
        </w:rPr>
        <w:t xml:space="preserve">בניגוד למצופה, </w:t>
      </w:r>
      <w:r w:rsidRPr="000D36C2">
        <w:rPr>
          <w:rFonts w:ascii="FrankRuehl" w:hAnsi="FrankRuehl" w:cs="FrankRuehl"/>
          <w:sz w:val="28"/>
          <w:szCs w:val="28"/>
          <w:rtl/>
        </w:rPr>
        <w:t xml:space="preserve">הפגמים לא רופאו במלואם גם לאחר </w:t>
      </w:r>
      <w:r w:rsidRPr="000D36C2">
        <w:rPr>
          <w:rFonts w:ascii="FrankRuehl" w:hAnsi="FrankRuehl" w:cs="FrankRuehl" w:hint="cs"/>
          <w:sz w:val="28"/>
          <w:szCs w:val="28"/>
          <w:rtl/>
        </w:rPr>
        <w:t xml:space="preserve">שנשמעו </w:t>
      </w:r>
      <w:r w:rsidRPr="000D36C2">
        <w:rPr>
          <w:rFonts w:ascii="FrankRuehl" w:hAnsi="FrankRuehl" w:cs="FrankRuehl"/>
          <w:sz w:val="28"/>
          <w:szCs w:val="28"/>
          <w:rtl/>
        </w:rPr>
        <w:t xml:space="preserve">הערות בית המשפט בעניין זה. </w:t>
      </w:r>
      <w:r w:rsidRPr="000D36C2">
        <w:rPr>
          <w:rFonts w:ascii="FrankRuehl" w:hAnsi="FrankRuehl" w:cs="FrankRuehl" w:hint="cs"/>
          <w:sz w:val="28"/>
          <w:szCs w:val="28"/>
          <w:rtl/>
        </w:rPr>
        <w:t xml:space="preserve">המסמך שהוגש לאחר הטיעון </w:t>
      </w:r>
      <w:r w:rsidRPr="000D36C2">
        <w:rPr>
          <w:rFonts w:ascii="FrankRuehl" w:hAnsi="FrankRuehl" w:cs="FrankRuehl"/>
          <w:sz w:val="28"/>
          <w:szCs w:val="28"/>
          <w:rtl/>
        </w:rPr>
        <w:t xml:space="preserve">לעונש דרך נט המשפט, </w:t>
      </w:r>
      <w:r w:rsidRPr="000D36C2">
        <w:rPr>
          <w:rFonts w:ascii="FrankRuehl" w:hAnsi="FrankRuehl" w:cs="FrankRuehl" w:hint="cs"/>
          <w:sz w:val="28"/>
          <w:szCs w:val="28"/>
          <w:rtl/>
        </w:rPr>
        <w:t xml:space="preserve">אמנם </w:t>
      </w:r>
      <w:r w:rsidRPr="000D36C2">
        <w:rPr>
          <w:rFonts w:ascii="FrankRuehl" w:hAnsi="FrankRuehl" w:cs="FrankRuehl"/>
          <w:sz w:val="28"/>
          <w:szCs w:val="28"/>
          <w:rtl/>
        </w:rPr>
        <w:t xml:space="preserve">חתום אך על ידי גורם עלום שם שתפקידו </w:t>
      </w:r>
      <w:r w:rsidRPr="000D36C2">
        <w:rPr>
          <w:rFonts w:ascii="FrankRuehl" w:hAnsi="FrankRuehl" w:cs="FrankRuehl" w:hint="cs"/>
          <w:sz w:val="28"/>
          <w:szCs w:val="28"/>
          <w:rtl/>
        </w:rPr>
        <w:t xml:space="preserve">בחברה ומעמדו </w:t>
      </w:r>
      <w:r w:rsidRPr="000D36C2">
        <w:rPr>
          <w:rFonts w:ascii="FrankRuehl" w:hAnsi="FrankRuehl" w:cs="FrankRuehl"/>
          <w:sz w:val="28"/>
          <w:szCs w:val="28"/>
          <w:rtl/>
        </w:rPr>
        <w:t xml:space="preserve">לא נודע. </w:t>
      </w:r>
    </w:p>
    <w:p w14:paraId="22ACDD8A"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Cs w:val="28"/>
          <w:rtl/>
        </w:rPr>
      </w:pPr>
      <w:r w:rsidRPr="000D36C2">
        <w:rPr>
          <w:rFonts w:ascii="FrankRuehl" w:hAnsi="FrankRuehl" w:cs="FrankRuehl"/>
          <w:sz w:val="28"/>
          <w:szCs w:val="28"/>
          <w:rtl/>
        </w:rPr>
        <w:t xml:space="preserve">חשוב מכך וזה העיקר, כלל לא נהיר מדוע הרשעה תפגע במקום העבודה בעדר זיקה בין המעשה בגינו נותן את הדין לבין יכולותיו לעסוק בתחום החשמל או כנותן שירות ללקוחות החברה. גם העובדה שהחברה מודעת </w:t>
      </w:r>
      <w:r w:rsidRPr="000D36C2">
        <w:rPr>
          <w:rFonts w:ascii="FrankRuehl" w:hAnsi="FrankRuehl" w:cs="FrankRuehl" w:hint="cs"/>
          <w:sz w:val="28"/>
          <w:szCs w:val="28"/>
          <w:rtl/>
        </w:rPr>
        <w:t xml:space="preserve">לכאורה </w:t>
      </w:r>
      <w:r w:rsidRPr="000D36C2">
        <w:rPr>
          <w:rFonts w:ascii="FrankRuehl" w:hAnsi="FrankRuehl" w:cs="FrankRuehl"/>
          <w:sz w:val="28"/>
          <w:szCs w:val="28"/>
          <w:rtl/>
        </w:rPr>
        <w:t xml:space="preserve">לקיומו של הליך פלילי מתנהל ולא פעלה להשהות את הנאשם מעבודתו ולא הודיעה </w:t>
      </w:r>
      <w:r w:rsidRPr="000D36C2">
        <w:rPr>
          <w:rFonts w:ascii="FrankRuehl" w:hAnsi="FrankRuehl" w:cs="FrankRuehl" w:hint="cs"/>
          <w:sz w:val="28"/>
          <w:szCs w:val="28"/>
          <w:rtl/>
        </w:rPr>
        <w:t xml:space="preserve">לו </w:t>
      </w:r>
      <w:r w:rsidRPr="000D36C2">
        <w:rPr>
          <w:rFonts w:ascii="FrankRuehl" w:hAnsi="FrankRuehl" w:cs="FrankRuehl"/>
          <w:sz w:val="28"/>
          <w:szCs w:val="28"/>
          <w:rtl/>
        </w:rPr>
        <w:t>כי עומד בפני סכנת פיטורין</w:t>
      </w:r>
      <w:r w:rsidRPr="000D36C2">
        <w:rPr>
          <w:rFonts w:ascii="FrankRuehl" w:hAnsi="FrankRuehl" w:cs="FrankRuehl" w:hint="cs"/>
          <w:sz w:val="28"/>
          <w:szCs w:val="28"/>
          <w:rtl/>
        </w:rPr>
        <w:t xml:space="preserve"> באם חלילה יורשע בדין</w:t>
      </w:r>
      <w:r w:rsidRPr="000D36C2">
        <w:rPr>
          <w:rFonts w:ascii="FrankRuehl" w:hAnsi="FrankRuehl" w:cs="FrankRuehl"/>
          <w:sz w:val="28"/>
          <w:szCs w:val="28"/>
          <w:rtl/>
        </w:rPr>
        <w:t xml:space="preserve">, תומכת במסקנה שלפיה הרשעה לא תביא לפיטורין ולא תפגע בעבודתו. הרשעה בהחלט יכולה לפגוע בכבוד ובדימוי העצמי אך פגיעה זו אינהרנטית להליך הפלילי והיא נכונה לכל הנאשמים. </w:t>
      </w:r>
    </w:p>
    <w:p w14:paraId="5CBBB818"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cs="FrankRuehl"/>
          <w:sz w:val="28"/>
          <w:szCs w:val="28"/>
          <w:rtl/>
        </w:rPr>
        <w:t xml:space="preserve">באשר לתחום הנדל"ן. הנאשם החל </w:t>
      </w:r>
      <w:r w:rsidRPr="000D36C2">
        <w:rPr>
          <w:rFonts w:cs="FrankRuehl" w:hint="cs"/>
          <w:sz w:val="28"/>
          <w:szCs w:val="28"/>
          <w:rtl/>
        </w:rPr>
        <w:t xml:space="preserve">עוד </w:t>
      </w:r>
      <w:r w:rsidRPr="000D36C2">
        <w:rPr>
          <w:rFonts w:cs="FrankRuehl"/>
          <w:sz w:val="28"/>
          <w:szCs w:val="28"/>
          <w:rtl/>
        </w:rPr>
        <w:t xml:space="preserve">בשנת 2019 בלימודים </w:t>
      </w:r>
      <w:r w:rsidRPr="000D36C2">
        <w:rPr>
          <w:rFonts w:cs="FrankRuehl" w:hint="cs"/>
          <w:sz w:val="28"/>
          <w:szCs w:val="28"/>
          <w:rtl/>
        </w:rPr>
        <w:t xml:space="preserve">תעודה </w:t>
      </w:r>
      <w:r w:rsidRPr="000D36C2">
        <w:rPr>
          <w:rFonts w:cs="FrankRuehl"/>
          <w:sz w:val="28"/>
          <w:szCs w:val="28"/>
          <w:rtl/>
        </w:rPr>
        <w:t>מקוונים, ניתנה לו האפשרות להשתתף ב</w:t>
      </w:r>
      <w:r w:rsidRPr="000D36C2">
        <w:rPr>
          <w:rFonts w:cs="FrankRuehl" w:hint="cs"/>
          <w:sz w:val="28"/>
          <w:szCs w:val="28"/>
          <w:rtl/>
        </w:rPr>
        <w:t xml:space="preserve">שישה קורסים בתחומים שונים, בכל עת שיחפוץ ועד </w:t>
      </w:r>
      <w:r w:rsidRPr="000D36C2">
        <w:rPr>
          <w:rFonts w:cs="FrankRuehl"/>
          <w:sz w:val="28"/>
          <w:szCs w:val="28"/>
          <w:rtl/>
        </w:rPr>
        <w:t>לא יאוחר מעשור מיום רכישת המנוי ללימודים</w:t>
      </w:r>
      <w:r w:rsidRPr="000D36C2">
        <w:rPr>
          <w:rFonts w:cs="FrankRuehl" w:hint="cs"/>
          <w:sz w:val="28"/>
          <w:szCs w:val="28"/>
          <w:rtl/>
        </w:rPr>
        <w:t xml:space="preserve">. עד עתה למד הנאשם וסיים שלושה קורסים </w:t>
      </w:r>
      <w:r w:rsidRPr="000D36C2">
        <w:rPr>
          <w:rFonts w:cs="FrankRuehl"/>
          <w:sz w:val="28"/>
          <w:szCs w:val="28"/>
          <w:rtl/>
        </w:rPr>
        <w:t xml:space="preserve">בתחום ההתחדשות עירונית, ייעוץ משכנתאות ותיווך. </w:t>
      </w:r>
      <w:r w:rsidRPr="000D36C2">
        <w:rPr>
          <w:rFonts w:cs="FrankRuehl" w:hint="cs"/>
          <w:sz w:val="28"/>
          <w:szCs w:val="28"/>
          <w:rtl/>
        </w:rPr>
        <w:t xml:space="preserve">באשר לקורס התיווך </w:t>
      </w:r>
      <w:r>
        <w:rPr>
          <w:rFonts w:cs="FrankRuehl" w:hint="cs"/>
          <w:sz w:val="28"/>
          <w:szCs w:val="28"/>
          <w:rtl/>
        </w:rPr>
        <w:t>הוצגה תעודה לאחר הטיעון לעונש באמצעות נט המשפט</w:t>
      </w:r>
      <w:r w:rsidRPr="000D36C2">
        <w:rPr>
          <w:rFonts w:cs="FrankRuehl" w:hint="cs"/>
          <w:sz w:val="28"/>
          <w:szCs w:val="28"/>
          <w:rtl/>
        </w:rPr>
        <w:t xml:space="preserve">. </w:t>
      </w:r>
    </w:p>
    <w:p w14:paraId="28925D11"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Pr>
          <w:rFonts w:cs="FrankRuehl" w:hint="cs"/>
          <w:sz w:val="28"/>
          <w:szCs w:val="28"/>
          <w:rtl/>
        </w:rPr>
        <w:t>על אף ש</w:t>
      </w:r>
      <w:r>
        <w:rPr>
          <w:rFonts w:cs="FrankRuehl"/>
          <w:sz w:val="28"/>
          <w:szCs w:val="28"/>
          <w:rtl/>
        </w:rPr>
        <w:t xml:space="preserve">הנאשם לא </w:t>
      </w:r>
      <w:r>
        <w:rPr>
          <w:rFonts w:cs="FrankRuehl" w:hint="cs"/>
          <w:sz w:val="28"/>
          <w:szCs w:val="28"/>
          <w:rtl/>
        </w:rPr>
        <w:t xml:space="preserve">החזיק </w:t>
      </w:r>
      <w:r>
        <w:rPr>
          <w:rFonts w:cs="FrankRuehl"/>
          <w:sz w:val="28"/>
          <w:szCs w:val="28"/>
          <w:rtl/>
        </w:rPr>
        <w:t xml:space="preserve">רישיון תיווך במקרקעין וכעולה </w:t>
      </w:r>
      <w:r w:rsidRPr="00FC492B">
        <w:rPr>
          <w:rFonts w:cs="FrankRuehl"/>
          <w:sz w:val="28"/>
          <w:szCs w:val="28"/>
          <w:rtl/>
        </w:rPr>
        <w:t>מ</w:t>
      </w:r>
      <w:r w:rsidRPr="007345DE">
        <w:rPr>
          <w:rFonts w:ascii="Miriam" w:hAnsi="Miriam" w:cs="Miriam"/>
          <w:rtl/>
        </w:rPr>
        <w:t>טענ/1</w:t>
      </w:r>
      <w:r>
        <w:rPr>
          <w:rFonts w:cs="FrankRuehl"/>
          <w:sz w:val="28"/>
          <w:szCs w:val="28"/>
          <w:rtl/>
        </w:rPr>
        <w:t xml:space="preserve"> </w:t>
      </w:r>
      <w:r>
        <w:rPr>
          <w:rFonts w:cs="FrankRuehl" w:hint="cs"/>
          <w:sz w:val="28"/>
          <w:szCs w:val="28"/>
          <w:rtl/>
        </w:rPr>
        <w:t xml:space="preserve">ולדבריו, </w:t>
      </w:r>
      <w:r>
        <w:rPr>
          <w:rFonts w:cs="FrankRuehl"/>
          <w:sz w:val="28"/>
          <w:szCs w:val="28"/>
          <w:rtl/>
        </w:rPr>
        <w:t>הוא עבד משך כשנה כסוכן נדל"ן עצמאי בעיר יבנה</w:t>
      </w:r>
      <w:r>
        <w:rPr>
          <w:rFonts w:cs="FrankRuehl" w:hint="cs"/>
          <w:sz w:val="28"/>
          <w:szCs w:val="28"/>
          <w:rtl/>
        </w:rPr>
        <w:t>,</w:t>
      </w:r>
      <w:r>
        <w:rPr>
          <w:rFonts w:cs="FrankRuehl"/>
          <w:sz w:val="28"/>
          <w:szCs w:val="28"/>
          <w:rtl/>
        </w:rPr>
        <w:t xml:space="preserve"> </w:t>
      </w:r>
      <w:r>
        <w:rPr>
          <w:rFonts w:cs="FrankRuehl" w:hint="cs"/>
          <w:sz w:val="28"/>
          <w:szCs w:val="28"/>
          <w:rtl/>
        </w:rPr>
        <w:t>ו</w:t>
      </w:r>
      <w:r>
        <w:rPr>
          <w:rFonts w:cs="FrankRuehl"/>
          <w:sz w:val="28"/>
          <w:szCs w:val="28"/>
          <w:rtl/>
        </w:rPr>
        <w:t xml:space="preserve">עבודתו הופסקה משנודע על </w:t>
      </w:r>
      <w:r>
        <w:rPr>
          <w:rFonts w:cs="FrankRuehl" w:hint="cs"/>
          <w:sz w:val="28"/>
          <w:szCs w:val="28"/>
          <w:rtl/>
        </w:rPr>
        <w:t xml:space="preserve">דבר </w:t>
      </w:r>
      <w:r>
        <w:rPr>
          <w:rFonts w:cs="FrankRuehl"/>
          <w:sz w:val="28"/>
          <w:szCs w:val="28"/>
          <w:rtl/>
        </w:rPr>
        <w:t xml:space="preserve">קיומו של התיק הפלילי ועד להכרעה בו. גם כאן, המסמך אינו נושא תאריך ואינו עשיר בפרטים. </w:t>
      </w:r>
    </w:p>
    <w:p w14:paraId="120921AE"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cs="FrankRuehl"/>
          <w:sz w:val="28"/>
          <w:szCs w:val="28"/>
          <w:rtl/>
        </w:rPr>
        <w:t xml:space="preserve">גם בהתעלם מהקושי שמעורר תוכן </w:t>
      </w:r>
      <w:r w:rsidRPr="001B55A7">
        <w:rPr>
          <w:rFonts w:ascii="Miriam" w:hAnsi="Miriam" w:cs="Miriam" w:hint="cs"/>
          <w:rtl/>
        </w:rPr>
        <w:t>טענ/1</w:t>
      </w:r>
      <w:r>
        <w:rPr>
          <w:rFonts w:cs="FrankRuehl" w:hint="cs"/>
          <w:sz w:val="28"/>
          <w:szCs w:val="28"/>
          <w:rtl/>
        </w:rPr>
        <w:t xml:space="preserve"> </w:t>
      </w:r>
      <w:r w:rsidRPr="000D36C2">
        <w:rPr>
          <w:rFonts w:cs="FrankRuehl"/>
          <w:sz w:val="28"/>
          <w:szCs w:val="28"/>
          <w:rtl/>
        </w:rPr>
        <w:t xml:space="preserve">אל מול </w:t>
      </w:r>
      <w:hyperlink r:id="rId56" w:history="1">
        <w:r w:rsidR="009C68C4" w:rsidRPr="009C68C4">
          <w:rPr>
            <w:rFonts w:cs="FrankRuehl" w:hint="cs"/>
            <w:color w:val="0000FF"/>
            <w:sz w:val="28"/>
            <w:szCs w:val="28"/>
            <w:u w:val="single"/>
            <w:rtl/>
          </w:rPr>
          <w:t>חוק</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המתווכים</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במקרקעין</w:t>
        </w:r>
      </w:hyperlink>
      <w:r w:rsidRPr="000D36C2">
        <w:rPr>
          <w:rFonts w:cs="FrankRuehl"/>
          <w:sz w:val="28"/>
          <w:szCs w:val="28"/>
          <w:rtl/>
        </w:rPr>
        <w:t xml:space="preserve"> תשנ"ו–1996 (להלן: </w:t>
      </w:r>
      <w:r w:rsidRPr="000D36C2">
        <w:rPr>
          <w:rFonts w:ascii="Miriam" w:hAnsi="Miriam" w:cs="Miriam"/>
          <w:rtl/>
        </w:rPr>
        <w:t>חוק המתווכים</w:t>
      </w:r>
      <w:r w:rsidRPr="000D36C2">
        <w:rPr>
          <w:rFonts w:cs="FrankRuehl"/>
          <w:sz w:val="28"/>
          <w:szCs w:val="28"/>
          <w:rtl/>
        </w:rPr>
        <w:t>)</w:t>
      </w:r>
      <w:r w:rsidRPr="000D36C2">
        <w:rPr>
          <w:rFonts w:cs="FrankRuehl" w:hint="cs"/>
          <w:sz w:val="28"/>
          <w:szCs w:val="28"/>
          <w:rtl/>
        </w:rPr>
        <w:t>,</w:t>
      </w:r>
      <w:r w:rsidRPr="000D36C2">
        <w:rPr>
          <w:rFonts w:cs="FrankRuehl"/>
          <w:sz w:val="28"/>
          <w:szCs w:val="28"/>
          <w:rtl/>
        </w:rPr>
        <w:t xml:space="preserve"> הקובע כי אדם יעסוק בתיווך מקרקעין רק אם הוא בעל רישיון בתוקף ובהתאם להוראות החוק, הרי </w:t>
      </w:r>
      <w:r w:rsidRPr="000D36C2">
        <w:rPr>
          <w:rFonts w:cs="FrankRuehl" w:hint="cs"/>
          <w:sz w:val="28"/>
          <w:szCs w:val="28"/>
          <w:rtl/>
        </w:rPr>
        <w:t>הלכה למעשה ו</w:t>
      </w:r>
      <w:r w:rsidRPr="000D36C2">
        <w:rPr>
          <w:rFonts w:cs="FrankRuehl"/>
          <w:sz w:val="28"/>
          <w:szCs w:val="28"/>
          <w:rtl/>
        </w:rPr>
        <w:t xml:space="preserve">מזה כשלוש שנים הנאשם </w:t>
      </w:r>
      <w:r w:rsidRPr="000D36C2">
        <w:rPr>
          <w:rFonts w:cs="FrankRuehl" w:hint="cs"/>
          <w:sz w:val="28"/>
          <w:szCs w:val="28"/>
          <w:rtl/>
        </w:rPr>
        <w:t>זנח את תחום המקרקעין ו</w:t>
      </w:r>
      <w:r w:rsidRPr="000D36C2">
        <w:rPr>
          <w:rFonts w:cs="FrankRuehl"/>
          <w:sz w:val="28"/>
          <w:szCs w:val="28"/>
          <w:rtl/>
        </w:rPr>
        <w:t>עוסק בתחום אחר לחלוטין</w:t>
      </w:r>
      <w:r w:rsidRPr="000D36C2">
        <w:rPr>
          <w:rFonts w:cs="FrankRuehl" w:hint="cs"/>
          <w:sz w:val="28"/>
          <w:szCs w:val="28"/>
          <w:rtl/>
        </w:rPr>
        <w:t>,</w:t>
      </w:r>
      <w:r w:rsidRPr="000D36C2">
        <w:rPr>
          <w:rFonts w:cs="FrankRuehl"/>
          <w:sz w:val="28"/>
          <w:szCs w:val="28"/>
          <w:rtl/>
        </w:rPr>
        <w:t xml:space="preserve"> ו</w:t>
      </w:r>
      <w:r w:rsidRPr="000D36C2">
        <w:rPr>
          <w:rFonts w:cs="FrankRuehl" w:hint="cs"/>
          <w:sz w:val="28"/>
          <w:szCs w:val="28"/>
          <w:rtl/>
        </w:rPr>
        <w:t xml:space="preserve">בדרך זו </w:t>
      </w:r>
      <w:r w:rsidRPr="000D36C2">
        <w:rPr>
          <w:rFonts w:cs="FrankRuehl"/>
          <w:sz w:val="28"/>
          <w:szCs w:val="28"/>
          <w:rtl/>
        </w:rPr>
        <w:t xml:space="preserve">מפרנס את משפחתו ביושר ובכבוד. </w:t>
      </w:r>
    </w:p>
    <w:p w14:paraId="035DD526"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0D36C2">
        <w:rPr>
          <w:rFonts w:ascii="FrankRuehl" w:hAnsi="FrankRuehl" w:cs="FrankRuehl"/>
          <w:sz w:val="28"/>
          <w:szCs w:val="28"/>
          <w:rtl/>
        </w:rPr>
        <w:t>תפקודו התקין של הנאשם עד להסתבכותו בתיק הנוכחי, המאמצים שמרכז בתחום התעסוקתי והימנעות ממעורבות נוספת בפלילים</w:t>
      </w:r>
      <w:r w:rsidRPr="000D36C2">
        <w:rPr>
          <w:rFonts w:ascii="FrankRuehl" w:hAnsi="FrankRuehl" w:cs="FrankRuehl" w:hint="cs"/>
          <w:sz w:val="28"/>
          <w:szCs w:val="28"/>
          <w:rtl/>
        </w:rPr>
        <w:t>,</w:t>
      </w:r>
      <w:r w:rsidRPr="000D36C2">
        <w:rPr>
          <w:rFonts w:ascii="FrankRuehl" w:hAnsi="FrankRuehl" w:cs="FrankRuehl"/>
          <w:sz w:val="28"/>
          <w:szCs w:val="28"/>
          <w:rtl/>
        </w:rPr>
        <w:t xml:space="preserve"> כמו גם כוונותיו ושאיפותיו לעתיד</w:t>
      </w:r>
      <w:r w:rsidRPr="000D36C2">
        <w:rPr>
          <w:rFonts w:ascii="FrankRuehl" w:hAnsi="FrankRuehl" w:cs="FrankRuehl" w:hint="cs"/>
          <w:sz w:val="28"/>
          <w:szCs w:val="28"/>
          <w:rtl/>
        </w:rPr>
        <w:t xml:space="preserve">, </w:t>
      </w:r>
      <w:r w:rsidRPr="000D36C2">
        <w:rPr>
          <w:rFonts w:ascii="FrankRuehl" w:hAnsi="FrankRuehl" w:cs="FrankRuehl"/>
          <w:sz w:val="28"/>
          <w:szCs w:val="28"/>
          <w:rtl/>
        </w:rPr>
        <w:t>ראויים להערכה</w:t>
      </w:r>
      <w:r w:rsidRPr="000D36C2">
        <w:rPr>
          <w:rFonts w:ascii="FrankRuehl" w:hAnsi="FrankRuehl" w:cs="FrankRuehl" w:hint="cs"/>
          <w:sz w:val="28"/>
          <w:szCs w:val="28"/>
          <w:rtl/>
        </w:rPr>
        <w:t>. זאת</w:t>
      </w:r>
      <w:r w:rsidRPr="000D36C2">
        <w:rPr>
          <w:rFonts w:ascii="FrankRuehl" w:hAnsi="FrankRuehl" w:cs="FrankRuehl"/>
          <w:sz w:val="28"/>
          <w:szCs w:val="28"/>
          <w:rtl/>
        </w:rPr>
        <w:t xml:space="preserve"> בפרט כשמביאים בחשבון את נתוניו האישיים וההתמודדות משך שנים ללא גורמי תמיכה. </w:t>
      </w:r>
      <w:r w:rsidRPr="000D36C2">
        <w:rPr>
          <w:rFonts w:cs="FrankRuehl" w:hint="cs"/>
          <w:sz w:val="28"/>
          <w:szCs w:val="28"/>
          <w:rtl/>
        </w:rPr>
        <w:t>אך נראה כי הדרך עוד ארוכה ומ</w:t>
      </w:r>
      <w:r w:rsidRPr="000D36C2">
        <w:rPr>
          <w:rFonts w:cs="FrankRuehl"/>
          <w:sz w:val="28"/>
          <w:szCs w:val="28"/>
          <w:rtl/>
        </w:rPr>
        <w:t xml:space="preserve">פותלת ובעיקר אינה וודאית. </w:t>
      </w:r>
    </w:p>
    <w:p w14:paraId="41C6CA7A"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cs="FrankRuehl"/>
          <w:sz w:val="28"/>
          <w:szCs w:val="28"/>
          <w:rtl/>
        </w:rPr>
        <w:t>בבחינת למעלה מן הדרוש גם אם יורשע הנאשם בדין עדיין נתונה לרשות המנהלית שיקול הדעת האם להעניק ל</w:t>
      </w:r>
      <w:r w:rsidRPr="000D36C2">
        <w:rPr>
          <w:rFonts w:cs="FrankRuehl" w:hint="cs"/>
          <w:sz w:val="28"/>
          <w:szCs w:val="28"/>
          <w:rtl/>
        </w:rPr>
        <w:t xml:space="preserve">ו </w:t>
      </w:r>
      <w:r w:rsidRPr="000D36C2">
        <w:rPr>
          <w:rFonts w:cs="FrankRuehl"/>
          <w:sz w:val="28"/>
          <w:szCs w:val="28"/>
          <w:rtl/>
        </w:rPr>
        <w:t xml:space="preserve">רישיון תיווך וזאת בהתאם ללשון </w:t>
      </w:r>
      <w:hyperlink r:id="rId57" w:history="1">
        <w:r w:rsidR="00AF3618" w:rsidRPr="00AF3618">
          <w:rPr>
            <w:rStyle w:val="Hyperlink"/>
            <w:rFonts w:ascii="Miriam" w:hAnsi="Miriam" w:cs="Miriam"/>
            <w:rtl/>
          </w:rPr>
          <w:t>סעיף 5(א)(4)</w:t>
        </w:r>
      </w:hyperlink>
      <w:r w:rsidRPr="000D36C2">
        <w:rPr>
          <w:rFonts w:ascii="Miriam" w:hAnsi="Miriam" w:cs="Miriam"/>
          <w:rtl/>
        </w:rPr>
        <w:t xml:space="preserve"> לחוק המתווכים</w:t>
      </w:r>
      <w:r w:rsidRPr="000D36C2">
        <w:rPr>
          <w:rFonts w:cs="FrankRuehl"/>
          <w:sz w:val="28"/>
          <w:szCs w:val="28"/>
          <w:rtl/>
        </w:rPr>
        <w:t>. כך גם נקבע ב</w:t>
      </w:r>
      <w:hyperlink r:id="rId58" w:history="1">
        <w:r w:rsidR="009C68C4" w:rsidRPr="009C68C4">
          <w:rPr>
            <w:rFonts w:cs="FrankRuehl" w:hint="cs"/>
            <w:color w:val="0000FF"/>
            <w:sz w:val="28"/>
            <w:szCs w:val="28"/>
            <w:u w:val="single"/>
            <w:rtl/>
          </w:rPr>
          <w:t>רע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3224/19</w:t>
        </w:r>
      </w:hyperlink>
      <w:r w:rsidRPr="000D36C2">
        <w:rPr>
          <w:rFonts w:ascii="Miriam" w:hAnsi="Miriam" w:cs="Miriam"/>
          <w:rtl/>
        </w:rPr>
        <w:t xml:space="preserve"> אביב נ' מדינת ישראל</w:t>
      </w:r>
      <w:r w:rsidRPr="000D36C2">
        <w:rPr>
          <w:rFonts w:cs="FrankRuehl"/>
          <w:sz w:val="28"/>
          <w:szCs w:val="28"/>
          <w:rtl/>
        </w:rPr>
        <w:t xml:space="preserve"> (28.5.2019)</w:t>
      </w:r>
      <w:r w:rsidRPr="000D36C2">
        <w:rPr>
          <w:rFonts w:cs="FrankRuehl" w:hint="cs"/>
          <w:sz w:val="28"/>
          <w:szCs w:val="28"/>
          <w:rtl/>
        </w:rPr>
        <w:t>,</w:t>
      </w:r>
      <w:r w:rsidRPr="000D36C2">
        <w:rPr>
          <w:rFonts w:cs="FrankRuehl"/>
          <w:sz w:val="28"/>
          <w:szCs w:val="28"/>
          <w:rtl/>
        </w:rPr>
        <w:t xml:space="preserve"> שדן בנאשם שהורשע בעבירות איומים, תקיפה סתם, החזקת סמים והתנהגות פרועה במקום ציבורי. הנאשם עבר את מבחני ההסמכה לתיווך במקרקעין ועמד לפני הגשת הבקשה לקבל רישיון תיווך. בית המשפט העליון חזר על ההלכות הידועות בסוגיית אי הרשעה וקבע כי במקרה זה לא הוכח נזק קונקרטי</w:t>
      </w:r>
      <w:r w:rsidRPr="000D36C2">
        <w:rPr>
          <w:rFonts w:cs="FrankRuehl" w:hint="cs"/>
          <w:sz w:val="28"/>
          <w:szCs w:val="28"/>
          <w:rtl/>
        </w:rPr>
        <w:t xml:space="preserve">, </w:t>
      </w:r>
      <w:r w:rsidRPr="000D36C2">
        <w:rPr>
          <w:rFonts w:cs="FrankRuehl"/>
          <w:sz w:val="28"/>
          <w:szCs w:val="28"/>
          <w:rtl/>
        </w:rPr>
        <w:t>קל וחומר בעניינ</w:t>
      </w:r>
      <w:r w:rsidRPr="000D36C2">
        <w:rPr>
          <w:rFonts w:cs="FrankRuehl" w:hint="cs"/>
          <w:sz w:val="28"/>
          <w:szCs w:val="28"/>
          <w:rtl/>
        </w:rPr>
        <w:t>י</w:t>
      </w:r>
      <w:r w:rsidRPr="000D36C2">
        <w:rPr>
          <w:rFonts w:cs="FrankRuehl"/>
          <w:sz w:val="28"/>
          <w:szCs w:val="28"/>
          <w:rtl/>
        </w:rPr>
        <w:t xml:space="preserve">נו. </w:t>
      </w:r>
    </w:p>
    <w:p w14:paraId="02528297"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cs="FrankRuehl"/>
          <w:sz w:val="28"/>
          <w:szCs w:val="28"/>
          <w:rtl/>
        </w:rPr>
        <w:t xml:space="preserve">יתר </w:t>
      </w:r>
      <w:r w:rsidRPr="000D36C2">
        <w:rPr>
          <w:rFonts w:cs="FrankRuehl" w:hint="cs"/>
          <w:sz w:val="28"/>
          <w:szCs w:val="28"/>
          <w:rtl/>
        </w:rPr>
        <w:t xml:space="preserve">על כן, </w:t>
      </w:r>
      <w:r w:rsidRPr="000D36C2">
        <w:rPr>
          <w:rFonts w:cs="FrankRuehl"/>
          <w:sz w:val="28"/>
          <w:szCs w:val="28"/>
          <w:rtl/>
        </w:rPr>
        <w:t>ביטול הרש</w:t>
      </w:r>
      <w:r w:rsidRPr="000D36C2">
        <w:rPr>
          <w:rFonts w:cs="FrankRuehl" w:hint="cs"/>
          <w:sz w:val="28"/>
          <w:szCs w:val="28"/>
          <w:rtl/>
        </w:rPr>
        <w:t>ע</w:t>
      </w:r>
      <w:r w:rsidRPr="000D36C2">
        <w:rPr>
          <w:rFonts w:cs="FrankRuehl"/>
          <w:sz w:val="28"/>
          <w:szCs w:val="28"/>
          <w:rtl/>
        </w:rPr>
        <w:t xml:space="preserve">ה יאיין את התכלית שבבסיס הוראות חוק המתווכים המאפשרת לרשויות להחליט האם ראוי שהרשעה בפלילים, תהיה העבירה אשר תהיה, תמנע מאדם לעסוק בתחום המקרקעין. </w:t>
      </w:r>
    </w:p>
    <w:p w14:paraId="32688D49"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Pr>
      </w:pPr>
      <w:r w:rsidRPr="000D36C2">
        <w:rPr>
          <w:rFonts w:cs="FrankRuehl" w:hint="cs"/>
          <w:sz w:val="28"/>
          <w:szCs w:val="28"/>
          <w:rtl/>
        </w:rPr>
        <w:t xml:space="preserve">כך או כך </w:t>
      </w:r>
      <w:r w:rsidRPr="000D36C2">
        <w:rPr>
          <w:rFonts w:cs="FrankRuehl"/>
          <w:sz w:val="28"/>
          <w:szCs w:val="28"/>
          <w:rtl/>
        </w:rPr>
        <w:t>הנאשם כיום אינו עוסק כלל בתיווך מקרקעין אלא כסוכן מכירות במרכז לעודפי חשמל</w:t>
      </w:r>
      <w:r w:rsidRPr="000D36C2">
        <w:rPr>
          <w:rFonts w:cs="FrankRuehl" w:hint="cs"/>
          <w:sz w:val="28"/>
          <w:szCs w:val="28"/>
          <w:rtl/>
        </w:rPr>
        <w:t>,</w:t>
      </w:r>
      <w:r w:rsidRPr="000D36C2">
        <w:rPr>
          <w:rFonts w:cs="FrankRuehl"/>
          <w:sz w:val="28"/>
          <w:szCs w:val="28"/>
          <w:rtl/>
        </w:rPr>
        <w:t xml:space="preserve"> ומהמכתב שנשלח מטעם מעסיקו לא עולה כי יפוטר מעבודתו באם יורשע בדין. </w:t>
      </w:r>
      <w:r w:rsidRPr="000D36C2">
        <w:rPr>
          <w:rFonts w:cs="FrankRuehl" w:hint="cs"/>
          <w:sz w:val="28"/>
          <w:szCs w:val="28"/>
          <w:rtl/>
        </w:rPr>
        <w:t xml:space="preserve">מכאן שהנאשם לא הצביע על פגיעה קשה וקונקרטית באם יורשע בדין להבדיל מהקביעה כי ביצע את העבירה ועניינו אינו עובר את המשוכה הקבועה בתנאי השני. </w:t>
      </w:r>
    </w:p>
    <w:p w14:paraId="7000E65C"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cs="FrankRuehl"/>
          <w:sz w:val="28"/>
          <w:szCs w:val="28"/>
          <w:rtl/>
        </w:rPr>
      </w:pPr>
      <w:r w:rsidRPr="000D36C2">
        <w:rPr>
          <w:rFonts w:ascii="FrankRuehl" w:hAnsi="FrankRuehl" w:cs="FrankRuehl" w:hint="cs"/>
          <w:sz w:val="28"/>
          <w:szCs w:val="28"/>
          <w:rtl/>
        </w:rPr>
        <w:t xml:space="preserve">לא זו אף זו, </w:t>
      </w:r>
      <w:r w:rsidRPr="000D36C2">
        <w:rPr>
          <w:rFonts w:ascii="FrankRuehl" w:hAnsi="FrankRuehl" w:cs="FrankRuehl"/>
          <w:sz w:val="28"/>
          <w:szCs w:val="28"/>
          <w:rtl/>
        </w:rPr>
        <w:t>הנאשם לא השתלב בטיפול ולא עבר הליך שיקומי מרשים או יוצא דופן המצדיק כעת</w:t>
      </w:r>
      <w:r w:rsidRPr="000D36C2">
        <w:rPr>
          <w:rFonts w:cs="FrankRuehl"/>
          <w:szCs w:val="28"/>
          <w:rtl/>
        </w:rPr>
        <w:t xml:space="preserve">ירת ההגנה או הימנעות מהרשעה. </w:t>
      </w:r>
      <w:r w:rsidRPr="000D36C2">
        <w:rPr>
          <w:rFonts w:ascii="FrankRuehl" w:hAnsi="FrankRuehl" w:cs="FrankRuehl"/>
          <w:sz w:val="28"/>
          <w:szCs w:val="28"/>
          <w:rtl/>
        </w:rPr>
        <w:t>בהקשר זה, כלל לא ברור האם הנאשם נזקק לטיפול, שכן שירות המבחן מצא כי הוא אינו מאופיין בדפוסים עבריינ</w:t>
      </w:r>
      <w:r w:rsidRPr="000D36C2">
        <w:rPr>
          <w:rFonts w:ascii="FrankRuehl" w:hAnsi="FrankRuehl" w:cs="FrankRuehl" w:hint="cs"/>
          <w:sz w:val="28"/>
          <w:szCs w:val="28"/>
          <w:rtl/>
        </w:rPr>
        <w:t>י</w:t>
      </w:r>
      <w:r w:rsidRPr="000D36C2">
        <w:rPr>
          <w:rFonts w:ascii="FrankRuehl" w:hAnsi="FrankRuehl" w:cs="FrankRuehl"/>
          <w:sz w:val="28"/>
          <w:szCs w:val="28"/>
          <w:rtl/>
        </w:rPr>
        <w:t xml:space="preserve">ים מושרשים ואף אין </w:t>
      </w:r>
      <w:r w:rsidRPr="000D36C2">
        <w:rPr>
          <w:rFonts w:ascii="FrankRuehl" w:hAnsi="FrankRuehl" w:cs="FrankRuehl" w:hint="cs"/>
          <w:sz w:val="28"/>
          <w:szCs w:val="28"/>
          <w:rtl/>
        </w:rPr>
        <w:t>אינדיקציה ל</w:t>
      </w:r>
      <w:r w:rsidRPr="000D36C2">
        <w:rPr>
          <w:rFonts w:ascii="FrankRuehl" w:hAnsi="FrankRuehl" w:cs="FrankRuehl"/>
          <w:sz w:val="28"/>
          <w:szCs w:val="28"/>
          <w:rtl/>
        </w:rPr>
        <w:t>נזקקות בתחום ההתמכרויות. וממילא שירות המבחן ספק</w:t>
      </w:r>
      <w:r w:rsidRPr="000D36C2">
        <w:rPr>
          <w:rFonts w:ascii="FrankRuehl" w:hAnsi="FrankRuehl" w:cs="FrankRuehl" w:hint="cs"/>
          <w:sz w:val="28"/>
          <w:szCs w:val="28"/>
          <w:rtl/>
        </w:rPr>
        <w:t>ן</w:t>
      </w:r>
      <w:r w:rsidRPr="000D36C2">
        <w:rPr>
          <w:rFonts w:ascii="FrankRuehl" w:hAnsi="FrankRuehl" w:cs="FrankRuehl"/>
          <w:sz w:val="28"/>
          <w:szCs w:val="28"/>
          <w:rtl/>
        </w:rPr>
        <w:t xml:space="preserve"> באשר ליכול</w:t>
      </w:r>
      <w:r w:rsidRPr="000D36C2">
        <w:rPr>
          <w:rFonts w:ascii="FrankRuehl" w:hAnsi="FrankRuehl" w:cs="FrankRuehl" w:hint="cs"/>
          <w:sz w:val="28"/>
          <w:szCs w:val="28"/>
          <w:rtl/>
        </w:rPr>
        <w:t>ת</w:t>
      </w:r>
      <w:r w:rsidRPr="000D36C2">
        <w:rPr>
          <w:rFonts w:ascii="FrankRuehl" w:hAnsi="FrankRuehl" w:cs="FrankRuehl"/>
          <w:sz w:val="28"/>
          <w:szCs w:val="28"/>
          <w:rtl/>
        </w:rPr>
        <w:t xml:space="preserve"> הנאשם לפנות לעזרת הרווחה במצבי דחק ומשבר.    </w:t>
      </w:r>
    </w:p>
    <w:p w14:paraId="6D925B25"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ascii="FrankRuehl" w:hAnsi="FrankRuehl" w:cs="FrankRuehl"/>
          <w:sz w:val="28"/>
          <w:szCs w:val="28"/>
          <w:rtl/>
        </w:rPr>
        <w:t>מכאן ועל אף שתסקיר המבחן הוא בעל אלמנטים חיוביים</w:t>
      </w:r>
      <w:r w:rsidRPr="000D36C2">
        <w:rPr>
          <w:rFonts w:ascii="FrankRuehl" w:hAnsi="FrankRuehl" w:cs="FrankRuehl" w:hint="cs"/>
          <w:sz w:val="28"/>
          <w:szCs w:val="28"/>
          <w:rtl/>
        </w:rPr>
        <w:t>,</w:t>
      </w:r>
      <w:r w:rsidRPr="000D36C2">
        <w:rPr>
          <w:rFonts w:ascii="FrankRuehl" w:hAnsi="FrankRuehl" w:cs="FrankRuehl"/>
          <w:sz w:val="28"/>
          <w:szCs w:val="28"/>
          <w:rtl/>
        </w:rPr>
        <w:t xml:space="preserve"> ניכר כי השיקול המרכזי</w:t>
      </w:r>
      <w:r w:rsidRPr="000D36C2">
        <w:rPr>
          <w:rFonts w:ascii="FrankRuehl" w:hAnsi="FrankRuehl" w:cs="FrankRuehl" w:hint="cs"/>
          <w:sz w:val="28"/>
          <w:szCs w:val="28"/>
          <w:rtl/>
        </w:rPr>
        <w:t>,</w:t>
      </w:r>
      <w:r w:rsidRPr="000D36C2">
        <w:rPr>
          <w:rFonts w:ascii="FrankRuehl" w:hAnsi="FrankRuehl" w:cs="FrankRuehl"/>
          <w:sz w:val="28"/>
          <w:szCs w:val="28"/>
          <w:rtl/>
        </w:rPr>
        <w:t xml:space="preserve"> שלא לומר הבלעדי</w:t>
      </w:r>
      <w:r w:rsidRPr="000D36C2">
        <w:rPr>
          <w:rFonts w:ascii="FrankRuehl" w:hAnsi="FrankRuehl" w:cs="FrankRuehl" w:hint="cs"/>
          <w:sz w:val="28"/>
          <w:szCs w:val="28"/>
          <w:rtl/>
        </w:rPr>
        <w:t>,</w:t>
      </w:r>
      <w:r w:rsidRPr="000D36C2">
        <w:rPr>
          <w:rFonts w:ascii="FrankRuehl" w:hAnsi="FrankRuehl" w:cs="FrankRuehl"/>
          <w:sz w:val="28"/>
          <w:szCs w:val="28"/>
          <w:rtl/>
        </w:rPr>
        <w:t xml:space="preserve"> שעמד לנגד עיני שירות המבחן בהמלצתו להימנע מהרשעה הוא היות הנאשם בחור צעיר נעדר הרשעות קודמות. שיקולים אלו כשלעצמם נשקלים בגזירת הדין ופועלים לזכות הנאשם</w:t>
      </w:r>
      <w:r w:rsidRPr="000D36C2">
        <w:rPr>
          <w:rFonts w:ascii="FrankRuehl" w:hAnsi="FrankRuehl" w:cs="FrankRuehl" w:hint="cs"/>
          <w:sz w:val="28"/>
          <w:szCs w:val="28"/>
          <w:rtl/>
        </w:rPr>
        <w:t>,</w:t>
      </w:r>
      <w:r w:rsidRPr="000D36C2">
        <w:rPr>
          <w:rFonts w:ascii="FrankRuehl" w:hAnsi="FrankRuehl" w:cs="FrankRuehl"/>
          <w:sz w:val="28"/>
          <w:szCs w:val="28"/>
          <w:rtl/>
        </w:rPr>
        <w:t xml:space="preserve"> אך הם אינם מצדיקים ביטול הרשעה. נזכיר כי במלחמה במערכת הפצת הסם יש לתת משקל בכורה לעיקרון ההלימה ולשיקולים של הגנה על האינטרס הציבורי ומשקל מועט לנסיבותיו האישיות של הנאשם (ראו מיני רבים, עניין </w:t>
      </w:r>
      <w:r w:rsidRPr="000D36C2">
        <w:rPr>
          <w:rFonts w:ascii="Miriam" w:hAnsi="Miriam" w:cs="Miriam"/>
          <w:rtl/>
        </w:rPr>
        <w:t>יוסי כהן</w:t>
      </w:r>
      <w:r w:rsidRPr="000D36C2">
        <w:rPr>
          <w:rFonts w:ascii="FrankRuehl" w:hAnsi="FrankRuehl" w:cs="FrankRuehl"/>
          <w:sz w:val="28"/>
          <w:szCs w:val="28"/>
          <w:rtl/>
        </w:rPr>
        <w:t xml:space="preserve">; </w:t>
      </w:r>
      <w:hyperlink r:id="rId59" w:history="1">
        <w:r w:rsidR="009C68C4" w:rsidRPr="009C68C4">
          <w:rPr>
            <w:rFonts w:ascii="FrankRuehl" w:hAnsi="FrankRuehl" w:cs="FrankRuehl"/>
            <w:color w:val="0000FF"/>
            <w:sz w:val="28"/>
            <w:szCs w:val="28"/>
            <w:u w:val="single"/>
            <w:rtl/>
          </w:rPr>
          <w:t>ע"פ 2194/14</w:t>
        </w:r>
      </w:hyperlink>
      <w:r w:rsidRPr="000D36C2">
        <w:rPr>
          <w:rFonts w:ascii="FrankRuehl" w:hAnsi="FrankRuehl" w:cs="FrankRuehl"/>
          <w:sz w:val="28"/>
          <w:szCs w:val="28"/>
          <w:rtl/>
        </w:rPr>
        <w:t xml:space="preserve"> </w:t>
      </w:r>
      <w:r w:rsidRPr="000D36C2">
        <w:rPr>
          <w:rFonts w:ascii="Miriam" w:hAnsi="Miriam" w:cs="Miriam"/>
          <w:rtl/>
        </w:rPr>
        <w:t>בן שמעון נ' מדינת ישראל</w:t>
      </w:r>
      <w:r w:rsidRPr="000D36C2">
        <w:rPr>
          <w:rFonts w:ascii="FrankRuehl" w:hAnsi="FrankRuehl" w:cs="FrankRuehl"/>
          <w:sz w:val="28"/>
          <w:szCs w:val="28"/>
          <w:rtl/>
        </w:rPr>
        <w:t xml:space="preserve"> (10.9.2014)).  </w:t>
      </w:r>
    </w:p>
    <w:p w14:paraId="22BF80DF" w14:textId="77777777" w:rsidR="00CD3D65" w:rsidRPr="00465AD7"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ascii="Corbel" w:hAnsi="Corbel" w:cs="FrankRuehl"/>
          <w:sz w:val="28"/>
          <w:szCs w:val="28"/>
          <w:rtl/>
        </w:rPr>
        <w:t>בסופו של דבר, המלצתו של שירות המבחן לעניין ביטול ההרשעה אינה הולמת את נסיבות המעשה והעושה. ו</w:t>
      </w:r>
      <w:r>
        <w:rPr>
          <w:rFonts w:ascii="David" w:hAnsi="David" w:cs="FrankRuehl"/>
          <w:sz w:val="28"/>
          <w:szCs w:val="28"/>
          <w:rtl/>
        </w:rPr>
        <w:t>למותר לציין כי השיקולים לאורם פועל שירות המבחן במלאכת גיבוש המלצותיו אינם בהכרח חופפים באופן מלא למגוון השיקולים שבית המשפט נדרש לאזן ביניהם בגזירת העונש</w:t>
      </w:r>
      <w:r>
        <w:rPr>
          <w:rFonts w:ascii="Corbel" w:hAnsi="Corbel" w:cs="FrankRuehl"/>
          <w:sz w:val="28"/>
          <w:szCs w:val="28"/>
          <w:rtl/>
        </w:rPr>
        <w:t>.  המלצת שירות המבחן כשמה כן היא – המלצה</w:t>
      </w:r>
      <w:r>
        <w:rPr>
          <w:rFonts w:ascii="Corbel" w:hAnsi="Corbel" w:cs="FrankRuehl" w:hint="cs"/>
          <w:sz w:val="28"/>
          <w:szCs w:val="28"/>
          <w:rtl/>
        </w:rPr>
        <w:t>,</w:t>
      </w:r>
      <w:r>
        <w:rPr>
          <w:rFonts w:ascii="Corbel" w:hAnsi="Corbel" w:cs="FrankRuehl"/>
          <w:sz w:val="28"/>
          <w:szCs w:val="28"/>
          <w:rtl/>
        </w:rPr>
        <w:t xml:space="preserve"> ואין באמור בה לכבול את ידי בית המשפט (</w:t>
      </w:r>
      <w:r>
        <w:rPr>
          <w:rFonts w:ascii="David" w:hAnsi="David" w:cs="FrankRuehl"/>
          <w:sz w:val="28"/>
          <w:szCs w:val="28"/>
          <w:rtl/>
        </w:rPr>
        <w:t xml:space="preserve">ראו: </w:t>
      </w:r>
      <w:hyperlink r:id="rId60" w:history="1">
        <w:r w:rsidR="009C68C4" w:rsidRPr="009C68C4">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Miriam" w:hAnsi="Miriam" w:cs="Miriam"/>
          <w:rtl/>
        </w:rPr>
        <w:t>ימיני נ' מדינת ישראל</w:t>
      </w:r>
      <w:r>
        <w:rPr>
          <w:rFonts w:ascii="David" w:hAnsi="David" w:cs="FrankRuehl"/>
          <w:sz w:val="28"/>
          <w:szCs w:val="28"/>
          <w:rtl/>
        </w:rPr>
        <w:t xml:space="preserve">, פסקה 11 (16.3.2016); </w:t>
      </w:r>
      <w:hyperlink r:id="rId61" w:history="1">
        <w:r w:rsidR="009C68C4" w:rsidRPr="009C68C4">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Miriam" w:hAnsi="Miriam" w:cs="Miriam"/>
          <w:rtl/>
        </w:rPr>
        <w:t>מיארה נ' מדינת ישראל</w:t>
      </w:r>
      <w:r>
        <w:rPr>
          <w:rFonts w:ascii="David" w:hAnsi="David" w:cs="Miriam"/>
          <w:rtl/>
        </w:rPr>
        <w:t>,</w:t>
      </w:r>
      <w:r>
        <w:rPr>
          <w:rFonts w:ascii="David" w:hAnsi="David" w:cs="FrankRuehl"/>
          <w:sz w:val="28"/>
          <w:szCs w:val="28"/>
          <w:rtl/>
        </w:rPr>
        <w:t xml:space="preserve"> פסקה 6 (9.12.2004); </w:t>
      </w:r>
      <w:hyperlink r:id="rId62" w:history="1">
        <w:r w:rsidR="009C68C4" w:rsidRPr="009C68C4">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Miriam" w:hAnsi="Miriam" w:cs="Miriam"/>
          <w:rtl/>
        </w:rPr>
        <w:t>איבגי נ' מדינת ישראל</w:t>
      </w:r>
      <w:r>
        <w:rPr>
          <w:rFonts w:ascii="David" w:hAnsi="David" w:cs="FrankRuehl"/>
          <w:sz w:val="28"/>
          <w:szCs w:val="28"/>
          <w:rtl/>
        </w:rPr>
        <w:t xml:space="preserve"> (27.7.2004); </w:t>
      </w:r>
      <w:hyperlink r:id="rId63" w:history="1">
        <w:r w:rsidR="009C68C4" w:rsidRPr="009C68C4">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Miriam" w:hAnsi="Miriam" w:cs="Miriam"/>
          <w:rtl/>
        </w:rPr>
        <w:t>פלוני נ' מדינת ישראל</w:t>
      </w:r>
      <w:r>
        <w:rPr>
          <w:rFonts w:ascii="David" w:hAnsi="David" w:cs="FrankRuehl"/>
          <w:sz w:val="28"/>
          <w:szCs w:val="28"/>
          <w:rtl/>
        </w:rPr>
        <w:t xml:space="preserve">, פסקה 13 (14.11.2018); </w:t>
      </w:r>
      <w:hyperlink r:id="rId64" w:history="1">
        <w:r w:rsidR="009C68C4" w:rsidRPr="009C68C4">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David" w:hAnsi="David" w:cs="Miriam"/>
          <w:rtl/>
        </w:rPr>
        <w:t>עווד נ' מדינת ישראל</w:t>
      </w:r>
      <w:r>
        <w:rPr>
          <w:rFonts w:ascii="David" w:hAnsi="David" w:cs="FrankRuehl"/>
          <w:sz w:val="28"/>
          <w:szCs w:val="28"/>
          <w:rtl/>
        </w:rPr>
        <w:t xml:space="preserve">, פסקה 7 (15.06.2016); </w:t>
      </w:r>
      <w:hyperlink r:id="rId65" w:history="1">
        <w:r w:rsidR="009C68C4" w:rsidRPr="009C68C4">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פסקה 10 (5.8.2013)).</w:t>
      </w:r>
      <w:r w:rsidRPr="00465AD7">
        <w:rPr>
          <w:rFonts w:ascii="FrankRuehl" w:hAnsi="FrankRuehl" w:cs="FrankRuehl"/>
          <w:sz w:val="28"/>
          <w:szCs w:val="28"/>
        </w:rPr>
        <w:t xml:space="preserve"> </w:t>
      </w:r>
    </w:p>
    <w:p w14:paraId="27BFAA2E"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cs="FrankRuehl"/>
          <w:sz w:val="28"/>
          <w:szCs w:val="28"/>
          <w:rtl/>
        </w:rPr>
        <w:t xml:space="preserve">להשלמת התמונה, אומר כי עיינתי בפסקי הדין שהציגה ההגנה ואין בהם לשנות ממסקנתי שלפיה אין זהו המקרה להימנע מהרשעה. </w:t>
      </w:r>
    </w:p>
    <w:p w14:paraId="7EF05EE7" w14:textId="77777777" w:rsidR="00CD3D65" w:rsidRPr="000D36C2"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sidRPr="000D36C2">
        <w:rPr>
          <w:rFonts w:cs="FrankRuehl"/>
          <w:sz w:val="28"/>
          <w:szCs w:val="28"/>
          <w:rtl/>
        </w:rPr>
        <w:t>הפסיקה בעניין סוגיית הרשעה רבה ומגוונת, וכפי שאפשר להיווכח מפסקי הדין שהציגה ההגנה אכן ישנם מקרים בהם בתי המשפט נמנעו מהרשעת נאשמים במגוון עבירות</w:t>
      </w:r>
      <w:r w:rsidRPr="000D36C2">
        <w:rPr>
          <w:rFonts w:cs="FrankRuehl" w:hint="cs"/>
          <w:sz w:val="28"/>
          <w:szCs w:val="28"/>
        </w:rPr>
        <w:t xml:space="preserve"> </w:t>
      </w:r>
      <w:r w:rsidRPr="000D36C2">
        <w:rPr>
          <w:rFonts w:cs="FrankRuehl"/>
          <w:sz w:val="28"/>
          <w:szCs w:val="28"/>
          <w:rtl/>
        </w:rPr>
        <w:t>בהינתן הליך שיקומי מיטבי או לאחר שהוכח קיומו של נזק קונקרטי</w:t>
      </w:r>
      <w:r w:rsidRPr="000D36C2">
        <w:rPr>
          <w:rFonts w:cs="FrankRuehl" w:hint="cs"/>
          <w:sz w:val="28"/>
          <w:szCs w:val="28"/>
          <w:rtl/>
        </w:rPr>
        <w:t xml:space="preserve"> חמור שיגרם כתוצאה מהרשעה</w:t>
      </w:r>
      <w:r w:rsidRPr="000D36C2">
        <w:rPr>
          <w:rFonts w:cs="FrankRuehl"/>
          <w:sz w:val="28"/>
          <w:szCs w:val="28"/>
          <w:rtl/>
        </w:rPr>
        <w:t>, שני אלו כאמור שלא כבעניינ</w:t>
      </w:r>
      <w:r w:rsidRPr="000D36C2">
        <w:rPr>
          <w:rFonts w:cs="FrankRuehl" w:hint="cs"/>
          <w:sz w:val="28"/>
          <w:szCs w:val="28"/>
          <w:rtl/>
        </w:rPr>
        <w:t>י</w:t>
      </w:r>
      <w:r w:rsidRPr="000D36C2">
        <w:rPr>
          <w:rFonts w:cs="FrankRuehl"/>
          <w:sz w:val="28"/>
          <w:szCs w:val="28"/>
          <w:rtl/>
        </w:rPr>
        <w:t>נו</w:t>
      </w:r>
      <w:r w:rsidRPr="000D36C2">
        <w:rPr>
          <w:rFonts w:cs="FrankRuehl" w:hint="cs"/>
          <w:sz w:val="28"/>
          <w:szCs w:val="28"/>
          <w:rtl/>
        </w:rPr>
        <w:t xml:space="preserve"> (ראו: </w:t>
      </w:r>
      <w:hyperlink r:id="rId66" w:history="1">
        <w:r w:rsidR="009C68C4" w:rsidRPr="009C68C4">
          <w:rPr>
            <w:rFonts w:cs="FrankRuehl" w:hint="cs"/>
            <w:color w:val="0000FF"/>
            <w:sz w:val="28"/>
            <w:szCs w:val="28"/>
            <w:u w:val="single"/>
            <w:rtl/>
          </w:rPr>
          <w:t>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חיפה</w:t>
        </w:r>
        <w:r w:rsidR="009C68C4" w:rsidRPr="009C68C4">
          <w:rPr>
            <w:rFonts w:cs="FrankRuehl"/>
            <w:color w:val="0000FF"/>
            <w:sz w:val="28"/>
            <w:szCs w:val="28"/>
            <w:u w:val="single"/>
            <w:rtl/>
          </w:rPr>
          <w:t>) 10058-09-23</w:t>
        </w:r>
      </w:hyperlink>
      <w:r w:rsidRPr="000D36C2">
        <w:rPr>
          <w:rFonts w:cs="FrankRuehl"/>
          <w:sz w:val="28"/>
          <w:szCs w:val="28"/>
          <w:rtl/>
        </w:rPr>
        <w:t xml:space="preserve"> </w:t>
      </w:r>
      <w:r w:rsidRPr="000D36C2">
        <w:rPr>
          <w:rFonts w:ascii="Miriam" w:hAnsi="Miriam" w:cs="Miriam"/>
          <w:rtl/>
        </w:rPr>
        <w:t xml:space="preserve">מדינת ישראל נ' אסעד </w:t>
      </w:r>
      <w:r w:rsidRPr="000D36C2">
        <w:rPr>
          <w:rFonts w:cs="FrankRuehl"/>
          <w:sz w:val="28"/>
          <w:szCs w:val="28"/>
          <w:rtl/>
        </w:rPr>
        <w:t xml:space="preserve">(25.1.2024) – נאשם יליד </w:t>
      </w:r>
      <w:r w:rsidRPr="000D36C2">
        <w:rPr>
          <w:rFonts w:cs="FrankRuehl" w:hint="cs"/>
          <w:sz w:val="28"/>
          <w:szCs w:val="28"/>
          <w:rtl/>
        </w:rPr>
        <w:t xml:space="preserve">2002, </w:t>
      </w:r>
      <w:r w:rsidRPr="000D36C2">
        <w:rPr>
          <w:rFonts w:cs="FrankRuehl"/>
          <w:sz w:val="28"/>
          <w:szCs w:val="28"/>
          <w:rtl/>
        </w:rPr>
        <w:t>ביצע עבירות רכוש בהיותו על סף הקטינות, שולב בהליך טיפולי אגב שירותו הצבאי ועל הפרק עמדו שאיפותיו לעבוד בשירות בתי הסוהר. דעת מיעוט סברה כי אין מקום להימנע מהרשעה</w:t>
      </w:r>
      <w:r w:rsidRPr="000D36C2">
        <w:rPr>
          <w:rFonts w:cs="FrankRuehl" w:hint="cs"/>
          <w:sz w:val="28"/>
          <w:szCs w:val="28"/>
          <w:rtl/>
        </w:rPr>
        <w:t xml:space="preserve">; </w:t>
      </w:r>
      <w:hyperlink r:id="rId67" w:history="1">
        <w:r w:rsidR="009C68C4" w:rsidRPr="009C68C4">
          <w:rPr>
            <w:rFonts w:cs="FrankRuehl" w:hint="cs"/>
            <w:color w:val="0000FF"/>
            <w:sz w:val="28"/>
            <w:szCs w:val="28"/>
            <w:u w:val="single"/>
            <w:rtl/>
          </w:rPr>
          <w:t>ע</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פ</w:t>
        </w:r>
        <w:r w:rsidR="009C68C4" w:rsidRPr="009C68C4">
          <w:rPr>
            <w:rFonts w:cs="FrankRuehl"/>
            <w:color w:val="0000FF"/>
            <w:sz w:val="28"/>
            <w:szCs w:val="28"/>
            <w:u w:val="single"/>
            <w:rtl/>
          </w:rPr>
          <w:t xml:space="preserve"> (</w:t>
        </w:r>
        <w:r w:rsidR="009C68C4" w:rsidRPr="009C68C4">
          <w:rPr>
            <w:rFonts w:cs="FrankRuehl" w:hint="cs"/>
            <w:color w:val="0000FF"/>
            <w:sz w:val="28"/>
            <w:szCs w:val="28"/>
            <w:u w:val="single"/>
            <w:rtl/>
          </w:rPr>
          <w:t>חיפה</w:t>
        </w:r>
        <w:r w:rsidR="009C68C4" w:rsidRPr="009C68C4">
          <w:rPr>
            <w:rFonts w:cs="FrankRuehl"/>
            <w:color w:val="0000FF"/>
            <w:sz w:val="28"/>
            <w:szCs w:val="28"/>
            <w:u w:val="single"/>
            <w:rtl/>
          </w:rPr>
          <w:t>) 53589-03-23</w:t>
        </w:r>
      </w:hyperlink>
      <w:r w:rsidRPr="000D36C2">
        <w:rPr>
          <w:rFonts w:cs="FrankRuehl"/>
          <w:sz w:val="28"/>
          <w:szCs w:val="28"/>
          <w:rtl/>
        </w:rPr>
        <w:t xml:space="preserve"> </w:t>
      </w:r>
      <w:r w:rsidRPr="000D36C2">
        <w:rPr>
          <w:rFonts w:ascii="Miriam" w:hAnsi="Miriam" w:cs="Miriam"/>
          <w:rtl/>
        </w:rPr>
        <w:t>מדינת ישראל נ' שלומוביץ</w:t>
      </w:r>
      <w:r w:rsidRPr="000D36C2">
        <w:rPr>
          <w:rFonts w:cs="FrankRuehl"/>
          <w:sz w:val="28"/>
          <w:szCs w:val="28"/>
          <w:rtl/>
        </w:rPr>
        <w:t xml:space="preserve"> (16.11.2023) –</w:t>
      </w:r>
      <w:r w:rsidRPr="000D36C2">
        <w:rPr>
          <w:rFonts w:cs="FrankRuehl" w:hint="cs"/>
          <w:sz w:val="28"/>
          <w:szCs w:val="28"/>
          <w:rtl/>
        </w:rPr>
        <w:t xml:space="preserve"> הנאשם ביצע עבירות של תקיפת קטין חסר ישע ותקיפה סתם, שיקולי שיקום הובילו לדחיית הערעור וגם כאן דעת המיעוט סברה כי יש לצמצם את המקרים בהם ימנע בית משפט מהרשעה. וב</w:t>
      </w:r>
      <w:hyperlink r:id="rId68" w:history="1">
        <w:r w:rsidR="009C68C4" w:rsidRPr="009C68C4">
          <w:rPr>
            <w:rFonts w:cs="FrankRuehl" w:hint="cs"/>
            <w:color w:val="0000FF"/>
            <w:sz w:val="28"/>
            <w:szCs w:val="28"/>
            <w:u w:val="single"/>
            <w:rtl/>
          </w:rPr>
          <w:t>עפ</w:t>
        </w:r>
        <w:r w:rsidR="009C68C4" w:rsidRPr="009C68C4">
          <w:rPr>
            <w:rFonts w:cs="FrankRuehl"/>
            <w:color w:val="0000FF"/>
            <w:sz w:val="28"/>
            <w:szCs w:val="28"/>
            <w:u w:val="single"/>
            <w:rtl/>
          </w:rPr>
          <w:t>"</w:t>
        </w:r>
        <w:r w:rsidR="009C68C4" w:rsidRPr="009C68C4">
          <w:rPr>
            <w:rFonts w:cs="FrankRuehl" w:hint="cs"/>
            <w:color w:val="0000FF"/>
            <w:sz w:val="28"/>
            <w:szCs w:val="28"/>
            <w:u w:val="single"/>
            <w:rtl/>
          </w:rPr>
          <w:t>ג</w:t>
        </w:r>
        <w:r w:rsidR="009C68C4" w:rsidRPr="009C68C4">
          <w:rPr>
            <w:rFonts w:cs="FrankRuehl"/>
            <w:color w:val="0000FF"/>
            <w:sz w:val="28"/>
            <w:szCs w:val="28"/>
            <w:u w:val="single"/>
            <w:rtl/>
          </w:rPr>
          <w:t xml:space="preserve"> 33377-03-20</w:t>
        </w:r>
      </w:hyperlink>
      <w:r w:rsidRPr="000D36C2">
        <w:rPr>
          <w:rFonts w:cs="FrankRuehl"/>
          <w:sz w:val="28"/>
          <w:szCs w:val="28"/>
          <w:rtl/>
        </w:rPr>
        <w:t xml:space="preserve"> </w:t>
      </w:r>
      <w:r w:rsidRPr="000D36C2">
        <w:rPr>
          <w:rFonts w:ascii="Miriam" w:hAnsi="Miriam" w:cs="Miriam"/>
          <w:rtl/>
        </w:rPr>
        <w:t>מדינת ישראל נ' אלשייך</w:t>
      </w:r>
      <w:r w:rsidRPr="000D36C2">
        <w:rPr>
          <w:rFonts w:cs="FrankRuehl"/>
          <w:sz w:val="28"/>
          <w:szCs w:val="28"/>
          <w:rtl/>
        </w:rPr>
        <w:t xml:space="preserve"> (16.12.2020)</w:t>
      </w:r>
      <w:r w:rsidRPr="000D36C2">
        <w:rPr>
          <w:rFonts w:cs="FrankRuehl" w:hint="cs"/>
          <w:sz w:val="28"/>
          <w:szCs w:val="28"/>
          <w:rtl/>
        </w:rPr>
        <w:t xml:space="preserve"> </w:t>
      </w:r>
      <w:r w:rsidRPr="000D36C2">
        <w:rPr>
          <w:rFonts w:cs="FrankRuehl"/>
          <w:sz w:val="28"/>
          <w:szCs w:val="28"/>
          <w:rtl/>
        </w:rPr>
        <w:t>– בית המשפט המחוזי ציין במפורש כי תוצאת פסק הדין חריגה בהינתן נסיבות ביצוע העבירה, נסיבותיה האישיות של הנאשמת, ההליך השיקומי שהחלה בו לרבות השתלבותה בלימודים בתחום הסיעוד והפגיעה הקשה הצפויה כתוצאה מהרשעה.</w:t>
      </w:r>
      <w:r w:rsidRPr="000D36C2">
        <w:rPr>
          <w:rFonts w:ascii="FrankRuehl" w:hAnsi="FrankRuehl" w:cs="FrankRuehl"/>
          <w:sz w:val="28"/>
          <w:szCs w:val="28"/>
          <w:rtl/>
        </w:rPr>
        <w:t xml:space="preserve"> </w:t>
      </w:r>
      <w:r w:rsidRPr="000D36C2">
        <w:rPr>
          <w:rFonts w:cs="FrankRuehl"/>
          <w:sz w:val="28"/>
          <w:szCs w:val="28"/>
          <w:rtl/>
        </w:rPr>
        <w:t xml:space="preserve">מנגד, ישנם פסקי דין </w:t>
      </w:r>
      <w:r w:rsidRPr="000D36C2">
        <w:rPr>
          <w:rFonts w:cs="FrankRuehl" w:hint="cs"/>
          <w:sz w:val="28"/>
          <w:szCs w:val="28"/>
          <w:rtl/>
        </w:rPr>
        <w:t xml:space="preserve">למכביר </w:t>
      </w:r>
      <w:r w:rsidRPr="000D36C2">
        <w:rPr>
          <w:rFonts w:cs="FrankRuehl"/>
          <w:sz w:val="28"/>
          <w:szCs w:val="28"/>
          <w:rtl/>
        </w:rPr>
        <w:t xml:space="preserve">בהם בתי המשפט דחו עתירת ההגנה להימנע מהרשעה.  </w:t>
      </w:r>
    </w:p>
    <w:p w14:paraId="6675CCF6" w14:textId="77777777" w:rsidR="00CD3D65" w:rsidRPr="00425F4D"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cs="FrankRuehl"/>
          <w:sz w:val="28"/>
          <w:szCs w:val="28"/>
          <w:rtl/>
        </w:rPr>
        <w:t xml:space="preserve">פסקי הדין </w:t>
      </w:r>
      <w:r>
        <w:rPr>
          <w:rFonts w:cs="FrankRuehl" w:hint="cs"/>
          <w:sz w:val="28"/>
          <w:szCs w:val="28"/>
          <w:rtl/>
        </w:rPr>
        <w:t xml:space="preserve">השונים </w:t>
      </w:r>
      <w:r>
        <w:rPr>
          <w:rFonts w:cs="FrankRuehl"/>
          <w:sz w:val="28"/>
          <w:szCs w:val="28"/>
          <w:rtl/>
        </w:rPr>
        <w:t xml:space="preserve">ממחישים עד כמה הענישה היא לעולם אינדיבידואלית וכל מקרה נבחן לגופו </w:t>
      </w:r>
      <w:r>
        <w:rPr>
          <w:rFonts w:cs="FrankRuehl" w:hint="cs"/>
          <w:sz w:val="28"/>
          <w:szCs w:val="28"/>
          <w:rtl/>
        </w:rPr>
        <w:t>ו</w:t>
      </w:r>
      <w:r>
        <w:rPr>
          <w:rFonts w:cs="FrankRuehl"/>
          <w:sz w:val="28"/>
          <w:szCs w:val="28"/>
          <w:rtl/>
        </w:rPr>
        <w:t xml:space="preserve">תוך עריכת איזונים מתאימים. מכל מקום, המקרים בהם נמנעו מהרשעתם של נאשמים הם חריגים </w:t>
      </w:r>
      <w:r>
        <w:rPr>
          <w:rFonts w:cs="FrankRuehl" w:hint="cs"/>
          <w:sz w:val="28"/>
          <w:szCs w:val="28"/>
          <w:rtl/>
        </w:rPr>
        <w:t xml:space="preserve">שבחריגים </w:t>
      </w:r>
      <w:r>
        <w:rPr>
          <w:rFonts w:cs="FrankRuehl"/>
          <w:sz w:val="28"/>
          <w:szCs w:val="28"/>
          <w:rtl/>
        </w:rPr>
        <w:t>ולא מצאתי כי אפשר להקיש מהם לעניינ</w:t>
      </w:r>
      <w:r>
        <w:rPr>
          <w:rFonts w:cs="FrankRuehl" w:hint="cs"/>
          <w:sz w:val="28"/>
          <w:szCs w:val="28"/>
          <w:rtl/>
        </w:rPr>
        <w:t>ו</w:t>
      </w:r>
      <w:r>
        <w:rPr>
          <w:rFonts w:cs="FrankRuehl"/>
          <w:sz w:val="28"/>
          <w:szCs w:val="28"/>
          <w:rtl/>
        </w:rPr>
        <w:t xml:space="preserve"> של הנאשם. </w:t>
      </w:r>
    </w:p>
    <w:p w14:paraId="5044DBBF"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cs="FrankRuehl"/>
          <w:sz w:val="28"/>
          <w:szCs w:val="28"/>
          <w:rtl/>
        </w:rPr>
        <w:t xml:space="preserve">קבלת עתירת ההגנה להימנע מהרשעה, </w:t>
      </w:r>
      <w:r>
        <w:rPr>
          <w:rFonts w:cs="FrankRuehl" w:hint="cs"/>
          <w:sz w:val="28"/>
          <w:szCs w:val="28"/>
          <w:rtl/>
        </w:rPr>
        <w:t xml:space="preserve">ללא שילוב בהליכים טיפוליים מיטבים תוך הגמשת הדרישות הראייתיות רק </w:t>
      </w:r>
      <w:r>
        <w:rPr>
          <w:rFonts w:cs="FrankRuehl"/>
          <w:sz w:val="28"/>
          <w:szCs w:val="28"/>
          <w:rtl/>
        </w:rPr>
        <w:t xml:space="preserve">מכיוון שמדובר בעבירה שאינה ברף חומרה גבוה, עלולה לשדר מסר שגוי </w:t>
      </w:r>
      <w:r>
        <w:rPr>
          <w:rFonts w:cs="FrankRuehl" w:hint="cs"/>
          <w:sz w:val="28"/>
          <w:szCs w:val="28"/>
          <w:rtl/>
        </w:rPr>
        <w:t xml:space="preserve">לנאשם ולאחרים </w:t>
      </w:r>
      <w:r>
        <w:rPr>
          <w:rFonts w:cs="FrankRuehl"/>
          <w:sz w:val="28"/>
          <w:szCs w:val="28"/>
          <w:rtl/>
        </w:rPr>
        <w:t xml:space="preserve">ולפגוע </w:t>
      </w:r>
      <w:r>
        <w:rPr>
          <w:rFonts w:cs="FrankRuehl" w:hint="cs"/>
          <w:sz w:val="28"/>
          <w:szCs w:val="28"/>
          <w:rtl/>
        </w:rPr>
        <w:t xml:space="preserve">פגיעה קשה </w:t>
      </w:r>
      <w:r>
        <w:rPr>
          <w:rFonts w:cs="FrankRuehl"/>
          <w:sz w:val="28"/>
          <w:szCs w:val="28"/>
          <w:rtl/>
        </w:rPr>
        <w:t xml:space="preserve">בשיקולי הענישה. </w:t>
      </w:r>
      <w:r>
        <w:rPr>
          <w:rFonts w:ascii="FrankRuehl" w:hAnsi="FrankRuehl" w:cs="FrankRuehl"/>
          <w:sz w:val="28"/>
          <w:szCs w:val="28"/>
          <w:rtl/>
        </w:rPr>
        <w:t xml:space="preserve">אל לנו להפוך את החריג לכלל ואת הכלל לחריג. </w:t>
      </w:r>
    </w:p>
    <w:p w14:paraId="7CAF1B2E" w14:textId="77777777" w:rsidR="00CD3D65" w:rsidRDefault="00CD3D65" w:rsidP="00CD3D65">
      <w:pPr>
        <w:pStyle w:val="aa"/>
        <w:tabs>
          <w:tab w:val="left" w:pos="-58"/>
        </w:tabs>
        <w:spacing w:before="120" w:after="120" w:line="360" w:lineRule="auto"/>
        <w:ind w:left="-58"/>
        <w:contextualSpacing w:val="0"/>
        <w:jc w:val="both"/>
        <w:rPr>
          <w:rFonts w:ascii="FrankRuehl" w:hAnsi="FrankRuehl" w:cs="FrankRuehl"/>
          <w:sz w:val="28"/>
          <w:szCs w:val="28"/>
          <w:rtl/>
        </w:rPr>
      </w:pPr>
      <w:r>
        <w:rPr>
          <w:rFonts w:ascii="Miriam" w:hAnsi="Miriam" w:cs="Miriam"/>
          <w:rtl/>
        </w:rPr>
        <w:t xml:space="preserve">תוצאה </w:t>
      </w:r>
    </w:p>
    <w:p w14:paraId="64B2AA05" w14:textId="77777777" w:rsidR="00CD3D65" w:rsidRDefault="00CD3D65" w:rsidP="00CD3D65">
      <w:pPr>
        <w:pStyle w:val="aa"/>
        <w:numPr>
          <w:ilvl w:val="0"/>
          <w:numId w:val="1"/>
        </w:numPr>
        <w:tabs>
          <w:tab w:val="left" w:pos="-58"/>
        </w:tabs>
        <w:spacing w:before="120" w:after="120" w:line="360" w:lineRule="auto"/>
        <w:ind w:left="-58" w:firstLine="0"/>
        <w:contextualSpacing w:val="0"/>
        <w:jc w:val="both"/>
        <w:rPr>
          <w:rFonts w:ascii="FrankRuehl" w:hAnsi="FrankRuehl" w:cs="FrankRuehl"/>
          <w:sz w:val="28"/>
          <w:szCs w:val="28"/>
        </w:rPr>
      </w:pPr>
      <w:r>
        <w:rPr>
          <w:rFonts w:ascii="FrankRuehl" w:hAnsi="FrankRuehl" w:cs="FrankRuehl"/>
          <w:sz w:val="28"/>
          <w:szCs w:val="28"/>
          <w:rtl/>
        </w:rPr>
        <w:t>לנוכח האמור</w:t>
      </w:r>
      <w:r>
        <w:rPr>
          <w:rFonts w:ascii="FrankRuehl" w:hAnsi="FrankRuehl" w:cs="FrankRuehl" w:hint="cs"/>
          <w:sz w:val="28"/>
          <w:szCs w:val="28"/>
          <w:rtl/>
        </w:rPr>
        <w:t xml:space="preserve">, אני מרשיעה את הנאשם בביצוע עבירה של החזקת סם שלא לצריכה עצמית, </w:t>
      </w:r>
      <w:r>
        <w:rPr>
          <w:rFonts w:ascii="FrankRuehl" w:hAnsi="FrankRuehl" w:cs="FrankRuehl"/>
          <w:sz w:val="28"/>
          <w:szCs w:val="28"/>
          <w:rtl/>
        </w:rPr>
        <w:t xml:space="preserve">ובאיזון בין הנסיבות לזכותו של הנאשם לבין הנסיבות העומדות לחובתו אני גוזרת עליו את העונשים הבאים: </w:t>
      </w:r>
    </w:p>
    <w:p w14:paraId="35317AD4" w14:textId="77777777" w:rsidR="00CD3D65" w:rsidRDefault="00CD3D65" w:rsidP="00CD3D65">
      <w:pPr>
        <w:pStyle w:val="aa"/>
        <w:numPr>
          <w:ilvl w:val="0"/>
          <w:numId w:val="2"/>
        </w:numPr>
        <w:spacing w:before="120" w:after="120" w:line="360" w:lineRule="auto"/>
        <w:contextualSpacing w:val="0"/>
        <w:jc w:val="both"/>
        <w:rPr>
          <w:rFonts w:ascii="FrankRuehl" w:hAnsi="FrankRuehl" w:cs="FrankRuehl"/>
          <w:sz w:val="28"/>
          <w:szCs w:val="28"/>
        </w:rPr>
      </w:pPr>
      <w:r>
        <w:rPr>
          <w:rFonts w:ascii="FrankRuehl" w:hAnsi="FrankRuehl" w:cs="FrankRuehl"/>
          <w:sz w:val="28"/>
          <w:szCs w:val="28"/>
          <w:rtl/>
        </w:rPr>
        <w:t xml:space="preserve">4 חודשי מאסר אותם לא ירצה הנאשם אלא אם יעבור בתוך שלוש שנים מיום שחרורו עבירת פשע לפי </w:t>
      </w:r>
      <w:hyperlink r:id="rId69" w:history="1">
        <w:r w:rsidR="009C68C4" w:rsidRPr="009C68C4">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4641D7E7" w14:textId="77777777" w:rsidR="00CD3D65" w:rsidRDefault="00CD3D65" w:rsidP="00CD3D65">
      <w:pPr>
        <w:pStyle w:val="aa"/>
        <w:numPr>
          <w:ilvl w:val="0"/>
          <w:numId w:val="2"/>
        </w:numPr>
        <w:spacing w:before="120" w:after="120" w:line="360" w:lineRule="auto"/>
        <w:contextualSpacing w:val="0"/>
        <w:jc w:val="both"/>
        <w:rPr>
          <w:rFonts w:ascii="FrankRuehl" w:hAnsi="FrankRuehl" w:cs="FrankRuehl"/>
          <w:sz w:val="28"/>
          <w:szCs w:val="28"/>
        </w:rPr>
      </w:pPr>
      <w:r>
        <w:rPr>
          <w:rFonts w:ascii="FrankRuehl" w:hAnsi="FrankRuehl" w:cs="FrankRuehl"/>
          <w:sz w:val="28"/>
          <w:szCs w:val="28"/>
          <w:rtl/>
        </w:rPr>
        <w:t xml:space="preserve">קנס בסך 1,800 ₪ או 10 ימי מאסר תמורתו. הקנס ישולם ב- 2 תשלומים חודשיים שווים ורצופים, החל מיום 1.5.2024. לא ישולם איזה מהתשלומים במועדו, תעמוד יתרת הקנס לפירעון מידי. </w:t>
      </w:r>
    </w:p>
    <w:p w14:paraId="67049E4B" w14:textId="77777777" w:rsidR="00CD3D65" w:rsidRDefault="00CD3D65" w:rsidP="00CD3D65">
      <w:pPr>
        <w:spacing w:before="120" w:after="120" w:line="360" w:lineRule="auto"/>
        <w:ind w:left="-58"/>
        <w:jc w:val="both"/>
        <w:rPr>
          <w:rFonts w:ascii="Corbel" w:hAnsi="Corbel" w:cs="FrankRuehl"/>
          <w:sz w:val="28"/>
          <w:szCs w:val="28"/>
          <w:rtl/>
        </w:rPr>
      </w:pPr>
    </w:p>
    <w:p w14:paraId="37399A3C" w14:textId="77777777" w:rsidR="00CD3D65" w:rsidRDefault="009C68C4" w:rsidP="00CD3D65">
      <w:pPr>
        <w:spacing w:line="360" w:lineRule="auto"/>
        <w:ind w:left="-58"/>
        <w:jc w:val="both"/>
        <w:rPr>
          <w:rFonts w:ascii="Corbel" w:hAnsi="Corbel" w:cs="FrankRuehl"/>
          <w:sz w:val="28"/>
          <w:szCs w:val="28"/>
          <w:rtl/>
        </w:rPr>
      </w:pPr>
      <w:r w:rsidRPr="009C68C4">
        <w:rPr>
          <w:rFonts w:ascii="Corbel" w:hAnsi="Corbel" w:cs="FrankRuehl"/>
          <w:color w:val="FFFFFF"/>
          <w:sz w:val="2"/>
          <w:szCs w:val="2"/>
          <w:rtl/>
        </w:rPr>
        <w:t>5129371</w:t>
      </w:r>
      <w:r w:rsidR="00CD3D65">
        <w:rPr>
          <w:rFonts w:ascii="Corbel" w:hAnsi="Corbel" w:cs="FrankRuehl"/>
          <w:sz w:val="28"/>
          <w:szCs w:val="28"/>
          <w:rtl/>
        </w:rPr>
        <w:t xml:space="preserve">זכות ערעור כחוק </w:t>
      </w:r>
    </w:p>
    <w:p w14:paraId="37DEB45B" w14:textId="77777777" w:rsidR="00CD3D65" w:rsidRDefault="009C68C4" w:rsidP="00CD3D65">
      <w:pPr>
        <w:spacing w:line="360" w:lineRule="auto"/>
        <w:ind w:left="-58"/>
        <w:jc w:val="both"/>
        <w:rPr>
          <w:rFonts w:ascii="Corbel" w:hAnsi="Corbel" w:cs="FrankRuehl"/>
          <w:sz w:val="28"/>
          <w:szCs w:val="28"/>
          <w:rtl/>
        </w:rPr>
      </w:pPr>
      <w:r w:rsidRPr="009C68C4">
        <w:rPr>
          <w:rFonts w:ascii="Corbel" w:hAnsi="Corbel" w:cs="FrankRuehl"/>
          <w:color w:val="FFFFFF"/>
          <w:sz w:val="2"/>
          <w:szCs w:val="2"/>
          <w:rtl/>
        </w:rPr>
        <w:t>54678313</w:t>
      </w:r>
      <w:r w:rsidR="00CD3D65">
        <w:rPr>
          <w:rFonts w:ascii="Corbel" w:hAnsi="Corbel" w:cs="FrankRuehl"/>
          <w:sz w:val="28"/>
          <w:szCs w:val="28"/>
          <w:rtl/>
        </w:rPr>
        <w:t xml:space="preserve">צו כללי למוצגים </w:t>
      </w:r>
    </w:p>
    <w:p w14:paraId="75B9E89D" w14:textId="77777777" w:rsidR="00CD3D65" w:rsidRDefault="00CD3D65" w:rsidP="00CD3D65">
      <w:pPr>
        <w:spacing w:line="360" w:lineRule="auto"/>
        <w:jc w:val="both"/>
        <w:rPr>
          <w:rFonts w:ascii="Arial" w:hAnsi="Arial"/>
          <w:b/>
          <w:bCs/>
          <w:sz w:val="26"/>
          <w:szCs w:val="26"/>
          <w:rtl/>
        </w:rPr>
      </w:pPr>
    </w:p>
    <w:p w14:paraId="781DBBE7" w14:textId="77777777" w:rsidR="00CD3D65" w:rsidRPr="000F2247" w:rsidRDefault="009C68C4" w:rsidP="00CD3D6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אדר ב' תשפ"ד, 27 מרץ 2024, במעמד הצדדים. </w:t>
      </w:r>
      <w:bookmarkEnd w:id="8"/>
      <w:r w:rsidR="00CD3D65">
        <w:rPr>
          <w:rFonts w:ascii="Arial" w:hAnsi="Arial"/>
          <w:b/>
          <w:bCs/>
          <w:sz w:val="26"/>
          <w:szCs w:val="26"/>
          <w:rtl/>
        </w:rPr>
        <w:tab/>
      </w:r>
      <w:r w:rsidR="00CD3D65">
        <w:rPr>
          <w:rFonts w:ascii="Arial" w:hAnsi="Arial"/>
          <w:b/>
          <w:bCs/>
          <w:sz w:val="26"/>
          <w:szCs w:val="26"/>
          <w:rtl/>
        </w:rPr>
        <w:tab/>
      </w:r>
      <w:r w:rsidR="00CD3D65">
        <w:rPr>
          <w:rFonts w:ascii="Arial" w:hAnsi="Arial"/>
          <w:b/>
          <w:bCs/>
          <w:sz w:val="26"/>
          <w:szCs w:val="26"/>
          <w:rtl/>
        </w:rPr>
        <w:tab/>
      </w:r>
      <w:r w:rsidR="00CD3D65">
        <w:rPr>
          <w:rFonts w:ascii="Arial" w:hAnsi="Arial"/>
          <w:b/>
          <w:bCs/>
          <w:sz w:val="26"/>
          <w:szCs w:val="26"/>
          <w:rtl/>
        </w:rPr>
        <w:tab/>
      </w:r>
      <w:r w:rsidR="00CD3D65">
        <w:rPr>
          <w:rFonts w:ascii="Arial" w:hAnsi="Arial"/>
          <w:b/>
          <w:bCs/>
          <w:sz w:val="26"/>
          <w:szCs w:val="26"/>
          <w:rtl/>
        </w:rPr>
        <w:tab/>
      </w:r>
      <w:r w:rsidR="00CD3D65">
        <w:rPr>
          <w:rFonts w:ascii="Arial" w:hAnsi="Arial"/>
          <w:b/>
          <w:bCs/>
          <w:sz w:val="26"/>
          <w:szCs w:val="26"/>
          <w:rtl/>
        </w:rPr>
        <w:tab/>
      </w:r>
      <w:r w:rsidR="00CD3D65">
        <w:rPr>
          <w:rFonts w:ascii="Arial" w:hAnsi="Arial"/>
          <w:b/>
          <w:bCs/>
          <w:sz w:val="26"/>
          <w:szCs w:val="26"/>
          <w:rtl/>
        </w:rPr>
        <w:tab/>
      </w:r>
      <w:r w:rsidR="00CD3D65">
        <w:rPr>
          <w:rFonts w:ascii="Arial" w:hAnsi="Arial" w:hint="cs"/>
          <w:b/>
          <w:bCs/>
          <w:sz w:val="26"/>
          <w:szCs w:val="26"/>
          <w:rtl/>
        </w:rPr>
        <w:t xml:space="preserve">         </w:t>
      </w:r>
    </w:p>
    <w:p w14:paraId="27BE8A46" w14:textId="77777777" w:rsidR="00CD3D65" w:rsidRPr="000F2247" w:rsidRDefault="00CD3D65" w:rsidP="009C68C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CB74EC" w14:textId="77777777" w:rsidR="00CD3D65" w:rsidRPr="000F2247" w:rsidRDefault="00CD3D65" w:rsidP="00CD3D65">
      <w:pPr>
        <w:jc w:val="center"/>
        <w:rPr>
          <w:rFonts w:ascii="Arial" w:hAnsi="Arial"/>
          <w:b/>
          <w:bCs/>
          <w:sz w:val="26"/>
          <w:szCs w:val="26"/>
          <w:rtl/>
        </w:rPr>
      </w:pPr>
    </w:p>
    <w:p w14:paraId="3F51653D" w14:textId="77777777" w:rsidR="00ED7B7E" w:rsidRPr="009C68C4" w:rsidRDefault="00ED7B7E" w:rsidP="009C68C4">
      <w:pPr>
        <w:keepNext/>
        <w:rPr>
          <w:rFonts w:ascii="David" w:hAnsi="David"/>
          <w:color w:val="000000"/>
          <w:sz w:val="22"/>
          <w:szCs w:val="22"/>
          <w:rtl/>
        </w:rPr>
      </w:pPr>
    </w:p>
    <w:p w14:paraId="30A5B764" w14:textId="77777777" w:rsidR="009C68C4" w:rsidRPr="009C68C4" w:rsidRDefault="009C68C4" w:rsidP="009C68C4">
      <w:pPr>
        <w:keepNext/>
        <w:rPr>
          <w:rFonts w:ascii="David" w:hAnsi="David"/>
          <w:color w:val="000000"/>
          <w:sz w:val="22"/>
          <w:szCs w:val="22"/>
          <w:rtl/>
        </w:rPr>
      </w:pPr>
      <w:r w:rsidRPr="009C68C4">
        <w:rPr>
          <w:rFonts w:ascii="David" w:hAnsi="David"/>
          <w:color w:val="000000"/>
          <w:sz w:val="22"/>
          <w:szCs w:val="22"/>
          <w:rtl/>
        </w:rPr>
        <w:t>זהר דיבון סגל 54678313</w:t>
      </w:r>
    </w:p>
    <w:p w14:paraId="60795630" w14:textId="77777777" w:rsidR="009C68C4" w:rsidRDefault="009C68C4" w:rsidP="009C68C4">
      <w:r w:rsidRPr="009C68C4">
        <w:rPr>
          <w:color w:val="000000"/>
          <w:rtl/>
        </w:rPr>
        <w:t>נוסח מסמך זה כפוף לשינויי ניסוח ועריכה</w:t>
      </w:r>
    </w:p>
    <w:p w14:paraId="29EC47A1" w14:textId="77777777" w:rsidR="009C68C4" w:rsidRDefault="009C68C4" w:rsidP="009C68C4">
      <w:pPr>
        <w:rPr>
          <w:rtl/>
        </w:rPr>
      </w:pPr>
    </w:p>
    <w:p w14:paraId="6884BD4F" w14:textId="77777777" w:rsidR="009C68C4" w:rsidRDefault="009C68C4" w:rsidP="009C68C4">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475F6706" w14:textId="77777777" w:rsidR="009C68C4" w:rsidRPr="009C68C4" w:rsidRDefault="009C68C4" w:rsidP="009C68C4">
      <w:pPr>
        <w:jc w:val="center"/>
        <w:rPr>
          <w:color w:val="0000FF"/>
          <w:u w:val="single"/>
        </w:rPr>
      </w:pPr>
    </w:p>
    <w:sectPr w:rsidR="009C68C4" w:rsidRPr="009C68C4" w:rsidSect="009C68C4">
      <w:headerReference w:type="even" r:id="rId71"/>
      <w:headerReference w:type="default" r:id="rId72"/>
      <w:footerReference w:type="even" r:id="rId73"/>
      <w:footerReference w:type="default" r:id="rId74"/>
      <w:pgSz w:w="11907" w:h="16840" w:code="9"/>
      <w:pgMar w:top="1701" w:right="1797" w:bottom="1361" w:left="179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C0287" w14:textId="77777777" w:rsidR="007C1D38" w:rsidRDefault="007C1D38" w:rsidP="009576F1">
      <w:r>
        <w:separator/>
      </w:r>
    </w:p>
  </w:endnote>
  <w:endnote w:type="continuationSeparator" w:id="0">
    <w:p w14:paraId="3CDA17D3" w14:textId="77777777" w:rsidR="007C1D38" w:rsidRDefault="007C1D38" w:rsidP="0095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5A94" w14:textId="77777777" w:rsidR="009C68C4" w:rsidRDefault="009C68C4" w:rsidP="009C68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8D96B1" w14:textId="77777777" w:rsidR="00C508E5" w:rsidRPr="009C68C4" w:rsidRDefault="009C68C4" w:rsidP="009C68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AF587" w14:textId="77777777" w:rsidR="009C68C4" w:rsidRDefault="009C68C4" w:rsidP="009C68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0FB9">
      <w:rPr>
        <w:rFonts w:ascii="FrankRuehl" w:hAnsi="FrankRuehl" w:cs="FrankRuehl"/>
        <w:noProof/>
        <w:rtl/>
      </w:rPr>
      <w:t>1</w:t>
    </w:r>
    <w:r>
      <w:rPr>
        <w:rFonts w:ascii="FrankRuehl" w:hAnsi="FrankRuehl" w:cs="FrankRuehl"/>
        <w:rtl/>
      </w:rPr>
      <w:fldChar w:fldCharType="end"/>
    </w:r>
  </w:p>
  <w:p w14:paraId="59CA0C21" w14:textId="77777777" w:rsidR="00C508E5" w:rsidRPr="009C68C4" w:rsidRDefault="009C68C4" w:rsidP="009C68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F98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5308B" w14:textId="77777777" w:rsidR="007C1D38" w:rsidRDefault="007C1D38" w:rsidP="009576F1">
      <w:r>
        <w:separator/>
      </w:r>
    </w:p>
  </w:footnote>
  <w:footnote w:type="continuationSeparator" w:id="0">
    <w:p w14:paraId="518A5CC8" w14:textId="77777777" w:rsidR="007C1D38" w:rsidRDefault="007C1D38" w:rsidP="0095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7978C" w14:textId="77777777" w:rsidR="009C68C4" w:rsidRPr="009C68C4" w:rsidRDefault="009C68C4" w:rsidP="009C68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3092-10-21</w:t>
    </w:r>
    <w:r>
      <w:rPr>
        <w:rFonts w:ascii="David" w:hAnsi="David"/>
        <w:color w:val="000000"/>
        <w:sz w:val="22"/>
        <w:szCs w:val="22"/>
        <w:rtl/>
      </w:rPr>
      <w:tab/>
      <w:t xml:space="preserve"> מדינת ישראל נ' אושר 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34F70" w14:textId="77777777" w:rsidR="009C68C4" w:rsidRPr="009C68C4" w:rsidRDefault="009C68C4" w:rsidP="009C68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3092-10-21</w:t>
    </w:r>
    <w:r>
      <w:rPr>
        <w:rFonts w:ascii="David" w:hAnsi="David"/>
        <w:color w:val="000000"/>
        <w:sz w:val="22"/>
        <w:szCs w:val="22"/>
        <w:rtl/>
      </w:rPr>
      <w:tab/>
      <w:t xml:space="preserve"> מדינת ישראל נ' אושר מויאל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C1FE7"/>
    <w:multiLevelType w:val="hybridMultilevel"/>
    <w:tmpl w:val="B05078E2"/>
    <w:lvl w:ilvl="0" w:tplc="F008E21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D27761"/>
    <w:multiLevelType w:val="hybridMultilevel"/>
    <w:tmpl w:val="78945CE4"/>
    <w:lvl w:ilvl="0" w:tplc="52BEDE16">
      <w:start w:val="1"/>
      <w:numFmt w:val="hebrew1"/>
      <w:lvlText w:val="%1."/>
      <w:lvlJc w:val="left"/>
      <w:pPr>
        <w:ind w:left="1575" w:hanging="85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01258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3194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3D65"/>
    <w:rsid w:val="001B5A3B"/>
    <w:rsid w:val="00260270"/>
    <w:rsid w:val="00361304"/>
    <w:rsid w:val="007578F1"/>
    <w:rsid w:val="00760FF8"/>
    <w:rsid w:val="007C1D38"/>
    <w:rsid w:val="009576F1"/>
    <w:rsid w:val="009C68C4"/>
    <w:rsid w:val="00AF3618"/>
    <w:rsid w:val="00B30FB9"/>
    <w:rsid w:val="00C508E5"/>
    <w:rsid w:val="00CD3D65"/>
    <w:rsid w:val="00CE7CA5"/>
    <w:rsid w:val="00D67E74"/>
    <w:rsid w:val="00DE60EA"/>
    <w:rsid w:val="00ED7B7E"/>
    <w:rsid w:val="00F308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A91C58"/>
  <w15:chartTrackingRefBased/>
  <w15:docId w15:val="{A5F3DDCA-B4FE-407F-8E30-75001D7B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3D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3D65"/>
    <w:pPr>
      <w:tabs>
        <w:tab w:val="center" w:pos="4153"/>
        <w:tab w:val="right" w:pos="8306"/>
      </w:tabs>
    </w:pPr>
  </w:style>
  <w:style w:type="character" w:customStyle="1" w:styleId="a4">
    <w:name w:val="כותרת עליונה תו"/>
    <w:link w:val="a3"/>
    <w:rsid w:val="00CD3D65"/>
    <w:rPr>
      <w:rFonts w:ascii="Times New Roman" w:eastAsia="Times New Roman" w:hAnsi="Times New Roman" w:cs="David"/>
      <w:sz w:val="24"/>
      <w:szCs w:val="24"/>
    </w:rPr>
  </w:style>
  <w:style w:type="paragraph" w:styleId="a5">
    <w:name w:val="footer"/>
    <w:basedOn w:val="a"/>
    <w:link w:val="a6"/>
    <w:rsid w:val="00CD3D65"/>
    <w:pPr>
      <w:tabs>
        <w:tab w:val="center" w:pos="4153"/>
        <w:tab w:val="right" w:pos="8306"/>
      </w:tabs>
    </w:pPr>
  </w:style>
  <w:style w:type="character" w:customStyle="1" w:styleId="a6">
    <w:name w:val="כותרת תחתונה תו"/>
    <w:link w:val="a5"/>
    <w:rsid w:val="00CD3D65"/>
    <w:rPr>
      <w:rFonts w:ascii="Times New Roman" w:eastAsia="Times New Roman" w:hAnsi="Times New Roman" w:cs="David"/>
      <w:sz w:val="24"/>
      <w:szCs w:val="24"/>
    </w:rPr>
  </w:style>
  <w:style w:type="table" w:styleId="a7">
    <w:name w:val="Table Grid"/>
    <w:basedOn w:val="a1"/>
    <w:rsid w:val="00CD3D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3D65"/>
  </w:style>
  <w:style w:type="character" w:customStyle="1" w:styleId="a9">
    <w:name w:val="פיסקת רשימה תו"/>
    <w:link w:val="aa"/>
    <w:locked/>
    <w:rsid w:val="00CD3D65"/>
    <w:rPr>
      <w:rFonts w:cs="David"/>
      <w:sz w:val="24"/>
      <w:szCs w:val="24"/>
    </w:rPr>
  </w:style>
  <w:style w:type="paragraph" w:styleId="aa">
    <w:name w:val="List Paragraph"/>
    <w:basedOn w:val="a"/>
    <w:link w:val="a9"/>
    <w:qFormat/>
    <w:rsid w:val="00CD3D65"/>
    <w:pPr>
      <w:ind w:left="720"/>
      <w:contextualSpacing/>
    </w:pPr>
    <w:rPr>
      <w:rFonts w:ascii="Calibri" w:eastAsia="Calibri" w:hAnsi="Calibri"/>
    </w:rPr>
  </w:style>
  <w:style w:type="character" w:styleId="Hyperlink">
    <w:name w:val="Hyperlink"/>
    <w:rsid w:val="009C6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114120" TargetMode="External"/><Relationship Id="rId21" Type="http://schemas.openxmlformats.org/officeDocument/2006/relationships/hyperlink" Target="http://www.nevo.co.il/case/5576772" TargetMode="External"/><Relationship Id="rId42" Type="http://schemas.openxmlformats.org/officeDocument/2006/relationships/hyperlink" Target="http://www.nevo.co.il/case/26765897" TargetMode="External"/><Relationship Id="rId47" Type="http://schemas.openxmlformats.org/officeDocument/2006/relationships/hyperlink" Target="http://www.nevo.co.il/case/26804829" TargetMode="External"/><Relationship Id="rId63" Type="http://schemas.openxmlformats.org/officeDocument/2006/relationships/hyperlink" Target="http://www.nevo.co.il/case/23775111" TargetMode="External"/><Relationship Id="rId68" Type="http://schemas.openxmlformats.org/officeDocument/2006/relationships/hyperlink" Target="http://www.nevo.co.il/case/26542736" TargetMode="External"/><Relationship Id="rId2" Type="http://schemas.openxmlformats.org/officeDocument/2006/relationships/styles" Target="styles.xml"/><Relationship Id="rId16" Type="http://schemas.openxmlformats.org/officeDocument/2006/relationships/hyperlink" Target="http://www.nevo.co.il/case/26496234" TargetMode="External"/><Relationship Id="rId29" Type="http://schemas.openxmlformats.org/officeDocument/2006/relationships/hyperlink" Target="http://www.nevo.co.il/case/27665264" TargetMode="External"/><Relationship Id="rId11" Type="http://schemas.openxmlformats.org/officeDocument/2006/relationships/hyperlink" Target="http://www.nevo.co.il/law/72991/5.a.4" TargetMode="External"/><Relationship Id="rId24" Type="http://schemas.openxmlformats.org/officeDocument/2006/relationships/hyperlink" Target="http://www.nevo.co.il/case/5896402" TargetMode="External"/><Relationship Id="rId32" Type="http://schemas.openxmlformats.org/officeDocument/2006/relationships/hyperlink" Target="http://www.nevo.co.il/case/28437031" TargetMode="External"/><Relationship Id="rId37" Type="http://schemas.openxmlformats.org/officeDocument/2006/relationships/hyperlink" Target="http://www.nevo.co.il/case/26991436" TargetMode="External"/><Relationship Id="rId40" Type="http://schemas.openxmlformats.org/officeDocument/2006/relationships/hyperlink" Target="http://www.nevo.co.il/case/26022441" TargetMode="External"/><Relationship Id="rId45" Type="http://schemas.openxmlformats.org/officeDocument/2006/relationships/hyperlink" Target="http://www.nevo.co.il/case/27537984" TargetMode="External"/><Relationship Id="rId53" Type="http://schemas.openxmlformats.org/officeDocument/2006/relationships/hyperlink" Target="http://www.nevo.co.il/case/23672166" TargetMode="External"/><Relationship Id="rId58" Type="http://schemas.openxmlformats.org/officeDocument/2006/relationships/hyperlink" Target="http://www.nevo.co.il/case/25690628" TargetMode="External"/><Relationship Id="rId66" Type="http://schemas.openxmlformats.org/officeDocument/2006/relationships/hyperlink" Target="http://www.nevo.co.il/case/30010816"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5937094" TargetMode="External"/><Relationship Id="rId19" Type="http://schemas.openxmlformats.org/officeDocument/2006/relationships/hyperlink" Target="http://www.nevo.co.il/case/1694154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1269559" TargetMode="External"/><Relationship Id="rId27" Type="http://schemas.openxmlformats.org/officeDocument/2006/relationships/hyperlink" Target="http://www.nevo.co.il/case/20114119" TargetMode="External"/><Relationship Id="rId30" Type="http://schemas.openxmlformats.org/officeDocument/2006/relationships/hyperlink" Target="http://www.nevo.co.il/case/25829832"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7002992" TargetMode="External"/><Relationship Id="rId48" Type="http://schemas.openxmlformats.org/officeDocument/2006/relationships/hyperlink" Target="http://www.nevo.co.il/case/24398360" TargetMode="External"/><Relationship Id="rId56" Type="http://schemas.openxmlformats.org/officeDocument/2006/relationships/hyperlink" Target="http://www.nevo.co.il/law/72991" TargetMode="External"/><Relationship Id="rId64" Type="http://schemas.openxmlformats.org/officeDocument/2006/relationships/hyperlink" Target="http://www.nevo.co.il/case/21475024" TargetMode="External"/><Relationship Id="rId69"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433546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4345651" TargetMode="External"/><Relationship Id="rId25" Type="http://schemas.openxmlformats.org/officeDocument/2006/relationships/hyperlink" Target="http://www.nevo.co.il/case/4175255" TargetMode="External"/><Relationship Id="rId33" Type="http://schemas.openxmlformats.org/officeDocument/2006/relationships/hyperlink" Target="http://www.nevo.co.il/case/29428682" TargetMode="External"/><Relationship Id="rId38" Type="http://schemas.openxmlformats.org/officeDocument/2006/relationships/hyperlink" Target="http://www.nevo.co.il/case/22841413" TargetMode="External"/><Relationship Id="rId46" Type="http://schemas.openxmlformats.org/officeDocument/2006/relationships/hyperlink" Target="http://www.nevo.co.il/case/27481166" TargetMode="External"/><Relationship Id="rId59" Type="http://schemas.openxmlformats.org/officeDocument/2006/relationships/hyperlink" Target="http://www.nevo.co.il/case/13070717" TargetMode="External"/><Relationship Id="rId67" Type="http://schemas.openxmlformats.org/officeDocument/2006/relationships/hyperlink" Target="http://www.nevo.co.il/case/29512686" TargetMode="External"/><Relationship Id="rId20" Type="http://schemas.openxmlformats.org/officeDocument/2006/relationships/hyperlink" Target="http://www.nevo.co.il/case/7688113" TargetMode="External"/><Relationship Id="rId41" Type="http://schemas.openxmlformats.org/officeDocument/2006/relationships/hyperlink" Target="http://www.nevo.co.il/case/21639429" TargetMode="External"/><Relationship Id="rId54" Type="http://schemas.openxmlformats.org/officeDocument/2006/relationships/hyperlink" Target="http://www.nevo.co.il/case/20991958" TargetMode="External"/><Relationship Id="rId62" Type="http://schemas.openxmlformats.org/officeDocument/2006/relationships/hyperlink" Target="http://www.nevo.co.il/case/6089504"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810781" TargetMode="External"/><Relationship Id="rId23" Type="http://schemas.openxmlformats.org/officeDocument/2006/relationships/hyperlink" Target="http://www.nevo.co.il/case/6780652" TargetMode="External"/><Relationship Id="rId28" Type="http://schemas.openxmlformats.org/officeDocument/2006/relationships/hyperlink" Target="http://www.nevo.co.il/case/27229615" TargetMode="External"/><Relationship Id="rId36" Type="http://schemas.openxmlformats.org/officeDocument/2006/relationships/hyperlink" Target="http://www.nevo.co.il/case/28226828" TargetMode="External"/><Relationship Id="rId49" Type="http://schemas.openxmlformats.org/officeDocument/2006/relationships/hyperlink" Target="http://www.nevo.co.il/case/23777143" TargetMode="External"/><Relationship Id="rId57" Type="http://schemas.openxmlformats.org/officeDocument/2006/relationships/hyperlink" Target="http://www.nevo.co.il/law/72991/5.a.4" TargetMode="External"/><Relationship Id="rId10" Type="http://schemas.openxmlformats.org/officeDocument/2006/relationships/hyperlink" Target="http://www.nevo.co.il/law/72991" TargetMode="External"/><Relationship Id="rId31" Type="http://schemas.openxmlformats.org/officeDocument/2006/relationships/hyperlink" Target="http://www.nevo.co.il/case/23827604" TargetMode="External"/><Relationship Id="rId44" Type="http://schemas.openxmlformats.org/officeDocument/2006/relationships/hyperlink" Target="http://www.nevo.co.il/case/26732753" TargetMode="External"/><Relationship Id="rId52" Type="http://schemas.openxmlformats.org/officeDocument/2006/relationships/hyperlink" Target="http://www.nevo.co.il/case/25457133" TargetMode="External"/><Relationship Id="rId60" Type="http://schemas.openxmlformats.org/officeDocument/2006/relationships/hyperlink" Target="http://www.nevo.co.il/case/21037797" TargetMode="External"/><Relationship Id="rId65" Type="http://schemas.openxmlformats.org/officeDocument/2006/relationships/hyperlink" Target="http://www.nevo.co.il/case/10442453"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18118854" TargetMode="External"/><Relationship Id="rId39" Type="http://schemas.openxmlformats.org/officeDocument/2006/relationships/hyperlink" Target="http://www.nevo.co.il/case/5844852" TargetMode="External"/><Relationship Id="rId34" Type="http://schemas.openxmlformats.org/officeDocument/2006/relationships/hyperlink" Target="http://www.nevo.co.il/case/27615803" TargetMode="External"/><Relationship Id="rId50" Type="http://schemas.openxmlformats.org/officeDocument/2006/relationships/hyperlink" Target="http://www.nevo.co.il/case/22645661" TargetMode="External"/><Relationship Id="rId55" Type="http://schemas.openxmlformats.org/officeDocument/2006/relationships/hyperlink" Target="http://www.nevo.co.il/case/21592697"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4569</Words>
  <Characters>22848</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27363</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3539057</vt:i4>
      </vt:variant>
      <vt:variant>
        <vt:i4>183</vt:i4>
      </vt:variant>
      <vt:variant>
        <vt:i4>0</vt:i4>
      </vt:variant>
      <vt:variant>
        <vt:i4>5</vt:i4>
      </vt:variant>
      <vt:variant>
        <vt:lpwstr>http://www.nevo.co.il/case/26542736</vt:lpwstr>
      </vt:variant>
      <vt:variant>
        <vt:lpwstr/>
      </vt:variant>
      <vt:variant>
        <vt:i4>3997818</vt:i4>
      </vt:variant>
      <vt:variant>
        <vt:i4>180</vt:i4>
      </vt:variant>
      <vt:variant>
        <vt:i4>0</vt:i4>
      </vt:variant>
      <vt:variant>
        <vt:i4>5</vt:i4>
      </vt:variant>
      <vt:variant>
        <vt:lpwstr>http://www.nevo.co.il/case/29512686</vt:lpwstr>
      </vt:variant>
      <vt:variant>
        <vt:lpwstr/>
      </vt:variant>
      <vt:variant>
        <vt:i4>3276925</vt:i4>
      </vt:variant>
      <vt:variant>
        <vt:i4>177</vt:i4>
      </vt:variant>
      <vt:variant>
        <vt:i4>0</vt:i4>
      </vt:variant>
      <vt:variant>
        <vt:i4>5</vt:i4>
      </vt:variant>
      <vt:variant>
        <vt:lpwstr>http://www.nevo.co.il/case/30010816</vt:lpwstr>
      </vt:variant>
      <vt:variant>
        <vt:lpwstr/>
      </vt:variant>
      <vt:variant>
        <vt:i4>3276916</vt:i4>
      </vt:variant>
      <vt:variant>
        <vt:i4>174</vt:i4>
      </vt:variant>
      <vt:variant>
        <vt:i4>0</vt:i4>
      </vt:variant>
      <vt:variant>
        <vt:i4>5</vt:i4>
      </vt:variant>
      <vt:variant>
        <vt:lpwstr>http://www.nevo.co.il/case/10442453</vt:lpwstr>
      </vt:variant>
      <vt:variant>
        <vt:lpwstr/>
      </vt:variant>
      <vt:variant>
        <vt:i4>3211378</vt:i4>
      </vt:variant>
      <vt:variant>
        <vt:i4>171</vt:i4>
      </vt:variant>
      <vt:variant>
        <vt:i4>0</vt:i4>
      </vt:variant>
      <vt:variant>
        <vt:i4>5</vt:i4>
      </vt:variant>
      <vt:variant>
        <vt:lpwstr>http://www.nevo.co.il/case/21475024</vt:lpwstr>
      </vt:variant>
      <vt:variant>
        <vt:lpwstr/>
      </vt:variant>
      <vt:variant>
        <vt:i4>3211377</vt:i4>
      </vt:variant>
      <vt:variant>
        <vt:i4>168</vt:i4>
      </vt:variant>
      <vt:variant>
        <vt:i4>0</vt:i4>
      </vt:variant>
      <vt:variant>
        <vt:i4>5</vt:i4>
      </vt:variant>
      <vt:variant>
        <vt:lpwstr>http://www.nevo.co.il/case/23775111</vt:lpwstr>
      </vt:variant>
      <vt:variant>
        <vt:lpwstr/>
      </vt:variant>
      <vt:variant>
        <vt:i4>4128893</vt:i4>
      </vt:variant>
      <vt:variant>
        <vt:i4>165</vt:i4>
      </vt:variant>
      <vt:variant>
        <vt:i4>0</vt:i4>
      </vt:variant>
      <vt:variant>
        <vt:i4>5</vt:i4>
      </vt:variant>
      <vt:variant>
        <vt:lpwstr>http://www.nevo.co.il/case/6089504</vt:lpwstr>
      </vt:variant>
      <vt:variant>
        <vt:lpwstr/>
      </vt:variant>
      <vt:variant>
        <vt:i4>3276915</vt:i4>
      </vt:variant>
      <vt:variant>
        <vt:i4>162</vt:i4>
      </vt:variant>
      <vt:variant>
        <vt:i4>0</vt:i4>
      </vt:variant>
      <vt:variant>
        <vt:i4>5</vt:i4>
      </vt:variant>
      <vt:variant>
        <vt:lpwstr>http://www.nevo.co.il/case/5937094</vt:lpwstr>
      </vt:variant>
      <vt:variant>
        <vt:lpwstr/>
      </vt:variant>
      <vt:variant>
        <vt:i4>3932273</vt:i4>
      </vt:variant>
      <vt:variant>
        <vt:i4>159</vt:i4>
      </vt:variant>
      <vt:variant>
        <vt:i4>0</vt:i4>
      </vt:variant>
      <vt:variant>
        <vt:i4>5</vt:i4>
      </vt:variant>
      <vt:variant>
        <vt:lpwstr>http://www.nevo.co.il/case/21037797</vt:lpwstr>
      </vt:variant>
      <vt:variant>
        <vt:lpwstr/>
      </vt:variant>
      <vt:variant>
        <vt:i4>3145847</vt:i4>
      </vt:variant>
      <vt:variant>
        <vt:i4>156</vt:i4>
      </vt:variant>
      <vt:variant>
        <vt:i4>0</vt:i4>
      </vt:variant>
      <vt:variant>
        <vt:i4>5</vt:i4>
      </vt:variant>
      <vt:variant>
        <vt:lpwstr>http://www.nevo.co.il/case/13070717</vt:lpwstr>
      </vt:variant>
      <vt:variant>
        <vt:lpwstr/>
      </vt:variant>
      <vt:variant>
        <vt:i4>3539070</vt:i4>
      </vt:variant>
      <vt:variant>
        <vt:i4>153</vt:i4>
      </vt:variant>
      <vt:variant>
        <vt:i4>0</vt:i4>
      </vt:variant>
      <vt:variant>
        <vt:i4>5</vt:i4>
      </vt:variant>
      <vt:variant>
        <vt:lpwstr>http://www.nevo.co.il/case/25690628</vt:lpwstr>
      </vt:variant>
      <vt:variant>
        <vt:lpwstr/>
      </vt:variant>
      <vt:variant>
        <vt:i4>6160395</vt:i4>
      </vt:variant>
      <vt:variant>
        <vt:i4>150</vt:i4>
      </vt:variant>
      <vt:variant>
        <vt:i4>0</vt:i4>
      </vt:variant>
      <vt:variant>
        <vt:i4>5</vt:i4>
      </vt:variant>
      <vt:variant>
        <vt:lpwstr>http://www.nevo.co.il/law/72991/5.a.4</vt:lpwstr>
      </vt:variant>
      <vt:variant>
        <vt:lpwstr/>
      </vt:variant>
      <vt:variant>
        <vt:i4>7405678</vt:i4>
      </vt:variant>
      <vt:variant>
        <vt:i4>147</vt:i4>
      </vt:variant>
      <vt:variant>
        <vt:i4>0</vt:i4>
      </vt:variant>
      <vt:variant>
        <vt:i4>5</vt:i4>
      </vt:variant>
      <vt:variant>
        <vt:lpwstr>http://www.nevo.co.il/law/72991</vt:lpwstr>
      </vt:variant>
      <vt:variant>
        <vt:lpwstr/>
      </vt:variant>
      <vt:variant>
        <vt:i4>3932282</vt:i4>
      </vt:variant>
      <vt:variant>
        <vt:i4>144</vt:i4>
      </vt:variant>
      <vt:variant>
        <vt:i4>0</vt:i4>
      </vt:variant>
      <vt:variant>
        <vt:i4>5</vt:i4>
      </vt:variant>
      <vt:variant>
        <vt:lpwstr>http://www.nevo.co.il/case/21592697</vt:lpwstr>
      </vt:variant>
      <vt:variant>
        <vt:lpwstr/>
      </vt:variant>
      <vt:variant>
        <vt:i4>4128884</vt:i4>
      </vt:variant>
      <vt:variant>
        <vt:i4>141</vt:i4>
      </vt:variant>
      <vt:variant>
        <vt:i4>0</vt:i4>
      </vt:variant>
      <vt:variant>
        <vt:i4>5</vt:i4>
      </vt:variant>
      <vt:variant>
        <vt:lpwstr>http://www.nevo.co.il/case/20991958</vt:lpwstr>
      </vt:variant>
      <vt:variant>
        <vt:lpwstr/>
      </vt:variant>
      <vt:variant>
        <vt:i4>3145841</vt:i4>
      </vt:variant>
      <vt:variant>
        <vt:i4>138</vt:i4>
      </vt:variant>
      <vt:variant>
        <vt:i4>0</vt:i4>
      </vt:variant>
      <vt:variant>
        <vt:i4>5</vt:i4>
      </vt:variant>
      <vt:variant>
        <vt:lpwstr>http://www.nevo.co.il/case/23672166</vt:lpwstr>
      </vt:variant>
      <vt:variant>
        <vt:lpwstr/>
      </vt:variant>
      <vt:variant>
        <vt:i4>3276917</vt:i4>
      </vt:variant>
      <vt:variant>
        <vt:i4>135</vt:i4>
      </vt:variant>
      <vt:variant>
        <vt:i4>0</vt:i4>
      </vt:variant>
      <vt:variant>
        <vt:i4>5</vt:i4>
      </vt:variant>
      <vt:variant>
        <vt:lpwstr>http://www.nevo.co.il/case/25457133</vt:lpwstr>
      </vt:variant>
      <vt:variant>
        <vt:lpwstr/>
      </vt:variant>
      <vt:variant>
        <vt:i4>3276919</vt:i4>
      </vt:variant>
      <vt:variant>
        <vt:i4>132</vt:i4>
      </vt:variant>
      <vt:variant>
        <vt:i4>0</vt:i4>
      </vt:variant>
      <vt:variant>
        <vt:i4>5</vt:i4>
      </vt:variant>
      <vt:variant>
        <vt:lpwstr>http://www.nevo.co.il/case/24335465</vt:lpwstr>
      </vt:variant>
      <vt:variant>
        <vt:lpwstr/>
      </vt:variant>
      <vt:variant>
        <vt:i4>3604596</vt:i4>
      </vt:variant>
      <vt:variant>
        <vt:i4>129</vt:i4>
      </vt:variant>
      <vt:variant>
        <vt:i4>0</vt:i4>
      </vt:variant>
      <vt:variant>
        <vt:i4>5</vt:i4>
      </vt:variant>
      <vt:variant>
        <vt:lpwstr>http://www.nevo.co.il/case/22645661</vt:lpwstr>
      </vt:variant>
      <vt:variant>
        <vt:lpwstr/>
      </vt:variant>
      <vt:variant>
        <vt:i4>3539057</vt:i4>
      </vt:variant>
      <vt:variant>
        <vt:i4>126</vt:i4>
      </vt:variant>
      <vt:variant>
        <vt:i4>0</vt:i4>
      </vt:variant>
      <vt:variant>
        <vt:i4>5</vt:i4>
      </vt:variant>
      <vt:variant>
        <vt:lpwstr>http://www.nevo.co.il/case/23777143</vt:lpwstr>
      </vt:variant>
      <vt:variant>
        <vt:lpwstr/>
      </vt:variant>
      <vt:variant>
        <vt:i4>4128890</vt:i4>
      </vt:variant>
      <vt:variant>
        <vt:i4>123</vt:i4>
      </vt:variant>
      <vt:variant>
        <vt:i4>0</vt:i4>
      </vt:variant>
      <vt:variant>
        <vt:i4>5</vt:i4>
      </vt:variant>
      <vt:variant>
        <vt:lpwstr>http://www.nevo.co.il/case/24398360</vt:lpwstr>
      </vt:variant>
      <vt:variant>
        <vt:lpwstr/>
      </vt:variant>
      <vt:variant>
        <vt:i4>3932282</vt:i4>
      </vt:variant>
      <vt:variant>
        <vt:i4>120</vt:i4>
      </vt:variant>
      <vt:variant>
        <vt:i4>0</vt:i4>
      </vt:variant>
      <vt:variant>
        <vt:i4>5</vt:i4>
      </vt:variant>
      <vt:variant>
        <vt:lpwstr>http://www.nevo.co.il/case/26804829</vt:lpwstr>
      </vt:variant>
      <vt:variant>
        <vt:lpwstr/>
      </vt:variant>
      <vt:variant>
        <vt:i4>3211386</vt:i4>
      </vt:variant>
      <vt:variant>
        <vt:i4>117</vt:i4>
      </vt:variant>
      <vt:variant>
        <vt:i4>0</vt:i4>
      </vt:variant>
      <vt:variant>
        <vt:i4>5</vt:i4>
      </vt:variant>
      <vt:variant>
        <vt:lpwstr>http://www.nevo.co.il/case/27481166</vt:lpwstr>
      </vt:variant>
      <vt:variant>
        <vt:lpwstr/>
      </vt:variant>
      <vt:variant>
        <vt:i4>3670137</vt:i4>
      </vt:variant>
      <vt:variant>
        <vt:i4>114</vt:i4>
      </vt:variant>
      <vt:variant>
        <vt:i4>0</vt:i4>
      </vt:variant>
      <vt:variant>
        <vt:i4>5</vt:i4>
      </vt:variant>
      <vt:variant>
        <vt:lpwstr>http://www.nevo.co.il/case/27537984</vt:lpwstr>
      </vt:variant>
      <vt:variant>
        <vt:lpwstr/>
      </vt:variant>
      <vt:variant>
        <vt:i4>3276918</vt:i4>
      </vt:variant>
      <vt:variant>
        <vt:i4>111</vt:i4>
      </vt:variant>
      <vt:variant>
        <vt:i4>0</vt:i4>
      </vt:variant>
      <vt:variant>
        <vt:i4>5</vt:i4>
      </vt:variant>
      <vt:variant>
        <vt:lpwstr>http://www.nevo.co.il/case/26732753</vt:lpwstr>
      </vt:variant>
      <vt:variant>
        <vt:lpwstr/>
      </vt:variant>
      <vt:variant>
        <vt:i4>3735674</vt:i4>
      </vt:variant>
      <vt:variant>
        <vt:i4>108</vt:i4>
      </vt:variant>
      <vt:variant>
        <vt:i4>0</vt:i4>
      </vt:variant>
      <vt:variant>
        <vt:i4>5</vt:i4>
      </vt:variant>
      <vt:variant>
        <vt:lpwstr>http://www.nevo.co.il/case/27002992</vt:lpwstr>
      </vt:variant>
      <vt:variant>
        <vt:lpwstr/>
      </vt:variant>
      <vt:variant>
        <vt:i4>3735676</vt:i4>
      </vt:variant>
      <vt:variant>
        <vt:i4>105</vt:i4>
      </vt:variant>
      <vt:variant>
        <vt:i4>0</vt:i4>
      </vt:variant>
      <vt:variant>
        <vt:i4>5</vt:i4>
      </vt:variant>
      <vt:variant>
        <vt:lpwstr>http://www.nevo.co.il/case/26765897</vt:lpwstr>
      </vt:variant>
      <vt:variant>
        <vt:lpwstr/>
      </vt:variant>
      <vt:variant>
        <vt:i4>4128882</vt:i4>
      </vt:variant>
      <vt:variant>
        <vt:i4>102</vt:i4>
      </vt:variant>
      <vt:variant>
        <vt:i4>0</vt:i4>
      </vt:variant>
      <vt:variant>
        <vt:i4>5</vt:i4>
      </vt:variant>
      <vt:variant>
        <vt:lpwstr>http://www.nevo.co.il/case/21639429</vt:lpwstr>
      </vt:variant>
      <vt:variant>
        <vt:lpwstr/>
      </vt:variant>
      <vt:variant>
        <vt:i4>3407988</vt:i4>
      </vt:variant>
      <vt:variant>
        <vt:i4>99</vt:i4>
      </vt:variant>
      <vt:variant>
        <vt:i4>0</vt:i4>
      </vt:variant>
      <vt:variant>
        <vt:i4>5</vt:i4>
      </vt:variant>
      <vt:variant>
        <vt:lpwstr>http://www.nevo.co.il/case/26022441</vt:lpwstr>
      </vt:variant>
      <vt:variant>
        <vt:lpwstr/>
      </vt:variant>
      <vt:variant>
        <vt:i4>3866749</vt:i4>
      </vt:variant>
      <vt:variant>
        <vt:i4>96</vt:i4>
      </vt:variant>
      <vt:variant>
        <vt:i4>0</vt:i4>
      </vt:variant>
      <vt:variant>
        <vt:i4>5</vt:i4>
      </vt:variant>
      <vt:variant>
        <vt:lpwstr>http://www.nevo.co.il/case/5844852</vt:lpwstr>
      </vt:variant>
      <vt:variant>
        <vt:lpwstr/>
      </vt:variant>
      <vt:variant>
        <vt:i4>3801206</vt:i4>
      </vt:variant>
      <vt:variant>
        <vt:i4>93</vt:i4>
      </vt:variant>
      <vt:variant>
        <vt:i4>0</vt:i4>
      </vt:variant>
      <vt:variant>
        <vt:i4>5</vt:i4>
      </vt:variant>
      <vt:variant>
        <vt:lpwstr>http://www.nevo.co.il/case/22841413</vt:lpwstr>
      </vt:variant>
      <vt:variant>
        <vt:lpwstr/>
      </vt:variant>
      <vt:variant>
        <vt:i4>3735679</vt:i4>
      </vt:variant>
      <vt:variant>
        <vt:i4>90</vt:i4>
      </vt:variant>
      <vt:variant>
        <vt:i4>0</vt:i4>
      </vt:variant>
      <vt:variant>
        <vt:i4>5</vt:i4>
      </vt:variant>
      <vt:variant>
        <vt:lpwstr>http://www.nevo.co.il/case/26991436</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3211386</vt:i4>
      </vt:variant>
      <vt:variant>
        <vt:i4>81</vt:i4>
      </vt:variant>
      <vt:variant>
        <vt:i4>0</vt:i4>
      </vt:variant>
      <vt:variant>
        <vt:i4>5</vt:i4>
      </vt:variant>
      <vt:variant>
        <vt:lpwstr>http://www.nevo.co.il/case/27615803</vt:lpwstr>
      </vt:variant>
      <vt:variant>
        <vt:lpwstr/>
      </vt:variant>
      <vt:variant>
        <vt:i4>3539065</vt:i4>
      </vt:variant>
      <vt:variant>
        <vt:i4>78</vt:i4>
      </vt:variant>
      <vt:variant>
        <vt:i4>0</vt:i4>
      </vt:variant>
      <vt:variant>
        <vt:i4>5</vt:i4>
      </vt:variant>
      <vt:variant>
        <vt:lpwstr>http://www.nevo.co.il/case/29428682</vt:lpwstr>
      </vt:variant>
      <vt:variant>
        <vt:lpwstr/>
      </vt:variant>
      <vt:variant>
        <vt:i4>3276927</vt:i4>
      </vt:variant>
      <vt:variant>
        <vt:i4>75</vt:i4>
      </vt:variant>
      <vt:variant>
        <vt:i4>0</vt:i4>
      </vt:variant>
      <vt:variant>
        <vt:i4>5</vt:i4>
      </vt:variant>
      <vt:variant>
        <vt:lpwstr>http://www.nevo.co.il/case/28437031</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3145851</vt:i4>
      </vt:variant>
      <vt:variant>
        <vt:i4>69</vt:i4>
      </vt:variant>
      <vt:variant>
        <vt:i4>0</vt:i4>
      </vt:variant>
      <vt:variant>
        <vt:i4>5</vt:i4>
      </vt:variant>
      <vt:variant>
        <vt:lpwstr>http://www.nevo.co.il/case/25829832</vt:lpwstr>
      </vt:variant>
      <vt:variant>
        <vt:lpwstr/>
      </vt:variant>
      <vt:variant>
        <vt:i4>3604599</vt:i4>
      </vt:variant>
      <vt:variant>
        <vt:i4>66</vt:i4>
      </vt:variant>
      <vt:variant>
        <vt:i4>0</vt:i4>
      </vt:variant>
      <vt:variant>
        <vt:i4>5</vt:i4>
      </vt:variant>
      <vt:variant>
        <vt:lpwstr>http://www.nevo.co.il/case/27665264</vt:lpwstr>
      </vt:variant>
      <vt:variant>
        <vt:lpwstr/>
      </vt:variant>
      <vt:variant>
        <vt:i4>3670135</vt:i4>
      </vt:variant>
      <vt:variant>
        <vt:i4>63</vt:i4>
      </vt:variant>
      <vt:variant>
        <vt:i4>0</vt:i4>
      </vt:variant>
      <vt:variant>
        <vt:i4>5</vt:i4>
      </vt:variant>
      <vt:variant>
        <vt:lpwstr>http://www.nevo.co.il/case/27229615</vt:lpwstr>
      </vt:variant>
      <vt:variant>
        <vt:lpwstr/>
      </vt:variant>
      <vt:variant>
        <vt:i4>3539060</vt:i4>
      </vt:variant>
      <vt:variant>
        <vt:i4>60</vt:i4>
      </vt:variant>
      <vt:variant>
        <vt:i4>0</vt:i4>
      </vt:variant>
      <vt:variant>
        <vt:i4>5</vt:i4>
      </vt:variant>
      <vt:variant>
        <vt:lpwstr>http://www.nevo.co.il/case/20114119</vt:lpwstr>
      </vt:variant>
      <vt:variant>
        <vt:lpwstr/>
      </vt:variant>
      <vt:variant>
        <vt:i4>3473524</vt:i4>
      </vt:variant>
      <vt:variant>
        <vt:i4>57</vt:i4>
      </vt:variant>
      <vt:variant>
        <vt:i4>0</vt:i4>
      </vt:variant>
      <vt:variant>
        <vt:i4>5</vt:i4>
      </vt:variant>
      <vt:variant>
        <vt:lpwstr>http://www.nevo.co.il/case/20114120</vt:lpwstr>
      </vt:variant>
      <vt:variant>
        <vt:lpwstr/>
      </vt:variant>
      <vt:variant>
        <vt:i4>3407989</vt:i4>
      </vt:variant>
      <vt:variant>
        <vt:i4>54</vt:i4>
      </vt:variant>
      <vt:variant>
        <vt:i4>0</vt:i4>
      </vt:variant>
      <vt:variant>
        <vt:i4>5</vt:i4>
      </vt:variant>
      <vt:variant>
        <vt:lpwstr>http://www.nevo.co.il/case/4175255</vt:lpwstr>
      </vt:variant>
      <vt:variant>
        <vt:lpwstr/>
      </vt:variant>
      <vt:variant>
        <vt:i4>3801210</vt:i4>
      </vt:variant>
      <vt:variant>
        <vt:i4>51</vt:i4>
      </vt:variant>
      <vt:variant>
        <vt:i4>0</vt:i4>
      </vt:variant>
      <vt:variant>
        <vt:i4>5</vt:i4>
      </vt:variant>
      <vt:variant>
        <vt:lpwstr>http://www.nevo.co.il/case/5896402</vt:lpwstr>
      </vt:variant>
      <vt:variant>
        <vt:lpwstr/>
      </vt:variant>
      <vt:variant>
        <vt:i4>3801206</vt:i4>
      </vt:variant>
      <vt:variant>
        <vt:i4>48</vt:i4>
      </vt:variant>
      <vt:variant>
        <vt:i4>0</vt:i4>
      </vt:variant>
      <vt:variant>
        <vt:i4>5</vt:i4>
      </vt:variant>
      <vt:variant>
        <vt:lpwstr>http://www.nevo.co.il/case/6780652</vt:lpwstr>
      </vt:variant>
      <vt:variant>
        <vt:lpwstr/>
      </vt:variant>
      <vt:variant>
        <vt:i4>4128886</vt:i4>
      </vt:variant>
      <vt:variant>
        <vt:i4>45</vt:i4>
      </vt:variant>
      <vt:variant>
        <vt:i4>0</vt:i4>
      </vt:variant>
      <vt:variant>
        <vt:i4>5</vt:i4>
      </vt:variant>
      <vt:variant>
        <vt:lpwstr>http://www.nevo.co.il/case/11269559</vt:lpwstr>
      </vt:variant>
      <vt:variant>
        <vt:lpwstr/>
      </vt:variant>
      <vt:variant>
        <vt:i4>3604592</vt:i4>
      </vt:variant>
      <vt:variant>
        <vt:i4>42</vt:i4>
      </vt:variant>
      <vt:variant>
        <vt:i4>0</vt:i4>
      </vt:variant>
      <vt:variant>
        <vt:i4>5</vt:i4>
      </vt:variant>
      <vt:variant>
        <vt:lpwstr>http://www.nevo.co.il/case/5576772</vt:lpwstr>
      </vt:variant>
      <vt:variant>
        <vt:lpwstr/>
      </vt:variant>
      <vt:variant>
        <vt:i4>3997819</vt:i4>
      </vt:variant>
      <vt:variant>
        <vt:i4>39</vt:i4>
      </vt:variant>
      <vt:variant>
        <vt:i4>0</vt:i4>
      </vt:variant>
      <vt:variant>
        <vt:i4>5</vt:i4>
      </vt:variant>
      <vt:variant>
        <vt:lpwstr>http://www.nevo.co.il/case/7688113</vt:lpwstr>
      </vt:variant>
      <vt:variant>
        <vt:lpwstr/>
      </vt:variant>
      <vt:variant>
        <vt:i4>3997811</vt:i4>
      </vt:variant>
      <vt:variant>
        <vt:i4>36</vt:i4>
      </vt:variant>
      <vt:variant>
        <vt:i4>0</vt:i4>
      </vt:variant>
      <vt:variant>
        <vt:i4>5</vt:i4>
      </vt:variant>
      <vt:variant>
        <vt:lpwstr>http://www.nevo.co.il/case/16941543</vt:lpwstr>
      </vt:variant>
      <vt:variant>
        <vt:lpwstr/>
      </vt:variant>
      <vt:variant>
        <vt:i4>3997813</vt:i4>
      </vt:variant>
      <vt:variant>
        <vt:i4>33</vt:i4>
      </vt:variant>
      <vt:variant>
        <vt:i4>0</vt:i4>
      </vt:variant>
      <vt:variant>
        <vt:i4>5</vt:i4>
      </vt:variant>
      <vt:variant>
        <vt:lpwstr>http://www.nevo.co.il/case/18118854</vt:lpwstr>
      </vt:variant>
      <vt:variant>
        <vt:lpwstr/>
      </vt:variant>
      <vt:variant>
        <vt:i4>3211378</vt:i4>
      </vt:variant>
      <vt:variant>
        <vt:i4>30</vt:i4>
      </vt:variant>
      <vt:variant>
        <vt:i4>0</vt:i4>
      </vt:variant>
      <vt:variant>
        <vt:i4>5</vt:i4>
      </vt:variant>
      <vt:variant>
        <vt:lpwstr>http://www.nevo.co.il/case/24345651</vt:lpwstr>
      </vt:variant>
      <vt:variant>
        <vt:lpwstr/>
      </vt:variant>
      <vt:variant>
        <vt:i4>3342457</vt:i4>
      </vt:variant>
      <vt:variant>
        <vt:i4>27</vt:i4>
      </vt:variant>
      <vt:variant>
        <vt:i4>0</vt:i4>
      </vt:variant>
      <vt:variant>
        <vt:i4>5</vt:i4>
      </vt:variant>
      <vt:variant>
        <vt:lpwstr>http://www.nevo.co.il/case/26496234</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6160395</vt:i4>
      </vt:variant>
      <vt:variant>
        <vt:i4>12</vt:i4>
      </vt:variant>
      <vt:variant>
        <vt:i4>0</vt:i4>
      </vt:variant>
      <vt:variant>
        <vt:i4>5</vt:i4>
      </vt:variant>
      <vt:variant>
        <vt:lpwstr>http://www.nevo.co.il/law/72991/5.a.4</vt:lpwstr>
      </vt:variant>
      <vt:variant>
        <vt:lpwstr/>
      </vt:variant>
      <vt:variant>
        <vt:i4>7405678</vt:i4>
      </vt:variant>
      <vt:variant>
        <vt:i4>9</vt:i4>
      </vt:variant>
      <vt:variant>
        <vt:i4>0</vt:i4>
      </vt:variant>
      <vt:variant>
        <vt:i4>5</vt:i4>
      </vt:variant>
      <vt:variant>
        <vt:lpwstr>http://www.nevo.co.il/law/72991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3092</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אושר מויאל</vt:lpwstr>
  </property>
  <property fmtid="{D5CDD505-2E9C-101B-9397-08002B2CF9AE}" pid="10" name="LAWYER">
    <vt:lpwstr>כהן;רונית אבישר</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20240327</vt:lpwstr>
  </property>
  <property fmtid="{D5CDD505-2E9C-101B-9397-08002B2CF9AE}" pid="14" name="TYPE_N_DATE">
    <vt:lpwstr>38020240327</vt:lpwstr>
  </property>
  <property fmtid="{D5CDD505-2E9C-101B-9397-08002B2CF9AE}" pid="15" name="WORDNUMPAGES">
    <vt:lpwstr>12</vt:lpwstr>
  </property>
  <property fmtid="{D5CDD505-2E9C-101B-9397-08002B2CF9AE}" pid="16" name="TYPE_ABS_DATE">
    <vt:lpwstr>380020240327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5810781;26496234;24345651;18118854;16941543;7688113;5576772;11269559;6780652;5896402;4175255;20114120;20114119;27229615;27665264;25829832;23827604;28437031;29428682;27615803;27313460;28226828;26991436;22841413;5844852;26022441;21639429;26765897;27002992</vt:lpwstr>
  </property>
  <property fmtid="{D5CDD505-2E9C-101B-9397-08002B2CF9AE}" pid="36" name="CASESLISTTMP2">
    <vt:lpwstr>26732753;27537984;27481166;26804829;24398360;23777143;22645661;24335465;25457133;23672166;20991958;21592697;25690628;13070717;21037797;5937094;6089504;23775111;21475024;10442453;30010816;29512686;26542736</vt:lpwstr>
  </property>
  <property fmtid="{D5CDD505-2E9C-101B-9397-08002B2CF9AE}" pid="37" name="LAWLISTTMP1">
    <vt:lpwstr>4216/007.a;007.c</vt:lpwstr>
  </property>
  <property fmtid="{D5CDD505-2E9C-101B-9397-08002B2CF9AE}" pid="38" name="LAWLISTTMP2">
    <vt:lpwstr>72991/005.a.4</vt:lpwstr>
  </property>
</Properties>
</file>