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063DC" w:rsidRPr="00AB268F" w14:paraId="26CA47A1" w14:textId="77777777" w:rsidTr="00495C42">
        <w:trPr>
          <w:trHeight w:hRule="exact" w:val="418"/>
          <w:jc w:val="center"/>
        </w:trPr>
        <w:tc>
          <w:tcPr>
            <w:tcW w:w="8721" w:type="dxa"/>
            <w:gridSpan w:val="2"/>
          </w:tcPr>
          <w:p w14:paraId="4EB592B7" w14:textId="77777777" w:rsidR="00F063DC" w:rsidRPr="00AB268F" w:rsidRDefault="00F063DC" w:rsidP="005F48D8">
            <w:pPr>
              <w:pStyle w:val="a3"/>
              <w:jc w:val="center"/>
              <w:rPr>
                <w:rFonts w:ascii="Tahoma" w:hAnsi="Tahoma" w:cs="Tahoma"/>
                <w:color w:val="000080"/>
                <w:rtl/>
              </w:rPr>
            </w:pPr>
            <w:bookmarkStart w:id="0" w:name="LastJudge"/>
            <w:r w:rsidRPr="00AB268F">
              <w:rPr>
                <w:rFonts w:ascii="Tahoma" w:hAnsi="Tahoma" w:cs="Tahoma"/>
                <w:b/>
                <w:bCs/>
                <w:color w:val="000080"/>
                <w:rtl/>
              </w:rPr>
              <w:t>בית משפט השלום בחדרה</w:t>
            </w:r>
          </w:p>
        </w:tc>
      </w:tr>
      <w:tr w:rsidR="00F063DC" w:rsidRPr="0050477D" w14:paraId="33E285AF" w14:textId="77777777" w:rsidTr="00495C42">
        <w:trPr>
          <w:trHeight w:val="337"/>
          <w:jc w:val="center"/>
        </w:trPr>
        <w:tc>
          <w:tcPr>
            <w:tcW w:w="5055" w:type="dxa"/>
          </w:tcPr>
          <w:p w14:paraId="392ABA77" w14:textId="77777777" w:rsidR="00F063DC" w:rsidRPr="0050477D" w:rsidRDefault="00F063DC" w:rsidP="0050477D">
            <w:pPr>
              <w:pStyle w:val="a3"/>
              <w:spacing w:before="120" w:after="120" w:line="240" w:lineRule="exact"/>
              <w:rPr>
                <w:rFonts w:ascii="David" w:hAnsi="David"/>
                <w:b/>
                <w:bCs/>
                <w:sz w:val="26"/>
                <w:szCs w:val="26"/>
                <w:rtl/>
              </w:rPr>
            </w:pPr>
            <w:r w:rsidRPr="0050477D">
              <w:rPr>
                <w:rFonts w:ascii="David" w:hAnsi="David"/>
                <w:b/>
                <w:bCs/>
                <w:sz w:val="26"/>
                <w:szCs w:val="26"/>
                <w:rtl/>
              </w:rPr>
              <w:t>ת"פ 5188-10-21 מדינת ישראל נ' פינחסוב</w:t>
            </w:r>
          </w:p>
        </w:tc>
        <w:tc>
          <w:tcPr>
            <w:tcW w:w="3666" w:type="dxa"/>
          </w:tcPr>
          <w:p w14:paraId="37402BF1" w14:textId="77777777" w:rsidR="00F063DC" w:rsidRPr="0050477D" w:rsidRDefault="00F063DC" w:rsidP="0050477D">
            <w:pPr>
              <w:pStyle w:val="a3"/>
              <w:spacing w:before="120" w:after="120" w:line="240" w:lineRule="exact"/>
              <w:jc w:val="right"/>
              <w:rPr>
                <w:rFonts w:ascii="David" w:hAnsi="David"/>
                <w:b/>
                <w:bCs/>
                <w:sz w:val="26"/>
                <w:szCs w:val="26"/>
                <w:rtl/>
              </w:rPr>
            </w:pPr>
          </w:p>
        </w:tc>
      </w:tr>
    </w:tbl>
    <w:p w14:paraId="142F48D8" w14:textId="77777777" w:rsidR="00F063DC" w:rsidRPr="0050477D" w:rsidRDefault="00F063DC" w:rsidP="00A41A9B">
      <w:pPr>
        <w:pStyle w:val="a3"/>
        <w:spacing w:before="120" w:after="120" w:line="240" w:lineRule="exact"/>
        <w:rPr>
          <w:rtl/>
        </w:rPr>
      </w:pPr>
      <w:r w:rsidRPr="0050477D">
        <w:rPr>
          <w:rtl/>
        </w:rPr>
        <w:t xml:space="preserve"> </w:t>
      </w:r>
    </w:p>
    <w:tbl>
      <w:tblPr>
        <w:bidiVisual/>
        <w:tblW w:w="8843" w:type="dxa"/>
        <w:jc w:val="center"/>
        <w:tblLook w:val="01E0" w:firstRow="1" w:lastRow="1" w:firstColumn="1" w:lastColumn="1" w:noHBand="0" w:noVBand="0"/>
      </w:tblPr>
      <w:tblGrid>
        <w:gridCol w:w="3219"/>
        <w:gridCol w:w="5624"/>
      </w:tblGrid>
      <w:tr w:rsidR="0050477D" w:rsidRPr="0050477D" w14:paraId="240A6E57" w14:textId="77777777" w:rsidTr="002E50DA">
        <w:trPr>
          <w:trHeight w:val="355"/>
          <w:jc w:val="center"/>
        </w:trPr>
        <w:tc>
          <w:tcPr>
            <w:tcW w:w="8843" w:type="dxa"/>
            <w:gridSpan w:val="2"/>
            <w:shd w:val="clear" w:color="auto" w:fill="auto"/>
          </w:tcPr>
          <w:p w14:paraId="750A37C5" w14:textId="77777777" w:rsidR="0050477D" w:rsidRPr="0050477D" w:rsidRDefault="0050477D" w:rsidP="0050477D">
            <w:pPr>
              <w:suppressLineNumbers/>
              <w:spacing w:before="120" w:after="120" w:line="240" w:lineRule="exact"/>
              <w:rPr>
                <w:rFonts w:ascii="David" w:hAnsi="David"/>
                <w:b/>
                <w:bCs/>
                <w:sz w:val="26"/>
                <w:szCs w:val="26"/>
                <w:rtl/>
              </w:rPr>
            </w:pPr>
            <w:r w:rsidRPr="0050477D">
              <w:rPr>
                <w:rFonts w:ascii="David" w:hAnsi="David"/>
                <w:b/>
                <w:bCs/>
                <w:sz w:val="26"/>
                <w:szCs w:val="26"/>
                <w:rtl/>
              </w:rPr>
              <w:t xml:space="preserve">בפני </w:t>
            </w:r>
            <w:r w:rsidRPr="0050477D">
              <w:rPr>
                <w:rFonts w:ascii="David" w:hAnsi="David"/>
                <w:b/>
                <w:bCs/>
                <w:sz w:val="26"/>
                <w:szCs w:val="26"/>
              </w:rPr>
              <w:t xml:space="preserve"> </w:t>
            </w:r>
            <w:r w:rsidRPr="0050477D">
              <w:rPr>
                <w:rFonts w:ascii="David" w:hAnsi="David"/>
                <w:b/>
                <w:bCs/>
                <w:sz w:val="26"/>
                <w:szCs w:val="26"/>
                <w:rtl/>
              </w:rPr>
              <w:t>כבוד השופט  אלכס אחטר</w:t>
            </w:r>
          </w:p>
        </w:tc>
      </w:tr>
      <w:tr w:rsidR="00F063DC" w:rsidRPr="0050477D" w14:paraId="70E863C4" w14:textId="77777777" w:rsidTr="0050477D">
        <w:trPr>
          <w:trHeight w:val="355"/>
          <w:jc w:val="center"/>
        </w:trPr>
        <w:tc>
          <w:tcPr>
            <w:tcW w:w="3219" w:type="dxa"/>
            <w:shd w:val="clear" w:color="auto" w:fill="auto"/>
          </w:tcPr>
          <w:p w14:paraId="3F37B721" w14:textId="77777777" w:rsidR="00F063DC" w:rsidRPr="0050477D" w:rsidRDefault="00F063DC" w:rsidP="0050477D">
            <w:pPr>
              <w:suppressLineNumbers/>
              <w:spacing w:before="120" w:after="120" w:line="240" w:lineRule="exact"/>
              <w:rPr>
                <w:rFonts w:ascii="David" w:hAnsi="David"/>
                <w:b/>
                <w:bCs/>
                <w:sz w:val="26"/>
                <w:szCs w:val="26"/>
              </w:rPr>
            </w:pPr>
            <w:bookmarkStart w:id="1" w:name="FirstAppellant"/>
            <w:bookmarkStart w:id="2" w:name="FirstLawyer"/>
            <w:r w:rsidRPr="0050477D">
              <w:rPr>
                <w:rFonts w:ascii="David" w:hAnsi="David"/>
                <w:b/>
                <w:bCs/>
                <w:sz w:val="26"/>
                <w:szCs w:val="26"/>
                <w:rtl/>
              </w:rPr>
              <w:t>המאשימה</w:t>
            </w:r>
          </w:p>
          <w:p w14:paraId="57793751" w14:textId="77777777" w:rsidR="00F063DC" w:rsidRPr="0050477D" w:rsidRDefault="00F063DC" w:rsidP="0050477D">
            <w:pPr>
              <w:spacing w:before="120" w:after="120" w:line="240" w:lineRule="exact"/>
              <w:rPr>
                <w:rFonts w:ascii="David" w:hAnsi="David"/>
                <w:b/>
                <w:bCs/>
                <w:sz w:val="26"/>
                <w:szCs w:val="26"/>
              </w:rPr>
            </w:pPr>
          </w:p>
        </w:tc>
        <w:tc>
          <w:tcPr>
            <w:tcW w:w="5624" w:type="dxa"/>
            <w:shd w:val="clear" w:color="auto" w:fill="auto"/>
            <w:vAlign w:val="center"/>
          </w:tcPr>
          <w:p w14:paraId="604BFF75" w14:textId="77777777" w:rsidR="00F063DC" w:rsidRPr="0050477D" w:rsidRDefault="00F063DC" w:rsidP="0050477D">
            <w:pPr>
              <w:suppressLineNumbers/>
              <w:spacing w:before="120" w:after="120" w:line="240" w:lineRule="exact"/>
              <w:rPr>
                <w:rFonts w:ascii="David" w:hAnsi="David"/>
                <w:b/>
                <w:bCs/>
                <w:sz w:val="26"/>
                <w:szCs w:val="26"/>
              </w:rPr>
            </w:pPr>
            <w:r w:rsidRPr="0050477D">
              <w:rPr>
                <w:rFonts w:ascii="David" w:hAnsi="David"/>
                <w:b/>
                <w:bCs/>
                <w:sz w:val="26"/>
                <w:szCs w:val="26"/>
                <w:rtl/>
              </w:rPr>
              <w:t xml:space="preserve">מדינת ישראל </w:t>
            </w:r>
          </w:p>
          <w:p w14:paraId="5E940DF5" w14:textId="77777777" w:rsidR="00F063DC" w:rsidRPr="0050477D" w:rsidRDefault="00F063DC" w:rsidP="0050477D">
            <w:pPr>
              <w:spacing w:before="120" w:after="120" w:line="240" w:lineRule="exact"/>
              <w:rPr>
                <w:rFonts w:ascii="David" w:hAnsi="David"/>
                <w:b/>
                <w:bCs/>
                <w:sz w:val="26"/>
                <w:szCs w:val="26"/>
              </w:rPr>
            </w:pPr>
            <w:r w:rsidRPr="0050477D">
              <w:rPr>
                <w:rFonts w:ascii="David" w:hAnsi="David"/>
                <w:b/>
                <w:bCs/>
                <w:sz w:val="26"/>
                <w:szCs w:val="26"/>
                <w:rtl/>
              </w:rPr>
              <w:t>על ידי ב"כ עו"ד שגיב אמיר</w:t>
            </w:r>
          </w:p>
        </w:tc>
      </w:tr>
      <w:bookmarkEnd w:id="1"/>
      <w:bookmarkEnd w:id="2"/>
      <w:tr w:rsidR="00F063DC" w:rsidRPr="0050477D" w14:paraId="560E1DA3" w14:textId="77777777" w:rsidTr="0050477D">
        <w:trPr>
          <w:trHeight w:val="355"/>
          <w:jc w:val="center"/>
        </w:trPr>
        <w:tc>
          <w:tcPr>
            <w:tcW w:w="8843" w:type="dxa"/>
            <w:gridSpan w:val="2"/>
            <w:shd w:val="clear" w:color="auto" w:fill="auto"/>
          </w:tcPr>
          <w:p w14:paraId="1E484865" w14:textId="77777777" w:rsidR="00F063DC" w:rsidRPr="0050477D" w:rsidRDefault="00F063DC" w:rsidP="0050477D">
            <w:pPr>
              <w:spacing w:before="240" w:after="240" w:line="240" w:lineRule="exact"/>
              <w:jc w:val="center"/>
              <w:rPr>
                <w:rFonts w:ascii="David" w:hAnsi="David" w:hint="cs"/>
                <w:b/>
                <w:bCs/>
                <w:sz w:val="26"/>
                <w:szCs w:val="26"/>
              </w:rPr>
            </w:pPr>
            <w:r w:rsidRPr="0050477D">
              <w:rPr>
                <w:rFonts w:ascii="David" w:hAnsi="David"/>
                <w:b/>
                <w:bCs/>
                <w:sz w:val="26"/>
                <w:szCs w:val="26"/>
                <w:rtl/>
              </w:rPr>
              <w:t>נגד</w:t>
            </w:r>
          </w:p>
        </w:tc>
      </w:tr>
      <w:tr w:rsidR="00F063DC" w:rsidRPr="0050477D" w14:paraId="45C853A7" w14:textId="77777777" w:rsidTr="0050477D">
        <w:trPr>
          <w:trHeight w:val="355"/>
          <w:jc w:val="center"/>
        </w:trPr>
        <w:tc>
          <w:tcPr>
            <w:tcW w:w="3219" w:type="dxa"/>
            <w:shd w:val="clear" w:color="auto" w:fill="auto"/>
          </w:tcPr>
          <w:p w14:paraId="7693D2F9" w14:textId="77777777" w:rsidR="00F063DC" w:rsidRPr="0050477D" w:rsidRDefault="00F063DC" w:rsidP="0050477D">
            <w:pPr>
              <w:spacing w:before="120" w:after="120" w:line="240" w:lineRule="exact"/>
              <w:rPr>
                <w:rFonts w:ascii="David" w:hAnsi="David"/>
                <w:b/>
                <w:bCs/>
                <w:sz w:val="26"/>
                <w:szCs w:val="26"/>
                <w:rtl/>
              </w:rPr>
            </w:pPr>
            <w:r w:rsidRPr="0050477D">
              <w:rPr>
                <w:rFonts w:ascii="David" w:hAnsi="David"/>
                <w:b/>
                <w:bCs/>
                <w:sz w:val="26"/>
                <w:szCs w:val="26"/>
                <w:rtl/>
              </w:rPr>
              <w:t>הנאשם</w:t>
            </w:r>
          </w:p>
        </w:tc>
        <w:tc>
          <w:tcPr>
            <w:tcW w:w="5624" w:type="dxa"/>
            <w:shd w:val="clear" w:color="auto" w:fill="auto"/>
            <w:vAlign w:val="center"/>
          </w:tcPr>
          <w:p w14:paraId="201195B7" w14:textId="77777777" w:rsidR="00F063DC" w:rsidRPr="0050477D" w:rsidRDefault="00F063DC" w:rsidP="0050477D">
            <w:pPr>
              <w:suppressLineNumbers/>
              <w:spacing w:before="120" w:after="120" w:line="240" w:lineRule="exact"/>
              <w:rPr>
                <w:rFonts w:ascii="David" w:hAnsi="David"/>
                <w:b/>
                <w:bCs/>
                <w:sz w:val="26"/>
                <w:szCs w:val="26"/>
              </w:rPr>
            </w:pPr>
            <w:r w:rsidRPr="0050477D">
              <w:rPr>
                <w:rFonts w:ascii="David" w:hAnsi="David"/>
                <w:b/>
                <w:bCs/>
                <w:sz w:val="26"/>
                <w:szCs w:val="26"/>
                <w:rtl/>
              </w:rPr>
              <w:t xml:space="preserve">שרון פינחסוב </w:t>
            </w:r>
          </w:p>
          <w:p w14:paraId="5DA95FAD" w14:textId="77777777" w:rsidR="00F063DC" w:rsidRPr="0050477D" w:rsidRDefault="00F063DC" w:rsidP="0050477D">
            <w:pPr>
              <w:spacing w:before="120" w:after="120" w:line="240" w:lineRule="exact"/>
              <w:rPr>
                <w:rFonts w:ascii="David" w:hAnsi="David"/>
                <w:b/>
                <w:bCs/>
                <w:sz w:val="26"/>
                <w:szCs w:val="26"/>
              </w:rPr>
            </w:pPr>
            <w:r w:rsidRPr="0050477D">
              <w:rPr>
                <w:rFonts w:ascii="David" w:hAnsi="David"/>
                <w:b/>
                <w:bCs/>
                <w:sz w:val="26"/>
                <w:szCs w:val="26"/>
                <w:rtl/>
              </w:rPr>
              <w:t xml:space="preserve">על ידי ב"כ עו"ד שי לוי </w:t>
            </w:r>
          </w:p>
        </w:tc>
      </w:tr>
    </w:tbl>
    <w:p w14:paraId="313E0569" w14:textId="77777777" w:rsidR="00A41A9B" w:rsidRPr="00A41A9B" w:rsidRDefault="00A41A9B" w:rsidP="00A41A9B">
      <w:pPr>
        <w:spacing w:before="120" w:after="120" w:line="240" w:lineRule="exact"/>
        <w:ind w:left="283" w:hanging="283"/>
        <w:jc w:val="both"/>
        <w:rPr>
          <w:rFonts w:ascii="FrankRuehl" w:hAnsi="FrankRuehl" w:cs="FrankRuehl"/>
          <w:rtl/>
        </w:rPr>
      </w:pPr>
      <w:bookmarkStart w:id="3" w:name="LawTable"/>
      <w:bookmarkEnd w:id="3"/>
    </w:p>
    <w:p w14:paraId="33625B85" w14:textId="77777777" w:rsidR="00A41A9B" w:rsidRPr="00A41A9B" w:rsidRDefault="00A41A9B" w:rsidP="00A41A9B">
      <w:pPr>
        <w:spacing w:before="120" w:after="120" w:line="240" w:lineRule="exact"/>
        <w:ind w:left="283" w:hanging="283"/>
        <w:jc w:val="both"/>
        <w:rPr>
          <w:rFonts w:ascii="FrankRuehl" w:hAnsi="FrankRuehl" w:cs="FrankRuehl"/>
          <w:rtl/>
        </w:rPr>
      </w:pPr>
      <w:r w:rsidRPr="00A41A9B">
        <w:rPr>
          <w:rFonts w:ascii="FrankRuehl" w:hAnsi="FrankRuehl" w:cs="FrankRuehl"/>
          <w:rtl/>
        </w:rPr>
        <w:t xml:space="preserve">חקיקה שאוזכרה: </w:t>
      </w:r>
    </w:p>
    <w:p w14:paraId="5F5DD701" w14:textId="77777777" w:rsidR="00A41A9B" w:rsidRPr="00A41A9B" w:rsidRDefault="00A41A9B" w:rsidP="00A41A9B">
      <w:pPr>
        <w:spacing w:before="120" w:after="120" w:line="240" w:lineRule="exact"/>
        <w:ind w:left="283" w:hanging="283"/>
        <w:jc w:val="both"/>
        <w:rPr>
          <w:rFonts w:ascii="FrankRuehl" w:hAnsi="FrankRuehl" w:cs="FrankRuehl"/>
          <w:color w:val="0000FF"/>
          <w:rtl/>
        </w:rPr>
      </w:pPr>
      <w:hyperlink r:id="rId7" w:history="1">
        <w:r w:rsidRPr="00A41A9B">
          <w:rPr>
            <w:rStyle w:val="Hyperlink"/>
            <w:rFonts w:ascii="FrankRuehl" w:hAnsi="FrankRuehl" w:cs="FrankRuehl"/>
            <w:u w:val="none"/>
            <w:rtl/>
          </w:rPr>
          <w:t>פקודת הסמים המסוכנים [נוסח חדש], תשל"ג-1973</w:t>
        </w:r>
      </w:hyperlink>
      <w:r w:rsidRPr="00A41A9B">
        <w:rPr>
          <w:rFonts w:ascii="FrankRuehl" w:hAnsi="FrankRuehl" w:cs="FrankRuehl"/>
          <w:color w:val="0000FF"/>
          <w:rtl/>
        </w:rPr>
        <w:t xml:space="preserve">: סע'  </w:t>
      </w:r>
      <w:hyperlink r:id="rId8" w:history="1">
        <w:r w:rsidRPr="00A41A9B">
          <w:rPr>
            <w:rStyle w:val="Hyperlink"/>
            <w:rFonts w:ascii="FrankRuehl" w:hAnsi="FrankRuehl" w:cs="FrankRuehl"/>
            <w:u w:val="none"/>
          </w:rPr>
          <w:t>6</w:t>
        </w:r>
      </w:hyperlink>
      <w:r w:rsidRPr="00A41A9B">
        <w:rPr>
          <w:rFonts w:ascii="FrankRuehl" w:hAnsi="FrankRuehl" w:cs="FrankRuehl"/>
          <w:color w:val="0000FF"/>
          <w:rtl/>
        </w:rPr>
        <w:t xml:space="preserve">, </w:t>
      </w:r>
      <w:hyperlink r:id="rId9" w:history="1">
        <w:r w:rsidRPr="00A41A9B">
          <w:rPr>
            <w:rStyle w:val="Hyperlink"/>
            <w:rFonts w:ascii="FrankRuehl" w:hAnsi="FrankRuehl" w:cs="FrankRuehl"/>
            <w:u w:val="none"/>
          </w:rPr>
          <w:t>7.</w:t>
        </w:r>
        <w:r w:rsidRPr="00A41A9B">
          <w:rPr>
            <w:rStyle w:val="Hyperlink"/>
            <w:rFonts w:ascii="FrankRuehl" w:hAnsi="FrankRuehl" w:cs="FrankRuehl"/>
            <w:u w:val="none"/>
            <w:rtl/>
          </w:rPr>
          <w:t>א</w:t>
        </w:r>
        <w:r w:rsidRPr="00A41A9B">
          <w:rPr>
            <w:rStyle w:val="Hyperlink"/>
            <w:rFonts w:ascii="FrankRuehl" w:hAnsi="FrankRuehl" w:cs="FrankRuehl"/>
            <w:u w:val="none"/>
          </w:rPr>
          <w:t>.</w:t>
        </w:r>
      </w:hyperlink>
      <w:r w:rsidRPr="00A41A9B">
        <w:rPr>
          <w:rFonts w:ascii="FrankRuehl" w:hAnsi="FrankRuehl" w:cs="FrankRuehl"/>
          <w:color w:val="0000FF"/>
          <w:rtl/>
        </w:rPr>
        <w:t xml:space="preserve">, </w:t>
      </w:r>
      <w:hyperlink r:id="rId10" w:history="1">
        <w:r w:rsidRPr="00A41A9B">
          <w:rPr>
            <w:rStyle w:val="Hyperlink"/>
            <w:rFonts w:ascii="FrankRuehl" w:hAnsi="FrankRuehl" w:cs="FrankRuehl"/>
            <w:u w:val="none"/>
          </w:rPr>
          <w:t>7.</w:t>
        </w:r>
        <w:r w:rsidRPr="00A41A9B">
          <w:rPr>
            <w:rStyle w:val="Hyperlink"/>
            <w:rFonts w:ascii="FrankRuehl" w:hAnsi="FrankRuehl" w:cs="FrankRuehl"/>
            <w:u w:val="none"/>
            <w:rtl/>
          </w:rPr>
          <w:t>ג</w:t>
        </w:r>
      </w:hyperlink>
    </w:p>
    <w:p w14:paraId="2E0E2B77" w14:textId="77777777" w:rsidR="00A41A9B" w:rsidRDefault="00A41A9B" w:rsidP="00A41A9B">
      <w:pPr>
        <w:spacing w:before="120" w:after="120" w:line="240" w:lineRule="exact"/>
        <w:ind w:left="283" w:hanging="283"/>
        <w:jc w:val="both"/>
        <w:rPr>
          <w:rFonts w:ascii="FrankRuehl" w:hAnsi="FrankRuehl" w:cs="FrankRuehl" w:hint="cs"/>
          <w:color w:val="0000FF"/>
          <w:rtl/>
        </w:rPr>
      </w:pPr>
      <w:hyperlink r:id="rId11" w:history="1">
        <w:r w:rsidRPr="00A41A9B">
          <w:rPr>
            <w:rStyle w:val="Hyperlink"/>
            <w:rFonts w:ascii="FrankRuehl" w:hAnsi="FrankRuehl" w:cs="FrankRuehl"/>
            <w:u w:val="none"/>
            <w:rtl/>
          </w:rPr>
          <w:t>חוק העונשין, תשל"ז-1977</w:t>
        </w:r>
      </w:hyperlink>
      <w:r w:rsidRPr="00A41A9B">
        <w:rPr>
          <w:rFonts w:ascii="FrankRuehl" w:hAnsi="FrankRuehl" w:cs="FrankRuehl"/>
          <w:color w:val="0000FF"/>
          <w:rtl/>
        </w:rPr>
        <w:t xml:space="preserve">: סע'  </w:t>
      </w:r>
      <w:hyperlink r:id="rId12" w:history="1">
        <w:r w:rsidRPr="00A41A9B">
          <w:rPr>
            <w:rStyle w:val="Hyperlink"/>
            <w:rFonts w:ascii="FrankRuehl" w:hAnsi="FrankRuehl" w:cs="FrankRuehl"/>
            <w:u w:val="none"/>
          </w:rPr>
          <w:t>40</w:t>
        </w:r>
        <w:r w:rsidRPr="00A41A9B">
          <w:rPr>
            <w:rStyle w:val="Hyperlink"/>
            <w:rFonts w:ascii="FrankRuehl" w:hAnsi="FrankRuehl" w:cs="FrankRuehl"/>
            <w:u w:val="none"/>
            <w:rtl/>
          </w:rPr>
          <w:t>ד</w:t>
        </w:r>
        <w:r w:rsidRPr="00A41A9B">
          <w:rPr>
            <w:rStyle w:val="Hyperlink"/>
            <w:rFonts w:ascii="FrankRuehl" w:hAnsi="FrankRuehl" w:cs="FrankRuehl"/>
            <w:u w:val="none"/>
          </w:rPr>
          <w:t>'</w:t>
        </w:r>
      </w:hyperlink>
      <w:r w:rsidRPr="00A41A9B">
        <w:rPr>
          <w:rFonts w:ascii="FrankRuehl" w:hAnsi="FrankRuehl" w:cs="FrankRuehl"/>
          <w:color w:val="0000FF"/>
          <w:rtl/>
        </w:rPr>
        <w:t xml:space="preserve">, </w:t>
      </w:r>
      <w:hyperlink r:id="rId13" w:history="1">
        <w:r w:rsidRPr="00A41A9B">
          <w:rPr>
            <w:rStyle w:val="Hyperlink"/>
            <w:rFonts w:ascii="FrankRuehl" w:hAnsi="FrankRuehl" w:cs="FrankRuehl"/>
            <w:u w:val="none"/>
          </w:rPr>
          <w:t xml:space="preserve">40 </w:t>
        </w:r>
        <w:r w:rsidRPr="00A41A9B">
          <w:rPr>
            <w:rStyle w:val="Hyperlink"/>
            <w:rFonts w:ascii="FrankRuehl" w:hAnsi="FrankRuehl" w:cs="FrankRuehl"/>
            <w:u w:val="none"/>
            <w:rtl/>
          </w:rPr>
          <w:t>ה</w:t>
        </w:r>
        <w:r w:rsidRPr="00A41A9B">
          <w:rPr>
            <w:rStyle w:val="Hyperlink"/>
            <w:rFonts w:ascii="FrankRuehl" w:hAnsi="FrankRuehl" w:cs="FrankRuehl"/>
            <w:u w:val="none"/>
          </w:rPr>
          <w:t>'</w:t>
        </w:r>
      </w:hyperlink>
      <w:r w:rsidRPr="00A41A9B">
        <w:rPr>
          <w:rFonts w:ascii="FrankRuehl" w:hAnsi="FrankRuehl" w:cs="FrankRuehl"/>
          <w:color w:val="0000FF"/>
          <w:rtl/>
        </w:rPr>
        <w:t xml:space="preserve">, </w:t>
      </w:r>
      <w:hyperlink r:id="rId14" w:history="1">
        <w:r w:rsidRPr="00A41A9B">
          <w:rPr>
            <w:rStyle w:val="Hyperlink"/>
            <w:rFonts w:ascii="FrankRuehl" w:hAnsi="FrankRuehl" w:cs="FrankRuehl"/>
            <w:u w:val="none"/>
          </w:rPr>
          <w:t>40</w:t>
        </w:r>
        <w:r w:rsidRPr="00A41A9B">
          <w:rPr>
            <w:rStyle w:val="Hyperlink"/>
            <w:rFonts w:ascii="FrankRuehl" w:hAnsi="FrankRuehl" w:cs="FrankRuehl"/>
            <w:u w:val="none"/>
            <w:rtl/>
          </w:rPr>
          <w:t>ט</w:t>
        </w:r>
        <w:r w:rsidRPr="00A41A9B">
          <w:rPr>
            <w:rStyle w:val="Hyperlink"/>
            <w:rFonts w:ascii="FrankRuehl" w:hAnsi="FrankRuehl" w:cs="FrankRuehl"/>
            <w:u w:val="none"/>
          </w:rPr>
          <w:t>'</w:t>
        </w:r>
      </w:hyperlink>
      <w:r w:rsidRPr="00A41A9B">
        <w:rPr>
          <w:rFonts w:ascii="FrankRuehl" w:hAnsi="FrankRuehl" w:cs="FrankRuehl"/>
          <w:color w:val="0000FF"/>
          <w:rtl/>
        </w:rPr>
        <w:t xml:space="preserve">, </w:t>
      </w:r>
      <w:hyperlink r:id="rId15" w:history="1">
        <w:r w:rsidRPr="00A41A9B">
          <w:rPr>
            <w:rStyle w:val="Hyperlink"/>
            <w:rFonts w:ascii="FrankRuehl" w:hAnsi="FrankRuehl" w:cs="FrankRuehl"/>
            <w:u w:val="none"/>
          </w:rPr>
          <w:t>40</w:t>
        </w:r>
        <w:r w:rsidRPr="00A41A9B">
          <w:rPr>
            <w:rStyle w:val="Hyperlink"/>
            <w:rFonts w:ascii="FrankRuehl" w:hAnsi="FrankRuehl" w:cs="FrankRuehl"/>
            <w:u w:val="none"/>
            <w:rtl/>
          </w:rPr>
          <w:t>יא</w:t>
        </w:r>
        <w:r w:rsidRPr="00A41A9B">
          <w:rPr>
            <w:rStyle w:val="Hyperlink"/>
            <w:rFonts w:ascii="FrankRuehl" w:hAnsi="FrankRuehl" w:cs="FrankRuehl"/>
            <w:u w:val="none"/>
          </w:rPr>
          <w:t>'</w:t>
        </w:r>
      </w:hyperlink>
    </w:p>
    <w:p w14:paraId="70A62F7F" w14:textId="77777777" w:rsidR="001138A5" w:rsidRDefault="001138A5" w:rsidP="00A41A9B">
      <w:pPr>
        <w:spacing w:before="120" w:after="120" w:line="240" w:lineRule="exact"/>
        <w:ind w:left="283" w:hanging="283"/>
        <w:jc w:val="both"/>
        <w:rPr>
          <w:rFonts w:ascii="FrankRuehl" w:hAnsi="FrankRuehl" w:cs="FrankRuehl" w:hint="cs"/>
          <w:color w:val="0000FF"/>
          <w:rtl/>
        </w:rPr>
      </w:pPr>
    </w:p>
    <w:p w14:paraId="32790EFA" w14:textId="77777777" w:rsidR="002C7D67" w:rsidRDefault="002C7D67" w:rsidP="002C7D67">
      <w:pPr>
        <w:pBdr>
          <w:top w:val="single" w:sz="4" w:space="1" w:color="auto"/>
          <w:bottom w:val="single" w:sz="4" w:space="1" w:color="auto"/>
        </w:pBdr>
        <w:spacing w:after="120" w:line="320" w:lineRule="exact"/>
        <w:jc w:val="both"/>
        <w:rPr>
          <w:rFonts w:cs="FrankRuehl" w:hint="cs"/>
          <w:noProof/>
          <w:szCs w:val="26"/>
          <w:rtl/>
        </w:rPr>
      </w:pPr>
      <w:bookmarkStart w:id="4" w:name="ABSTRACT_START"/>
      <w:bookmarkEnd w:id="4"/>
      <w:r>
        <w:rPr>
          <w:rFonts w:cs="FrankRuehl"/>
          <w:noProof/>
          <w:szCs w:val="26"/>
          <w:rtl/>
        </w:rPr>
        <w:t>מיני-רציו:</w:t>
      </w:r>
    </w:p>
    <w:p w14:paraId="69405FC4" w14:textId="77777777" w:rsidR="002C7D67" w:rsidRDefault="002C7D67" w:rsidP="002C7D67">
      <w:pPr>
        <w:pBdr>
          <w:top w:val="single" w:sz="4" w:space="1" w:color="auto"/>
          <w:bottom w:val="single" w:sz="4" w:space="1" w:color="auto"/>
        </w:pBdr>
        <w:spacing w:after="120" w:line="320" w:lineRule="exact"/>
        <w:jc w:val="both"/>
        <w:rPr>
          <w:rFonts w:cs="FrankRuehl" w:hint="cs"/>
          <w:noProof/>
          <w:szCs w:val="26"/>
          <w:rtl/>
        </w:rPr>
      </w:pPr>
      <w:r w:rsidRPr="002C7D67">
        <w:rPr>
          <w:rFonts w:cs="FrankRuehl" w:hint="cs"/>
          <w:noProof/>
          <w:szCs w:val="26"/>
          <w:rtl/>
        </w:rPr>
        <w:t xml:space="preserve">* גזר דין בעניינו של </w:t>
      </w:r>
      <w:r w:rsidRPr="002C7D67">
        <w:rPr>
          <w:rFonts w:cs="FrankRuehl"/>
          <w:noProof/>
          <w:szCs w:val="26"/>
          <w:rtl/>
        </w:rPr>
        <w:t xml:space="preserve">נאשם </w:t>
      </w:r>
      <w:r w:rsidRPr="002C7D67">
        <w:rPr>
          <w:rFonts w:cs="FrankRuehl" w:hint="cs"/>
          <w:noProof/>
          <w:szCs w:val="26"/>
          <w:rtl/>
        </w:rPr>
        <w:t>ש</w:t>
      </w:r>
      <w:r w:rsidRPr="002C7D67">
        <w:rPr>
          <w:rFonts w:cs="FrankRuehl"/>
          <w:noProof/>
          <w:szCs w:val="26"/>
          <w:rtl/>
        </w:rPr>
        <w:t>הורשע</w:t>
      </w:r>
      <w:r w:rsidRPr="002C7D67">
        <w:rPr>
          <w:rFonts w:cs="FrankRuehl" w:hint="cs"/>
          <w:noProof/>
          <w:szCs w:val="26"/>
          <w:rtl/>
        </w:rPr>
        <w:t xml:space="preserve"> בעבירה של </w:t>
      </w:r>
      <w:r w:rsidRPr="002C7D67">
        <w:rPr>
          <w:rFonts w:cs="FrankRuehl"/>
          <w:noProof/>
          <w:szCs w:val="26"/>
          <w:rtl/>
        </w:rPr>
        <w:t>גידול וייצור סמים</w:t>
      </w:r>
      <w:r w:rsidRPr="002C7D67">
        <w:rPr>
          <w:rFonts w:cs="FrankRuehl" w:hint="cs"/>
          <w:noProof/>
          <w:szCs w:val="26"/>
          <w:rtl/>
        </w:rPr>
        <w:t xml:space="preserve"> </w:t>
      </w:r>
      <w:r w:rsidRPr="002C7D67">
        <w:rPr>
          <w:rFonts w:cs="FrankRuehl"/>
          <w:noProof/>
          <w:szCs w:val="26"/>
          <w:rtl/>
        </w:rPr>
        <w:t>ו</w:t>
      </w:r>
      <w:r w:rsidRPr="002C7D67">
        <w:rPr>
          <w:rFonts w:cs="FrankRuehl" w:hint="cs"/>
          <w:noProof/>
          <w:szCs w:val="26"/>
          <w:rtl/>
        </w:rPr>
        <w:t xml:space="preserve">בעבירה של </w:t>
      </w:r>
      <w:r w:rsidRPr="002C7D67">
        <w:rPr>
          <w:rFonts w:cs="FrankRuehl"/>
          <w:noProof/>
          <w:szCs w:val="26"/>
          <w:rtl/>
        </w:rPr>
        <w:t>החזקה/שימוש בסמים שלא צריכה עצמית</w:t>
      </w:r>
      <w:r w:rsidRPr="002C7D67">
        <w:rPr>
          <w:rFonts w:cs="FrankRuehl" w:hint="cs"/>
          <w:noProof/>
          <w:szCs w:val="26"/>
          <w:rtl/>
        </w:rPr>
        <w:t>. הוטלו</w:t>
      </w:r>
      <w:r w:rsidRPr="002C7D67">
        <w:rPr>
          <w:rFonts w:cs="FrankRuehl"/>
          <w:szCs w:val="26"/>
          <w:rtl/>
        </w:rPr>
        <w:t xml:space="preserve"> על הנאשם</w:t>
      </w:r>
      <w:r w:rsidRPr="002C7D67">
        <w:rPr>
          <w:rFonts w:cs="FrankRuehl" w:hint="cs"/>
          <w:szCs w:val="26"/>
          <w:rtl/>
        </w:rPr>
        <w:t xml:space="preserve"> </w:t>
      </w:r>
      <w:r w:rsidRPr="002C7D67">
        <w:rPr>
          <w:rFonts w:cs="FrankRuehl"/>
          <w:szCs w:val="26"/>
          <w:rtl/>
        </w:rPr>
        <w:t>10 חודשי מאסר בפועל</w:t>
      </w:r>
      <w:r w:rsidRPr="002C7D67">
        <w:rPr>
          <w:rFonts w:cs="FrankRuehl" w:hint="cs"/>
          <w:szCs w:val="26"/>
          <w:rtl/>
        </w:rPr>
        <w:t>,</w:t>
      </w:r>
      <w:r w:rsidRPr="002C7D67">
        <w:rPr>
          <w:rFonts w:cs="FrankRuehl"/>
          <w:szCs w:val="26"/>
          <w:rtl/>
        </w:rPr>
        <w:t xml:space="preserve"> </w:t>
      </w:r>
      <w:r w:rsidRPr="002C7D67">
        <w:rPr>
          <w:rFonts w:cs="FrankRuehl" w:hint="cs"/>
          <w:szCs w:val="26"/>
          <w:rtl/>
        </w:rPr>
        <w:t>לצד ענישה נלווית</w:t>
      </w:r>
      <w:r w:rsidRPr="002C7D67">
        <w:rPr>
          <w:rFonts w:cs="FrankRuehl"/>
          <w:szCs w:val="26"/>
          <w:rtl/>
        </w:rPr>
        <w:t>.</w:t>
      </w:r>
    </w:p>
    <w:p w14:paraId="65A6BEF6" w14:textId="77777777" w:rsidR="001138A5" w:rsidRPr="002C7D67" w:rsidRDefault="002C7D67" w:rsidP="002C7D67">
      <w:pPr>
        <w:pBdr>
          <w:top w:val="single" w:sz="4" w:space="1" w:color="auto"/>
          <w:bottom w:val="single" w:sz="4" w:space="1" w:color="auto"/>
        </w:pBdr>
        <w:spacing w:after="120" w:line="320" w:lineRule="exact"/>
        <w:jc w:val="both"/>
        <w:rPr>
          <w:rFonts w:cs="FrankRuehl" w:hint="cs"/>
          <w:noProof/>
          <w:szCs w:val="26"/>
          <w:rtl/>
        </w:rPr>
      </w:pPr>
      <w:r>
        <w:rPr>
          <w:rFonts w:cs="FrankRuehl"/>
          <w:noProof/>
          <w:szCs w:val="26"/>
          <w:rtl/>
        </w:rPr>
        <w:t>* עונשין – ענישה – מדיניות ענישה: עבירות סמים</w:t>
      </w:r>
    </w:p>
    <w:p w14:paraId="48F8DEA0" w14:textId="77777777" w:rsidR="001138A5" w:rsidRPr="002C7D67" w:rsidRDefault="002C7D67" w:rsidP="002C7D67">
      <w:pPr>
        <w:pBdr>
          <w:top w:val="single" w:sz="4" w:space="1" w:color="auto"/>
          <w:bottom w:val="single" w:sz="4" w:space="1" w:color="auto"/>
        </w:pBdr>
        <w:spacing w:after="120" w:line="320" w:lineRule="exact"/>
        <w:jc w:val="both"/>
        <w:rPr>
          <w:rFonts w:cs="FrankRuehl" w:hint="cs"/>
          <w:noProof/>
          <w:szCs w:val="26"/>
          <w:rtl/>
        </w:rPr>
      </w:pPr>
      <w:r>
        <w:rPr>
          <w:rFonts w:cs="FrankRuehl" w:hint="cs"/>
          <w:noProof/>
          <w:szCs w:val="26"/>
          <w:rtl/>
        </w:rPr>
        <w:t>.</w:t>
      </w:r>
    </w:p>
    <w:p w14:paraId="0E817240" w14:textId="77777777" w:rsidR="001138A5" w:rsidRPr="002C7D67" w:rsidRDefault="001138A5" w:rsidP="002C7D67">
      <w:pPr>
        <w:pBdr>
          <w:top w:val="single" w:sz="4" w:space="1" w:color="auto"/>
          <w:bottom w:val="single" w:sz="4" w:space="1" w:color="auto"/>
        </w:pBdr>
        <w:spacing w:after="120" w:line="320" w:lineRule="exact"/>
        <w:jc w:val="both"/>
        <w:rPr>
          <w:rFonts w:cs="FrankRuehl"/>
          <w:szCs w:val="26"/>
          <w:rtl/>
        </w:rPr>
      </w:pPr>
      <w:r w:rsidRPr="002C7D67">
        <w:rPr>
          <w:rFonts w:cs="FrankRuehl"/>
          <w:noProof/>
          <w:szCs w:val="26"/>
          <w:rtl/>
        </w:rPr>
        <w:t xml:space="preserve">הנאשם הורשע </w:t>
      </w:r>
      <w:r w:rsidRPr="002C7D67">
        <w:rPr>
          <w:rFonts w:cs="FrankRuehl" w:hint="cs"/>
          <w:noProof/>
          <w:szCs w:val="26"/>
          <w:rtl/>
        </w:rPr>
        <w:t xml:space="preserve">על פי הודאתו בעבירה של </w:t>
      </w:r>
      <w:r w:rsidRPr="002C7D67">
        <w:rPr>
          <w:rFonts w:cs="FrankRuehl"/>
          <w:noProof/>
          <w:szCs w:val="26"/>
          <w:rtl/>
        </w:rPr>
        <w:t>גידול וייצור סמים</w:t>
      </w:r>
      <w:r w:rsidRPr="002C7D67">
        <w:rPr>
          <w:rFonts w:cs="FrankRuehl" w:hint="cs"/>
          <w:noProof/>
          <w:szCs w:val="26"/>
          <w:rtl/>
        </w:rPr>
        <w:t xml:space="preserve">, </w:t>
      </w:r>
      <w:r w:rsidRPr="002C7D67">
        <w:rPr>
          <w:rFonts w:cs="FrankRuehl"/>
          <w:noProof/>
          <w:szCs w:val="26"/>
          <w:rtl/>
        </w:rPr>
        <w:t xml:space="preserve">לפי </w:t>
      </w:r>
      <w:hyperlink r:id="rId16" w:history="1">
        <w:r w:rsidRPr="002C7D67">
          <w:rPr>
            <w:rStyle w:val="Hyperlink"/>
            <w:rFonts w:cs="FrankRuehl"/>
            <w:noProof/>
            <w:color w:val="auto"/>
            <w:szCs w:val="26"/>
            <w:u w:val="none"/>
            <w:rtl/>
          </w:rPr>
          <w:t>סעיף 6</w:t>
        </w:r>
      </w:hyperlink>
      <w:r w:rsidRPr="002C7D67">
        <w:rPr>
          <w:rFonts w:cs="FrankRuehl"/>
          <w:noProof/>
          <w:szCs w:val="26"/>
          <w:rtl/>
        </w:rPr>
        <w:t xml:space="preserve"> ל</w:t>
      </w:r>
      <w:hyperlink r:id="rId17" w:history="1">
        <w:r w:rsidRPr="002C7D67">
          <w:rPr>
            <w:rFonts w:cs="FrankRuehl"/>
            <w:noProof/>
            <w:szCs w:val="26"/>
            <w:rtl/>
          </w:rPr>
          <w:t>פקודת הסמים המסוכנים</w:t>
        </w:r>
      </w:hyperlink>
      <w:r w:rsidRPr="002C7D67">
        <w:rPr>
          <w:rFonts w:cs="FrankRuehl" w:hint="cs"/>
          <w:noProof/>
          <w:szCs w:val="26"/>
          <w:rtl/>
        </w:rPr>
        <w:t xml:space="preserve">, </w:t>
      </w:r>
      <w:r w:rsidRPr="002C7D67">
        <w:rPr>
          <w:rFonts w:cs="FrankRuehl"/>
          <w:noProof/>
          <w:szCs w:val="26"/>
          <w:rtl/>
        </w:rPr>
        <w:t>ו</w:t>
      </w:r>
      <w:r w:rsidRPr="002C7D67">
        <w:rPr>
          <w:rFonts w:cs="FrankRuehl" w:hint="cs"/>
          <w:noProof/>
          <w:szCs w:val="26"/>
          <w:rtl/>
        </w:rPr>
        <w:t xml:space="preserve">בעבירה של </w:t>
      </w:r>
      <w:r w:rsidRPr="002C7D67">
        <w:rPr>
          <w:rFonts w:cs="FrankRuehl"/>
          <w:noProof/>
          <w:szCs w:val="26"/>
          <w:rtl/>
        </w:rPr>
        <w:t>החזקה/שימוש בסמים שלא צריכה עצמית</w:t>
      </w:r>
      <w:r w:rsidRPr="002C7D67">
        <w:rPr>
          <w:rFonts w:cs="FrankRuehl" w:hint="cs"/>
          <w:noProof/>
          <w:szCs w:val="26"/>
          <w:rtl/>
        </w:rPr>
        <w:t>,</w:t>
      </w:r>
      <w:r w:rsidRPr="002C7D67">
        <w:rPr>
          <w:rFonts w:cs="FrankRuehl"/>
          <w:noProof/>
          <w:szCs w:val="26"/>
          <w:rtl/>
        </w:rPr>
        <w:t xml:space="preserve"> לפי </w:t>
      </w:r>
      <w:hyperlink r:id="rId18" w:history="1">
        <w:r w:rsidRPr="002C7D67">
          <w:rPr>
            <w:rStyle w:val="Hyperlink"/>
            <w:rFonts w:cs="FrankRuehl"/>
            <w:noProof/>
            <w:color w:val="auto"/>
            <w:szCs w:val="26"/>
            <w:u w:val="none"/>
            <w:rtl/>
          </w:rPr>
          <w:t>סעיף 7(א)+7(ג)</w:t>
        </w:r>
      </w:hyperlink>
      <w:r w:rsidRPr="002C7D67">
        <w:rPr>
          <w:rFonts w:cs="FrankRuehl"/>
          <w:noProof/>
          <w:szCs w:val="26"/>
          <w:rtl/>
        </w:rPr>
        <w:t xml:space="preserve"> רישא לפקודת הסמים המסוכנים.</w:t>
      </w:r>
    </w:p>
    <w:p w14:paraId="1708B7BA" w14:textId="77777777" w:rsidR="001138A5" w:rsidRPr="002C7D67" w:rsidRDefault="002C7D67" w:rsidP="002C7D6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47D1012" w14:textId="77777777" w:rsidR="001138A5" w:rsidRPr="002C7D67" w:rsidRDefault="001138A5" w:rsidP="002C7D67">
      <w:pPr>
        <w:pBdr>
          <w:top w:val="single" w:sz="4" w:space="1" w:color="auto"/>
          <w:bottom w:val="single" w:sz="4" w:space="1" w:color="auto"/>
        </w:pBdr>
        <w:spacing w:after="120" w:line="320" w:lineRule="exact"/>
        <w:jc w:val="both"/>
        <w:rPr>
          <w:rFonts w:cs="FrankRuehl" w:hint="cs"/>
          <w:szCs w:val="26"/>
          <w:rtl/>
        </w:rPr>
      </w:pPr>
      <w:r w:rsidRPr="002C7D67">
        <w:rPr>
          <w:rFonts w:cs="FrankRuehl" w:hint="cs"/>
          <w:szCs w:val="26"/>
          <w:rtl/>
        </w:rPr>
        <w:t>בית המשפט גזר את דינו של הנאשם, ופסק כלהלן:</w:t>
      </w:r>
    </w:p>
    <w:p w14:paraId="0CDE508B" w14:textId="77777777" w:rsidR="001138A5" w:rsidRPr="002C7D67" w:rsidRDefault="001138A5" w:rsidP="002C7D67">
      <w:pPr>
        <w:pBdr>
          <w:top w:val="single" w:sz="4" w:space="1" w:color="auto"/>
          <w:bottom w:val="single" w:sz="4" w:space="1" w:color="auto"/>
        </w:pBdr>
        <w:spacing w:after="120" w:line="320" w:lineRule="exact"/>
        <w:jc w:val="both"/>
        <w:rPr>
          <w:rFonts w:cs="FrankRuehl" w:hint="cs"/>
          <w:szCs w:val="26"/>
          <w:rtl/>
        </w:rPr>
      </w:pPr>
      <w:r w:rsidRPr="002C7D67">
        <w:rPr>
          <w:rFonts w:cs="FrankRuehl"/>
          <w:szCs w:val="26"/>
          <w:rtl/>
        </w:rPr>
        <w:t>עבירות הסמים פוגעות בשלומו ובריאותו של הציבור. גידול סם בכמויות גדולות והחזקה שלא לצריכה עצמית תורמות להפצת הסם. בנוסף לשימוש בסם עצמו, ההתמכרות לסמים והצורך במימונם יוצרת מעגלים רחבים של פשיעה בתחום הרכוש ובתחומים נוספים. בתי המשפט עמדו על הצורך בענישה משמעותית בעבירות אלו, המביאה בחשבון</w:t>
      </w:r>
      <w:r w:rsidRPr="002C7D67">
        <w:rPr>
          <w:rFonts w:cs="FrankRuehl" w:hint="cs"/>
          <w:szCs w:val="26"/>
          <w:rtl/>
        </w:rPr>
        <w:t>,</w:t>
      </w:r>
      <w:r w:rsidRPr="002C7D67">
        <w:rPr>
          <w:rFonts w:cs="FrankRuehl"/>
          <w:szCs w:val="26"/>
          <w:rtl/>
        </w:rPr>
        <w:t xml:space="preserve"> בין היתר</w:t>
      </w:r>
      <w:r w:rsidRPr="002C7D67">
        <w:rPr>
          <w:rFonts w:cs="FrankRuehl" w:hint="cs"/>
          <w:szCs w:val="26"/>
          <w:rtl/>
        </w:rPr>
        <w:t>,</w:t>
      </w:r>
      <w:r w:rsidRPr="002C7D67">
        <w:rPr>
          <w:rFonts w:cs="FrankRuehl"/>
          <w:szCs w:val="26"/>
          <w:rtl/>
        </w:rPr>
        <w:t xml:space="preserve"> את כמות הסם ואת חלקו של הנאשם בביצוע העבירות. 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r w:rsidRPr="002C7D67">
        <w:rPr>
          <w:rFonts w:cs="FrankRuehl" w:hint="cs"/>
          <w:szCs w:val="26"/>
          <w:rtl/>
        </w:rPr>
        <w:t>.</w:t>
      </w:r>
    </w:p>
    <w:p w14:paraId="47C49B58" w14:textId="77777777" w:rsidR="001138A5" w:rsidRPr="002C7D67" w:rsidRDefault="001138A5" w:rsidP="002C7D67">
      <w:pPr>
        <w:pBdr>
          <w:top w:val="single" w:sz="4" w:space="1" w:color="auto"/>
          <w:bottom w:val="single" w:sz="4" w:space="1" w:color="auto"/>
        </w:pBdr>
        <w:spacing w:after="120" w:line="320" w:lineRule="exact"/>
        <w:jc w:val="both"/>
        <w:rPr>
          <w:rFonts w:cs="FrankRuehl" w:hint="cs"/>
          <w:szCs w:val="26"/>
          <w:rtl/>
        </w:rPr>
      </w:pPr>
      <w:r w:rsidRPr="002C7D67">
        <w:rPr>
          <w:rFonts w:cs="FrankRuehl" w:hint="cs"/>
          <w:szCs w:val="26"/>
          <w:rtl/>
        </w:rPr>
        <w:lastRenderedPageBreak/>
        <w:t xml:space="preserve">הנאשם </w:t>
      </w:r>
      <w:r w:rsidRPr="002C7D67">
        <w:rPr>
          <w:rFonts w:cs="FrankRuehl"/>
          <w:szCs w:val="26"/>
          <w:rtl/>
        </w:rPr>
        <w:t xml:space="preserve">הורשע בעבירות גידול שלא לצריכה עצמית והחזקה שלא צריכה עצמית. </w:t>
      </w:r>
      <w:r w:rsidRPr="002C7D67">
        <w:rPr>
          <w:rFonts w:cs="FrankRuehl" w:hint="cs"/>
          <w:szCs w:val="26"/>
          <w:rtl/>
        </w:rPr>
        <w:t xml:space="preserve">הנאשם </w:t>
      </w:r>
      <w:r w:rsidRPr="002C7D67">
        <w:rPr>
          <w:rFonts w:cs="FrankRuehl"/>
          <w:szCs w:val="26"/>
          <w:rtl/>
        </w:rPr>
        <w:t>טען</w:t>
      </w:r>
      <w:r w:rsidRPr="002C7D67">
        <w:rPr>
          <w:rFonts w:cs="FrankRuehl" w:hint="cs"/>
          <w:szCs w:val="26"/>
          <w:rtl/>
        </w:rPr>
        <w:t xml:space="preserve"> </w:t>
      </w:r>
      <w:r w:rsidRPr="002C7D67">
        <w:rPr>
          <w:rFonts w:cs="FrankRuehl"/>
          <w:szCs w:val="26"/>
          <w:rtl/>
        </w:rPr>
        <w:t xml:space="preserve">שכל </w:t>
      </w:r>
      <w:r w:rsidRPr="002C7D67">
        <w:rPr>
          <w:rFonts w:cs="FrankRuehl" w:hint="cs"/>
          <w:szCs w:val="26"/>
          <w:rtl/>
        </w:rPr>
        <w:t xml:space="preserve">כמות הסם </w:t>
      </w:r>
      <w:r w:rsidRPr="002C7D67">
        <w:rPr>
          <w:rFonts w:cs="FrankRuehl"/>
          <w:szCs w:val="26"/>
          <w:rtl/>
        </w:rPr>
        <w:t>הי</w:t>
      </w:r>
      <w:r w:rsidRPr="002C7D67">
        <w:rPr>
          <w:rFonts w:cs="FrankRuehl" w:hint="cs"/>
          <w:szCs w:val="26"/>
          <w:rtl/>
        </w:rPr>
        <w:t>ית</w:t>
      </w:r>
      <w:r w:rsidRPr="002C7D67">
        <w:rPr>
          <w:rFonts w:cs="FrankRuehl"/>
          <w:szCs w:val="26"/>
          <w:rtl/>
        </w:rPr>
        <w:t>ה לשימושו העצמי</w:t>
      </w:r>
      <w:r w:rsidRPr="002C7D67">
        <w:rPr>
          <w:rFonts w:cs="FrankRuehl" w:hint="cs"/>
          <w:szCs w:val="26"/>
          <w:rtl/>
        </w:rPr>
        <w:t>,</w:t>
      </w:r>
      <w:r w:rsidRPr="002C7D67">
        <w:rPr>
          <w:rFonts w:cs="FrankRuehl"/>
          <w:szCs w:val="26"/>
          <w:rtl/>
        </w:rPr>
        <w:t xml:space="preserve"> אולם קשה לתאר שימוש עצמי בשלושה ק"ג סם ובשתילת 215 שתילים. א</w:t>
      </w:r>
      <w:r w:rsidRPr="002C7D67">
        <w:rPr>
          <w:rFonts w:cs="FrankRuehl" w:hint="cs"/>
          <w:szCs w:val="26"/>
          <w:rtl/>
        </w:rPr>
        <w:t>ו</w:t>
      </w:r>
      <w:r w:rsidRPr="002C7D67">
        <w:rPr>
          <w:rFonts w:cs="FrankRuehl"/>
          <w:szCs w:val="26"/>
          <w:rtl/>
        </w:rPr>
        <w:t>מנם לא ידוע כמה זמן גידל הנאשם את המשתלה הביתית ואולם, הנאשם גידל את השתילים בארבעת חדרי הדירה, צייד את הדירה בציוד חקלאי רב ולמעשה, ניתן לומר שמטרת הדירה הייתה גידול השתילים והפקת הסם.</w:t>
      </w:r>
    </w:p>
    <w:p w14:paraId="5C88574F" w14:textId="77777777" w:rsidR="001138A5" w:rsidRPr="002C7D67" w:rsidRDefault="001138A5" w:rsidP="002C7D67">
      <w:pPr>
        <w:pBdr>
          <w:top w:val="single" w:sz="4" w:space="1" w:color="auto"/>
          <w:bottom w:val="single" w:sz="4" w:space="1" w:color="auto"/>
        </w:pBdr>
        <w:spacing w:after="120" w:line="320" w:lineRule="exact"/>
        <w:jc w:val="both"/>
        <w:rPr>
          <w:rFonts w:cs="FrankRuehl"/>
          <w:szCs w:val="26"/>
          <w:rtl/>
        </w:rPr>
      </w:pPr>
      <w:r w:rsidRPr="002C7D67">
        <w:rPr>
          <w:rFonts w:cs="FrankRuehl"/>
          <w:szCs w:val="26"/>
          <w:rtl/>
        </w:rPr>
        <w:t xml:space="preserve">סקירת מדיניות הענישה הנוהגת בתיקי "משתלות סמים" מלמדת על טווח ענישה רחב התלוי לרוב בנסיבותיו של כל מקרה ומקרה, זאת בהתחשב בכמות השתילים במשתלה, כמות הסם שנתפסה, סוג הסם, משך פעולתה וכן מידת מעורבותו של הנאשם בגידול או עבירות קשורות נוספות בהן הואשם. </w:t>
      </w:r>
      <w:r w:rsidRPr="002C7D67">
        <w:rPr>
          <w:rFonts w:cs="FrankRuehl"/>
          <w:noProof/>
          <w:szCs w:val="26"/>
          <w:rtl/>
        </w:rPr>
        <w:t xml:space="preserve">בנסיבות המקרה דנא, </w:t>
      </w:r>
      <w:r w:rsidRPr="002C7D67">
        <w:rPr>
          <w:rFonts w:cs="FrankRuehl" w:hint="cs"/>
          <w:noProof/>
          <w:szCs w:val="26"/>
          <w:rtl/>
        </w:rPr>
        <w:t>יש לקבוע</w:t>
      </w:r>
      <w:r w:rsidRPr="002C7D67">
        <w:rPr>
          <w:rFonts w:cs="FrankRuehl"/>
          <w:noProof/>
          <w:szCs w:val="26"/>
          <w:rtl/>
        </w:rPr>
        <w:t xml:space="preserve"> כי מתחם העונש ההולם ביחס לעבירות בהן הורשע הנאשם, הינו מ-8 חודשי מאסר בפועל ועד 24 חודשי מאסר בפועל לצד ענישה נלווית.</w:t>
      </w:r>
    </w:p>
    <w:p w14:paraId="758A5174" w14:textId="77777777" w:rsidR="001138A5" w:rsidRDefault="001138A5" w:rsidP="002C7D67">
      <w:pPr>
        <w:pBdr>
          <w:top w:val="single" w:sz="4" w:space="1" w:color="auto"/>
          <w:bottom w:val="single" w:sz="4" w:space="1" w:color="auto"/>
        </w:pBdr>
        <w:spacing w:after="120" w:line="320" w:lineRule="exact"/>
        <w:jc w:val="both"/>
        <w:rPr>
          <w:rFonts w:hint="cs"/>
          <w:rtl/>
        </w:rPr>
      </w:pPr>
      <w:r w:rsidRPr="002C7D67">
        <w:rPr>
          <w:rFonts w:cs="FrankRuehl"/>
          <w:szCs w:val="26"/>
          <w:rtl/>
        </w:rPr>
        <w:t>לנאשם נסיבות אישיות מורכבות</w:t>
      </w:r>
      <w:r w:rsidRPr="002C7D67">
        <w:rPr>
          <w:rFonts w:cs="FrankRuehl" w:hint="cs"/>
          <w:szCs w:val="26"/>
          <w:rtl/>
        </w:rPr>
        <w:t>, אך הן אינן חריגות</w:t>
      </w:r>
      <w:r w:rsidRPr="002C7D67">
        <w:rPr>
          <w:rFonts w:cs="FrankRuehl"/>
          <w:szCs w:val="26"/>
          <w:rtl/>
        </w:rPr>
        <w:t>. א</w:t>
      </w:r>
      <w:r w:rsidRPr="002C7D67">
        <w:rPr>
          <w:rFonts w:cs="FrankRuehl" w:hint="cs"/>
          <w:szCs w:val="26"/>
          <w:rtl/>
        </w:rPr>
        <w:t>ו</w:t>
      </w:r>
      <w:r w:rsidRPr="002C7D67">
        <w:rPr>
          <w:rFonts w:cs="FrankRuehl"/>
          <w:szCs w:val="26"/>
          <w:rtl/>
        </w:rPr>
        <w:t xml:space="preserve">מנם שירות המבחן התרשם שהנאשם </w:t>
      </w:r>
      <w:r w:rsidRPr="002C7D67">
        <w:rPr>
          <w:rFonts w:cs="FrankRuehl"/>
          <w:noProof/>
          <w:szCs w:val="26"/>
          <w:rtl/>
        </w:rPr>
        <w:t xml:space="preserve">נעדר דפוסים עברייניים מושרשים, עם זאת, חזר ושב על המלצתו להטלת ענישה ברורה ומציבת גבול תוך שמציין שלא נוצר ולו פתח לבחינת שיקום הנאשם בתחום עבירות זה. </w:t>
      </w:r>
      <w:r w:rsidRPr="002C7D67">
        <w:rPr>
          <w:rFonts w:cs="FrankRuehl"/>
          <w:szCs w:val="26"/>
          <w:rtl/>
        </w:rPr>
        <w:t>מנגד, יש לתת משקל להודאתו של הנאשם בכתב האישום בהזדמנות הראשונה ולחיסכון בזמן השיפוטי.</w:t>
      </w:r>
      <w:r w:rsidRPr="002C7D67">
        <w:rPr>
          <w:rFonts w:cs="FrankRuehl" w:hint="cs"/>
          <w:noProof/>
          <w:szCs w:val="26"/>
          <w:rtl/>
        </w:rPr>
        <w:t xml:space="preserve"> </w:t>
      </w:r>
      <w:r w:rsidRPr="002C7D67">
        <w:rPr>
          <w:rFonts w:cs="FrankRuehl"/>
          <w:szCs w:val="26"/>
          <w:rtl/>
        </w:rPr>
        <w:t xml:space="preserve">לנוכח האמור, </w:t>
      </w:r>
      <w:r w:rsidRPr="002C7D67">
        <w:rPr>
          <w:rFonts w:cs="FrankRuehl" w:hint="cs"/>
          <w:szCs w:val="26"/>
          <w:rtl/>
        </w:rPr>
        <w:t>יש למ</w:t>
      </w:r>
      <w:r w:rsidRPr="002C7D67">
        <w:rPr>
          <w:rFonts w:cs="FrankRuehl"/>
          <w:szCs w:val="26"/>
          <w:rtl/>
        </w:rPr>
        <w:t>קם את הנאשם ברף התחתון של מתחם העונש ההולם.</w:t>
      </w:r>
      <w:r w:rsidRPr="002C7D67">
        <w:rPr>
          <w:rFonts w:cs="FrankRuehl" w:hint="cs"/>
          <w:noProof/>
          <w:szCs w:val="26"/>
          <w:rtl/>
        </w:rPr>
        <w:t xml:space="preserve"> יש להטיל</w:t>
      </w:r>
      <w:r w:rsidRPr="002C7D67">
        <w:rPr>
          <w:rFonts w:cs="FrankRuehl"/>
          <w:szCs w:val="26"/>
          <w:rtl/>
        </w:rPr>
        <w:t xml:space="preserve"> על הנאשם</w:t>
      </w:r>
      <w:r w:rsidRPr="002C7D67">
        <w:rPr>
          <w:rFonts w:cs="FrankRuehl" w:hint="cs"/>
          <w:szCs w:val="26"/>
          <w:rtl/>
        </w:rPr>
        <w:t xml:space="preserve"> </w:t>
      </w:r>
      <w:r w:rsidRPr="002C7D67">
        <w:rPr>
          <w:rFonts w:cs="FrankRuehl"/>
          <w:szCs w:val="26"/>
          <w:rtl/>
        </w:rPr>
        <w:t>10 חודשי מאסר בפועל</w:t>
      </w:r>
      <w:r w:rsidRPr="002C7D67">
        <w:rPr>
          <w:rFonts w:cs="FrankRuehl" w:hint="cs"/>
          <w:szCs w:val="26"/>
          <w:rtl/>
        </w:rPr>
        <w:t>,</w:t>
      </w:r>
      <w:r w:rsidRPr="002C7D67">
        <w:rPr>
          <w:rFonts w:cs="FrankRuehl"/>
          <w:szCs w:val="26"/>
          <w:rtl/>
        </w:rPr>
        <w:t xml:space="preserve"> מאסר על תנאי</w:t>
      </w:r>
      <w:r w:rsidRPr="002C7D67">
        <w:rPr>
          <w:rFonts w:cs="FrankRuehl" w:hint="cs"/>
          <w:szCs w:val="26"/>
          <w:rtl/>
        </w:rPr>
        <w:t xml:space="preserve"> ו</w:t>
      </w:r>
      <w:r w:rsidRPr="002C7D67">
        <w:rPr>
          <w:rFonts w:cs="FrankRuehl"/>
          <w:szCs w:val="26"/>
          <w:rtl/>
        </w:rPr>
        <w:t xml:space="preserve">קנס בסך </w:t>
      </w:r>
      <w:r w:rsidRPr="002C7D67">
        <w:rPr>
          <w:rFonts w:cs="FrankRuehl" w:hint="cs"/>
          <w:szCs w:val="26"/>
          <w:rtl/>
        </w:rPr>
        <w:t>10,000</w:t>
      </w:r>
      <w:r w:rsidRPr="002C7D67">
        <w:rPr>
          <w:rFonts w:cs="FrankRuehl"/>
          <w:szCs w:val="26"/>
          <w:rtl/>
        </w:rPr>
        <w:t xml:space="preserve"> ₪.</w:t>
      </w:r>
      <w:bookmarkStart w:id="5" w:name="ABSTRACT_END"/>
      <w:bookmarkEnd w:id="5"/>
    </w:p>
    <w:p w14:paraId="5663D496" w14:textId="77777777" w:rsidR="001138A5" w:rsidRPr="00A41A9B" w:rsidRDefault="001138A5" w:rsidP="00A41A9B">
      <w:pPr>
        <w:spacing w:before="120" w:after="120" w:line="240" w:lineRule="exact"/>
        <w:ind w:left="283" w:hanging="283"/>
        <w:jc w:val="both"/>
        <w:rPr>
          <w:rFonts w:ascii="FrankRuehl" w:hAnsi="FrankRuehl" w:cs="FrankRuehl" w:hint="cs"/>
          <w:color w:val="0000FF"/>
          <w:rtl/>
        </w:rPr>
      </w:pPr>
    </w:p>
    <w:p w14:paraId="4EDF6BAA" w14:textId="77777777" w:rsidR="00F063DC" w:rsidRPr="00A41A9B" w:rsidRDefault="00F063DC" w:rsidP="00A41A9B">
      <w:pPr>
        <w:rPr>
          <w:rFonts w:hint="cs"/>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63DC" w14:paraId="7A8431A5" w14:textId="77777777" w:rsidTr="00F063DC">
        <w:trPr>
          <w:trHeight w:val="355"/>
          <w:jc w:val="center"/>
        </w:trPr>
        <w:tc>
          <w:tcPr>
            <w:tcW w:w="8820" w:type="dxa"/>
            <w:tcBorders>
              <w:top w:val="nil"/>
              <w:left w:val="nil"/>
              <w:bottom w:val="nil"/>
              <w:right w:val="nil"/>
            </w:tcBorders>
            <w:shd w:val="clear" w:color="auto" w:fill="auto"/>
          </w:tcPr>
          <w:p w14:paraId="6C32252F" w14:textId="77777777" w:rsidR="00AB268F" w:rsidRPr="00AB268F" w:rsidRDefault="00AB268F" w:rsidP="00AB268F">
            <w:pPr>
              <w:jc w:val="center"/>
              <w:rPr>
                <w:rFonts w:ascii="David" w:hAnsi="David"/>
                <w:b/>
                <w:bCs/>
                <w:sz w:val="32"/>
                <w:szCs w:val="32"/>
                <w:u w:val="single"/>
                <w:rtl/>
              </w:rPr>
            </w:pPr>
            <w:bookmarkStart w:id="7" w:name="PsakDin" w:colFirst="0" w:colLast="0"/>
            <w:bookmarkEnd w:id="0"/>
            <w:r w:rsidRPr="00AB268F">
              <w:rPr>
                <w:rFonts w:ascii="David" w:hAnsi="David"/>
                <w:b/>
                <w:bCs/>
                <w:sz w:val="32"/>
                <w:szCs w:val="32"/>
                <w:u w:val="single"/>
                <w:rtl/>
              </w:rPr>
              <w:t>גזר דין</w:t>
            </w:r>
          </w:p>
          <w:p w14:paraId="5AC96067" w14:textId="77777777" w:rsidR="00F063DC" w:rsidRPr="00AB268F" w:rsidRDefault="00F063DC" w:rsidP="00AB268F">
            <w:pPr>
              <w:jc w:val="center"/>
              <w:rPr>
                <w:rFonts w:ascii="David" w:hAnsi="David"/>
                <w:bCs/>
                <w:sz w:val="32"/>
                <w:szCs w:val="32"/>
                <w:u w:val="single"/>
                <w:rtl/>
              </w:rPr>
            </w:pPr>
          </w:p>
        </w:tc>
      </w:tr>
      <w:bookmarkEnd w:id="7"/>
    </w:tbl>
    <w:p w14:paraId="3C718C2A" w14:textId="77777777" w:rsidR="00F063DC" w:rsidRPr="000F2247" w:rsidRDefault="00F063DC" w:rsidP="00F063DC">
      <w:pPr>
        <w:rPr>
          <w:rFonts w:ascii="Arial" w:hAnsi="Arial"/>
          <w:b/>
          <w:bCs/>
          <w:sz w:val="26"/>
          <w:szCs w:val="26"/>
          <w:rtl/>
        </w:rPr>
      </w:pPr>
    </w:p>
    <w:p w14:paraId="6B1AFF99" w14:textId="77777777" w:rsidR="00F063DC" w:rsidRDefault="00F063DC" w:rsidP="00F063DC">
      <w:pPr>
        <w:spacing w:line="360" w:lineRule="auto"/>
        <w:rPr>
          <w:b/>
          <w:bCs/>
          <w:u w:val="single"/>
          <w:rtl/>
        </w:rPr>
      </w:pPr>
      <w:r>
        <w:rPr>
          <w:b/>
          <w:bCs/>
          <w:u w:val="single"/>
          <w:rtl/>
        </w:rPr>
        <w:t xml:space="preserve">מבוא: </w:t>
      </w:r>
    </w:p>
    <w:p w14:paraId="05CC7058" w14:textId="77777777" w:rsidR="00F063DC" w:rsidRDefault="00F063DC" w:rsidP="00F063DC">
      <w:pPr>
        <w:spacing w:line="360" w:lineRule="auto"/>
        <w:jc w:val="both"/>
        <w:rPr>
          <w:rtl/>
        </w:rPr>
      </w:pPr>
      <w:r>
        <w:rPr>
          <w:noProof/>
          <w:rtl/>
        </w:rPr>
        <w:t xml:space="preserve">הנאשם הורשע </w:t>
      </w:r>
      <w:r>
        <w:rPr>
          <w:rFonts w:hint="cs"/>
          <w:noProof/>
          <w:rtl/>
        </w:rPr>
        <w:t>על פי הודאתו בעבירות המיוחסות לו</w:t>
      </w:r>
      <w:r>
        <w:rPr>
          <w:noProof/>
          <w:rtl/>
        </w:rPr>
        <w:t xml:space="preserve"> בכתב האישו</w:t>
      </w:r>
      <w:r>
        <w:rPr>
          <w:rFonts w:hint="cs"/>
          <w:noProof/>
          <w:rtl/>
        </w:rPr>
        <w:t xml:space="preserve">ם - </w:t>
      </w:r>
      <w:r>
        <w:rPr>
          <w:b/>
          <w:bCs/>
          <w:noProof/>
          <w:rtl/>
        </w:rPr>
        <w:t>גידול וייצור סמים</w:t>
      </w:r>
      <w:r>
        <w:rPr>
          <w:noProof/>
          <w:rtl/>
        </w:rPr>
        <w:t xml:space="preserve"> – עבירה לפי </w:t>
      </w:r>
      <w:hyperlink r:id="rId19" w:history="1">
        <w:r w:rsidR="00495C42" w:rsidRPr="00495C42">
          <w:rPr>
            <w:rStyle w:val="Hyperlink"/>
            <w:noProof/>
            <w:rtl/>
          </w:rPr>
          <w:t>סעיף 6</w:t>
        </w:r>
      </w:hyperlink>
      <w:r>
        <w:rPr>
          <w:noProof/>
          <w:rtl/>
        </w:rPr>
        <w:t xml:space="preserve"> ל</w:t>
      </w:r>
      <w:hyperlink r:id="rId20" w:history="1">
        <w:r w:rsidR="00AB268F" w:rsidRPr="00AB268F">
          <w:rPr>
            <w:noProof/>
            <w:color w:val="0000FF"/>
            <w:u w:val="single"/>
            <w:rtl/>
          </w:rPr>
          <w:t>פקודת הסמים המסוכנים</w:t>
        </w:r>
      </w:hyperlink>
      <w:r>
        <w:rPr>
          <w:noProof/>
          <w:rtl/>
        </w:rPr>
        <w:t xml:space="preserve"> [נוסח חדש] התשל"ג-1973 </w:t>
      </w:r>
      <w:r>
        <w:rPr>
          <w:b/>
          <w:bCs/>
          <w:noProof/>
          <w:rtl/>
        </w:rPr>
        <w:t>והחזקה/שימוש בסמים שלא צריכה עצמית</w:t>
      </w:r>
      <w:r>
        <w:rPr>
          <w:noProof/>
          <w:rtl/>
        </w:rPr>
        <w:t xml:space="preserve"> – עבירה לפי </w:t>
      </w:r>
      <w:hyperlink r:id="rId21" w:history="1">
        <w:r w:rsidR="00495C42" w:rsidRPr="00495C42">
          <w:rPr>
            <w:rStyle w:val="Hyperlink"/>
            <w:noProof/>
            <w:rtl/>
          </w:rPr>
          <w:t>סעיף 7(א)+7(ג)</w:t>
        </w:r>
      </w:hyperlink>
      <w:r>
        <w:rPr>
          <w:noProof/>
          <w:rtl/>
        </w:rPr>
        <w:t xml:space="preserve"> רישא לפקודת הסמים המסוכנים [נוסח חדש] התשל"ג-1973.</w:t>
      </w:r>
    </w:p>
    <w:p w14:paraId="0EFE98D8" w14:textId="77777777" w:rsidR="00F063DC" w:rsidRDefault="00F063DC" w:rsidP="00F063DC">
      <w:pPr>
        <w:spacing w:line="360" w:lineRule="auto"/>
        <w:rPr>
          <w:rtl/>
        </w:rPr>
      </w:pPr>
    </w:p>
    <w:p w14:paraId="583A44C6" w14:textId="77777777" w:rsidR="00F063DC" w:rsidRDefault="00F063DC" w:rsidP="00F063DC">
      <w:pPr>
        <w:spacing w:line="360" w:lineRule="auto"/>
        <w:jc w:val="both"/>
        <w:rPr>
          <w:rtl/>
        </w:rPr>
      </w:pPr>
      <w:r>
        <w:rPr>
          <w:rtl/>
        </w:rPr>
        <w:t>על פי עובדות כתב האישום, בתאריך 26.09.21, לאחר ביצוע חיפוש משטרתי בדירת הנאשם, נמצאו בדירה 215 שתילים של סם מסוכן מסוג קנבוס במשקל כולל של 9.42 ק"ג נטו וכן סם מסוכן מסוג קנבוס במשקל כולל של 3.33224 ק"ג שלא לצריכה עצמית. עוד נמצאו ציוד לגידול חקלאי, שנאים, מפוחים, מזגנים, מנורות, מכלי חמצן, מאווררים ומדי לחות כמפורט בכתב האישום.</w:t>
      </w:r>
    </w:p>
    <w:p w14:paraId="4E6D4382" w14:textId="77777777" w:rsidR="00F063DC" w:rsidRDefault="00F063DC" w:rsidP="00F063DC">
      <w:pPr>
        <w:spacing w:line="360" w:lineRule="auto"/>
        <w:jc w:val="both"/>
        <w:rPr>
          <w:rtl/>
        </w:rPr>
      </w:pPr>
    </w:p>
    <w:p w14:paraId="50C3BB6D" w14:textId="77777777" w:rsidR="00F063DC" w:rsidRDefault="00F063DC" w:rsidP="00F063DC">
      <w:pPr>
        <w:spacing w:line="360" w:lineRule="auto"/>
        <w:jc w:val="both"/>
        <w:rPr>
          <w:rtl/>
        </w:rPr>
      </w:pPr>
      <w:r>
        <w:rPr>
          <w:rtl/>
        </w:rPr>
        <w:t>הנאשם שהה במעצר מאחורי סורג ובריח מתאריך 26.09.21 ועד לתאריך 04.10.21 ומתאריך זה ועד לתאריך 12.12.21 שוחרר הנאשם בתנאי מעצר בית מלא כאשר ממנו מצוי הנאשם ב"מעצר אדם".</w:t>
      </w:r>
    </w:p>
    <w:p w14:paraId="7FFA1F55" w14:textId="77777777" w:rsidR="00F063DC" w:rsidRDefault="00F063DC" w:rsidP="00F063DC">
      <w:pPr>
        <w:spacing w:line="360" w:lineRule="auto"/>
        <w:rPr>
          <w:rtl/>
        </w:rPr>
      </w:pPr>
    </w:p>
    <w:p w14:paraId="3990FECF" w14:textId="77777777" w:rsidR="00F063DC" w:rsidRDefault="00F063DC" w:rsidP="00F063DC">
      <w:pPr>
        <w:spacing w:line="360" w:lineRule="auto"/>
        <w:jc w:val="both"/>
        <w:rPr>
          <w:noProof/>
          <w:rtl/>
        </w:rPr>
      </w:pPr>
      <w:r>
        <w:rPr>
          <w:noProof/>
          <w:rtl/>
        </w:rPr>
        <w:lastRenderedPageBreak/>
        <w:t>בדיון אשר התקיים לפני, בתאריך 02.12.21, הודה הנאשם במיוחס לו בכתב האישום ולבקשת בא כוחו, הופנה הנאשם אל שירות המבחן לקבלת תסקיר בעניינו וכן אל הממונה על עבודות השירות לקבלת חוות דעת שתבדוק שאלת התאמתו לביצוע עבודות שירות ככל שכך ייגזר.</w:t>
      </w:r>
    </w:p>
    <w:p w14:paraId="0A8C19A7" w14:textId="77777777" w:rsidR="00F063DC" w:rsidRDefault="00F063DC" w:rsidP="00F063DC">
      <w:pPr>
        <w:spacing w:line="360" w:lineRule="auto"/>
        <w:jc w:val="both"/>
        <w:rPr>
          <w:b/>
          <w:bCs/>
          <w:noProof/>
          <w:u w:val="single"/>
          <w:rtl/>
        </w:rPr>
      </w:pPr>
      <w:r>
        <w:rPr>
          <w:b/>
          <w:bCs/>
          <w:noProof/>
          <w:u w:val="single"/>
          <w:rtl/>
        </w:rPr>
        <w:t xml:space="preserve"> </w:t>
      </w:r>
    </w:p>
    <w:p w14:paraId="3BC0D5F6" w14:textId="77777777" w:rsidR="00F063DC" w:rsidRDefault="00F063DC" w:rsidP="00F063DC">
      <w:pPr>
        <w:spacing w:line="360" w:lineRule="auto"/>
        <w:jc w:val="both"/>
        <w:rPr>
          <w:b/>
          <w:bCs/>
          <w:noProof/>
          <w:u w:val="single"/>
          <w:rtl/>
        </w:rPr>
      </w:pPr>
      <w:r>
        <w:rPr>
          <w:b/>
          <w:bCs/>
          <w:noProof/>
          <w:u w:val="single"/>
          <w:rtl/>
        </w:rPr>
        <w:t xml:space="preserve">תסקירי שירות המבחן וחוות דעת הממונה על עבודות השירות </w:t>
      </w:r>
    </w:p>
    <w:p w14:paraId="6FDD2458" w14:textId="77777777" w:rsidR="00F063DC" w:rsidRDefault="00F063DC" w:rsidP="00F063DC">
      <w:pPr>
        <w:spacing w:line="360" w:lineRule="auto"/>
        <w:jc w:val="both"/>
        <w:rPr>
          <w:noProof/>
          <w:rtl/>
        </w:rPr>
      </w:pPr>
      <w:r>
        <w:rPr>
          <w:noProof/>
          <w:rtl/>
        </w:rPr>
        <w:t>בתאריך 09.05.22 הוגש תסקיר מטעם שירות המבחן. מהתסקיר עולה כי הנאשם, גרוש בן 44, מצוי בשלבי הקמת עסק עצמאי.</w:t>
      </w:r>
      <w:r>
        <w:rPr>
          <w:rFonts w:hint="cs"/>
          <w:noProof/>
          <w:rtl/>
        </w:rPr>
        <w:t xml:space="preserve"> </w:t>
      </w:r>
      <w:r>
        <w:rPr>
          <w:noProof/>
          <w:rtl/>
        </w:rPr>
        <w:t xml:space="preserve">הנאשם סיים 8 שנות לימוד ושירת שירות צבאי מלא במהלכו לדבריו נחשף לאירוע טראומטי. </w:t>
      </w:r>
    </w:p>
    <w:p w14:paraId="11C825FA" w14:textId="77777777" w:rsidR="00F063DC" w:rsidRDefault="00F063DC" w:rsidP="00F063DC">
      <w:pPr>
        <w:spacing w:line="360" w:lineRule="auto"/>
        <w:jc w:val="both"/>
        <w:rPr>
          <w:noProof/>
          <w:rtl/>
        </w:rPr>
      </w:pPr>
      <w:r>
        <w:rPr>
          <w:noProof/>
          <w:rtl/>
        </w:rPr>
        <w:t xml:space="preserve">לחובת הנאשם </w:t>
      </w:r>
      <w:r>
        <w:rPr>
          <w:rFonts w:hint="cs"/>
          <w:noProof/>
          <w:rtl/>
        </w:rPr>
        <w:t xml:space="preserve">הרשעה קודמת בגין עבירת </w:t>
      </w:r>
      <w:r>
        <w:rPr>
          <w:noProof/>
          <w:rtl/>
        </w:rPr>
        <w:t xml:space="preserve">איומים </w:t>
      </w:r>
      <w:r>
        <w:rPr>
          <w:rFonts w:hint="cs"/>
          <w:noProof/>
          <w:rtl/>
        </w:rPr>
        <w:t>בגינה</w:t>
      </w:r>
      <w:r>
        <w:rPr>
          <w:noProof/>
          <w:rtl/>
        </w:rPr>
        <w:t xml:space="preserve"> </w:t>
      </w:r>
      <w:r>
        <w:rPr>
          <w:rFonts w:hint="cs"/>
          <w:noProof/>
          <w:rtl/>
        </w:rPr>
        <w:t xml:space="preserve">נדון לעונש של מאסר על תנאי, התחייבות ופיצוי. </w:t>
      </w:r>
      <w:r>
        <w:rPr>
          <w:noProof/>
          <w:rtl/>
        </w:rPr>
        <w:t>שירות המבחן לא בא בהמלצה שיקומית דאז</w:t>
      </w:r>
      <w:r>
        <w:rPr>
          <w:rFonts w:hint="cs"/>
          <w:noProof/>
          <w:rtl/>
        </w:rPr>
        <w:t>,</w:t>
      </w:r>
      <w:r>
        <w:rPr>
          <w:noProof/>
          <w:rtl/>
        </w:rPr>
        <w:t xml:space="preserve"> מאחר וסבר שלנאשם קיימת "מועדות לביצוע עבירות בתחום הסמים" אך הנאשם שלל אפשרות להסתייע בטיפול.</w:t>
      </w:r>
    </w:p>
    <w:p w14:paraId="4665B1C6" w14:textId="77777777" w:rsidR="00F063DC" w:rsidRDefault="00F063DC" w:rsidP="00F063DC">
      <w:pPr>
        <w:spacing w:line="360" w:lineRule="auto"/>
        <w:jc w:val="both"/>
        <w:rPr>
          <w:noProof/>
          <w:rtl/>
        </w:rPr>
      </w:pPr>
    </w:p>
    <w:p w14:paraId="4661DD7C" w14:textId="77777777" w:rsidR="00F063DC" w:rsidRDefault="00F063DC" w:rsidP="00F063DC">
      <w:pPr>
        <w:spacing w:line="360" w:lineRule="auto"/>
        <w:jc w:val="both"/>
        <w:rPr>
          <w:noProof/>
          <w:rtl/>
        </w:rPr>
      </w:pPr>
      <w:r>
        <w:rPr>
          <w:noProof/>
          <w:rtl/>
        </w:rPr>
        <w:t>הנאשם הודה בביצוע העבירות בתיק זה אך טען שגידל את הסמים "לשימושו העצמי ובאופן חובבני, לדבריו מתוך סקרנות ושעמום". שירות המבחן התרשם שהנאשם איננו מבין את חומרת מעשיו ומבטא עמדות מקלות בנושא. הנאשם מסר כי היו תקופות בחייו שצרך קנאביס באופן יומיומי אך מזה מספר חודשים חדל מלצרוך קנאביס באופן עצמאי. עם זאת, בשתי בדיקות שתן שמסר הנאשם נמצאו שרידי סם.</w:t>
      </w:r>
    </w:p>
    <w:p w14:paraId="337AAEBF" w14:textId="77777777" w:rsidR="00F063DC" w:rsidRDefault="00F063DC" w:rsidP="00F063DC">
      <w:pPr>
        <w:spacing w:line="360" w:lineRule="auto"/>
        <w:jc w:val="both"/>
        <w:rPr>
          <w:noProof/>
          <w:rtl/>
        </w:rPr>
      </w:pPr>
    </w:p>
    <w:p w14:paraId="048EA0EB" w14:textId="77777777" w:rsidR="00F063DC" w:rsidRDefault="00F063DC" w:rsidP="00F063DC">
      <w:pPr>
        <w:spacing w:line="360" w:lineRule="auto"/>
        <w:jc w:val="both"/>
        <w:rPr>
          <w:noProof/>
          <w:rtl/>
        </w:rPr>
      </w:pPr>
      <w:r>
        <w:rPr>
          <w:noProof/>
          <w:rtl/>
        </w:rPr>
        <w:t>שירות המבחן התרשם שהנאשם איננו בעל דפוסי חשיבה עברייניים מושרשים אולם איננו מתבונן באופן ביקורתי בהתנהלותו, איננו מכיר בחומרת מעשיו וקיים סיכון להישנות העבירות. בשל עמדותיו של הנאשם, שירות המבחן סבור ש"לא נוצר ולו פתח לבחינת מעורבות טיפולית" והמליץ על ענישה ברורה ומציבת גבול.</w:t>
      </w:r>
    </w:p>
    <w:p w14:paraId="6EC00E71" w14:textId="77777777" w:rsidR="00F063DC" w:rsidRDefault="00F063DC" w:rsidP="00F063DC">
      <w:pPr>
        <w:spacing w:line="360" w:lineRule="auto"/>
        <w:jc w:val="both"/>
        <w:rPr>
          <w:noProof/>
          <w:rtl/>
        </w:rPr>
      </w:pPr>
    </w:p>
    <w:p w14:paraId="58F6F24C" w14:textId="77777777" w:rsidR="00F063DC" w:rsidRDefault="00F063DC" w:rsidP="00F063DC">
      <w:pPr>
        <w:spacing w:line="360" w:lineRule="auto"/>
        <w:jc w:val="both"/>
        <w:rPr>
          <w:noProof/>
          <w:rtl/>
        </w:rPr>
      </w:pPr>
      <w:r>
        <w:rPr>
          <w:noProof/>
          <w:rtl/>
        </w:rPr>
        <w:t>בתסקיר משלים מתאריך 07.07.22, על אף שהנאשם מסר בדיקות שתן נקיות, חזר שירות המבחן על התרשמותו ש"לא נוצר מצדו (של הנאשם – א"א) כל פתח להתערבות טיפולית" וזאת בשל עמדות הנאשם וסירובו לקחת חלק בהליך טיפולי. על כן, פעם נוספת נמנע שירות המבחן מהמלצה על התערבות שיקומית.</w:t>
      </w:r>
    </w:p>
    <w:p w14:paraId="14BA2128" w14:textId="77777777" w:rsidR="00F063DC" w:rsidRDefault="00F063DC" w:rsidP="00F063DC">
      <w:pPr>
        <w:spacing w:line="360" w:lineRule="auto"/>
        <w:jc w:val="both"/>
        <w:rPr>
          <w:noProof/>
          <w:rtl/>
        </w:rPr>
      </w:pPr>
    </w:p>
    <w:p w14:paraId="4396C350" w14:textId="77777777" w:rsidR="00F063DC" w:rsidRDefault="00F063DC" w:rsidP="00F063DC">
      <w:pPr>
        <w:spacing w:line="360" w:lineRule="auto"/>
        <w:jc w:val="both"/>
        <w:rPr>
          <w:noProof/>
          <w:rtl/>
        </w:rPr>
      </w:pPr>
      <w:r>
        <w:rPr>
          <w:noProof/>
          <w:rtl/>
        </w:rPr>
        <w:t>בתאריך 28.06.22 התקבלה חוות דעת הממונה על עבודות השירות לפיה הנאשם נמצא כשיר לבצע עבודות שירות בעמותה למען הקשיש בחדרה.</w:t>
      </w:r>
    </w:p>
    <w:p w14:paraId="09CFAE5B" w14:textId="77777777" w:rsidR="00F063DC" w:rsidRDefault="00F063DC" w:rsidP="00F063DC">
      <w:pPr>
        <w:spacing w:line="360" w:lineRule="auto"/>
        <w:jc w:val="both"/>
        <w:rPr>
          <w:noProof/>
          <w:rtl/>
        </w:rPr>
      </w:pPr>
    </w:p>
    <w:p w14:paraId="7F6087CF" w14:textId="77777777" w:rsidR="00F063DC" w:rsidRDefault="00F063DC" w:rsidP="00F063DC">
      <w:pPr>
        <w:spacing w:line="360" w:lineRule="auto"/>
        <w:jc w:val="both"/>
        <w:rPr>
          <w:b/>
          <w:bCs/>
          <w:noProof/>
          <w:color w:val="FF0000"/>
          <w:sz w:val="40"/>
          <w:szCs w:val="40"/>
          <w:rtl/>
        </w:rPr>
      </w:pPr>
      <w:r>
        <w:rPr>
          <w:b/>
          <w:bCs/>
          <w:noProof/>
          <w:u w:val="single"/>
          <w:rtl/>
        </w:rPr>
        <w:t>טיעונים וראיות הצדדים לעונש</w:t>
      </w:r>
      <w:r>
        <w:rPr>
          <w:b/>
          <w:bCs/>
          <w:noProof/>
          <w:rtl/>
        </w:rPr>
        <w:t xml:space="preserve">: </w:t>
      </w:r>
    </w:p>
    <w:p w14:paraId="35471D97" w14:textId="77777777" w:rsidR="00F063DC" w:rsidRDefault="00F063DC" w:rsidP="00F063DC">
      <w:pPr>
        <w:spacing w:line="360" w:lineRule="auto"/>
        <w:jc w:val="both"/>
        <w:rPr>
          <w:noProof/>
          <w:rtl/>
        </w:rPr>
      </w:pPr>
      <w:r>
        <w:rPr>
          <w:noProof/>
          <w:rtl/>
        </w:rPr>
        <w:t xml:space="preserve">המאשימה הגישה טיעונים בכתב והשלימה אותם בעל פה. </w:t>
      </w:r>
    </w:p>
    <w:p w14:paraId="0446FA68" w14:textId="77777777" w:rsidR="00F063DC" w:rsidRDefault="00F063DC" w:rsidP="00F063DC">
      <w:pPr>
        <w:spacing w:line="360" w:lineRule="auto"/>
        <w:jc w:val="both"/>
        <w:rPr>
          <w:noProof/>
          <w:rtl/>
        </w:rPr>
      </w:pPr>
    </w:p>
    <w:p w14:paraId="32012560" w14:textId="77777777" w:rsidR="00F063DC" w:rsidRDefault="00F063DC" w:rsidP="00F063DC">
      <w:pPr>
        <w:spacing w:line="360" w:lineRule="auto"/>
        <w:jc w:val="both"/>
        <w:rPr>
          <w:noProof/>
          <w:rtl/>
        </w:rPr>
      </w:pPr>
      <w:r>
        <w:rPr>
          <w:noProof/>
          <w:rtl/>
        </w:rPr>
        <w:t>המאשימה הפנתה לעובדות כתב האישום וכן לפגיעה בערכים המוגנים של בריאות הציבור כאשר בתי המשפט עמדו על כך שיש לנהוג בחומרה עם מבצעי העבירות על מנת למגר אותן ולמנוע את הפצת הסמים בחברה בהיות עבירת גידול סמים "שלב מקדים" לעבירת סחר בסמים.</w:t>
      </w:r>
    </w:p>
    <w:p w14:paraId="71039330" w14:textId="77777777" w:rsidR="00F063DC" w:rsidRDefault="00F063DC" w:rsidP="00F063DC">
      <w:pPr>
        <w:spacing w:line="360" w:lineRule="auto"/>
        <w:jc w:val="both"/>
        <w:rPr>
          <w:noProof/>
          <w:rtl/>
        </w:rPr>
      </w:pPr>
    </w:p>
    <w:p w14:paraId="313284EF" w14:textId="77777777" w:rsidR="00F063DC" w:rsidRDefault="00F063DC" w:rsidP="00F063DC">
      <w:pPr>
        <w:spacing w:line="360" w:lineRule="auto"/>
        <w:jc w:val="both"/>
        <w:rPr>
          <w:noProof/>
          <w:rtl/>
        </w:rPr>
      </w:pPr>
      <w:r>
        <w:rPr>
          <w:noProof/>
          <w:rtl/>
        </w:rPr>
        <w:t>המאשימה טענה שאמנם המדובר ב"סמים קלים" אך אין להשוות בין החזקה לצריכה עצמית של "סם קל" לבין גידול והחזקה שלא לצריכה עצמית שכן אותם "סמים קלים" יגיעו באופן בלתי מבוקר לאוכלוסיות שאינן רשאיות להשתמש בהם.</w:t>
      </w:r>
    </w:p>
    <w:p w14:paraId="7A229F42" w14:textId="77777777" w:rsidR="00F063DC" w:rsidRDefault="00F063DC" w:rsidP="00F063DC">
      <w:pPr>
        <w:spacing w:line="360" w:lineRule="auto"/>
        <w:jc w:val="both"/>
        <w:rPr>
          <w:noProof/>
          <w:rtl/>
        </w:rPr>
      </w:pPr>
      <w:r>
        <w:rPr>
          <w:noProof/>
          <w:rtl/>
        </w:rPr>
        <w:t>לאחר שהפנתה למספר השתילים הרב, לכמות הסם שנתפסה וכן להקצאת כלל הדירה לשם גידול הצמחים, המאשימה עתרה לקביעת מתחם ענישה בין 26-56 חודשי מאסר בפועל תוך שהפנתה לפסיקה בה נקבעו מתחמים המוכים יותר.</w:t>
      </w:r>
    </w:p>
    <w:p w14:paraId="1D44B066" w14:textId="77777777" w:rsidR="00F063DC" w:rsidRDefault="00F063DC" w:rsidP="00F063DC">
      <w:pPr>
        <w:spacing w:line="360" w:lineRule="auto"/>
        <w:jc w:val="both"/>
        <w:rPr>
          <w:noProof/>
          <w:rtl/>
        </w:rPr>
      </w:pPr>
    </w:p>
    <w:p w14:paraId="6F2FF19F" w14:textId="77777777" w:rsidR="00F063DC" w:rsidRDefault="00F063DC" w:rsidP="00F063DC">
      <w:pPr>
        <w:spacing w:line="360" w:lineRule="auto"/>
        <w:jc w:val="both"/>
        <w:rPr>
          <w:noProof/>
          <w:rtl/>
        </w:rPr>
      </w:pPr>
      <w:r>
        <w:rPr>
          <w:noProof/>
          <w:rtl/>
        </w:rPr>
        <w:t>אשר לנסיבותיו של הנאשם, לחובתו הרשעה קודמת שאין עניינה סמים (ת/1). עם זאת, שירות המבחן לא בא בהמלצה שיקומית ומעריך סיכון להישנות העבירות. בהתאם לכך, ביקשה המאשימה לגזור על הנאשם עונש ברף התחתון של המתחם כך שעונשו יעמוד על 30 חודשי מאסר בפועל, ענישה צופה פני עתיד, פסילת רישיון נהיגה וקנס בסך 10,000 ש"ח.</w:t>
      </w:r>
    </w:p>
    <w:p w14:paraId="1D556649" w14:textId="77777777" w:rsidR="00F063DC" w:rsidRDefault="00F063DC" w:rsidP="00F063DC">
      <w:pPr>
        <w:spacing w:line="360" w:lineRule="auto"/>
        <w:jc w:val="both"/>
        <w:rPr>
          <w:noProof/>
          <w:rtl/>
        </w:rPr>
      </w:pPr>
    </w:p>
    <w:p w14:paraId="7041CC5E" w14:textId="77777777" w:rsidR="00F063DC" w:rsidRDefault="00F063DC" w:rsidP="00F063DC">
      <w:pPr>
        <w:spacing w:line="360" w:lineRule="auto"/>
        <w:jc w:val="both"/>
        <w:rPr>
          <w:noProof/>
          <w:rtl/>
        </w:rPr>
      </w:pPr>
      <w:r>
        <w:rPr>
          <w:noProof/>
          <w:rtl/>
        </w:rPr>
        <w:t>ב"כ הנאשם פתח טיעוניו בטענה שלנאשם נסיבות חיים קשות בשלן הוא משתמש בסם לצריכה עצמית ושבקלות יכול היה להוציא רישיון לקנאביס אולם לא תמך את טיעוניו באף אסמכתא. הסנגור ציין כי הדברים עולים מתסקיר שירות המבחן אולם גם בתסקיר צוין שהנאשם לא הביא אף אסמכתא.</w:t>
      </w:r>
    </w:p>
    <w:p w14:paraId="274A27CA" w14:textId="77777777" w:rsidR="00F063DC" w:rsidRDefault="00F063DC" w:rsidP="00F063DC">
      <w:pPr>
        <w:spacing w:line="360" w:lineRule="auto"/>
        <w:jc w:val="both"/>
        <w:rPr>
          <w:noProof/>
          <w:rtl/>
        </w:rPr>
      </w:pPr>
    </w:p>
    <w:p w14:paraId="62E52AC0" w14:textId="77777777" w:rsidR="00F063DC" w:rsidRDefault="00F063DC" w:rsidP="00F063DC">
      <w:pPr>
        <w:spacing w:line="360" w:lineRule="auto"/>
        <w:jc w:val="both"/>
        <w:rPr>
          <w:noProof/>
          <w:rtl/>
        </w:rPr>
      </w:pPr>
      <w:r>
        <w:rPr>
          <w:noProof/>
          <w:rtl/>
        </w:rPr>
        <w:t>לאחר שהפנה לפסיקה רלוונטית ביקש ב"כ הנאשם לקבוע מתחם שבין מספר חודשי עבודות שירות לבין 12 חודשי מאסר בפועל.</w:t>
      </w:r>
    </w:p>
    <w:p w14:paraId="0CA5F4B3" w14:textId="77777777" w:rsidR="00F063DC" w:rsidRDefault="00F063DC" w:rsidP="00F063DC">
      <w:pPr>
        <w:spacing w:line="360" w:lineRule="auto"/>
        <w:jc w:val="both"/>
        <w:rPr>
          <w:noProof/>
          <w:rtl/>
        </w:rPr>
      </w:pPr>
    </w:p>
    <w:p w14:paraId="55A92E8C" w14:textId="77777777" w:rsidR="00F063DC" w:rsidRDefault="00F063DC" w:rsidP="00F063DC">
      <w:pPr>
        <w:spacing w:line="360" w:lineRule="auto"/>
        <w:jc w:val="both"/>
        <w:rPr>
          <w:noProof/>
          <w:rtl/>
        </w:rPr>
      </w:pPr>
      <w:r>
        <w:rPr>
          <w:noProof/>
          <w:rtl/>
        </w:rPr>
        <w:t>מאחר שהנאשם הודה בהזדמנות הראשונה ואין לחובתו עבר מכביד, ביקש ב"כ הנאשם לגזור על הנאשם מספר חודשי עבודות שירות ומאסר על תנאי.</w:t>
      </w:r>
    </w:p>
    <w:p w14:paraId="566BA18D" w14:textId="77777777" w:rsidR="00F063DC" w:rsidRDefault="00F063DC" w:rsidP="00F063DC">
      <w:pPr>
        <w:spacing w:line="360" w:lineRule="auto"/>
        <w:jc w:val="both"/>
        <w:rPr>
          <w:noProof/>
          <w:rtl/>
        </w:rPr>
      </w:pPr>
    </w:p>
    <w:p w14:paraId="7A217F40" w14:textId="77777777" w:rsidR="00F063DC" w:rsidRDefault="00F063DC" w:rsidP="00F063DC">
      <w:pPr>
        <w:spacing w:line="360" w:lineRule="auto"/>
        <w:jc w:val="both"/>
        <w:rPr>
          <w:noProof/>
          <w:rtl/>
        </w:rPr>
      </w:pPr>
      <w:r>
        <w:rPr>
          <w:noProof/>
          <w:rtl/>
        </w:rPr>
        <w:t>הנאשם הביע חרטה על מעשיו והודה באשמה.</w:t>
      </w:r>
    </w:p>
    <w:p w14:paraId="721BC311" w14:textId="77777777" w:rsidR="00F063DC" w:rsidRDefault="00F063DC" w:rsidP="00F063DC">
      <w:pPr>
        <w:spacing w:after="120" w:line="360" w:lineRule="auto"/>
        <w:jc w:val="both"/>
        <w:rPr>
          <w:rFonts w:ascii="Tahoma" w:hAnsi="Tahoma"/>
          <w:b/>
          <w:bCs/>
          <w:noProof/>
          <w:u w:val="single"/>
          <w:rtl/>
        </w:rPr>
      </w:pPr>
    </w:p>
    <w:p w14:paraId="2E175717" w14:textId="77777777" w:rsidR="00F063DC" w:rsidRDefault="00F063DC" w:rsidP="00F063DC">
      <w:pPr>
        <w:spacing w:after="120" w:line="360" w:lineRule="auto"/>
        <w:jc w:val="both"/>
        <w:rPr>
          <w:rFonts w:ascii="Tahoma" w:hAnsi="Tahoma"/>
          <w:b/>
          <w:bCs/>
          <w:noProof/>
          <w:u w:val="single"/>
          <w:rtl/>
        </w:rPr>
      </w:pPr>
      <w:r>
        <w:rPr>
          <w:rFonts w:ascii="Tahoma" w:hAnsi="Tahoma"/>
          <w:b/>
          <w:bCs/>
          <w:noProof/>
          <w:u w:val="single"/>
          <w:rtl/>
        </w:rPr>
        <w:t>דיון והכרעה</w:t>
      </w:r>
      <w:r>
        <w:rPr>
          <w:rFonts w:ascii="Tahoma" w:hAnsi="Tahoma"/>
          <w:b/>
          <w:bCs/>
          <w:noProof/>
          <w:rtl/>
        </w:rPr>
        <w:t>:</w:t>
      </w:r>
    </w:p>
    <w:p w14:paraId="5074E732" w14:textId="77777777" w:rsidR="00F063DC" w:rsidRDefault="00F063DC" w:rsidP="00F063DC">
      <w:pPr>
        <w:spacing w:line="360" w:lineRule="auto"/>
        <w:jc w:val="both"/>
        <w:rPr>
          <w:rFonts w:ascii="Arial" w:hAnsi="Arial" w:cs="Arial"/>
          <w:noProof/>
          <w:rtl/>
        </w:rPr>
      </w:pPr>
      <w:r>
        <w:rPr>
          <w:noProof/>
          <w:rtl/>
        </w:rPr>
        <w:t>תיקון 113 ל</w:t>
      </w:r>
      <w:hyperlink r:id="rId22" w:history="1">
        <w:r w:rsidR="00AB268F" w:rsidRPr="00AB268F">
          <w:rPr>
            <w:noProof/>
            <w:color w:val="0000FF"/>
            <w:u w:val="single"/>
            <w:rtl/>
          </w:rPr>
          <w:t>חוק העונשין</w:t>
        </w:r>
      </w:hyperlink>
      <w:r>
        <w:rPr>
          <w:noProof/>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3" w:history="1">
        <w:r w:rsidR="00495C42" w:rsidRPr="00495C42">
          <w:rPr>
            <w:rStyle w:val="Hyperlink"/>
            <w:noProof/>
            <w:rtl/>
          </w:rPr>
          <w:t>בסעיף 40ט'</w:t>
        </w:r>
      </w:hyperlink>
      <w:r>
        <w:rPr>
          <w:noProof/>
          <w:rtl/>
        </w:rPr>
        <w:t xml:space="preserve"> ל</w:t>
      </w:r>
      <w:hyperlink r:id="rId24" w:history="1">
        <w:r w:rsidR="00AB268F" w:rsidRPr="00AB268F">
          <w:rPr>
            <w:noProof/>
            <w:color w:val="0000FF"/>
            <w:u w:val="single"/>
            <w:rtl/>
          </w:rPr>
          <w:t>חוק העונשין</w:t>
        </w:r>
      </w:hyperlink>
      <w:r>
        <w:rPr>
          <w:noProof/>
          <w:rtl/>
        </w:rPr>
        <w:t xml:space="preserve">. </w:t>
      </w:r>
    </w:p>
    <w:p w14:paraId="2FD63AD6" w14:textId="77777777" w:rsidR="00F063DC" w:rsidRDefault="00F063DC" w:rsidP="00F063DC">
      <w:pPr>
        <w:spacing w:line="360" w:lineRule="auto"/>
        <w:jc w:val="both"/>
        <w:rPr>
          <w:noProof/>
          <w:rtl/>
        </w:rPr>
      </w:pPr>
    </w:p>
    <w:p w14:paraId="489BFD22" w14:textId="77777777" w:rsidR="00F063DC" w:rsidRDefault="00F063DC" w:rsidP="00F063DC">
      <w:pPr>
        <w:spacing w:line="360" w:lineRule="auto"/>
        <w:jc w:val="both"/>
        <w:rPr>
          <w:noProof/>
          <w:rtl/>
        </w:rPr>
      </w:pPr>
      <w:r>
        <w:rPr>
          <w:noProof/>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5" w:history="1">
        <w:r w:rsidR="00495C42" w:rsidRPr="00495C42">
          <w:rPr>
            <w:rStyle w:val="Hyperlink"/>
            <w:noProof/>
            <w:rtl/>
          </w:rPr>
          <w:t>בסעיף 40יא'</w:t>
        </w:r>
      </w:hyperlink>
      <w:r>
        <w:rPr>
          <w:noProof/>
          <w:rtl/>
        </w:rPr>
        <w:t xml:space="preserve"> לחוק. </w:t>
      </w:r>
    </w:p>
    <w:p w14:paraId="234ACF94" w14:textId="77777777" w:rsidR="00F063DC" w:rsidRDefault="00F063DC" w:rsidP="00F063DC">
      <w:pPr>
        <w:spacing w:line="360" w:lineRule="auto"/>
        <w:jc w:val="both"/>
        <w:rPr>
          <w:noProof/>
        </w:rPr>
      </w:pPr>
    </w:p>
    <w:p w14:paraId="080A2C86" w14:textId="77777777" w:rsidR="00F063DC" w:rsidRDefault="00F063DC" w:rsidP="00F063DC">
      <w:pPr>
        <w:spacing w:line="360" w:lineRule="auto"/>
        <w:jc w:val="both"/>
        <w:rPr>
          <w:noProof/>
        </w:rPr>
      </w:pPr>
      <w:r>
        <w:rPr>
          <w:noProof/>
          <w:rtl/>
        </w:rPr>
        <w:t xml:space="preserve">בית המשפט רשאי לחרוג ממתחם העונש ההולם בשל שיקולי שיקום או הגנה על שלום הציבור לפי </w:t>
      </w:r>
      <w:hyperlink r:id="rId26" w:history="1">
        <w:r w:rsidR="00495C42" w:rsidRPr="00495C42">
          <w:rPr>
            <w:rStyle w:val="Hyperlink"/>
            <w:noProof/>
            <w:rtl/>
          </w:rPr>
          <w:t>סעיפים 40ד'</w:t>
        </w:r>
      </w:hyperlink>
      <w:r>
        <w:rPr>
          <w:noProof/>
          <w:rtl/>
        </w:rPr>
        <w:t xml:space="preserve"> ו</w:t>
      </w:r>
      <w:hyperlink r:id="rId27" w:history="1">
        <w:r w:rsidR="00495C42" w:rsidRPr="00495C42">
          <w:rPr>
            <w:rStyle w:val="Hyperlink"/>
            <w:noProof/>
            <w:rtl/>
          </w:rPr>
          <w:t>40 ה'</w:t>
        </w:r>
      </w:hyperlink>
      <w:r>
        <w:rPr>
          <w:noProof/>
          <w:rtl/>
        </w:rPr>
        <w:t xml:space="preserve"> לחוק.</w:t>
      </w:r>
    </w:p>
    <w:p w14:paraId="095AB64C" w14:textId="77777777" w:rsidR="00F063DC" w:rsidRDefault="00F063DC" w:rsidP="00F063DC">
      <w:pPr>
        <w:spacing w:line="360" w:lineRule="auto"/>
        <w:jc w:val="both"/>
        <w:rPr>
          <w:rFonts w:ascii="Arial" w:hAnsi="Arial"/>
          <w:noProof/>
          <w:rtl/>
        </w:rPr>
      </w:pPr>
    </w:p>
    <w:p w14:paraId="78103C20" w14:textId="77777777" w:rsidR="00F063DC" w:rsidRDefault="00F063DC" w:rsidP="00F063DC">
      <w:pPr>
        <w:spacing w:after="120" w:line="360" w:lineRule="auto"/>
        <w:jc w:val="both"/>
        <w:rPr>
          <w:rFonts w:ascii="Tahoma" w:hAnsi="Tahoma"/>
          <w:b/>
          <w:bCs/>
          <w:u w:val="single"/>
          <w:rtl/>
        </w:rPr>
      </w:pPr>
      <w:r>
        <w:rPr>
          <w:rFonts w:ascii="Tahoma" w:hAnsi="Tahoma"/>
          <w:b/>
          <w:bCs/>
          <w:u w:val="single"/>
          <w:rtl/>
        </w:rPr>
        <w:t>קביעת מתחם העונש ההולם</w:t>
      </w:r>
      <w:r>
        <w:rPr>
          <w:rFonts w:ascii="Tahoma" w:hAnsi="Tahoma"/>
          <w:rtl/>
        </w:rPr>
        <w:t xml:space="preserve">: </w:t>
      </w:r>
    </w:p>
    <w:p w14:paraId="21DF9282" w14:textId="77777777" w:rsidR="00F063DC" w:rsidRDefault="00F063DC" w:rsidP="00F063DC">
      <w:pPr>
        <w:spacing w:after="240" w:line="360" w:lineRule="auto"/>
        <w:jc w:val="both"/>
        <w:rPr>
          <w:rFonts w:ascii="David" w:hAnsi="David"/>
          <w:color w:val="000000"/>
          <w:rtl/>
        </w:rPr>
      </w:pPr>
      <w:r>
        <w:rPr>
          <w:rFonts w:ascii="David" w:hAnsi="David"/>
          <w:color w:val="000000"/>
          <w:rtl/>
        </w:rPr>
        <w:t>עבירות הסמים פוגעות בשלומו ובריאותו של הציבור. גידול סם בכמויות גדולות והחזקה שלא לצריכה עצמית תורמות להפצת הסם. בנוסף לשימוש בסם עצמו, ההתמכרות לסמים והצורך במימונם יוצרת מעגלים רחבים של פשיעה בתחום הרכוש ובתחומים</w:t>
      </w:r>
      <w:r>
        <w:rPr>
          <w:rFonts w:cs="Times New Roman"/>
          <w:color w:val="000000"/>
          <w:rtl/>
        </w:rPr>
        <w:t xml:space="preserve"> </w:t>
      </w:r>
      <w:r>
        <w:rPr>
          <w:rFonts w:ascii="David" w:hAnsi="David"/>
          <w:color w:val="000000"/>
          <w:rtl/>
        </w:rPr>
        <w:t>נוספים. בתי המשפט עמדו על הצורך בענישה משמעותית בעבירות אלו, המביאה בחשבון בין היתר את כמות הסם ואת חלקו של הנאשם בביצוע העבירות (</w:t>
      </w:r>
      <w:hyperlink r:id="rId28" w:history="1">
        <w:r w:rsidR="00AB268F" w:rsidRPr="00AB268F">
          <w:rPr>
            <w:rFonts w:ascii="David" w:hAnsi="David"/>
            <w:color w:val="0000FF"/>
            <w:u w:val="single"/>
            <w:rtl/>
          </w:rPr>
          <w:t>רע"פ 7906/19</w:t>
        </w:r>
      </w:hyperlink>
      <w:r>
        <w:rPr>
          <w:rFonts w:ascii="David" w:hAnsi="David"/>
          <w:color w:val="000000"/>
          <w:rtl/>
        </w:rPr>
        <w:t xml:space="preserve"> </w:t>
      </w:r>
      <w:r>
        <w:rPr>
          <w:rFonts w:ascii="David" w:hAnsi="David"/>
          <w:b/>
          <w:bCs/>
          <w:color w:val="000000"/>
          <w:rtl/>
        </w:rPr>
        <w:t>אדרי נ' מדינת ישראל</w:t>
      </w:r>
      <w:r>
        <w:rPr>
          <w:rFonts w:ascii="David" w:hAnsi="David"/>
          <w:color w:val="000000"/>
          <w:rtl/>
        </w:rPr>
        <w:t xml:space="preserve"> </w:t>
      </w:r>
      <w:r w:rsidR="0050477D" w:rsidRPr="0050477D">
        <w:rPr>
          <w:sz w:val="22"/>
          <w:rtl/>
        </w:rPr>
        <w:t xml:space="preserve">[פורסם בנבו] </w:t>
      </w:r>
      <w:r>
        <w:rPr>
          <w:rFonts w:ascii="David" w:hAnsi="David"/>
          <w:color w:val="000000"/>
          <w:rtl/>
        </w:rPr>
        <w:t xml:space="preserve">(03.12.19)). </w:t>
      </w:r>
    </w:p>
    <w:p w14:paraId="19045ADF" w14:textId="77777777" w:rsidR="00F063DC" w:rsidRDefault="00F063DC" w:rsidP="00F063DC">
      <w:pPr>
        <w:pStyle w:val="2"/>
        <w:bidi/>
        <w:spacing w:before="240" w:beforeAutospacing="0" w:after="240" w:afterAutospacing="0" w:line="360" w:lineRule="auto"/>
        <w:jc w:val="both"/>
        <w:rPr>
          <w:color w:val="000000"/>
          <w:sz w:val="27"/>
          <w:szCs w:val="27"/>
          <w:rtl/>
        </w:rPr>
      </w:pPr>
      <w:r>
        <w:rPr>
          <w:rFonts w:ascii="David" w:hAnsi="David" w:cs="David"/>
          <w:rtl/>
        </w:rPr>
        <w:t>ב</w:t>
      </w:r>
      <w:hyperlink r:id="rId29" w:history="1">
        <w:r w:rsidR="00AB268F" w:rsidRPr="00AB268F">
          <w:rPr>
            <w:rFonts w:ascii="David" w:hAnsi="David" w:cs="David"/>
            <w:color w:val="0000FF"/>
            <w:u w:val="single"/>
            <w:rtl/>
          </w:rPr>
          <w:t>ע"פ 4387/20</w:t>
        </w:r>
      </w:hyperlink>
      <w:r w:rsidR="00AB268F">
        <w:rPr>
          <w:rFonts w:ascii="David" w:hAnsi="David" w:cs="David"/>
          <w:rtl/>
        </w:rPr>
        <w:t xml:space="preserve"> </w:t>
      </w:r>
      <w:r>
        <w:rPr>
          <w:rFonts w:ascii="David" w:hAnsi="David" w:cs="David"/>
          <w:b/>
          <w:bCs/>
          <w:rtl/>
        </w:rPr>
        <w:t xml:space="preserve">מדינת </w:t>
      </w:r>
      <w:r>
        <w:rPr>
          <w:rFonts w:ascii="David" w:hAnsi="David" w:cs="David"/>
          <w:b/>
          <w:bCs/>
          <w:color w:val="000000"/>
          <w:rtl/>
        </w:rPr>
        <w:t>ישראל נ' דרור</w:t>
      </w:r>
      <w:r>
        <w:rPr>
          <w:rFonts w:ascii="David" w:hAnsi="David" w:cs="David"/>
          <w:color w:val="000000"/>
          <w:rtl/>
        </w:rPr>
        <w:t xml:space="preserve"> </w:t>
      </w:r>
      <w:r w:rsidR="0050477D" w:rsidRPr="0050477D">
        <w:rPr>
          <w:rFonts w:cs="David"/>
          <w:sz w:val="22"/>
          <w:rtl/>
        </w:rPr>
        <w:t xml:space="preserve">[פורסם בנבו] </w:t>
      </w:r>
      <w:r>
        <w:rPr>
          <w:rFonts w:ascii="David" w:hAnsi="David" w:cs="David"/>
          <w:color w:val="000000"/>
          <w:rtl/>
        </w:rPr>
        <w:t>(8.2.2021) נכתב:</w:t>
      </w:r>
    </w:p>
    <w:p w14:paraId="571EE817" w14:textId="77777777" w:rsidR="00F063DC" w:rsidRDefault="00F063DC" w:rsidP="00F063DC">
      <w:pPr>
        <w:pStyle w:val="2"/>
        <w:bidi/>
        <w:spacing w:before="0" w:beforeAutospacing="0" w:after="0" w:afterAutospacing="0" w:line="360" w:lineRule="auto"/>
        <w:ind w:left="567" w:right="567"/>
        <w:jc w:val="both"/>
        <w:rPr>
          <w:rFonts w:ascii="David" w:hAnsi="David" w:cs="David"/>
          <w:color w:val="000000"/>
        </w:rPr>
      </w:pPr>
      <w:r>
        <w:rPr>
          <w:rFonts w:ascii="David" w:hAnsi="David" w:cs="David"/>
          <w:color w:val="000000"/>
          <w:rtl/>
        </w:rPr>
        <w:t>"</w:t>
      </w:r>
      <w:r>
        <w:rPr>
          <w:rFonts w:ascii="David" w:hAnsi="David" w:cs="David"/>
          <w:b/>
          <w:bCs/>
          <w:color w:val="000000"/>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Pr>
          <w:rFonts w:ascii="David" w:hAnsi="David" w:cs="David"/>
          <w:color w:val="000000"/>
          <w:rtl/>
        </w:rPr>
        <w:t>".</w:t>
      </w:r>
    </w:p>
    <w:p w14:paraId="57BA9458" w14:textId="77777777" w:rsidR="00F063DC" w:rsidRDefault="00F063DC" w:rsidP="00F063DC">
      <w:pPr>
        <w:pStyle w:val="2"/>
        <w:bidi/>
        <w:spacing w:before="240" w:beforeAutospacing="0" w:after="240" w:afterAutospacing="0" w:line="360" w:lineRule="auto"/>
        <w:jc w:val="both"/>
        <w:rPr>
          <w:rFonts w:ascii="David" w:hAnsi="David" w:cs="David"/>
          <w:color w:val="000000"/>
          <w:rtl/>
        </w:rPr>
      </w:pPr>
      <w:r>
        <w:rPr>
          <w:rFonts w:ascii="David" w:hAnsi="David" w:cs="David"/>
          <w:color w:val="000000"/>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p>
    <w:p w14:paraId="2BD9D394" w14:textId="77777777" w:rsidR="00F063DC" w:rsidRDefault="00F063DC" w:rsidP="00F063DC">
      <w:pPr>
        <w:pStyle w:val="2"/>
        <w:bidi/>
        <w:spacing w:before="0" w:beforeAutospacing="0" w:after="240" w:afterAutospacing="0" w:line="360" w:lineRule="auto"/>
        <w:ind w:left="567" w:right="567"/>
        <w:jc w:val="both"/>
        <w:rPr>
          <w:rFonts w:ascii="David" w:hAnsi="David" w:cs="David"/>
          <w:color w:val="000000"/>
        </w:rPr>
      </w:pPr>
      <w:r>
        <w:rPr>
          <w:rFonts w:ascii="David" w:hAnsi="David" w:cs="David"/>
          <w:color w:val="000000"/>
          <w:rtl/>
        </w:rPr>
        <w:t>"</w:t>
      </w:r>
      <w:r>
        <w:rPr>
          <w:rFonts w:ascii="David" w:hAnsi="David" w:cs="David"/>
          <w:b/>
          <w:bCs/>
          <w:color w:val="000000"/>
          <w:rtl/>
        </w:rPr>
        <w:t xml:space="preserve">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w:t>
      </w:r>
      <w:r>
        <w:rPr>
          <w:rFonts w:ascii="David" w:hAnsi="David" w:cs="David"/>
          <w:b/>
          <w:bCs/>
          <w:rtl/>
        </w:rPr>
        <w:t>לחוד</w:t>
      </w:r>
      <w:r>
        <w:rPr>
          <w:rFonts w:ascii="David" w:hAnsi="David" w:cs="David"/>
          <w:rtl/>
        </w:rPr>
        <w:t>" (</w:t>
      </w:r>
      <w:hyperlink r:id="rId30" w:history="1">
        <w:r w:rsidR="00AB268F" w:rsidRPr="00AB268F">
          <w:rPr>
            <w:rFonts w:ascii="David" w:hAnsi="David" w:cs="David"/>
            <w:color w:val="0000FF"/>
            <w:u w:val="single"/>
            <w:rtl/>
          </w:rPr>
          <w:t>ע"פ 5807/17</w:t>
        </w:r>
      </w:hyperlink>
      <w:r w:rsidR="00AB268F">
        <w:rPr>
          <w:rFonts w:ascii="David" w:hAnsi="David" w:cs="David"/>
          <w:b/>
          <w:bCs/>
          <w:rtl/>
        </w:rPr>
        <w:t xml:space="preserve"> </w:t>
      </w:r>
      <w:r>
        <w:rPr>
          <w:rFonts w:ascii="David" w:hAnsi="David" w:cs="David"/>
          <w:b/>
          <w:bCs/>
          <w:rtl/>
        </w:rPr>
        <w:t xml:space="preserve">דרחי </w:t>
      </w:r>
      <w:r>
        <w:rPr>
          <w:rFonts w:ascii="David" w:hAnsi="David" w:cs="David"/>
          <w:b/>
          <w:bCs/>
          <w:color w:val="000000"/>
          <w:rtl/>
        </w:rPr>
        <w:t>נ' מדינת ישראל</w:t>
      </w:r>
      <w:r>
        <w:rPr>
          <w:rFonts w:ascii="David" w:hAnsi="David" w:cs="David"/>
          <w:color w:val="000000"/>
          <w:rtl/>
        </w:rPr>
        <w:t xml:space="preserve"> </w:t>
      </w:r>
      <w:r w:rsidR="0050477D" w:rsidRPr="0050477D">
        <w:rPr>
          <w:rFonts w:cs="David"/>
          <w:sz w:val="22"/>
          <w:rtl/>
        </w:rPr>
        <w:t xml:space="preserve">[פורסם בנבו] </w:t>
      </w:r>
      <w:r>
        <w:rPr>
          <w:rFonts w:ascii="David" w:hAnsi="David" w:cs="David"/>
          <w:color w:val="000000"/>
          <w:rtl/>
        </w:rPr>
        <w:t>(18.6.2018))</w:t>
      </w:r>
    </w:p>
    <w:p w14:paraId="5E96A5E9" w14:textId="77777777" w:rsidR="00F063DC" w:rsidRDefault="00F063DC" w:rsidP="00F063DC">
      <w:pPr>
        <w:spacing w:line="360" w:lineRule="auto"/>
        <w:jc w:val="both"/>
        <w:rPr>
          <w:rFonts w:ascii="David" w:hAnsi="David"/>
          <w:color w:val="000000"/>
          <w:rtl/>
        </w:rPr>
      </w:pPr>
      <w:r>
        <w:rPr>
          <w:rFonts w:ascii="David" w:hAnsi="David"/>
          <w:color w:val="000000"/>
          <w:rtl/>
        </w:rPr>
        <w:t>וב</w:t>
      </w:r>
      <w:hyperlink r:id="rId31" w:history="1">
        <w:r w:rsidR="00AB268F" w:rsidRPr="00AB268F">
          <w:rPr>
            <w:rFonts w:ascii="David" w:hAnsi="David"/>
            <w:color w:val="0000FF"/>
            <w:u w:val="single"/>
            <w:rtl/>
          </w:rPr>
          <w:t>עפ"ג (מרכז) 72782-12-18</w:t>
        </w:r>
      </w:hyperlink>
      <w:r>
        <w:rPr>
          <w:rFonts w:ascii="David" w:hAnsi="David"/>
          <w:color w:val="000000"/>
          <w:rtl/>
        </w:rPr>
        <w:t xml:space="preserve"> אדרי נ' מדינת ישראל </w:t>
      </w:r>
      <w:r w:rsidR="0050477D" w:rsidRPr="0050477D">
        <w:rPr>
          <w:sz w:val="22"/>
          <w:rtl/>
        </w:rPr>
        <w:t xml:space="preserve">[פורסם בנבו] </w:t>
      </w:r>
      <w:r>
        <w:rPr>
          <w:rFonts w:ascii="David" w:hAnsi="David"/>
          <w:color w:val="000000"/>
          <w:rtl/>
        </w:rPr>
        <w:t>(29.10.19) נאמר:</w:t>
      </w:r>
    </w:p>
    <w:p w14:paraId="5467D0FB" w14:textId="77777777" w:rsidR="00F063DC" w:rsidRPr="00F063DC" w:rsidRDefault="00F063DC" w:rsidP="00F063DC">
      <w:pPr>
        <w:pStyle w:val="a3"/>
        <w:spacing w:line="360" w:lineRule="auto"/>
        <w:ind w:left="567" w:right="567"/>
        <w:jc w:val="both"/>
        <w:rPr>
          <w:rFonts w:ascii="David" w:eastAsia="Calibri" w:hAnsi="David"/>
          <w:b/>
          <w:bCs/>
          <w:color w:val="000000"/>
          <w:rtl/>
        </w:rPr>
      </w:pPr>
      <w:r>
        <w:rPr>
          <w:rFonts w:ascii="David" w:hAnsi="David"/>
          <w:color w:val="000000"/>
          <w:rtl/>
        </w:rPr>
        <w:t>"</w:t>
      </w:r>
      <w:r>
        <w:rPr>
          <w:rFonts w:ascii="David" w:hAnsi="David"/>
          <w:b/>
          <w:bCs/>
          <w:color w:val="000000"/>
          <w:rtl/>
        </w:rPr>
        <w:t>אין צורך להכביר מילים אודות החומרה היתרה הטמונה בעבירות מהסוג שביצעו המערערים. תופעת המעבדות לגידול סמים הפכה ל"מכת מדינה" ושומה על בתי המשפט לתת כתף למלחמה בתופעה זו נוכח פוטנציאל הנזק הרב הגלום בה.</w:t>
      </w:r>
    </w:p>
    <w:p w14:paraId="2DC91842" w14:textId="77777777" w:rsidR="00F063DC" w:rsidRDefault="00F063DC" w:rsidP="00F063DC">
      <w:pPr>
        <w:pStyle w:val="a3"/>
        <w:spacing w:before="240" w:after="96" w:line="360" w:lineRule="auto"/>
        <w:ind w:left="567" w:right="567"/>
        <w:jc w:val="both"/>
        <w:rPr>
          <w:rFonts w:ascii="David" w:hAnsi="David"/>
          <w:b/>
          <w:bCs/>
          <w:color w:val="000000"/>
        </w:rPr>
      </w:pPr>
      <w:r>
        <w:rPr>
          <w:rFonts w:ascii="David" w:hAnsi="David"/>
          <w:b/>
          <w:bCs/>
          <w:color w:val="000000"/>
          <w:rtl/>
        </w:rPr>
        <w:t xml:space="preserve">ראו בהקשר זה דברי בית המשפט </w:t>
      </w:r>
      <w:r>
        <w:rPr>
          <w:rFonts w:ascii="David" w:hAnsi="David"/>
          <w:b/>
          <w:bCs/>
          <w:rtl/>
        </w:rPr>
        <w:t>העליון ב</w:t>
      </w:r>
      <w:hyperlink r:id="rId32" w:history="1">
        <w:r w:rsidR="00AB268F" w:rsidRPr="00AB268F">
          <w:rPr>
            <w:rFonts w:ascii="David" w:hAnsi="David"/>
            <w:b/>
            <w:bCs/>
            <w:color w:val="0000FF"/>
            <w:u w:val="single"/>
            <w:rtl/>
          </w:rPr>
          <w:t>ע"פ 211/09</w:t>
        </w:r>
      </w:hyperlink>
      <w:r w:rsidR="00AB268F">
        <w:rPr>
          <w:rFonts w:ascii="David" w:hAnsi="David"/>
          <w:b/>
          <w:bCs/>
          <w:rtl/>
        </w:rPr>
        <w:t xml:space="preserve"> </w:t>
      </w:r>
      <w:r>
        <w:rPr>
          <w:rFonts w:ascii="David" w:hAnsi="David"/>
          <w:b/>
          <w:bCs/>
          <w:rtl/>
        </w:rPr>
        <w:t xml:space="preserve">אזולאי </w:t>
      </w:r>
      <w:r>
        <w:rPr>
          <w:rFonts w:ascii="David" w:hAnsi="David"/>
          <w:b/>
          <w:bCs/>
          <w:color w:val="000000"/>
          <w:rtl/>
        </w:rPr>
        <w:t xml:space="preserve">נ' מדינת ישראל, פסקה 10 </w:t>
      </w:r>
      <w:r w:rsidR="0050477D" w:rsidRPr="0050477D">
        <w:rPr>
          <w:b/>
          <w:bCs/>
          <w:sz w:val="22"/>
          <w:rtl/>
        </w:rPr>
        <w:t xml:space="preserve">[פורסם בנבו] </w:t>
      </w:r>
      <w:r>
        <w:rPr>
          <w:rFonts w:ascii="David" w:hAnsi="David"/>
          <w:b/>
          <w:bCs/>
          <w:color w:val="000000"/>
          <w:rtl/>
        </w:rPr>
        <w:t>(22.6.2010):</w:t>
      </w:r>
    </w:p>
    <w:p w14:paraId="16B4651C" w14:textId="77777777" w:rsidR="00F063DC" w:rsidRDefault="00F063DC" w:rsidP="00F063DC">
      <w:pPr>
        <w:pStyle w:val="a00"/>
        <w:bidi/>
        <w:spacing w:before="0" w:beforeAutospacing="0" w:after="96" w:afterAutospacing="0" w:line="360" w:lineRule="auto"/>
        <w:ind w:left="567" w:right="567"/>
        <w:jc w:val="both"/>
        <w:rPr>
          <w:rFonts w:ascii="David" w:hAnsi="David" w:cs="David"/>
          <w:color w:val="000000"/>
          <w:rtl/>
        </w:rPr>
      </w:pPr>
      <w:r>
        <w:rPr>
          <w:rFonts w:ascii="David" w:hAnsi="David" w:cs="David"/>
          <w:b/>
          <w:bCs/>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2197A171" w14:textId="77777777" w:rsidR="00F063DC" w:rsidRDefault="00F063DC" w:rsidP="00F063DC">
      <w:pPr>
        <w:spacing w:after="240" w:line="360" w:lineRule="auto"/>
        <w:jc w:val="both"/>
        <w:rPr>
          <w:rFonts w:ascii="David" w:hAnsi="David"/>
          <w:color w:val="000000"/>
          <w:rtl/>
        </w:rPr>
      </w:pPr>
      <w:r>
        <w:rPr>
          <w:rFonts w:ascii="David" w:hAnsi="David"/>
          <w:color w:val="000000"/>
          <w:rtl/>
        </w:rPr>
        <w:t>על חומרת נסיבות הקמת "המעבדות", עמד</w:t>
      </w:r>
      <w:r w:rsidR="00AB268F">
        <w:rPr>
          <w:rFonts w:ascii="David" w:hAnsi="David"/>
          <w:color w:val="000000"/>
          <w:rtl/>
        </w:rPr>
        <w:t xml:space="preserve"> </w:t>
      </w:r>
      <w:r>
        <w:rPr>
          <w:rFonts w:ascii="David" w:hAnsi="David"/>
          <w:color w:val="000000"/>
          <w:rtl/>
        </w:rPr>
        <w:t>בית המשפט המחו</w:t>
      </w:r>
      <w:r>
        <w:rPr>
          <w:rFonts w:ascii="David" w:hAnsi="David"/>
          <w:rtl/>
        </w:rPr>
        <w:t>זי ב</w:t>
      </w:r>
      <w:hyperlink r:id="rId33" w:history="1">
        <w:r w:rsidR="00AB268F" w:rsidRPr="00AB268F">
          <w:rPr>
            <w:rFonts w:ascii="David" w:hAnsi="David"/>
            <w:color w:val="0000FF"/>
            <w:u w:val="single"/>
            <w:rtl/>
          </w:rPr>
          <w:t>עפ"ג 55495-03-18</w:t>
        </w:r>
      </w:hyperlink>
      <w:r w:rsidR="00AB268F">
        <w:rPr>
          <w:rFonts w:ascii="David" w:hAnsi="David"/>
          <w:rtl/>
        </w:rPr>
        <w:t xml:space="preserve"> </w:t>
      </w:r>
      <w:r>
        <w:rPr>
          <w:rFonts w:ascii="David" w:hAnsi="David"/>
          <w:b/>
          <w:bCs/>
          <w:color w:val="000000"/>
          <w:rtl/>
        </w:rPr>
        <w:t>מדינת ישראל נ' כהן</w:t>
      </w:r>
      <w:r w:rsidR="00AB268F">
        <w:rPr>
          <w:rFonts w:ascii="David" w:hAnsi="David"/>
          <w:color w:val="000000"/>
          <w:rtl/>
        </w:rPr>
        <w:t xml:space="preserve"> </w:t>
      </w:r>
      <w:r w:rsidR="0050477D" w:rsidRPr="0050477D">
        <w:rPr>
          <w:sz w:val="22"/>
          <w:rtl/>
        </w:rPr>
        <w:t xml:space="preserve">[פורסם בנבו] </w:t>
      </w:r>
      <w:r>
        <w:rPr>
          <w:rFonts w:ascii="David" w:hAnsi="David"/>
          <w:color w:val="000000"/>
          <w:rtl/>
        </w:rPr>
        <w:t>(27.05.18). במסגרת פסק הדין הוחמר עונשו של המשיב תוך שבית המשפט שם דגש על גודלן</w:t>
      </w:r>
      <w:r w:rsidR="00AB268F">
        <w:rPr>
          <w:rFonts w:ascii="David" w:hAnsi="David"/>
          <w:color w:val="000000"/>
          <w:rtl/>
        </w:rPr>
        <w:t xml:space="preserve"> </w:t>
      </w:r>
      <w:r>
        <w:rPr>
          <w:rFonts w:ascii="David" w:hAnsi="David"/>
          <w:color w:val="000000"/>
          <w:rtl/>
        </w:rPr>
        <w:t xml:space="preserve"> העצום של "המעבדות" והציוד שהיה בהן, משך התקופה בה הן פעלו ולרווח הכלכלי שהיה צפוי מהן.</w:t>
      </w:r>
    </w:p>
    <w:p w14:paraId="51191D5A" w14:textId="77777777" w:rsidR="00F063DC" w:rsidRPr="00F063DC" w:rsidRDefault="00F063DC" w:rsidP="00F063DC">
      <w:pPr>
        <w:spacing w:after="240" w:line="360" w:lineRule="auto"/>
        <w:jc w:val="both"/>
        <w:rPr>
          <w:rFonts w:ascii="Calibri" w:eastAsia="Calibri" w:hAnsi="Calibri" w:cs="Arial"/>
          <w:color w:val="000000"/>
          <w:sz w:val="27"/>
          <w:szCs w:val="27"/>
          <w:rtl/>
        </w:rPr>
      </w:pPr>
      <w:r>
        <w:rPr>
          <w:rFonts w:ascii="David" w:hAnsi="David"/>
          <w:color w:val="000000"/>
          <w:rtl/>
        </w:rPr>
        <w:t>בענייננו</w:t>
      </w:r>
      <w:r>
        <w:rPr>
          <w:rFonts w:ascii="David" w:hAnsi="David" w:hint="cs"/>
          <w:color w:val="000000"/>
          <w:rtl/>
        </w:rPr>
        <w:t xml:space="preserve">, הנאשם </w:t>
      </w:r>
      <w:r>
        <w:rPr>
          <w:rFonts w:ascii="David" w:hAnsi="David"/>
          <w:color w:val="000000"/>
          <w:rtl/>
        </w:rPr>
        <w:t xml:space="preserve">הורשע בעבירות גידול שלא לצריכה עצמית והחזקה שלא צריכה עצמית. </w:t>
      </w:r>
      <w:r>
        <w:rPr>
          <w:rFonts w:ascii="David" w:hAnsi="David" w:hint="cs"/>
          <w:color w:val="000000"/>
          <w:rtl/>
        </w:rPr>
        <w:t xml:space="preserve">הנאשם </w:t>
      </w:r>
      <w:r>
        <w:rPr>
          <w:rFonts w:ascii="David" w:hAnsi="David"/>
          <w:color w:val="000000"/>
          <w:rtl/>
        </w:rPr>
        <w:t>טען</w:t>
      </w:r>
      <w:r>
        <w:rPr>
          <w:rFonts w:ascii="David" w:hAnsi="David" w:hint="cs"/>
          <w:color w:val="000000"/>
          <w:rtl/>
        </w:rPr>
        <w:t xml:space="preserve"> </w:t>
      </w:r>
      <w:r>
        <w:rPr>
          <w:rFonts w:ascii="David" w:hAnsi="David"/>
          <w:color w:val="000000"/>
          <w:rtl/>
        </w:rPr>
        <w:t xml:space="preserve">שכל </w:t>
      </w:r>
      <w:r>
        <w:rPr>
          <w:rFonts w:ascii="David" w:hAnsi="David" w:hint="cs"/>
          <w:color w:val="000000"/>
          <w:rtl/>
        </w:rPr>
        <w:t xml:space="preserve">כמות הסם </w:t>
      </w:r>
      <w:r>
        <w:rPr>
          <w:rFonts w:ascii="David" w:hAnsi="David"/>
          <w:color w:val="000000"/>
          <w:rtl/>
        </w:rPr>
        <w:t>הי</w:t>
      </w:r>
      <w:r>
        <w:rPr>
          <w:rFonts w:ascii="David" w:hAnsi="David" w:hint="cs"/>
          <w:color w:val="000000"/>
          <w:rtl/>
        </w:rPr>
        <w:t>ית</w:t>
      </w:r>
      <w:r>
        <w:rPr>
          <w:rFonts w:ascii="David" w:hAnsi="David"/>
          <w:color w:val="000000"/>
          <w:rtl/>
        </w:rPr>
        <w:t>ה לשימושו העצמי אולם קשה לתאר שימוש עצמי בשלושה ק"ג סם ובשתילת 215 שתילים! (</w:t>
      </w:r>
      <w:hyperlink r:id="rId34" w:history="1">
        <w:r w:rsidR="00AB268F" w:rsidRPr="00AB268F">
          <w:rPr>
            <w:rFonts w:ascii="David" w:hAnsi="David"/>
            <w:color w:val="0000FF"/>
            <w:u w:val="single"/>
            <w:rtl/>
          </w:rPr>
          <w:t>רע"פ 314/16</w:t>
        </w:r>
      </w:hyperlink>
      <w:r>
        <w:rPr>
          <w:rFonts w:ascii="David" w:hAnsi="David"/>
          <w:color w:val="000000"/>
          <w:rtl/>
        </w:rPr>
        <w:t xml:space="preserve"> </w:t>
      </w:r>
      <w:r>
        <w:rPr>
          <w:rFonts w:ascii="David" w:hAnsi="David"/>
          <w:b/>
          <w:bCs/>
          <w:color w:val="000000"/>
          <w:rtl/>
        </w:rPr>
        <w:t>בן צבי נ' מדינת ישראל</w:t>
      </w:r>
      <w:r>
        <w:rPr>
          <w:rFonts w:ascii="David" w:hAnsi="David"/>
          <w:color w:val="000000"/>
          <w:rtl/>
        </w:rPr>
        <w:t xml:space="preserve"> </w:t>
      </w:r>
      <w:r w:rsidR="0050477D" w:rsidRPr="0050477D">
        <w:rPr>
          <w:sz w:val="22"/>
          <w:rtl/>
        </w:rPr>
        <w:t xml:space="preserve">[פורסם בנבו] </w:t>
      </w:r>
      <w:r>
        <w:rPr>
          <w:rFonts w:ascii="David" w:hAnsi="David"/>
          <w:color w:val="000000"/>
          <w:rtl/>
        </w:rPr>
        <w:t>(22.02.16)). אמנם לא ידוע כמה זמן גידל הנאשם את המשתלה הביתית ואולם, הנאשם גידל את השתילים בארבעת חדרי הדירה, צייד את הדירה בציוד חקלאי רב ולמעשה, ניתן לומר שמטרת הדירה הייתה גידול השתילים והפקת הסם. עובדות כתב האישום מלמדות "</w:t>
      </w:r>
      <w:r>
        <w:rPr>
          <w:rFonts w:ascii="David" w:hAnsi="David"/>
          <w:b/>
          <w:bCs/>
          <w:color w:val="000000"/>
          <w:rtl/>
        </w:rPr>
        <w:t>על כך שלא מדובר במעידה חד פעמית וספונטנית או בגידול מזדמן וחובבני, אלא בנאשם שהשקיע מחשבה רבה בהקמת המעבדה, בגידול הסם, כמו גם השקיע כסף לשכירת הדירה ולרכישת הציוד לצד הזמן הרב והמשאבים שנדרשו לצורך הפעלת המעבדה, כך שמדובר היה בעסק של ממש מבחינתו</w:t>
      </w:r>
      <w:r>
        <w:rPr>
          <w:rFonts w:ascii="David" w:hAnsi="David"/>
          <w:color w:val="000000"/>
          <w:rtl/>
        </w:rPr>
        <w:t>" (</w:t>
      </w:r>
      <w:hyperlink r:id="rId35" w:history="1">
        <w:r w:rsidR="00AB268F" w:rsidRPr="00AB268F">
          <w:rPr>
            <w:rFonts w:ascii="David" w:hAnsi="David"/>
            <w:color w:val="0000FF"/>
            <w:u w:val="single"/>
            <w:rtl/>
          </w:rPr>
          <w:t>ת"פ (מחוזי ת"א) 23190-04-21</w:t>
        </w:r>
      </w:hyperlink>
      <w:r w:rsidR="00AB268F">
        <w:rPr>
          <w:rFonts w:ascii="David" w:hAnsi="David"/>
          <w:color w:val="000000"/>
          <w:rtl/>
        </w:rPr>
        <w:t xml:space="preserve"> </w:t>
      </w:r>
      <w:r>
        <w:rPr>
          <w:b/>
          <w:bCs/>
          <w:rtl/>
        </w:rPr>
        <w:t>מדינת ישראל נ' מאיר שרגא</w:t>
      </w:r>
      <w:r w:rsidR="00AB268F">
        <w:rPr>
          <w:rtl/>
        </w:rPr>
        <w:t xml:space="preserve"> </w:t>
      </w:r>
      <w:r>
        <w:rPr>
          <w:rtl/>
        </w:rPr>
        <w:t>(נבו 18.07.2022)).</w:t>
      </w:r>
    </w:p>
    <w:p w14:paraId="4B87F377" w14:textId="77777777" w:rsidR="00F063DC" w:rsidRDefault="00F063DC" w:rsidP="00F063DC">
      <w:pPr>
        <w:spacing w:after="240" w:line="360" w:lineRule="auto"/>
        <w:jc w:val="both"/>
        <w:rPr>
          <w:rFonts w:ascii="David" w:hAnsi="David"/>
          <w:rtl/>
        </w:rPr>
      </w:pPr>
    </w:p>
    <w:p w14:paraId="3993FA0B" w14:textId="77777777" w:rsidR="00F063DC" w:rsidRDefault="00F063DC" w:rsidP="00F063DC">
      <w:pPr>
        <w:spacing w:after="240" w:line="360" w:lineRule="auto"/>
        <w:jc w:val="both"/>
        <w:rPr>
          <w:rFonts w:ascii="David" w:hAnsi="David"/>
          <w:b/>
          <w:bCs/>
          <w:spacing w:val="10"/>
          <w:rtl/>
        </w:rPr>
      </w:pPr>
      <w:r>
        <w:rPr>
          <w:rFonts w:ascii="David" w:hAnsi="David"/>
          <w:rtl/>
        </w:rPr>
        <w:t>ב</w:t>
      </w:r>
      <w:hyperlink r:id="rId36" w:history="1">
        <w:r w:rsidR="00AB268F" w:rsidRPr="00AB268F">
          <w:rPr>
            <w:rFonts w:ascii="David" w:hAnsi="David"/>
            <w:color w:val="0000FF"/>
            <w:u w:val="single"/>
            <w:rtl/>
          </w:rPr>
          <w:t>ע"פ 126/22</w:t>
        </w:r>
      </w:hyperlink>
      <w:r w:rsidR="00AB268F">
        <w:rPr>
          <w:rFonts w:ascii="David" w:hAnsi="David"/>
          <w:rtl/>
        </w:rPr>
        <w:t xml:space="preserve"> </w:t>
      </w:r>
      <w:r>
        <w:rPr>
          <w:rFonts w:ascii="David" w:hAnsi="David"/>
          <w:b/>
          <w:bCs/>
          <w:rtl/>
        </w:rPr>
        <w:t>מדינת ישראל נ' פלוני</w:t>
      </w:r>
      <w:r w:rsidR="00AB268F">
        <w:rPr>
          <w:rFonts w:ascii="David" w:hAnsi="David"/>
          <w:rtl/>
        </w:rPr>
        <w:t xml:space="preserve"> </w:t>
      </w:r>
      <w:r w:rsidR="0050477D" w:rsidRPr="0050477D">
        <w:rPr>
          <w:sz w:val="22"/>
          <w:rtl/>
        </w:rPr>
        <w:t xml:space="preserve">[פורסם בנבו] </w:t>
      </w:r>
      <w:r>
        <w:rPr>
          <w:rFonts w:ascii="David" w:hAnsi="David"/>
          <w:rtl/>
        </w:rPr>
        <w:t>(27.</w:t>
      </w:r>
      <w:r>
        <w:rPr>
          <w:rFonts w:ascii="David" w:hAnsi="David" w:hint="cs"/>
          <w:rtl/>
        </w:rPr>
        <w:t>0</w:t>
      </w:r>
      <w:r>
        <w:rPr>
          <w:rFonts w:ascii="David" w:hAnsi="David"/>
          <w:rtl/>
        </w:rPr>
        <w:t>4.22) נכתב: "</w:t>
      </w:r>
      <w:r>
        <w:rPr>
          <w:rFonts w:ascii="David" w:hAnsi="David"/>
          <w:b/>
          <w:bCs/>
          <w:spacing w:val="10"/>
          <w:rtl/>
        </w:rPr>
        <w:t>הלכה מושרשת היא שבעבירות של ייצור והפקת סם מסוכן בכמות משמעותית, על הענישה להיות מחמירה ומרתיעה (</w:t>
      </w:r>
      <w:hyperlink r:id="rId37" w:history="1">
        <w:r w:rsidR="00AB268F" w:rsidRPr="00AB268F">
          <w:rPr>
            <w:rFonts w:ascii="David" w:hAnsi="David"/>
            <w:b/>
            <w:bCs/>
            <w:color w:val="0000FF"/>
            <w:spacing w:val="10"/>
            <w:u w:val="single"/>
            <w:rtl/>
          </w:rPr>
          <w:t>ע"פ 2596/18</w:t>
        </w:r>
      </w:hyperlink>
      <w:r w:rsidR="00AB268F">
        <w:rPr>
          <w:rFonts w:ascii="David" w:hAnsi="David"/>
          <w:b/>
          <w:bCs/>
          <w:spacing w:val="10"/>
          <w:rtl/>
        </w:rPr>
        <w:t xml:space="preserve"> </w:t>
      </w:r>
      <w:r>
        <w:rPr>
          <w:rFonts w:ascii="David" w:hAnsi="David"/>
          <w:b/>
          <w:bCs/>
          <w:rtl/>
        </w:rPr>
        <w:t>זנזורי נ' מדינת ישראל</w:t>
      </w:r>
      <w:r>
        <w:rPr>
          <w:rFonts w:ascii="David" w:hAnsi="David"/>
          <w:b/>
          <w:bCs/>
          <w:spacing w:val="10"/>
          <w:rtl/>
        </w:rPr>
        <w:t>, פס' 8</w:t>
      </w:r>
      <w:r w:rsidR="00AB268F">
        <w:rPr>
          <w:rFonts w:ascii="David" w:hAnsi="David"/>
          <w:b/>
          <w:bCs/>
          <w:spacing w:val="10"/>
          <w:rtl/>
        </w:rPr>
        <w:t xml:space="preserve"> </w:t>
      </w:r>
      <w:r>
        <w:rPr>
          <w:rFonts w:ascii="David" w:hAnsi="David"/>
          <w:b/>
          <w:bCs/>
          <w:rtl/>
        </w:rPr>
        <w:t>[פורסם בנבו]</w:t>
      </w:r>
      <w:r w:rsidR="00AB268F">
        <w:rPr>
          <w:rFonts w:ascii="David" w:hAnsi="David"/>
          <w:b/>
          <w:bCs/>
          <w:rtl/>
        </w:rPr>
        <w:t xml:space="preserve"> </w:t>
      </w:r>
      <w:r>
        <w:rPr>
          <w:rFonts w:ascii="David" w:hAnsi="David"/>
          <w:b/>
          <w:bCs/>
          <w:spacing w:val="10"/>
          <w:rtl/>
        </w:rPr>
        <w:t>(12.8.18)).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38" w:history="1">
        <w:r w:rsidR="00AB268F" w:rsidRPr="00AB268F">
          <w:rPr>
            <w:rFonts w:ascii="David" w:hAnsi="David"/>
            <w:b/>
            <w:bCs/>
            <w:color w:val="0000FF"/>
            <w:spacing w:val="10"/>
            <w:u w:val="single"/>
            <w:rtl/>
          </w:rPr>
          <w:t>ע"פ 4387/20</w:t>
        </w:r>
      </w:hyperlink>
      <w:r w:rsidR="00AB268F">
        <w:rPr>
          <w:rFonts w:ascii="David" w:hAnsi="David"/>
          <w:b/>
          <w:bCs/>
          <w:spacing w:val="10"/>
          <w:rtl/>
        </w:rPr>
        <w:t xml:space="preserve"> </w:t>
      </w:r>
      <w:r>
        <w:rPr>
          <w:rFonts w:ascii="David" w:hAnsi="David"/>
          <w:b/>
          <w:bCs/>
          <w:rtl/>
        </w:rPr>
        <w:t>מדינת ישראל נ' דרור</w:t>
      </w:r>
      <w:r>
        <w:rPr>
          <w:rFonts w:ascii="David" w:hAnsi="David"/>
          <w:b/>
          <w:bCs/>
          <w:spacing w:val="10"/>
          <w:rtl/>
        </w:rPr>
        <w:t>, פס' 13</w:t>
      </w:r>
      <w:r w:rsidR="00AB268F">
        <w:rPr>
          <w:rFonts w:ascii="David" w:hAnsi="David"/>
          <w:b/>
          <w:bCs/>
          <w:spacing w:val="10"/>
          <w:rtl/>
        </w:rPr>
        <w:t xml:space="preserve"> </w:t>
      </w:r>
      <w:r>
        <w:rPr>
          <w:rFonts w:ascii="David" w:hAnsi="David"/>
          <w:b/>
          <w:bCs/>
          <w:rtl/>
        </w:rPr>
        <w:t>[פורסם בנבו]</w:t>
      </w:r>
      <w:r w:rsidR="00AB268F">
        <w:rPr>
          <w:rFonts w:ascii="David" w:hAnsi="David"/>
          <w:b/>
          <w:bCs/>
          <w:rtl/>
        </w:rPr>
        <w:t xml:space="preserve"> </w:t>
      </w:r>
      <w:r>
        <w:rPr>
          <w:rFonts w:ascii="David" w:hAnsi="David"/>
          <w:b/>
          <w:bCs/>
          <w:spacing w:val="10"/>
          <w:rtl/>
        </w:rPr>
        <w:t xml:space="preserve">(8.2.21)). </w:t>
      </w:r>
      <w:r>
        <w:rPr>
          <w:rFonts w:ascii="David" w:hAnsi="David"/>
          <w:b/>
          <w:bCs/>
          <w:spacing w:val="10"/>
          <w:u w:val="single"/>
          <w:rtl/>
        </w:rPr>
        <w:t>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David" w:hAnsi="David"/>
          <w:b/>
          <w:bCs/>
          <w:spacing w:val="10"/>
          <w:rtl/>
        </w:rPr>
        <w:t>" (עניין</w:t>
      </w:r>
      <w:r w:rsidR="00AB268F">
        <w:rPr>
          <w:rFonts w:ascii="David" w:hAnsi="David"/>
          <w:b/>
          <w:bCs/>
          <w:spacing w:val="10"/>
          <w:rtl/>
        </w:rPr>
        <w:t xml:space="preserve"> </w:t>
      </w:r>
      <w:r>
        <w:rPr>
          <w:rFonts w:ascii="David" w:hAnsi="David"/>
          <w:b/>
          <w:bCs/>
          <w:rtl/>
        </w:rPr>
        <w:t>זנזורי</w:t>
      </w:r>
      <w:r>
        <w:rPr>
          <w:rFonts w:ascii="David" w:hAnsi="David"/>
          <w:b/>
          <w:bCs/>
          <w:spacing w:val="10"/>
          <w:rtl/>
        </w:rPr>
        <w:t>, פס' 8; ראו גם:</w:t>
      </w:r>
      <w:r w:rsidR="00AB268F">
        <w:rPr>
          <w:rFonts w:ascii="David" w:hAnsi="David"/>
          <w:b/>
          <w:bCs/>
          <w:spacing w:val="10"/>
          <w:rtl/>
        </w:rPr>
        <w:t xml:space="preserve"> </w:t>
      </w:r>
      <w:hyperlink r:id="rId39" w:history="1">
        <w:r w:rsidR="00AB268F" w:rsidRPr="00AB268F">
          <w:rPr>
            <w:rFonts w:ascii="David" w:hAnsi="David"/>
            <w:b/>
            <w:bCs/>
            <w:color w:val="0000FF"/>
            <w:spacing w:val="10"/>
            <w:u w:val="single"/>
            <w:rtl/>
          </w:rPr>
          <w:t>ע"פ 6299/20</w:t>
        </w:r>
      </w:hyperlink>
      <w:r w:rsidR="00AB268F">
        <w:rPr>
          <w:rFonts w:ascii="David" w:hAnsi="David"/>
          <w:b/>
          <w:bCs/>
          <w:spacing w:val="10"/>
          <w:rtl/>
        </w:rPr>
        <w:t xml:space="preserve"> </w:t>
      </w:r>
      <w:r>
        <w:rPr>
          <w:rFonts w:ascii="David" w:hAnsi="David"/>
          <w:b/>
          <w:bCs/>
          <w:rtl/>
        </w:rPr>
        <w:t>חן נ' מדינת ישראל</w:t>
      </w:r>
      <w:r w:rsidR="00AB268F">
        <w:rPr>
          <w:rFonts w:ascii="David" w:hAnsi="David"/>
          <w:b/>
          <w:bCs/>
          <w:spacing w:val="10"/>
          <w:rtl/>
        </w:rPr>
        <w:t xml:space="preserve"> </w:t>
      </w:r>
      <w:r>
        <w:rPr>
          <w:rFonts w:ascii="David" w:hAnsi="David"/>
          <w:b/>
          <w:bCs/>
          <w:rtl/>
        </w:rPr>
        <w:t>[פורסם בנבו]</w:t>
      </w:r>
      <w:r w:rsidR="00AB268F">
        <w:rPr>
          <w:rFonts w:ascii="David" w:hAnsi="David"/>
          <w:b/>
          <w:bCs/>
          <w:rtl/>
        </w:rPr>
        <w:t xml:space="preserve"> </w:t>
      </w:r>
      <w:r>
        <w:rPr>
          <w:rFonts w:ascii="David" w:hAnsi="David"/>
          <w:b/>
          <w:bCs/>
          <w:spacing w:val="10"/>
          <w:rtl/>
        </w:rPr>
        <w:t>(4.2.21)).</w:t>
      </w:r>
      <w:r w:rsidR="00AB268F">
        <w:rPr>
          <w:rFonts w:ascii="David" w:hAnsi="David"/>
          <w:b/>
          <w:bCs/>
          <w:spacing w:val="10"/>
          <w:rtl/>
        </w:rPr>
        <w:t xml:space="preserve"> </w:t>
      </w:r>
    </w:p>
    <w:p w14:paraId="7CEC3B5A" w14:textId="77777777" w:rsidR="00F063DC" w:rsidRDefault="00F063DC" w:rsidP="00F063DC">
      <w:pPr>
        <w:pStyle w:val="ruller40"/>
        <w:bidi/>
        <w:spacing w:before="0" w:beforeAutospacing="0" w:after="0" w:afterAutospacing="0" w:line="360" w:lineRule="auto"/>
        <w:jc w:val="both"/>
        <w:rPr>
          <w:rFonts w:ascii="David" w:hAnsi="David" w:cs="David"/>
          <w:spacing w:val="10"/>
          <w:rtl/>
        </w:rPr>
      </w:pPr>
      <w:r>
        <w:rPr>
          <w:rFonts w:ascii="David" w:hAnsi="David" w:cs="David"/>
          <w:b/>
          <w:bCs/>
          <w:spacing w:val="10"/>
          <w:rtl/>
        </w:rPr>
        <w:t>באופן פרטני יותר, ביחס לעבירות של</w:t>
      </w:r>
      <w:r w:rsidR="00AB268F">
        <w:rPr>
          <w:rFonts w:ascii="David" w:hAnsi="David" w:cs="David"/>
          <w:b/>
          <w:bCs/>
          <w:spacing w:val="10"/>
          <w:rtl/>
        </w:rPr>
        <w:t xml:space="preserve"> </w:t>
      </w:r>
      <w:r>
        <w:rPr>
          <w:rFonts w:ascii="David" w:hAnsi="David" w:cs="David"/>
          <w:b/>
          <w:bCs/>
          <w:spacing w:val="10"/>
          <w:rtl/>
        </w:rPr>
        <w:t>גידול</w:t>
      </w:r>
      <w:r w:rsidR="00AB268F">
        <w:rPr>
          <w:rFonts w:ascii="David" w:hAnsi="David" w:cs="David"/>
          <w:b/>
          <w:bCs/>
          <w:spacing w:val="10"/>
          <w:rtl/>
        </w:rPr>
        <w:t xml:space="preserve"> </w:t>
      </w:r>
      <w:r>
        <w:rPr>
          <w:rFonts w:ascii="David" w:hAnsi="David" w:cs="David"/>
          <w:b/>
          <w:bCs/>
          <w:spacing w:val="10"/>
          <w:rtl/>
        </w:rPr>
        <w:t>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(ראו, למשל:</w:t>
      </w:r>
      <w:r w:rsidR="00AB268F">
        <w:rPr>
          <w:rFonts w:ascii="David" w:hAnsi="David" w:cs="David"/>
          <w:b/>
          <w:bCs/>
          <w:spacing w:val="10"/>
          <w:rtl/>
        </w:rPr>
        <w:t xml:space="preserve"> </w:t>
      </w:r>
      <w:hyperlink r:id="rId40" w:history="1">
        <w:r w:rsidR="00AB268F" w:rsidRPr="00AB268F">
          <w:rPr>
            <w:rFonts w:ascii="David" w:hAnsi="David" w:cs="David"/>
            <w:b/>
            <w:bCs/>
            <w:color w:val="0000FF"/>
            <w:spacing w:val="10"/>
            <w:u w:val="single"/>
            <w:rtl/>
          </w:rPr>
          <w:t>ע"פ 8988/16</w:t>
        </w:r>
      </w:hyperlink>
      <w:r w:rsidR="00AB268F">
        <w:rPr>
          <w:rFonts w:ascii="David" w:hAnsi="David" w:cs="David"/>
          <w:b/>
          <w:bCs/>
          <w:spacing w:val="10"/>
          <w:rtl/>
        </w:rPr>
        <w:t xml:space="preserve"> </w:t>
      </w:r>
      <w:r>
        <w:rPr>
          <w:rFonts w:ascii="David" w:hAnsi="David" w:cs="David"/>
          <w:b/>
          <w:bCs/>
          <w:rtl/>
        </w:rPr>
        <w:t>בן סימון נ' מדינת ישראל</w:t>
      </w:r>
      <w:r>
        <w:rPr>
          <w:rFonts w:ascii="David" w:hAnsi="David" w:cs="David"/>
          <w:b/>
          <w:bCs/>
          <w:spacing w:val="10"/>
          <w:rtl/>
        </w:rPr>
        <w:t>,</w:t>
      </w:r>
      <w:r w:rsidR="00AB268F">
        <w:rPr>
          <w:rFonts w:ascii="David" w:hAnsi="David" w:cs="David"/>
          <w:b/>
          <w:bCs/>
          <w:spacing w:val="10"/>
          <w:rtl/>
        </w:rPr>
        <w:t xml:space="preserve"> </w:t>
      </w:r>
      <w:r>
        <w:rPr>
          <w:rFonts w:ascii="David" w:hAnsi="David" w:cs="David"/>
          <w:b/>
          <w:bCs/>
          <w:spacing w:val="10"/>
          <w:rtl/>
        </w:rPr>
        <w:t>פס' 3</w:t>
      </w:r>
      <w:r w:rsidR="00AB268F">
        <w:rPr>
          <w:rFonts w:ascii="David" w:hAnsi="David" w:cs="David"/>
          <w:b/>
          <w:bCs/>
          <w:spacing w:val="10"/>
          <w:rtl/>
        </w:rPr>
        <w:t xml:space="preserve"> </w:t>
      </w:r>
      <w:r>
        <w:rPr>
          <w:rFonts w:ascii="David" w:hAnsi="David" w:cs="David"/>
          <w:b/>
          <w:bCs/>
          <w:rtl/>
        </w:rPr>
        <w:t>[פורסם בנבו]</w:t>
      </w:r>
      <w:r w:rsidR="00AB268F">
        <w:rPr>
          <w:rFonts w:ascii="David" w:hAnsi="David" w:cs="David"/>
          <w:b/>
          <w:bCs/>
          <w:rtl/>
        </w:rPr>
        <w:t xml:space="preserve"> </w:t>
      </w:r>
      <w:r>
        <w:rPr>
          <w:rFonts w:ascii="David" w:hAnsi="David" w:cs="David"/>
          <w:b/>
          <w:bCs/>
          <w:spacing w:val="10"/>
          <w:rtl/>
        </w:rPr>
        <w:t>(8.3.17);</w:t>
      </w:r>
      <w:r w:rsidR="00AB268F">
        <w:rPr>
          <w:rFonts w:ascii="David" w:hAnsi="David" w:cs="David"/>
          <w:b/>
          <w:bCs/>
          <w:spacing w:val="10"/>
          <w:rtl/>
        </w:rPr>
        <w:t xml:space="preserve"> </w:t>
      </w:r>
      <w:hyperlink r:id="rId41" w:history="1">
        <w:r w:rsidR="00AB268F" w:rsidRPr="00AB268F">
          <w:rPr>
            <w:rFonts w:ascii="David" w:hAnsi="David" w:cs="David"/>
            <w:b/>
            <w:bCs/>
            <w:color w:val="0000FF"/>
            <w:spacing w:val="10"/>
            <w:u w:val="single"/>
            <w:rtl/>
          </w:rPr>
          <w:t>עפ"ג (ב"ש) 66895-12-20</w:t>
        </w:r>
      </w:hyperlink>
      <w:r w:rsidR="00AB268F">
        <w:rPr>
          <w:rFonts w:ascii="David" w:hAnsi="David" w:cs="David"/>
          <w:b/>
          <w:bCs/>
          <w:spacing w:val="10"/>
          <w:rtl/>
        </w:rPr>
        <w:t xml:space="preserve"> </w:t>
      </w:r>
      <w:r>
        <w:rPr>
          <w:rFonts w:ascii="David" w:hAnsi="David" w:cs="David"/>
          <w:b/>
          <w:bCs/>
          <w:rtl/>
        </w:rPr>
        <w:t>מדינת ישראל נ' עתמין</w:t>
      </w:r>
      <w:r w:rsidR="00AB268F">
        <w:rPr>
          <w:rFonts w:ascii="David" w:hAnsi="David" w:cs="David"/>
          <w:b/>
          <w:bCs/>
          <w:spacing w:val="10"/>
          <w:rtl/>
        </w:rPr>
        <w:t xml:space="preserve"> </w:t>
      </w:r>
      <w:r>
        <w:rPr>
          <w:rFonts w:ascii="David" w:hAnsi="David" w:cs="David"/>
          <w:b/>
          <w:bCs/>
          <w:rtl/>
        </w:rPr>
        <w:t>[פורסם בנבו]</w:t>
      </w:r>
      <w:r w:rsidR="00AB268F">
        <w:rPr>
          <w:rFonts w:ascii="David" w:hAnsi="David" w:cs="David"/>
          <w:b/>
          <w:bCs/>
          <w:rtl/>
        </w:rPr>
        <w:t xml:space="preserve"> </w:t>
      </w:r>
      <w:r>
        <w:rPr>
          <w:rFonts w:ascii="David" w:hAnsi="David" w:cs="David"/>
          <w:b/>
          <w:bCs/>
          <w:spacing w:val="10"/>
          <w:rtl/>
        </w:rPr>
        <w:t>(17.8.21)).</w:t>
      </w:r>
      <w:r>
        <w:rPr>
          <w:rFonts w:ascii="David" w:hAnsi="David" w:cs="David"/>
          <w:spacing w:val="10"/>
          <w:rtl/>
        </w:rPr>
        <w:t>"</w:t>
      </w:r>
    </w:p>
    <w:p w14:paraId="0DADF737" w14:textId="77777777" w:rsidR="00F063DC" w:rsidRDefault="00F063DC" w:rsidP="00F063DC">
      <w:pPr>
        <w:spacing w:after="240" w:line="360" w:lineRule="auto"/>
        <w:jc w:val="both"/>
        <w:rPr>
          <w:rFonts w:ascii="David" w:hAnsi="David"/>
          <w:rtl/>
        </w:rPr>
      </w:pPr>
    </w:p>
    <w:p w14:paraId="65F1B4D9" w14:textId="77777777" w:rsidR="00F063DC" w:rsidRDefault="00F063DC" w:rsidP="00F063DC">
      <w:pPr>
        <w:spacing w:after="240" w:line="360" w:lineRule="auto"/>
        <w:jc w:val="both"/>
        <w:rPr>
          <w:rFonts w:ascii="David" w:hAnsi="David"/>
          <w:rtl/>
        </w:rPr>
      </w:pPr>
      <w:r>
        <w:rPr>
          <w:rFonts w:ascii="David" w:hAnsi="David"/>
          <w:rtl/>
        </w:rPr>
        <w:t xml:space="preserve">סקירת מדיניות הענישה הנוהגת בתיקי "משתלות סמים" מלמדת על טווח ענישה רחב התלוי לרוב בנסיבותיו של כל מקרה ומקרה, זאת בהתחשב בכמות השתילים במשתלה, כמות הסם שנתפסה, סוג הסם, משך פעולתה וכן מידת מעורבותו של הנאשם בגידול או עבירות קשורות נוספות בהן הואשם. </w:t>
      </w:r>
    </w:p>
    <w:p w14:paraId="04B3C7B2" w14:textId="77777777" w:rsidR="00F063DC" w:rsidRDefault="00F063DC" w:rsidP="00F063DC">
      <w:pPr>
        <w:spacing w:after="240" w:line="360" w:lineRule="auto"/>
        <w:jc w:val="both"/>
        <w:rPr>
          <w:rFonts w:ascii="David" w:hAnsi="David"/>
          <w:rtl/>
        </w:rPr>
      </w:pPr>
      <w:r>
        <w:rPr>
          <w:rFonts w:ascii="David" w:hAnsi="David"/>
          <w:rtl/>
        </w:rPr>
        <w:t>ב</w:t>
      </w:r>
      <w:hyperlink r:id="rId42" w:history="1">
        <w:r w:rsidR="00AB268F" w:rsidRPr="00AB268F">
          <w:rPr>
            <w:rFonts w:ascii="David" w:hAnsi="David"/>
            <w:color w:val="0000FF"/>
            <w:u w:val="single"/>
            <w:rtl/>
          </w:rPr>
          <w:t>רע"פ 513/21</w:t>
        </w:r>
      </w:hyperlink>
      <w:r>
        <w:rPr>
          <w:rFonts w:ascii="David" w:hAnsi="David"/>
          <w:rtl/>
        </w:rPr>
        <w:t xml:space="preserve"> </w:t>
      </w:r>
      <w:r>
        <w:rPr>
          <w:rFonts w:ascii="David" w:hAnsi="David"/>
          <w:b/>
          <w:bCs/>
          <w:rtl/>
        </w:rPr>
        <w:t>עידן יהושע נ' מדינת ישראל</w:t>
      </w:r>
      <w:r>
        <w:rPr>
          <w:rFonts w:ascii="David" w:hAnsi="David"/>
          <w:rtl/>
        </w:rPr>
        <w:t xml:space="preserve"> </w:t>
      </w:r>
      <w:r w:rsidR="0050477D" w:rsidRPr="0050477D">
        <w:rPr>
          <w:sz w:val="22"/>
          <w:rtl/>
        </w:rPr>
        <w:t xml:space="preserve">[פורסם בנבו] </w:t>
      </w:r>
      <w:r>
        <w:rPr>
          <w:rFonts w:ascii="David" w:hAnsi="David"/>
          <w:rtl/>
        </w:rPr>
        <w:t>(04.03.21) – נדחתה בקשת ערעור של נאשם שבית המשפט המחוזי החמיר את עונשו מצו של"צ ל-10 חודשי מאסר בפועל לאחר שהורשע בגידול 60 שתילי קנביס במשקל של 10 ק"ג כאשר הנאשם אדם נורמטיבי, נעדר עבר פלילי שהחל בטיפול בטרם ההליך הפלילי והוגש בעניינו תסקיר עם המלצה טיפולית. נאמר כי בית המשפט המחוזי שם דגש על מדיניות הענישה בעבירת גידול סמים שככלל מצדיקה הטלת עונשי מאסר בפועל ואיך בכך עיוות דין.</w:t>
      </w:r>
    </w:p>
    <w:p w14:paraId="0000A97F" w14:textId="77777777" w:rsidR="00F063DC" w:rsidRDefault="00F063DC" w:rsidP="00F063DC">
      <w:pPr>
        <w:shd w:val="clear" w:color="auto" w:fill="FFFFFF"/>
        <w:spacing w:after="240" w:line="360" w:lineRule="auto"/>
        <w:jc w:val="both"/>
        <w:rPr>
          <w:rFonts w:ascii="David" w:hAnsi="David"/>
          <w:rtl/>
        </w:rPr>
      </w:pPr>
      <w:r>
        <w:rPr>
          <w:rFonts w:ascii="David" w:hAnsi="David"/>
          <w:rtl/>
        </w:rPr>
        <w:t>ב</w:t>
      </w:r>
      <w:hyperlink r:id="rId43" w:history="1">
        <w:r w:rsidR="00AB268F" w:rsidRPr="00AB268F">
          <w:rPr>
            <w:rFonts w:ascii="David" w:hAnsi="David"/>
            <w:color w:val="0000FF"/>
            <w:u w:val="single"/>
            <w:rtl/>
          </w:rPr>
          <w:t>ע"פ 8713/21</w:t>
        </w:r>
      </w:hyperlink>
      <w:r w:rsidR="00AB268F">
        <w:rPr>
          <w:rFonts w:ascii="David" w:hAnsi="David"/>
          <w:rtl/>
        </w:rPr>
        <w:t xml:space="preserve"> </w:t>
      </w:r>
      <w:r>
        <w:rPr>
          <w:rFonts w:ascii="David" w:hAnsi="David"/>
          <w:b/>
          <w:bCs/>
          <w:rtl/>
        </w:rPr>
        <w:t>דור בן חמו נ' מדינת ישראל</w:t>
      </w:r>
      <w:r w:rsidR="00AB268F">
        <w:rPr>
          <w:rFonts w:ascii="David" w:hAnsi="David"/>
          <w:rtl/>
        </w:rPr>
        <w:t xml:space="preserve"> </w:t>
      </w:r>
      <w:r w:rsidR="0050477D" w:rsidRPr="0050477D">
        <w:rPr>
          <w:sz w:val="22"/>
          <w:rtl/>
        </w:rPr>
        <w:t xml:space="preserve">[פורסם בנבו] </w:t>
      </w:r>
      <w:r>
        <w:rPr>
          <w:rFonts w:ascii="David" w:hAnsi="David"/>
          <w:rtl/>
        </w:rPr>
        <w:t xml:space="preserve">(07.06.22) – הורשע הנאשם בבית משפט קמא, על סמך הודאתו, בעבירות של ייצור הכנה והפקת סם מסוכן, החזקת סם מסוכן שלא לצריכה עצמית, החזקת כלים ונטילת חשמל. הנאשם החזיק בבית 153 שתילים במשקל של 52.1 ק"ג נטו. בית המשפט קמא קבע מתחם עונש הולם הנע בין 16 ל-36 חודשי מאסר בפועל והשית על הנאשם עונש </w:t>
      </w:r>
      <w:r w:rsidR="00AB268F" w:rsidRPr="00A41A9B">
        <w:rPr>
          <w:rFonts w:ascii="David" w:hAnsi="David"/>
          <w:rtl/>
        </w:rPr>
        <w:t>בן 16 חודשים.</w:t>
      </w:r>
      <w:r w:rsidR="00AB268F" w:rsidRPr="00A41A9B">
        <w:rPr>
          <w:rFonts w:ascii="David" w:hAnsi="David"/>
          <w:rtl/>
        </w:rPr>
        <w:cr/>
        <w:t xml:space="preserve">בית המשפט העליון </w:t>
      </w:r>
      <w:r>
        <w:rPr>
          <w:rFonts w:ascii="David" w:hAnsi="David"/>
          <w:rtl/>
        </w:rPr>
        <w:t xml:space="preserve"> קיבל את ערעור ההגנה על חומרת העונש והשית על הנאשם עונש של 9 חודשי מאסר בפועל שירוצו בעבודות שירות, ובתוך כך הדגיש כי ההקלה בעונש מתבססת על הליך השיקום המשמעותי ונסיבותיו האישיות של הנאשם, וכי הוא אינו חולק כלל ועיקר על מדיניות הענישה שנקבעה על ידי בית משפט קמא.</w:t>
      </w:r>
    </w:p>
    <w:p w14:paraId="34731899" w14:textId="77777777" w:rsidR="00F063DC" w:rsidRDefault="00F063DC" w:rsidP="00F063DC">
      <w:pPr>
        <w:shd w:val="clear" w:color="auto" w:fill="FFFFFF"/>
        <w:spacing w:after="240" w:line="360" w:lineRule="auto"/>
        <w:jc w:val="both"/>
        <w:rPr>
          <w:rFonts w:ascii="David" w:hAnsi="David"/>
          <w:rtl/>
        </w:rPr>
      </w:pPr>
    </w:p>
    <w:p w14:paraId="3E83668C" w14:textId="77777777" w:rsidR="00F063DC" w:rsidRDefault="00F063DC" w:rsidP="00F063DC">
      <w:pPr>
        <w:shd w:val="clear" w:color="auto" w:fill="FFFFFF"/>
        <w:spacing w:after="240" w:line="360" w:lineRule="auto"/>
        <w:jc w:val="both"/>
        <w:rPr>
          <w:rFonts w:ascii="David" w:hAnsi="David"/>
          <w:rtl/>
        </w:rPr>
      </w:pPr>
      <w:r>
        <w:rPr>
          <w:rFonts w:ascii="David" w:hAnsi="David"/>
          <w:rtl/>
        </w:rPr>
        <w:t>ב</w:t>
      </w:r>
      <w:hyperlink r:id="rId44" w:history="1">
        <w:r w:rsidR="00AB268F" w:rsidRPr="00AB268F">
          <w:rPr>
            <w:rFonts w:ascii="David" w:hAnsi="David"/>
            <w:color w:val="0000FF"/>
            <w:u w:val="single"/>
            <w:rtl/>
          </w:rPr>
          <w:t>ע"פ 6162/21</w:t>
        </w:r>
      </w:hyperlink>
      <w:r w:rsidR="00AB268F">
        <w:rPr>
          <w:rFonts w:ascii="David" w:hAnsi="David"/>
          <w:rtl/>
        </w:rPr>
        <w:t xml:space="preserve"> </w:t>
      </w:r>
      <w:r>
        <w:rPr>
          <w:rFonts w:ascii="David" w:hAnsi="David"/>
          <w:b/>
          <w:bCs/>
          <w:rtl/>
        </w:rPr>
        <w:t>ניסים אזיזוב נ' מדינת ישראל</w:t>
      </w:r>
      <w:r w:rsidR="00AB268F">
        <w:rPr>
          <w:rFonts w:ascii="David" w:hAnsi="David"/>
          <w:b/>
          <w:bCs/>
          <w:rtl/>
        </w:rPr>
        <w:t xml:space="preserve"> </w:t>
      </w:r>
      <w:r w:rsidR="0050477D" w:rsidRPr="0050477D">
        <w:rPr>
          <w:sz w:val="22"/>
          <w:rtl/>
        </w:rPr>
        <w:t xml:space="preserve">[פורסם בנבו] </w:t>
      </w:r>
      <w:r>
        <w:rPr>
          <w:rFonts w:ascii="David" w:hAnsi="David"/>
          <w:rtl/>
        </w:rPr>
        <w:t>(09.03.22) –</w:t>
      </w:r>
      <w:r>
        <w:rPr>
          <w:rFonts w:ascii="David" w:hAnsi="David" w:hint="cs"/>
          <w:rtl/>
        </w:rPr>
        <w:t xml:space="preserve"> </w:t>
      </w:r>
      <w:r>
        <w:rPr>
          <w:rFonts w:ascii="David" w:hAnsi="David"/>
          <w:rtl/>
        </w:rPr>
        <w:t>הנאשם הורשע בבית משפט קמא, על סמך הודאתו במסגרת הסדר טיעון, בעבירות של ייצור הכנה והפקת סם מסוכן, החזקת סם מסוכן שלא לצריכה עצמית ונטילת חשמל מים או גז. הנאשם הצטייד במכשירים למדידת לחות, מאוררים, מערכת השקיה, חומרי דישון, מערכת חשמל וגופי תאורה.</w:t>
      </w:r>
      <w:r w:rsidR="00AB268F">
        <w:rPr>
          <w:rFonts w:ascii="David" w:hAnsi="David"/>
          <w:rtl/>
        </w:rPr>
        <w:t xml:space="preserve"> </w:t>
      </w:r>
      <w:r>
        <w:rPr>
          <w:rFonts w:ascii="David" w:hAnsi="David"/>
          <w:rtl/>
        </w:rPr>
        <w:t>הנאשם גידל כ-255 שתילי קנבוס במשקל של 70 ק"ג. בית המשפט המחוזי קבע מתחם עונש הולם הנע בין 25 ל-50 חודשי מאסר בפועל והשית על הנאשם עונש בן 28 חודשים לצד ענישה נלווית. ערעור שהוגש מטעם ההגנה לבית המשפט העליון על חומרת העונש התקבל, תוך שהודגש כי ברגיל העונש שהושת על הנאשם לא היה מצדיק התערבות ערכאת הערעור. ואולם בית המשפט ציין כי נוכח נסיבות חריגות המתקיימות בעניינו של הנאשם ביניהן העובדה שמגדל את שלושת ילדיו הקטינים לבדו והחשש מהנזק שיגרם להם אם ישלח למאסר, הגמילה שעבר ביוזמתו מסמים והליך שיקום משמעותי, הרי שמדובר במקרה בו יש להקל בעונש, והשית עליו 9 חודשי מאסר לריצוי בעבודות שירות.</w:t>
      </w:r>
    </w:p>
    <w:p w14:paraId="5201DCA1" w14:textId="77777777" w:rsidR="00F063DC" w:rsidRDefault="00F063DC" w:rsidP="00F063DC">
      <w:pPr>
        <w:shd w:val="clear" w:color="auto" w:fill="FFFFFF"/>
        <w:spacing w:after="240" w:line="360" w:lineRule="auto"/>
        <w:jc w:val="both"/>
        <w:rPr>
          <w:rFonts w:ascii="David" w:hAnsi="David"/>
          <w:rtl/>
        </w:rPr>
      </w:pPr>
      <w:r>
        <w:rPr>
          <w:rFonts w:ascii="David" w:hAnsi="David"/>
          <w:rtl/>
        </w:rPr>
        <w:t>ב</w:t>
      </w:r>
      <w:hyperlink r:id="rId45" w:history="1">
        <w:r w:rsidR="00AB268F" w:rsidRPr="00AB268F">
          <w:rPr>
            <w:rFonts w:ascii="David" w:hAnsi="David"/>
            <w:color w:val="0000FF"/>
            <w:u w:val="single"/>
            <w:rtl/>
          </w:rPr>
          <w:t>ע"פ 126/22</w:t>
        </w:r>
      </w:hyperlink>
      <w:r w:rsidR="00AB268F">
        <w:rPr>
          <w:rFonts w:ascii="David" w:hAnsi="David"/>
          <w:rtl/>
        </w:rPr>
        <w:t xml:space="preserve"> </w:t>
      </w:r>
      <w:r>
        <w:rPr>
          <w:rFonts w:ascii="David" w:hAnsi="David"/>
          <w:b/>
          <w:bCs/>
          <w:rtl/>
        </w:rPr>
        <w:t>מדינת ישראל נ' פלוני</w:t>
      </w:r>
      <w:r w:rsidR="00AB268F">
        <w:rPr>
          <w:rFonts w:ascii="David" w:hAnsi="David"/>
          <w:rtl/>
        </w:rPr>
        <w:t xml:space="preserve"> </w:t>
      </w:r>
      <w:r w:rsidR="0050477D" w:rsidRPr="0050477D">
        <w:rPr>
          <w:sz w:val="22"/>
          <w:rtl/>
        </w:rPr>
        <w:t xml:space="preserve">[פורסם בנבו] </w:t>
      </w:r>
      <w:r>
        <w:rPr>
          <w:rFonts w:ascii="David" w:hAnsi="David"/>
          <w:rtl/>
        </w:rPr>
        <w:t>(27.04.22)</w:t>
      </w:r>
      <w:r>
        <w:rPr>
          <w:rFonts w:ascii="David" w:hAnsi="David" w:hint="cs"/>
          <w:rtl/>
        </w:rPr>
        <w:t xml:space="preserve"> </w:t>
      </w:r>
      <w:r>
        <w:rPr>
          <w:rFonts w:ascii="David" w:hAnsi="David"/>
          <w:rtl/>
        </w:rPr>
        <w:t>– הנאשם</w:t>
      </w:r>
      <w:r w:rsidRPr="00FA10EA">
        <w:rPr>
          <w:rFonts w:ascii="David" w:hAnsi="David"/>
          <w:rtl/>
        </w:rPr>
        <w:t xml:space="preserve"> </w:t>
      </w:r>
      <w:r>
        <w:rPr>
          <w:rFonts w:ascii="David" w:hAnsi="David"/>
          <w:rtl/>
        </w:rPr>
        <w:t>הורשע, על סמך הודאתו במסגרת הסדר טיעון בבית משפט קמא בעבירות של ייצור, הכנה והפקה של סם מסוכן, החזקת סם מסוכן שלא לצריכה עצמית, החזקת כלים להכנת סם מסוכן וגניבת חשמל. בעת מעצרו של הנאשם נמצאו בדירתו 286 שתילים במשקל 63.23 ק"ג נטו. בית המשפט המחוזי קבע מתחם עונש הולם הנע בין 18 ל-48 חודשי מאסר בפועל, ותוך שסטה מהמתחם בשל שיקולי שיקום השית עליו עונש בן 9 חודשי מאסר בפועל לריצוי בעבודות שירות, קנס בסך 10,000 ₪ ועונשים נלווים.</w:t>
      </w:r>
    </w:p>
    <w:p w14:paraId="2C79E92D" w14:textId="77777777" w:rsidR="00F063DC" w:rsidRDefault="00F063DC" w:rsidP="00F063DC">
      <w:pPr>
        <w:shd w:val="clear" w:color="auto" w:fill="FFFFFF"/>
        <w:spacing w:after="240" w:line="360" w:lineRule="auto"/>
        <w:jc w:val="both"/>
        <w:rPr>
          <w:rFonts w:ascii="David" w:hAnsi="David"/>
          <w:rtl/>
        </w:rPr>
      </w:pPr>
      <w:r>
        <w:rPr>
          <w:rFonts w:ascii="David" w:hAnsi="David"/>
          <w:rtl/>
        </w:rPr>
        <w:t>בית המשפט העליון קיבל את ערעור המדינה על קולת העונש באופן חלקי, תוך שציין כי מדובר במקרה חריג המחייב החמרת הענישה. לדברי בית המשפט העליון הן מתחם הענישה והן התוצאה הסופית אליה הגיע בית המשפט קמא, הקלו עם הנאשם יתר על המידה באופן המצדיק התערבות. בית המשפט ציין בין היתר כי הרף התחתון של המתחם נמוך ביחס לפסיקה הנוהגת במקרים דומים כמו גם העונש שהושת עליו, והשית עליו 18 חודשי מאסר לריצוי בפועל. אשר לקנס, קבע כי אינו חורג ממדיניות הענישה הנוהגת ודחה את הערעור בנוגע לרכיב זה.</w:t>
      </w:r>
    </w:p>
    <w:p w14:paraId="5BF33146" w14:textId="77777777" w:rsidR="00F063DC" w:rsidRDefault="00F063DC" w:rsidP="00F063DC">
      <w:pPr>
        <w:spacing w:after="240" w:line="360" w:lineRule="auto"/>
        <w:jc w:val="both"/>
        <w:rPr>
          <w:rFonts w:ascii="David" w:hAnsi="David"/>
          <w:rtl/>
        </w:rPr>
      </w:pPr>
      <w:r>
        <w:rPr>
          <w:rFonts w:ascii="David" w:hAnsi="David"/>
          <w:rtl/>
        </w:rPr>
        <w:t>ב</w:t>
      </w:r>
      <w:hyperlink r:id="rId46" w:history="1">
        <w:r w:rsidR="00AB268F" w:rsidRPr="00AB268F">
          <w:rPr>
            <w:rFonts w:ascii="David" w:hAnsi="David"/>
            <w:color w:val="0000FF"/>
            <w:u w:val="single"/>
            <w:rtl/>
          </w:rPr>
          <w:t>רע"פ 8563/18</w:t>
        </w:r>
      </w:hyperlink>
      <w:r>
        <w:rPr>
          <w:rFonts w:ascii="David" w:hAnsi="David"/>
          <w:rtl/>
        </w:rPr>
        <w:t xml:space="preserve"> </w:t>
      </w:r>
      <w:r>
        <w:rPr>
          <w:rFonts w:ascii="David" w:hAnsi="David"/>
          <w:b/>
          <w:bCs/>
          <w:rtl/>
        </w:rPr>
        <w:t xml:space="preserve">שרפוב נ' מדינת ישראל </w:t>
      </w:r>
      <w:r w:rsidR="006476F8" w:rsidRPr="006476F8">
        <w:rPr>
          <w:sz w:val="22"/>
          <w:rtl/>
        </w:rPr>
        <w:t xml:space="preserve">[פורסם בנבו] </w:t>
      </w:r>
      <w:r>
        <w:rPr>
          <w:rFonts w:ascii="David" w:hAnsi="David"/>
          <w:rtl/>
        </w:rPr>
        <w:t>(12.12.18)</w:t>
      </w:r>
      <w:r>
        <w:rPr>
          <w:rFonts w:ascii="David" w:hAnsi="David" w:hint="cs"/>
          <w:rtl/>
        </w:rPr>
        <w:t xml:space="preserve"> </w:t>
      </w:r>
      <w:r>
        <w:rPr>
          <w:rFonts w:ascii="David" w:hAnsi="David"/>
          <w:rtl/>
        </w:rPr>
        <w:t xml:space="preserve">– </w:t>
      </w:r>
      <w:r>
        <w:rPr>
          <w:rFonts w:ascii="David" w:hAnsi="David" w:hint="cs"/>
          <w:rtl/>
        </w:rPr>
        <w:t>הנאשם הורשע</w:t>
      </w:r>
      <w:r>
        <w:rPr>
          <w:rFonts w:ascii="David" w:hAnsi="David"/>
          <w:rtl/>
        </w:rPr>
        <w:t xml:space="preserve"> בגידול 18 ק"ג קנאביס על-פני 8 חודשים נקבע מתחם ענישה שבין 10 חודשי מאסר עד 30 חודשי מאסר, והנאשם נדון ל – 10 חודשי מאסר בפועל בהתחשב בנטילת אחריות, היעדר עבר פלילי, נסיבות אישיות והמלצת שירות המבחן. </w:t>
      </w:r>
    </w:p>
    <w:p w14:paraId="1BB620AD" w14:textId="77777777" w:rsidR="00F063DC" w:rsidRDefault="00F063DC" w:rsidP="00F063DC">
      <w:pPr>
        <w:spacing w:after="240" w:line="360" w:lineRule="auto"/>
        <w:jc w:val="both"/>
        <w:rPr>
          <w:rFonts w:ascii="David" w:hAnsi="David"/>
        </w:rPr>
      </w:pPr>
      <w:r>
        <w:rPr>
          <w:rFonts w:ascii="David" w:hAnsi="David"/>
          <w:rtl/>
        </w:rPr>
        <w:t>ב</w:t>
      </w:r>
      <w:hyperlink r:id="rId47" w:history="1">
        <w:r w:rsidR="006476F8" w:rsidRPr="006476F8">
          <w:rPr>
            <w:rStyle w:val="Hyperlink"/>
            <w:rFonts w:ascii="David" w:hAnsi="David"/>
            <w:rtl/>
          </w:rPr>
          <w:t>רע"פ 6889/17</w:t>
        </w:r>
      </w:hyperlink>
      <w:r>
        <w:rPr>
          <w:rFonts w:ascii="David" w:hAnsi="David"/>
          <w:rtl/>
        </w:rPr>
        <w:t xml:space="preserve"> </w:t>
      </w:r>
      <w:r>
        <w:rPr>
          <w:rFonts w:ascii="David" w:hAnsi="David"/>
          <w:b/>
          <w:bCs/>
          <w:rtl/>
        </w:rPr>
        <w:t xml:space="preserve">פילברג נ' מדינת ישראל </w:t>
      </w:r>
      <w:r>
        <w:rPr>
          <w:rFonts w:ascii="David" w:hAnsi="David"/>
          <w:rtl/>
        </w:rPr>
        <w:t xml:space="preserve"> </w:t>
      </w:r>
      <w:r w:rsidR="006476F8" w:rsidRPr="006476F8">
        <w:rPr>
          <w:sz w:val="22"/>
          <w:rtl/>
        </w:rPr>
        <w:t xml:space="preserve">[פורסם בנבו] </w:t>
      </w:r>
      <w:r>
        <w:rPr>
          <w:rFonts w:ascii="David" w:hAnsi="David"/>
          <w:rtl/>
        </w:rPr>
        <w:t>(11.09.17)</w:t>
      </w:r>
      <w:r>
        <w:rPr>
          <w:rFonts w:ascii="David" w:hAnsi="David" w:hint="cs"/>
          <w:rtl/>
        </w:rPr>
        <w:t xml:space="preserve"> </w:t>
      </w:r>
      <w:r>
        <w:rPr>
          <w:rFonts w:ascii="David" w:hAnsi="David"/>
          <w:rtl/>
        </w:rPr>
        <w:t>–</w:t>
      </w:r>
      <w:r>
        <w:rPr>
          <w:rFonts w:ascii="David" w:hAnsi="David" w:hint="cs"/>
          <w:rtl/>
        </w:rPr>
        <w:t xml:space="preserve"> הנאשם הורשע</w:t>
      </w:r>
      <w:r>
        <w:rPr>
          <w:rFonts w:ascii="David" w:hAnsi="David"/>
          <w:rtl/>
        </w:rPr>
        <w:t xml:space="preserve"> בגידול 19 ק"ג קנאביס, ונקבע מתחם ענישה של 12 עד 36 חודשי מאסר בפועל. בית משפט השלום הביא בחשבון את גילו הצעיר של הנאשם, היעדר עבר פלילי, הודאתו, ותסקירים חיוביים וגזר עליו, מטעמי שיקום, 6 חודשי מאסר בעבודות שירות, ואילו בית-המשפט המחוזי החמיר בענישה וגזר על אותו נאשם 9 חודשי מאסר בפועל, ובקשת רשות הערעור לבית המשפט העליון נדחתה. </w:t>
      </w:r>
    </w:p>
    <w:p w14:paraId="351042F2" w14:textId="77777777" w:rsidR="00F063DC" w:rsidRDefault="00F063DC" w:rsidP="00F063DC">
      <w:pPr>
        <w:spacing w:after="240" w:line="360" w:lineRule="auto"/>
        <w:jc w:val="both"/>
        <w:rPr>
          <w:rFonts w:ascii="David" w:hAnsi="David"/>
          <w:rtl/>
        </w:rPr>
      </w:pPr>
      <w:r>
        <w:rPr>
          <w:rFonts w:ascii="David" w:hAnsi="David"/>
          <w:rtl/>
        </w:rPr>
        <w:t xml:space="preserve">לצד זאת קיימת פסיקה שבה נמנעו בתי משפט מלמצות את הדין עם נאשמים בעבירות מסוג זה והסתפקו בהטלת עונש מאסר לריצוי בעבודות שירות, אך זאת כאשר התקיימו נסיבות שהיה בהן כדי להצדיק הימנעות מהטלת עונש מאסר לריצוי מאחורי סורג ובריח. </w:t>
      </w:r>
    </w:p>
    <w:p w14:paraId="4BE51D4C" w14:textId="77777777" w:rsidR="00F063DC" w:rsidRDefault="00F063DC" w:rsidP="00F063DC">
      <w:pPr>
        <w:spacing w:after="240" w:line="360" w:lineRule="auto"/>
        <w:jc w:val="both"/>
        <w:rPr>
          <w:rFonts w:ascii="David" w:hAnsi="David"/>
        </w:rPr>
      </w:pPr>
      <w:r>
        <w:rPr>
          <w:rFonts w:ascii="David" w:hAnsi="David"/>
          <w:rtl/>
        </w:rPr>
        <w:t>ב</w:t>
      </w:r>
      <w:hyperlink r:id="rId48" w:history="1">
        <w:r w:rsidR="00AB268F" w:rsidRPr="00AB268F">
          <w:rPr>
            <w:rFonts w:ascii="David" w:hAnsi="David"/>
            <w:color w:val="0000FF"/>
            <w:u w:val="single"/>
            <w:rtl/>
          </w:rPr>
          <w:t>עפ"ג (מחוזי חיפה) 45010-01-20</w:t>
        </w:r>
      </w:hyperlink>
      <w:r>
        <w:rPr>
          <w:rFonts w:ascii="David" w:hAnsi="David"/>
          <w:rtl/>
        </w:rPr>
        <w:t xml:space="preserve"> </w:t>
      </w:r>
      <w:r>
        <w:rPr>
          <w:rFonts w:ascii="David" w:hAnsi="David"/>
          <w:b/>
          <w:bCs/>
          <w:rtl/>
        </w:rPr>
        <w:t>מדינת ישראל נ' סטולרו</w:t>
      </w:r>
      <w:r>
        <w:rPr>
          <w:rFonts w:ascii="David" w:hAnsi="David"/>
          <w:rtl/>
        </w:rPr>
        <w:t xml:space="preserve"> </w:t>
      </w:r>
      <w:r w:rsidR="006476F8" w:rsidRPr="006476F8">
        <w:rPr>
          <w:sz w:val="22"/>
          <w:rtl/>
        </w:rPr>
        <w:t xml:space="preserve">[פורסם בנבו] </w:t>
      </w:r>
      <w:r>
        <w:rPr>
          <w:rFonts w:ascii="David" w:hAnsi="David"/>
          <w:rtl/>
        </w:rPr>
        <w:t xml:space="preserve">(12.7.20) סקר בית-המשפט המחוזי את הפסיקה הרלוונטית וציין, שקיים מנעד של ענישה והעונש הקונקרטי תלוי בנסיבותיו של כל מקרה, סוג הסם, כמותו, נסיבות החזקתו, ונסיבותיו של הנאשם כשהעונש נגזר לאחר שקלול של מלוא הנתונים, וקבע: </w:t>
      </w:r>
    </w:p>
    <w:p w14:paraId="2FA1CF37" w14:textId="77777777" w:rsidR="00F063DC" w:rsidRDefault="00F063DC" w:rsidP="00F063DC">
      <w:pPr>
        <w:spacing w:after="240" w:line="360" w:lineRule="auto"/>
        <w:ind w:left="1134" w:right="1134"/>
        <w:jc w:val="both"/>
        <w:rPr>
          <w:rFonts w:ascii="David" w:hAnsi="David"/>
          <w:noProof/>
        </w:rPr>
      </w:pPr>
      <w:r>
        <w:rPr>
          <w:rFonts w:ascii="David" w:hAnsi="David"/>
          <w:b/>
          <w:bCs/>
          <w:rtl/>
        </w:rPr>
        <w:t xml:space="preserve">"מסקירת פסיקת בתי המשפט העוסקים בעבירות הסמים, מצאנו – כבכל מקרה - כי הענישה מגוונת ותלויה בנסיבות כל מקרה, זאת בעיקר על פי סוג וכמות הסם, נסיבות אחזקתו, כמו גם נסיבותיו של הנאשם (גיל, מצב אישי, עבר פלילי, שיקום, תסקיר חיובי וכו'), כשבסופו של דבר על בית המשפט לשקלל את מלוא הנתונים ובכל מקרה להגיע לתוצאה על פי הנסיבות הספציפיות. כך, עולה כי </w:t>
      </w:r>
      <w:r>
        <w:rPr>
          <w:rFonts w:ascii="David" w:hAnsi="David"/>
          <w:b/>
          <w:bCs/>
          <w:u w:val="single"/>
          <w:rtl/>
        </w:rPr>
        <w:t>בנסיבות דומות של גידול סם מסוג קנבוס בדירה בכמות שבין 4 ועד 19 ק"ג, נקבעו מתחמי ענישה בין 8 ועד 24 חודשי מאסר, כאשר ניתן להסיק כי ריצוי העונש הוא בדרך כלל במאסר בפועל, אלא באותם מקרים בהם הסתפק בית המשפט במאסר בעבודות שירות ברף התחתון של המתחם, או בחריגה ממשית ממתחם הענישה כאשר שוכנע כי הנאשם עבר שיקום ושינוי ממשי</w:t>
      </w:r>
      <w:r>
        <w:rPr>
          <w:rFonts w:ascii="David" w:hAnsi="David"/>
          <w:b/>
          <w:bCs/>
          <w:rtl/>
        </w:rPr>
        <w:t>"</w:t>
      </w:r>
      <w:r>
        <w:rPr>
          <w:rFonts w:ascii="David" w:hAnsi="David"/>
          <w:rtl/>
        </w:rPr>
        <w:t xml:space="preserve"> (ההדגשה במקור). </w:t>
      </w:r>
    </w:p>
    <w:p w14:paraId="6D974C51" w14:textId="77777777" w:rsidR="00F063DC" w:rsidRDefault="00F063DC" w:rsidP="00F063DC">
      <w:pPr>
        <w:spacing w:after="240" w:line="360" w:lineRule="auto"/>
        <w:jc w:val="both"/>
        <w:rPr>
          <w:rFonts w:ascii="David" w:hAnsi="David"/>
          <w:rtl/>
        </w:rPr>
      </w:pPr>
      <w:r>
        <w:rPr>
          <w:rFonts w:ascii="David" w:hAnsi="David"/>
          <w:rtl/>
        </w:rPr>
        <w:t>ב</w:t>
      </w:r>
      <w:hyperlink r:id="rId49" w:history="1">
        <w:r w:rsidR="00AB268F" w:rsidRPr="00AB268F">
          <w:rPr>
            <w:rFonts w:ascii="David" w:hAnsi="David"/>
            <w:color w:val="0000FF"/>
            <w:u w:val="single"/>
            <w:rtl/>
          </w:rPr>
          <w:t>ע"פ 4285/17</w:t>
        </w:r>
      </w:hyperlink>
      <w:r w:rsidR="00AB268F">
        <w:rPr>
          <w:rFonts w:ascii="David" w:hAnsi="David"/>
        </w:rPr>
        <w:t xml:space="preserve"> </w:t>
      </w:r>
      <w:r>
        <w:rPr>
          <w:rFonts w:ascii="David" w:hAnsi="David"/>
          <w:b/>
          <w:bCs/>
          <w:rtl/>
        </w:rPr>
        <w:t>יצחקי נ' מדינת ישראל</w:t>
      </w:r>
      <w:r w:rsidR="00AB268F">
        <w:rPr>
          <w:rFonts w:ascii="David" w:hAnsi="David"/>
          <w:rtl/>
        </w:rPr>
        <w:t xml:space="preserve"> </w:t>
      </w:r>
      <w:r w:rsidR="006476F8" w:rsidRPr="006476F8">
        <w:rPr>
          <w:sz w:val="22"/>
          <w:rtl/>
        </w:rPr>
        <w:t xml:space="preserve">[פורסם בנבו] </w:t>
      </w:r>
      <w:r>
        <w:rPr>
          <w:rFonts w:ascii="David" w:hAnsi="David"/>
          <w:rtl/>
        </w:rPr>
        <w:t>(11.06.18) –</w:t>
      </w:r>
      <w:r>
        <w:rPr>
          <w:rFonts w:ascii="David" w:hAnsi="David" w:hint="cs"/>
          <w:rtl/>
        </w:rPr>
        <w:t xml:space="preserve"> </w:t>
      </w:r>
      <w:r>
        <w:rPr>
          <w:rFonts w:ascii="David" w:hAnsi="David"/>
          <w:rtl/>
        </w:rPr>
        <w:t xml:space="preserve">התקבל (בהסכמה) הערעור על חומרת העונש ונקבע כי המערערת תרצה 6 חודשי מאסר בעבודות שירות בגין הרשעתה בעבירה של </w:t>
      </w:r>
      <w:r>
        <w:rPr>
          <w:rFonts w:ascii="David" w:hAnsi="David"/>
          <w:b/>
          <w:bCs/>
          <w:rtl/>
        </w:rPr>
        <w:t>גידול</w:t>
      </w:r>
      <w:r w:rsidR="00AB268F">
        <w:rPr>
          <w:rFonts w:ascii="David" w:hAnsi="David"/>
          <w:b/>
          <w:bCs/>
          <w:rtl/>
        </w:rPr>
        <w:t xml:space="preserve"> </w:t>
      </w:r>
      <w:r>
        <w:rPr>
          <w:rFonts w:ascii="David" w:hAnsi="David"/>
          <w:b/>
          <w:bCs/>
        </w:rPr>
        <w:t>100</w:t>
      </w:r>
      <w:r w:rsidR="00AB268F">
        <w:rPr>
          <w:rFonts w:ascii="David" w:hAnsi="David"/>
          <w:b/>
          <w:bCs/>
          <w:rtl/>
        </w:rPr>
        <w:t xml:space="preserve"> </w:t>
      </w:r>
      <w:r>
        <w:rPr>
          <w:rFonts w:ascii="David" w:hAnsi="David"/>
          <w:b/>
          <w:bCs/>
          <w:rtl/>
        </w:rPr>
        <w:t>ק"ג קנבוס</w:t>
      </w:r>
      <w:r>
        <w:rPr>
          <w:rFonts w:ascii="David" w:hAnsi="David"/>
          <w:rtl/>
        </w:rPr>
        <w:t xml:space="preserve"> יחד עם אחר וזאת, חלף 12 חודשי מאסר שהושתו עליה בבית המשפט המחוזי, תוך חריגה מטעמי שיקום ממתחם העונש ההולם שעמד על 48-24 חודשים.</w:t>
      </w:r>
    </w:p>
    <w:p w14:paraId="6057A95F" w14:textId="77777777" w:rsidR="00F063DC" w:rsidRDefault="00F063DC" w:rsidP="00F063DC">
      <w:pPr>
        <w:pStyle w:val="1"/>
        <w:bidi/>
        <w:spacing w:before="0" w:beforeAutospacing="0" w:after="240" w:afterAutospacing="0" w:line="360" w:lineRule="auto"/>
        <w:jc w:val="both"/>
        <w:rPr>
          <w:rFonts w:ascii="David" w:hAnsi="David" w:cs="David"/>
        </w:rPr>
      </w:pPr>
      <w:r>
        <w:rPr>
          <w:rFonts w:ascii="David" w:hAnsi="David" w:cs="David"/>
          <w:rtl/>
        </w:rPr>
        <w:t>ב</w:t>
      </w:r>
      <w:hyperlink r:id="rId50" w:history="1">
        <w:r w:rsidR="00AB268F" w:rsidRPr="00AB268F">
          <w:rPr>
            <w:rFonts w:ascii="David" w:hAnsi="David" w:cs="David"/>
            <w:color w:val="0000FF"/>
            <w:u w:val="single"/>
            <w:rtl/>
          </w:rPr>
          <w:t>עפ"ג (חיפה) 54910-04-21</w:t>
        </w:r>
      </w:hyperlink>
      <w:r w:rsidR="00AB268F">
        <w:rPr>
          <w:rFonts w:ascii="David" w:hAnsi="David" w:cs="David"/>
          <w:rtl/>
        </w:rPr>
        <w:t xml:space="preserve"> </w:t>
      </w:r>
      <w:r>
        <w:rPr>
          <w:rFonts w:ascii="David" w:hAnsi="David" w:cs="David"/>
          <w:b/>
          <w:bCs/>
          <w:rtl/>
        </w:rPr>
        <w:t>מדינת ישראל נ' בן עזרי</w:t>
      </w:r>
      <w:r w:rsidR="00AB268F">
        <w:rPr>
          <w:rFonts w:ascii="David" w:hAnsi="David" w:cs="David"/>
          <w:b/>
          <w:bCs/>
          <w:rtl/>
        </w:rPr>
        <w:t xml:space="preserve"> </w:t>
      </w:r>
      <w:r w:rsidR="006476F8" w:rsidRPr="006476F8">
        <w:rPr>
          <w:rFonts w:cs="David"/>
          <w:sz w:val="22"/>
          <w:rtl/>
        </w:rPr>
        <w:t xml:space="preserve">[פורסם בנבו] </w:t>
      </w:r>
      <w:r>
        <w:rPr>
          <w:rFonts w:ascii="David" w:hAnsi="David" w:cs="David"/>
          <w:rtl/>
        </w:rPr>
        <w:t>(19.07.21), התקבל ערעור המדינה על קולת העונש שהוטל על הנאשם – 4 חודשי עבודות שירות לאחר שהורשע בגידול 100 שתילים במשקל 17 ק"ג והחזקת סם במשקל 8 ק"ג. בית המשפט המחוזי החמיר את עונשו של הנאשם ל-9 חודשי עבודות שירות וקבע שיש להימנע משליחת הנאשם אל מאחורי סורג ובריח אך משום שיקולי שיקום, הליך שיקומי שעובר הנאשם ותסקירים חיוביים.</w:t>
      </w:r>
    </w:p>
    <w:p w14:paraId="1E099BB9" w14:textId="77777777" w:rsidR="00F063DC" w:rsidRDefault="00F063DC" w:rsidP="00F063DC">
      <w:pPr>
        <w:spacing w:after="120" w:line="360" w:lineRule="auto"/>
        <w:jc w:val="both"/>
        <w:rPr>
          <w:rFonts w:ascii="David" w:eastAsia="Calibri" w:hAnsi="David"/>
          <w:noProof/>
          <w:rtl/>
        </w:rPr>
      </w:pPr>
      <w:r>
        <w:rPr>
          <w:rFonts w:ascii="David" w:hAnsi="David"/>
          <w:noProof/>
          <w:rtl/>
        </w:rPr>
        <w:t>על כן ולאור כל האמור לעיל, בהתחשב בשיקולים האמורים ובנסיבות המקרה דנא, אני קובע כי מתחם העונש ההולם ביחס לעבירות בהן הורשע הנאשם, הינו מ-8 חודשי מאסר בפועל ועד 24 חודשי מאסר בפועל לצד ענישה נלווית.</w:t>
      </w:r>
    </w:p>
    <w:p w14:paraId="71A7C57F" w14:textId="77777777" w:rsidR="00F063DC" w:rsidRDefault="00F063DC" w:rsidP="00F063DC">
      <w:pPr>
        <w:spacing w:after="120" w:line="360" w:lineRule="auto"/>
        <w:jc w:val="both"/>
        <w:rPr>
          <w:rFonts w:ascii="Tahoma" w:hAnsi="Tahoma"/>
          <w:noProof/>
        </w:rPr>
      </w:pPr>
    </w:p>
    <w:p w14:paraId="4C50894E" w14:textId="77777777" w:rsidR="00F063DC" w:rsidRDefault="00F063DC" w:rsidP="00F063DC">
      <w:pPr>
        <w:spacing w:after="120" w:line="360" w:lineRule="auto"/>
        <w:jc w:val="both"/>
        <w:rPr>
          <w:rFonts w:ascii="Tahoma" w:hAnsi="Tahoma"/>
          <w:b/>
          <w:bCs/>
          <w:u w:val="single"/>
          <w:rtl/>
        </w:rPr>
      </w:pPr>
      <w:r>
        <w:rPr>
          <w:rFonts w:ascii="Tahoma" w:hAnsi="Tahoma"/>
          <w:b/>
          <w:bCs/>
          <w:u w:val="single"/>
          <w:rtl/>
        </w:rPr>
        <w:t>גזירת עונשו של הנאשם בתוך מתחם העונש ההולם</w:t>
      </w:r>
      <w:r>
        <w:rPr>
          <w:rFonts w:ascii="Tahoma" w:hAnsi="Tahoma"/>
          <w:rtl/>
        </w:rPr>
        <w:t>:</w:t>
      </w:r>
    </w:p>
    <w:p w14:paraId="48B04C07" w14:textId="77777777" w:rsidR="00F063DC" w:rsidRDefault="00F063DC" w:rsidP="00F063DC">
      <w:pPr>
        <w:pStyle w:val="normal-p-p"/>
        <w:bidi/>
        <w:spacing w:line="360" w:lineRule="auto"/>
        <w:ind w:left="584" w:hanging="584"/>
        <w:jc w:val="both"/>
        <w:rPr>
          <w:rFonts w:ascii="David" w:hAnsi="David" w:cs="David"/>
          <w:sz w:val="24"/>
          <w:szCs w:val="24"/>
          <w:rtl/>
        </w:rPr>
      </w:pPr>
      <w:r>
        <w:rPr>
          <w:rStyle w:val="normal-h-h"/>
          <w:rFonts w:ascii="David" w:hAnsi="David" w:cs="David"/>
          <w:sz w:val="24"/>
          <w:szCs w:val="24"/>
          <w:rtl/>
        </w:rPr>
        <w:t>על שיקולי ענישה, עמד בהרחבה כב' בית המשפט העליון ב</w:t>
      </w:r>
      <w:hyperlink r:id="rId51" w:history="1">
        <w:r w:rsidR="00AB268F" w:rsidRPr="00AB268F">
          <w:rPr>
            <w:rStyle w:val="normal-h-h"/>
            <w:rFonts w:ascii="David" w:hAnsi="David" w:cs="David"/>
            <w:color w:val="0000FF"/>
            <w:sz w:val="24"/>
            <w:szCs w:val="24"/>
            <w:u w:val="single"/>
            <w:rtl/>
          </w:rPr>
          <w:t>ע"פ 11699/05</w:t>
        </w:r>
      </w:hyperlink>
      <w:r>
        <w:rPr>
          <w:rStyle w:val="normal-h-h"/>
          <w:rFonts w:ascii="David" w:hAnsi="David" w:cs="David"/>
          <w:sz w:val="24"/>
          <w:szCs w:val="24"/>
          <w:rtl/>
        </w:rPr>
        <w:t xml:space="preserve"> </w:t>
      </w:r>
      <w:r>
        <w:rPr>
          <w:rStyle w:val="normal-h-h"/>
          <w:rFonts w:ascii="David" w:hAnsi="David" w:cs="David"/>
          <w:b/>
          <w:bCs/>
          <w:sz w:val="24"/>
          <w:szCs w:val="24"/>
          <w:rtl/>
        </w:rPr>
        <w:t>סרפו נ' מ"י</w:t>
      </w:r>
      <w:r>
        <w:rPr>
          <w:rStyle w:val="normal-h-h"/>
          <w:rFonts w:ascii="David" w:hAnsi="David" w:cs="David"/>
          <w:sz w:val="24"/>
          <w:szCs w:val="24"/>
          <w:rtl/>
        </w:rPr>
        <w:t xml:space="preserve"> </w:t>
      </w:r>
      <w:r w:rsidR="006476F8" w:rsidRPr="006476F8">
        <w:rPr>
          <w:rStyle w:val="normal-h-h"/>
          <w:rFonts w:cs="David"/>
          <w:sz w:val="22"/>
          <w:szCs w:val="24"/>
          <w:rtl/>
        </w:rPr>
        <w:t xml:space="preserve">[פורסם בנבו] </w:t>
      </w:r>
      <w:r>
        <w:rPr>
          <w:rStyle w:val="normal-h-h"/>
          <w:rFonts w:ascii="David" w:hAnsi="David" w:cs="David"/>
          <w:sz w:val="24"/>
          <w:szCs w:val="24"/>
          <w:rtl/>
        </w:rPr>
        <w:t>(23/6/08):</w:t>
      </w:r>
    </w:p>
    <w:p w14:paraId="2E618874" w14:textId="77777777" w:rsidR="00F063DC" w:rsidRDefault="00F063DC" w:rsidP="00F063DC">
      <w:pPr>
        <w:pStyle w:val="ruller40-p-p"/>
        <w:bidi/>
        <w:spacing w:line="360" w:lineRule="auto"/>
        <w:ind w:left="851" w:right="851"/>
        <w:rPr>
          <w:rFonts w:ascii="David" w:hAnsi="David" w:cs="David"/>
          <w:b/>
          <w:bCs/>
          <w:sz w:val="24"/>
          <w:szCs w:val="24"/>
        </w:rPr>
      </w:pPr>
      <w:r>
        <w:rPr>
          <w:rStyle w:val="ruller40-h1-h1"/>
          <w:rFonts w:ascii="David" w:hAnsi="David" w:cs="David"/>
          <w:b/>
          <w:bCs/>
          <w:sz w:val="24"/>
          <w:szCs w:val="24"/>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6EBC90CC" w14:textId="77777777" w:rsidR="00F063DC" w:rsidRDefault="00AB268F" w:rsidP="00F063DC">
      <w:pPr>
        <w:pStyle w:val="ruller50-p-p"/>
        <w:bidi/>
        <w:spacing w:line="360" w:lineRule="auto"/>
        <w:ind w:left="851" w:right="851"/>
        <w:rPr>
          <w:rFonts w:ascii="David" w:hAnsi="David" w:cs="David"/>
          <w:b/>
          <w:bCs/>
          <w:sz w:val="24"/>
          <w:szCs w:val="24"/>
        </w:rPr>
      </w:pPr>
      <w:r>
        <w:rPr>
          <w:rStyle w:val="ruller50-h1-h1"/>
          <w:rFonts w:ascii="David" w:hAnsi="David" w:cs="David"/>
          <w:b/>
          <w:bCs/>
          <w:sz w:val="24"/>
          <w:szCs w:val="24"/>
          <w:rtl/>
        </w:rPr>
        <w:t xml:space="preserve"> </w:t>
      </w:r>
    </w:p>
    <w:p w14:paraId="530BC6F6" w14:textId="77777777" w:rsidR="00F063DC" w:rsidRPr="006476F8" w:rsidRDefault="00AB268F" w:rsidP="00F063DC">
      <w:pPr>
        <w:pStyle w:val="ruller50-p-p"/>
        <w:bidi/>
        <w:spacing w:line="360" w:lineRule="auto"/>
        <w:ind w:left="851" w:right="851"/>
        <w:rPr>
          <w:rStyle w:val="ruller50-p-h1"/>
          <w:rFonts w:ascii="David" w:hAnsi="David" w:cs="David"/>
          <w:sz w:val="24"/>
          <w:szCs w:val="24"/>
          <w:rtl/>
        </w:rPr>
      </w:pPr>
      <w:r>
        <w:rPr>
          <w:rStyle w:val="ruller50-h1-h1"/>
          <w:rFonts w:ascii="David" w:hAnsi="David" w:cs="David"/>
          <w:b/>
          <w:bCs/>
          <w:sz w:val="24"/>
          <w:szCs w:val="24"/>
          <w:rtl/>
        </w:rPr>
        <w:t xml:space="preserve">       </w:t>
      </w:r>
      <w:r w:rsidR="00F063DC">
        <w:rPr>
          <w:rStyle w:val="ruller50-h1-h1"/>
          <w:rFonts w:ascii="David" w:hAnsi="David" w:cs="David"/>
          <w:b/>
          <w:bCs/>
          <w:sz w:val="24"/>
          <w:szCs w:val="24"/>
          <w:rtl/>
        </w:rPr>
        <w:t xml:space="preserve">"ביסוד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w:t>
      </w:r>
      <w:r w:rsidR="00F063DC" w:rsidRPr="00D8292B">
        <w:rPr>
          <w:rStyle w:val="ruller50-h1-h1"/>
          <w:rFonts w:ascii="David" w:hAnsi="David" w:cs="David"/>
          <w:b/>
          <w:bCs/>
          <w:sz w:val="24"/>
          <w:szCs w:val="24"/>
          <w:rtl/>
        </w:rPr>
        <w:t>המדיניות העונשית הכללית כפי שהיא מתבצעת על-ידי בתי-המשפט" (</w:t>
      </w:r>
      <w:hyperlink r:id="rId52" w:history="1">
        <w:r w:rsidRPr="00AB268F">
          <w:rPr>
            <w:rStyle w:val="hyperlink-h1-h1"/>
            <w:rFonts w:ascii="David" w:hAnsi="David" w:cs="David"/>
            <w:b/>
            <w:bCs/>
            <w:sz w:val="24"/>
            <w:szCs w:val="24"/>
            <w:u w:val="single"/>
            <w:rtl/>
          </w:rPr>
          <w:t>ע"פ 212/79</w:t>
        </w:r>
      </w:hyperlink>
      <w:r w:rsidR="00F063DC" w:rsidRPr="00D8292B">
        <w:rPr>
          <w:rStyle w:val="hyperlink-h1-h1"/>
          <w:rFonts w:ascii="David" w:hAnsi="David" w:cs="David"/>
          <w:b/>
          <w:bCs/>
          <w:sz w:val="24"/>
          <w:szCs w:val="24"/>
          <w:rtl/>
        </w:rPr>
        <w:t xml:space="preserve"> </w:t>
      </w:r>
      <w:r w:rsidR="00F063DC" w:rsidRPr="006476F8">
        <w:rPr>
          <w:rStyle w:val="hyperlink-h1-h1"/>
          <w:rFonts w:ascii="David" w:hAnsi="David" w:cs="David"/>
          <w:b/>
          <w:bCs/>
          <w:color w:val="auto"/>
          <w:sz w:val="24"/>
          <w:szCs w:val="24"/>
          <w:rtl/>
        </w:rPr>
        <w:t>פלוני נ' מדינת ישראל, פ"ד לד</w:t>
      </w:r>
      <w:r w:rsidR="00F063DC" w:rsidRPr="006476F8">
        <w:rPr>
          <w:rStyle w:val="ruller50-h1-h1"/>
          <w:rFonts w:ascii="David" w:hAnsi="David" w:cs="David"/>
          <w:b/>
          <w:bCs/>
          <w:sz w:val="24"/>
          <w:szCs w:val="24"/>
          <w:rtl/>
        </w:rPr>
        <w:t>(2) 421, 434 (1979))....".</w:t>
      </w:r>
    </w:p>
    <w:p w14:paraId="05DCB818" w14:textId="77777777" w:rsidR="00F063DC" w:rsidRDefault="00F063DC" w:rsidP="00F063DC">
      <w:pPr>
        <w:pStyle w:val="ruller50-p-p"/>
        <w:bidi/>
        <w:spacing w:line="360" w:lineRule="auto"/>
        <w:ind w:left="584" w:right="600" w:hanging="584"/>
        <w:rPr>
          <w:rtl/>
        </w:rPr>
      </w:pPr>
    </w:p>
    <w:p w14:paraId="7F8F1355" w14:textId="77777777" w:rsidR="00F063DC" w:rsidRDefault="00F063DC" w:rsidP="00F063DC">
      <w:pPr>
        <w:spacing w:line="360" w:lineRule="auto"/>
        <w:jc w:val="both"/>
        <w:rPr>
          <w:rFonts w:ascii="David" w:hAnsi="David"/>
          <w:rtl/>
        </w:rPr>
      </w:pPr>
      <w:r>
        <w:rPr>
          <w:rFonts w:ascii="David" w:hAnsi="David"/>
          <w:rtl/>
        </w:rPr>
        <w:t>בענייננו, כפי שעלה מתסקירי שירות המבחן, לנאשם נסיבות אישיות מורכבות אולם אין אני מוצא אותן חריגות. כך גם, טענותיו אודות מצבו והסיבות בגינן נזקק לגידול ושימוש בסם לא גובו באסמכתאות לא בפניי ולא בפני שירות המבחן כך שטענותיו נטענו בעלמא. יתרה מכך, על אף ההזדמנויות שניתנו לו, לא הביע הנאשם רצון ללכת באפיק טיפולי או להשתקם ולהיפך, הנאשם שב וטוען שאין פסול בהתנהלותו עד ששירות המבחן העריך הישנות העבירות.</w:t>
      </w:r>
    </w:p>
    <w:p w14:paraId="2EE5A0F0" w14:textId="77777777" w:rsidR="00F063DC" w:rsidRDefault="00F063DC" w:rsidP="00F063DC">
      <w:pPr>
        <w:spacing w:line="360" w:lineRule="auto"/>
        <w:jc w:val="both"/>
        <w:rPr>
          <w:rFonts w:ascii="David" w:hAnsi="David"/>
          <w:color w:val="000000"/>
          <w:rtl/>
        </w:rPr>
      </w:pPr>
    </w:p>
    <w:p w14:paraId="3A5BD0CF" w14:textId="77777777" w:rsidR="00F063DC" w:rsidRDefault="00F063DC" w:rsidP="00F063DC">
      <w:pPr>
        <w:spacing w:line="360" w:lineRule="auto"/>
        <w:jc w:val="both"/>
        <w:rPr>
          <w:rFonts w:ascii="David" w:hAnsi="David"/>
          <w:color w:val="000000"/>
          <w:rtl/>
        </w:rPr>
      </w:pPr>
      <w:r>
        <w:rPr>
          <w:rFonts w:ascii="David" w:hAnsi="David"/>
          <w:color w:val="000000"/>
          <w:rtl/>
        </w:rPr>
        <w:t xml:space="preserve">לחובת הנאשם הרשעה אחת </w:t>
      </w:r>
      <w:r>
        <w:rPr>
          <w:rFonts w:ascii="David" w:hAnsi="David"/>
          <w:b/>
          <w:bCs/>
          <w:color w:val="000000"/>
          <w:rtl/>
        </w:rPr>
        <w:t>שלא</w:t>
      </w:r>
      <w:r>
        <w:rPr>
          <w:rFonts w:ascii="David" w:hAnsi="David"/>
          <w:color w:val="000000"/>
          <w:rtl/>
        </w:rPr>
        <w:t xml:space="preserve"> בעבירות סמים ואולם עוד בגין עבירה זו, התרשם שירות המבחן כי הנאשם מועד לחטוא בעבירות סמים ככל שלא ישכיל ויטפל בבעיותיו והנה, 4 שנים חלפו ואכן הנאשם חטא בעבירות סמים בהיקף שלא ניתן לפטור אותן בהינף יד.</w:t>
      </w:r>
    </w:p>
    <w:p w14:paraId="6F6662D3" w14:textId="77777777" w:rsidR="00F063DC" w:rsidRDefault="00F063DC" w:rsidP="00F063DC">
      <w:pPr>
        <w:spacing w:line="360" w:lineRule="auto"/>
        <w:jc w:val="both"/>
        <w:rPr>
          <w:rFonts w:ascii="David" w:hAnsi="David"/>
          <w:color w:val="000000"/>
          <w:rtl/>
        </w:rPr>
      </w:pPr>
    </w:p>
    <w:p w14:paraId="45EA1962" w14:textId="77777777" w:rsidR="00F063DC" w:rsidRDefault="00F063DC" w:rsidP="00F063DC">
      <w:pPr>
        <w:spacing w:line="360" w:lineRule="auto"/>
        <w:jc w:val="both"/>
        <w:rPr>
          <w:rFonts w:ascii="David" w:hAnsi="David"/>
          <w:noProof/>
          <w:rtl/>
        </w:rPr>
      </w:pPr>
      <w:r>
        <w:rPr>
          <w:rFonts w:ascii="David" w:hAnsi="David"/>
          <w:color w:val="000000"/>
          <w:rtl/>
        </w:rPr>
        <w:t xml:space="preserve">אמנם שירות המבחן התרשם שהנאשם </w:t>
      </w:r>
      <w:r>
        <w:rPr>
          <w:rFonts w:ascii="David" w:hAnsi="David"/>
          <w:noProof/>
          <w:rtl/>
        </w:rPr>
        <w:t>נעדר דפוסים עברייניים מושרשים, עם זאת, חזר ושב על המלצתו להטלת ענישה ברורה ומציבת גבול תוך שמציין שלא נוצר ולו פתח לבחינת שיקום הנאשם בתחום עבירות זה. בנסיבות אלה, אינני מוצא שיקולים למקם את הנאשם מחוץ למתחם הענישה.</w:t>
      </w:r>
    </w:p>
    <w:p w14:paraId="40DCB19F" w14:textId="77777777" w:rsidR="00F063DC" w:rsidRDefault="00F063DC" w:rsidP="00F063DC">
      <w:pPr>
        <w:spacing w:line="360" w:lineRule="auto"/>
        <w:jc w:val="both"/>
        <w:rPr>
          <w:rFonts w:ascii="David" w:hAnsi="David"/>
          <w:rtl/>
        </w:rPr>
      </w:pPr>
    </w:p>
    <w:p w14:paraId="6D97059D" w14:textId="77777777" w:rsidR="00F063DC" w:rsidRDefault="00F063DC" w:rsidP="00F063DC">
      <w:pPr>
        <w:spacing w:line="360" w:lineRule="auto"/>
        <w:jc w:val="both"/>
        <w:rPr>
          <w:rFonts w:cs="Times New Roman"/>
          <w:color w:val="000000"/>
          <w:sz w:val="27"/>
          <w:szCs w:val="27"/>
          <w:rtl/>
        </w:rPr>
      </w:pPr>
      <w:r>
        <w:rPr>
          <w:rtl/>
        </w:rPr>
        <w:t>מנגד, יש לתת משקל להודאתו של הנאשם בכתב האישום בהזדמנות הראשונה ולחיסכון בזמן השיפוטי.</w:t>
      </w:r>
    </w:p>
    <w:p w14:paraId="55BF449B" w14:textId="77777777" w:rsidR="00F063DC" w:rsidRDefault="00F063DC" w:rsidP="00F063DC">
      <w:pPr>
        <w:spacing w:before="240" w:after="240" w:line="360" w:lineRule="auto"/>
        <w:rPr>
          <w:rFonts w:ascii="David" w:hAnsi="David"/>
          <w:color w:val="000000"/>
          <w:rtl/>
        </w:rPr>
      </w:pPr>
      <w:r>
        <w:rPr>
          <w:rFonts w:ascii="David" w:hAnsi="David"/>
          <w:color w:val="000000"/>
          <w:rtl/>
        </w:rPr>
        <w:t>לנוכח האמור,</w:t>
      </w:r>
      <w:r w:rsidR="00AB268F">
        <w:rPr>
          <w:rFonts w:ascii="David" w:hAnsi="David"/>
          <w:color w:val="000000"/>
          <w:rtl/>
        </w:rPr>
        <w:t xml:space="preserve"> </w:t>
      </w:r>
      <w:r>
        <w:rPr>
          <w:rFonts w:ascii="David" w:hAnsi="David"/>
          <w:color w:val="000000"/>
          <w:rtl/>
        </w:rPr>
        <w:t>אמקם את הנאשם ברף התחתון</w:t>
      </w:r>
      <w:r w:rsidR="00AB268F">
        <w:rPr>
          <w:rFonts w:ascii="David" w:hAnsi="David"/>
          <w:color w:val="000000"/>
          <w:rtl/>
        </w:rPr>
        <w:t xml:space="preserve"> </w:t>
      </w:r>
      <w:r>
        <w:rPr>
          <w:rFonts w:ascii="David" w:hAnsi="David"/>
          <w:color w:val="000000"/>
          <w:rtl/>
        </w:rPr>
        <w:t>של מתחם העונש ההולם.</w:t>
      </w:r>
    </w:p>
    <w:p w14:paraId="25B7CFCB" w14:textId="77777777" w:rsidR="00F063DC" w:rsidRDefault="00F063DC" w:rsidP="00F063DC">
      <w:pPr>
        <w:spacing w:line="360" w:lineRule="auto"/>
        <w:jc w:val="both"/>
        <w:rPr>
          <w:rFonts w:ascii="Arial" w:hAnsi="Arial"/>
          <w:rtl/>
        </w:rPr>
      </w:pPr>
      <w:r>
        <w:rPr>
          <w:rFonts w:ascii="Arial" w:hAnsi="Arial"/>
          <w:rtl/>
        </w:rPr>
        <w:t xml:space="preserve">משנאמר כל זאת, ולאחר שנשקלו כל השיקולים הרלוונטיים אשר צוינו לעיל, תוך עריכת איזון בין רכיבי הענישה השונים, אני מטיל על הנאשם את העונשים הבאים: </w:t>
      </w:r>
    </w:p>
    <w:p w14:paraId="17AB5E4A" w14:textId="77777777" w:rsidR="00F063DC" w:rsidRDefault="00F063DC" w:rsidP="00F063DC">
      <w:pPr>
        <w:spacing w:line="360" w:lineRule="auto"/>
        <w:jc w:val="both"/>
        <w:rPr>
          <w:rFonts w:ascii="Arial" w:hAnsi="Arial"/>
          <w:rtl/>
        </w:rPr>
      </w:pPr>
      <w:r>
        <w:rPr>
          <w:rFonts w:ascii="Arial" w:hAnsi="Arial"/>
          <w:rtl/>
        </w:rPr>
        <w:t xml:space="preserve"> </w:t>
      </w:r>
    </w:p>
    <w:p w14:paraId="244CF18F" w14:textId="77777777" w:rsidR="00F063DC" w:rsidRDefault="00F063DC" w:rsidP="00F063DC">
      <w:pPr>
        <w:numPr>
          <w:ilvl w:val="0"/>
          <w:numId w:val="1"/>
        </w:numPr>
        <w:spacing w:line="360" w:lineRule="auto"/>
        <w:contextualSpacing/>
        <w:jc w:val="both"/>
        <w:rPr>
          <w:rFonts w:ascii="Calibri" w:hAnsi="Calibri" w:cs="Arial"/>
        </w:rPr>
      </w:pPr>
      <w:r>
        <w:rPr>
          <w:rFonts w:ascii="David" w:hAnsi="David"/>
          <w:rtl/>
        </w:rPr>
        <w:t>10 חודשי מאסר בפועל בניכוי ימי מעצרו של הנאשם</w:t>
      </w:r>
      <w:r>
        <w:rPr>
          <w:rFonts w:ascii="David" w:hAnsi="David" w:hint="cs"/>
          <w:rtl/>
        </w:rPr>
        <w:t xml:space="preserve">, בהתאם לתחשיב שב"ס ועל סמך מרשמיו. הנאשם יתייצב לריצוי עונש המאסר בבית מעצר קישון ביום 2/10/22 שעה 11:00 עד למועד זה ידאג ב"כ הנאשם לתאם עבור מרשו מועד לקליטה מוקדמת ע"י שב"ס. </w:t>
      </w:r>
    </w:p>
    <w:p w14:paraId="36DBC906" w14:textId="77777777" w:rsidR="00F063DC" w:rsidRDefault="00F063DC" w:rsidP="00F063DC">
      <w:pPr>
        <w:spacing w:line="360" w:lineRule="auto"/>
        <w:ind w:left="1080"/>
        <w:contextualSpacing/>
        <w:jc w:val="both"/>
        <w:rPr>
          <w:rFonts w:ascii="Calibri" w:hAnsi="Calibri" w:cs="Arial"/>
        </w:rPr>
      </w:pPr>
      <w:r>
        <w:rPr>
          <w:rFonts w:ascii="Calibri" w:hAnsi="Calibri" w:cs="Arial"/>
        </w:rPr>
        <w:t xml:space="preserve"> </w:t>
      </w:r>
    </w:p>
    <w:p w14:paraId="28BBCF5C" w14:textId="77777777" w:rsidR="00F063DC" w:rsidRPr="0092097E" w:rsidRDefault="00F063DC" w:rsidP="00F063DC">
      <w:pPr>
        <w:numPr>
          <w:ilvl w:val="0"/>
          <w:numId w:val="1"/>
        </w:numPr>
        <w:spacing w:line="360" w:lineRule="auto"/>
        <w:contextualSpacing/>
        <w:jc w:val="both"/>
        <w:rPr>
          <w:rFonts w:ascii="Calibri" w:hAnsi="Calibri" w:cs="Arial"/>
        </w:rPr>
      </w:pPr>
      <w:r>
        <w:rPr>
          <w:rFonts w:ascii="David" w:hAnsi="David" w:hint="cs"/>
          <w:rtl/>
        </w:rPr>
        <w:t>6</w:t>
      </w:r>
      <w:r>
        <w:rPr>
          <w:rFonts w:ascii="David" w:hAnsi="David"/>
          <w:rtl/>
        </w:rPr>
        <w:t xml:space="preserve"> חודשי מאסר על תנאי</w:t>
      </w:r>
      <w:r>
        <w:rPr>
          <w:rFonts w:ascii="David" w:hAnsi="David" w:hint="cs"/>
          <w:rtl/>
        </w:rPr>
        <w:t xml:space="preserve"> למשך 3 שנים, </w:t>
      </w:r>
      <w:r>
        <w:rPr>
          <w:rFonts w:ascii="David" w:hAnsi="David"/>
          <w:rtl/>
        </w:rPr>
        <w:t xml:space="preserve"> </w:t>
      </w:r>
      <w:r>
        <w:rPr>
          <w:rFonts w:ascii="David" w:hAnsi="David" w:hint="cs"/>
          <w:rtl/>
        </w:rPr>
        <w:t xml:space="preserve">והתנאי הוא </w:t>
      </w:r>
      <w:r>
        <w:rPr>
          <w:rFonts w:ascii="David" w:hAnsi="David"/>
          <w:rtl/>
        </w:rPr>
        <w:t>ש</w:t>
      </w:r>
      <w:r>
        <w:rPr>
          <w:rFonts w:ascii="David" w:hAnsi="David" w:hint="cs"/>
          <w:rtl/>
        </w:rPr>
        <w:t xml:space="preserve">הנאשם </w:t>
      </w:r>
      <w:r>
        <w:rPr>
          <w:rFonts w:ascii="David" w:hAnsi="David"/>
          <w:rtl/>
        </w:rPr>
        <w:t>לא יעבור בפרק זמן זה</w:t>
      </w:r>
      <w:r>
        <w:rPr>
          <w:rFonts w:ascii="David" w:hAnsi="David" w:hint="cs"/>
          <w:rtl/>
        </w:rPr>
        <w:t>,</w:t>
      </w:r>
      <w:r>
        <w:rPr>
          <w:rFonts w:ascii="David" w:hAnsi="David"/>
          <w:rtl/>
        </w:rPr>
        <w:t xml:space="preserve"> לאחר שחרורו מריצוי תום מאסרו בגין תיק זה</w:t>
      </w:r>
      <w:r>
        <w:rPr>
          <w:rFonts w:ascii="David" w:hAnsi="David" w:hint="cs"/>
          <w:rtl/>
        </w:rPr>
        <w:t>,</w:t>
      </w:r>
      <w:r>
        <w:rPr>
          <w:rFonts w:ascii="David" w:hAnsi="David"/>
          <w:rtl/>
        </w:rPr>
        <w:t xml:space="preserve"> על עבירות בהן הורשע בתיק זה או כל עבירה לפי </w:t>
      </w:r>
      <w:hyperlink r:id="rId53" w:history="1">
        <w:r w:rsidR="00AB268F" w:rsidRPr="00AB268F">
          <w:rPr>
            <w:rFonts w:ascii="David" w:hAnsi="David"/>
            <w:color w:val="0000FF"/>
            <w:u w:val="single"/>
            <w:rtl/>
          </w:rPr>
          <w:t>פקודת הסמים המסוכנים</w:t>
        </w:r>
      </w:hyperlink>
      <w:r>
        <w:rPr>
          <w:rFonts w:ascii="David" w:hAnsi="David"/>
          <w:rtl/>
        </w:rPr>
        <w:t xml:space="preserve"> מסוג פשע ויורשע בה.</w:t>
      </w:r>
    </w:p>
    <w:p w14:paraId="480ED0A4" w14:textId="77777777" w:rsidR="00F063DC" w:rsidRDefault="00F063DC" w:rsidP="00F063DC">
      <w:pPr>
        <w:spacing w:line="360" w:lineRule="auto"/>
        <w:ind w:left="1088" w:hanging="720"/>
        <w:jc w:val="both"/>
        <w:rPr>
          <w:rtl/>
        </w:rPr>
      </w:pPr>
    </w:p>
    <w:p w14:paraId="7B6703B5" w14:textId="77777777" w:rsidR="00F063DC" w:rsidRDefault="00F063DC" w:rsidP="00F063DC">
      <w:pPr>
        <w:spacing w:line="360" w:lineRule="auto"/>
        <w:ind w:left="1088" w:hanging="720"/>
        <w:jc w:val="both"/>
        <w:rPr>
          <w:rtl/>
        </w:rPr>
      </w:pPr>
      <w:r>
        <w:rPr>
          <w:rtl/>
        </w:rPr>
        <w:t>3.</w:t>
      </w:r>
      <w:r>
        <w:rPr>
          <w:rtl/>
        </w:rPr>
        <w:tab/>
        <w:t xml:space="preserve">קנס בסך </w:t>
      </w:r>
      <w:r>
        <w:rPr>
          <w:rFonts w:hint="cs"/>
          <w:rtl/>
        </w:rPr>
        <w:t>10,000</w:t>
      </w:r>
      <w:r>
        <w:rPr>
          <w:rtl/>
        </w:rPr>
        <w:t xml:space="preserve"> ₪.</w:t>
      </w:r>
      <w:r>
        <w:rPr>
          <w:rFonts w:hint="cs"/>
          <w:rtl/>
        </w:rPr>
        <w:t xml:space="preserve"> </w:t>
      </w:r>
    </w:p>
    <w:p w14:paraId="3A0638AE" w14:textId="77777777" w:rsidR="00F063DC" w:rsidRDefault="00F063DC" w:rsidP="00F063DC">
      <w:pPr>
        <w:pStyle w:val="ListParagraph"/>
        <w:spacing w:line="360" w:lineRule="auto"/>
        <w:rPr>
          <w:rFonts w:ascii="David" w:hAnsi="David"/>
        </w:rPr>
      </w:pPr>
      <w:r>
        <w:rPr>
          <w:rFonts w:ascii="David" w:hAnsi="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hint="cs"/>
          <w:rtl/>
        </w:rPr>
        <w:t>01/01/23</w:t>
      </w:r>
      <w:r>
        <w:rPr>
          <w:rFonts w:ascii="David" w:hAnsi="David"/>
          <w:rtl/>
        </w:rPr>
        <w:t xml:space="preserve"> וזאת באחת מהדרכים הבאות:</w:t>
      </w:r>
    </w:p>
    <w:p w14:paraId="1BB943DB" w14:textId="77777777" w:rsidR="00F063DC" w:rsidRDefault="00F063DC" w:rsidP="00F063DC">
      <w:pPr>
        <w:pStyle w:val="ListParagraph"/>
        <w:numPr>
          <w:ilvl w:val="0"/>
          <w:numId w:val="2"/>
        </w:numPr>
        <w:spacing w:line="360" w:lineRule="auto"/>
        <w:contextualSpacing w:val="0"/>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54" w:history="1">
        <w:r>
          <w:rPr>
            <w:rStyle w:val="Hyperlink"/>
            <w:rFonts w:ascii="Arial" w:hAnsi="Arial" w:cs="Arial"/>
          </w:rPr>
          <w:t>www.eca.gov.il</w:t>
        </w:r>
      </w:hyperlink>
      <w:r>
        <w:rPr>
          <w:rFonts w:ascii="Arial" w:hAnsi="Arial" w:cs="Arial"/>
        </w:rPr>
        <w:t xml:space="preserve"> </w:t>
      </w:r>
      <w:r w:rsidR="00AB268F">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2D6CD777" w14:textId="77777777" w:rsidR="00F063DC" w:rsidRDefault="00F063DC" w:rsidP="00F063DC">
      <w:pPr>
        <w:pStyle w:val="ListParagraph"/>
        <w:numPr>
          <w:ilvl w:val="0"/>
          <w:numId w:val="2"/>
        </w:numPr>
        <w:spacing w:line="360" w:lineRule="auto"/>
        <w:contextualSpacing w:val="0"/>
        <w:rPr>
          <w:rFonts w:ascii="Arial" w:hAnsi="Arial" w:cs="Arial"/>
          <w:b/>
          <w:bCs/>
          <w:rtl/>
        </w:rPr>
      </w:pPr>
      <w:r>
        <w:rPr>
          <w:rFonts w:ascii="David" w:hAnsi="David"/>
          <w:b/>
          <w:bCs/>
          <w:rtl/>
        </w:rPr>
        <w:t>מוקד שירות טלפוני בשרות עצמי (מרכז גבייה)</w:t>
      </w:r>
      <w:r w:rsidR="00AB268F">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4392BED5" w14:textId="77777777" w:rsidR="00F063DC" w:rsidRDefault="00F063DC" w:rsidP="00F063DC">
      <w:pPr>
        <w:pStyle w:val="ListParagraph"/>
        <w:numPr>
          <w:ilvl w:val="0"/>
          <w:numId w:val="2"/>
        </w:numPr>
        <w:spacing w:line="360" w:lineRule="auto"/>
        <w:contextualSpacing w:val="0"/>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6FAFB99B" w14:textId="77777777" w:rsidR="00F063DC" w:rsidRDefault="00F063DC" w:rsidP="00F063DC">
      <w:pPr>
        <w:spacing w:line="360" w:lineRule="auto"/>
        <w:rPr>
          <w:rFonts w:ascii="David" w:hAnsi="David"/>
          <w:b/>
          <w:bCs/>
        </w:rPr>
      </w:pPr>
    </w:p>
    <w:p w14:paraId="43707368" w14:textId="77777777" w:rsidR="00F063DC" w:rsidRDefault="00F063DC" w:rsidP="00F063DC">
      <w:pPr>
        <w:spacing w:line="360" w:lineRule="auto"/>
        <w:rPr>
          <w:b/>
          <w:bCs/>
          <w:rtl/>
        </w:rPr>
      </w:pPr>
      <w:r>
        <w:rPr>
          <w:b/>
          <w:bCs/>
          <w:rtl/>
        </w:rPr>
        <w:t>ניתן בזאת צו להשמדת הסמים והציוד לגידולם.</w:t>
      </w:r>
    </w:p>
    <w:p w14:paraId="4C083F9C" w14:textId="77777777" w:rsidR="00F063DC" w:rsidRDefault="00F063DC" w:rsidP="00F063DC">
      <w:pPr>
        <w:spacing w:line="360" w:lineRule="auto"/>
        <w:rPr>
          <w:b/>
          <w:bCs/>
          <w:rtl/>
        </w:rPr>
      </w:pPr>
    </w:p>
    <w:p w14:paraId="737D33E9" w14:textId="77777777" w:rsidR="00F063DC" w:rsidRPr="00AE3C90" w:rsidRDefault="00F063DC" w:rsidP="00F063DC">
      <w:pPr>
        <w:spacing w:line="360" w:lineRule="auto"/>
        <w:rPr>
          <w:b/>
          <w:bCs/>
          <w:u w:val="single"/>
          <w:rtl/>
        </w:rPr>
      </w:pPr>
      <w:r w:rsidRPr="00AE3C90">
        <w:rPr>
          <w:rFonts w:hint="cs"/>
          <w:b/>
          <w:bCs/>
          <w:u w:val="single"/>
          <w:rtl/>
        </w:rPr>
        <w:t xml:space="preserve">גזר דין זה מהווה פקודת מאסר. </w:t>
      </w:r>
    </w:p>
    <w:p w14:paraId="253D7598" w14:textId="77777777" w:rsidR="00F063DC" w:rsidRDefault="00F063DC" w:rsidP="00F063DC">
      <w:pPr>
        <w:spacing w:line="360" w:lineRule="auto"/>
        <w:rPr>
          <w:b/>
          <w:bCs/>
          <w:rtl/>
        </w:rPr>
      </w:pPr>
    </w:p>
    <w:p w14:paraId="41D51D1D" w14:textId="77777777" w:rsidR="00F063DC" w:rsidRDefault="00F063DC" w:rsidP="00F063DC">
      <w:pPr>
        <w:spacing w:line="360" w:lineRule="auto"/>
        <w:rPr>
          <w:b/>
          <w:bCs/>
          <w:rtl/>
        </w:rPr>
      </w:pPr>
      <w:r>
        <w:rPr>
          <w:b/>
          <w:bCs/>
          <w:rtl/>
        </w:rPr>
        <w:t>הטלפון הנייד של הנאשם (מספר מוצג 83163805) יו</w:t>
      </w:r>
      <w:r>
        <w:rPr>
          <w:rFonts w:hint="cs"/>
          <w:b/>
          <w:bCs/>
          <w:rtl/>
        </w:rPr>
        <w:t xml:space="preserve">חזר </w:t>
      </w:r>
      <w:r>
        <w:rPr>
          <w:b/>
          <w:bCs/>
          <w:rtl/>
        </w:rPr>
        <w:t>לידי הנאשם.</w:t>
      </w:r>
    </w:p>
    <w:p w14:paraId="27CAB3A9" w14:textId="77777777" w:rsidR="00F063DC" w:rsidRPr="00AB268F" w:rsidRDefault="00AB268F" w:rsidP="00F063DC">
      <w:pPr>
        <w:spacing w:line="360" w:lineRule="auto"/>
        <w:rPr>
          <w:b/>
          <w:bCs/>
          <w:color w:val="FFFFFF"/>
          <w:sz w:val="2"/>
          <w:szCs w:val="2"/>
          <w:rtl/>
        </w:rPr>
      </w:pPr>
      <w:r w:rsidRPr="00AB268F">
        <w:rPr>
          <w:b/>
          <w:bCs/>
          <w:color w:val="FFFFFF"/>
          <w:sz w:val="2"/>
          <w:szCs w:val="2"/>
          <w:rtl/>
        </w:rPr>
        <w:t>5129371</w:t>
      </w:r>
    </w:p>
    <w:p w14:paraId="265B10DF" w14:textId="77777777" w:rsidR="00F063DC" w:rsidRPr="00D8292B" w:rsidRDefault="00AB268F" w:rsidP="00F063DC">
      <w:pPr>
        <w:spacing w:line="360" w:lineRule="auto"/>
        <w:rPr>
          <w:rFonts w:ascii="Calibri" w:hAnsi="Calibri" w:cs="Arial"/>
          <w:sz w:val="22"/>
          <w:szCs w:val="22"/>
          <w:rtl/>
        </w:rPr>
      </w:pPr>
      <w:r w:rsidRPr="00AB268F">
        <w:rPr>
          <w:b/>
          <w:bCs/>
          <w:color w:val="FFFFFF"/>
          <w:sz w:val="2"/>
          <w:szCs w:val="2"/>
          <w:rtl/>
        </w:rPr>
        <w:t>54678313</w:t>
      </w:r>
      <w:r w:rsidR="00F063DC">
        <w:rPr>
          <w:b/>
          <w:bCs/>
          <w:rtl/>
        </w:rPr>
        <w:t>זכות ערעור לבית המשפט המחוזי בחיפה תוך 45 ימים מהיום.</w:t>
      </w:r>
      <w:r w:rsidR="00F063DC">
        <w:rPr>
          <w:rtl/>
        </w:rPr>
        <w:t xml:space="preserve">  </w:t>
      </w:r>
    </w:p>
    <w:p w14:paraId="0EA2F084" w14:textId="77777777" w:rsidR="00F063DC" w:rsidRPr="000F2247" w:rsidRDefault="00F063DC" w:rsidP="00F063DC">
      <w:pPr>
        <w:rPr>
          <w:rFonts w:ascii="Arial" w:hAnsi="Arial"/>
          <w:b/>
          <w:bCs/>
          <w:sz w:val="26"/>
          <w:szCs w:val="26"/>
          <w:rtl/>
        </w:rPr>
      </w:pPr>
    </w:p>
    <w:p w14:paraId="1BF19F98" w14:textId="77777777" w:rsidR="00F063DC" w:rsidRPr="000F2247" w:rsidRDefault="00AB268F" w:rsidP="00F063DC">
      <w:pPr>
        <w:rPr>
          <w:rFonts w:ascii="Arial" w:hAnsi="Arial"/>
          <w:b/>
          <w:bCs/>
          <w:sz w:val="26"/>
          <w:szCs w:val="26"/>
          <w:rtl/>
        </w:rPr>
      </w:pPr>
      <w:bookmarkStart w:id="8" w:name="Nitan"/>
      <w:r>
        <w:rPr>
          <w:rFonts w:ascii="Arial" w:hAnsi="Arial"/>
          <w:b/>
          <w:bCs/>
          <w:sz w:val="26"/>
          <w:szCs w:val="26"/>
          <w:rtl/>
        </w:rPr>
        <w:t xml:space="preserve">ניתן היום,  ד' אלול תשפ"ב, 31 אוגוסט 2022, בנוכחות הצדדים. </w:t>
      </w:r>
      <w:bookmarkEnd w:id="8"/>
    </w:p>
    <w:p w14:paraId="1F844112" w14:textId="77777777" w:rsidR="00F063DC" w:rsidRPr="000F2247" w:rsidRDefault="00F063DC" w:rsidP="00AB268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C10184" w14:textId="77777777" w:rsidR="00F063DC" w:rsidRPr="000F2247" w:rsidRDefault="00F063DC" w:rsidP="00F063DC">
      <w:pPr>
        <w:jc w:val="center"/>
        <w:rPr>
          <w:rFonts w:ascii="Arial" w:hAnsi="Arial"/>
          <w:b/>
          <w:bCs/>
          <w:sz w:val="26"/>
          <w:szCs w:val="26"/>
          <w:rtl/>
        </w:rPr>
      </w:pPr>
    </w:p>
    <w:p w14:paraId="1A6404B7" w14:textId="77777777" w:rsidR="00686AB7" w:rsidRPr="00AB268F" w:rsidRDefault="00686AB7" w:rsidP="00AB268F">
      <w:pPr>
        <w:keepNext/>
        <w:rPr>
          <w:rFonts w:ascii="David" w:hAnsi="David"/>
          <w:color w:val="000000"/>
          <w:sz w:val="22"/>
          <w:szCs w:val="22"/>
          <w:rtl/>
        </w:rPr>
      </w:pPr>
    </w:p>
    <w:p w14:paraId="0A159934" w14:textId="77777777" w:rsidR="00AB268F" w:rsidRPr="00AB268F" w:rsidRDefault="00AB268F" w:rsidP="00AB268F">
      <w:pPr>
        <w:keepNext/>
        <w:rPr>
          <w:rFonts w:ascii="David" w:hAnsi="David"/>
          <w:color w:val="000000"/>
          <w:sz w:val="22"/>
          <w:szCs w:val="22"/>
          <w:rtl/>
        </w:rPr>
      </w:pPr>
      <w:r w:rsidRPr="00AB268F">
        <w:rPr>
          <w:rFonts w:ascii="David" w:hAnsi="David"/>
          <w:color w:val="000000"/>
          <w:sz w:val="22"/>
          <w:szCs w:val="22"/>
          <w:rtl/>
        </w:rPr>
        <w:t>אלכס אחטר 54678313</w:t>
      </w:r>
    </w:p>
    <w:p w14:paraId="79A3269F" w14:textId="77777777" w:rsidR="00AB268F" w:rsidRDefault="00AB268F" w:rsidP="00AB268F">
      <w:r w:rsidRPr="00AB268F">
        <w:rPr>
          <w:color w:val="000000"/>
          <w:rtl/>
        </w:rPr>
        <w:t>נוסח מסמך זה כפוף לשינויי ניסוח ועריכה</w:t>
      </w:r>
    </w:p>
    <w:p w14:paraId="030D8D96" w14:textId="77777777" w:rsidR="00AB268F" w:rsidRDefault="00AB268F" w:rsidP="00AB268F">
      <w:pPr>
        <w:rPr>
          <w:rtl/>
        </w:rPr>
      </w:pPr>
    </w:p>
    <w:p w14:paraId="39FD75A8" w14:textId="77777777" w:rsidR="00AB268F" w:rsidRDefault="00AB268F" w:rsidP="00AB268F">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4B97706B" w14:textId="77777777" w:rsidR="00AB268F" w:rsidRPr="00AB268F" w:rsidRDefault="00AB268F" w:rsidP="00AB268F">
      <w:pPr>
        <w:jc w:val="center"/>
        <w:rPr>
          <w:color w:val="0000FF"/>
          <w:u w:val="single"/>
        </w:rPr>
      </w:pPr>
    </w:p>
    <w:sectPr w:rsidR="00AB268F" w:rsidRPr="00AB268F" w:rsidSect="00AB268F">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F9CE3" w14:textId="77777777" w:rsidR="00B96631" w:rsidRDefault="00B96631" w:rsidP="00D2558E">
      <w:r>
        <w:separator/>
      </w:r>
    </w:p>
  </w:endnote>
  <w:endnote w:type="continuationSeparator" w:id="0">
    <w:p w14:paraId="34884ADD" w14:textId="77777777" w:rsidR="00B96631" w:rsidRDefault="00B96631" w:rsidP="00D2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11B15" w14:textId="77777777" w:rsidR="00AB268F" w:rsidRDefault="00AB268F" w:rsidP="00AB26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F8D391" w14:textId="77777777" w:rsidR="005F48D8" w:rsidRPr="00AB268F" w:rsidRDefault="00AB268F" w:rsidP="00AB26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961A9" w14:textId="77777777" w:rsidR="00AB268F" w:rsidRDefault="00AB268F" w:rsidP="00AB26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7D67">
      <w:rPr>
        <w:rFonts w:ascii="FrankRuehl" w:hAnsi="FrankRuehl" w:cs="FrankRuehl"/>
        <w:noProof/>
        <w:rtl/>
      </w:rPr>
      <w:t>1</w:t>
    </w:r>
    <w:r>
      <w:rPr>
        <w:rFonts w:ascii="FrankRuehl" w:hAnsi="FrankRuehl" w:cs="FrankRuehl"/>
        <w:rtl/>
      </w:rPr>
      <w:fldChar w:fldCharType="end"/>
    </w:r>
  </w:p>
  <w:p w14:paraId="708451BB" w14:textId="77777777" w:rsidR="005F48D8" w:rsidRPr="00AB268F" w:rsidRDefault="00AB268F" w:rsidP="00AB26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BE9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9DE7B" w14:textId="77777777" w:rsidR="00B96631" w:rsidRDefault="00B96631" w:rsidP="00D2558E">
      <w:r>
        <w:separator/>
      </w:r>
    </w:p>
  </w:footnote>
  <w:footnote w:type="continuationSeparator" w:id="0">
    <w:p w14:paraId="7BF1D0A8" w14:textId="77777777" w:rsidR="00B96631" w:rsidRDefault="00B96631" w:rsidP="00D25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44460" w14:textId="77777777" w:rsidR="00AB268F" w:rsidRPr="00AB268F" w:rsidRDefault="00AB268F" w:rsidP="00AB26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5188-10-21</w:t>
    </w:r>
    <w:r>
      <w:rPr>
        <w:rFonts w:ascii="David" w:hAnsi="David"/>
        <w:color w:val="000000"/>
        <w:sz w:val="22"/>
        <w:szCs w:val="22"/>
        <w:rtl/>
      </w:rPr>
      <w:tab/>
      <w:t xml:space="preserve"> מדינת ישראל נ' שרון פינחסוב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24D0C" w14:textId="77777777" w:rsidR="00AB268F" w:rsidRPr="00AB268F" w:rsidRDefault="00AB268F" w:rsidP="00AB26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5188-10-21</w:t>
    </w:r>
    <w:r>
      <w:rPr>
        <w:rFonts w:ascii="David" w:hAnsi="David"/>
        <w:color w:val="000000"/>
        <w:sz w:val="22"/>
        <w:szCs w:val="22"/>
        <w:rtl/>
      </w:rPr>
      <w:tab/>
      <w:t xml:space="preserve"> מדינת ישראל נ' שרון פינחסוב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55083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399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63DC"/>
    <w:rsid w:val="001138A5"/>
    <w:rsid w:val="001B5A3B"/>
    <w:rsid w:val="002C7D67"/>
    <w:rsid w:val="002D3078"/>
    <w:rsid w:val="002E50DA"/>
    <w:rsid w:val="002E698A"/>
    <w:rsid w:val="003A2C47"/>
    <w:rsid w:val="00495C42"/>
    <w:rsid w:val="0050477D"/>
    <w:rsid w:val="005952F6"/>
    <w:rsid w:val="005F48D8"/>
    <w:rsid w:val="006476F8"/>
    <w:rsid w:val="00686AB7"/>
    <w:rsid w:val="0074582E"/>
    <w:rsid w:val="008073FE"/>
    <w:rsid w:val="00A41A9B"/>
    <w:rsid w:val="00AB268F"/>
    <w:rsid w:val="00B96631"/>
    <w:rsid w:val="00D2558E"/>
    <w:rsid w:val="00F06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B4F5A"/>
  <w15:chartTrackingRefBased/>
  <w15:docId w15:val="{1E5D5524-5ECC-4939-816F-B154B0D1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63D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63DC"/>
    <w:pPr>
      <w:tabs>
        <w:tab w:val="center" w:pos="4153"/>
        <w:tab w:val="right" w:pos="8306"/>
      </w:tabs>
    </w:pPr>
  </w:style>
  <w:style w:type="character" w:customStyle="1" w:styleId="a4">
    <w:name w:val="כותרת עליונה תו"/>
    <w:link w:val="a3"/>
    <w:rsid w:val="00F063DC"/>
    <w:rPr>
      <w:rFonts w:ascii="Times New Roman" w:eastAsia="Times New Roman" w:hAnsi="Times New Roman" w:cs="David"/>
      <w:sz w:val="24"/>
      <w:szCs w:val="24"/>
    </w:rPr>
  </w:style>
  <w:style w:type="paragraph" w:styleId="a5">
    <w:name w:val="footer"/>
    <w:basedOn w:val="a"/>
    <w:link w:val="a6"/>
    <w:rsid w:val="00F063DC"/>
    <w:pPr>
      <w:tabs>
        <w:tab w:val="center" w:pos="4153"/>
        <w:tab w:val="right" w:pos="8306"/>
      </w:tabs>
    </w:pPr>
  </w:style>
  <w:style w:type="character" w:customStyle="1" w:styleId="a6">
    <w:name w:val="כותרת תחתונה תו"/>
    <w:link w:val="a5"/>
    <w:rsid w:val="00F063DC"/>
    <w:rPr>
      <w:rFonts w:ascii="Times New Roman" w:eastAsia="Times New Roman" w:hAnsi="Times New Roman" w:cs="David"/>
      <w:sz w:val="24"/>
      <w:szCs w:val="24"/>
    </w:rPr>
  </w:style>
  <w:style w:type="table" w:styleId="a7">
    <w:name w:val="Table Grid"/>
    <w:basedOn w:val="a1"/>
    <w:rsid w:val="00F063D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63DC"/>
  </w:style>
  <w:style w:type="character" w:styleId="Hyperlink">
    <w:name w:val="Hyperlink"/>
    <w:rsid w:val="00F063DC"/>
    <w:rPr>
      <w:color w:val="0000FF"/>
      <w:u w:val="single"/>
    </w:rPr>
  </w:style>
  <w:style w:type="paragraph" w:customStyle="1" w:styleId="ruller40-p-p">
    <w:name w:val="ruller40-p-p"/>
    <w:basedOn w:val="a"/>
    <w:rsid w:val="00F063DC"/>
    <w:pPr>
      <w:overflowPunct w:val="0"/>
      <w:bidi w:val="0"/>
      <w:jc w:val="both"/>
    </w:pPr>
    <w:rPr>
      <w:rFonts w:cs="Times New Roman"/>
      <w:sz w:val="20"/>
      <w:szCs w:val="20"/>
    </w:rPr>
  </w:style>
  <w:style w:type="paragraph" w:customStyle="1" w:styleId="ruller50-p-p">
    <w:name w:val="ruller50-p-p"/>
    <w:basedOn w:val="a"/>
    <w:rsid w:val="00F063DC"/>
    <w:pPr>
      <w:overflowPunct w:val="0"/>
      <w:bidi w:val="0"/>
      <w:jc w:val="both"/>
    </w:pPr>
    <w:rPr>
      <w:rFonts w:cs="Times New Roman"/>
      <w:sz w:val="20"/>
      <w:szCs w:val="20"/>
    </w:rPr>
  </w:style>
  <w:style w:type="paragraph" w:customStyle="1" w:styleId="normal-p-p">
    <w:name w:val="normal-p-p"/>
    <w:basedOn w:val="a"/>
    <w:rsid w:val="00F063DC"/>
    <w:pPr>
      <w:bidi w:val="0"/>
      <w:spacing w:before="100" w:beforeAutospacing="1" w:after="100" w:afterAutospacing="1"/>
    </w:pPr>
    <w:rPr>
      <w:rFonts w:cs="Times New Roman"/>
      <w:sz w:val="20"/>
      <w:szCs w:val="20"/>
    </w:rPr>
  </w:style>
  <w:style w:type="paragraph" w:customStyle="1" w:styleId="a00">
    <w:name w:val="a0"/>
    <w:basedOn w:val="a"/>
    <w:rsid w:val="00F063DC"/>
    <w:pPr>
      <w:bidi w:val="0"/>
      <w:spacing w:before="100" w:beforeAutospacing="1" w:after="100" w:afterAutospacing="1"/>
    </w:pPr>
    <w:rPr>
      <w:rFonts w:cs="Times New Roman"/>
    </w:rPr>
  </w:style>
  <w:style w:type="paragraph" w:customStyle="1" w:styleId="2">
    <w:name w:val="2"/>
    <w:basedOn w:val="a"/>
    <w:rsid w:val="00F063DC"/>
    <w:pPr>
      <w:bidi w:val="0"/>
      <w:spacing w:before="100" w:beforeAutospacing="1" w:after="100" w:afterAutospacing="1"/>
    </w:pPr>
    <w:rPr>
      <w:rFonts w:cs="Times New Roman"/>
    </w:rPr>
  </w:style>
  <w:style w:type="paragraph" w:customStyle="1" w:styleId="1">
    <w:name w:val="1"/>
    <w:basedOn w:val="a"/>
    <w:rsid w:val="00F063DC"/>
    <w:pPr>
      <w:bidi w:val="0"/>
      <w:spacing w:before="100" w:beforeAutospacing="1" w:after="100" w:afterAutospacing="1"/>
    </w:pPr>
    <w:rPr>
      <w:rFonts w:cs="Times New Roman"/>
    </w:rPr>
  </w:style>
  <w:style w:type="paragraph" w:customStyle="1" w:styleId="ruller40">
    <w:name w:val="ruller40"/>
    <w:basedOn w:val="a"/>
    <w:rsid w:val="00F063DC"/>
    <w:pPr>
      <w:bidi w:val="0"/>
      <w:spacing w:before="100" w:beforeAutospacing="1" w:after="100" w:afterAutospacing="1"/>
    </w:pPr>
    <w:rPr>
      <w:rFonts w:cs="Times New Roman"/>
    </w:rPr>
  </w:style>
  <w:style w:type="character" w:customStyle="1" w:styleId="normal-h-h">
    <w:name w:val="normal-h-h"/>
    <w:rsid w:val="00F063DC"/>
  </w:style>
  <w:style w:type="character" w:customStyle="1" w:styleId="ruller40-h1-h1">
    <w:name w:val="ruller40-h1-h1"/>
    <w:rsid w:val="00F063DC"/>
    <w:rPr>
      <w:spacing w:val="10"/>
      <w:sz w:val="22"/>
      <w:szCs w:val="22"/>
    </w:rPr>
  </w:style>
  <w:style w:type="character" w:customStyle="1" w:styleId="ruller50-p-h1">
    <w:name w:val="ruller50-p-h1"/>
    <w:rsid w:val="00F063DC"/>
    <w:rPr>
      <w:rFonts w:ascii="Times New Roman" w:hAnsi="Times New Roman" w:cs="Times New Roman" w:hint="default"/>
      <w:sz w:val="20"/>
      <w:szCs w:val="20"/>
    </w:rPr>
  </w:style>
  <w:style w:type="character" w:customStyle="1" w:styleId="ruller50-h1-h1">
    <w:name w:val="ruller50-h1-h1"/>
    <w:rsid w:val="00F063DC"/>
    <w:rPr>
      <w:spacing w:val="10"/>
      <w:sz w:val="22"/>
      <w:szCs w:val="22"/>
    </w:rPr>
  </w:style>
  <w:style w:type="character" w:customStyle="1" w:styleId="hyperlink-h1-h1">
    <w:name w:val="hyperlink-h1-h1"/>
    <w:rsid w:val="00F063DC"/>
    <w:rPr>
      <w:color w:val="0000FF"/>
    </w:rPr>
  </w:style>
  <w:style w:type="paragraph" w:customStyle="1" w:styleId="ListParagraph">
    <w:name w:val="List Paragraph"/>
    <w:basedOn w:val="a"/>
    <w:qFormat/>
    <w:rsid w:val="00F06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e"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40d" TargetMode="External"/><Relationship Id="rId39" Type="http://schemas.openxmlformats.org/officeDocument/2006/relationships/hyperlink" Target="http://www.nevo.co.il/case/26991436"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0881083" TargetMode="External"/><Relationship Id="rId42" Type="http://schemas.openxmlformats.org/officeDocument/2006/relationships/hyperlink" Target="http://www.nevo.co.il/case/27347635" TargetMode="External"/><Relationship Id="rId47" Type="http://schemas.openxmlformats.org/officeDocument/2006/relationships/hyperlink" Target="http://www.nevo.co.il/case/22961877" TargetMode="External"/><Relationship Id="rId50" Type="http://schemas.openxmlformats.org/officeDocument/2006/relationships/hyperlink" Target="http://www.nevo.co.il/case/275738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6797877"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698919" TargetMode="External"/><Relationship Id="rId37" Type="http://schemas.openxmlformats.org/officeDocument/2006/relationships/hyperlink" Target="http://www.nevo.co.il/case/23827604" TargetMode="External"/><Relationship Id="rId40" Type="http://schemas.openxmlformats.org/officeDocument/2006/relationships/hyperlink" Target="http://www.nevo.co.il/case/21644133" TargetMode="External"/><Relationship Id="rId45" Type="http://schemas.openxmlformats.org/officeDocument/2006/relationships/hyperlink" Target="http://www.nevo.co.il/case/28226828" TargetMode="External"/><Relationship Id="rId53" Type="http://schemas.openxmlformats.org/officeDocument/2006/relationships/hyperlink" Target="http://www.nevo.co.il/law/4216"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e" TargetMode="External"/><Relationship Id="rId30" Type="http://schemas.openxmlformats.org/officeDocument/2006/relationships/hyperlink" Target="http://www.nevo.co.il/case/22841413" TargetMode="External"/><Relationship Id="rId35" Type="http://schemas.openxmlformats.org/officeDocument/2006/relationships/hyperlink" Target="http://www.nevo.co.il/case/27536085" TargetMode="External"/><Relationship Id="rId43" Type="http://schemas.openxmlformats.org/officeDocument/2006/relationships/hyperlink" Target="http://www.nevo.co.il/case/28187752" TargetMode="External"/><Relationship Id="rId48" Type="http://schemas.openxmlformats.org/officeDocument/2006/relationships/hyperlink" Target="http://www.nevo.co.il/case/26376566" TargetMode="External"/><Relationship Id="rId56"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hyperlink" Target="http://www.nevo.co.il/case/5764903"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case/23816995" TargetMode="External"/><Relationship Id="rId38" Type="http://schemas.openxmlformats.org/officeDocument/2006/relationships/hyperlink" Target="http://www.nevo.co.il/case/26797877" TargetMode="External"/><Relationship Id="rId46" Type="http://schemas.openxmlformats.org/officeDocument/2006/relationships/hyperlink" Target="http://www.nevo.co.il/case/25202760"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27279049" TargetMode="External"/><Relationship Id="rId54"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26230247" TargetMode="External"/><Relationship Id="rId36" Type="http://schemas.openxmlformats.org/officeDocument/2006/relationships/hyperlink" Target="http://www.nevo.co.il/case/28226828" TargetMode="External"/><Relationship Id="rId49" Type="http://schemas.openxmlformats.org/officeDocument/2006/relationships/hyperlink" Target="http://www.nevo.co.il/case/22695050" TargetMode="External"/><Relationship Id="rId57" Type="http://schemas.openxmlformats.org/officeDocument/2006/relationships/header" Target="header2.xml"/><Relationship Id="rId10" Type="http://schemas.openxmlformats.org/officeDocument/2006/relationships/hyperlink" Target="http://www.nevo.co.il/law/4216/7.c" TargetMode="External"/><Relationship Id="rId31" Type="http://schemas.openxmlformats.org/officeDocument/2006/relationships/hyperlink" Target="http://www.nevo.co.il/case/25277147" TargetMode="External"/><Relationship Id="rId44" Type="http://schemas.openxmlformats.org/officeDocument/2006/relationships/hyperlink" Target="http://www.nevo.co.il/case/27922147" TargetMode="External"/><Relationship Id="rId52" Type="http://schemas.openxmlformats.org/officeDocument/2006/relationships/hyperlink" Target="http://www.nevo.co.il/case/1791471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4108</Words>
  <Characters>20543</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24602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7864368</vt:i4>
      </vt:variant>
      <vt:variant>
        <vt:i4>141</vt:i4>
      </vt:variant>
      <vt:variant>
        <vt:i4>0</vt:i4>
      </vt:variant>
      <vt:variant>
        <vt:i4>5</vt:i4>
      </vt:variant>
      <vt:variant>
        <vt:lpwstr>http://www.eca.gov.il/</vt:lpwstr>
      </vt:variant>
      <vt:variant>
        <vt:lpwstr/>
      </vt:variant>
      <vt:variant>
        <vt:i4>8257637</vt:i4>
      </vt:variant>
      <vt:variant>
        <vt:i4>138</vt:i4>
      </vt:variant>
      <vt:variant>
        <vt:i4>0</vt:i4>
      </vt:variant>
      <vt:variant>
        <vt:i4>5</vt:i4>
      </vt:variant>
      <vt:variant>
        <vt:lpwstr>http://www.nevo.co.il/law/4216</vt:lpwstr>
      </vt:variant>
      <vt:variant>
        <vt:lpwstr/>
      </vt:variant>
      <vt:variant>
        <vt:i4>3997813</vt:i4>
      </vt:variant>
      <vt:variant>
        <vt:i4>135</vt:i4>
      </vt:variant>
      <vt:variant>
        <vt:i4>0</vt:i4>
      </vt:variant>
      <vt:variant>
        <vt:i4>5</vt:i4>
      </vt:variant>
      <vt:variant>
        <vt:lpwstr>http://www.nevo.co.il/case/17914714</vt:lpwstr>
      </vt:variant>
      <vt:variant>
        <vt:lpwstr/>
      </vt:variant>
      <vt:variant>
        <vt:i4>3735671</vt:i4>
      </vt:variant>
      <vt:variant>
        <vt:i4>132</vt:i4>
      </vt:variant>
      <vt:variant>
        <vt:i4>0</vt:i4>
      </vt:variant>
      <vt:variant>
        <vt:i4>5</vt:i4>
      </vt:variant>
      <vt:variant>
        <vt:lpwstr>http://www.nevo.co.il/case/5764903</vt:lpwstr>
      </vt:variant>
      <vt:variant>
        <vt:lpwstr/>
      </vt:variant>
      <vt:variant>
        <vt:i4>3407996</vt:i4>
      </vt:variant>
      <vt:variant>
        <vt:i4>129</vt:i4>
      </vt:variant>
      <vt:variant>
        <vt:i4>0</vt:i4>
      </vt:variant>
      <vt:variant>
        <vt:i4>5</vt:i4>
      </vt:variant>
      <vt:variant>
        <vt:lpwstr>http://www.nevo.co.il/case/27573801</vt:lpwstr>
      </vt:variant>
      <vt:variant>
        <vt:lpwstr/>
      </vt:variant>
      <vt:variant>
        <vt:i4>3407999</vt:i4>
      </vt:variant>
      <vt:variant>
        <vt:i4>126</vt:i4>
      </vt:variant>
      <vt:variant>
        <vt:i4>0</vt:i4>
      </vt:variant>
      <vt:variant>
        <vt:i4>5</vt:i4>
      </vt:variant>
      <vt:variant>
        <vt:lpwstr>http://www.nevo.co.il/case/22695050</vt:lpwstr>
      </vt:variant>
      <vt:variant>
        <vt:lpwstr/>
      </vt:variant>
      <vt:variant>
        <vt:i4>3211376</vt:i4>
      </vt:variant>
      <vt:variant>
        <vt:i4>123</vt:i4>
      </vt:variant>
      <vt:variant>
        <vt:i4>0</vt:i4>
      </vt:variant>
      <vt:variant>
        <vt:i4>5</vt:i4>
      </vt:variant>
      <vt:variant>
        <vt:lpwstr>http://www.nevo.co.il/case/26376566</vt:lpwstr>
      </vt:variant>
      <vt:variant>
        <vt:lpwstr/>
      </vt:variant>
      <vt:variant>
        <vt:i4>3997816</vt:i4>
      </vt:variant>
      <vt:variant>
        <vt:i4>120</vt:i4>
      </vt:variant>
      <vt:variant>
        <vt:i4>0</vt:i4>
      </vt:variant>
      <vt:variant>
        <vt:i4>5</vt:i4>
      </vt:variant>
      <vt:variant>
        <vt:lpwstr>http://www.nevo.co.il/case/22961877</vt:lpwstr>
      </vt:variant>
      <vt:variant>
        <vt:lpwstr/>
      </vt:variant>
      <vt:variant>
        <vt:i4>3407990</vt:i4>
      </vt:variant>
      <vt:variant>
        <vt:i4>117</vt:i4>
      </vt:variant>
      <vt:variant>
        <vt:i4>0</vt:i4>
      </vt:variant>
      <vt:variant>
        <vt:i4>5</vt:i4>
      </vt:variant>
      <vt:variant>
        <vt:lpwstr>http://www.nevo.co.il/case/25202760</vt:lpwstr>
      </vt:variant>
      <vt:variant>
        <vt:lpwstr/>
      </vt:variant>
      <vt:variant>
        <vt:i4>3407990</vt:i4>
      </vt:variant>
      <vt:variant>
        <vt:i4>114</vt:i4>
      </vt:variant>
      <vt:variant>
        <vt:i4>0</vt:i4>
      </vt:variant>
      <vt:variant>
        <vt:i4>5</vt:i4>
      </vt:variant>
      <vt:variant>
        <vt:lpwstr>http://www.nevo.co.il/case/28226828</vt:lpwstr>
      </vt:variant>
      <vt:variant>
        <vt:lpwstr/>
      </vt:variant>
      <vt:variant>
        <vt:i4>3997808</vt:i4>
      </vt:variant>
      <vt:variant>
        <vt:i4>111</vt:i4>
      </vt:variant>
      <vt:variant>
        <vt:i4>0</vt:i4>
      </vt:variant>
      <vt:variant>
        <vt:i4>5</vt:i4>
      </vt:variant>
      <vt:variant>
        <vt:lpwstr>http://www.nevo.co.il/case/27922147</vt:lpwstr>
      </vt:variant>
      <vt:variant>
        <vt:lpwstr/>
      </vt:variant>
      <vt:variant>
        <vt:i4>3211379</vt:i4>
      </vt:variant>
      <vt:variant>
        <vt:i4>108</vt:i4>
      </vt:variant>
      <vt:variant>
        <vt:i4>0</vt:i4>
      </vt:variant>
      <vt:variant>
        <vt:i4>5</vt:i4>
      </vt:variant>
      <vt:variant>
        <vt:lpwstr>http://www.nevo.co.il/case/28187752</vt:lpwstr>
      </vt:variant>
      <vt:variant>
        <vt:lpwstr/>
      </vt:variant>
      <vt:variant>
        <vt:i4>3473521</vt:i4>
      </vt:variant>
      <vt:variant>
        <vt:i4>105</vt:i4>
      </vt:variant>
      <vt:variant>
        <vt:i4>0</vt:i4>
      </vt:variant>
      <vt:variant>
        <vt:i4>5</vt:i4>
      </vt:variant>
      <vt:variant>
        <vt:lpwstr>http://www.nevo.co.il/case/27347635</vt:lpwstr>
      </vt:variant>
      <vt:variant>
        <vt:lpwstr/>
      </vt:variant>
      <vt:variant>
        <vt:i4>3997812</vt:i4>
      </vt:variant>
      <vt:variant>
        <vt:i4>102</vt:i4>
      </vt:variant>
      <vt:variant>
        <vt:i4>0</vt:i4>
      </vt:variant>
      <vt:variant>
        <vt:i4>5</vt:i4>
      </vt:variant>
      <vt:variant>
        <vt:lpwstr>http://www.nevo.co.il/case/27279049</vt:lpwstr>
      </vt:variant>
      <vt:variant>
        <vt:lpwstr/>
      </vt:variant>
      <vt:variant>
        <vt:i4>3342448</vt:i4>
      </vt:variant>
      <vt:variant>
        <vt:i4>99</vt:i4>
      </vt:variant>
      <vt:variant>
        <vt:i4>0</vt:i4>
      </vt:variant>
      <vt:variant>
        <vt:i4>5</vt:i4>
      </vt:variant>
      <vt:variant>
        <vt:lpwstr>http://www.nevo.co.il/case/21644133</vt:lpwstr>
      </vt:variant>
      <vt:variant>
        <vt:lpwstr/>
      </vt:variant>
      <vt:variant>
        <vt:i4>3735679</vt:i4>
      </vt:variant>
      <vt:variant>
        <vt:i4>96</vt:i4>
      </vt:variant>
      <vt:variant>
        <vt:i4>0</vt:i4>
      </vt:variant>
      <vt:variant>
        <vt:i4>5</vt:i4>
      </vt:variant>
      <vt:variant>
        <vt:lpwstr>http://www.nevo.co.il/case/26991436</vt:lpwstr>
      </vt:variant>
      <vt:variant>
        <vt:lpwstr/>
      </vt:variant>
      <vt:variant>
        <vt:i4>3473523</vt:i4>
      </vt:variant>
      <vt:variant>
        <vt:i4>93</vt:i4>
      </vt:variant>
      <vt:variant>
        <vt:i4>0</vt:i4>
      </vt:variant>
      <vt:variant>
        <vt:i4>5</vt:i4>
      </vt:variant>
      <vt:variant>
        <vt:lpwstr>http://www.nevo.co.il/case/26797877</vt:lpwstr>
      </vt:variant>
      <vt:variant>
        <vt:lpwstr/>
      </vt:variant>
      <vt:variant>
        <vt:i4>3997811</vt:i4>
      </vt:variant>
      <vt:variant>
        <vt:i4>90</vt:i4>
      </vt:variant>
      <vt:variant>
        <vt:i4>0</vt:i4>
      </vt:variant>
      <vt:variant>
        <vt:i4>5</vt:i4>
      </vt:variant>
      <vt:variant>
        <vt:lpwstr>http://www.nevo.co.il/case/23827604</vt:lpwstr>
      </vt:variant>
      <vt:variant>
        <vt:lpwstr/>
      </vt:variant>
      <vt:variant>
        <vt:i4>3407990</vt:i4>
      </vt:variant>
      <vt:variant>
        <vt:i4>87</vt:i4>
      </vt:variant>
      <vt:variant>
        <vt:i4>0</vt:i4>
      </vt:variant>
      <vt:variant>
        <vt:i4>5</vt:i4>
      </vt:variant>
      <vt:variant>
        <vt:lpwstr>http://www.nevo.co.il/case/28226828</vt:lpwstr>
      </vt:variant>
      <vt:variant>
        <vt:lpwstr/>
      </vt:variant>
      <vt:variant>
        <vt:i4>3735664</vt:i4>
      </vt:variant>
      <vt:variant>
        <vt:i4>84</vt:i4>
      </vt:variant>
      <vt:variant>
        <vt:i4>0</vt:i4>
      </vt:variant>
      <vt:variant>
        <vt:i4>5</vt:i4>
      </vt:variant>
      <vt:variant>
        <vt:lpwstr>http://www.nevo.co.il/case/27536085</vt:lpwstr>
      </vt:variant>
      <vt:variant>
        <vt:lpwstr/>
      </vt:variant>
      <vt:variant>
        <vt:i4>3342460</vt:i4>
      </vt:variant>
      <vt:variant>
        <vt:i4>81</vt:i4>
      </vt:variant>
      <vt:variant>
        <vt:i4>0</vt:i4>
      </vt:variant>
      <vt:variant>
        <vt:i4>5</vt:i4>
      </vt:variant>
      <vt:variant>
        <vt:lpwstr>http://www.nevo.co.il/case/20881083</vt:lpwstr>
      </vt:variant>
      <vt:variant>
        <vt:lpwstr/>
      </vt:variant>
      <vt:variant>
        <vt:i4>3473535</vt:i4>
      </vt:variant>
      <vt:variant>
        <vt:i4>78</vt:i4>
      </vt:variant>
      <vt:variant>
        <vt:i4>0</vt:i4>
      </vt:variant>
      <vt:variant>
        <vt:i4>5</vt:i4>
      </vt:variant>
      <vt:variant>
        <vt:lpwstr>http://www.nevo.co.il/case/23816995</vt:lpwstr>
      </vt:variant>
      <vt:variant>
        <vt:lpwstr/>
      </vt:variant>
      <vt:variant>
        <vt:i4>3932283</vt:i4>
      </vt:variant>
      <vt:variant>
        <vt:i4>75</vt:i4>
      </vt:variant>
      <vt:variant>
        <vt:i4>0</vt:i4>
      </vt:variant>
      <vt:variant>
        <vt:i4>5</vt:i4>
      </vt:variant>
      <vt:variant>
        <vt:lpwstr>http://www.nevo.co.il/case/5698919</vt:lpwstr>
      </vt:variant>
      <vt:variant>
        <vt:lpwstr/>
      </vt:variant>
      <vt:variant>
        <vt:i4>3342455</vt:i4>
      </vt:variant>
      <vt:variant>
        <vt:i4>72</vt:i4>
      </vt:variant>
      <vt:variant>
        <vt:i4>0</vt:i4>
      </vt:variant>
      <vt:variant>
        <vt:i4>5</vt:i4>
      </vt:variant>
      <vt:variant>
        <vt:lpwstr>http://www.nevo.co.il/case/25277147</vt:lpwstr>
      </vt:variant>
      <vt:variant>
        <vt:lpwstr/>
      </vt:variant>
      <vt:variant>
        <vt:i4>3801206</vt:i4>
      </vt:variant>
      <vt:variant>
        <vt:i4>69</vt:i4>
      </vt:variant>
      <vt:variant>
        <vt:i4>0</vt:i4>
      </vt:variant>
      <vt:variant>
        <vt:i4>5</vt:i4>
      </vt:variant>
      <vt:variant>
        <vt:lpwstr>http://www.nevo.co.il/case/22841413</vt:lpwstr>
      </vt:variant>
      <vt:variant>
        <vt:lpwstr/>
      </vt:variant>
      <vt:variant>
        <vt:i4>3473523</vt:i4>
      </vt:variant>
      <vt:variant>
        <vt:i4>66</vt:i4>
      </vt:variant>
      <vt:variant>
        <vt:i4>0</vt:i4>
      </vt:variant>
      <vt:variant>
        <vt:i4>5</vt:i4>
      </vt:variant>
      <vt:variant>
        <vt:lpwstr>http://www.nevo.co.il/case/26797877</vt:lpwstr>
      </vt:variant>
      <vt:variant>
        <vt:lpwstr/>
      </vt:variant>
      <vt:variant>
        <vt:i4>3407987</vt:i4>
      </vt:variant>
      <vt:variant>
        <vt:i4>63</vt:i4>
      </vt:variant>
      <vt:variant>
        <vt:i4>0</vt:i4>
      </vt:variant>
      <vt:variant>
        <vt:i4>5</vt:i4>
      </vt:variant>
      <vt:variant>
        <vt:lpwstr>http://www.nevo.co.il/case/26230247</vt:lpwstr>
      </vt:variant>
      <vt:variant>
        <vt:lpwstr/>
      </vt:variant>
      <vt:variant>
        <vt:i4>6619233</vt:i4>
      </vt:variant>
      <vt:variant>
        <vt:i4>60</vt:i4>
      </vt:variant>
      <vt:variant>
        <vt:i4>0</vt:i4>
      </vt:variant>
      <vt:variant>
        <vt:i4>5</vt:i4>
      </vt:variant>
      <vt:variant>
        <vt:lpwstr>http://www.nevo.co.il/law/70301/40e</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5188</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שרון פינחסוב</vt:lpwstr>
  </property>
  <property fmtid="{D5CDD505-2E9C-101B-9397-08002B2CF9AE}" pid="10" name="LAWYER">
    <vt:lpwstr>שגיב אמיר;שי לוי</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20220831</vt:lpwstr>
  </property>
  <property fmtid="{D5CDD505-2E9C-101B-9397-08002B2CF9AE}" pid="14" name="TYPE_N_DATE">
    <vt:lpwstr>38020220831</vt:lpwstr>
  </property>
  <property fmtid="{D5CDD505-2E9C-101B-9397-08002B2CF9AE}" pid="15" name="WORDNUMPAGES">
    <vt:lpwstr>12</vt:lpwstr>
  </property>
  <property fmtid="{D5CDD505-2E9C-101B-9397-08002B2CF9AE}" pid="16" name="TYPE_ABS_DATE">
    <vt:lpwstr>380120220831</vt:lpwstr>
  </property>
  <property fmtid="{D5CDD505-2E9C-101B-9397-08002B2CF9AE}" pid="17" name="ISABSTRACT">
    <vt:lpwstr>Y</vt:lpwstr>
  </property>
  <property fmtid="{D5CDD505-2E9C-101B-9397-08002B2CF9AE}" pid="18" name="BOOKLISTTMP1">
    <vt:lpwstr>41316</vt:lpwstr>
  </property>
  <property fmtid="{D5CDD505-2E9C-101B-9397-08002B2CF9AE}" pid="19" name="CASESLISTTMP1">
    <vt:lpwstr>26230247;22841413;25277147;5698919;23816995;20881083;27536085;28226828:2;23827604;26797877;26991436;21644133;27279049;27347635;28187752;27922147;25202760;22961877;26376566;22695050;27573801;5764903;17914714</vt:lpwstr>
  </property>
  <property fmtid="{D5CDD505-2E9C-101B-9397-08002B2CF9AE}" pid="20" name="LAWLISTTMP1">
    <vt:lpwstr>4216/006;007.a;007.c</vt:lpwstr>
  </property>
  <property fmtid="{D5CDD505-2E9C-101B-9397-08002B2CF9AE}" pid="21" name="LAWLISTTMP2">
    <vt:lpwstr>70301/040i;40ja;040d;040e</vt:lpwstr>
  </property>
  <property fmtid="{D5CDD505-2E9C-101B-9397-08002B2CF9AE}" pid="22" name="METAKZER">
    <vt:lpwstr>שירי</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YES</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NOSE1ID">
    <vt:lpwstr>77</vt:lpwstr>
  </property>
  <property fmtid="{D5CDD505-2E9C-101B-9397-08002B2CF9AE}" pid="41" name="NOSE2ID">
    <vt:lpwstr>1446</vt:lpwstr>
  </property>
  <property fmtid="{D5CDD505-2E9C-101B-9397-08002B2CF9AE}" pid="42" name="NOSE3ID">
    <vt:lpwstr>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20220912</vt:lpwstr>
  </property>
</Properties>
</file>