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2"/>
        <w:gridCol w:w="4129"/>
        <w:gridCol w:w="3665"/>
        <w:gridCol w:w="104"/>
      </w:tblGrid>
      <w:tr w:rsidR="00C51CB5" w:rsidRPr="00850F79" w14:paraId="506C3BEB" w14:textId="77777777" w:rsidTr="00C55C14">
        <w:trPr>
          <w:gridAfter w:val="1"/>
          <w:wAfter w:w="99" w:type="dxa"/>
          <w:trHeight w:hRule="exact" w:val="418"/>
          <w:jc w:val="center"/>
        </w:trPr>
        <w:tc>
          <w:tcPr>
            <w:tcW w:w="8721" w:type="dxa"/>
            <w:gridSpan w:val="3"/>
          </w:tcPr>
          <w:p w14:paraId="20DCC487" w14:textId="77777777" w:rsidR="00C51CB5" w:rsidRPr="00850F79" w:rsidRDefault="00C51CB5" w:rsidP="006E11EF">
            <w:pPr>
              <w:pStyle w:val="a3"/>
              <w:jc w:val="center"/>
              <w:rPr>
                <w:rFonts w:ascii="Tahoma" w:hAnsi="Tahoma" w:cs="Tahoma"/>
                <w:color w:val="000080"/>
                <w:rtl/>
              </w:rPr>
            </w:pPr>
            <w:bookmarkStart w:id="0" w:name="LastJudge"/>
            <w:r w:rsidRPr="00850F79">
              <w:rPr>
                <w:rFonts w:ascii="Tahoma" w:hAnsi="Tahoma" w:cs="Tahoma"/>
                <w:b/>
                <w:bCs/>
                <w:color w:val="000080"/>
                <w:rtl/>
              </w:rPr>
              <w:t>בית משפט השלום בראשון לציון</w:t>
            </w:r>
          </w:p>
        </w:tc>
      </w:tr>
      <w:tr w:rsidR="00C51CB5" w:rsidRPr="00850F79" w14:paraId="1C9D325F" w14:textId="77777777" w:rsidTr="00C55C14">
        <w:trPr>
          <w:gridAfter w:val="1"/>
          <w:wAfter w:w="99" w:type="dxa"/>
          <w:trHeight w:val="337"/>
          <w:jc w:val="center"/>
        </w:trPr>
        <w:tc>
          <w:tcPr>
            <w:tcW w:w="5054" w:type="dxa"/>
            <w:gridSpan w:val="2"/>
          </w:tcPr>
          <w:p w14:paraId="63438E25" w14:textId="77777777" w:rsidR="00C51CB5" w:rsidRPr="00850F79" w:rsidRDefault="00C51CB5" w:rsidP="006E11EF">
            <w:pPr>
              <w:rPr>
                <w:rFonts w:cs="FrankRuehl"/>
                <w:sz w:val="28"/>
                <w:szCs w:val="28"/>
                <w:rtl/>
              </w:rPr>
            </w:pPr>
            <w:r w:rsidRPr="00850F79">
              <w:rPr>
                <w:rFonts w:cs="FrankRuehl"/>
                <w:sz w:val="28"/>
                <w:szCs w:val="28"/>
                <w:rtl/>
              </w:rPr>
              <w:t>ת"פ</w:t>
            </w:r>
            <w:r w:rsidRPr="00850F79">
              <w:rPr>
                <w:rFonts w:cs="FrankRuehl" w:hint="cs"/>
                <w:sz w:val="28"/>
                <w:szCs w:val="28"/>
                <w:rtl/>
              </w:rPr>
              <w:t xml:space="preserve"> </w:t>
            </w:r>
            <w:r w:rsidRPr="00850F79">
              <w:rPr>
                <w:rFonts w:cs="FrankRuehl"/>
                <w:sz w:val="28"/>
                <w:szCs w:val="28"/>
                <w:rtl/>
              </w:rPr>
              <w:t>55444-10-21</w:t>
            </w:r>
            <w:r w:rsidRPr="00850F79">
              <w:rPr>
                <w:rFonts w:cs="FrankRuehl" w:hint="cs"/>
                <w:sz w:val="28"/>
                <w:szCs w:val="28"/>
                <w:rtl/>
              </w:rPr>
              <w:t xml:space="preserve"> </w:t>
            </w:r>
            <w:r w:rsidRPr="00850F79">
              <w:rPr>
                <w:rFonts w:cs="FrankRuehl"/>
                <w:sz w:val="28"/>
                <w:szCs w:val="28"/>
                <w:rtl/>
              </w:rPr>
              <w:t>מדינת ישראל נ' ברדה</w:t>
            </w:r>
          </w:p>
          <w:p w14:paraId="31B1113C" w14:textId="77777777" w:rsidR="00C51CB5" w:rsidRPr="00850F79" w:rsidRDefault="00C51CB5" w:rsidP="006E11EF">
            <w:pPr>
              <w:pStyle w:val="a3"/>
              <w:rPr>
                <w:rFonts w:cs="FrankRuehl"/>
                <w:sz w:val="28"/>
                <w:szCs w:val="28"/>
                <w:rtl/>
              </w:rPr>
            </w:pPr>
          </w:p>
        </w:tc>
        <w:tc>
          <w:tcPr>
            <w:tcW w:w="3667" w:type="dxa"/>
          </w:tcPr>
          <w:p w14:paraId="70EF04EF" w14:textId="77777777" w:rsidR="00C51CB5" w:rsidRPr="00850F79" w:rsidRDefault="00C51CB5" w:rsidP="006E11EF">
            <w:pPr>
              <w:pStyle w:val="a3"/>
              <w:jc w:val="right"/>
              <w:rPr>
                <w:rFonts w:cs="FrankRuehl"/>
                <w:sz w:val="28"/>
                <w:szCs w:val="28"/>
                <w:rtl/>
              </w:rPr>
            </w:pPr>
          </w:p>
        </w:tc>
      </w:tr>
      <w:tr w:rsidR="00C51CB5" w:rsidRPr="00850F79" w14:paraId="24069FF1"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A22F91" w14:textId="77777777" w:rsidR="00C51CB5" w:rsidRPr="00850F79" w:rsidRDefault="00C51CB5" w:rsidP="00C51CB5">
            <w:pPr>
              <w:jc w:val="both"/>
              <w:rPr>
                <w:rFonts w:ascii="David" w:hAnsi="David"/>
                <w:sz w:val="26"/>
                <w:szCs w:val="26"/>
              </w:rPr>
            </w:pPr>
            <w:r w:rsidRPr="00850F79">
              <w:rPr>
                <w:rFonts w:hint="cs"/>
                <w:rtl/>
              </w:rPr>
              <w:t xml:space="preserve"> </w:t>
            </w:r>
            <w:r w:rsidRPr="00850F79">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4A07AB56" w14:textId="77777777" w:rsidR="00C51CB5" w:rsidRPr="00850F79" w:rsidRDefault="00C51CB5" w:rsidP="006E11EF">
            <w:pPr>
              <w:rPr>
                <w:rFonts w:ascii="David" w:hAnsi="David"/>
                <w:sz w:val="26"/>
                <w:szCs w:val="26"/>
                <w:rtl/>
              </w:rPr>
            </w:pPr>
            <w:r w:rsidRPr="00850F79">
              <w:rPr>
                <w:rFonts w:ascii="David" w:hAnsi="David"/>
                <w:b/>
                <w:bCs/>
                <w:sz w:val="26"/>
                <w:szCs w:val="26"/>
                <w:rtl/>
              </w:rPr>
              <w:t>כבוד ה</w:t>
            </w:r>
            <w:r w:rsidRPr="00850F79">
              <w:rPr>
                <w:rFonts w:ascii="David" w:hAnsi="David" w:hint="cs"/>
                <w:b/>
                <w:bCs/>
                <w:sz w:val="26"/>
                <w:szCs w:val="26"/>
                <w:rtl/>
              </w:rPr>
              <w:t>שופטת הבכירה,</w:t>
            </w:r>
            <w:r w:rsidRPr="00850F79">
              <w:rPr>
                <w:rFonts w:ascii="David" w:hAnsi="David"/>
                <w:b/>
                <w:bCs/>
                <w:sz w:val="26"/>
                <w:szCs w:val="26"/>
                <w:rtl/>
              </w:rPr>
              <w:t xml:space="preserve"> טל אוסטפלד נאוי</w:t>
            </w:r>
          </w:p>
          <w:p w14:paraId="2344DE08" w14:textId="77777777" w:rsidR="00C51CB5" w:rsidRPr="00850F79" w:rsidRDefault="00C51CB5" w:rsidP="00C51CB5">
            <w:pPr>
              <w:jc w:val="both"/>
              <w:rPr>
                <w:rFonts w:ascii="David" w:hAnsi="David"/>
                <w:sz w:val="26"/>
                <w:szCs w:val="26"/>
              </w:rPr>
            </w:pPr>
          </w:p>
        </w:tc>
      </w:tr>
      <w:tr w:rsidR="00C51CB5" w:rsidRPr="00850F79" w14:paraId="5B63EC03"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329B85" w14:textId="77777777" w:rsidR="00C51CB5" w:rsidRPr="00850F79" w:rsidRDefault="00C51CB5" w:rsidP="00C51CB5">
            <w:pPr>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09851549" w14:textId="77777777" w:rsidR="00C51CB5" w:rsidRPr="00850F79" w:rsidRDefault="00C51CB5" w:rsidP="006E11EF">
            <w:pPr>
              <w:rPr>
                <w:rFonts w:ascii="David" w:hAnsi="David"/>
                <w:sz w:val="26"/>
                <w:szCs w:val="26"/>
                <w:rtl/>
              </w:rPr>
            </w:pPr>
            <w:r w:rsidRPr="00850F79">
              <w:rPr>
                <w:rFonts w:ascii="David" w:hAnsi="David"/>
                <w:sz w:val="26"/>
                <w:szCs w:val="26"/>
                <w:rtl/>
              </w:rPr>
              <w:t>המאשימה</w:t>
            </w:r>
          </w:p>
        </w:tc>
        <w:tc>
          <w:tcPr>
            <w:tcW w:w="3771" w:type="dxa"/>
            <w:gridSpan w:val="2"/>
            <w:tcBorders>
              <w:top w:val="nil"/>
              <w:left w:val="nil"/>
              <w:bottom w:val="nil"/>
              <w:right w:val="nil"/>
            </w:tcBorders>
            <w:shd w:val="clear" w:color="auto" w:fill="auto"/>
          </w:tcPr>
          <w:p w14:paraId="518E4E6F" w14:textId="77777777" w:rsidR="00C51CB5" w:rsidRPr="00850F79" w:rsidRDefault="00C51CB5" w:rsidP="006E11EF">
            <w:pPr>
              <w:rPr>
                <w:rFonts w:ascii="David" w:hAnsi="David"/>
                <w:sz w:val="26"/>
                <w:szCs w:val="26"/>
              </w:rPr>
            </w:pPr>
            <w:r w:rsidRPr="00850F79">
              <w:rPr>
                <w:rFonts w:ascii="David" w:hAnsi="David"/>
                <w:sz w:val="26"/>
                <w:szCs w:val="26"/>
                <w:rtl/>
              </w:rPr>
              <w:t>מדינת ישראל</w:t>
            </w:r>
          </w:p>
        </w:tc>
      </w:tr>
      <w:bookmarkEnd w:id="1"/>
      <w:tr w:rsidR="00C51CB5" w:rsidRPr="00850F79" w14:paraId="5B78889C"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621A50" w14:textId="77777777" w:rsidR="00C51CB5" w:rsidRPr="00850F79" w:rsidRDefault="00C51CB5" w:rsidP="00C51CB5">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5984622" w14:textId="77777777" w:rsidR="00C51CB5" w:rsidRPr="00850F79" w:rsidRDefault="00C51CB5" w:rsidP="00C51CB5">
            <w:pPr>
              <w:jc w:val="center"/>
              <w:rPr>
                <w:rFonts w:ascii="David" w:hAnsi="David"/>
                <w:b/>
                <w:bCs/>
                <w:sz w:val="26"/>
                <w:szCs w:val="26"/>
                <w:rtl/>
              </w:rPr>
            </w:pPr>
          </w:p>
          <w:p w14:paraId="3DC73C60" w14:textId="77777777" w:rsidR="00C51CB5" w:rsidRPr="00850F79" w:rsidRDefault="00C51CB5" w:rsidP="00C51CB5">
            <w:pPr>
              <w:jc w:val="center"/>
              <w:rPr>
                <w:rFonts w:ascii="David" w:hAnsi="David"/>
                <w:b/>
                <w:bCs/>
                <w:sz w:val="26"/>
                <w:szCs w:val="26"/>
                <w:rtl/>
              </w:rPr>
            </w:pPr>
            <w:r w:rsidRPr="00850F79">
              <w:rPr>
                <w:rFonts w:ascii="David" w:hAnsi="David"/>
                <w:b/>
                <w:bCs/>
                <w:sz w:val="26"/>
                <w:szCs w:val="26"/>
                <w:rtl/>
              </w:rPr>
              <w:t>נגד</w:t>
            </w:r>
          </w:p>
          <w:p w14:paraId="1F64074B" w14:textId="77777777" w:rsidR="00C51CB5" w:rsidRPr="00850F79" w:rsidRDefault="00C51CB5" w:rsidP="00C51CB5">
            <w:pPr>
              <w:jc w:val="both"/>
              <w:rPr>
                <w:rFonts w:ascii="David" w:hAnsi="David"/>
                <w:sz w:val="26"/>
                <w:szCs w:val="26"/>
              </w:rPr>
            </w:pPr>
          </w:p>
        </w:tc>
      </w:tr>
      <w:tr w:rsidR="00C51CB5" w:rsidRPr="00850F79" w14:paraId="3C354F2F"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A1DA3A3" w14:textId="77777777" w:rsidR="00C51CB5" w:rsidRPr="00850F79" w:rsidRDefault="00C51CB5" w:rsidP="006E11EF">
            <w:pPr>
              <w:rPr>
                <w:rFonts w:ascii="David" w:hAnsi="David"/>
                <w:sz w:val="26"/>
                <w:szCs w:val="26"/>
                <w:rtl/>
              </w:rPr>
            </w:pPr>
          </w:p>
        </w:tc>
        <w:tc>
          <w:tcPr>
            <w:tcW w:w="4126" w:type="dxa"/>
            <w:tcBorders>
              <w:top w:val="nil"/>
              <w:left w:val="nil"/>
              <w:bottom w:val="nil"/>
              <w:right w:val="nil"/>
            </w:tcBorders>
            <w:shd w:val="clear" w:color="auto" w:fill="auto"/>
          </w:tcPr>
          <w:p w14:paraId="1E1B6B53" w14:textId="77777777" w:rsidR="00C51CB5" w:rsidRPr="00850F79" w:rsidRDefault="00C51CB5" w:rsidP="006E11EF">
            <w:pPr>
              <w:rPr>
                <w:rFonts w:ascii="David" w:hAnsi="David"/>
                <w:sz w:val="26"/>
                <w:szCs w:val="26"/>
                <w:rtl/>
              </w:rPr>
            </w:pPr>
            <w:r w:rsidRPr="00850F79">
              <w:rPr>
                <w:rFonts w:ascii="David" w:hAnsi="David"/>
                <w:sz w:val="26"/>
                <w:szCs w:val="26"/>
                <w:rtl/>
              </w:rPr>
              <w:t>הנאשם</w:t>
            </w:r>
          </w:p>
        </w:tc>
        <w:tc>
          <w:tcPr>
            <w:tcW w:w="3771" w:type="dxa"/>
            <w:gridSpan w:val="2"/>
            <w:tcBorders>
              <w:top w:val="nil"/>
              <w:left w:val="nil"/>
              <w:bottom w:val="nil"/>
              <w:right w:val="nil"/>
            </w:tcBorders>
            <w:shd w:val="clear" w:color="auto" w:fill="auto"/>
          </w:tcPr>
          <w:p w14:paraId="1CF11117" w14:textId="77777777" w:rsidR="00C51CB5" w:rsidRPr="00850F79" w:rsidRDefault="00C51CB5" w:rsidP="006E11EF">
            <w:r w:rsidRPr="00850F79">
              <w:rPr>
                <w:rFonts w:ascii="David" w:hAnsi="David"/>
                <w:sz w:val="26"/>
                <w:szCs w:val="26"/>
                <w:rtl/>
              </w:rPr>
              <w:t>יצחק ברדה</w:t>
            </w:r>
          </w:p>
          <w:p w14:paraId="67297333" w14:textId="77777777" w:rsidR="00C51CB5" w:rsidRPr="00850F79" w:rsidRDefault="00C51CB5" w:rsidP="006E11EF">
            <w:pPr>
              <w:rPr>
                <w:rFonts w:ascii="David" w:hAnsi="David"/>
                <w:sz w:val="26"/>
                <w:szCs w:val="26"/>
              </w:rPr>
            </w:pPr>
          </w:p>
        </w:tc>
      </w:tr>
    </w:tbl>
    <w:p w14:paraId="642B87E0" w14:textId="77777777" w:rsidR="00850F79" w:rsidRPr="00850F79" w:rsidRDefault="00850F79" w:rsidP="00850F79">
      <w:pPr>
        <w:spacing w:before="120" w:after="120" w:line="240" w:lineRule="exact"/>
        <w:ind w:left="283" w:hanging="283"/>
        <w:jc w:val="both"/>
        <w:rPr>
          <w:rFonts w:ascii="FrankRuehl" w:hAnsi="FrankRuehl" w:cs="FrankRuehl"/>
          <w:rtl/>
        </w:rPr>
      </w:pPr>
    </w:p>
    <w:p w14:paraId="7508995A" w14:textId="77777777" w:rsidR="00850F79" w:rsidRPr="00850F79" w:rsidRDefault="00850F79" w:rsidP="00850F79">
      <w:pPr>
        <w:rPr>
          <w:sz w:val="26"/>
          <w:szCs w:val="26"/>
          <w:rtl/>
        </w:rPr>
      </w:pPr>
    </w:p>
    <w:p w14:paraId="65F010FF" w14:textId="77777777" w:rsidR="00C55C14" w:rsidRPr="00C55C14" w:rsidRDefault="00C55C14" w:rsidP="00C55C14">
      <w:pPr>
        <w:spacing w:before="120" w:after="120" w:line="240" w:lineRule="exact"/>
        <w:ind w:left="283" w:hanging="283"/>
        <w:jc w:val="both"/>
        <w:rPr>
          <w:rFonts w:ascii="FrankRuehl" w:hAnsi="FrankRuehl" w:cs="FrankRuehl"/>
          <w:rtl/>
        </w:rPr>
      </w:pPr>
    </w:p>
    <w:p w14:paraId="45C8F7DA" w14:textId="77777777" w:rsidR="007E5EFE" w:rsidRPr="007E5EFE" w:rsidRDefault="007E5EFE" w:rsidP="007E5EFE">
      <w:pPr>
        <w:spacing w:before="120" w:after="120" w:line="240" w:lineRule="exact"/>
        <w:ind w:left="283" w:hanging="283"/>
        <w:jc w:val="both"/>
        <w:rPr>
          <w:rFonts w:ascii="FrankRuehl" w:hAnsi="FrankRuehl" w:cs="FrankRuehl"/>
          <w:rtl/>
        </w:rPr>
      </w:pPr>
    </w:p>
    <w:p w14:paraId="49D951A4" w14:textId="77777777" w:rsidR="00BC373C" w:rsidRDefault="00BC373C" w:rsidP="00BC373C">
      <w:pPr>
        <w:rPr>
          <w:sz w:val="26"/>
          <w:szCs w:val="26"/>
          <w:rtl/>
        </w:rPr>
      </w:pPr>
      <w:bookmarkStart w:id="2" w:name="LawTable"/>
      <w:bookmarkEnd w:id="2"/>
    </w:p>
    <w:p w14:paraId="311DEC8D" w14:textId="77777777" w:rsidR="00BC373C" w:rsidRPr="00BC373C" w:rsidRDefault="00BC373C" w:rsidP="00BC373C">
      <w:pPr>
        <w:spacing w:before="120" w:after="120" w:line="240" w:lineRule="exact"/>
        <w:ind w:left="283" w:hanging="283"/>
        <w:jc w:val="both"/>
        <w:rPr>
          <w:rFonts w:ascii="FrankRuehl" w:hAnsi="FrankRuehl" w:cs="FrankRuehl"/>
          <w:rtl/>
        </w:rPr>
      </w:pPr>
    </w:p>
    <w:p w14:paraId="6408AD3F" w14:textId="77777777" w:rsidR="00BC373C" w:rsidRPr="00BC373C" w:rsidRDefault="00BC373C" w:rsidP="00BC373C">
      <w:pPr>
        <w:spacing w:before="120" w:after="120" w:line="240" w:lineRule="exact"/>
        <w:ind w:left="283" w:hanging="283"/>
        <w:jc w:val="both"/>
        <w:rPr>
          <w:rFonts w:ascii="FrankRuehl" w:hAnsi="FrankRuehl" w:cs="FrankRuehl"/>
          <w:rtl/>
        </w:rPr>
      </w:pPr>
    </w:p>
    <w:p w14:paraId="3BEB236D" w14:textId="77777777" w:rsidR="00BC373C" w:rsidRPr="00BC373C" w:rsidRDefault="00BC373C" w:rsidP="00BC373C">
      <w:pPr>
        <w:spacing w:before="120" w:after="120" w:line="240" w:lineRule="exact"/>
        <w:ind w:left="283" w:hanging="283"/>
        <w:jc w:val="both"/>
        <w:rPr>
          <w:rFonts w:ascii="FrankRuehl" w:hAnsi="FrankRuehl" w:cs="FrankRuehl"/>
          <w:rtl/>
        </w:rPr>
      </w:pPr>
      <w:r w:rsidRPr="00BC373C">
        <w:rPr>
          <w:rFonts w:ascii="FrankRuehl" w:hAnsi="FrankRuehl" w:cs="FrankRuehl"/>
          <w:rtl/>
        </w:rPr>
        <w:t xml:space="preserve">חקיקה שאוזכרה: </w:t>
      </w:r>
    </w:p>
    <w:p w14:paraId="46BAE8C2" w14:textId="77777777" w:rsidR="00BC373C" w:rsidRPr="00BC373C" w:rsidRDefault="00BC373C" w:rsidP="00BC373C">
      <w:pPr>
        <w:spacing w:before="120" w:after="120" w:line="240" w:lineRule="exact"/>
        <w:ind w:left="283" w:hanging="283"/>
        <w:jc w:val="both"/>
        <w:rPr>
          <w:rFonts w:ascii="FrankRuehl" w:hAnsi="FrankRuehl" w:cs="FrankRuehl"/>
          <w:rtl/>
        </w:rPr>
      </w:pPr>
      <w:hyperlink r:id="rId7" w:history="1">
        <w:r w:rsidRPr="00BC373C">
          <w:rPr>
            <w:rFonts w:ascii="FrankRuehl" w:hAnsi="FrankRuehl" w:cs="FrankRuehl"/>
            <w:color w:val="0000FF"/>
            <w:rtl/>
          </w:rPr>
          <w:t>פקודת הסמים המסוכנים [נוסח חדש], תשל"ג-1973</w:t>
        </w:r>
      </w:hyperlink>
      <w:r w:rsidRPr="00BC373C">
        <w:rPr>
          <w:rFonts w:ascii="FrankRuehl" w:hAnsi="FrankRuehl" w:cs="FrankRuehl"/>
          <w:rtl/>
        </w:rPr>
        <w:t xml:space="preserve">: סע'  </w:t>
      </w:r>
      <w:hyperlink r:id="rId8" w:history="1">
        <w:r w:rsidRPr="00BC373C">
          <w:rPr>
            <w:rFonts w:ascii="FrankRuehl" w:hAnsi="FrankRuehl" w:cs="FrankRuehl"/>
            <w:color w:val="0000FF"/>
            <w:rtl/>
          </w:rPr>
          <w:t>7.א.</w:t>
        </w:r>
      </w:hyperlink>
      <w:r w:rsidRPr="00BC373C">
        <w:rPr>
          <w:rFonts w:ascii="FrankRuehl" w:hAnsi="FrankRuehl" w:cs="FrankRuehl"/>
          <w:rtl/>
        </w:rPr>
        <w:t xml:space="preserve">, </w:t>
      </w:r>
      <w:hyperlink r:id="rId9" w:history="1">
        <w:r w:rsidRPr="00BC373C">
          <w:rPr>
            <w:rFonts w:ascii="FrankRuehl" w:hAnsi="FrankRuehl" w:cs="FrankRuehl"/>
            <w:color w:val="0000FF"/>
            <w:rtl/>
          </w:rPr>
          <w:t>7.ג</w:t>
        </w:r>
      </w:hyperlink>
    </w:p>
    <w:p w14:paraId="0B80445B" w14:textId="77777777" w:rsidR="00BC373C" w:rsidRPr="00BC373C" w:rsidRDefault="00BC373C" w:rsidP="00BC373C">
      <w:pPr>
        <w:spacing w:before="120" w:after="120" w:line="240" w:lineRule="exact"/>
        <w:ind w:left="283" w:hanging="283"/>
        <w:jc w:val="both"/>
        <w:rPr>
          <w:rFonts w:ascii="FrankRuehl" w:hAnsi="FrankRuehl" w:cs="FrankRuehl"/>
          <w:rtl/>
        </w:rPr>
      </w:pPr>
      <w:hyperlink r:id="rId10" w:history="1">
        <w:r w:rsidRPr="00BC373C">
          <w:rPr>
            <w:rFonts w:ascii="FrankRuehl" w:hAnsi="FrankRuehl" w:cs="FrankRuehl"/>
            <w:color w:val="0000FF"/>
            <w:rtl/>
          </w:rPr>
          <w:t>חוק העונשין, תשל"ז-1977</w:t>
        </w:r>
      </w:hyperlink>
      <w:r w:rsidRPr="00BC373C">
        <w:rPr>
          <w:rFonts w:ascii="FrankRuehl" w:hAnsi="FrankRuehl" w:cs="FrankRuehl"/>
          <w:rtl/>
        </w:rPr>
        <w:t xml:space="preserve">: סע'  </w:t>
      </w:r>
      <w:hyperlink r:id="rId11" w:history="1">
        <w:r w:rsidRPr="00BC373C">
          <w:rPr>
            <w:rFonts w:ascii="FrankRuehl" w:hAnsi="FrankRuehl" w:cs="FrankRuehl"/>
            <w:color w:val="0000FF"/>
            <w:rtl/>
          </w:rPr>
          <w:t>144(א)</w:t>
        </w:r>
      </w:hyperlink>
    </w:p>
    <w:p w14:paraId="52CAFD6C" w14:textId="77777777" w:rsidR="00BC373C" w:rsidRPr="00BC373C" w:rsidRDefault="00BC373C" w:rsidP="00BC373C">
      <w:pPr>
        <w:rPr>
          <w:sz w:val="26"/>
          <w:szCs w:val="26"/>
          <w:rtl/>
        </w:rPr>
      </w:pPr>
      <w:bookmarkStart w:id="3" w:name="LawTable_End"/>
      <w:bookmarkEnd w:id="3"/>
    </w:p>
    <w:p w14:paraId="5068F213" w14:textId="77777777" w:rsidR="00C51CB5" w:rsidRPr="007E5EFE" w:rsidRDefault="00C51CB5" w:rsidP="007E5EF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1CB5" w14:paraId="4F01CDF8" w14:textId="77777777" w:rsidTr="00C51CB5">
        <w:trPr>
          <w:trHeight w:val="355"/>
          <w:jc w:val="center"/>
        </w:trPr>
        <w:tc>
          <w:tcPr>
            <w:tcW w:w="8820" w:type="dxa"/>
            <w:tcBorders>
              <w:top w:val="nil"/>
              <w:left w:val="nil"/>
              <w:bottom w:val="nil"/>
              <w:right w:val="nil"/>
            </w:tcBorders>
            <w:shd w:val="clear" w:color="auto" w:fill="auto"/>
          </w:tcPr>
          <w:p w14:paraId="651B9492" w14:textId="77777777" w:rsidR="00850F79" w:rsidRPr="00850F79" w:rsidRDefault="00850F79" w:rsidP="00850F79">
            <w:pPr>
              <w:jc w:val="center"/>
              <w:rPr>
                <w:rFonts w:ascii="David" w:hAnsi="David"/>
                <w:b/>
                <w:bCs/>
                <w:sz w:val="32"/>
                <w:szCs w:val="32"/>
                <w:u w:val="single"/>
                <w:rtl/>
              </w:rPr>
            </w:pPr>
            <w:bookmarkStart w:id="4" w:name="PsakDin" w:colFirst="0" w:colLast="0"/>
            <w:bookmarkEnd w:id="0"/>
            <w:r w:rsidRPr="00850F79">
              <w:rPr>
                <w:rFonts w:ascii="David" w:hAnsi="David"/>
                <w:b/>
                <w:bCs/>
                <w:sz w:val="32"/>
                <w:szCs w:val="32"/>
                <w:u w:val="single"/>
                <w:rtl/>
              </w:rPr>
              <w:t>גזר דין</w:t>
            </w:r>
          </w:p>
          <w:p w14:paraId="6E1FA4CA" w14:textId="77777777" w:rsidR="00C51CB5" w:rsidRPr="00850F79" w:rsidRDefault="00C51CB5" w:rsidP="00850F79">
            <w:pPr>
              <w:jc w:val="center"/>
              <w:rPr>
                <w:rFonts w:ascii="David" w:hAnsi="David"/>
                <w:bCs/>
                <w:sz w:val="32"/>
                <w:szCs w:val="32"/>
                <w:u w:val="single"/>
                <w:rtl/>
              </w:rPr>
            </w:pPr>
          </w:p>
        </w:tc>
      </w:tr>
      <w:bookmarkEnd w:id="4"/>
    </w:tbl>
    <w:p w14:paraId="13479536" w14:textId="77777777" w:rsidR="00C51CB5" w:rsidRPr="002B7D23" w:rsidRDefault="00C51CB5" w:rsidP="00C51CB5">
      <w:pPr>
        <w:rPr>
          <w:rFonts w:ascii="David" w:hAnsi="David"/>
          <w:sz w:val="26"/>
          <w:szCs w:val="26"/>
          <w:rtl/>
        </w:rPr>
      </w:pPr>
    </w:p>
    <w:p w14:paraId="3C340498" w14:textId="77777777" w:rsidR="00C51CB5" w:rsidRDefault="00C51CB5" w:rsidP="00C51CB5">
      <w:pPr>
        <w:ind w:firstLine="360"/>
        <w:jc w:val="both"/>
        <w:rPr>
          <w:b/>
          <w:bCs/>
          <w:sz w:val="22"/>
          <w:u w:val="single"/>
        </w:rPr>
      </w:pPr>
      <w:r>
        <w:rPr>
          <w:b/>
          <w:bCs/>
          <w:u w:val="single"/>
          <w:rtl/>
        </w:rPr>
        <w:t>עובדות כתב האישום</w:t>
      </w:r>
    </w:p>
    <w:p w14:paraId="32A11C1A" w14:textId="77777777" w:rsidR="00C51CB5" w:rsidRDefault="00C51CB5" w:rsidP="00C51CB5">
      <w:pPr>
        <w:pStyle w:val="a9"/>
        <w:numPr>
          <w:ilvl w:val="0"/>
          <w:numId w:val="1"/>
        </w:numPr>
        <w:bidi/>
        <w:jc w:val="both"/>
        <w:rPr>
          <w:rtl/>
        </w:rPr>
      </w:pPr>
      <w:bookmarkStart w:id="5" w:name="ABSTRACT_START"/>
      <w:bookmarkEnd w:id="5"/>
      <w:r>
        <w:rPr>
          <w:rtl/>
        </w:rPr>
        <w:t xml:space="preserve">הנאשם הורשע על פי הודאתו, בעובדות כתב אישום מתוקן בביצוע עבירות של </w:t>
      </w:r>
      <w:r>
        <w:rPr>
          <w:b/>
          <w:bCs/>
          <w:rtl/>
        </w:rPr>
        <w:t>החזקה/שימוש בסמים שלא לצריכה עצמית</w:t>
      </w:r>
      <w:r>
        <w:rPr>
          <w:rtl/>
        </w:rPr>
        <w:t xml:space="preserve"> - עבירה לפי </w:t>
      </w:r>
      <w:hyperlink r:id="rId12" w:history="1">
        <w:r w:rsidR="00C55C14" w:rsidRPr="00C55C14">
          <w:rPr>
            <w:rStyle w:val="Hyperlink"/>
            <w:rtl/>
          </w:rPr>
          <w:t>סעיפים 7(א)+7(ג)</w:t>
        </w:r>
      </w:hyperlink>
      <w:r>
        <w:rPr>
          <w:rtl/>
        </w:rPr>
        <w:t xml:space="preserve"> ל</w:t>
      </w:r>
      <w:hyperlink r:id="rId13" w:history="1">
        <w:r w:rsidR="00850F79" w:rsidRPr="00850F79">
          <w:rPr>
            <w:rFonts w:hint="cs"/>
            <w:color w:val="0000FF"/>
            <w:u w:val="single"/>
            <w:rtl/>
          </w:rPr>
          <w:t>פקודת</w:t>
        </w:r>
        <w:r w:rsidR="00850F79" w:rsidRPr="00850F79">
          <w:rPr>
            <w:color w:val="0000FF"/>
            <w:u w:val="single"/>
            <w:rtl/>
          </w:rPr>
          <w:t xml:space="preserve"> </w:t>
        </w:r>
        <w:r w:rsidR="00850F79" w:rsidRPr="00850F79">
          <w:rPr>
            <w:rFonts w:hint="cs"/>
            <w:color w:val="0000FF"/>
            <w:u w:val="single"/>
            <w:rtl/>
          </w:rPr>
          <w:t>הסמים</w:t>
        </w:r>
        <w:r w:rsidR="00850F79" w:rsidRPr="00850F79">
          <w:rPr>
            <w:color w:val="0000FF"/>
            <w:u w:val="single"/>
            <w:rtl/>
          </w:rPr>
          <w:t xml:space="preserve"> </w:t>
        </w:r>
        <w:r w:rsidR="00850F79" w:rsidRPr="00850F79">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r>
        <w:rPr>
          <w:b/>
          <w:bCs/>
          <w:rtl/>
        </w:rPr>
        <w:t xml:space="preserve">ורכישת / החזקת חלק של נשק או תחמושת </w:t>
      </w:r>
      <w:r>
        <w:rPr>
          <w:rtl/>
        </w:rPr>
        <w:t>-</w:t>
      </w:r>
      <w:r>
        <w:rPr>
          <w:b/>
          <w:bCs/>
          <w:rtl/>
        </w:rPr>
        <w:t xml:space="preserve"> </w:t>
      </w:r>
      <w:r>
        <w:rPr>
          <w:rtl/>
        </w:rPr>
        <w:t xml:space="preserve">עבירה לפי </w:t>
      </w:r>
      <w:hyperlink r:id="rId14" w:history="1">
        <w:r w:rsidR="00C55C14" w:rsidRPr="00C55C14">
          <w:rPr>
            <w:rStyle w:val="Hyperlink"/>
            <w:rtl/>
          </w:rPr>
          <w:t>סעיף 144(א)</w:t>
        </w:r>
      </w:hyperlink>
      <w:r>
        <w:rPr>
          <w:rtl/>
        </w:rPr>
        <w:t xml:space="preserve"> סיפא ל</w:t>
      </w:r>
      <w:hyperlink r:id="rId15" w:history="1">
        <w:r w:rsidR="00850F79" w:rsidRPr="00850F79">
          <w:rPr>
            <w:rFonts w:hint="cs"/>
            <w:color w:val="0000FF"/>
            <w:u w:val="single"/>
            <w:rtl/>
          </w:rPr>
          <w:t>חוק</w:t>
        </w:r>
        <w:r w:rsidR="00850F79" w:rsidRPr="00850F79">
          <w:rPr>
            <w:color w:val="0000FF"/>
            <w:u w:val="single"/>
            <w:rtl/>
          </w:rPr>
          <w:t xml:space="preserve"> </w:t>
        </w:r>
        <w:r w:rsidR="00850F79" w:rsidRPr="00850F79">
          <w:rPr>
            <w:rFonts w:hint="cs"/>
            <w:color w:val="0000FF"/>
            <w:u w:val="single"/>
            <w:rtl/>
          </w:rPr>
          <w:t>העונשין</w:t>
        </w:r>
      </w:hyperlink>
      <w:r>
        <w:rPr>
          <w:rtl/>
        </w:rPr>
        <w:t>, התשל"ז-1977 (להלן</w:t>
      </w:r>
      <w:r>
        <w:t>:</w:t>
      </w:r>
      <w:r>
        <w:rPr>
          <w:rtl/>
        </w:rPr>
        <w:t xml:space="preserve"> </w:t>
      </w:r>
      <w:r>
        <w:rPr>
          <w:rFonts w:hint="cs"/>
          <w:b/>
          <w:bCs/>
          <w:rtl/>
        </w:rPr>
        <w:t>"חוק העונשין"</w:t>
      </w:r>
      <w:r>
        <w:rPr>
          <w:rFonts w:hint="cs"/>
          <w:rtl/>
        </w:rPr>
        <w:t xml:space="preserve">). </w:t>
      </w:r>
    </w:p>
    <w:p w14:paraId="69BFE5F6" w14:textId="77777777" w:rsidR="00C51CB5" w:rsidRDefault="00C51CB5" w:rsidP="00C51CB5">
      <w:pPr>
        <w:spacing w:line="360" w:lineRule="auto"/>
        <w:jc w:val="both"/>
        <w:rPr>
          <w:rtl/>
        </w:rPr>
      </w:pPr>
      <w:bookmarkStart w:id="6" w:name="ABSTRACT_END"/>
      <w:bookmarkEnd w:id="6"/>
    </w:p>
    <w:p w14:paraId="01E60A61" w14:textId="77777777" w:rsidR="00C51CB5" w:rsidRDefault="00C51CB5" w:rsidP="00C51CB5">
      <w:pPr>
        <w:pStyle w:val="a9"/>
        <w:numPr>
          <w:ilvl w:val="0"/>
          <w:numId w:val="1"/>
        </w:numPr>
        <w:bidi/>
        <w:jc w:val="both"/>
        <w:rPr>
          <w:rtl/>
        </w:rPr>
      </w:pPr>
      <w:r>
        <w:rPr>
          <w:rtl/>
        </w:rPr>
        <w:t>ביום 1.6.21 בעת שהנאשם שהה בביתו, הגיעו שוטרים במסגרת צו חיפוש. במהלך החיפוש, נמצא בחדר השינה בבית סם מסוכן מסוג קנבוס במשקל כולל של 281.04 גרם ועל גג הבית בתוך אדנית- שתיל של סם מסוכן מסוג קנבוס במשקל כולל של 700 גרם.</w:t>
      </w:r>
    </w:p>
    <w:p w14:paraId="7128CFF3" w14:textId="77777777" w:rsidR="00C51CB5" w:rsidRDefault="00C51CB5" w:rsidP="00C51CB5">
      <w:pPr>
        <w:spacing w:line="360" w:lineRule="auto"/>
        <w:ind w:left="720"/>
        <w:contextualSpacing/>
        <w:jc w:val="both"/>
        <w:rPr>
          <w:rtl/>
        </w:rPr>
      </w:pPr>
      <w:r>
        <w:rPr>
          <w:rtl/>
        </w:rPr>
        <w:lastRenderedPageBreak/>
        <w:t xml:space="preserve">עוד החזיק הנאשם בשידה בביתו, קופסה המכילה 33 כדורי אקדח 9 מ"מ, ושקית המכילה 130 כדורי אקדח. </w:t>
      </w:r>
    </w:p>
    <w:p w14:paraId="45BE9DA2" w14:textId="77777777" w:rsidR="00C51CB5" w:rsidRDefault="00C51CB5" w:rsidP="00C51CB5">
      <w:pPr>
        <w:spacing w:line="360" w:lineRule="auto"/>
        <w:jc w:val="both"/>
        <w:rPr>
          <w:rtl/>
        </w:rPr>
      </w:pPr>
      <w:r>
        <w:rPr>
          <w:rtl/>
        </w:rPr>
        <w:t xml:space="preserve"> </w:t>
      </w:r>
    </w:p>
    <w:p w14:paraId="3CB2201A" w14:textId="77777777" w:rsidR="00C51CB5" w:rsidRDefault="00C51CB5" w:rsidP="00C51CB5">
      <w:pPr>
        <w:spacing w:line="360" w:lineRule="auto"/>
        <w:ind w:firstLine="360"/>
        <w:jc w:val="both"/>
        <w:rPr>
          <w:b/>
          <w:bCs/>
          <w:u w:val="single"/>
          <w:rtl/>
        </w:rPr>
      </w:pPr>
      <w:r>
        <w:rPr>
          <w:b/>
          <w:bCs/>
          <w:u w:val="single"/>
          <w:rtl/>
        </w:rPr>
        <w:t>רישום בפלילים</w:t>
      </w:r>
    </w:p>
    <w:p w14:paraId="18864D87" w14:textId="77777777" w:rsidR="00C51CB5" w:rsidRDefault="00C51CB5" w:rsidP="00C51CB5">
      <w:pPr>
        <w:pStyle w:val="a9"/>
        <w:numPr>
          <w:ilvl w:val="0"/>
          <w:numId w:val="1"/>
        </w:numPr>
        <w:bidi/>
        <w:jc w:val="both"/>
        <w:rPr>
          <w:rtl/>
        </w:rPr>
      </w:pPr>
      <w:r>
        <w:rPr>
          <w:rtl/>
        </w:rPr>
        <w:t>לחובת הנאשם 18 הרשעות בגין ביצוע עבירות של סמים, רכוש ונהיגה. כנגד הנאשם עומד עונש מאסר מותנה לתקופה של שלושה חודשים והתחייבות  בסך 2,500 ₪,  כפי שנגזר עליו ביום 2.10.18 ב</w:t>
      </w:r>
      <w:hyperlink r:id="rId16"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w:t>
      </w:r>
    </w:p>
    <w:p w14:paraId="735903D7" w14:textId="77777777" w:rsidR="00C51CB5" w:rsidRDefault="00C51CB5" w:rsidP="00C51CB5">
      <w:pPr>
        <w:spacing w:line="360" w:lineRule="auto"/>
        <w:jc w:val="both"/>
      </w:pPr>
    </w:p>
    <w:p w14:paraId="38F53A1B" w14:textId="77777777" w:rsidR="00C51CB5" w:rsidRDefault="00C51CB5" w:rsidP="00C51CB5">
      <w:pPr>
        <w:spacing w:line="360" w:lineRule="auto"/>
        <w:ind w:firstLine="360"/>
        <w:jc w:val="both"/>
        <w:rPr>
          <w:b/>
          <w:bCs/>
          <w:u w:val="single"/>
          <w:rtl/>
        </w:rPr>
      </w:pPr>
      <w:r>
        <w:rPr>
          <w:b/>
          <w:bCs/>
          <w:u w:val="single"/>
          <w:rtl/>
        </w:rPr>
        <w:t>הסכמות הצדדים</w:t>
      </w:r>
    </w:p>
    <w:p w14:paraId="32C2DFF9" w14:textId="77777777" w:rsidR="00C51CB5" w:rsidRDefault="00C51CB5" w:rsidP="00C51CB5">
      <w:pPr>
        <w:pStyle w:val="a9"/>
        <w:numPr>
          <w:ilvl w:val="0"/>
          <w:numId w:val="1"/>
        </w:numPr>
        <w:bidi/>
        <w:jc w:val="both"/>
        <w:rPr>
          <w:rtl/>
        </w:rPr>
      </w:pPr>
      <w:r>
        <w:rPr>
          <w:rtl/>
        </w:rPr>
        <w:t xml:space="preserve">הצדדים הסכימו כי שירות המבחן יערוך תסקיר בעניינו של הנאשם. לא גובשו הסכמות עונשיות. </w:t>
      </w:r>
    </w:p>
    <w:p w14:paraId="791715D7" w14:textId="77777777" w:rsidR="00C51CB5" w:rsidRDefault="00C51CB5" w:rsidP="00C51CB5">
      <w:pPr>
        <w:spacing w:line="360" w:lineRule="auto"/>
        <w:ind w:firstLine="720"/>
        <w:jc w:val="both"/>
        <w:rPr>
          <w:rtl/>
        </w:rPr>
      </w:pPr>
      <w:r>
        <w:rPr>
          <w:rtl/>
        </w:rPr>
        <w:t xml:space="preserve">ההגנה ביקשה כי שירות המבחן יבחן את אפשרות הארכת עונש המאסר המותנה. </w:t>
      </w:r>
    </w:p>
    <w:p w14:paraId="05ADD6C4" w14:textId="77777777" w:rsidR="00C51CB5" w:rsidRDefault="00C51CB5" w:rsidP="00C51CB5">
      <w:pPr>
        <w:spacing w:line="360" w:lineRule="auto"/>
        <w:ind w:left="720"/>
        <w:contextualSpacing/>
        <w:jc w:val="both"/>
        <w:rPr>
          <w:rtl/>
        </w:rPr>
      </w:pPr>
      <w:r>
        <w:rPr>
          <w:rtl/>
        </w:rPr>
        <w:t xml:space="preserve">בהמשך, הופנה הנאשם לממונה על עבודות השירות על מנת שתיבחן התאמתו לשאת בעונש מאסר בדרך של עבודות שירות. </w:t>
      </w:r>
    </w:p>
    <w:p w14:paraId="7914C1D7" w14:textId="77777777" w:rsidR="00C51CB5" w:rsidRDefault="00C51CB5" w:rsidP="00C51CB5">
      <w:pPr>
        <w:spacing w:line="360" w:lineRule="auto"/>
        <w:jc w:val="both"/>
        <w:rPr>
          <w:b/>
          <w:bCs/>
          <w:rtl/>
        </w:rPr>
      </w:pPr>
    </w:p>
    <w:p w14:paraId="2C5D4E7E" w14:textId="77777777" w:rsidR="00C51CB5" w:rsidRDefault="00C51CB5" w:rsidP="00C51CB5">
      <w:pPr>
        <w:spacing w:line="360" w:lineRule="auto"/>
        <w:ind w:firstLine="360"/>
        <w:jc w:val="both"/>
        <w:rPr>
          <w:b/>
          <w:bCs/>
          <w:u w:val="single"/>
          <w:rtl/>
        </w:rPr>
      </w:pPr>
      <w:r>
        <w:rPr>
          <w:b/>
          <w:bCs/>
          <w:u w:val="single"/>
          <w:rtl/>
        </w:rPr>
        <w:t xml:space="preserve">הממונה על עבודות השירות </w:t>
      </w:r>
    </w:p>
    <w:p w14:paraId="1298F525" w14:textId="77777777" w:rsidR="00C51CB5" w:rsidRDefault="00C51CB5" w:rsidP="00C51CB5">
      <w:pPr>
        <w:pStyle w:val="a9"/>
        <w:numPr>
          <w:ilvl w:val="0"/>
          <w:numId w:val="1"/>
        </w:numPr>
        <w:bidi/>
        <w:jc w:val="both"/>
        <w:rPr>
          <w:rtl/>
        </w:rPr>
      </w:pPr>
      <w:r>
        <w:rPr>
          <w:rtl/>
        </w:rPr>
        <w:t xml:space="preserve">בחוות הדעת מיום 3.3.24 נמצא הנאשם כשיר לבצע עבודות שירות, במגבלות. </w:t>
      </w:r>
    </w:p>
    <w:p w14:paraId="110136DB" w14:textId="77777777" w:rsidR="00C51CB5" w:rsidRDefault="00C51CB5" w:rsidP="00C51CB5">
      <w:pPr>
        <w:spacing w:line="360" w:lineRule="auto"/>
        <w:jc w:val="both"/>
        <w:rPr>
          <w:b/>
          <w:bCs/>
          <w:rtl/>
        </w:rPr>
      </w:pPr>
    </w:p>
    <w:p w14:paraId="76A21BB0" w14:textId="77777777" w:rsidR="00C51CB5" w:rsidRDefault="00C51CB5" w:rsidP="00C51CB5">
      <w:pPr>
        <w:spacing w:line="360" w:lineRule="auto"/>
        <w:ind w:firstLine="360"/>
        <w:jc w:val="both"/>
        <w:rPr>
          <w:b/>
          <w:bCs/>
          <w:u w:val="single"/>
          <w:rtl/>
        </w:rPr>
      </w:pPr>
      <w:r>
        <w:rPr>
          <w:b/>
          <w:bCs/>
          <w:u w:val="single"/>
          <w:rtl/>
        </w:rPr>
        <w:t xml:space="preserve">תסקירי שירות המבחן </w:t>
      </w:r>
    </w:p>
    <w:p w14:paraId="440D2E9E" w14:textId="77777777" w:rsidR="00C51CB5" w:rsidRDefault="00C51CB5" w:rsidP="00C51CB5">
      <w:pPr>
        <w:spacing w:line="360" w:lineRule="auto"/>
        <w:ind w:firstLine="360"/>
        <w:jc w:val="both"/>
        <w:rPr>
          <w:rtl/>
        </w:rPr>
      </w:pPr>
      <w:r>
        <w:rPr>
          <w:rtl/>
        </w:rPr>
        <w:t xml:space="preserve">בעניינו של הנאשם הוגשו 3 תסקירים מפורטים. </w:t>
      </w:r>
    </w:p>
    <w:p w14:paraId="48C22AA8" w14:textId="77777777" w:rsidR="00C51CB5" w:rsidRDefault="00C51CB5" w:rsidP="00C51CB5">
      <w:pPr>
        <w:pStyle w:val="a9"/>
        <w:numPr>
          <w:ilvl w:val="0"/>
          <w:numId w:val="1"/>
        </w:numPr>
        <w:bidi/>
        <w:jc w:val="both"/>
        <w:rPr>
          <w:rtl/>
        </w:rPr>
      </w:pPr>
      <w:r>
        <w:rPr>
          <w:rtl/>
        </w:rPr>
        <w:t xml:space="preserve">בתסקיר הראשון מיום 13.2.23 סקר שירות המבחן את תולדות חייו של הנאשם, צוין כי מדובר במי שהוא כבן 45, נשוי, אב ל-6 ילדים בגילים 8-21, ומתגורר עם בני משפחתו בראשון לציון. הנאשם עובד במחלקת התברואה בעיריית ראשל"צ, מוכר על ידי המוסד לביטוח לאומי כבעל 100% נכות זמנית על רקע חבלה ביד בעקבות תאונת עבודה במהלך שנת 2017, משנת 2019 מוכר כבעל נכות נפשית בשיעור של 20% לצמיתות ומאובחן כסובל מתגובה דיכאונית ממושכת. </w:t>
      </w:r>
    </w:p>
    <w:p w14:paraId="5BEB3EE7" w14:textId="77777777" w:rsidR="00C51CB5" w:rsidRDefault="00C51CB5" w:rsidP="00C51CB5">
      <w:pPr>
        <w:pStyle w:val="a9"/>
        <w:bidi/>
        <w:jc w:val="both"/>
      </w:pPr>
    </w:p>
    <w:p w14:paraId="6AD915E2" w14:textId="77777777" w:rsidR="00C51CB5" w:rsidRDefault="00C51CB5" w:rsidP="00C51CB5">
      <w:pPr>
        <w:pStyle w:val="a9"/>
        <w:bidi/>
        <w:jc w:val="both"/>
        <w:rPr>
          <w:rtl/>
        </w:rPr>
      </w:pPr>
      <w:r>
        <w:rPr>
          <w:rtl/>
        </w:rPr>
        <w:t xml:space="preserve">הנאשם שיתף כי סבל בילדותו מחוסר יציבות נוכח היעדר מקום מגורים קבוע, כאשר מגיל צעיר חבר לחברה שולית והחל במעורבותו הפלילית. לאורך שנות התבגרותו הועבר בין מוסדות שונים, וגם שם המשיך את מעורבותו הפלילית. </w:t>
      </w:r>
    </w:p>
    <w:p w14:paraId="25296382" w14:textId="77777777" w:rsidR="00C51CB5" w:rsidRDefault="00C51CB5" w:rsidP="00C51CB5">
      <w:pPr>
        <w:pStyle w:val="a9"/>
      </w:pPr>
    </w:p>
    <w:p w14:paraId="3FDB34FD" w14:textId="77777777" w:rsidR="00C51CB5" w:rsidRDefault="00C51CB5" w:rsidP="00C51CB5">
      <w:pPr>
        <w:pStyle w:val="a9"/>
        <w:bidi/>
        <w:jc w:val="both"/>
        <w:rPr>
          <w:rtl/>
        </w:rPr>
      </w:pPr>
      <w:r>
        <w:rPr>
          <w:rtl/>
        </w:rPr>
        <w:t xml:space="preserve">בגיל 19 החל לצרוך סמים מסוג קנבוס וקוקאין, ניהל אורח חיים שולי והתמכרותי לסמים ואף ריצה מספר עונשי מאסר בפועל. </w:t>
      </w:r>
    </w:p>
    <w:p w14:paraId="578CA1AE" w14:textId="77777777" w:rsidR="00C51CB5" w:rsidRDefault="00C51CB5" w:rsidP="00C51CB5">
      <w:pPr>
        <w:spacing w:line="360" w:lineRule="auto"/>
        <w:ind w:left="720"/>
        <w:contextualSpacing/>
        <w:jc w:val="both"/>
        <w:rPr>
          <w:rtl/>
        </w:rPr>
      </w:pPr>
      <w:r>
        <w:rPr>
          <w:rtl/>
        </w:rPr>
        <w:lastRenderedPageBreak/>
        <w:t xml:space="preserve">בגיל 23 ניהל קשר זוגי עם נערה בת 17, ונולד לו בן שעה שריצה עונש מאסר. לאחר שחרורו,  בנו נשאר במשמורתו, אמו סייעה בגידולו, ובתקופה זו ערך מאמצים להימנע ממעורבות בפלילים. </w:t>
      </w:r>
    </w:p>
    <w:p w14:paraId="49236CE6" w14:textId="77777777" w:rsidR="00C51CB5" w:rsidRDefault="00C51CB5" w:rsidP="00C51CB5">
      <w:pPr>
        <w:spacing w:line="360" w:lineRule="auto"/>
        <w:jc w:val="both"/>
        <w:rPr>
          <w:rtl/>
        </w:rPr>
      </w:pPr>
    </w:p>
    <w:p w14:paraId="6F15817A" w14:textId="77777777" w:rsidR="00C51CB5" w:rsidRDefault="00C51CB5" w:rsidP="00C51CB5">
      <w:pPr>
        <w:spacing w:line="360" w:lineRule="auto"/>
        <w:ind w:left="720"/>
        <w:contextualSpacing/>
        <w:jc w:val="both"/>
        <w:rPr>
          <w:rtl/>
        </w:rPr>
      </w:pPr>
      <w:r>
        <w:rPr>
          <w:rtl/>
        </w:rPr>
        <w:t xml:space="preserve">בגיל 28 נישא לאשתו, נולדו להם 5 ילדים, ולפני כתשע שנים נפטרה בתו ממחלת הסרטן, בהיותה בת שלוש. הנאשם תיאר כי סעד את הבת תקופה ממושכת עת היתה מאושפזת, היה דמות דומיננטית בשמירה על תפקוד התא המשפחתי ומותה גרם למשבר עמוק במשפחה. </w:t>
      </w:r>
    </w:p>
    <w:p w14:paraId="271521EE" w14:textId="77777777" w:rsidR="00C51CB5" w:rsidRDefault="00C51CB5" w:rsidP="00C51CB5">
      <w:pPr>
        <w:spacing w:line="360" w:lineRule="auto"/>
        <w:jc w:val="both"/>
        <w:rPr>
          <w:rtl/>
        </w:rPr>
      </w:pPr>
    </w:p>
    <w:p w14:paraId="70C35DA2" w14:textId="77777777" w:rsidR="00C51CB5" w:rsidRDefault="00C51CB5" w:rsidP="00C51CB5">
      <w:pPr>
        <w:spacing w:line="360" w:lineRule="auto"/>
        <w:ind w:left="720"/>
        <w:contextualSpacing/>
        <w:jc w:val="both"/>
        <w:rPr>
          <w:rtl/>
        </w:rPr>
      </w:pPr>
      <w:r>
        <w:rPr>
          <w:rtl/>
        </w:rPr>
        <w:t xml:space="preserve">בשנת 2017 נפגע הנאשם בתאונת עבודה, מאז הוא סובל מכאבים כרוניים ואושר לו השימוש בקנבוס רפואי. מאז פציעתו, חלה התדרדרות במצבו הנפשי כפי שפורט בתסקיר, והומלץ על טיפול נפשי הכולל מעקב פסיכיאטרי, טיפול תרופתי וטיפול קוגניטיבי התנהגותי. </w:t>
      </w:r>
    </w:p>
    <w:p w14:paraId="11EBF635" w14:textId="77777777" w:rsidR="00C51CB5" w:rsidRDefault="00C51CB5" w:rsidP="00C51CB5">
      <w:pPr>
        <w:spacing w:line="360" w:lineRule="auto"/>
        <w:jc w:val="both"/>
        <w:rPr>
          <w:rtl/>
        </w:rPr>
      </w:pPr>
    </w:p>
    <w:p w14:paraId="24510787" w14:textId="77777777" w:rsidR="00C51CB5" w:rsidRDefault="00C51CB5" w:rsidP="00C51CB5">
      <w:pPr>
        <w:spacing w:line="360" w:lineRule="auto"/>
        <w:ind w:left="720"/>
        <w:contextualSpacing/>
        <w:jc w:val="both"/>
        <w:rPr>
          <w:rtl/>
        </w:rPr>
      </w:pPr>
      <w:r>
        <w:rPr>
          <w:rtl/>
        </w:rPr>
        <w:t xml:space="preserve">בהתייחסותו לעבירות בהן הורשע, נטל הנאשם אחריות חלקית על התנהגותו, הסביר כי היה נתון במצב נפשי מורכב וכי הסמים שנתפסו היו לשימושו העצמי בלבד. באשר לכדורי התחמושת שנמצאו בביתו, ציין כי בתו מצאה אותם בטיול שערכה עם חניכיה והחליטה להביאם הביתה. </w:t>
      </w:r>
    </w:p>
    <w:p w14:paraId="539A8954" w14:textId="77777777" w:rsidR="00C51CB5" w:rsidRDefault="00C51CB5" w:rsidP="00C51CB5">
      <w:pPr>
        <w:spacing w:line="360" w:lineRule="auto"/>
        <w:jc w:val="both"/>
        <w:rPr>
          <w:rtl/>
        </w:rPr>
      </w:pPr>
    </w:p>
    <w:p w14:paraId="6A9339B3" w14:textId="77777777" w:rsidR="00C51CB5" w:rsidRDefault="00C51CB5" w:rsidP="00C51CB5">
      <w:pPr>
        <w:spacing w:line="360" w:lineRule="auto"/>
        <w:ind w:left="720"/>
        <w:contextualSpacing/>
        <w:jc w:val="both"/>
        <w:rPr>
          <w:rtl/>
        </w:rPr>
      </w:pPr>
      <w:r>
        <w:rPr>
          <w:rtl/>
        </w:rPr>
        <w:t xml:space="preserve">הנאשם הופנה לבדיקת שתן, בה נמצאו שרידי סם קנבוס בהתאם לאישור שניתן לו ולתרופות שנוטל בשל מצבו הרפואי. </w:t>
      </w:r>
    </w:p>
    <w:p w14:paraId="2D196E3B" w14:textId="77777777" w:rsidR="00C51CB5" w:rsidRDefault="00C51CB5" w:rsidP="00C51CB5">
      <w:pPr>
        <w:spacing w:line="360" w:lineRule="auto"/>
        <w:jc w:val="both"/>
        <w:rPr>
          <w:rtl/>
        </w:rPr>
      </w:pPr>
    </w:p>
    <w:p w14:paraId="43A69DFB" w14:textId="77777777" w:rsidR="00C51CB5" w:rsidRDefault="00C51CB5" w:rsidP="00C51CB5">
      <w:pPr>
        <w:spacing w:line="360" w:lineRule="auto"/>
        <w:ind w:left="720"/>
        <w:contextualSpacing/>
        <w:jc w:val="both"/>
        <w:rPr>
          <w:rtl/>
        </w:rPr>
      </w:pPr>
      <w:r>
        <w:rPr>
          <w:rtl/>
        </w:rPr>
        <w:t xml:space="preserve">שירות המבחן התרשם כי לנאשם קושי בהצבת גבולות פנימיים, סנקציות עונשיות בעבר לא הצליחו לרסן התנהגותו, הוא בעל קווי אישיות אימפולסיביים ועלול להגיב לעיתים באופן בלתי מווסת. מנגד, שקל שירות המבחן את יציבותו התעסוקתית, את רצונו להוות דמות משמעותית לילדיו והיותו אב מוערך ובעל יכולות. </w:t>
      </w:r>
    </w:p>
    <w:p w14:paraId="6A078A23" w14:textId="77777777" w:rsidR="00C51CB5" w:rsidRDefault="00C51CB5" w:rsidP="00C51CB5">
      <w:pPr>
        <w:spacing w:line="360" w:lineRule="auto"/>
        <w:jc w:val="both"/>
        <w:rPr>
          <w:rtl/>
        </w:rPr>
      </w:pPr>
    </w:p>
    <w:p w14:paraId="3E4B4665" w14:textId="77777777" w:rsidR="00C51CB5" w:rsidRDefault="00C51CB5" w:rsidP="00C51CB5">
      <w:pPr>
        <w:spacing w:line="360" w:lineRule="auto"/>
        <w:ind w:left="720"/>
        <w:contextualSpacing/>
        <w:jc w:val="both"/>
        <w:rPr>
          <w:rtl/>
        </w:rPr>
      </w:pPr>
      <w:r>
        <w:rPr>
          <w:rtl/>
        </w:rPr>
        <w:t xml:space="preserve">לאחר שהנאשם הביע נכונות להשתתף בהליך טיפולי, עתר שירות המבחן לדחיית הדיון כדי לעקוב אחר הטיפול הנפשי. </w:t>
      </w:r>
    </w:p>
    <w:p w14:paraId="68D856D2" w14:textId="77777777" w:rsidR="00C51CB5" w:rsidRDefault="00C51CB5" w:rsidP="00C51CB5">
      <w:pPr>
        <w:spacing w:line="360" w:lineRule="auto"/>
        <w:jc w:val="both"/>
        <w:rPr>
          <w:rtl/>
        </w:rPr>
      </w:pPr>
    </w:p>
    <w:p w14:paraId="4E87B717" w14:textId="77777777" w:rsidR="00C51CB5" w:rsidRDefault="00C51CB5" w:rsidP="00C51CB5">
      <w:pPr>
        <w:pStyle w:val="a9"/>
        <w:numPr>
          <w:ilvl w:val="0"/>
          <w:numId w:val="1"/>
        </w:numPr>
        <w:bidi/>
        <w:jc w:val="both"/>
        <w:rPr>
          <w:rtl/>
        </w:rPr>
      </w:pPr>
      <w:r>
        <w:rPr>
          <w:b/>
          <w:bCs/>
          <w:rtl/>
        </w:rPr>
        <w:t>בתסקיר השני</w:t>
      </w:r>
      <w:r>
        <w:rPr>
          <w:rtl/>
        </w:rPr>
        <w:t xml:space="preserve"> מיום 7.8.23 עדכן שירות המבחן כי הנאשם שולב בטיפול נפשי, מטופל תרופתית, וממשיך בקשר עם שירות המבחן. </w:t>
      </w:r>
    </w:p>
    <w:p w14:paraId="4787D069" w14:textId="77777777" w:rsidR="00C51CB5" w:rsidRDefault="00C51CB5" w:rsidP="00C51CB5">
      <w:pPr>
        <w:spacing w:line="360" w:lineRule="auto"/>
        <w:jc w:val="both"/>
        <w:rPr>
          <w:rtl/>
        </w:rPr>
      </w:pPr>
    </w:p>
    <w:p w14:paraId="40532AEE" w14:textId="77777777" w:rsidR="00C51CB5" w:rsidRDefault="00C51CB5" w:rsidP="00C51CB5">
      <w:pPr>
        <w:pStyle w:val="a9"/>
        <w:numPr>
          <w:ilvl w:val="0"/>
          <w:numId w:val="1"/>
        </w:numPr>
        <w:bidi/>
        <w:jc w:val="both"/>
        <w:rPr>
          <w:rtl/>
        </w:rPr>
      </w:pPr>
      <w:r>
        <w:rPr>
          <w:b/>
          <w:bCs/>
          <w:rtl/>
        </w:rPr>
        <w:t>מהתסקיר השלישי</w:t>
      </w:r>
      <w:r>
        <w:rPr>
          <w:rtl/>
        </w:rPr>
        <w:t xml:space="preserve">, מיום 26.12.23 עלה כי הנאשם ממוקד בשמירה על תפקודו התעסוקתי במחלקת התברואה בעירייה, וביציבות התא המשפחתי, שלל בעייתיות בהתנהלותו ונטה לייחס תגובותיו לקשיים רגשיים ונפשיים. הנאשם מסר בדיקת שתן נוספת במסגרתה נמצאו שרידי קנבוס ותרופות התואמות לטיפולים שאושרו לו. </w:t>
      </w:r>
    </w:p>
    <w:p w14:paraId="51A2BDAF" w14:textId="77777777" w:rsidR="00C51CB5" w:rsidRDefault="00C51CB5" w:rsidP="00C51CB5">
      <w:pPr>
        <w:spacing w:line="360" w:lineRule="auto"/>
        <w:jc w:val="both"/>
        <w:rPr>
          <w:rtl/>
        </w:rPr>
      </w:pPr>
    </w:p>
    <w:p w14:paraId="6B53B884" w14:textId="77777777" w:rsidR="00C51CB5" w:rsidRDefault="00C51CB5" w:rsidP="00C51CB5">
      <w:pPr>
        <w:spacing w:line="360" w:lineRule="auto"/>
        <w:ind w:left="720"/>
        <w:contextualSpacing/>
        <w:jc w:val="both"/>
        <w:rPr>
          <w:rtl/>
        </w:rPr>
      </w:pPr>
      <w:r>
        <w:rPr>
          <w:rtl/>
        </w:rPr>
        <w:t xml:space="preserve">שירות המבחן התרשם כי הנאשם בעל כוחות דלים לשינוי, אינו בעל מוטיבציה להסתייע בשירות המבחן ונוכח עמדותיו ומצבו הנפשי המורכב, לא הומלץ לשלבו בהליך טיפולי. </w:t>
      </w:r>
    </w:p>
    <w:p w14:paraId="05DA86E9" w14:textId="77777777" w:rsidR="00C51CB5" w:rsidRDefault="00C51CB5" w:rsidP="00C51CB5">
      <w:pPr>
        <w:spacing w:line="360" w:lineRule="auto"/>
        <w:jc w:val="both"/>
        <w:rPr>
          <w:rtl/>
        </w:rPr>
      </w:pPr>
    </w:p>
    <w:p w14:paraId="2B763BF0" w14:textId="77777777" w:rsidR="00C51CB5" w:rsidRDefault="00C51CB5" w:rsidP="00C51CB5">
      <w:pPr>
        <w:spacing w:line="360" w:lineRule="auto"/>
        <w:ind w:left="720"/>
        <w:contextualSpacing/>
        <w:jc w:val="both"/>
        <w:rPr>
          <w:rtl/>
        </w:rPr>
      </w:pPr>
      <w:r>
        <w:rPr>
          <w:rtl/>
        </w:rPr>
        <w:t xml:space="preserve">באשר לשאלת הארכת עונש המאסר המותנה העומד כנגד הנאשם, שירות המבחן ציין כי כנגד הנאשם לא נפתחו הליכים פליליים נוספים והנאשם הביע נכונות לבצע צו של"צ, אך קיים ספק באשר ליכולתו לבצע צו שכזה. </w:t>
      </w:r>
    </w:p>
    <w:p w14:paraId="71E62EDD" w14:textId="77777777" w:rsidR="00C51CB5" w:rsidRDefault="00C51CB5" w:rsidP="00C51CB5">
      <w:pPr>
        <w:spacing w:line="360" w:lineRule="auto"/>
        <w:jc w:val="both"/>
        <w:rPr>
          <w:rtl/>
        </w:rPr>
      </w:pPr>
    </w:p>
    <w:p w14:paraId="26A0DBD5" w14:textId="77777777" w:rsidR="00C51CB5" w:rsidRDefault="00C51CB5" w:rsidP="00C51CB5">
      <w:pPr>
        <w:spacing w:line="360" w:lineRule="auto"/>
        <w:ind w:firstLine="360"/>
        <w:jc w:val="both"/>
        <w:rPr>
          <w:b/>
          <w:bCs/>
          <w:u w:val="single"/>
          <w:rtl/>
        </w:rPr>
      </w:pPr>
    </w:p>
    <w:p w14:paraId="041E447D" w14:textId="77777777" w:rsidR="00C51CB5" w:rsidRDefault="00C51CB5" w:rsidP="00C51CB5">
      <w:pPr>
        <w:spacing w:line="360" w:lineRule="auto"/>
        <w:ind w:firstLine="360"/>
        <w:jc w:val="both"/>
        <w:rPr>
          <w:b/>
          <w:bCs/>
          <w:u w:val="single"/>
          <w:rtl/>
        </w:rPr>
      </w:pPr>
    </w:p>
    <w:p w14:paraId="1836152D" w14:textId="77777777" w:rsidR="00C51CB5" w:rsidRDefault="00C51CB5" w:rsidP="00C51CB5">
      <w:pPr>
        <w:spacing w:line="360" w:lineRule="auto"/>
        <w:ind w:firstLine="360"/>
        <w:jc w:val="both"/>
        <w:rPr>
          <w:b/>
          <w:bCs/>
          <w:u w:val="single"/>
          <w:rtl/>
        </w:rPr>
      </w:pPr>
      <w:r>
        <w:rPr>
          <w:b/>
          <w:bCs/>
          <w:u w:val="single"/>
          <w:rtl/>
        </w:rPr>
        <w:t xml:space="preserve">ראיות לעונש </w:t>
      </w:r>
    </w:p>
    <w:p w14:paraId="6DD727CD" w14:textId="77777777" w:rsidR="00C51CB5" w:rsidRDefault="00C51CB5" w:rsidP="00C51CB5">
      <w:pPr>
        <w:pStyle w:val="a9"/>
        <w:numPr>
          <w:ilvl w:val="0"/>
          <w:numId w:val="1"/>
        </w:numPr>
        <w:bidi/>
        <w:jc w:val="both"/>
        <w:rPr>
          <w:rtl/>
        </w:rPr>
      </w:pPr>
      <w:r>
        <w:rPr>
          <w:rtl/>
        </w:rPr>
        <w:t xml:space="preserve">במסגרת טיעוניה לעונש, הגישה ההגנה את המסמכים הבאים: </w:t>
      </w:r>
      <w:r>
        <w:rPr>
          <w:b/>
          <w:bCs/>
          <w:rtl/>
        </w:rPr>
        <w:t>נ/1</w:t>
      </w:r>
      <w:r>
        <w:rPr>
          <w:rtl/>
        </w:rPr>
        <w:t xml:space="preserve">- רישיון להחזקה ושימוש בסם קנבוס; </w:t>
      </w:r>
      <w:r>
        <w:rPr>
          <w:b/>
          <w:bCs/>
          <w:rtl/>
        </w:rPr>
        <w:t>נ/2</w:t>
      </w:r>
      <w:r>
        <w:rPr>
          <w:rtl/>
        </w:rPr>
        <w:t xml:space="preserve">- אישור מטעם הביטוח הלאומי, בו הוכרה פגיעתו של הנאשם כתאונת עבודה; </w:t>
      </w:r>
      <w:r>
        <w:rPr>
          <w:b/>
          <w:bCs/>
          <w:rtl/>
        </w:rPr>
        <w:t>נ/3</w:t>
      </w:r>
      <w:r>
        <w:rPr>
          <w:rtl/>
        </w:rPr>
        <w:t xml:space="preserve">- דו"ח רפואי, מיום 19.12.21 שהוגש על ידי פרופ' יצחיאק, ממנו עלה כי הנאשם סובל מגבלה ניכרת בתנועות עמוד השדרה הצווארי; </w:t>
      </w:r>
      <w:r>
        <w:rPr>
          <w:b/>
          <w:bCs/>
          <w:rtl/>
        </w:rPr>
        <w:t>נ/4</w:t>
      </w:r>
      <w:r>
        <w:rPr>
          <w:rtl/>
        </w:rPr>
        <w:t xml:space="preserve">- סיכום רפואי בעניינו של הנאשם; </w:t>
      </w:r>
      <w:r>
        <w:rPr>
          <w:b/>
          <w:bCs/>
          <w:rtl/>
        </w:rPr>
        <w:t>נ/5</w:t>
      </w:r>
      <w:r>
        <w:rPr>
          <w:rtl/>
        </w:rPr>
        <w:t xml:space="preserve">- זימון למרכז לבריאות הנפש; לאחר שמיעת טיעוני הצדדים לעונש, הוגש אישור רפואי מד"ר ליאוניד גורודצקי- מטפל בתחום הנפש, ממנו עולה כי לנאשם סימני הפרעת דיכאון עם מרכיב חרדתי בולט; </w:t>
      </w:r>
    </w:p>
    <w:p w14:paraId="721ED61C" w14:textId="77777777" w:rsidR="00C51CB5" w:rsidRDefault="00C51CB5" w:rsidP="00C51CB5">
      <w:pPr>
        <w:spacing w:line="360" w:lineRule="auto"/>
        <w:jc w:val="both"/>
        <w:rPr>
          <w:rtl/>
        </w:rPr>
      </w:pPr>
    </w:p>
    <w:p w14:paraId="2408ED14" w14:textId="77777777" w:rsidR="00C51CB5" w:rsidRDefault="00C51CB5" w:rsidP="00C51CB5">
      <w:pPr>
        <w:spacing w:line="360" w:lineRule="auto"/>
        <w:ind w:firstLine="360"/>
        <w:jc w:val="both"/>
        <w:rPr>
          <w:b/>
          <w:bCs/>
          <w:u w:val="single"/>
          <w:rtl/>
        </w:rPr>
      </w:pPr>
      <w:r>
        <w:rPr>
          <w:b/>
          <w:bCs/>
          <w:u w:val="single"/>
          <w:rtl/>
        </w:rPr>
        <w:t>טיעוני הצדדים לעונש</w:t>
      </w:r>
    </w:p>
    <w:p w14:paraId="057BEA51" w14:textId="77777777" w:rsidR="00C51CB5" w:rsidRDefault="00C51CB5" w:rsidP="00C51CB5">
      <w:pPr>
        <w:pStyle w:val="a9"/>
        <w:numPr>
          <w:ilvl w:val="0"/>
          <w:numId w:val="1"/>
        </w:numPr>
        <w:bidi/>
        <w:jc w:val="both"/>
        <w:rPr>
          <w:rtl/>
        </w:rPr>
      </w:pPr>
      <w:r>
        <w:rPr>
          <w:rtl/>
        </w:rPr>
        <w:t xml:space="preserve">בטיעוניה עמדה המאשימה על הערכים המוגנים שנפגעו בעקבות השימוש בסמים ועל פוטנציאלי הנזק שבהחזקת הנשק עד להרג. </w:t>
      </w:r>
    </w:p>
    <w:p w14:paraId="7DD8D4ED" w14:textId="77777777" w:rsidR="00C51CB5" w:rsidRDefault="00C51CB5" w:rsidP="00C51CB5">
      <w:pPr>
        <w:spacing w:line="360" w:lineRule="auto"/>
        <w:ind w:left="720"/>
        <w:contextualSpacing/>
        <w:jc w:val="both"/>
        <w:rPr>
          <w:rtl/>
        </w:rPr>
      </w:pPr>
      <w:r>
        <w:rPr>
          <w:rtl/>
        </w:rPr>
        <w:t xml:space="preserve">המאשימה חזרה וציינה כי הנאשם החזיק כמות סמים הגבוהה פי 65 מהכמות המצוינת בחוק כחזקה לשימוש עצמי, כאשר יש לתת את הדעת לכך שהנאשם מעורב באופן עמוק ומשמעותי בעולם העברייני. </w:t>
      </w:r>
    </w:p>
    <w:p w14:paraId="026D8E73" w14:textId="77777777" w:rsidR="00C51CB5" w:rsidRDefault="00C51CB5" w:rsidP="00C51CB5">
      <w:pPr>
        <w:spacing w:line="360" w:lineRule="auto"/>
        <w:jc w:val="both"/>
        <w:rPr>
          <w:rtl/>
        </w:rPr>
      </w:pPr>
    </w:p>
    <w:p w14:paraId="3FFE791D" w14:textId="77777777" w:rsidR="00C51CB5" w:rsidRDefault="00C51CB5" w:rsidP="00C51CB5">
      <w:pPr>
        <w:spacing w:line="360" w:lineRule="auto"/>
        <w:ind w:left="720"/>
        <w:contextualSpacing/>
        <w:jc w:val="both"/>
        <w:rPr>
          <w:rtl/>
        </w:rPr>
      </w:pPr>
      <w:r>
        <w:rPr>
          <w:rtl/>
        </w:rPr>
        <w:t xml:space="preserve">המאשימה הפנתה לפסיקה ועתרה לקבוע את מתחם הענישה בין 8 חודשי מאסר ל-18 חודשים. </w:t>
      </w:r>
    </w:p>
    <w:p w14:paraId="2079353E" w14:textId="77777777" w:rsidR="00C51CB5" w:rsidRDefault="00C51CB5" w:rsidP="00C51CB5">
      <w:pPr>
        <w:spacing w:line="360" w:lineRule="auto"/>
        <w:ind w:left="720"/>
        <w:contextualSpacing/>
        <w:jc w:val="both"/>
        <w:rPr>
          <w:rtl/>
        </w:rPr>
      </w:pPr>
      <w:r>
        <w:rPr>
          <w:rtl/>
        </w:rPr>
        <w:t xml:space="preserve">בהתייחסות לנסיבות הנאשם עצמו, הפנתה המאשימה להמלצת שירות המבחן לצו של"צ, המלצה המנותקת מהאמור בתסקיר עצמו ונעדרת ביסוס, הדגישה את עברו הפלילי, עונשי המאסר שריצה ועונש המאסר המותנה העומד כנגדו ועתרה לגזור על הנאשם 9 חודשי עבודות שירות הכוללים את הפעלת המאסר המותנה, הפעלת ההתחייבות, פסילת רישיון הנהיגה בפועל ועל תנאי, לצד קנס, מאסר על תנאי והתחייבות. </w:t>
      </w:r>
    </w:p>
    <w:p w14:paraId="64FC3E9F" w14:textId="77777777" w:rsidR="00C51CB5" w:rsidRDefault="00C51CB5" w:rsidP="00C51CB5">
      <w:pPr>
        <w:spacing w:line="360" w:lineRule="auto"/>
        <w:jc w:val="both"/>
        <w:rPr>
          <w:u w:val="single"/>
          <w:rtl/>
        </w:rPr>
      </w:pPr>
    </w:p>
    <w:p w14:paraId="3BFB5552" w14:textId="77777777" w:rsidR="00C51CB5" w:rsidRDefault="00C51CB5" w:rsidP="00C51CB5">
      <w:pPr>
        <w:pStyle w:val="a9"/>
        <w:numPr>
          <w:ilvl w:val="0"/>
          <w:numId w:val="1"/>
        </w:numPr>
        <w:bidi/>
        <w:jc w:val="both"/>
        <w:rPr>
          <w:rtl/>
        </w:rPr>
      </w:pPr>
      <w:r>
        <w:rPr>
          <w:rtl/>
        </w:rPr>
        <w:t xml:space="preserve">ההגנה טענה כי מדובר בעבירות שבוצעו לפני כארבע שנים, הנאשם לא גידל את הסמים, מאז לא היה מעורב בפלילים, ועל כן עתרה לאמץ המלצת שירות המבחן ולהאריך את עונש המאסר המותנה העומד כנגד הנאשם. </w:t>
      </w:r>
    </w:p>
    <w:p w14:paraId="3404F26C" w14:textId="77777777" w:rsidR="00C51CB5" w:rsidRDefault="00C51CB5" w:rsidP="00C51CB5">
      <w:pPr>
        <w:spacing w:line="360" w:lineRule="auto"/>
        <w:ind w:left="720"/>
        <w:contextualSpacing/>
        <w:jc w:val="both"/>
        <w:rPr>
          <w:rtl/>
        </w:rPr>
      </w:pPr>
      <w:r>
        <w:rPr>
          <w:rtl/>
        </w:rPr>
        <w:t xml:space="preserve">באשר לנסיבותיו האישיות של הנאשם, ציין הסנגור כי הנאשם מוכר כנכה נפשית בשיעור של 20%, ובשיעור של 37% נכות פיזית. תאונת העבודה בה נפגע הנאשם שינתה את חייו, הוא איבד את בתו וחרף מצבו הנפשי והגופני - הוא עובד באופן יציב. </w:t>
      </w:r>
    </w:p>
    <w:p w14:paraId="3CD4E596" w14:textId="77777777" w:rsidR="00C51CB5" w:rsidRDefault="00C51CB5" w:rsidP="00C51CB5">
      <w:pPr>
        <w:spacing w:line="360" w:lineRule="auto"/>
        <w:jc w:val="both"/>
        <w:rPr>
          <w:rtl/>
        </w:rPr>
      </w:pPr>
    </w:p>
    <w:p w14:paraId="4E7888DA" w14:textId="77777777" w:rsidR="00C51CB5" w:rsidRDefault="00C51CB5" w:rsidP="00C51CB5">
      <w:pPr>
        <w:spacing w:line="360" w:lineRule="auto"/>
        <w:ind w:left="720"/>
        <w:contextualSpacing/>
        <w:jc w:val="both"/>
        <w:rPr>
          <w:rtl/>
        </w:rPr>
      </w:pPr>
      <w:r>
        <w:rPr>
          <w:rtl/>
        </w:rPr>
        <w:t xml:space="preserve">הסנגור הוסיף כי הנאשם נטל אחריות למעשיו, כיום הוא מטופל על ידי פסיכיאטר באופן פרטי, שיקם את חייו והראיה לכך היא כי לא מעורב בפלילים מאז העבירות הנדונות. על כן, סברה ההגנה כי יהיה די בצו המבחן וצו של"צ כדי להרתיע את הנאשם ולהבטיח את טיפולו. </w:t>
      </w:r>
    </w:p>
    <w:p w14:paraId="0126F97A" w14:textId="77777777" w:rsidR="00C51CB5" w:rsidRDefault="00C51CB5" w:rsidP="00C51CB5">
      <w:pPr>
        <w:spacing w:line="360" w:lineRule="auto"/>
        <w:ind w:left="720"/>
        <w:contextualSpacing/>
        <w:jc w:val="both"/>
        <w:rPr>
          <w:rtl/>
        </w:rPr>
      </w:pPr>
      <w:r>
        <w:rPr>
          <w:rtl/>
        </w:rPr>
        <w:t xml:space="preserve">לחילופין, עתרה ההגנה להסתפק בעונש מאסר בדרך של עבודות שירות, לתקופה של חודשים ספורים בלבד. </w:t>
      </w:r>
    </w:p>
    <w:p w14:paraId="4F3D6E79" w14:textId="77777777" w:rsidR="00C51CB5" w:rsidRDefault="00C51CB5" w:rsidP="00C51CB5">
      <w:pPr>
        <w:spacing w:line="360" w:lineRule="auto"/>
        <w:jc w:val="both"/>
        <w:rPr>
          <w:rtl/>
        </w:rPr>
      </w:pPr>
    </w:p>
    <w:p w14:paraId="02C3F7CC" w14:textId="77777777" w:rsidR="00C51CB5" w:rsidRDefault="00C51CB5" w:rsidP="00C51CB5">
      <w:pPr>
        <w:pStyle w:val="a9"/>
        <w:numPr>
          <w:ilvl w:val="0"/>
          <w:numId w:val="1"/>
        </w:numPr>
        <w:bidi/>
        <w:jc w:val="both"/>
        <w:rPr>
          <w:rtl/>
        </w:rPr>
      </w:pPr>
      <w:r>
        <w:rPr>
          <w:rtl/>
        </w:rPr>
        <w:t>הנאשם בדבריו לעונש עמד על מורכבות ילדותו, הסביר כי החל תהליך התבגרותו רק בגיל 40, והבהיר כי הוא פועל לחינוך ילדיו, דואג להרחיקם מעולם העבריינות וביקש לאפשר לו להמשיך לעבוד ולשקם את חייו.</w:t>
      </w:r>
    </w:p>
    <w:p w14:paraId="3305F1E6" w14:textId="77777777" w:rsidR="00C51CB5" w:rsidRDefault="00C51CB5" w:rsidP="00C51CB5">
      <w:pPr>
        <w:spacing w:line="360" w:lineRule="auto"/>
        <w:jc w:val="both"/>
        <w:rPr>
          <w:rtl/>
        </w:rPr>
      </w:pPr>
    </w:p>
    <w:p w14:paraId="061DE585" w14:textId="77777777" w:rsidR="00C51CB5" w:rsidRDefault="00C51CB5" w:rsidP="00C51CB5">
      <w:pPr>
        <w:spacing w:line="360" w:lineRule="auto"/>
        <w:ind w:firstLine="360"/>
        <w:jc w:val="both"/>
        <w:rPr>
          <w:b/>
          <w:bCs/>
          <w:u w:val="single"/>
          <w:rtl/>
        </w:rPr>
      </w:pPr>
      <w:r>
        <w:rPr>
          <w:b/>
          <w:bCs/>
          <w:u w:val="single"/>
          <w:rtl/>
        </w:rPr>
        <w:t>דיון והכרעה</w:t>
      </w:r>
    </w:p>
    <w:p w14:paraId="43FAC515" w14:textId="77777777" w:rsidR="00C51CB5" w:rsidRDefault="00C51CB5" w:rsidP="00C51CB5">
      <w:pPr>
        <w:pStyle w:val="a9"/>
        <w:numPr>
          <w:ilvl w:val="0"/>
          <w:numId w:val="1"/>
        </w:numPr>
        <w:bidi/>
        <w:jc w:val="both"/>
        <w:rPr>
          <w:b/>
          <w:bCs/>
          <w:rtl/>
        </w:rPr>
      </w:pPr>
      <w:r>
        <w:rPr>
          <w:rtl/>
        </w:rPr>
        <w:t xml:space="preserve">הערכים המוגנים שנפגעו כתוצאה מביצוע עבירת צריכת הסמים, עניינם בהגנה על שלום הציבור ובריאותו, מפני הנזקים החברתיים הישירים והעקיפים הנגרמים בעקבות השימוש בסמים, כמו גם שמירה על שלומם ובריאותם של צרכני הסמים. </w:t>
      </w:r>
    </w:p>
    <w:p w14:paraId="06677F17" w14:textId="77777777" w:rsidR="00C51CB5" w:rsidRDefault="00C51CB5" w:rsidP="00C51CB5">
      <w:pPr>
        <w:pStyle w:val="a9"/>
        <w:bidi/>
        <w:jc w:val="both"/>
        <w:rPr>
          <w:rFonts w:ascii="David" w:hAnsi="David"/>
          <w:color w:val="000000"/>
          <w:sz w:val="24"/>
        </w:rPr>
      </w:pPr>
    </w:p>
    <w:p w14:paraId="4B833B45" w14:textId="77777777" w:rsidR="00C51CB5" w:rsidRDefault="00C51CB5" w:rsidP="00C51CB5">
      <w:pPr>
        <w:pStyle w:val="a9"/>
        <w:bidi/>
        <w:jc w:val="both"/>
        <w:rPr>
          <w:rFonts w:ascii="David" w:hAnsi="David"/>
          <w:color w:val="000000"/>
          <w:sz w:val="24"/>
          <w:rtl/>
        </w:rPr>
      </w:pPr>
      <w:r>
        <w:rPr>
          <w:rFonts w:ascii="David" w:hAnsi="David"/>
          <w:color w:val="000000"/>
          <w:sz w:val="24"/>
          <w:rtl/>
        </w:rPr>
        <w:t xml:space="preserve">בית משפט העליון עמד פעמים רבות על החומרה הגלומה בעבירות סמים וציין כי </w:t>
      </w:r>
      <w:r>
        <w:rPr>
          <w:rFonts w:ascii="David" w:hAnsi="David"/>
          <w:b/>
          <w:bCs/>
          <w:color w:val="000000"/>
          <w:sz w:val="24"/>
          <w:rtl/>
        </w:rPr>
        <w:t>"יסודה בפגיעה הישירה בצרכני הסמים ובסכנה העקיפה הנגרמת לציבור בכללותו....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b/>
          <w:bCs/>
          <w:color w:val="000000"/>
          <w:sz w:val="24"/>
        </w:rPr>
        <w:t>"</w:t>
      </w:r>
      <w:r w:rsidR="00850F79">
        <w:rPr>
          <w:rFonts w:ascii="David" w:hAnsi="David"/>
          <w:b/>
          <w:bCs/>
          <w:color w:val="000000"/>
          <w:sz w:val="24"/>
        </w:rPr>
        <w:t xml:space="preserve"> </w:t>
      </w:r>
      <w:r>
        <w:rPr>
          <w:rFonts w:ascii="David" w:hAnsi="David"/>
          <w:b/>
          <w:bCs/>
          <w:color w:val="000000"/>
          <w:sz w:val="24"/>
          <w:rtl/>
        </w:rPr>
        <w:t>סם קל" ודינו שונה מדינם של סמים אחרים נעדרת אחיזה בדין, ואין בה כדי לבטל את החזקה הקבועה בפקודה"</w:t>
      </w:r>
      <w:r w:rsidR="00850F79">
        <w:rPr>
          <w:rFonts w:ascii="David" w:hAnsi="David"/>
          <w:color w:val="000000"/>
          <w:sz w:val="24"/>
          <w:rtl/>
        </w:rPr>
        <w:t xml:space="preserve"> </w:t>
      </w:r>
      <w:r>
        <w:rPr>
          <w:rFonts w:ascii="David" w:hAnsi="David"/>
          <w:color w:val="000000"/>
          <w:sz w:val="24"/>
          <w:rtl/>
        </w:rPr>
        <w:t xml:space="preserve">(ר' את </w:t>
      </w:r>
      <w:hyperlink r:id="rId17" w:history="1">
        <w:r w:rsidR="00850F79" w:rsidRPr="00850F79">
          <w:rPr>
            <w:rFonts w:ascii="David" w:hAnsi="David"/>
            <w:color w:val="0000FF"/>
            <w:sz w:val="24"/>
            <w:u w:val="single"/>
            <w:rtl/>
          </w:rPr>
          <w:t>רע"פ 1267/23</w:t>
        </w:r>
      </w:hyperlink>
      <w:r>
        <w:rPr>
          <w:rFonts w:ascii="David" w:hAnsi="David"/>
          <w:color w:val="000000"/>
          <w:sz w:val="24"/>
          <w:rtl/>
        </w:rPr>
        <w:t xml:space="preserve"> </w:t>
      </w:r>
      <w:r>
        <w:rPr>
          <w:rFonts w:ascii="David" w:hAnsi="David"/>
          <w:b/>
          <w:bCs/>
          <w:color w:val="000000"/>
          <w:sz w:val="24"/>
          <w:rtl/>
        </w:rPr>
        <w:t>בלקר נ' מ"י</w:t>
      </w:r>
      <w:r>
        <w:rPr>
          <w:rFonts w:ascii="David" w:hAnsi="David"/>
          <w:color w:val="000000"/>
          <w:sz w:val="24"/>
          <w:rtl/>
        </w:rPr>
        <w:t xml:space="preserve"> (6.3.23) וההפניות הנזכרות שם). </w:t>
      </w:r>
    </w:p>
    <w:p w14:paraId="04859C76" w14:textId="77777777" w:rsidR="00C51CB5" w:rsidRDefault="00C51CB5" w:rsidP="00C51CB5">
      <w:pPr>
        <w:pStyle w:val="a9"/>
        <w:bidi/>
        <w:jc w:val="both"/>
        <w:rPr>
          <w:b/>
          <w:bCs/>
          <w:rtl/>
        </w:rPr>
      </w:pPr>
    </w:p>
    <w:p w14:paraId="14D01EE8" w14:textId="77777777" w:rsidR="00C51CB5" w:rsidRDefault="00C51CB5" w:rsidP="00C51CB5">
      <w:pPr>
        <w:pStyle w:val="a9"/>
        <w:numPr>
          <w:ilvl w:val="0"/>
          <w:numId w:val="1"/>
        </w:numPr>
        <w:bidi/>
        <w:jc w:val="both"/>
        <w:rPr>
          <w:b/>
        </w:rPr>
      </w:pPr>
      <w:r>
        <w:rPr>
          <w:b/>
          <w:rtl/>
        </w:rPr>
        <w:t xml:space="preserve">באשר לעבירת החזקת התחמושת, בית המשפט העליון עמד על חומרת העבירה וציין כי </w:t>
      </w:r>
      <w:r w:rsidR="00850F79">
        <w:rPr>
          <w:b/>
        </w:rPr>
        <w:t xml:space="preserve"> </w:t>
      </w:r>
      <w:r>
        <w:rPr>
          <w:bCs/>
          <w:rtl/>
        </w:rPr>
        <w:t>"טבעם של דברים הוא, כי התחמושת היא בבחינת "תנאי בלעדיו אין" לביצוע ירי, ובסופו של יום, נשקים ותחמושת שהושגו שלא כדין מובילים לפגיעה בחיי אדם ולא פעם בקורבנות תמימים."</w:t>
      </w:r>
      <w:r>
        <w:rPr>
          <w:b/>
          <w:rtl/>
        </w:rPr>
        <w:t xml:space="preserve"> (ר' את </w:t>
      </w:r>
      <w:hyperlink r:id="rId18" w:history="1">
        <w:r w:rsidR="00850F79" w:rsidRPr="00850F79">
          <w:rPr>
            <w:rFonts w:hint="cs"/>
            <w:b/>
            <w:color w:val="0000FF"/>
            <w:u w:val="single"/>
            <w:rtl/>
          </w:rPr>
          <w:t>ע</w:t>
        </w:r>
        <w:r w:rsidR="00850F79" w:rsidRPr="00850F79">
          <w:rPr>
            <w:b/>
            <w:color w:val="0000FF"/>
            <w:u w:val="single"/>
            <w:rtl/>
          </w:rPr>
          <w:t>"</w:t>
        </w:r>
        <w:r w:rsidR="00850F79" w:rsidRPr="00850F79">
          <w:rPr>
            <w:rFonts w:hint="cs"/>
            <w:b/>
            <w:color w:val="0000FF"/>
            <w:u w:val="single"/>
            <w:rtl/>
          </w:rPr>
          <w:t>פ</w:t>
        </w:r>
        <w:r w:rsidR="00850F79" w:rsidRPr="00850F79">
          <w:rPr>
            <w:b/>
            <w:color w:val="0000FF"/>
            <w:u w:val="single"/>
            <w:rtl/>
          </w:rPr>
          <w:t xml:space="preserve"> 587/22</w:t>
        </w:r>
      </w:hyperlink>
      <w:r>
        <w:rPr>
          <w:b/>
          <w:rtl/>
        </w:rPr>
        <w:t xml:space="preserve"> </w:t>
      </w:r>
      <w:r>
        <w:rPr>
          <w:bCs/>
          <w:rtl/>
        </w:rPr>
        <w:t>אבו נעאסה נ' מ"י</w:t>
      </w:r>
      <w:r>
        <w:rPr>
          <w:b/>
          <w:rtl/>
        </w:rPr>
        <w:t xml:space="preserve"> (22.5.22)). </w:t>
      </w:r>
    </w:p>
    <w:p w14:paraId="0F3E5B10" w14:textId="77777777" w:rsidR="00C51CB5" w:rsidRDefault="00C51CB5" w:rsidP="00C51CB5">
      <w:pPr>
        <w:pStyle w:val="a9"/>
        <w:bidi/>
        <w:jc w:val="both"/>
        <w:rPr>
          <w:b/>
        </w:rPr>
      </w:pPr>
    </w:p>
    <w:p w14:paraId="663831CD" w14:textId="77777777" w:rsidR="00C51CB5" w:rsidRDefault="00C51CB5" w:rsidP="00C51CB5">
      <w:pPr>
        <w:pStyle w:val="a9"/>
        <w:numPr>
          <w:ilvl w:val="0"/>
          <w:numId w:val="1"/>
        </w:numPr>
        <w:bidi/>
        <w:jc w:val="both"/>
        <w:rPr>
          <w:rtl/>
        </w:rPr>
      </w:pPr>
      <w:r>
        <w:rPr>
          <w:rtl/>
        </w:rPr>
        <w:t xml:space="preserve">הנאשם החזיק סם מסוכן מסוג קנבוס במשקל כולל העומד על כ-980 גרם, כמות הגבוהה מפי 65 מהכמות המוחזקת בפקודה ככמות לשימוש עצמי - 15 גרם. במעשיו ניכר התכנון המוקדם המגולם בעצם החזקת הסם. </w:t>
      </w:r>
    </w:p>
    <w:p w14:paraId="14DB8022" w14:textId="77777777" w:rsidR="00C51CB5" w:rsidRDefault="00C51CB5" w:rsidP="00C51CB5">
      <w:pPr>
        <w:spacing w:line="360" w:lineRule="auto"/>
        <w:ind w:firstLine="720"/>
        <w:jc w:val="both"/>
        <w:rPr>
          <w:rtl/>
        </w:rPr>
      </w:pPr>
      <w:r>
        <w:rPr>
          <w:rtl/>
        </w:rPr>
        <w:t xml:space="preserve">באשר לכדורי התחמושת, מדובר בהחזקת של 33 כדורי אקדח ו-130 תרמילי אקדח. </w:t>
      </w:r>
    </w:p>
    <w:p w14:paraId="43CF5917" w14:textId="77777777" w:rsidR="00C51CB5" w:rsidRDefault="00C51CB5" w:rsidP="00C51CB5">
      <w:pPr>
        <w:pStyle w:val="a9"/>
        <w:numPr>
          <w:ilvl w:val="0"/>
          <w:numId w:val="1"/>
        </w:numPr>
        <w:bidi/>
        <w:jc w:val="both"/>
        <w:rPr>
          <w:sz w:val="24"/>
          <w:rtl/>
        </w:rPr>
      </w:pPr>
      <w:r>
        <w:rPr>
          <w:sz w:val="24"/>
          <w:rtl/>
        </w:rPr>
        <w:t>עיינתי בפסיקה שהוצגה לעיוני מטעם הצדדים ובפסיקה מטעמי. מדיניות הענישה הנהוגה בעבירות בהן הורשע הנאשם רחבה ונסמכת על חומרת המעשים וכלל הנסיבות. ראו למשל:</w:t>
      </w:r>
    </w:p>
    <w:p w14:paraId="04999ECD" w14:textId="77777777" w:rsidR="00C51CB5" w:rsidRDefault="00850F79" w:rsidP="00C51CB5">
      <w:pPr>
        <w:pStyle w:val="a9"/>
        <w:numPr>
          <w:ilvl w:val="0"/>
          <w:numId w:val="2"/>
        </w:numPr>
        <w:bidi/>
        <w:jc w:val="both"/>
        <w:rPr>
          <w:sz w:val="24"/>
          <w:rtl/>
        </w:rPr>
      </w:pPr>
      <w:hyperlink r:id="rId19" w:history="1">
        <w:r w:rsidRPr="00850F79">
          <w:rPr>
            <w:rFonts w:hint="cs"/>
            <w:color w:val="0000FF"/>
            <w:sz w:val="24"/>
            <w:u w:val="single"/>
            <w:rtl/>
          </w:rPr>
          <w:t>רע</w:t>
        </w:r>
        <w:r w:rsidRPr="00850F79">
          <w:rPr>
            <w:color w:val="0000FF"/>
            <w:sz w:val="24"/>
            <w:u w:val="single"/>
            <w:rtl/>
          </w:rPr>
          <w:t>"</w:t>
        </w:r>
        <w:r w:rsidRPr="00850F79">
          <w:rPr>
            <w:rFonts w:hint="cs"/>
            <w:color w:val="0000FF"/>
            <w:sz w:val="24"/>
            <w:u w:val="single"/>
            <w:rtl/>
          </w:rPr>
          <w:t>פ</w:t>
        </w:r>
        <w:r w:rsidRPr="00850F79">
          <w:rPr>
            <w:color w:val="0000FF"/>
            <w:sz w:val="24"/>
            <w:u w:val="single"/>
            <w:rtl/>
          </w:rPr>
          <w:t xml:space="preserve"> 1267/23</w:t>
        </w:r>
      </w:hyperlink>
      <w:r w:rsidR="00C51CB5">
        <w:rPr>
          <w:sz w:val="24"/>
          <w:rtl/>
        </w:rPr>
        <w:t xml:space="preserve"> </w:t>
      </w:r>
      <w:r w:rsidR="00C51CB5">
        <w:rPr>
          <w:b/>
          <w:bCs/>
          <w:sz w:val="24"/>
          <w:rtl/>
        </w:rPr>
        <w:t>בלקר נ' מ"י</w:t>
      </w:r>
      <w:r w:rsidR="00C51CB5">
        <w:rPr>
          <w:sz w:val="24"/>
          <w:rtl/>
        </w:rPr>
        <w:t xml:space="preserve"> (6.3.23) המבקש הורשע בביצוע עבירה של החזקת סם שלא לצריכה עצמית והחזקת כלים להכנת סם, כאשר נתפסו סמים במקומות שונים. בביתו, בחצרו ובתוך קסדת אופנוע, נתפס סם מסוג "קנבוס" במשקל של 100 גרם נטו; מתחת לשולחן בחצר הבית נתפס סם מסוג "קנבוס" במשקל של 553.10 גרם נטו, וכן נתפסו שני משקלים דיגיטליים, שהיו על מדף במטבח הבית. בית משפט השלום גזר על הנאשם עונש מאסר על תנאי, אך ערעור המדינה על קולת העונש התקבל ובבית המשפט המחוזי נגזרו על הנאשם 2 חודשי מאסר בעבודות שירות. בקשת רשות הערעור שהוגשה לבית המשפט העליון, נדחתה. </w:t>
      </w:r>
    </w:p>
    <w:p w14:paraId="146DD0FA" w14:textId="77777777" w:rsidR="00C51CB5" w:rsidRDefault="00850F79" w:rsidP="00C51CB5">
      <w:pPr>
        <w:pStyle w:val="a9"/>
        <w:numPr>
          <w:ilvl w:val="0"/>
          <w:numId w:val="2"/>
        </w:numPr>
        <w:bidi/>
        <w:jc w:val="both"/>
        <w:rPr>
          <w:sz w:val="24"/>
        </w:rPr>
      </w:pPr>
      <w:hyperlink r:id="rId20" w:history="1">
        <w:r w:rsidRPr="00850F79">
          <w:rPr>
            <w:rFonts w:hint="cs"/>
            <w:color w:val="0000FF"/>
            <w:sz w:val="24"/>
            <w:u w:val="single"/>
            <w:rtl/>
          </w:rPr>
          <w:t>עפ</w:t>
        </w:r>
        <w:r w:rsidRPr="00850F79">
          <w:rPr>
            <w:color w:val="0000FF"/>
            <w:sz w:val="24"/>
            <w:u w:val="single"/>
            <w:rtl/>
          </w:rPr>
          <w:t>"</w:t>
        </w:r>
        <w:r w:rsidRPr="00850F79">
          <w:rPr>
            <w:rFonts w:hint="cs"/>
            <w:color w:val="0000FF"/>
            <w:sz w:val="24"/>
            <w:u w:val="single"/>
            <w:rtl/>
          </w:rPr>
          <w:t>ג</w:t>
        </w:r>
        <w:r w:rsidRPr="00850F79">
          <w:rPr>
            <w:color w:val="0000FF"/>
            <w:sz w:val="24"/>
            <w:u w:val="single"/>
            <w:rtl/>
          </w:rPr>
          <w:t xml:space="preserve"> (</w:t>
        </w:r>
        <w:r w:rsidRPr="00850F79">
          <w:rPr>
            <w:rFonts w:hint="cs"/>
            <w:color w:val="0000FF"/>
            <w:sz w:val="24"/>
            <w:u w:val="single"/>
            <w:rtl/>
          </w:rPr>
          <w:t>ב</w:t>
        </w:r>
        <w:r w:rsidRPr="00850F79">
          <w:rPr>
            <w:color w:val="0000FF"/>
            <w:sz w:val="24"/>
            <w:u w:val="single"/>
            <w:rtl/>
          </w:rPr>
          <w:t>"</w:t>
        </w:r>
        <w:r w:rsidRPr="00850F79">
          <w:rPr>
            <w:rFonts w:hint="cs"/>
            <w:color w:val="0000FF"/>
            <w:sz w:val="24"/>
            <w:u w:val="single"/>
            <w:rtl/>
          </w:rPr>
          <w:t>ש</w:t>
        </w:r>
        <w:r w:rsidRPr="00850F79">
          <w:rPr>
            <w:color w:val="0000FF"/>
            <w:sz w:val="24"/>
            <w:u w:val="single"/>
            <w:rtl/>
          </w:rPr>
          <w:t>) 9036-02-23</w:t>
        </w:r>
      </w:hyperlink>
      <w:r w:rsidR="00C51CB5">
        <w:rPr>
          <w:sz w:val="24"/>
          <w:rtl/>
        </w:rPr>
        <w:t xml:space="preserve">‏ </w:t>
      </w:r>
      <w:r w:rsidR="00C51CB5">
        <w:rPr>
          <w:b/>
          <w:bCs/>
          <w:sz w:val="24"/>
          <w:rtl/>
        </w:rPr>
        <w:t>אסולין נ' מ"י</w:t>
      </w:r>
      <w:r w:rsidR="00C51CB5">
        <w:rPr>
          <w:sz w:val="24"/>
          <w:rtl/>
        </w:rPr>
        <w:t xml:space="preserve"> (15.3.23) הורשע המערער בהחזקת חלק של נשק או תחמושת, לפי</w:t>
      </w:r>
      <w:r>
        <w:rPr>
          <w:sz w:val="24"/>
          <w:rtl/>
        </w:rPr>
        <w:t xml:space="preserve"> </w:t>
      </w:r>
      <w:hyperlink r:id="rId21" w:history="1">
        <w:r w:rsidR="00C55C14" w:rsidRPr="00C55C14">
          <w:rPr>
            <w:rStyle w:val="Hyperlink"/>
            <w:sz w:val="24"/>
            <w:rtl/>
          </w:rPr>
          <w:t>סעיף 144(א)</w:t>
        </w:r>
      </w:hyperlink>
      <w:r>
        <w:rPr>
          <w:sz w:val="24"/>
          <w:rtl/>
        </w:rPr>
        <w:t xml:space="preserve"> </w:t>
      </w:r>
      <w:r w:rsidR="00C51CB5">
        <w:rPr>
          <w:sz w:val="24"/>
          <w:rtl/>
        </w:rPr>
        <w:t>סיפא ל</w:t>
      </w:r>
      <w:hyperlink r:id="rId22" w:history="1">
        <w:r w:rsidRPr="00850F79">
          <w:rPr>
            <w:rFonts w:hint="cs"/>
            <w:color w:val="0000FF"/>
            <w:sz w:val="24"/>
            <w:u w:val="single"/>
            <w:rtl/>
          </w:rPr>
          <w:t>חוק</w:t>
        </w:r>
        <w:r w:rsidRPr="00850F79">
          <w:rPr>
            <w:color w:val="0000FF"/>
            <w:sz w:val="24"/>
            <w:u w:val="single"/>
            <w:rtl/>
          </w:rPr>
          <w:t xml:space="preserve"> </w:t>
        </w:r>
        <w:r w:rsidRPr="00850F79">
          <w:rPr>
            <w:rFonts w:hint="cs"/>
            <w:color w:val="0000FF"/>
            <w:sz w:val="24"/>
            <w:u w:val="single"/>
            <w:rtl/>
          </w:rPr>
          <w:t>העונשין</w:t>
        </w:r>
      </w:hyperlink>
      <w:r w:rsidR="00C51CB5">
        <w:rPr>
          <w:sz w:val="24"/>
          <w:rtl/>
        </w:rPr>
        <w:t xml:space="preserve"> בגין כך שהחזיק 30 כדורי 5.56 מ"מ המתאימים לרובי סער בכל אחת מארבע קופסאות בביתו. </w:t>
      </w:r>
    </w:p>
    <w:p w14:paraId="53F6CAA1" w14:textId="77777777" w:rsidR="00C51CB5" w:rsidRDefault="00C51CB5" w:rsidP="00C51CB5">
      <w:pPr>
        <w:pStyle w:val="a9"/>
        <w:bidi/>
        <w:ind w:left="1080"/>
        <w:jc w:val="both"/>
        <w:rPr>
          <w:sz w:val="24"/>
        </w:rPr>
      </w:pPr>
      <w:r>
        <w:rPr>
          <w:sz w:val="24"/>
          <w:rtl/>
        </w:rPr>
        <w:t xml:space="preserve">בית משפט השלום קבע כי את מתחם העונש ההולם בין עונש מאסר מותנה לבין 8 חודשי מאסר, וגזר על המערער 3 חודשי מאסר בעבודות שירות. בית המשפט המחוזי קיבל את הערעור שהוגש, וקבע כי </w:t>
      </w:r>
      <w:r>
        <w:rPr>
          <w:b/>
          <w:bCs/>
          <w:sz w:val="24"/>
          <w:rtl/>
        </w:rPr>
        <w:t>"בנסיבות מציאת התחמושת - האופן בו התחמושת הוחזקה; העובדה שלא נמצאו ברשות המערער מחסניות או כלי נשק שהתחמושת מתאימה להם; ובהינתן שהמערער לא נחשד בהצעת התחמושת למכירה או בעשיה פסולה אחרת לגביה. וכן בהתחשב בנתוני המערער, גילו, ומצבו הבריאותי והנפשי - יש בסיס להנחה שהחזקת התחמושת על ידי המערער לא היתה למטרה עבריינית. העונשים המוטלים על החזקת תחמושת בנסיבות כאלה, אינם כוללים בדרך כלל רכיב של מאסר".</w:t>
      </w:r>
      <w:r>
        <w:rPr>
          <w:sz w:val="24"/>
          <w:rtl/>
        </w:rPr>
        <w:t xml:space="preserve"> לאור זאת, הקל בית המשפט המחוזי בעונש וגזר על המערער עונש מאסר על תנאי, חלף עבודות השירות. </w:t>
      </w:r>
    </w:p>
    <w:p w14:paraId="3DC86B17" w14:textId="77777777" w:rsidR="00C51CB5" w:rsidRDefault="00850F79" w:rsidP="00C51CB5">
      <w:pPr>
        <w:pStyle w:val="a9"/>
        <w:numPr>
          <w:ilvl w:val="0"/>
          <w:numId w:val="2"/>
        </w:numPr>
        <w:bidi/>
        <w:jc w:val="both"/>
        <w:rPr>
          <w:rtl/>
        </w:rPr>
      </w:pPr>
      <w:hyperlink r:id="rId23" w:history="1">
        <w:r w:rsidRPr="00850F79">
          <w:rPr>
            <w:rFonts w:hint="cs"/>
            <w:color w:val="0000FF"/>
            <w:u w:val="single"/>
            <w:rtl/>
          </w:rPr>
          <w:t>ת</w:t>
        </w:r>
        <w:r w:rsidRPr="00850F79">
          <w:rPr>
            <w:color w:val="0000FF"/>
            <w:u w:val="single"/>
            <w:rtl/>
          </w:rPr>
          <w:t>"</w:t>
        </w:r>
        <w:r w:rsidRPr="00850F79">
          <w:rPr>
            <w:rFonts w:hint="cs"/>
            <w:color w:val="0000FF"/>
            <w:u w:val="single"/>
            <w:rtl/>
          </w:rPr>
          <w:t>פ</w:t>
        </w:r>
        <w:r w:rsidRPr="00850F79">
          <w:rPr>
            <w:color w:val="0000FF"/>
            <w:u w:val="single"/>
            <w:rtl/>
          </w:rPr>
          <w:t xml:space="preserve"> (</w:t>
        </w:r>
        <w:r w:rsidRPr="00850F79">
          <w:rPr>
            <w:rFonts w:hint="cs"/>
            <w:color w:val="0000FF"/>
            <w:u w:val="single"/>
            <w:rtl/>
          </w:rPr>
          <w:t>ב</w:t>
        </w:r>
        <w:r w:rsidRPr="00850F79">
          <w:rPr>
            <w:color w:val="0000FF"/>
            <w:u w:val="single"/>
            <w:rtl/>
          </w:rPr>
          <w:t>"</w:t>
        </w:r>
        <w:r w:rsidRPr="00850F79">
          <w:rPr>
            <w:rFonts w:hint="cs"/>
            <w:color w:val="0000FF"/>
            <w:u w:val="single"/>
            <w:rtl/>
          </w:rPr>
          <w:t>ש</w:t>
        </w:r>
        <w:r w:rsidRPr="00850F79">
          <w:rPr>
            <w:color w:val="0000FF"/>
            <w:u w:val="single"/>
            <w:rtl/>
          </w:rPr>
          <w:t>) 10596-12-20</w:t>
        </w:r>
      </w:hyperlink>
      <w:r>
        <w:rPr>
          <w:rtl/>
        </w:rPr>
        <w:t xml:space="preserve"> </w:t>
      </w:r>
      <w:r w:rsidR="00C51CB5">
        <w:rPr>
          <w:b/>
          <w:bCs/>
          <w:rtl/>
        </w:rPr>
        <w:t>מ"י נ' אבו סבית</w:t>
      </w:r>
      <w:r w:rsidR="00C51CB5">
        <w:rPr>
          <w:rtl/>
        </w:rPr>
        <w:t xml:space="preserve"> (16.4.23) הנאשם הורשע בביצוע עבירה שך החזקת סם שלא לצריכה עצמית בכך שבין רגליו בעודו ברכב, נתפסו 700 גרם סם מסוג קנבוס. בית המשפט קבע את מתחם העונש ההולם בין 7 חודשי מאסר ל-14 חודשים, ובשים לב לשיקום שעבר הנאשם, גזר 3 חודשי מאסר בעבודות שירות. </w:t>
      </w:r>
    </w:p>
    <w:p w14:paraId="4CC11AB6" w14:textId="77777777" w:rsidR="00C51CB5" w:rsidRDefault="00C51CB5" w:rsidP="00C51CB5">
      <w:pPr>
        <w:spacing w:line="360" w:lineRule="auto"/>
        <w:jc w:val="both"/>
      </w:pPr>
    </w:p>
    <w:p w14:paraId="272A8B4A" w14:textId="77777777" w:rsidR="00C51CB5" w:rsidRDefault="00C51CB5" w:rsidP="00C51CB5">
      <w:pPr>
        <w:pStyle w:val="a9"/>
        <w:numPr>
          <w:ilvl w:val="0"/>
          <w:numId w:val="1"/>
        </w:numPr>
        <w:bidi/>
        <w:jc w:val="both"/>
        <w:rPr>
          <w:b/>
          <w:bCs/>
          <w:rtl/>
        </w:rPr>
      </w:pPr>
      <w:r>
        <w:rPr>
          <w:b/>
          <w:bCs/>
          <w:rtl/>
        </w:rPr>
        <w:t>מכל המפורט, תוך אבחנה לענייננו, אני קובעת כי מתחם העונש ההולם נע בין חודשי מאסר ספורים לנשיאה בדרך של עבודות שירות ועד ל-14 חודשי מאסר בפועל</w:t>
      </w:r>
      <w:r>
        <w:rPr>
          <w:rFonts w:hint="cs"/>
          <w:b/>
          <w:bCs/>
          <w:rtl/>
        </w:rPr>
        <w:t>, לצד ענישה נילווית</w:t>
      </w:r>
      <w:r>
        <w:rPr>
          <w:b/>
          <w:bCs/>
          <w:rtl/>
        </w:rPr>
        <w:t xml:space="preserve">. </w:t>
      </w:r>
    </w:p>
    <w:p w14:paraId="262E6130" w14:textId="77777777" w:rsidR="00C51CB5" w:rsidRDefault="00C51CB5" w:rsidP="00C51CB5">
      <w:pPr>
        <w:spacing w:line="360" w:lineRule="auto"/>
        <w:jc w:val="both"/>
        <w:rPr>
          <w:b/>
          <w:bCs/>
          <w:rtl/>
        </w:rPr>
      </w:pPr>
    </w:p>
    <w:p w14:paraId="5C5336F7" w14:textId="77777777" w:rsidR="00C51CB5" w:rsidRDefault="00C51CB5" w:rsidP="00C51CB5">
      <w:pPr>
        <w:spacing w:line="360" w:lineRule="auto"/>
        <w:jc w:val="both"/>
        <w:rPr>
          <w:b/>
          <w:bCs/>
          <w:rtl/>
        </w:rPr>
      </w:pPr>
    </w:p>
    <w:p w14:paraId="7F709B56" w14:textId="77777777" w:rsidR="00C51CB5" w:rsidRDefault="00C51CB5" w:rsidP="00C51CB5">
      <w:pPr>
        <w:spacing w:line="360" w:lineRule="auto"/>
        <w:ind w:firstLine="720"/>
        <w:jc w:val="both"/>
        <w:rPr>
          <w:b/>
          <w:bCs/>
          <w:rtl/>
        </w:rPr>
      </w:pPr>
      <w:r>
        <w:rPr>
          <w:b/>
          <w:bCs/>
          <w:rtl/>
        </w:rPr>
        <w:t>עונשו של הנאשם</w:t>
      </w:r>
    </w:p>
    <w:p w14:paraId="1E042AE1" w14:textId="77777777" w:rsidR="00C51CB5" w:rsidRDefault="00C51CB5" w:rsidP="00C51CB5">
      <w:pPr>
        <w:pStyle w:val="a9"/>
        <w:numPr>
          <w:ilvl w:val="0"/>
          <w:numId w:val="1"/>
        </w:numPr>
        <w:bidi/>
        <w:jc w:val="both"/>
        <w:rPr>
          <w:rtl/>
        </w:rPr>
      </w:pPr>
      <w:r>
        <w:rPr>
          <w:rtl/>
        </w:rPr>
        <w:t xml:space="preserve">לא מצאתי, בנסיבות המקרה שלפניי, שיקולים המצדיקים לסטות מן ממתחם הענישה ההולם לקולה או לחומרה או כאלה המצדיקים הארכת עונש המאסר המותנה העומד כנגדו. </w:t>
      </w:r>
    </w:p>
    <w:p w14:paraId="20EDBE4D" w14:textId="77777777" w:rsidR="00C51CB5" w:rsidRDefault="00C51CB5" w:rsidP="00C51CB5">
      <w:pPr>
        <w:pStyle w:val="a9"/>
        <w:bidi/>
        <w:jc w:val="both"/>
      </w:pPr>
    </w:p>
    <w:p w14:paraId="5BAA4B2A" w14:textId="77777777" w:rsidR="00C51CB5" w:rsidRDefault="00C51CB5" w:rsidP="00C51CB5">
      <w:pPr>
        <w:pStyle w:val="a9"/>
        <w:numPr>
          <w:ilvl w:val="0"/>
          <w:numId w:val="1"/>
        </w:numPr>
        <w:bidi/>
        <w:jc w:val="both"/>
        <w:rPr>
          <w:b/>
          <w:rtl/>
        </w:rPr>
      </w:pPr>
      <w:r>
        <w:rPr>
          <w:rtl/>
        </w:rPr>
        <w:t>ראשית אזקוף לזכות הנאשם את תיקונו של כתב האישום לקולה והודאתו בביצוע העבירות תוך חיסכון בזמנם של העדים.</w:t>
      </w:r>
    </w:p>
    <w:p w14:paraId="2F127721" w14:textId="77777777" w:rsidR="00C51CB5" w:rsidRDefault="00C51CB5" w:rsidP="00C51CB5">
      <w:pPr>
        <w:pStyle w:val="a9"/>
        <w:rPr>
          <w:b/>
        </w:rPr>
      </w:pPr>
    </w:p>
    <w:p w14:paraId="727103E7" w14:textId="77777777" w:rsidR="00C51CB5" w:rsidRDefault="00C51CB5" w:rsidP="00C51CB5">
      <w:pPr>
        <w:pStyle w:val="a9"/>
        <w:numPr>
          <w:ilvl w:val="0"/>
          <w:numId w:val="1"/>
        </w:numPr>
        <w:bidi/>
        <w:jc w:val="both"/>
        <w:rPr>
          <w:b/>
          <w:rtl/>
        </w:rPr>
      </w:pPr>
      <w:r>
        <w:rPr>
          <w:b/>
          <w:rtl/>
        </w:rPr>
        <w:t>עוד הנני מתחשבת בכך שהנאשם שומר על יציבות תעסוקתית, לא ביצע עבירות נוספות בחלוף הזמן, היותו אב מוערך המבקש לשמש דמות משמעותית לילדיו.</w:t>
      </w:r>
    </w:p>
    <w:p w14:paraId="74AFA9BA" w14:textId="77777777" w:rsidR="00C51CB5" w:rsidRDefault="00C51CB5" w:rsidP="00C51CB5">
      <w:pPr>
        <w:pStyle w:val="a9"/>
        <w:rPr>
          <w:b/>
        </w:rPr>
      </w:pPr>
    </w:p>
    <w:p w14:paraId="120F4BAB" w14:textId="77777777" w:rsidR="00C51CB5" w:rsidRDefault="00C51CB5" w:rsidP="00C51CB5">
      <w:pPr>
        <w:pStyle w:val="a9"/>
        <w:numPr>
          <w:ilvl w:val="0"/>
          <w:numId w:val="1"/>
        </w:numPr>
        <w:bidi/>
        <w:jc w:val="both"/>
        <w:rPr>
          <w:b/>
          <w:rtl/>
        </w:rPr>
      </w:pPr>
      <w:r>
        <w:rPr>
          <w:b/>
          <w:rtl/>
        </w:rPr>
        <w:t>כמו כן, בדיקות שתן שמסר הנאשם לשירות המבחן נמצאו נקיות משרידי סמים שאינם חלק מהטיפול הרפואי אותו הוא נוטל.</w:t>
      </w:r>
    </w:p>
    <w:p w14:paraId="6FD6A5C7" w14:textId="77777777" w:rsidR="00C51CB5" w:rsidRDefault="00C51CB5" w:rsidP="00C51CB5">
      <w:pPr>
        <w:pStyle w:val="a9"/>
        <w:bidi/>
        <w:jc w:val="both"/>
        <w:rPr>
          <w:b/>
          <w:rtl/>
        </w:rPr>
      </w:pPr>
    </w:p>
    <w:p w14:paraId="18A2A826" w14:textId="77777777" w:rsidR="00C51CB5" w:rsidRDefault="00C51CB5" w:rsidP="00C51CB5">
      <w:pPr>
        <w:pStyle w:val="a9"/>
        <w:numPr>
          <w:ilvl w:val="0"/>
          <w:numId w:val="1"/>
        </w:numPr>
        <w:bidi/>
        <w:jc w:val="both"/>
        <w:rPr>
          <w:b/>
        </w:rPr>
      </w:pPr>
      <w:r>
        <w:rPr>
          <w:b/>
          <w:rtl/>
        </w:rPr>
        <w:t xml:space="preserve">יחד עם זאת, לא ניתן להתעלם מהאמור בתסקירי שירות המבחן כאשר הנאשם לא השתלב שם בטיפול, על אף שבתחילה הביע רצון לקחת חלק בטיפול בתחום הבריאותי והן בתחום ההתמכרות לסמים. </w:t>
      </w:r>
    </w:p>
    <w:p w14:paraId="3319802A" w14:textId="77777777" w:rsidR="00C51CB5" w:rsidRDefault="00C51CB5" w:rsidP="00C51CB5">
      <w:pPr>
        <w:pStyle w:val="a9"/>
        <w:rPr>
          <w:b/>
        </w:rPr>
      </w:pPr>
    </w:p>
    <w:p w14:paraId="7456943C" w14:textId="77777777" w:rsidR="00C51CB5" w:rsidRDefault="00C51CB5" w:rsidP="00C51CB5">
      <w:pPr>
        <w:pStyle w:val="a9"/>
        <w:numPr>
          <w:ilvl w:val="0"/>
          <w:numId w:val="1"/>
        </w:numPr>
        <w:bidi/>
        <w:jc w:val="both"/>
        <w:rPr>
          <w:b/>
          <w:rtl/>
        </w:rPr>
      </w:pPr>
      <w:r>
        <w:rPr>
          <w:b/>
          <w:rtl/>
        </w:rPr>
        <w:t xml:space="preserve">זאת ועוד, שירות המבחן התרשם כי מצבו הנפשי של הנאשם מתדרדר, מהיותו בעל כישורים דלים להתמודדות במצבי לחץ, ומעמדותיו באשר לאחריותו בעבירה. על כן, ונוכח מצבו הנפשי המורכב, לא בא שירות המבחן בסופו של יום בהמלצה לשלב את הנאשם בהליך טיפולי, ואף לא המליץ להעמידו בצו מבחן. </w:t>
      </w:r>
    </w:p>
    <w:p w14:paraId="3881BEDA" w14:textId="77777777" w:rsidR="00C51CB5" w:rsidRDefault="00C51CB5" w:rsidP="00C51CB5">
      <w:pPr>
        <w:pStyle w:val="a9"/>
        <w:rPr>
          <w:b/>
        </w:rPr>
      </w:pPr>
    </w:p>
    <w:p w14:paraId="6483912D" w14:textId="77777777" w:rsidR="00C51CB5" w:rsidRDefault="00C51CB5" w:rsidP="00C51CB5">
      <w:pPr>
        <w:pStyle w:val="a9"/>
        <w:numPr>
          <w:ilvl w:val="0"/>
          <w:numId w:val="1"/>
        </w:numPr>
        <w:bidi/>
        <w:jc w:val="both"/>
        <w:rPr>
          <w:b/>
          <w:rtl/>
        </w:rPr>
      </w:pPr>
      <w:r>
        <w:rPr>
          <w:b/>
          <w:rtl/>
        </w:rPr>
        <w:t xml:space="preserve">אומנם שירות המבחן בחן עם הנאשם את האפשרות לבצע צו של"צ כתנאי להארכת עונש המאסר המותנה העומד כנגדו, אך בו בזמן הביע ספקנות באשר ליכולתו לעמוד בביצוע הצו. </w:t>
      </w:r>
    </w:p>
    <w:p w14:paraId="26655F57" w14:textId="77777777" w:rsidR="00C51CB5" w:rsidRDefault="00C51CB5" w:rsidP="00C51CB5">
      <w:pPr>
        <w:spacing w:line="360" w:lineRule="auto"/>
        <w:ind w:left="720"/>
        <w:contextualSpacing/>
        <w:jc w:val="both"/>
        <w:rPr>
          <w:b/>
          <w:rtl/>
        </w:rPr>
      </w:pPr>
      <w:r>
        <w:rPr>
          <w:b/>
          <w:rtl/>
        </w:rPr>
        <w:t xml:space="preserve">יתר על כן, הנאשם התקשה בהתבוננות פנימית ביקורתית אודות בחירותיו ודפוסיו, לא שולב בהליך טיפולי ועל כן, ונוכח ספקנות שירות המבחן באשר לביצוע הצו- לא מצאתי הצדק להורות על הארכת עונש המאסר המותנה. </w:t>
      </w:r>
    </w:p>
    <w:p w14:paraId="1A0746FA" w14:textId="77777777" w:rsidR="00C51CB5" w:rsidRDefault="00C51CB5" w:rsidP="00C51CB5">
      <w:pPr>
        <w:spacing w:line="360" w:lineRule="auto"/>
        <w:jc w:val="both"/>
        <w:rPr>
          <w:b/>
          <w:rtl/>
        </w:rPr>
      </w:pPr>
    </w:p>
    <w:p w14:paraId="243AAB68" w14:textId="77777777" w:rsidR="00C51CB5" w:rsidRDefault="00C51CB5" w:rsidP="00C51CB5">
      <w:pPr>
        <w:pStyle w:val="a9"/>
        <w:numPr>
          <w:ilvl w:val="0"/>
          <w:numId w:val="1"/>
        </w:numPr>
        <w:bidi/>
        <w:jc w:val="both"/>
        <w:rPr>
          <w:b/>
          <w:rtl/>
        </w:rPr>
      </w:pPr>
      <w:bookmarkStart w:id="7" w:name="Nitan"/>
      <w:r>
        <w:rPr>
          <w:b/>
          <w:rtl/>
        </w:rPr>
        <w:t xml:space="preserve">עם זאת, ועל אף נוכח האמור לעיל, לא ניתן להתעלם מהמאמצים הניכרים אותם עורך </w:t>
      </w:r>
      <w:bookmarkEnd w:id="7"/>
      <w:r>
        <w:rPr>
          <w:b/>
          <w:rtl/>
        </w:rPr>
        <w:t xml:space="preserve">הנאשם להבטחת עתיד משפחתו ושמירה על פרנסת בני ביתו, מאמצים הבאים לידי ביטוי הן במעקב פסיכיאטרי ובטיפול תרופתי, כעולה מהמסמכים שצורפו על ידי ההגנה, והן בכך שעל אף חלוף הזמן לא היה הנאשם מעורב בעבירות נוספות. </w:t>
      </w:r>
    </w:p>
    <w:p w14:paraId="79CE6C4D" w14:textId="77777777" w:rsidR="00C51CB5" w:rsidRDefault="00C51CB5" w:rsidP="00C51CB5">
      <w:pPr>
        <w:pStyle w:val="a9"/>
        <w:numPr>
          <w:ilvl w:val="0"/>
          <w:numId w:val="1"/>
        </w:numPr>
        <w:bidi/>
        <w:jc w:val="both"/>
        <w:rPr>
          <w:b/>
          <w:rtl/>
        </w:rPr>
      </w:pPr>
      <w:r>
        <w:rPr>
          <w:b/>
          <w:rtl/>
        </w:rPr>
        <w:t xml:space="preserve">סופו של דבר, לאחר ששקלתי את כלל השיקולים הנדרשים לעניין ובכלל זה, האינטרס הציבורי אל מול מהות מעשיו של הנאשם, עברו הפלילי המכביד בתחום הסמים, נסיבותיו האישיות, לרבות מצבו הרפואי, הכלכלי והמשפחתי ובכלל זה המשבר המשפחתי שפקד את ביתו נוכח מות בתו, ההשלכות הצפויות כתוצאה מאובדן מקור פרנסת המשפחה, מאמציו של הנאשם לעלות על דרך המלך והתנהלותו מאז ביצוע העבירות, מצאתי כי שיקולים אלה מצדיקים העמדתו ברף התחתון של מתחם העונש ההולם והפעלת עונש המאסר המותנה בחופף לעונש שייגזר עליו. </w:t>
      </w:r>
    </w:p>
    <w:p w14:paraId="7F1DB6A9" w14:textId="77777777" w:rsidR="00C51CB5" w:rsidRDefault="00C51CB5" w:rsidP="00C51CB5">
      <w:pPr>
        <w:pStyle w:val="a9"/>
        <w:rPr>
          <w:b/>
        </w:rPr>
      </w:pPr>
    </w:p>
    <w:p w14:paraId="31F578CB" w14:textId="77777777" w:rsidR="00C51CB5" w:rsidRDefault="00C51CB5" w:rsidP="00C51CB5">
      <w:pPr>
        <w:pStyle w:val="a9"/>
        <w:numPr>
          <w:ilvl w:val="0"/>
          <w:numId w:val="1"/>
        </w:numPr>
        <w:bidi/>
        <w:jc w:val="both"/>
        <w:rPr>
          <w:b/>
          <w:rtl/>
        </w:rPr>
      </w:pPr>
      <w:r>
        <w:rPr>
          <w:b/>
          <w:rtl/>
        </w:rPr>
        <w:t xml:space="preserve">באשר לרכיב עונש פסילת רישיון הנהיגה בפועל ועל תנאי, כפי שעתרה המאשימה, הרי שעה שהעבירות לא בוצעו בדרך או בכלי רכב לא מצאתי לגזור רכיבי ענישה אלה. </w:t>
      </w:r>
    </w:p>
    <w:p w14:paraId="3127BFEA" w14:textId="77777777" w:rsidR="00C51CB5" w:rsidRDefault="00C51CB5" w:rsidP="00C51CB5">
      <w:pPr>
        <w:spacing w:line="360" w:lineRule="auto"/>
        <w:jc w:val="both"/>
        <w:rPr>
          <w:b/>
          <w:rtl/>
        </w:rPr>
      </w:pPr>
    </w:p>
    <w:p w14:paraId="5CFA4860" w14:textId="77777777" w:rsidR="00C51CB5" w:rsidRDefault="00C51CB5" w:rsidP="00C51CB5">
      <w:pPr>
        <w:spacing w:line="360" w:lineRule="auto"/>
        <w:ind w:firstLine="360"/>
        <w:jc w:val="both"/>
        <w:rPr>
          <w:b/>
          <w:bCs/>
          <w:u w:val="single"/>
          <w:rtl/>
        </w:rPr>
      </w:pPr>
      <w:r>
        <w:rPr>
          <w:b/>
          <w:bCs/>
          <w:u w:val="single"/>
          <w:rtl/>
        </w:rPr>
        <w:t>סוף דבר</w:t>
      </w:r>
    </w:p>
    <w:p w14:paraId="08B778F3" w14:textId="77777777" w:rsidR="00C51CB5" w:rsidRDefault="00C51CB5" w:rsidP="00C51CB5">
      <w:pPr>
        <w:pStyle w:val="a9"/>
        <w:numPr>
          <w:ilvl w:val="0"/>
          <w:numId w:val="1"/>
        </w:numPr>
        <w:bidi/>
        <w:jc w:val="both"/>
        <w:rPr>
          <w:rtl/>
        </w:rPr>
      </w:pPr>
      <w:r>
        <w:rPr>
          <w:rtl/>
        </w:rPr>
        <w:t>לאור האמור לעיל הנני גוזרת על הנאשם את העונשים הבאים:</w:t>
      </w:r>
    </w:p>
    <w:p w14:paraId="01A7AF3D" w14:textId="77777777" w:rsidR="00C51CB5" w:rsidRDefault="00C51CB5" w:rsidP="00C51CB5">
      <w:pPr>
        <w:numPr>
          <w:ilvl w:val="0"/>
          <w:numId w:val="3"/>
        </w:numPr>
        <w:spacing w:after="160" w:line="360" w:lineRule="auto"/>
        <w:contextualSpacing/>
        <w:jc w:val="both"/>
      </w:pPr>
      <w:r>
        <w:rPr>
          <w:rtl/>
        </w:rPr>
        <w:t xml:space="preserve">מאסר לתקופה של 4 חודשים. הנאשם ישא בעונש המאסר בדרך של עבודות שירות, בהתאם למגבלות הרפואיות כפי שמפורט בחוות דעתו של הממונה על עבודות השירות. </w:t>
      </w:r>
    </w:p>
    <w:p w14:paraId="18FA6A0A" w14:textId="77777777" w:rsidR="00C51CB5" w:rsidRDefault="00C51CB5" w:rsidP="00C51CB5">
      <w:pPr>
        <w:spacing w:line="360" w:lineRule="auto"/>
        <w:ind w:left="1080"/>
        <w:contextualSpacing/>
        <w:jc w:val="both"/>
      </w:pPr>
    </w:p>
    <w:p w14:paraId="59C2C1EC" w14:textId="77777777" w:rsidR="00C51CB5" w:rsidRDefault="00C51CB5" w:rsidP="00C51CB5">
      <w:pPr>
        <w:spacing w:line="360" w:lineRule="auto"/>
        <w:ind w:left="1080"/>
        <w:contextualSpacing/>
        <w:jc w:val="both"/>
        <w:rPr>
          <w:rtl/>
        </w:rPr>
      </w:pPr>
      <w:r>
        <w:rPr>
          <w:rtl/>
        </w:rPr>
        <w:t>על הנאשם להתייצב לתחילת ריצוי העונש ביום 25.6.24 בשעה 08:00 בבוקר, ביחידת ברקאי, מפקדת מחוז מרכז, רח' לוחמי בית"ר 6 רמלה.</w:t>
      </w:r>
    </w:p>
    <w:p w14:paraId="1F965A3C" w14:textId="77777777" w:rsidR="00C51CB5" w:rsidRDefault="00C51CB5" w:rsidP="00C51CB5">
      <w:pPr>
        <w:spacing w:line="360" w:lineRule="auto"/>
        <w:ind w:left="1080"/>
        <w:contextualSpacing/>
        <w:jc w:val="both"/>
        <w:rPr>
          <w:rtl/>
        </w:rPr>
      </w:pPr>
    </w:p>
    <w:p w14:paraId="66106358" w14:textId="77777777" w:rsidR="00C51CB5" w:rsidRDefault="00C51CB5" w:rsidP="00C51CB5">
      <w:pPr>
        <w:spacing w:line="360" w:lineRule="auto"/>
        <w:ind w:left="1080"/>
        <w:contextualSpacing/>
        <w:jc w:val="both"/>
        <w:rPr>
          <w:rtl/>
        </w:rPr>
      </w:pPr>
      <w:r>
        <w:rPr>
          <w:rtl/>
        </w:rPr>
        <w:t xml:space="preserve">מובהר לנאשם כי היה ולא ישלים מכל סיבה שהיא את עבודות השירות, ימשיך וירצה את העונש מאחורי סורג ובריח. </w:t>
      </w:r>
    </w:p>
    <w:p w14:paraId="1DC025FA" w14:textId="77777777" w:rsidR="00C51CB5" w:rsidRDefault="00C51CB5" w:rsidP="00C51CB5">
      <w:pPr>
        <w:spacing w:line="360" w:lineRule="auto"/>
        <w:jc w:val="both"/>
        <w:rPr>
          <w:rtl/>
        </w:rPr>
      </w:pPr>
      <w:r>
        <w:rPr>
          <w:rtl/>
        </w:rPr>
        <w:tab/>
      </w:r>
    </w:p>
    <w:p w14:paraId="6F7D96B9" w14:textId="77777777" w:rsidR="00C51CB5" w:rsidRDefault="00C51CB5" w:rsidP="00C51CB5">
      <w:pPr>
        <w:pStyle w:val="a9"/>
        <w:numPr>
          <w:ilvl w:val="0"/>
          <w:numId w:val="3"/>
        </w:numPr>
        <w:bidi/>
        <w:jc w:val="both"/>
        <w:rPr>
          <w:rtl/>
        </w:rPr>
      </w:pPr>
      <w:r>
        <w:rPr>
          <w:rtl/>
        </w:rPr>
        <w:t>מורה על הפעלת עונש המאסר המותנה לתקופה של 3 חודשים, כפי שנגזר על הנאשם ביום 2.10.18 ב</w:t>
      </w:r>
      <w:hyperlink r:id="rId24"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 xml:space="preserve">. </w:t>
      </w:r>
    </w:p>
    <w:p w14:paraId="400C2C2C" w14:textId="77777777" w:rsidR="00C51CB5" w:rsidRDefault="00C51CB5" w:rsidP="00C51CB5">
      <w:pPr>
        <w:pStyle w:val="a9"/>
        <w:bidi/>
        <w:ind w:left="1080"/>
        <w:jc w:val="both"/>
      </w:pPr>
    </w:p>
    <w:p w14:paraId="2E075C4B" w14:textId="77777777" w:rsidR="00C51CB5" w:rsidRDefault="00C51CB5" w:rsidP="00C51CB5">
      <w:pPr>
        <w:pStyle w:val="a9"/>
        <w:bidi/>
        <w:ind w:left="1080"/>
        <w:jc w:val="both"/>
        <w:rPr>
          <w:rtl/>
        </w:rPr>
      </w:pPr>
      <w:r>
        <w:rPr>
          <w:rtl/>
        </w:rPr>
        <w:t>עונשי המאסר ירוצו באופן חופף.</w:t>
      </w:r>
    </w:p>
    <w:p w14:paraId="6B6C6796" w14:textId="77777777" w:rsidR="00C51CB5" w:rsidRDefault="00C51CB5" w:rsidP="00C51CB5">
      <w:pPr>
        <w:numPr>
          <w:ilvl w:val="0"/>
          <w:numId w:val="3"/>
        </w:numPr>
        <w:spacing w:after="160" w:line="360" w:lineRule="auto"/>
        <w:contextualSpacing/>
        <w:jc w:val="both"/>
      </w:pPr>
      <w:r>
        <w:rPr>
          <w:rtl/>
        </w:rPr>
        <w:t xml:space="preserve">מאסר למשך 4 חודשים, הנאשם לא יישא עונש זה אלא אם יעבור בתוך 3 שנים מהיום עבירה בה הורשע או עבירה לפי </w:t>
      </w:r>
      <w:hyperlink r:id="rId25" w:history="1">
        <w:r w:rsidR="00850F79" w:rsidRPr="00850F79">
          <w:rPr>
            <w:color w:val="0000FF"/>
            <w:u w:val="single"/>
            <w:rtl/>
          </w:rPr>
          <w:t>פקודת הסמים המסוכנים</w:t>
        </w:r>
      </w:hyperlink>
      <w:r>
        <w:rPr>
          <w:rtl/>
        </w:rPr>
        <w:t xml:space="preserve">. </w:t>
      </w:r>
    </w:p>
    <w:p w14:paraId="38CEC421" w14:textId="77777777" w:rsidR="00C51CB5" w:rsidRDefault="00C51CB5" w:rsidP="00C51CB5">
      <w:pPr>
        <w:spacing w:line="360" w:lineRule="auto"/>
        <w:jc w:val="both"/>
        <w:rPr>
          <w:rtl/>
        </w:rPr>
      </w:pPr>
    </w:p>
    <w:p w14:paraId="6F46E959" w14:textId="77777777" w:rsidR="00C51CB5" w:rsidRDefault="00C51CB5" w:rsidP="00C51CB5">
      <w:pPr>
        <w:numPr>
          <w:ilvl w:val="0"/>
          <w:numId w:val="3"/>
        </w:numPr>
        <w:spacing w:after="160" w:line="360" w:lineRule="auto"/>
        <w:contextualSpacing/>
        <w:jc w:val="both"/>
        <w:rPr>
          <w:rtl/>
        </w:rPr>
      </w:pPr>
      <w:r>
        <w:rPr>
          <w:rtl/>
        </w:rPr>
        <w:t>קנס בסך 1,200 ₪ או 30 ימי מאסר תמורתו.</w:t>
      </w:r>
    </w:p>
    <w:p w14:paraId="0E72E07D" w14:textId="77777777" w:rsidR="00C51CB5" w:rsidRDefault="00C51CB5" w:rsidP="00C51CB5">
      <w:pPr>
        <w:spacing w:line="360" w:lineRule="auto"/>
        <w:ind w:left="1080"/>
        <w:contextualSpacing/>
        <w:jc w:val="both"/>
        <w:rPr>
          <w:rtl/>
        </w:rPr>
      </w:pPr>
      <w:r>
        <w:rPr>
          <w:rtl/>
        </w:rPr>
        <w:t xml:space="preserve">הקנס ישולם ב-4 תשלומים שווים ורצופים, החל מיום 1.5.24  וב-1 לכל חודש שלאחריו.  </w:t>
      </w:r>
    </w:p>
    <w:p w14:paraId="681AD747" w14:textId="77777777" w:rsidR="00C51CB5" w:rsidRDefault="00C51CB5" w:rsidP="00C51CB5">
      <w:pPr>
        <w:pStyle w:val="a9"/>
        <w:bidi/>
        <w:ind w:left="1080"/>
        <w:jc w:val="both"/>
        <w:rPr>
          <w:rtl/>
        </w:rPr>
      </w:pPr>
      <w:r>
        <w:rPr>
          <w:rtl/>
        </w:rPr>
        <w:t xml:space="preserve">באם אחד מהתשלומים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68C19DA6" w14:textId="77777777" w:rsidR="00C51CB5" w:rsidRDefault="00C51CB5" w:rsidP="00C51CB5">
      <w:pPr>
        <w:pStyle w:val="a9"/>
        <w:bidi/>
        <w:ind w:left="1080"/>
        <w:jc w:val="both"/>
        <w:rPr>
          <w:rtl/>
        </w:rPr>
      </w:pPr>
    </w:p>
    <w:p w14:paraId="66C9E7DB" w14:textId="77777777" w:rsidR="00C51CB5" w:rsidRDefault="00C51CB5" w:rsidP="00C51CB5">
      <w:pPr>
        <w:pStyle w:val="a9"/>
        <w:numPr>
          <w:ilvl w:val="0"/>
          <w:numId w:val="3"/>
        </w:numPr>
        <w:bidi/>
        <w:jc w:val="both"/>
        <w:rPr>
          <w:rtl/>
        </w:rPr>
      </w:pPr>
      <w:r>
        <w:rPr>
          <w:rtl/>
        </w:rPr>
        <w:t>מורה על הפעלת ההתחייבות בסך של 2,500 ₪, עליה חתם הנאשם ב</w:t>
      </w:r>
      <w:hyperlink r:id="rId26"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 xml:space="preserve">. </w:t>
      </w:r>
    </w:p>
    <w:p w14:paraId="6AD0B4BE" w14:textId="77777777" w:rsidR="00C51CB5" w:rsidRDefault="00C51CB5" w:rsidP="00C51CB5">
      <w:pPr>
        <w:pStyle w:val="a9"/>
        <w:bidi/>
        <w:ind w:left="1080"/>
        <w:jc w:val="both"/>
      </w:pPr>
      <w:r>
        <w:rPr>
          <w:rtl/>
        </w:rPr>
        <w:t xml:space="preserve">הסכום ישולם ב-5 תשלומים שווים ורצופים, החל מיום 1.5.24 וב-1 לכל חודש שלאחריו.  </w:t>
      </w:r>
    </w:p>
    <w:p w14:paraId="63B2C459" w14:textId="77777777" w:rsidR="00C51CB5" w:rsidRDefault="00C51CB5" w:rsidP="00C51CB5">
      <w:pPr>
        <w:pStyle w:val="a9"/>
        <w:bidi/>
        <w:ind w:left="1080"/>
        <w:jc w:val="both"/>
        <w:rPr>
          <w:rtl/>
        </w:rPr>
      </w:pPr>
      <w:r>
        <w:rPr>
          <w:rtl/>
        </w:rPr>
        <w:t xml:space="preserve">באם אחד מהתשלומים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5C2376C0" w14:textId="77777777" w:rsidR="00C51CB5" w:rsidRDefault="00C51CB5" w:rsidP="00C51CB5">
      <w:pPr>
        <w:spacing w:line="360" w:lineRule="auto"/>
        <w:jc w:val="both"/>
        <w:rPr>
          <w:rtl/>
        </w:rPr>
      </w:pPr>
    </w:p>
    <w:p w14:paraId="578F9D95" w14:textId="77777777" w:rsidR="00C51CB5" w:rsidRDefault="00C51CB5" w:rsidP="00C51CB5">
      <w:pPr>
        <w:numPr>
          <w:ilvl w:val="0"/>
          <w:numId w:val="3"/>
        </w:numPr>
        <w:spacing w:after="160" w:line="360" w:lineRule="auto"/>
        <w:contextualSpacing/>
        <w:jc w:val="both"/>
      </w:pPr>
      <w:r>
        <w:rPr>
          <w:rtl/>
        </w:rPr>
        <w:t xml:space="preserve">הנאשם יצהיר ויתחייב כי היה ויעבור במשך שנתיים מהיום עבירה בה הורשע או עבירה לפי </w:t>
      </w:r>
      <w:hyperlink r:id="rId27" w:history="1">
        <w:r w:rsidR="00850F79" w:rsidRPr="00850F79">
          <w:rPr>
            <w:color w:val="0000FF"/>
            <w:u w:val="single"/>
            <w:rtl/>
          </w:rPr>
          <w:t>פקודת הסמים המסוכנים</w:t>
        </w:r>
      </w:hyperlink>
      <w:r>
        <w:rPr>
          <w:rtl/>
        </w:rPr>
        <w:t xml:space="preserve">, ישלם את הסך של 2500 ₪. לא יצהיר, יתווספו 10 ימים למאסרו. </w:t>
      </w:r>
    </w:p>
    <w:p w14:paraId="3B9D444E" w14:textId="77777777" w:rsidR="00C51CB5" w:rsidRDefault="00C51CB5" w:rsidP="00C51CB5">
      <w:pPr>
        <w:spacing w:line="360" w:lineRule="auto"/>
        <w:jc w:val="both"/>
        <w:rPr>
          <w:b/>
          <w:bCs/>
          <w:rtl/>
        </w:rPr>
      </w:pPr>
    </w:p>
    <w:p w14:paraId="1B5242C0" w14:textId="77777777" w:rsidR="00C51CB5" w:rsidRDefault="00C51CB5" w:rsidP="00C51CB5">
      <w:pPr>
        <w:spacing w:line="360" w:lineRule="auto"/>
        <w:jc w:val="both"/>
        <w:rPr>
          <w:rtl/>
        </w:rPr>
      </w:pPr>
    </w:p>
    <w:p w14:paraId="3DD76E22" w14:textId="77777777" w:rsidR="00C51CB5" w:rsidRDefault="00C51CB5" w:rsidP="00C51CB5">
      <w:pPr>
        <w:spacing w:line="360" w:lineRule="auto"/>
        <w:jc w:val="both"/>
        <w:rPr>
          <w:b/>
          <w:bCs/>
          <w:u w:val="single"/>
          <w:rtl/>
        </w:rPr>
      </w:pPr>
      <w:r>
        <w:rPr>
          <w:b/>
          <w:bCs/>
          <w:u w:val="single"/>
          <w:rtl/>
        </w:rPr>
        <w:t>המזכירות תעביר עותק מגזר הדין לממונה על עבודות השירות.</w:t>
      </w:r>
    </w:p>
    <w:p w14:paraId="0CA8D28A" w14:textId="77777777" w:rsidR="00C51CB5" w:rsidRDefault="00C51CB5" w:rsidP="00C51CB5">
      <w:pPr>
        <w:spacing w:line="360" w:lineRule="auto"/>
        <w:jc w:val="both"/>
        <w:rPr>
          <w:b/>
          <w:bCs/>
          <w:u w:val="single"/>
          <w:rtl/>
        </w:rPr>
      </w:pPr>
    </w:p>
    <w:p w14:paraId="43A1B6D9" w14:textId="77777777" w:rsidR="00C51CB5" w:rsidRDefault="00C51CB5" w:rsidP="00C51CB5">
      <w:pPr>
        <w:spacing w:line="360" w:lineRule="auto"/>
        <w:jc w:val="both"/>
        <w:rPr>
          <w:b/>
          <w:bCs/>
          <w:u w:val="single"/>
          <w:rtl/>
        </w:rPr>
      </w:pPr>
      <w:r>
        <w:rPr>
          <w:b/>
          <w:bCs/>
          <w:u w:val="single"/>
          <w:rtl/>
        </w:rPr>
        <w:t xml:space="preserve">צו להשמדת הסמים והמוצגים. </w:t>
      </w:r>
    </w:p>
    <w:p w14:paraId="2DF07DF2" w14:textId="77777777" w:rsidR="00C51CB5" w:rsidRDefault="00C51CB5" w:rsidP="00C51CB5">
      <w:pPr>
        <w:spacing w:line="360" w:lineRule="auto"/>
        <w:jc w:val="both"/>
        <w:rPr>
          <w:rtl/>
        </w:rPr>
      </w:pPr>
    </w:p>
    <w:p w14:paraId="7E1C81F4" w14:textId="77777777" w:rsidR="00C51CB5" w:rsidRDefault="00850F79" w:rsidP="00C51CB5">
      <w:pPr>
        <w:spacing w:line="360" w:lineRule="auto"/>
        <w:jc w:val="both"/>
        <w:rPr>
          <w:b/>
          <w:bCs/>
          <w:u w:val="single"/>
          <w:rtl/>
        </w:rPr>
      </w:pPr>
      <w:r w:rsidRPr="00850F79">
        <w:rPr>
          <w:b/>
          <w:bCs/>
          <w:color w:val="FFFFFF"/>
          <w:sz w:val="2"/>
          <w:szCs w:val="2"/>
          <w:u w:val="single"/>
          <w:rtl/>
        </w:rPr>
        <w:t>5129371</w:t>
      </w:r>
      <w:r w:rsidR="00C51CB5">
        <w:rPr>
          <w:b/>
          <w:bCs/>
          <w:u w:val="single"/>
          <w:rtl/>
        </w:rPr>
        <w:t>זכות ערעור בתוך 45 יום מהיום.</w:t>
      </w:r>
    </w:p>
    <w:p w14:paraId="26B27410" w14:textId="77777777" w:rsidR="00C51CB5" w:rsidRPr="00850F79" w:rsidRDefault="00850F79" w:rsidP="00C51CB5">
      <w:pPr>
        <w:spacing w:line="360" w:lineRule="auto"/>
        <w:jc w:val="both"/>
        <w:rPr>
          <w:color w:val="FFFFFF"/>
          <w:sz w:val="2"/>
          <w:szCs w:val="2"/>
        </w:rPr>
      </w:pPr>
      <w:r w:rsidRPr="00850F79">
        <w:rPr>
          <w:color w:val="FFFFFF"/>
          <w:sz w:val="2"/>
          <w:szCs w:val="2"/>
          <w:rtl/>
        </w:rPr>
        <w:t>54678313</w:t>
      </w:r>
    </w:p>
    <w:p w14:paraId="271B5E8F" w14:textId="77777777" w:rsidR="00C51CB5" w:rsidRPr="002B7D23" w:rsidRDefault="00C51CB5" w:rsidP="00C51CB5">
      <w:pPr>
        <w:spacing w:line="256" w:lineRule="auto"/>
        <w:jc w:val="both"/>
        <w:rPr>
          <w:rFonts w:ascii="David" w:hAnsi="David"/>
          <w:sz w:val="26"/>
          <w:szCs w:val="26"/>
        </w:rPr>
      </w:pPr>
      <w:r>
        <w:rPr>
          <w:rtl/>
        </w:rPr>
        <w:t xml:space="preserve"> </w:t>
      </w:r>
      <w:r w:rsidRPr="002B7D23">
        <w:rPr>
          <w:rFonts w:ascii="David" w:hAnsi="David"/>
          <w:sz w:val="26"/>
          <w:szCs w:val="26"/>
          <w:rtl/>
        </w:rPr>
        <w:t xml:space="preserve">ניתן היום,  </w:t>
      </w:r>
      <w:r>
        <w:rPr>
          <w:rFonts w:ascii="David" w:hAnsi="David"/>
          <w:sz w:val="26"/>
          <w:szCs w:val="26"/>
          <w:rtl/>
        </w:rPr>
        <w:t>כ"ט אדר ב' תשפ"ד</w:t>
      </w:r>
      <w:r w:rsidRPr="002B7D23">
        <w:rPr>
          <w:rFonts w:ascii="David" w:hAnsi="David"/>
          <w:sz w:val="26"/>
          <w:szCs w:val="26"/>
          <w:rtl/>
        </w:rPr>
        <w:t xml:space="preserve">, </w:t>
      </w:r>
      <w:r>
        <w:rPr>
          <w:rFonts w:ascii="David" w:hAnsi="David" w:hint="cs"/>
          <w:sz w:val="26"/>
          <w:szCs w:val="26"/>
          <w:rtl/>
        </w:rPr>
        <w:t>08 אפריל 2024</w:t>
      </w:r>
      <w:r w:rsidRPr="002B7D23">
        <w:rPr>
          <w:rFonts w:ascii="David" w:hAnsi="David"/>
          <w:sz w:val="26"/>
          <w:szCs w:val="26"/>
          <w:rtl/>
        </w:rPr>
        <w:t>, ב</w:t>
      </w:r>
      <w:r>
        <w:rPr>
          <w:rFonts w:ascii="David" w:hAnsi="David" w:hint="cs"/>
          <w:sz w:val="26"/>
          <w:szCs w:val="26"/>
          <w:rtl/>
        </w:rPr>
        <w:t>נוכחות הנאשם וב"כ</w:t>
      </w:r>
      <w:r w:rsidRPr="002B7D23">
        <w:rPr>
          <w:rFonts w:ascii="David" w:hAnsi="David"/>
          <w:sz w:val="26"/>
          <w:szCs w:val="26"/>
          <w:rtl/>
        </w:rPr>
        <w:t xml:space="preserve"> הצדדים.</w:t>
      </w:r>
    </w:p>
    <w:p w14:paraId="60075822" w14:textId="77777777" w:rsidR="00C51CB5" w:rsidRPr="002B7D23" w:rsidRDefault="00C51CB5" w:rsidP="00C51CB5">
      <w:pPr>
        <w:rPr>
          <w:rFonts w:ascii="David" w:hAnsi="David"/>
          <w:sz w:val="26"/>
          <w:szCs w:val="26"/>
          <w:rtl/>
        </w:rPr>
      </w:pPr>
    </w:p>
    <w:p w14:paraId="14CCF56F" w14:textId="77777777" w:rsidR="00850F79" w:rsidRDefault="00850F79" w:rsidP="00850F79">
      <w:pPr>
        <w:rPr>
          <w:rtl/>
        </w:rPr>
      </w:pPr>
    </w:p>
    <w:p w14:paraId="15F05814" w14:textId="77777777" w:rsidR="00850F79" w:rsidRDefault="00850F79" w:rsidP="00850F79">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06FA5F2" w14:textId="77777777" w:rsidR="00C55C14" w:rsidRPr="00C55C14" w:rsidRDefault="00C55C14" w:rsidP="00C55C14">
      <w:pPr>
        <w:keepNext/>
        <w:rPr>
          <w:rFonts w:ascii="David" w:hAnsi="David"/>
          <w:color w:val="000000"/>
          <w:sz w:val="22"/>
          <w:szCs w:val="22"/>
          <w:rtl/>
        </w:rPr>
      </w:pPr>
    </w:p>
    <w:p w14:paraId="163E14FA" w14:textId="77777777" w:rsidR="00C55C14" w:rsidRPr="00C55C14" w:rsidRDefault="00C55C14" w:rsidP="00C55C14">
      <w:pPr>
        <w:keepNext/>
        <w:rPr>
          <w:rFonts w:ascii="David" w:hAnsi="David"/>
          <w:color w:val="000000"/>
          <w:sz w:val="22"/>
          <w:szCs w:val="22"/>
          <w:rtl/>
        </w:rPr>
      </w:pPr>
      <w:r w:rsidRPr="00C55C14">
        <w:rPr>
          <w:rFonts w:ascii="David" w:hAnsi="David"/>
          <w:color w:val="000000"/>
          <w:sz w:val="22"/>
          <w:szCs w:val="22"/>
          <w:rtl/>
        </w:rPr>
        <w:t>טל אוסטפלד נאוי 54678313-/</w:t>
      </w:r>
    </w:p>
    <w:p w14:paraId="66B7690D" w14:textId="77777777" w:rsidR="00850F79" w:rsidRPr="00850F79" w:rsidRDefault="00C55C14" w:rsidP="00C55C14">
      <w:pPr>
        <w:rPr>
          <w:color w:val="0000FF"/>
          <w:u w:val="single"/>
        </w:rPr>
      </w:pPr>
      <w:r w:rsidRPr="00C55C14">
        <w:rPr>
          <w:color w:val="000000"/>
          <w:u w:val="single"/>
          <w:rtl/>
        </w:rPr>
        <w:t>נוסח מסמך זה כפוף לשינויי ניסוח ועריכה</w:t>
      </w:r>
    </w:p>
    <w:sectPr w:rsidR="00850F79" w:rsidRPr="00850F79" w:rsidSect="00C55C1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A02DA" w14:textId="77777777" w:rsidR="00E327D0" w:rsidRDefault="00E327D0" w:rsidP="004801EE">
      <w:r>
        <w:separator/>
      </w:r>
    </w:p>
  </w:endnote>
  <w:endnote w:type="continuationSeparator" w:id="0">
    <w:p w14:paraId="2F7C6C86" w14:textId="77777777" w:rsidR="00E327D0" w:rsidRDefault="00E327D0" w:rsidP="0048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A1877" w14:textId="77777777" w:rsidR="00C55C14" w:rsidRDefault="00C55C14" w:rsidP="00C55C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D9766E" w14:textId="77777777" w:rsidR="006E11EF" w:rsidRPr="00C55C14" w:rsidRDefault="00C55C14" w:rsidP="00C55C14">
    <w:pPr>
      <w:pStyle w:val="a5"/>
      <w:pBdr>
        <w:top w:val="single" w:sz="4" w:space="1" w:color="auto"/>
        <w:between w:val="single" w:sz="4" w:space="0" w:color="auto"/>
      </w:pBdr>
      <w:spacing w:after="60"/>
      <w:jc w:val="center"/>
      <w:rPr>
        <w:rFonts w:ascii="FrankRuehl" w:hAnsi="FrankRuehl" w:cs="FrankRuehl"/>
        <w:color w:val="000000"/>
      </w:rPr>
    </w:pPr>
    <w:r w:rsidRPr="00C55C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F8F98" w14:textId="77777777" w:rsidR="00C55C14" w:rsidRDefault="00C55C14" w:rsidP="00C55C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1578">
      <w:rPr>
        <w:rFonts w:ascii="FrankRuehl" w:hAnsi="FrankRuehl" w:cs="FrankRuehl"/>
        <w:noProof/>
        <w:rtl/>
      </w:rPr>
      <w:t>1</w:t>
    </w:r>
    <w:r>
      <w:rPr>
        <w:rFonts w:ascii="FrankRuehl" w:hAnsi="FrankRuehl" w:cs="FrankRuehl"/>
        <w:rtl/>
      </w:rPr>
      <w:fldChar w:fldCharType="end"/>
    </w:r>
  </w:p>
  <w:p w14:paraId="73E488AA" w14:textId="77777777" w:rsidR="006E11EF" w:rsidRPr="00C55C14" w:rsidRDefault="00C55C14" w:rsidP="00C55C14">
    <w:pPr>
      <w:pStyle w:val="a5"/>
      <w:pBdr>
        <w:top w:val="single" w:sz="4" w:space="1" w:color="auto"/>
        <w:between w:val="single" w:sz="4" w:space="0" w:color="auto"/>
      </w:pBdr>
      <w:spacing w:after="60"/>
      <w:jc w:val="center"/>
      <w:rPr>
        <w:rFonts w:ascii="FrankRuehl" w:hAnsi="FrankRuehl" w:cs="FrankRuehl"/>
        <w:color w:val="000000"/>
      </w:rPr>
    </w:pPr>
    <w:r w:rsidRPr="00C55C14">
      <w:rPr>
        <w:rFonts w:ascii="FrankRuehl" w:hAnsi="FrankRuehl" w:cs="FrankRuehl"/>
        <w:color w:val="000000"/>
      </w:rPr>
      <w:pict w14:anchorId="7462F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B4E34" w14:textId="77777777" w:rsidR="00E327D0" w:rsidRDefault="00E327D0" w:rsidP="004801EE">
      <w:r>
        <w:separator/>
      </w:r>
    </w:p>
  </w:footnote>
  <w:footnote w:type="continuationSeparator" w:id="0">
    <w:p w14:paraId="08FB0AEB" w14:textId="77777777" w:rsidR="00E327D0" w:rsidRDefault="00E327D0" w:rsidP="00480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295D" w14:textId="77777777" w:rsidR="00850F79" w:rsidRPr="00C55C14" w:rsidRDefault="00C55C14" w:rsidP="00C55C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55444-10-21</w:t>
    </w:r>
    <w:r>
      <w:rPr>
        <w:rFonts w:ascii="David" w:hAnsi="David"/>
        <w:color w:val="000000"/>
        <w:sz w:val="22"/>
        <w:szCs w:val="22"/>
        <w:rtl/>
      </w:rPr>
      <w:tab/>
      <w:t xml:space="preserve"> מדינת ישראל נ' יצחק ברדה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31CA5" w14:textId="77777777" w:rsidR="00850F79" w:rsidRPr="00C55C14" w:rsidRDefault="00C55C14" w:rsidP="00C55C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55444-10-21</w:t>
    </w:r>
    <w:r>
      <w:rPr>
        <w:rFonts w:ascii="David" w:hAnsi="David"/>
        <w:color w:val="000000"/>
        <w:sz w:val="22"/>
        <w:szCs w:val="22"/>
        <w:rtl/>
      </w:rPr>
      <w:tab/>
      <w:t xml:space="preserve"> מדינת ישראל נ' יצחק ברדה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533"/>
    <w:multiLevelType w:val="hybridMultilevel"/>
    <w:tmpl w:val="53DC7460"/>
    <w:lvl w:ilvl="0" w:tplc="04090013">
      <w:start w:val="1"/>
      <w:numFmt w:val="hebrew1"/>
      <w:lvlText w:val="%1."/>
      <w:lvlJc w:val="center"/>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B4107A6"/>
    <w:multiLevelType w:val="hybridMultilevel"/>
    <w:tmpl w:val="F07444C8"/>
    <w:lvl w:ilvl="0" w:tplc="2A36D3D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61F7FE8"/>
    <w:multiLevelType w:val="hybridMultilevel"/>
    <w:tmpl w:val="62804E02"/>
    <w:lvl w:ilvl="0" w:tplc="265C0EE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11909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754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6439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1CB5"/>
    <w:rsid w:val="000B765F"/>
    <w:rsid w:val="001B5A3B"/>
    <w:rsid w:val="002210AA"/>
    <w:rsid w:val="002A5C9F"/>
    <w:rsid w:val="004801EE"/>
    <w:rsid w:val="006E11EF"/>
    <w:rsid w:val="007E5EFE"/>
    <w:rsid w:val="00850F79"/>
    <w:rsid w:val="00864B25"/>
    <w:rsid w:val="00AE1578"/>
    <w:rsid w:val="00BC373C"/>
    <w:rsid w:val="00C51CB5"/>
    <w:rsid w:val="00C55C14"/>
    <w:rsid w:val="00E327D0"/>
    <w:rsid w:val="00F90E6C"/>
    <w:rsid w:val="00FC3C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C6F197"/>
  <w15:chartTrackingRefBased/>
  <w15:docId w15:val="{3EEAB162-FE3D-45D9-A4AE-BB4F4E23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1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1CB5"/>
    <w:pPr>
      <w:tabs>
        <w:tab w:val="center" w:pos="4153"/>
        <w:tab w:val="right" w:pos="8306"/>
      </w:tabs>
    </w:pPr>
  </w:style>
  <w:style w:type="character" w:customStyle="1" w:styleId="a4">
    <w:name w:val="כותרת עליונה תו"/>
    <w:link w:val="a3"/>
    <w:rsid w:val="00C51CB5"/>
    <w:rPr>
      <w:rFonts w:ascii="Times New Roman" w:eastAsia="Times New Roman" w:hAnsi="Times New Roman" w:cs="David"/>
      <w:sz w:val="24"/>
      <w:szCs w:val="24"/>
    </w:rPr>
  </w:style>
  <w:style w:type="paragraph" w:styleId="a5">
    <w:name w:val="footer"/>
    <w:basedOn w:val="a"/>
    <w:link w:val="a6"/>
    <w:rsid w:val="00C51CB5"/>
    <w:pPr>
      <w:tabs>
        <w:tab w:val="center" w:pos="4153"/>
        <w:tab w:val="right" w:pos="8306"/>
      </w:tabs>
    </w:pPr>
  </w:style>
  <w:style w:type="character" w:customStyle="1" w:styleId="a6">
    <w:name w:val="כותרת תחתונה תו"/>
    <w:link w:val="a5"/>
    <w:rsid w:val="00C51CB5"/>
    <w:rPr>
      <w:rFonts w:ascii="Times New Roman" w:eastAsia="Times New Roman" w:hAnsi="Times New Roman" w:cs="David"/>
      <w:sz w:val="24"/>
      <w:szCs w:val="24"/>
    </w:rPr>
  </w:style>
  <w:style w:type="table" w:styleId="a7">
    <w:name w:val="Table Grid"/>
    <w:basedOn w:val="a1"/>
    <w:rsid w:val="00C51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1CB5"/>
  </w:style>
  <w:style w:type="paragraph" w:styleId="a9">
    <w:name w:val="List Paragraph"/>
    <w:basedOn w:val="a"/>
    <w:qFormat/>
    <w:rsid w:val="00C51CB5"/>
    <w:pPr>
      <w:bidi w:val="0"/>
      <w:spacing w:after="160" w:line="360" w:lineRule="auto"/>
      <w:ind w:left="720"/>
      <w:contextualSpacing/>
    </w:pPr>
    <w:rPr>
      <w:rFonts w:ascii="Calibri" w:eastAsia="Calibri" w:hAnsi="Calibri"/>
      <w:sz w:val="22"/>
    </w:rPr>
  </w:style>
  <w:style w:type="character" w:styleId="Hyperlink">
    <w:name w:val="Hyperlink"/>
    <w:rsid w:val="00850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268880" TargetMode="External"/><Relationship Id="rId26" Type="http://schemas.openxmlformats.org/officeDocument/2006/relationships/hyperlink" Target="http://www.nevo.co.il/case/23638638" TargetMode="External"/><Relationship Id="rId3" Type="http://schemas.openxmlformats.org/officeDocument/2006/relationships/settings" Target="settings.xml"/><Relationship Id="rId21" Type="http://schemas.openxmlformats.org/officeDocument/2006/relationships/hyperlink" Target="http://www.nevo.co.il/law/70301/144.a"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9396498" TargetMode="External"/><Relationship Id="rId25" Type="http://schemas.openxmlformats.org/officeDocument/2006/relationships/hyperlink" Target="http://www.nevo.co.il/law/421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638638" TargetMode="External"/><Relationship Id="rId20" Type="http://schemas.openxmlformats.org/officeDocument/2006/relationships/hyperlink" Target="http://www.nevo.co.il/case/2937228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363863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21281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939649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2489</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14908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4128882</vt:i4>
      </vt:variant>
      <vt:variant>
        <vt:i4>57</vt:i4>
      </vt:variant>
      <vt:variant>
        <vt:i4>0</vt:i4>
      </vt:variant>
      <vt:variant>
        <vt:i4>5</vt:i4>
      </vt:variant>
      <vt:variant>
        <vt:lpwstr>http://www.nevo.co.il/case/23638638</vt:lpwstr>
      </vt:variant>
      <vt:variant>
        <vt:lpwstr/>
      </vt:variant>
      <vt:variant>
        <vt:i4>8257637</vt:i4>
      </vt:variant>
      <vt:variant>
        <vt:i4>54</vt:i4>
      </vt:variant>
      <vt:variant>
        <vt:i4>0</vt:i4>
      </vt:variant>
      <vt:variant>
        <vt:i4>5</vt:i4>
      </vt:variant>
      <vt:variant>
        <vt:lpwstr>http://www.nevo.co.il/law/4216</vt:lpwstr>
      </vt:variant>
      <vt:variant>
        <vt:lpwstr/>
      </vt:variant>
      <vt:variant>
        <vt:i4>4128882</vt:i4>
      </vt:variant>
      <vt:variant>
        <vt:i4>51</vt:i4>
      </vt:variant>
      <vt:variant>
        <vt:i4>0</vt:i4>
      </vt:variant>
      <vt:variant>
        <vt:i4>5</vt:i4>
      </vt:variant>
      <vt:variant>
        <vt:lpwstr>http://www.nevo.co.il/case/23638638</vt:lpwstr>
      </vt:variant>
      <vt:variant>
        <vt:lpwstr/>
      </vt:variant>
      <vt:variant>
        <vt:i4>3342458</vt:i4>
      </vt:variant>
      <vt:variant>
        <vt:i4>48</vt:i4>
      </vt:variant>
      <vt:variant>
        <vt:i4>0</vt:i4>
      </vt:variant>
      <vt:variant>
        <vt:i4>5</vt:i4>
      </vt:variant>
      <vt:variant>
        <vt:lpwstr>http://www.nevo.co.il/case/27212817</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3866744</vt:i4>
      </vt:variant>
      <vt:variant>
        <vt:i4>39</vt:i4>
      </vt:variant>
      <vt:variant>
        <vt:i4>0</vt:i4>
      </vt:variant>
      <vt:variant>
        <vt:i4>5</vt:i4>
      </vt:variant>
      <vt:variant>
        <vt:lpwstr>http://www.nevo.co.il/case/29372283</vt:lpwstr>
      </vt:variant>
      <vt:variant>
        <vt:lpwstr/>
      </vt:variant>
      <vt:variant>
        <vt:i4>4063344</vt:i4>
      </vt:variant>
      <vt:variant>
        <vt:i4>36</vt:i4>
      </vt:variant>
      <vt:variant>
        <vt:i4>0</vt:i4>
      </vt:variant>
      <vt:variant>
        <vt:i4>5</vt:i4>
      </vt:variant>
      <vt:variant>
        <vt:lpwstr>http://www.nevo.co.il/case/29396498</vt:lpwstr>
      </vt:variant>
      <vt:variant>
        <vt:lpwstr/>
      </vt:variant>
      <vt:variant>
        <vt:i4>3145842</vt:i4>
      </vt:variant>
      <vt:variant>
        <vt:i4>33</vt:i4>
      </vt:variant>
      <vt:variant>
        <vt:i4>0</vt:i4>
      </vt:variant>
      <vt:variant>
        <vt:i4>5</vt:i4>
      </vt:variant>
      <vt:variant>
        <vt:lpwstr>http://www.nevo.co.il/case/28268880</vt:lpwstr>
      </vt:variant>
      <vt:variant>
        <vt:lpwstr/>
      </vt:variant>
      <vt:variant>
        <vt:i4>4063344</vt:i4>
      </vt:variant>
      <vt:variant>
        <vt:i4>30</vt:i4>
      </vt:variant>
      <vt:variant>
        <vt:i4>0</vt:i4>
      </vt:variant>
      <vt:variant>
        <vt:i4>5</vt:i4>
      </vt:variant>
      <vt:variant>
        <vt:lpwstr>http://www.nevo.co.il/case/29396498</vt:lpwstr>
      </vt:variant>
      <vt:variant>
        <vt:lpwstr/>
      </vt:variant>
      <vt:variant>
        <vt:i4>4128882</vt:i4>
      </vt:variant>
      <vt:variant>
        <vt:i4>27</vt:i4>
      </vt:variant>
      <vt:variant>
        <vt:i4>0</vt:i4>
      </vt:variant>
      <vt:variant>
        <vt:i4>5</vt:i4>
      </vt:variant>
      <vt:variant>
        <vt:lpwstr>http://www.nevo.co.il/case/23638638</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55444</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יצחק ברדה</vt:lpwstr>
  </property>
  <property fmtid="{D5CDD505-2E9C-101B-9397-08002B2CF9AE}" pid="10" name="JUDGE">
    <vt:lpwstr>טל אוסטפלד נאוי</vt:lpwstr>
  </property>
  <property fmtid="{D5CDD505-2E9C-101B-9397-08002B2CF9AE}" pid="11" name="CITY">
    <vt:lpwstr>ראשל"צ</vt:lpwstr>
  </property>
  <property fmtid="{D5CDD505-2E9C-101B-9397-08002B2CF9AE}" pid="12" name="TYPE_N_DATE">
    <vt:lpwstr>3801900001</vt:lpwstr>
  </property>
  <property fmtid="{D5CDD505-2E9C-101B-9397-08002B2CF9AE}" pid="13" name="WORDNUMPAGES">
    <vt:lpwstr>9</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20240408</vt:lpwstr>
  </property>
  <property fmtid="{D5CDD505-2E9C-101B-9397-08002B2CF9AE}" pid="33" name="ISABSTRACT">
    <vt:lpwstr>Y</vt:lpwstr>
  </property>
  <property fmtid="{D5CDD505-2E9C-101B-9397-08002B2CF9AE}" pid="34" name="CASESLISTTMP1">
    <vt:lpwstr>23638638:3;29396498:2;28268880;29372283;27212817</vt:lpwstr>
  </property>
  <property fmtid="{D5CDD505-2E9C-101B-9397-08002B2CF9AE}" pid="35" name="LAWLISTTMP1">
    <vt:lpwstr>4216/007.a;007.c</vt:lpwstr>
  </property>
  <property fmtid="{D5CDD505-2E9C-101B-9397-08002B2CF9AE}" pid="36" name="LAWLISTTMP2">
    <vt:lpwstr>70301/144.a:2</vt:lpwstr>
  </property>
</Properties>
</file>