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307"/>
      </w:tblGrid>
      <w:tr w:rsidR="00AE421E" w:rsidRPr="0029639B" w14:paraId="040E6EE4" w14:textId="77777777" w:rsidTr="007D1545">
        <w:trPr>
          <w:trHeight w:hRule="exact" w:val="418"/>
          <w:jc w:val="center"/>
        </w:trPr>
        <w:tc>
          <w:tcPr>
            <w:tcW w:w="8307" w:type="dxa"/>
          </w:tcPr>
          <w:p w14:paraId="5E768663" w14:textId="77777777" w:rsidR="00AE421E" w:rsidRPr="0029639B" w:rsidRDefault="00AE421E" w:rsidP="007D1545">
            <w:pPr>
              <w:pStyle w:val="a3"/>
              <w:jc w:val="center"/>
              <w:rPr>
                <w:rFonts w:ascii="Tahoma" w:hAnsi="Tahoma"/>
                <w:color w:val="000080"/>
                <w:sz w:val="32"/>
                <w:szCs w:val="32"/>
                <w:rtl/>
              </w:rPr>
            </w:pPr>
            <w:bookmarkStart w:id="0" w:name="LastJudge"/>
            <w:r w:rsidRPr="0029639B">
              <w:rPr>
                <w:rFonts w:ascii="Tahoma" w:hAnsi="Tahoma"/>
                <w:b/>
                <w:bCs/>
                <w:color w:val="000080"/>
                <w:sz w:val="32"/>
                <w:szCs w:val="32"/>
                <w:rtl/>
              </w:rPr>
              <w:t>בית משפט השלום בתל אביב - יפו</w:t>
            </w:r>
          </w:p>
        </w:tc>
      </w:tr>
      <w:tr w:rsidR="00AE421E" w:rsidRPr="0029639B" w14:paraId="59C598B0" w14:textId="77777777" w:rsidTr="007D1545">
        <w:trPr>
          <w:trHeight w:val="337"/>
          <w:jc w:val="center"/>
        </w:trPr>
        <w:tc>
          <w:tcPr>
            <w:tcW w:w="8307" w:type="dxa"/>
          </w:tcPr>
          <w:p w14:paraId="38C0DC06" w14:textId="77777777" w:rsidR="00AE421E" w:rsidRPr="0029639B" w:rsidRDefault="00AE421E" w:rsidP="007D1545">
            <w:pPr>
              <w:pStyle w:val="a3"/>
              <w:spacing w:line="360" w:lineRule="auto"/>
              <w:rPr>
                <w:rFonts w:cs="FrankRuehl"/>
                <w:sz w:val="28"/>
                <w:szCs w:val="28"/>
                <w:rtl/>
              </w:rPr>
            </w:pPr>
            <w:r w:rsidRPr="0029639B">
              <w:rPr>
                <w:b/>
                <w:bCs/>
                <w:sz w:val="26"/>
                <w:szCs w:val="26"/>
                <w:rtl/>
              </w:rPr>
              <w:t>ת"פ</w:t>
            </w:r>
            <w:r w:rsidRPr="0029639B">
              <w:rPr>
                <w:rFonts w:hint="cs"/>
                <w:b/>
                <w:bCs/>
                <w:sz w:val="26"/>
                <w:szCs w:val="26"/>
                <w:rtl/>
              </w:rPr>
              <w:t xml:space="preserve"> </w:t>
            </w:r>
            <w:r w:rsidRPr="0029639B">
              <w:rPr>
                <w:b/>
                <w:bCs/>
                <w:sz w:val="26"/>
                <w:szCs w:val="26"/>
                <w:rtl/>
              </w:rPr>
              <w:t>62155-10-21</w:t>
            </w:r>
            <w:r w:rsidRPr="0029639B">
              <w:rPr>
                <w:rFonts w:hint="cs"/>
                <w:b/>
                <w:bCs/>
                <w:sz w:val="26"/>
                <w:szCs w:val="26"/>
                <w:rtl/>
              </w:rPr>
              <w:t xml:space="preserve"> </w:t>
            </w:r>
            <w:r w:rsidRPr="0029639B">
              <w:rPr>
                <w:b/>
                <w:bCs/>
                <w:sz w:val="26"/>
                <w:szCs w:val="26"/>
                <w:rtl/>
              </w:rPr>
              <w:t xml:space="preserve">מדינת ישראל נ' </w:t>
            </w:r>
            <w:r w:rsidRPr="0029639B">
              <w:rPr>
                <w:b/>
                <w:bCs/>
                <w:sz w:val="26"/>
                <w:szCs w:val="26"/>
              </w:rPr>
              <w:t>Daoud Abdalla</w:t>
            </w:r>
          </w:p>
        </w:tc>
      </w:tr>
    </w:tbl>
    <w:p w14:paraId="0C7F6EDC" w14:textId="77777777" w:rsidR="00AE421E" w:rsidRPr="0029639B" w:rsidRDefault="00AE421E" w:rsidP="00AE421E">
      <w:pPr>
        <w:pStyle w:val="a3"/>
        <w:rPr>
          <w:rtl/>
        </w:rPr>
      </w:pPr>
      <w:r w:rsidRPr="0029639B">
        <w:rPr>
          <w:rFonts w:hint="cs"/>
          <w:rtl/>
        </w:rPr>
        <w:t xml:space="preserve"> </w:t>
      </w:r>
    </w:p>
    <w:p w14:paraId="0FCC9603" w14:textId="77777777" w:rsidR="00AE421E" w:rsidRPr="0029639B" w:rsidRDefault="00AE421E" w:rsidP="00AE421E">
      <w:pPr>
        <w:rPr>
          <w:rFonts w:ascii="David" w:hAnsi="David"/>
          <w:rtl/>
        </w:rPr>
      </w:pPr>
    </w:p>
    <w:p w14:paraId="36A3AB63" w14:textId="77777777" w:rsidR="00AE421E" w:rsidRPr="0029639B" w:rsidRDefault="00AE421E" w:rsidP="00AE421E">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9"/>
        <w:gridCol w:w="3370"/>
      </w:tblGrid>
      <w:tr w:rsidR="00AE421E" w:rsidRPr="0029639B" w14:paraId="5D0673C5" w14:textId="77777777" w:rsidTr="00AE421E">
        <w:trPr>
          <w:trHeight w:val="295"/>
          <w:jc w:val="center"/>
        </w:trPr>
        <w:tc>
          <w:tcPr>
            <w:tcW w:w="8820" w:type="dxa"/>
            <w:gridSpan w:val="3"/>
            <w:tcBorders>
              <w:top w:val="nil"/>
              <w:left w:val="nil"/>
              <w:bottom w:val="nil"/>
              <w:right w:val="nil"/>
            </w:tcBorders>
            <w:shd w:val="clear" w:color="auto" w:fill="auto"/>
          </w:tcPr>
          <w:p w14:paraId="3FF2B494" w14:textId="77777777" w:rsidR="00AE421E" w:rsidRPr="0029639B" w:rsidRDefault="00AE421E" w:rsidP="00AE421E">
            <w:pPr>
              <w:jc w:val="both"/>
              <w:rPr>
                <w:rFonts w:ascii="David" w:hAnsi="David"/>
                <w:b/>
                <w:bCs/>
                <w:sz w:val="26"/>
                <w:szCs w:val="26"/>
              </w:rPr>
            </w:pPr>
            <w:r w:rsidRPr="0029639B">
              <w:rPr>
                <w:rFonts w:ascii="David" w:hAnsi="David" w:hint="cs"/>
                <w:b/>
                <w:bCs/>
                <w:sz w:val="26"/>
                <w:szCs w:val="26"/>
                <w:rtl/>
              </w:rPr>
              <w:t>ל</w:t>
            </w:r>
            <w:r w:rsidRPr="0029639B">
              <w:rPr>
                <w:rFonts w:ascii="David" w:hAnsi="David"/>
                <w:b/>
                <w:bCs/>
                <w:sz w:val="26"/>
                <w:szCs w:val="26"/>
                <w:rtl/>
              </w:rPr>
              <w:t xml:space="preserve">פני </w:t>
            </w:r>
            <w:r w:rsidRPr="0029639B">
              <w:rPr>
                <w:rFonts w:ascii="David" w:hAnsi="David" w:hint="cs"/>
                <w:b/>
                <w:bCs/>
                <w:sz w:val="26"/>
                <w:szCs w:val="26"/>
                <w:rtl/>
              </w:rPr>
              <w:t>כבוד ה</w:t>
            </w:r>
            <w:r w:rsidRPr="0029639B">
              <w:rPr>
                <w:rFonts w:ascii="David" w:hAnsi="David"/>
                <w:b/>
                <w:bCs/>
                <w:sz w:val="26"/>
                <w:szCs w:val="26"/>
                <w:rtl/>
              </w:rPr>
              <w:t>שופט</w:t>
            </w:r>
            <w:r w:rsidRPr="0029639B">
              <w:rPr>
                <w:rFonts w:ascii="David" w:hAnsi="David" w:hint="cs"/>
                <w:b/>
                <w:bCs/>
                <w:sz w:val="26"/>
                <w:szCs w:val="26"/>
                <w:rtl/>
              </w:rPr>
              <w:t xml:space="preserve"> </w:t>
            </w:r>
            <w:r w:rsidRPr="0029639B">
              <w:rPr>
                <w:rFonts w:ascii="David" w:hAnsi="David"/>
                <w:b/>
                <w:bCs/>
                <w:sz w:val="26"/>
                <w:szCs w:val="26"/>
                <w:rtl/>
              </w:rPr>
              <w:t>איתן קורנהאוזר</w:t>
            </w:r>
          </w:p>
        </w:tc>
      </w:tr>
      <w:tr w:rsidR="00AE421E" w:rsidRPr="0029639B" w14:paraId="0537E44F" w14:textId="77777777" w:rsidTr="00AE421E">
        <w:trPr>
          <w:trHeight w:val="355"/>
          <w:jc w:val="center"/>
        </w:trPr>
        <w:tc>
          <w:tcPr>
            <w:tcW w:w="1195" w:type="dxa"/>
            <w:tcBorders>
              <w:top w:val="nil"/>
              <w:left w:val="nil"/>
              <w:bottom w:val="nil"/>
              <w:right w:val="nil"/>
            </w:tcBorders>
            <w:shd w:val="clear" w:color="auto" w:fill="auto"/>
          </w:tcPr>
          <w:p w14:paraId="5B943CE2" w14:textId="77777777" w:rsidR="00AE421E" w:rsidRPr="0029639B" w:rsidRDefault="00AE421E" w:rsidP="00AE421E">
            <w:pPr>
              <w:jc w:val="both"/>
              <w:rPr>
                <w:rFonts w:ascii="David" w:hAnsi="David"/>
                <w:b/>
                <w:bCs/>
                <w:sz w:val="26"/>
                <w:szCs w:val="26"/>
              </w:rPr>
            </w:pPr>
            <w:bookmarkStart w:id="1" w:name="FirstAppellant"/>
            <w:bookmarkStart w:id="2" w:name="FirstLawyer"/>
            <w:r w:rsidRPr="0029639B">
              <w:rPr>
                <w:rFonts w:ascii="David" w:hAnsi="David" w:hint="cs"/>
                <w:b/>
                <w:bCs/>
                <w:sz w:val="26"/>
                <w:szCs w:val="26"/>
                <w:rtl/>
              </w:rPr>
              <w:t>ה</w:t>
            </w:r>
            <w:r w:rsidRPr="0029639B">
              <w:rPr>
                <w:rFonts w:ascii="David" w:hAnsi="David"/>
                <w:b/>
                <w:bCs/>
                <w:sz w:val="26"/>
                <w:szCs w:val="26"/>
                <w:rtl/>
              </w:rPr>
              <w:t>מאשימה</w:t>
            </w:r>
          </w:p>
        </w:tc>
        <w:tc>
          <w:tcPr>
            <w:tcW w:w="4237" w:type="dxa"/>
            <w:tcBorders>
              <w:top w:val="nil"/>
              <w:left w:val="nil"/>
              <w:bottom w:val="nil"/>
              <w:right w:val="nil"/>
            </w:tcBorders>
            <w:shd w:val="clear" w:color="auto" w:fill="auto"/>
          </w:tcPr>
          <w:p w14:paraId="60F08EA7" w14:textId="77777777" w:rsidR="00AE421E" w:rsidRPr="0029639B" w:rsidRDefault="00AE421E" w:rsidP="007D1545">
            <w:pPr>
              <w:rPr>
                <w:rFonts w:ascii="David" w:hAnsi="David"/>
                <w:b/>
                <w:bCs/>
                <w:sz w:val="26"/>
                <w:szCs w:val="26"/>
                <w:rtl/>
              </w:rPr>
            </w:pPr>
            <w:r w:rsidRPr="0029639B">
              <w:rPr>
                <w:rFonts w:ascii="David" w:hAnsi="David"/>
                <w:b/>
                <w:bCs/>
                <w:sz w:val="26"/>
                <w:szCs w:val="26"/>
                <w:rtl/>
              </w:rPr>
              <w:t>מדינת ישראל</w:t>
            </w:r>
          </w:p>
          <w:p w14:paraId="079D93BC" w14:textId="77777777" w:rsidR="00AE421E" w:rsidRPr="0029639B" w:rsidRDefault="00AE421E" w:rsidP="007D1545">
            <w:pPr>
              <w:rPr>
                <w:rFonts w:ascii="David" w:hAnsi="David"/>
                <w:sz w:val="26"/>
                <w:szCs w:val="26"/>
                <w:rtl/>
              </w:rPr>
            </w:pPr>
            <w:r w:rsidRPr="0029639B">
              <w:rPr>
                <w:rFonts w:ascii="David" w:hAnsi="David" w:hint="cs"/>
                <w:sz w:val="26"/>
                <w:szCs w:val="26"/>
                <w:rtl/>
              </w:rPr>
              <w:t>ע"י ב"כ עו"ד אדר עידן</w:t>
            </w:r>
          </w:p>
        </w:tc>
        <w:tc>
          <w:tcPr>
            <w:tcW w:w="3388" w:type="dxa"/>
            <w:tcBorders>
              <w:top w:val="nil"/>
              <w:left w:val="nil"/>
              <w:bottom w:val="nil"/>
              <w:right w:val="nil"/>
            </w:tcBorders>
            <w:shd w:val="clear" w:color="auto" w:fill="auto"/>
          </w:tcPr>
          <w:p w14:paraId="43393876" w14:textId="77777777" w:rsidR="00AE421E" w:rsidRPr="0029639B" w:rsidRDefault="00AE421E" w:rsidP="00AE421E">
            <w:pPr>
              <w:jc w:val="both"/>
              <w:rPr>
                <w:rFonts w:ascii="David" w:hAnsi="David"/>
                <w:sz w:val="26"/>
                <w:szCs w:val="26"/>
              </w:rPr>
            </w:pPr>
          </w:p>
        </w:tc>
      </w:tr>
      <w:bookmarkEnd w:id="1"/>
      <w:bookmarkEnd w:id="2"/>
      <w:tr w:rsidR="00AE421E" w:rsidRPr="0029639B" w14:paraId="7E4E7414" w14:textId="77777777" w:rsidTr="00AE421E">
        <w:trPr>
          <w:trHeight w:val="373"/>
          <w:jc w:val="center"/>
        </w:trPr>
        <w:tc>
          <w:tcPr>
            <w:tcW w:w="1195" w:type="dxa"/>
            <w:tcBorders>
              <w:top w:val="nil"/>
              <w:left w:val="nil"/>
              <w:bottom w:val="nil"/>
              <w:right w:val="nil"/>
            </w:tcBorders>
            <w:shd w:val="clear" w:color="auto" w:fill="auto"/>
          </w:tcPr>
          <w:p w14:paraId="4C3E4B38" w14:textId="77777777" w:rsidR="00AE421E" w:rsidRPr="0029639B" w:rsidRDefault="00AE421E" w:rsidP="00AE421E">
            <w:pPr>
              <w:jc w:val="both"/>
              <w:rPr>
                <w:rFonts w:ascii="David" w:hAnsi="David"/>
                <w:sz w:val="26"/>
                <w:szCs w:val="26"/>
                <w:rtl/>
              </w:rPr>
            </w:pPr>
          </w:p>
        </w:tc>
        <w:tc>
          <w:tcPr>
            <w:tcW w:w="7625" w:type="dxa"/>
            <w:gridSpan w:val="2"/>
            <w:tcBorders>
              <w:top w:val="nil"/>
              <w:left w:val="nil"/>
              <w:bottom w:val="nil"/>
              <w:right w:val="nil"/>
            </w:tcBorders>
            <w:shd w:val="clear" w:color="auto" w:fill="auto"/>
          </w:tcPr>
          <w:p w14:paraId="0CD876BE" w14:textId="77777777" w:rsidR="00AE421E" w:rsidRPr="0029639B" w:rsidRDefault="00AE421E" w:rsidP="00AE421E">
            <w:pPr>
              <w:jc w:val="center"/>
              <w:rPr>
                <w:rFonts w:ascii="David" w:hAnsi="David"/>
                <w:b/>
                <w:bCs/>
                <w:sz w:val="26"/>
                <w:szCs w:val="26"/>
                <w:rtl/>
              </w:rPr>
            </w:pPr>
          </w:p>
          <w:p w14:paraId="675010DE" w14:textId="77777777" w:rsidR="00AE421E" w:rsidRPr="0029639B" w:rsidRDefault="00AE421E" w:rsidP="00AE421E">
            <w:pPr>
              <w:jc w:val="center"/>
              <w:rPr>
                <w:rFonts w:ascii="David" w:hAnsi="David"/>
                <w:b/>
                <w:bCs/>
                <w:sz w:val="26"/>
                <w:szCs w:val="26"/>
                <w:rtl/>
              </w:rPr>
            </w:pPr>
            <w:r w:rsidRPr="0029639B">
              <w:rPr>
                <w:rFonts w:ascii="David" w:hAnsi="David"/>
                <w:b/>
                <w:bCs/>
                <w:sz w:val="26"/>
                <w:szCs w:val="26"/>
                <w:rtl/>
              </w:rPr>
              <w:t>נגד</w:t>
            </w:r>
          </w:p>
          <w:p w14:paraId="05A3F72F" w14:textId="77777777" w:rsidR="00AE421E" w:rsidRPr="0029639B" w:rsidRDefault="00AE421E" w:rsidP="00AE421E">
            <w:pPr>
              <w:jc w:val="both"/>
              <w:rPr>
                <w:rFonts w:ascii="David" w:hAnsi="David"/>
                <w:sz w:val="26"/>
                <w:szCs w:val="26"/>
              </w:rPr>
            </w:pPr>
          </w:p>
        </w:tc>
      </w:tr>
      <w:tr w:rsidR="00AE421E" w:rsidRPr="0029639B" w14:paraId="363F44A6" w14:textId="77777777" w:rsidTr="00AE421E">
        <w:trPr>
          <w:trHeight w:val="355"/>
          <w:jc w:val="center"/>
        </w:trPr>
        <w:tc>
          <w:tcPr>
            <w:tcW w:w="1195" w:type="dxa"/>
            <w:tcBorders>
              <w:top w:val="nil"/>
              <w:left w:val="nil"/>
              <w:bottom w:val="nil"/>
              <w:right w:val="nil"/>
            </w:tcBorders>
            <w:shd w:val="clear" w:color="auto" w:fill="auto"/>
          </w:tcPr>
          <w:p w14:paraId="22C81156" w14:textId="77777777" w:rsidR="00AE421E" w:rsidRPr="0029639B" w:rsidRDefault="00AE421E" w:rsidP="007D1545">
            <w:pPr>
              <w:rPr>
                <w:rFonts w:ascii="David" w:hAnsi="David"/>
                <w:sz w:val="26"/>
                <w:szCs w:val="26"/>
                <w:rtl/>
              </w:rPr>
            </w:pPr>
            <w:r w:rsidRPr="0029639B">
              <w:rPr>
                <w:rFonts w:ascii="David" w:hAnsi="David" w:hint="cs"/>
                <w:b/>
                <w:bCs/>
                <w:sz w:val="26"/>
                <w:szCs w:val="26"/>
                <w:rtl/>
              </w:rPr>
              <w:t>ה</w:t>
            </w:r>
            <w:r w:rsidRPr="0029639B">
              <w:rPr>
                <w:rFonts w:ascii="David" w:hAnsi="David"/>
                <w:b/>
                <w:bCs/>
                <w:sz w:val="26"/>
                <w:szCs w:val="26"/>
                <w:rtl/>
              </w:rPr>
              <w:t>נאשם</w:t>
            </w:r>
          </w:p>
        </w:tc>
        <w:tc>
          <w:tcPr>
            <w:tcW w:w="4237" w:type="dxa"/>
            <w:tcBorders>
              <w:top w:val="nil"/>
              <w:left w:val="nil"/>
              <w:bottom w:val="nil"/>
              <w:right w:val="nil"/>
            </w:tcBorders>
            <w:shd w:val="clear" w:color="auto" w:fill="auto"/>
          </w:tcPr>
          <w:p w14:paraId="704DE3A2" w14:textId="77777777" w:rsidR="00AE421E" w:rsidRPr="0029639B" w:rsidRDefault="00AE421E" w:rsidP="007D1545">
            <w:pPr>
              <w:rPr>
                <w:rFonts w:ascii="David" w:hAnsi="David"/>
                <w:b/>
                <w:bCs/>
                <w:sz w:val="26"/>
                <w:szCs w:val="26"/>
                <w:rtl/>
              </w:rPr>
            </w:pPr>
            <w:r w:rsidRPr="0029639B">
              <w:rPr>
                <w:rFonts w:ascii="David" w:hAnsi="David" w:hint="cs"/>
                <w:b/>
                <w:bCs/>
                <w:sz w:val="26"/>
                <w:szCs w:val="26"/>
              </w:rPr>
              <w:t>A</w:t>
            </w:r>
            <w:r w:rsidRPr="0029639B">
              <w:rPr>
                <w:rFonts w:ascii="David" w:hAnsi="David"/>
                <w:b/>
                <w:bCs/>
                <w:sz w:val="26"/>
                <w:szCs w:val="26"/>
              </w:rPr>
              <w:t>saad Abdalla Daoud Abdalla</w:t>
            </w:r>
          </w:p>
          <w:p w14:paraId="7722C46B" w14:textId="77777777" w:rsidR="00AE421E" w:rsidRPr="0029639B" w:rsidRDefault="00AE421E" w:rsidP="007D1545">
            <w:pPr>
              <w:rPr>
                <w:rFonts w:ascii="David" w:hAnsi="David"/>
                <w:sz w:val="26"/>
                <w:szCs w:val="26"/>
                <w:rtl/>
              </w:rPr>
            </w:pPr>
            <w:r w:rsidRPr="0029639B">
              <w:rPr>
                <w:rFonts w:ascii="David" w:hAnsi="David" w:hint="cs"/>
                <w:sz w:val="26"/>
                <w:szCs w:val="26"/>
                <w:rtl/>
              </w:rPr>
              <w:t>ע"י ב"כ עו"ד אלון ארז</w:t>
            </w:r>
          </w:p>
        </w:tc>
        <w:tc>
          <w:tcPr>
            <w:tcW w:w="3388" w:type="dxa"/>
            <w:tcBorders>
              <w:top w:val="nil"/>
              <w:left w:val="nil"/>
              <w:bottom w:val="nil"/>
              <w:right w:val="nil"/>
            </w:tcBorders>
            <w:shd w:val="clear" w:color="auto" w:fill="auto"/>
          </w:tcPr>
          <w:p w14:paraId="0BD645C5" w14:textId="77777777" w:rsidR="00AE421E" w:rsidRPr="0029639B" w:rsidRDefault="00AE421E" w:rsidP="00AE421E">
            <w:pPr>
              <w:jc w:val="right"/>
              <w:rPr>
                <w:rFonts w:ascii="David" w:hAnsi="David"/>
                <w:sz w:val="26"/>
                <w:szCs w:val="26"/>
              </w:rPr>
            </w:pPr>
          </w:p>
        </w:tc>
      </w:tr>
    </w:tbl>
    <w:p w14:paraId="343962FB" w14:textId="77777777" w:rsidR="00AE421E" w:rsidRPr="0029639B" w:rsidRDefault="00AE421E" w:rsidP="00AE421E">
      <w:pPr>
        <w:rPr>
          <w:rFonts w:ascii="David" w:hAnsi="David"/>
          <w:rtl/>
        </w:rPr>
      </w:pPr>
    </w:p>
    <w:p w14:paraId="18970663" w14:textId="77777777" w:rsidR="00A143A6" w:rsidRDefault="00A143A6" w:rsidP="00B876C2">
      <w:pPr>
        <w:spacing w:line="360" w:lineRule="auto"/>
        <w:jc w:val="both"/>
        <w:rPr>
          <w:rFonts w:ascii="David" w:hAnsi="David"/>
          <w:rtl/>
        </w:rPr>
      </w:pPr>
      <w:bookmarkStart w:id="3" w:name="Links_Kitvei_Start"/>
    </w:p>
    <w:p w14:paraId="74DCB737" w14:textId="77777777" w:rsidR="00A143A6" w:rsidRPr="00A143A6" w:rsidRDefault="00A143A6" w:rsidP="00A143A6">
      <w:pPr>
        <w:spacing w:after="120" w:line="240" w:lineRule="exact"/>
        <w:ind w:left="283" w:hanging="283"/>
        <w:jc w:val="both"/>
        <w:rPr>
          <w:rFonts w:ascii="FrankRuehl" w:hAnsi="FrankRuehl" w:cs="FrankRuehl"/>
          <w:rtl/>
        </w:rPr>
      </w:pPr>
    </w:p>
    <w:bookmarkEnd w:id="3"/>
    <w:p w14:paraId="526D9C1C" w14:textId="77777777" w:rsidR="00A143A6" w:rsidRPr="00A143A6" w:rsidRDefault="00A143A6" w:rsidP="00A143A6">
      <w:pPr>
        <w:spacing w:after="120" w:line="240" w:lineRule="exact"/>
        <w:ind w:left="283" w:hanging="283"/>
        <w:jc w:val="both"/>
        <w:rPr>
          <w:rStyle w:val="Hyperlink"/>
          <w:rFonts w:ascii="FrankRuehl" w:hAnsi="FrankRuehl" w:cs="FrankRuehl"/>
          <w:u w:val="none"/>
          <w:rtl/>
        </w:rPr>
      </w:pPr>
      <w:r w:rsidRPr="00A143A6">
        <w:rPr>
          <w:rFonts w:ascii="FrankRuehl" w:hAnsi="FrankRuehl" w:cs="FrankRuehl"/>
          <w:rtl/>
        </w:rPr>
        <w:t>כתבי עת:</w:t>
      </w:r>
      <w:r w:rsidRPr="00A143A6">
        <w:rPr>
          <w:rFonts w:ascii="FrankRuehl" w:hAnsi="FrankRuehl" w:cs="FrankRuehl"/>
          <w:color w:val="0000FF"/>
          <w:rtl/>
        </w:rPr>
        <w:fldChar w:fldCharType="begin"/>
      </w:r>
      <w:r w:rsidRPr="00A143A6">
        <w:rPr>
          <w:rFonts w:ascii="FrankRuehl" w:hAnsi="FrankRuehl" w:cs="FrankRuehl"/>
          <w:color w:val="0000FF"/>
          <w:rtl/>
        </w:rPr>
        <w:instrText xml:space="preserve"> </w:instrText>
      </w:r>
      <w:r w:rsidRPr="00A143A6">
        <w:rPr>
          <w:rFonts w:ascii="FrankRuehl" w:hAnsi="FrankRuehl" w:cs="FrankRuehl"/>
          <w:color w:val="0000FF"/>
        </w:rPr>
        <w:instrText xml:space="preserve">HYPERLINK </w:instrText>
      </w:r>
      <w:r w:rsidRPr="00A143A6">
        <w:rPr>
          <w:rFonts w:ascii="FrankRuehl" w:hAnsi="FrankRuehl" w:cs="FrankRuehl"/>
          <w:color w:val="0000FF"/>
          <w:rtl/>
        </w:rPr>
        <w:instrText>"</w:instrText>
      </w:r>
      <w:r w:rsidRPr="00A143A6">
        <w:rPr>
          <w:rFonts w:ascii="FrankRuehl" w:hAnsi="FrankRuehl" w:cs="FrankRuehl"/>
          <w:color w:val="0000FF"/>
        </w:rPr>
        <w:instrText>http://www.nevo.co.il/safrut/book/23183"</w:instrText>
      </w:r>
      <w:r w:rsidRPr="00A143A6">
        <w:rPr>
          <w:rFonts w:ascii="FrankRuehl" w:hAnsi="FrankRuehl" w:cs="FrankRuehl"/>
          <w:color w:val="0000FF"/>
          <w:rtl/>
        </w:rPr>
        <w:instrText xml:space="preserve"> </w:instrText>
      </w:r>
      <w:r w:rsidRPr="00A143A6">
        <w:rPr>
          <w:rFonts w:ascii="FrankRuehl" w:hAnsi="FrankRuehl" w:cs="FrankRuehl"/>
          <w:color w:val="0000FF"/>
          <w:rtl/>
        </w:rPr>
      </w:r>
      <w:r w:rsidRPr="00A143A6">
        <w:rPr>
          <w:rFonts w:ascii="FrankRuehl" w:hAnsi="FrankRuehl" w:cs="FrankRuehl"/>
          <w:color w:val="0000FF"/>
          <w:rtl/>
        </w:rPr>
        <w:fldChar w:fldCharType="separate"/>
      </w:r>
    </w:p>
    <w:p w14:paraId="520AC400" w14:textId="77777777" w:rsidR="00A143A6" w:rsidRPr="00A143A6" w:rsidRDefault="00A143A6" w:rsidP="00A143A6">
      <w:pPr>
        <w:spacing w:after="120" w:line="240" w:lineRule="exact"/>
        <w:ind w:left="283" w:hanging="283"/>
        <w:jc w:val="both"/>
        <w:rPr>
          <w:rFonts w:ascii="FrankRuehl" w:hAnsi="FrankRuehl" w:cs="FrankRuehl"/>
          <w:rtl/>
        </w:rPr>
      </w:pPr>
      <w:r w:rsidRPr="00A143A6">
        <w:rPr>
          <w:rStyle w:val="Hyperlink"/>
          <w:rFonts w:ascii="FrankRuehl" w:hAnsi="FrankRuehl" w:cs="FrankRuehl"/>
          <w:u w:val="none"/>
          <w:rtl/>
        </w:rPr>
        <w:t>לירון אבלי, "הסובלים מכאב כרוני המטופלים בקבוצת תרופות אופיאטיות ומערך זכויותיהם המשפטיות", רפואה ומשפט, 48 (אוקטובר 2015) 64</w:t>
      </w:r>
      <w:r w:rsidRPr="00A143A6">
        <w:rPr>
          <w:rFonts w:ascii="FrankRuehl" w:hAnsi="FrankRuehl" w:cs="FrankRuehl"/>
          <w:color w:val="0000FF"/>
          <w:rtl/>
        </w:rPr>
        <w:fldChar w:fldCharType="end"/>
      </w:r>
    </w:p>
    <w:p w14:paraId="020E0813" w14:textId="77777777" w:rsidR="00A143A6" w:rsidRDefault="00A143A6" w:rsidP="00A143A6">
      <w:pPr>
        <w:spacing w:line="360" w:lineRule="auto"/>
        <w:jc w:val="both"/>
        <w:rPr>
          <w:rFonts w:ascii="David" w:hAnsi="David"/>
          <w:rtl/>
        </w:rPr>
      </w:pPr>
      <w:bookmarkStart w:id="4" w:name="Links_Kitvei_End"/>
      <w:bookmarkStart w:id="5" w:name="LawTable"/>
      <w:bookmarkEnd w:id="4"/>
      <w:bookmarkEnd w:id="5"/>
    </w:p>
    <w:p w14:paraId="6F586CBC" w14:textId="77777777" w:rsidR="00A143A6" w:rsidRPr="00A143A6" w:rsidRDefault="00A143A6" w:rsidP="00A143A6">
      <w:pPr>
        <w:spacing w:before="120" w:after="120" w:line="240" w:lineRule="exact"/>
        <w:ind w:left="283" w:hanging="283"/>
        <w:jc w:val="both"/>
        <w:rPr>
          <w:rFonts w:ascii="FrankRuehl" w:hAnsi="FrankRuehl" w:cs="FrankRuehl"/>
          <w:rtl/>
        </w:rPr>
      </w:pPr>
    </w:p>
    <w:p w14:paraId="2E504C1B" w14:textId="77777777" w:rsidR="00A143A6" w:rsidRPr="00A143A6" w:rsidRDefault="00A143A6" w:rsidP="00A143A6">
      <w:pPr>
        <w:spacing w:before="120" w:after="120" w:line="240" w:lineRule="exact"/>
        <w:ind w:left="283" w:hanging="283"/>
        <w:jc w:val="both"/>
        <w:rPr>
          <w:rFonts w:ascii="FrankRuehl" w:hAnsi="FrankRuehl" w:cs="FrankRuehl"/>
          <w:rtl/>
        </w:rPr>
      </w:pPr>
    </w:p>
    <w:p w14:paraId="59847043" w14:textId="77777777" w:rsidR="00A143A6" w:rsidRPr="00A143A6" w:rsidRDefault="00A143A6" w:rsidP="00A143A6">
      <w:pPr>
        <w:spacing w:before="120" w:after="120" w:line="240" w:lineRule="exact"/>
        <w:ind w:left="283" w:hanging="283"/>
        <w:jc w:val="both"/>
        <w:rPr>
          <w:rFonts w:ascii="FrankRuehl" w:hAnsi="FrankRuehl" w:cs="FrankRuehl"/>
          <w:rtl/>
        </w:rPr>
      </w:pPr>
      <w:r w:rsidRPr="00A143A6">
        <w:rPr>
          <w:rFonts w:ascii="FrankRuehl" w:hAnsi="FrankRuehl" w:cs="FrankRuehl"/>
          <w:rtl/>
        </w:rPr>
        <w:t xml:space="preserve">חקיקה שאוזכרה: </w:t>
      </w:r>
    </w:p>
    <w:p w14:paraId="48D3ACFB" w14:textId="77777777" w:rsidR="00A143A6" w:rsidRPr="00A143A6" w:rsidRDefault="00A143A6" w:rsidP="00A143A6">
      <w:pPr>
        <w:spacing w:before="120" w:after="120" w:line="240" w:lineRule="exact"/>
        <w:ind w:left="283" w:hanging="283"/>
        <w:jc w:val="both"/>
        <w:rPr>
          <w:rFonts w:ascii="FrankRuehl" w:hAnsi="FrankRuehl" w:cs="FrankRuehl"/>
          <w:rtl/>
        </w:rPr>
      </w:pPr>
      <w:hyperlink r:id="rId7" w:history="1">
        <w:r w:rsidRPr="00A143A6">
          <w:rPr>
            <w:rFonts w:ascii="FrankRuehl" w:hAnsi="FrankRuehl" w:cs="FrankRuehl"/>
            <w:color w:val="0000FF"/>
            <w:rtl/>
          </w:rPr>
          <w:t>פקודת הסמים המסוכנים [נוסח חדש], תשל"ג-1973</w:t>
        </w:r>
      </w:hyperlink>
      <w:r w:rsidRPr="00A143A6">
        <w:rPr>
          <w:rFonts w:ascii="FrankRuehl" w:hAnsi="FrankRuehl" w:cs="FrankRuehl"/>
          <w:rtl/>
        </w:rPr>
        <w:t xml:space="preserve">: סע'  </w:t>
      </w:r>
      <w:hyperlink r:id="rId8" w:history="1">
        <w:r w:rsidRPr="00A143A6">
          <w:rPr>
            <w:rFonts w:ascii="FrankRuehl" w:hAnsi="FrankRuehl" w:cs="FrankRuehl"/>
            <w:color w:val="0000FF"/>
            <w:rtl/>
          </w:rPr>
          <w:t>7.א.</w:t>
        </w:r>
      </w:hyperlink>
      <w:r w:rsidRPr="00A143A6">
        <w:rPr>
          <w:rFonts w:ascii="FrankRuehl" w:hAnsi="FrankRuehl" w:cs="FrankRuehl"/>
          <w:rtl/>
        </w:rPr>
        <w:t xml:space="preserve">, </w:t>
      </w:r>
      <w:hyperlink r:id="rId9" w:history="1">
        <w:r w:rsidRPr="00A143A6">
          <w:rPr>
            <w:rFonts w:ascii="FrankRuehl" w:hAnsi="FrankRuehl" w:cs="FrankRuehl"/>
            <w:color w:val="0000FF"/>
            <w:rtl/>
          </w:rPr>
          <w:t>7.ג</w:t>
        </w:r>
      </w:hyperlink>
      <w:r w:rsidRPr="00A143A6">
        <w:rPr>
          <w:rFonts w:ascii="FrankRuehl" w:hAnsi="FrankRuehl" w:cs="FrankRuehl"/>
          <w:rtl/>
        </w:rPr>
        <w:t xml:space="preserve">, </w:t>
      </w:r>
      <w:hyperlink r:id="rId10" w:history="1">
        <w:r w:rsidRPr="00A143A6">
          <w:rPr>
            <w:rFonts w:ascii="FrankRuehl" w:hAnsi="FrankRuehl" w:cs="FrankRuehl"/>
            <w:color w:val="0000FF"/>
            <w:rtl/>
          </w:rPr>
          <w:t>13</w:t>
        </w:r>
      </w:hyperlink>
      <w:r w:rsidRPr="00A143A6">
        <w:rPr>
          <w:rFonts w:ascii="FrankRuehl" w:hAnsi="FrankRuehl" w:cs="FrankRuehl"/>
          <w:rtl/>
        </w:rPr>
        <w:t xml:space="preserve">, </w:t>
      </w:r>
      <w:hyperlink r:id="rId11" w:history="1">
        <w:r w:rsidRPr="00A143A6">
          <w:rPr>
            <w:rFonts w:ascii="FrankRuehl" w:hAnsi="FrankRuehl" w:cs="FrankRuehl"/>
            <w:color w:val="0000FF"/>
            <w:rtl/>
          </w:rPr>
          <w:t>36א</w:t>
        </w:r>
      </w:hyperlink>
      <w:r w:rsidRPr="00A143A6">
        <w:rPr>
          <w:rFonts w:ascii="FrankRuehl" w:hAnsi="FrankRuehl" w:cs="FrankRuehl"/>
          <w:rtl/>
        </w:rPr>
        <w:t xml:space="preserve">, </w:t>
      </w:r>
      <w:hyperlink r:id="rId12" w:history="1">
        <w:r w:rsidRPr="00A143A6">
          <w:rPr>
            <w:rFonts w:ascii="FrankRuehl" w:hAnsi="FrankRuehl" w:cs="FrankRuehl"/>
            <w:color w:val="0000FF"/>
            <w:rtl/>
          </w:rPr>
          <w:t>36א(א)</w:t>
        </w:r>
      </w:hyperlink>
    </w:p>
    <w:p w14:paraId="7B9FEF93" w14:textId="77777777" w:rsidR="00A143A6" w:rsidRPr="00A143A6" w:rsidRDefault="00A143A6" w:rsidP="00A143A6">
      <w:pPr>
        <w:spacing w:before="120" w:after="120" w:line="240" w:lineRule="exact"/>
        <w:ind w:left="283" w:hanging="283"/>
        <w:jc w:val="both"/>
        <w:rPr>
          <w:rFonts w:ascii="FrankRuehl" w:hAnsi="FrankRuehl" w:cs="FrankRuehl"/>
          <w:rtl/>
        </w:rPr>
      </w:pPr>
      <w:hyperlink r:id="rId13" w:history="1">
        <w:r w:rsidRPr="00A143A6">
          <w:rPr>
            <w:rFonts w:ascii="FrankRuehl" w:hAnsi="FrankRuehl" w:cs="FrankRuehl"/>
            <w:color w:val="0000FF"/>
            <w:rtl/>
          </w:rPr>
          <w:t>חוק העונשין, תשל"ז-1977</w:t>
        </w:r>
      </w:hyperlink>
      <w:r w:rsidRPr="00A143A6">
        <w:rPr>
          <w:rFonts w:ascii="FrankRuehl" w:hAnsi="FrankRuehl" w:cs="FrankRuehl"/>
          <w:rtl/>
        </w:rPr>
        <w:t xml:space="preserve">: סע'  </w:t>
      </w:r>
      <w:hyperlink r:id="rId14" w:history="1">
        <w:r w:rsidRPr="00A143A6">
          <w:rPr>
            <w:rFonts w:ascii="FrankRuehl" w:hAnsi="FrankRuehl" w:cs="FrankRuehl"/>
            <w:color w:val="0000FF"/>
            <w:rtl/>
          </w:rPr>
          <w:t>58</w:t>
        </w:r>
      </w:hyperlink>
    </w:p>
    <w:p w14:paraId="41B6C4CD" w14:textId="77777777" w:rsidR="00A143A6" w:rsidRPr="00A143A6" w:rsidRDefault="00A143A6" w:rsidP="00A143A6">
      <w:pPr>
        <w:spacing w:before="120" w:after="120" w:line="240" w:lineRule="exact"/>
        <w:ind w:left="283" w:hanging="283"/>
        <w:jc w:val="both"/>
        <w:rPr>
          <w:rFonts w:ascii="FrankRuehl" w:hAnsi="FrankRuehl" w:cs="FrankRuehl"/>
          <w:rtl/>
        </w:rPr>
      </w:pPr>
      <w:hyperlink r:id="rId15" w:history="1">
        <w:r w:rsidRPr="00A143A6">
          <w:rPr>
            <w:rFonts w:ascii="FrankRuehl" w:hAnsi="FrankRuehl" w:cs="FrankRuehl"/>
            <w:color w:val="0000FF"/>
            <w:rtl/>
          </w:rPr>
          <w:t>חוק איסור הלבנת הון, תש"ס-2000</w:t>
        </w:r>
      </w:hyperlink>
      <w:r w:rsidRPr="00A143A6">
        <w:rPr>
          <w:rFonts w:ascii="FrankRuehl" w:hAnsi="FrankRuehl" w:cs="FrankRuehl"/>
          <w:rtl/>
        </w:rPr>
        <w:t xml:space="preserve">: סע'  </w:t>
      </w:r>
      <w:hyperlink r:id="rId16" w:history="1">
        <w:r w:rsidRPr="00A143A6">
          <w:rPr>
            <w:rFonts w:ascii="FrankRuehl" w:hAnsi="FrankRuehl" w:cs="FrankRuehl"/>
            <w:color w:val="0000FF"/>
            <w:rtl/>
          </w:rPr>
          <w:t>21(א)</w:t>
        </w:r>
      </w:hyperlink>
    </w:p>
    <w:p w14:paraId="1BA8C39E" w14:textId="77777777" w:rsidR="00A143A6" w:rsidRPr="00A143A6" w:rsidRDefault="00A143A6" w:rsidP="00A143A6">
      <w:pPr>
        <w:spacing w:line="360" w:lineRule="auto"/>
        <w:jc w:val="both"/>
        <w:rPr>
          <w:rFonts w:ascii="David" w:hAnsi="David"/>
          <w:rtl/>
        </w:rPr>
      </w:pPr>
      <w:bookmarkStart w:id="6" w:name="LawTable_End"/>
      <w:bookmarkEnd w:id="6"/>
    </w:p>
    <w:p w14:paraId="34654164" w14:textId="77777777" w:rsidR="00AE421E" w:rsidRPr="00A143A6" w:rsidRDefault="00AE421E" w:rsidP="00B876C2">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421E" w:rsidRPr="000B78A7" w14:paraId="204A1CBB" w14:textId="77777777" w:rsidTr="00AE421E">
        <w:trPr>
          <w:trHeight w:val="355"/>
          <w:jc w:val="center"/>
        </w:trPr>
        <w:tc>
          <w:tcPr>
            <w:tcW w:w="8820" w:type="dxa"/>
            <w:tcBorders>
              <w:top w:val="nil"/>
              <w:left w:val="nil"/>
              <w:bottom w:val="nil"/>
              <w:right w:val="nil"/>
            </w:tcBorders>
            <w:shd w:val="clear" w:color="auto" w:fill="auto"/>
          </w:tcPr>
          <w:p w14:paraId="2B8A6DA0" w14:textId="77777777" w:rsidR="0029639B" w:rsidRPr="0029639B" w:rsidRDefault="0029639B" w:rsidP="0029639B">
            <w:pPr>
              <w:spacing w:line="360" w:lineRule="auto"/>
              <w:jc w:val="center"/>
              <w:rPr>
                <w:rFonts w:ascii="David" w:hAnsi="David"/>
                <w:b/>
                <w:bCs/>
                <w:sz w:val="28"/>
                <w:szCs w:val="28"/>
                <w:u w:val="single"/>
                <w:rtl/>
              </w:rPr>
            </w:pPr>
            <w:bookmarkStart w:id="7" w:name="PsakDin" w:colFirst="0" w:colLast="0"/>
            <w:bookmarkEnd w:id="0"/>
            <w:r w:rsidRPr="0029639B">
              <w:rPr>
                <w:rFonts w:ascii="David" w:hAnsi="David"/>
                <w:b/>
                <w:bCs/>
                <w:sz w:val="28"/>
                <w:szCs w:val="28"/>
                <w:u w:val="single"/>
                <w:rtl/>
              </w:rPr>
              <w:t>גזר דין</w:t>
            </w:r>
          </w:p>
          <w:p w14:paraId="789C53DC" w14:textId="77777777" w:rsidR="00AE421E" w:rsidRPr="0029639B" w:rsidRDefault="00AE421E" w:rsidP="0029639B">
            <w:pPr>
              <w:spacing w:line="360" w:lineRule="auto"/>
              <w:jc w:val="center"/>
              <w:rPr>
                <w:rFonts w:ascii="David" w:hAnsi="David"/>
                <w:bCs/>
                <w:sz w:val="28"/>
                <w:szCs w:val="28"/>
                <w:u w:val="single"/>
                <w:rtl/>
              </w:rPr>
            </w:pPr>
          </w:p>
        </w:tc>
      </w:tr>
    </w:tbl>
    <w:bookmarkEnd w:id="7"/>
    <w:p w14:paraId="563CE482" w14:textId="77777777" w:rsidR="00AE421E" w:rsidRPr="000B78A7" w:rsidRDefault="00AE421E" w:rsidP="00AE421E">
      <w:pPr>
        <w:spacing w:line="360" w:lineRule="auto"/>
        <w:jc w:val="both"/>
        <w:rPr>
          <w:rFonts w:ascii="David" w:hAnsi="David"/>
          <w:b/>
          <w:bCs/>
          <w:u w:val="single"/>
        </w:rPr>
      </w:pPr>
      <w:r w:rsidRPr="000B78A7">
        <w:rPr>
          <w:rFonts w:ascii="David" w:hAnsi="David"/>
          <w:b/>
          <w:bCs/>
          <w:u w:val="single"/>
          <w:rtl/>
        </w:rPr>
        <w:t>רקע</w:t>
      </w:r>
    </w:p>
    <w:p w14:paraId="7917405D" w14:textId="77777777" w:rsidR="00AE421E" w:rsidRPr="000B78A7" w:rsidRDefault="00AE421E" w:rsidP="00AE421E">
      <w:pPr>
        <w:pStyle w:val="a9"/>
        <w:numPr>
          <w:ilvl w:val="0"/>
          <w:numId w:val="1"/>
        </w:numPr>
        <w:spacing w:line="360" w:lineRule="auto"/>
        <w:jc w:val="both"/>
        <w:rPr>
          <w:rFonts w:ascii="David" w:hAnsi="David"/>
          <w:rtl/>
        </w:rPr>
      </w:pPr>
      <w:bookmarkStart w:id="8" w:name="ABSTRACT_START"/>
      <w:bookmarkEnd w:id="8"/>
      <w:r w:rsidRPr="000B78A7">
        <w:rPr>
          <w:rFonts w:ascii="David" w:hAnsi="David"/>
          <w:rtl/>
        </w:rPr>
        <w:t xml:space="preserve">הנאשם הודה והורשע בכתב אישום </w:t>
      </w:r>
      <w:r>
        <w:rPr>
          <w:rFonts w:ascii="David" w:hAnsi="David"/>
          <w:rtl/>
        </w:rPr>
        <w:t>מתוקן,</w:t>
      </w:r>
      <w:r w:rsidRPr="000B78A7">
        <w:rPr>
          <w:rFonts w:ascii="David" w:hAnsi="David"/>
          <w:rtl/>
        </w:rPr>
        <w:t xml:space="preserve"> בעביר</w:t>
      </w:r>
      <w:r w:rsidRPr="000B78A7">
        <w:rPr>
          <w:rFonts w:ascii="David" w:hAnsi="David" w:hint="cs"/>
          <w:rtl/>
        </w:rPr>
        <w:t>ות הבאות:</w:t>
      </w:r>
      <w:r w:rsidRPr="000B78A7">
        <w:rPr>
          <w:rFonts w:ascii="David" w:hAnsi="David"/>
          <w:rtl/>
        </w:rPr>
        <w:t xml:space="preserve"> סחר </w:t>
      </w:r>
      <w:r w:rsidRPr="000B78A7">
        <w:rPr>
          <w:rFonts w:ascii="David" w:hAnsi="David" w:hint="cs"/>
          <w:rtl/>
        </w:rPr>
        <w:t xml:space="preserve">בסם מסוכן - </w:t>
      </w:r>
      <w:r w:rsidRPr="000B78A7">
        <w:rPr>
          <w:rFonts w:ascii="David" w:hAnsi="David"/>
          <w:rtl/>
        </w:rPr>
        <w:t xml:space="preserve">לפי </w:t>
      </w:r>
      <w:hyperlink r:id="rId17" w:history="1">
        <w:r w:rsidR="00AF7C7E" w:rsidRPr="00AF7C7E">
          <w:rPr>
            <w:rStyle w:val="Hyperlink"/>
            <w:rFonts w:ascii="David" w:hAnsi="David"/>
            <w:rtl/>
          </w:rPr>
          <w:t>סעיף 13</w:t>
        </w:r>
      </w:hyperlink>
      <w:r w:rsidRPr="000B78A7">
        <w:rPr>
          <w:rFonts w:ascii="David" w:hAnsi="David"/>
          <w:rtl/>
        </w:rPr>
        <w:t xml:space="preserve"> ל</w:t>
      </w:r>
      <w:hyperlink r:id="rId18" w:history="1">
        <w:r w:rsidR="0029639B" w:rsidRPr="0029639B">
          <w:rPr>
            <w:rFonts w:ascii="David" w:hAnsi="David"/>
            <w:color w:val="0000FF"/>
            <w:u w:val="single"/>
            <w:rtl/>
          </w:rPr>
          <w:t>פקודת הסמים המסוכנים</w:t>
        </w:r>
      </w:hyperlink>
      <w:r w:rsidRPr="000B78A7">
        <w:rPr>
          <w:rFonts w:ascii="David" w:hAnsi="David"/>
          <w:rtl/>
        </w:rPr>
        <w:t xml:space="preserve"> [נוסח חדש], תשל"ג</w:t>
      </w:r>
      <w:r>
        <w:rPr>
          <w:rFonts w:ascii="David" w:hAnsi="David" w:hint="cs"/>
          <w:rtl/>
        </w:rPr>
        <w:t>-</w:t>
      </w:r>
      <w:r w:rsidRPr="000B78A7">
        <w:rPr>
          <w:rFonts w:ascii="David" w:hAnsi="David"/>
          <w:rtl/>
        </w:rPr>
        <w:t>1973 (להלן: "</w:t>
      </w:r>
      <w:r w:rsidRPr="000B78A7">
        <w:rPr>
          <w:rFonts w:ascii="David" w:hAnsi="David"/>
          <w:b/>
          <w:bCs/>
          <w:rtl/>
        </w:rPr>
        <w:t>פקודת הסמים</w:t>
      </w:r>
      <w:r w:rsidRPr="000B78A7">
        <w:rPr>
          <w:rFonts w:ascii="David" w:hAnsi="David"/>
          <w:rtl/>
        </w:rPr>
        <w:t>"),</w:t>
      </w:r>
      <w:r w:rsidRPr="000B78A7">
        <w:rPr>
          <w:rFonts w:ascii="David" w:hAnsi="David"/>
          <w:b/>
          <w:bCs/>
          <w:rtl/>
        </w:rPr>
        <w:t xml:space="preserve"> </w:t>
      </w:r>
      <w:r w:rsidRPr="000B78A7">
        <w:rPr>
          <w:rFonts w:ascii="David" w:hAnsi="David"/>
          <w:rtl/>
        </w:rPr>
        <w:t>ובעבירה של החזקת סמים שלא לצריכה עצמית</w:t>
      </w:r>
      <w:r w:rsidRPr="000B78A7">
        <w:rPr>
          <w:rFonts w:ascii="David" w:hAnsi="David" w:hint="cs"/>
          <w:rtl/>
        </w:rPr>
        <w:t xml:space="preserve"> -</w:t>
      </w:r>
      <w:r w:rsidRPr="000B78A7">
        <w:rPr>
          <w:rFonts w:ascii="David" w:hAnsi="David"/>
          <w:rtl/>
        </w:rPr>
        <w:t xml:space="preserve"> לפי </w:t>
      </w:r>
      <w:hyperlink r:id="rId19" w:history="1">
        <w:r w:rsidR="00AF7C7E" w:rsidRPr="00AF7C7E">
          <w:rPr>
            <w:rStyle w:val="Hyperlink"/>
            <w:rFonts w:ascii="David" w:hAnsi="David"/>
            <w:rtl/>
          </w:rPr>
          <w:t>סעיף 7 (א)+7(ג)</w:t>
        </w:r>
      </w:hyperlink>
      <w:r w:rsidRPr="000B78A7">
        <w:rPr>
          <w:rFonts w:ascii="David" w:hAnsi="David"/>
          <w:rtl/>
        </w:rPr>
        <w:t xml:space="preserve"> רישה לפקודת הסמים.</w:t>
      </w:r>
    </w:p>
    <w:p w14:paraId="0C0D3AA1" w14:textId="77777777" w:rsidR="00AE421E" w:rsidRPr="000B78A7" w:rsidRDefault="00AE421E" w:rsidP="00AE421E">
      <w:pPr>
        <w:pStyle w:val="a9"/>
        <w:spacing w:line="360" w:lineRule="auto"/>
        <w:jc w:val="both"/>
        <w:rPr>
          <w:rFonts w:ascii="David" w:hAnsi="David"/>
        </w:rPr>
      </w:pPr>
      <w:bookmarkStart w:id="9" w:name="ABSTRACT_END"/>
      <w:bookmarkEnd w:id="9"/>
      <w:r w:rsidRPr="000B78A7">
        <w:rPr>
          <w:rFonts w:ascii="David" w:hAnsi="David"/>
          <w:rtl/>
        </w:rPr>
        <w:t xml:space="preserve"> </w:t>
      </w:r>
    </w:p>
    <w:p w14:paraId="728EFC4A" w14:textId="77777777" w:rsidR="00AE421E" w:rsidRPr="000B78A7" w:rsidRDefault="00AE421E" w:rsidP="00AE421E">
      <w:pPr>
        <w:pStyle w:val="a9"/>
        <w:spacing w:line="360" w:lineRule="auto"/>
        <w:jc w:val="both"/>
        <w:rPr>
          <w:rFonts w:ascii="David" w:hAnsi="David"/>
        </w:rPr>
      </w:pPr>
      <w:r w:rsidRPr="000B78A7">
        <w:rPr>
          <w:rFonts w:ascii="David" w:hAnsi="David"/>
          <w:rtl/>
        </w:rPr>
        <w:t xml:space="preserve">בהתאם לעובדות כתב האישום, כשבועיים עובר לתאריך 29.3.2021, בתחנה </w:t>
      </w:r>
      <w:r>
        <w:rPr>
          <w:rFonts w:ascii="David" w:hAnsi="David" w:hint="cs"/>
          <w:rtl/>
        </w:rPr>
        <w:t>ה</w:t>
      </w:r>
      <w:r w:rsidRPr="000B78A7">
        <w:rPr>
          <w:rFonts w:ascii="David" w:hAnsi="David"/>
          <w:rtl/>
        </w:rPr>
        <w:t xml:space="preserve">מרכזית בתל אביב יפו, מכר הנאשם </w:t>
      </w:r>
      <w:r w:rsidRPr="000B78A7">
        <w:rPr>
          <w:rFonts w:ascii="David" w:hAnsi="David" w:hint="cs"/>
          <w:rtl/>
        </w:rPr>
        <w:t xml:space="preserve">לאחר </w:t>
      </w:r>
      <w:r w:rsidRPr="000B78A7">
        <w:rPr>
          <w:rFonts w:ascii="David" w:hAnsi="David"/>
          <w:rtl/>
        </w:rPr>
        <w:t>מדבק</w:t>
      </w:r>
      <w:r w:rsidRPr="000B78A7">
        <w:rPr>
          <w:rFonts w:ascii="David" w:hAnsi="David" w:hint="cs"/>
          <w:rtl/>
        </w:rPr>
        <w:t>ה</w:t>
      </w:r>
      <w:r w:rsidRPr="000B78A7">
        <w:rPr>
          <w:rFonts w:ascii="David" w:hAnsi="David"/>
          <w:rtl/>
        </w:rPr>
        <w:t xml:space="preserve"> </w:t>
      </w:r>
      <w:r w:rsidRPr="000B78A7">
        <w:rPr>
          <w:rFonts w:ascii="David" w:hAnsi="David" w:hint="cs"/>
          <w:rtl/>
        </w:rPr>
        <w:t>בשם "</w:t>
      </w:r>
      <w:r w:rsidRPr="000B78A7">
        <w:rPr>
          <w:rFonts w:ascii="David" w:hAnsi="David"/>
          <w:rtl/>
        </w:rPr>
        <w:t>פאנטה 75</w:t>
      </w:r>
      <w:r w:rsidRPr="000B78A7">
        <w:rPr>
          <w:rFonts w:ascii="David" w:hAnsi="David" w:hint="cs"/>
          <w:rtl/>
        </w:rPr>
        <w:t>"</w:t>
      </w:r>
      <w:r w:rsidRPr="000B78A7">
        <w:rPr>
          <w:rFonts w:ascii="David" w:hAnsi="David"/>
          <w:rtl/>
        </w:rPr>
        <w:t xml:space="preserve"> המכילה סם מסוכן מסוג </w:t>
      </w:r>
      <w:r w:rsidRPr="000B78A7">
        <w:rPr>
          <w:rFonts w:ascii="David" w:hAnsi="David" w:hint="cs"/>
        </w:rPr>
        <w:t>F</w:t>
      </w:r>
      <w:r w:rsidRPr="000B78A7">
        <w:rPr>
          <w:rFonts w:ascii="David" w:hAnsi="David"/>
        </w:rPr>
        <w:t>entanyl</w:t>
      </w:r>
      <w:r w:rsidRPr="000B78A7">
        <w:rPr>
          <w:rFonts w:ascii="David" w:hAnsi="David" w:hint="cs"/>
          <w:rtl/>
        </w:rPr>
        <w:t>, זאת</w:t>
      </w:r>
      <w:r w:rsidRPr="000B78A7">
        <w:rPr>
          <w:rFonts w:ascii="David" w:hAnsi="David"/>
          <w:rtl/>
        </w:rPr>
        <w:t xml:space="preserve"> </w:t>
      </w:r>
      <w:r w:rsidRPr="000B78A7">
        <w:rPr>
          <w:rFonts w:ascii="David" w:hAnsi="David" w:hint="cs"/>
          <w:rtl/>
        </w:rPr>
        <w:t>בתמורה ל-</w:t>
      </w:r>
      <w:r w:rsidRPr="000B78A7">
        <w:rPr>
          <w:rFonts w:ascii="David" w:hAnsi="David"/>
          <w:rtl/>
        </w:rPr>
        <w:t xml:space="preserve">150 ₪. </w:t>
      </w:r>
    </w:p>
    <w:p w14:paraId="72719FDC" w14:textId="77777777" w:rsidR="00AE421E" w:rsidRPr="000B78A7" w:rsidRDefault="00AE421E" w:rsidP="00AE421E">
      <w:pPr>
        <w:pStyle w:val="a9"/>
        <w:spacing w:line="360" w:lineRule="auto"/>
        <w:jc w:val="both"/>
        <w:rPr>
          <w:rFonts w:ascii="David" w:hAnsi="David"/>
          <w:rtl/>
        </w:rPr>
      </w:pPr>
      <w:r w:rsidRPr="000B78A7">
        <w:rPr>
          <w:rFonts w:ascii="David" w:hAnsi="David" w:hint="cs"/>
          <w:rtl/>
        </w:rPr>
        <w:lastRenderedPageBreak/>
        <w:t xml:space="preserve">בנוסף, ביום 23.3.2021, החזיק </w:t>
      </w:r>
      <w:r w:rsidRPr="000B78A7">
        <w:rPr>
          <w:rFonts w:ascii="David" w:hAnsi="David"/>
          <w:rtl/>
        </w:rPr>
        <w:t xml:space="preserve">הנאשם בדירתו בסך כולל של 63 מדבקות </w:t>
      </w:r>
      <w:r w:rsidRPr="000B78A7">
        <w:rPr>
          <w:rFonts w:ascii="David" w:hAnsi="David" w:hint="cs"/>
          <w:rtl/>
        </w:rPr>
        <w:t>בשם "</w:t>
      </w:r>
      <w:r w:rsidRPr="000B78A7">
        <w:rPr>
          <w:rFonts w:ascii="David" w:hAnsi="David"/>
          <w:rtl/>
        </w:rPr>
        <w:t>פאנטה</w:t>
      </w:r>
      <w:r w:rsidRPr="000B78A7">
        <w:rPr>
          <w:rFonts w:ascii="David" w:hAnsi="David" w:hint="cs"/>
          <w:rtl/>
        </w:rPr>
        <w:t>"</w:t>
      </w:r>
      <w:r w:rsidRPr="000B78A7">
        <w:rPr>
          <w:rFonts w:ascii="David" w:hAnsi="David"/>
          <w:rtl/>
        </w:rPr>
        <w:t xml:space="preserve"> המכילות סם מסוכן מסוג </w:t>
      </w:r>
      <w:r w:rsidRPr="000B78A7">
        <w:rPr>
          <w:rFonts w:ascii="David" w:hAnsi="David" w:hint="cs"/>
        </w:rPr>
        <w:t>F</w:t>
      </w:r>
      <w:r w:rsidRPr="000B78A7">
        <w:rPr>
          <w:rFonts w:ascii="David" w:hAnsi="David"/>
        </w:rPr>
        <w:t>entanyl</w:t>
      </w:r>
      <w:r w:rsidRPr="000B78A7">
        <w:rPr>
          <w:rFonts w:ascii="David" w:hAnsi="David"/>
          <w:rtl/>
        </w:rPr>
        <w:t xml:space="preserve"> וזאת שלא לצריכתו העצמית</w:t>
      </w:r>
      <w:r w:rsidRPr="000B78A7">
        <w:rPr>
          <w:rFonts w:ascii="David" w:hAnsi="David" w:hint="cs"/>
          <w:rtl/>
        </w:rPr>
        <w:t>.</w:t>
      </w:r>
      <w:r w:rsidRPr="000B78A7">
        <w:rPr>
          <w:rFonts w:ascii="David" w:hAnsi="David"/>
          <w:rtl/>
        </w:rPr>
        <w:t xml:space="preserve"> באותן נסיבות, נתפס בדירת</w:t>
      </w:r>
      <w:r w:rsidRPr="000B78A7">
        <w:rPr>
          <w:rFonts w:ascii="David" w:hAnsi="David" w:hint="cs"/>
          <w:rtl/>
        </w:rPr>
        <w:t xml:space="preserve"> הנאשם </w:t>
      </w:r>
      <w:r w:rsidRPr="000B78A7">
        <w:rPr>
          <w:rFonts w:ascii="David" w:hAnsi="David"/>
          <w:rtl/>
        </w:rPr>
        <w:t>כסף מזומן בסך של 33,440 ₪ ו-500 דולר</w:t>
      </w:r>
      <w:r>
        <w:rPr>
          <w:rFonts w:ascii="David" w:hAnsi="David" w:hint="cs"/>
          <w:rtl/>
        </w:rPr>
        <w:t>.</w:t>
      </w:r>
    </w:p>
    <w:p w14:paraId="0C0EBA3B" w14:textId="77777777" w:rsidR="00AE421E" w:rsidRPr="000B78A7" w:rsidRDefault="00AE421E" w:rsidP="00AE421E">
      <w:pPr>
        <w:spacing w:line="360" w:lineRule="auto"/>
        <w:ind w:left="720"/>
        <w:jc w:val="both"/>
        <w:rPr>
          <w:rFonts w:ascii="David" w:hAnsi="David"/>
        </w:rPr>
      </w:pPr>
    </w:p>
    <w:p w14:paraId="2C0B0DED" w14:textId="77777777" w:rsidR="00AE421E" w:rsidRPr="000B78A7" w:rsidRDefault="00AE421E" w:rsidP="00AE421E">
      <w:pPr>
        <w:spacing w:line="360" w:lineRule="auto"/>
        <w:ind w:firstLine="369"/>
        <w:jc w:val="both"/>
        <w:rPr>
          <w:rFonts w:ascii="David" w:hAnsi="David"/>
          <w:u w:val="single"/>
          <w:rtl/>
        </w:rPr>
      </w:pPr>
      <w:r w:rsidRPr="000B78A7">
        <w:rPr>
          <w:rFonts w:ascii="David" w:hAnsi="David"/>
          <w:u w:val="single"/>
          <w:rtl/>
        </w:rPr>
        <w:t>טיעוני הצדדים</w:t>
      </w:r>
      <w:r w:rsidRPr="000B78A7">
        <w:rPr>
          <w:rFonts w:ascii="David" w:hAnsi="David" w:hint="cs"/>
          <w:u w:val="single"/>
          <w:rtl/>
        </w:rPr>
        <w:t xml:space="preserve"> </w:t>
      </w:r>
    </w:p>
    <w:p w14:paraId="3F22022F" w14:textId="77777777" w:rsidR="00AE421E" w:rsidRPr="000B78A7" w:rsidRDefault="00AE421E" w:rsidP="00AE421E">
      <w:pPr>
        <w:pStyle w:val="a9"/>
        <w:numPr>
          <w:ilvl w:val="0"/>
          <w:numId w:val="1"/>
        </w:numPr>
        <w:spacing w:line="360" w:lineRule="auto"/>
        <w:jc w:val="both"/>
        <w:rPr>
          <w:rFonts w:ascii="David" w:hAnsi="David"/>
        </w:rPr>
      </w:pPr>
      <w:r w:rsidRPr="000B78A7">
        <w:rPr>
          <w:rFonts w:ascii="David" w:hAnsi="David"/>
          <w:rtl/>
        </w:rPr>
        <w:t>ב"כ המאשימה, טענה כי מעשי הנאשם פגעו בשלום הציבור ובריאותו, תוך שהדגישה כי הנאשם אינו מורתע ממורא החוק כפי</w:t>
      </w:r>
      <w:r>
        <w:rPr>
          <w:rFonts w:ascii="David" w:hAnsi="David" w:hint="cs"/>
          <w:rtl/>
        </w:rPr>
        <w:t xml:space="preserve"> שעולה </w:t>
      </w:r>
      <w:r w:rsidRPr="000B78A7">
        <w:rPr>
          <w:rFonts w:ascii="David" w:hAnsi="David"/>
          <w:rtl/>
        </w:rPr>
        <w:t xml:space="preserve"> </w:t>
      </w:r>
      <w:r w:rsidRPr="000B78A7">
        <w:rPr>
          <w:rFonts w:ascii="David" w:hAnsi="David" w:hint="cs"/>
          <w:rtl/>
        </w:rPr>
        <w:t>מהרשעתו הקודמת בגין עבירת סמים במסגרתה הוטל עליו מאסר מותנה ב</w:t>
      </w:r>
      <w:r w:rsidRPr="000B78A7">
        <w:rPr>
          <w:rFonts w:ascii="David" w:hAnsi="David"/>
          <w:rtl/>
        </w:rPr>
        <w:t xml:space="preserve">שנת 2020. </w:t>
      </w:r>
      <w:r w:rsidRPr="000B78A7">
        <w:rPr>
          <w:rFonts w:ascii="David" w:hAnsi="David" w:hint="cs"/>
          <w:rtl/>
        </w:rPr>
        <w:t xml:space="preserve">ב"כ המאשימה טענה כי </w:t>
      </w:r>
      <w:r w:rsidRPr="000B78A7">
        <w:rPr>
          <w:rFonts w:ascii="David" w:hAnsi="David"/>
          <w:rtl/>
        </w:rPr>
        <w:t xml:space="preserve">מתחם </w:t>
      </w:r>
      <w:r w:rsidRPr="000B78A7">
        <w:rPr>
          <w:rFonts w:ascii="David" w:hAnsi="David" w:hint="cs"/>
          <w:rtl/>
        </w:rPr>
        <w:t>הענישה</w:t>
      </w:r>
      <w:r w:rsidRPr="000B78A7">
        <w:rPr>
          <w:rFonts w:ascii="David" w:hAnsi="David"/>
          <w:rtl/>
        </w:rPr>
        <w:t xml:space="preserve"> נע בין שמונה חודשי מאסר בפועל לשמונה עשר חודשי מאסר בפועל. </w:t>
      </w:r>
      <w:r w:rsidRPr="000B78A7">
        <w:rPr>
          <w:rFonts w:ascii="David" w:hAnsi="David" w:hint="cs"/>
          <w:rtl/>
        </w:rPr>
        <w:t xml:space="preserve">בנסיבות אלה, ביקשה </w:t>
      </w:r>
      <w:r w:rsidRPr="000B78A7">
        <w:rPr>
          <w:rFonts w:ascii="David" w:hAnsi="David"/>
          <w:rtl/>
        </w:rPr>
        <w:t xml:space="preserve">למקם את הנאשם באמצע המתחם, להפעיל במצטבר </w:t>
      </w:r>
      <w:r w:rsidRPr="000B78A7">
        <w:rPr>
          <w:rFonts w:ascii="David" w:hAnsi="David" w:hint="cs"/>
          <w:rtl/>
        </w:rPr>
        <w:t xml:space="preserve">את המאסר המותנה, לקבוע </w:t>
      </w:r>
      <w:r w:rsidRPr="000B78A7">
        <w:rPr>
          <w:rFonts w:ascii="David" w:hAnsi="David"/>
          <w:rtl/>
        </w:rPr>
        <w:t>רכיבי</w:t>
      </w:r>
      <w:r w:rsidRPr="000B78A7">
        <w:rPr>
          <w:rFonts w:ascii="David" w:hAnsi="David" w:hint="cs"/>
          <w:rtl/>
        </w:rPr>
        <w:t xml:space="preserve"> ענישה</w:t>
      </w:r>
      <w:r w:rsidRPr="000B78A7">
        <w:rPr>
          <w:rFonts w:ascii="David" w:hAnsi="David"/>
          <w:rtl/>
        </w:rPr>
        <w:t xml:space="preserve"> נלווים ולחלט את הכסף שנתפס.</w:t>
      </w:r>
      <w:r w:rsidRPr="000B78A7">
        <w:rPr>
          <w:rFonts w:ascii="David" w:hAnsi="David" w:hint="cs"/>
          <w:rtl/>
        </w:rPr>
        <w:t xml:space="preserve"> המאשימה צרפה פסיקה לביסוס טיעוניה.</w:t>
      </w:r>
    </w:p>
    <w:p w14:paraId="16BA8AAF" w14:textId="77777777" w:rsidR="00AE421E" w:rsidRPr="000B78A7" w:rsidRDefault="00AE421E" w:rsidP="00AE421E">
      <w:pPr>
        <w:pStyle w:val="a9"/>
        <w:spacing w:line="360" w:lineRule="auto"/>
        <w:jc w:val="both"/>
        <w:rPr>
          <w:rFonts w:ascii="David" w:hAnsi="David"/>
          <w:rtl/>
        </w:rPr>
      </w:pPr>
    </w:p>
    <w:p w14:paraId="0D672B9A" w14:textId="77777777" w:rsidR="00AE421E" w:rsidRPr="000B78A7" w:rsidRDefault="00AE421E" w:rsidP="00AE421E">
      <w:pPr>
        <w:pStyle w:val="a9"/>
        <w:numPr>
          <w:ilvl w:val="0"/>
          <w:numId w:val="1"/>
        </w:numPr>
        <w:spacing w:line="360" w:lineRule="auto"/>
        <w:jc w:val="both"/>
        <w:rPr>
          <w:rFonts w:ascii="David" w:hAnsi="David"/>
        </w:rPr>
      </w:pPr>
      <w:r w:rsidRPr="000B78A7">
        <w:rPr>
          <w:rFonts w:ascii="David" w:hAnsi="David"/>
          <w:rtl/>
        </w:rPr>
        <w:t>ב"כ הנאשם טען כי מדובר באירוע סחר אחד</w:t>
      </w:r>
      <w:r w:rsidRPr="000B78A7">
        <w:rPr>
          <w:rFonts w:ascii="David" w:hAnsi="David" w:hint="cs"/>
          <w:rtl/>
        </w:rPr>
        <w:t>,</w:t>
      </w:r>
      <w:r w:rsidRPr="000B78A7">
        <w:rPr>
          <w:rFonts w:ascii="David" w:hAnsi="David"/>
          <w:rtl/>
        </w:rPr>
        <w:t xml:space="preserve"> לא מתוחכם, בו </w:t>
      </w:r>
      <w:r w:rsidRPr="000B78A7">
        <w:rPr>
          <w:rFonts w:ascii="David" w:hAnsi="David" w:hint="cs"/>
          <w:rtl/>
        </w:rPr>
        <w:t>ה</w:t>
      </w:r>
      <w:r w:rsidRPr="000B78A7">
        <w:rPr>
          <w:rFonts w:ascii="David" w:hAnsi="David"/>
          <w:rtl/>
        </w:rPr>
        <w:t xml:space="preserve">נאשם </w:t>
      </w:r>
      <w:r w:rsidRPr="000B78A7">
        <w:rPr>
          <w:rFonts w:ascii="David" w:hAnsi="David" w:hint="cs"/>
          <w:rtl/>
        </w:rPr>
        <w:t xml:space="preserve">הפיק </w:t>
      </w:r>
      <w:r w:rsidRPr="000B78A7">
        <w:rPr>
          <w:rFonts w:ascii="David" w:hAnsi="David"/>
          <w:rtl/>
        </w:rPr>
        <w:t>רווח מינימלי של 150 ₪</w:t>
      </w:r>
      <w:r w:rsidRPr="000B78A7">
        <w:rPr>
          <w:rFonts w:ascii="David" w:hAnsi="David" w:hint="cs"/>
          <w:rtl/>
        </w:rPr>
        <w:t>,</w:t>
      </w:r>
      <w:r w:rsidRPr="000B78A7">
        <w:rPr>
          <w:rFonts w:ascii="David" w:hAnsi="David"/>
          <w:rtl/>
        </w:rPr>
        <w:t xml:space="preserve"> </w:t>
      </w:r>
      <w:r w:rsidRPr="000B78A7">
        <w:rPr>
          <w:rFonts w:ascii="David" w:hAnsi="David" w:hint="cs"/>
          <w:rtl/>
        </w:rPr>
        <w:t xml:space="preserve">וכן מקרה של </w:t>
      </w:r>
      <w:r w:rsidRPr="000B78A7">
        <w:rPr>
          <w:rFonts w:ascii="David" w:hAnsi="David"/>
          <w:rtl/>
        </w:rPr>
        <w:t xml:space="preserve">החזקת סם </w:t>
      </w:r>
      <w:r w:rsidRPr="000B78A7">
        <w:rPr>
          <w:rFonts w:ascii="David" w:hAnsi="David" w:hint="cs"/>
          <w:rtl/>
        </w:rPr>
        <w:t xml:space="preserve">שלא לצריכה עצמית. לאחר שהפנה לפסיקה, </w:t>
      </w:r>
      <w:r w:rsidRPr="000B78A7">
        <w:rPr>
          <w:rFonts w:ascii="David" w:hAnsi="David"/>
          <w:rtl/>
        </w:rPr>
        <w:t xml:space="preserve">עתר לקביעת מתחם ענישה </w:t>
      </w:r>
      <w:r w:rsidRPr="000B78A7">
        <w:rPr>
          <w:rFonts w:ascii="David" w:hAnsi="David" w:hint="cs"/>
          <w:rtl/>
        </w:rPr>
        <w:t>ה</w:t>
      </w:r>
      <w:r w:rsidRPr="000B78A7">
        <w:rPr>
          <w:rFonts w:ascii="David" w:hAnsi="David"/>
          <w:rtl/>
        </w:rPr>
        <w:t xml:space="preserve">נע בין שלושה חודשי מאסר ועד </w:t>
      </w:r>
      <w:r w:rsidRPr="000B78A7">
        <w:rPr>
          <w:rFonts w:ascii="David" w:hAnsi="David" w:hint="cs"/>
          <w:rtl/>
        </w:rPr>
        <w:t xml:space="preserve">10 </w:t>
      </w:r>
      <w:r w:rsidRPr="000B78A7">
        <w:rPr>
          <w:rFonts w:ascii="David" w:hAnsi="David"/>
          <w:rtl/>
        </w:rPr>
        <w:t>חודשי מאסר. ב"ב הנאשם ביקש להתחשב בכך ש</w:t>
      </w:r>
      <w:r w:rsidRPr="000B78A7">
        <w:rPr>
          <w:rFonts w:ascii="David" w:hAnsi="David" w:hint="cs"/>
          <w:rtl/>
        </w:rPr>
        <w:t xml:space="preserve">הנאשם </w:t>
      </w:r>
      <w:r w:rsidRPr="000B78A7">
        <w:rPr>
          <w:rFonts w:ascii="David" w:hAnsi="David"/>
          <w:rtl/>
        </w:rPr>
        <w:t xml:space="preserve">שיתף פעולה עם </w:t>
      </w:r>
      <w:r w:rsidRPr="000B78A7">
        <w:rPr>
          <w:rFonts w:ascii="David" w:hAnsi="David" w:hint="cs"/>
          <w:rtl/>
        </w:rPr>
        <w:t>חוקרי המשטרה</w:t>
      </w:r>
      <w:r w:rsidRPr="000B78A7">
        <w:rPr>
          <w:rFonts w:ascii="David" w:hAnsi="David"/>
          <w:rtl/>
        </w:rPr>
        <w:t>, מסר מיוזמתו את הקוד ל</w:t>
      </w:r>
      <w:r w:rsidRPr="000B78A7">
        <w:rPr>
          <w:rFonts w:ascii="David" w:hAnsi="David" w:hint="cs"/>
          <w:rtl/>
        </w:rPr>
        <w:t>מכשיר ה</w:t>
      </w:r>
      <w:r w:rsidRPr="000B78A7">
        <w:rPr>
          <w:rFonts w:ascii="David" w:hAnsi="David"/>
          <w:rtl/>
        </w:rPr>
        <w:t>טלפון שלו ובכך א</w:t>
      </w:r>
      <w:r>
        <w:rPr>
          <w:rFonts w:ascii="David" w:hAnsi="David" w:hint="cs"/>
          <w:rtl/>
        </w:rPr>
        <w:t>ִ</w:t>
      </w:r>
      <w:r w:rsidRPr="000B78A7">
        <w:rPr>
          <w:rFonts w:ascii="David" w:hAnsi="David"/>
          <w:rtl/>
        </w:rPr>
        <w:t>פשר למשטרה להגיע לעד מפליל</w:t>
      </w:r>
      <w:r w:rsidRPr="000B78A7">
        <w:rPr>
          <w:rFonts w:ascii="David" w:hAnsi="David" w:hint="cs"/>
          <w:rtl/>
        </w:rPr>
        <w:t xml:space="preserve"> אשר כנגדו לא הוגש כתב אישום על אף </w:t>
      </w:r>
      <w:r w:rsidRPr="000B78A7">
        <w:rPr>
          <w:rFonts w:ascii="David" w:hAnsi="David"/>
          <w:rtl/>
        </w:rPr>
        <w:t>שהודה ברכישה שיטתית של סמים קשים</w:t>
      </w:r>
      <w:r w:rsidRPr="000B78A7">
        <w:rPr>
          <w:rFonts w:ascii="David" w:hAnsi="David" w:hint="cs"/>
          <w:rtl/>
        </w:rPr>
        <w:t>.</w:t>
      </w:r>
      <w:r w:rsidRPr="000B78A7">
        <w:rPr>
          <w:rFonts w:ascii="David" w:hAnsi="David"/>
          <w:color w:val="FF0000"/>
          <w:rtl/>
        </w:rPr>
        <w:t xml:space="preserve"> </w:t>
      </w:r>
      <w:r w:rsidRPr="000B78A7">
        <w:rPr>
          <w:rFonts w:ascii="David" w:hAnsi="David"/>
          <w:rtl/>
        </w:rPr>
        <w:t xml:space="preserve">ב"כ הנאשם ביקש להדגיש כי מעשי הנאשם </w:t>
      </w:r>
      <w:r w:rsidRPr="000B78A7">
        <w:rPr>
          <w:rFonts w:ascii="David" w:hAnsi="David" w:hint="cs"/>
          <w:rtl/>
        </w:rPr>
        <w:t xml:space="preserve">בוצעו </w:t>
      </w:r>
      <w:r>
        <w:rPr>
          <w:rFonts w:ascii="David" w:hAnsi="David"/>
          <w:rtl/>
        </w:rPr>
        <w:t>בעיצומה של מג</w:t>
      </w:r>
      <w:r w:rsidRPr="000B78A7">
        <w:rPr>
          <w:rFonts w:ascii="David" w:hAnsi="David"/>
          <w:rtl/>
        </w:rPr>
        <w:t xml:space="preserve">פת הקורונה וכי הנאשם </w:t>
      </w:r>
      <w:r w:rsidRPr="000B78A7">
        <w:rPr>
          <w:rFonts w:ascii="David" w:hAnsi="David" w:hint="cs"/>
          <w:rtl/>
        </w:rPr>
        <w:t xml:space="preserve">הוא </w:t>
      </w:r>
      <w:r w:rsidRPr="000B78A7">
        <w:rPr>
          <w:rFonts w:ascii="David" w:hAnsi="David"/>
          <w:rtl/>
        </w:rPr>
        <w:t xml:space="preserve">חלק מאוכלוסייה שנפגעה </w:t>
      </w:r>
      <w:r w:rsidRPr="000B78A7">
        <w:rPr>
          <w:rFonts w:ascii="David" w:hAnsi="David" w:hint="cs"/>
          <w:rtl/>
        </w:rPr>
        <w:t xml:space="preserve">באופן </w:t>
      </w:r>
      <w:r w:rsidRPr="000B78A7">
        <w:rPr>
          <w:rFonts w:ascii="David" w:hAnsi="David"/>
          <w:rtl/>
        </w:rPr>
        <w:t xml:space="preserve">קשה </w:t>
      </w:r>
      <w:r w:rsidRPr="000B78A7">
        <w:rPr>
          <w:rFonts w:ascii="David" w:hAnsi="David" w:hint="cs"/>
          <w:rtl/>
        </w:rPr>
        <w:t xml:space="preserve">כתוצאה </w:t>
      </w:r>
      <w:r w:rsidRPr="000B78A7">
        <w:rPr>
          <w:rFonts w:ascii="David" w:hAnsi="David"/>
          <w:rtl/>
        </w:rPr>
        <w:t xml:space="preserve">מסגרים. עוד טען, כי הנאשם היה עצור במשך שלושה ימים ולאחר מכן </w:t>
      </w:r>
      <w:r w:rsidRPr="000B78A7">
        <w:rPr>
          <w:rFonts w:ascii="David" w:hAnsi="David" w:hint="cs"/>
          <w:rtl/>
        </w:rPr>
        <w:t xml:space="preserve">שהה במשך </w:t>
      </w:r>
      <w:r w:rsidRPr="000B78A7">
        <w:rPr>
          <w:rFonts w:ascii="David" w:hAnsi="David"/>
          <w:rtl/>
        </w:rPr>
        <w:t xml:space="preserve">שבוע במעצר בית, ומאז לא נפתחו </w:t>
      </w:r>
      <w:r w:rsidRPr="000B78A7">
        <w:rPr>
          <w:rFonts w:ascii="David" w:hAnsi="David" w:hint="cs"/>
          <w:rtl/>
        </w:rPr>
        <w:t xml:space="preserve">כנגדו כל </w:t>
      </w:r>
      <w:r w:rsidRPr="000B78A7">
        <w:rPr>
          <w:rFonts w:ascii="David" w:hAnsi="David"/>
          <w:rtl/>
        </w:rPr>
        <w:t>תיקים חדשים. הנאשם שוהה בישראל במשך עשר שנים</w:t>
      </w:r>
      <w:r w:rsidRPr="000B78A7">
        <w:rPr>
          <w:rFonts w:ascii="David" w:hAnsi="David" w:hint="cs"/>
          <w:rtl/>
        </w:rPr>
        <w:t xml:space="preserve">, עובד לפרנסתו והורשע פעם אחת בלבד בעבר בגין החזקת סם לצריכה עצמית. מנתונים אלה ביקש ב"כ הנאשם ללמוד כי הנאשם אינו מסוכן. </w:t>
      </w:r>
    </w:p>
    <w:p w14:paraId="4A00661F" w14:textId="77777777" w:rsidR="00AE421E" w:rsidRPr="000B78A7" w:rsidRDefault="00AE421E" w:rsidP="00AE421E">
      <w:pPr>
        <w:pStyle w:val="a9"/>
        <w:spacing w:line="360" w:lineRule="auto"/>
        <w:jc w:val="both"/>
        <w:rPr>
          <w:rFonts w:ascii="David" w:hAnsi="David"/>
        </w:rPr>
      </w:pPr>
      <w:r w:rsidRPr="000B78A7">
        <w:rPr>
          <w:rFonts w:ascii="David" w:hAnsi="David" w:hint="cs"/>
          <w:rtl/>
        </w:rPr>
        <w:t xml:space="preserve">בנסיבות אלה </w:t>
      </w:r>
      <w:r w:rsidRPr="000B78A7">
        <w:rPr>
          <w:rFonts w:ascii="David" w:hAnsi="David"/>
          <w:rtl/>
        </w:rPr>
        <w:t xml:space="preserve">עתר ב"כ הנאשם להטלת עונש מאסר שלא יעלה על חמישה-שישה חודשי </w:t>
      </w:r>
      <w:r w:rsidRPr="000B78A7">
        <w:rPr>
          <w:rFonts w:ascii="David" w:hAnsi="David" w:hint="cs"/>
          <w:rtl/>
        </w:rPr>
        <w:t xml:space="preserve">מאסר בדרך של </w:t>
      </w:r>
      <w:r w:rsidRPr="000B78A7">
        <w:rPr>
          <w:rFonts w:ascii="David" w:hAnsi="David"/>
          <w:rtl/>
        </w:rPr>
        <w:t xml:space="preserve">עבודות שירות, </w:t>
      </w:r>
      <w:r w:rsidRPr="000B78A7">
        <w:rPr>
          <w:rFonts w:ascii="David" w:hAnsi="David" w:hint="cs"/>
          <w:rtl/>
        </w:rPr>
        <w:t>ה</w:t>
      </w:r>
      <w:r w:rsidRPr="000B78A7">
        <w:rPr>
          <w:rFonts w:ascii="David" w:hAnsi="David"/>
          <w:rtl/>
        </w:rPr>
        <w:t>כולל</w:t>
      </w:r>
      <w:r w:rsidRPr="000B78A7">
        <w:rPr>
          <w:rFonts w:ascii="David" w:hAnsi="David" w:hint="cs"/>
          <w:rtl/>
        </w:rPr>
        <w:t xml:space="preserve">ים את </w:t>
      </w:r>
      <w:r w:rsidRPr="000B78A7">
        <w:rPr>
          <w:rFonts w:ascii="David" w:hAnsi="David"/>
          <w:rtl/>
        </w:rPr>
        <w:t>הפעלת ה</w:t>
      </w:r>
      <w:r w:rsidRPr="000B78A7">
        <w:rPr>
          <w:rFonts w:ascii="David" w:hAnsi="David" w:hint="cs"/>
          <w:rtl/>
        </w:rPr>
        <w:t>מאסר המותנה</w:t>
      </w:r>
      <w:r w:rsidRPr="000B78A7">
        <w:rPr>
          <w:rFonts w:ascii="David" w:hAnsi="David"/>
          <w:rtl/>
        </w:rPr>
        <w:t xml:space="preserve">. לעניין החילוט, טען ב"כ הנאשם לחוסר הלימה בין הרווח שהפיק הנאשם </w:t>
      </w:r>
      <w:r w:rsidRPr="000B78A7">
        <w:rPr>
          <w:rFonts w:ascii="David" w:hAnsi="David" w:hint="cs"/>
          <w:rtl/>
        </w:rPr>
        <w:t xml:space="preserve">ממכירת הסם </w:t>
      </w:r>
      <w:r w:rsidRPr="000B78A7">
        <w:rPr>
          <w:rFonts w:ascii="David" w:hAnsi="David"/>
          <w:rtl/>
        </w:rPr>
        <w:t xml:space="preserve">לבין הסכום שהמאשימה מבקשת לחלט. ב"כ הנאשם הפנה לפסיקה </w:t>
      </w:r>
      <w:r w:rsidRPr="000B78A7">
        <w:rPr>
          <w:rFonts w:ascii="David" w:hAnsi="David" w:hint="cs"/>
          <w:rtl/>
        </w:rPr>
        <w:t>לשם תמיכה בטיעוניו</w:t>
      </w:r>
      <w:r w:rsidRPr="000B78A7">
        <w:rPr>
          <w:rFonts w:ascii="David" w:hAnsi="David"/>
          <w:rtl/>
        </w:rPr>
        <w:t>.</w:t>
      </w:r>
    </w:p>
    <w:p w14:paraId="0C5A8F6D" w14:textId="77777777" w:rsidR="00AE421E" w:rsidRPr="000B78A7" w:rsidRDefault="00AE421E" w:rsidP="00AE421E">
      <w:pPr>
        <w:pStyle w:val="a9"/>
        <w:spacing w:line="360" w:lineRule="auto"/>
        <w:jc w:val="both"/>
        <w:rPr>
          <w:rFonts w:ascii="David" w:hAnsi="David"/>
          <w:highlight w:val="yellow"/>
        </w:rPr>
      </w:pPr>
    </w:p>
    <w:p w14:paraId="093D0C1D" w14:textId="77777777" w:rsidR="00AE421E" w:rsidRPr="000B78A7" w:rsidRDefault="00AE421E" w:rsidP="00AE421E">
      <w:pPr>
        <w:pStyle w:val="a9"/>
        <w:spacing w:line="360" w:lineRule="auto"/>
        <w:jc w:val="both"/>
        <w:rPr>
          <w:rFonts w:ascii="David" w:hAnsi="David"/>
          <w:rtl/>
        </w:rPr>
      </w:pPr>
      <w:r w:rsidRPr="000B78A7">
        <w:rPr>
          <w:rFonts w:ascii="David" w:hAnsi="David"/>
          <w:rtl/>
        </w:rPr>
        <w:t xml:space="preserve">הנאשם </w:t>
      </w:r>
      <w:r w:rsidRPr="000B78A7">
        <w:rPr>
          <w:rFonts w:ascii="David" w:hAnsi="David" w:hint="cs"/>
          <w:rtl/>
        </w:rPr>
        <w:t xml:space="preserve">בדברו הצטער </w:t>
      </w:r>
      <w:r w:rsidRPr="000B78A7">
        <w:rPr>
          <w:rFonts w:ascii="David" w:hAnsi="David"/>
          <w:rtl/>
        </w:rPr>
        <w:t>על מעשיו.</w:t>
      </w:r>
    </w:p>
    <w:p w14:paraId="06065AE7" w14:textId="77777777" w:rsidR="00AE421E" w:rsidRPr="000B78A7" w:rsidRDefault="00AE421E" w:rsidP="00AE421E">
      <w:pPr>
        <w:spacing w:line="360" w:lineRule="auto"/>
        <w:jc w:val="both"/>
        <w:rPr>
          <w:rFonts w:ascii="David" w:hAnsi="David"/>
          <w:rtl/>
        </w:rPr>
      </w:pPr>
    </w:p>
    <w:p w14:paraId="3CDA0365" w14:textId="77777777" w:rsidR="00AE421E" w:rsidRPr="000B78A7" w:rsidRDefault="00AE421E" w:rsidP="00AE421E">
      <w:pPr>
        <w:spacing w:line="360" w:lineRule="auto"/>
        <w:jc w:val="both"/>
        <w:rPr>
          <w:rFonts w:ascii="David" w:hAnsi="David"/>
          <w:b/>
          <w:bCs/>
          <w:u w:val="single"/>
          <w:rtl/>
        </w:rPr>
      </w:pPr>
      <w:r w:rsidRPr="000B78A7">
        <w:rPr>
          <w:rFonts w:ascii="David" w:hAnsi="David"/>
          <w:b/>
          <w:bCs/>
          <w:u w:val="single"/>
          <w:rtl/>
        </w:rPr>
        <w:t>דיון והכרעה</w:t>
      </w:r>
    </w:p>
    <w:p w14:paraId="12C10B5E" w14:textId="77777777" w:rsidR="00AE421E" w:rsidRPr="000B78A7" w:rsidRDefault="00AE421E" w:rsidP="00AE421E">
      <w:pPr>
        <w:numPr>
          <w:ilvl w:val="0"/>
          <w:numId w:val="1"/>
        </w:numPr>
        <w:spacing w:line="360" w:lineRule="auto"/>
        <w:jc w:val="both"/>
        <w:rPr>
          <w:rFonts w:ascii="David" w:hAnsi="David"/>
          <w:rtl/>
        </w:rPr>
      </w:pPr>
      <w:r w:rsidRPr="000B78A7">
        <w:rPr>
          <w:rFonts w:ascii="David" w:hAnsi="David"/>
          <w:rtl/>
        </w:rPr>
        <w:t xml:space="preserve">במקרה </w:t>
      </w:r>
      <w:r w:rsidRPr="000B78A7">
        <w:rPr>
          <w:rFonts w:ascii="David" w:hAnsi="David" w:hint="cs"/>
          <w:rtl/>
        </w:rPr>
        <w:t xml:space="preserve">הנדון, בהתחשב בסמיכות הזמנים ובאופי העבירות, יש לקבל את טענת הצדדים ולקבוע כי </w:t>
      </w:r>
      <w:r w:rsidRPr="000B78A7">
        <w:rPr>
          <w:rFonts w:ascii="David" w:hAnsi="David"/>
          <w:rtl/>
        </w:rPr>
        <w:t>מדובר במסכת עבריינית אחת</w:t>
      </w:r>
      <w:r w:rsidRPr="000B78A7">
        <w:rPr>
          <w:rFonts w:ascii="David" w:hAnsi="David" w:hint="cs"/>
          <w:rtl/>
        </w:rPr>
        <w:t xml:space="preserve"> המקימה מתחם ענישה אחד. </w:t>
      </w:r>
    </w:p>
    <w:p w14:paraId="12DDC82D" w14:textId="77777777" w:rsidR="00AE421E" w:rsidRDefault="00AE421E" w:rsidP="00AE421E">
      <w:pPr>
        <w:spacing w:line="360" w:lineRule="auto"/>
        <w:ind w:left="720"/>
        <w:contextualSpacing/>
        <w:jc w:val="both"/>
        <w:rPr>
          <w:rFonts w:ascii="David" w:hAnsi="David"/>
          <w:color w:val="000000"/>
          <w:rtl/>
        </w:rPr>
      </w:pPr>
      <w:r w:rsidRPr="000B78A7">
        <w:rPr>
          <w:rFonts w:ascii="David" w:hAnsi="David"/>
          <w:color w:val="000000"/>
          <w:rtl/>
        </w:rPr>
        <w:t>פגיעתם של סמים מסוכנים היא בעלת רבדים רבים - החל מהפגיעה בצרכן הסם</w:t>
      </w:r>
      <w:r w:rsidRPr="000B78A7">
        <w:rPr>
          <w:rFonts w:ascii="David" w:hAnsi="David" w:hint="cs"/>
          <w:color w:val="000000"/>
          <w:rtl/>
        </w:rPr>
        <w:t xml:space="preserve"> הסובל מהתמכרות ומפגיעה בגופו,</w:t>
      </w:r>
      <w:r w:rsidRPr="000B78A7">
        <w:rPr>
          <w:rFonts w:ascii="David" w:hAnsi="David"/>
          <w:color w:val="000000"/>
          <w:rtl/>
        </w:rPr>
        <w:t xml:space="preserve"> דרך הפגיעה במרקם </w:t>
      </w:r>
      <w:r w:rsidRPr="000B78A7">
        <w:rPr>
          <w:rFonts w:ascii="David" w:hAnsi="David" w:hint="cs"/>
          <w:color w:val="000000"/>
          <w:rtl/>
        </w:rPr>
        <w:t>סביבתו הקרובה הנפגעת לא פעם משיבוש אורחות חייו בשל צריכת הסם,</w:t>
      </w:r>
      <w:r w:rsidRPr="000B78A7">
        <w:rPr>
          <w:rFonts w:ascii="David" w:hAnsi="David"/>
          <w:color w:val="000000"/>
          <w:rtl/>
        </w:rPr>
        <w:t xml:space="preserve"> ועד </w:t>
      </w:r>
      <w:r w:rsidRPr="000B78A7">
        <w:rPr>
          <w:rFonts w:ascii="David" w:hAnsi="David" w:hint="cs"/>
          <w:color w:val="000000"/>
          <w:rtl/>
        </w:rPr>
        <w:t xml:space="preserve">לציבור הרחב הנפגע </w:t>
      </w:r>
      <w:r w:rsidRPr="000B78A7">
        <w:rPr>
          <w:rFonts w:ascii="David" w:hAnsi="David"/>
          <w:color w:val="000000"/>
          <w:rtl/>
        </w:rPr>
        <w:t xml:space="preserve">מביצוע עבירות שנועדו לסייע במימון </w:t>
      </w:r>
      <w:r w:rsidRPr="000B78A7">
        <w:rPr>
          <w:rFonts w:ascii="David" w:hAnsi="David" w:hint="cs"/>
          <w:color w:val="000000"/>
          <w:rtl/>
        </w:rPr>
        <w:t>הסם:</w:t>
      </w:r>
    </w:p>
    <w:p w14:paraId="61553492" w14:textId="77777777" w:rsidR="00AE421E" w:rsidRPr="000B78A7" w:rsidRDefault="00AE421E" w:rsidP="00AE421E">
      <w:pPr>
        <w:spacing w:line="360" w:lineRule="auto"/>
        <w:ind w:left="720"/>
        <w:contextualSpacing/>
        <w:jc w:val="both"/>
        <w:rPr>
          <w:rFonts w:ascii="David" w:hAnsi="David"/>
          <w:color w:val="000000"/>
          <w:rtl/>
        </w:rPr>
      </w:pPr>
    </w:p>
    <w:p w14:paraId="1CCEB728" w14:textId="77777777" w:rsidR="00AE421E" w:rsidRPr="000B78A7" w:rsidRDefault="00AE421E" w:rsidP="00AE421E">
      <w:pPr>
        <w:pStyle w:val="a9"/>
        <w:ind w:left="1361" w:right="1134"/>
        <w:jc w:val="both"/>
        <w:rPr>
          <w:rFonts w:ascii="David" w:hAnsi="David"/>
          <w:sz w:val="22"/>
          <w:szCs w:val="22"/>
        </w:rPr>
      </w:pPr>
      <w:r w:rsidRPr="000B78A7">
        <w:rPr>
          <w:rFonts w:ascii="David" w:hAnsi="David"/>
          <w:rtl/>
        </w:rPr>
        <w:t>"</w:t>
      </w:r>
      <w:r w:rsidRPr="000B78A7">
        <w:rPr>
          <w:rFonts w:ascii="David" w:hAnsi="David"/>
          <w:b/>
          <w:bCs/>
          <w:rtl/>
        </w:rPr>
        <w:t>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r w:rsidRPr="000B78A7">
        <w:rPr>
          <w:rFonts w:ascii="David" w:hAnsi="David"/>
          <w:rtl/>
        </w:rPr>
        <w:t>"</w:t>
      </w:r>
    </w:p>
    <w:p w14:paraId="41554582" w14:textId="77777777" w:rsidR="00AE421E" w:rsidRPr="000B78A7" w:rsidRDefault="00AE421E" w:rsidP="00AE421E">
      <w:pPr>
        <w:pStyle w:val="a9"/>
        <w:ind w:left="1361" w:right="1134"/>
        <w:jc w:val="both"/>
        <w:rPr>
          <w:rFonts w:ascii="David" w:hAnsi="David"/>
          <w:color w:val="000000"/>
          <w:sz w:val="22"/>
          <w:szCs w:val="22"/>
          <w:rtl/>
        </w:rPr>
      </w:pPr>
      <w:r w:rsidRPr="000B78A7">
        <w:rPr>
          <w:rFonts w:ascii="David" w:hAnsi="David"/>
          <w:rtl/>
        </w:rPr>
        <w:t>(</w:t>
      </w:r>
      <w:hyperlink r:id="rId20" w:history="1">
        <w:r w:rsidR="0029639B" w:rsidRPr="0029639B">
          <w:rPr>
            <w:rFonts w:ascii="David" w:hAnsi="David"/>
            <w:color w:val="0000FF"/>
            <w:u w:val="single"/>
            <w:rtl/>
          </w:rPr>
          <w:t>ע"פ 1635/14</w:t>
        </w:r>
      </w:hyperlink>
      <w:r w:rsidR="0029639B">
        <w:rPr>
          <w:rFonts w:ascii="David" w:hAnsi="David"/>
          <w:rtl/>
        </w:rPr>
        <w:t xml:space="preserve"> </w:t>
      </w:r>
      <w:r w:rsidRPr="000B78A7">
        <w:rPr>
          <w:rFonts w:ascii="David" w:hAnsi="David"/>
          <w:b/>
          <w:bCs/>
          <w:rtl/>
        </w:rPr>
        <w:t>שי יהודה נ' מדינת ישראל</w:t>
      </w:r>
      <w:r w:rsidRPr="000B78A7">
        <w:rPr>
          <w:rFonts w:ascii="David" w:hAnsi="David"/>
          <w:rtl/>
        </w:rPr>
        <w:t>, פסקה 5 (21.8.2014)).</w:t>
      </w:r>
    </w:p>
    <w:p w14:paraId="7F586D1B" w14:textId="77777777" w:rsidR="00AE421E" w:rsidRDefault="00AE421E" w:rsidP="00AE421E">
      <w:pPr>
        <w:spacing w:line="360" w:lineRule="auto"/>
        <w:ind w:left="720"/>
        <w:contextualSpacing/>
        <w:jc w:val="both"/>
        <w:rPr>
          <w:rFonts w:ascii="David" w:hAnsi="David"/>
          <w:color w:val="000000"/>
          <w:rtl/>
        </w:rPr>
      </w:pPr>
    </w:p>
    <w:p w14:paraId="7E5E9FB0" w14:textId="77777777" w:rsidR="00AE421E" w:rsidRPr="000B78A7" w:rsidRDefault="00AE421E" w:rsidP="00AE421E">
      <w:pPr>
        <w:spacing w:line="360" w:lineRule="auto"/>
        <w:ind w:left="720"/>
        <w:contextualSpacing/>
        <w:jc w:val="both"/>
        <w:rPr>
          <w:rFonts w:ascii="David" w:hAnsi="David"/>
          <w:b/>
          <w:rtl/>
          <w:lang w:eastAsia="he-IL"/>
        </w:rPr>
      </w:pPr>
      <w:r w:rsidRPr="000B78A7">
        <w:rPr>
          <w:rFonts w:ascii="David" w:hAnsi="David" w:hint="cs"/>
          <w:color w:val="000000"/>
          <w:rtl/>
        </w:rPr>
        <w:t>כ</w:t>
      </w:r>
      <w:r w:rsidRPr="000B78A7">
        <w:rPr>
          <w:rFonts w:ascii="David" w:hAnsi="David"/>
          <w:color w:val="000000"/>
          <w:rtl/>
        </w:rPr>
        <w:t xml:space="preserve">ך, קבע המחוקק את העונש המירבי בגין עבירת החזקת סם שלא לצריכה עצמית </w:t>
      </w:r>
      <w:r w:rsidRPr="000B78A7">
        <w:rPr>
          <w:rFonts w:ascii="David" w:hAnsi="David" w:hint="cs"/>
          <w:color w:val="000000"/>
          <w:rtl/>
        </w:rPr>
        <w:t xml:space="preserve">וכן בגין עבירת סחר בסם מסוכן, </w:t>
      </w:r>
      <w:r w:rsidRPr="000B78A7">
        <w:rPr>
          <w:rFonts w:ascii="David" w:hAnsi="David"/>
          <w:color w:val="000000"/>
          <w:rtl/>
        </w:rPr>
        <w:t>כעומד על 20 שנות מאסר</w:t>
      </w:r>
      <w:r w:rsidRPr="000B78A7">
        <w:rPr>
          <w:rFonts w:ascii="David" w:hAnsi="David"/>
          <w:color w:val="000000"/>
        </w:rPr>
        <w:t>.</w:t>
      </w:r>
    </w:p>
    <w:p w14:paraId="0F211EF2" w14:textId="77777777" w:rsidR="00AE421E" w:rsidRDefault="00AE421E" w:rsidP="00AE421E">
      <w:pPr>
        <w:spacing w:line="360" w:lineRule="auto"/>
        <w:ind w:left="720"/>
        <w:contextualSpacing/>
        <w:jc w:val="both"/>
        <w:rPr>
          <w:rFonts w:ascii="David" w:hAnsi="David"/>
          <w:rtl/>
        </w:rPr>
      </w:pPr>
      <w:r w:rsidRPr="000B78A7">
        <w:rPr>
          <w:rFonts w:ascii="David" w:hAnsi="David"/>
          <w:rtl/>
        </w:rPr>
        <w:t xml:space="preserve">בית המשפט העליון </w:t>
      </w:r>
      <w:r w:rsidRPr="000B78A7">
        <w:rPr>
          <w:rFonts w:ascii="David" w:hAnsi="David" w:hint="cs"/>
          <w:rtl/>
        </w:rPr>
        <w:t xml:space="preserve">עמד </w:t>
      </w:r>
      <w:r w:rsidRPr="000B78A7">
        <w:rPr>
          <w:rFonts w:ascii="David" w:hAnsi="David"/>
          <w:rtl/>
        </w:rPr>
        <w:t>על הצורך במיגור תופעת הסמים</w:t>
      </w:r>
      <w:r w:rsidRPr="000B78A7">
        <w:rPr>
          <w:rFonts w:ascii="David" w:hAnsi="David" w:hint="cs"/>
          <w:rtl/>
        </w:rPr>
        <w:t xml:space="preserve"> </w:t>
      </w:r>
      <w:r w:rsidRPr="000B78A7">
        <w:rPr>
          <w:rFonts w:ascii="David" w:hAnsi="David"/>
          <w:rtl/>
        </w:rPr>
        <w:t>ועל חשיבות התפקיד שמוטל על בית המשפט למלא במאבק זה, באמצעות הטלת ענישה משמעותית ומרתיעה:</w:t>
      </w:r>
    </w:p>
    <w:p w14:paraId="04ACF512" w14:textId="77777777" w:rsidR="00AE421E" w:rsidRPr="000B78A7" w:rsidRDefault="00AE421E" w:rsidP="00AE421E">
      <w:pPr>
        <w:spacing w:line="360" w:lineRule="auto"/>
        <w:ind w:left="720"/>
        <w:contextualSpacing/>
        <w:jc w:val="both"/>
        <w:rPr>
          <w:rFonts w:ascii="David" w:hAnsi="David"/>
          <w:rtl/>
        </w:rPr>
      </w:pPr>
    </w:p>
    <w:p w14:paraId="7A426E21" w14:textId="77777777" w:rsidR="00AE421E" w:rsidRPr="000B78A7" w:rsidRDefault="00AE421E" w:rsidP="00AE421E">
      <w:pPr>
        <w:ind w:left="1361" w:right="1134"/>
        <w:jc w:val="both"/>
        <w:rPr>
          <w:rFonts w:ascii="David" w:hAnsi="David"/>
          <w:b/>
          <w:bCs/>
          <w:color w:val="000000"/>
          <w:rtl/>
        </w:rPr>
      </w:pPr>
      <w:r w:rsidRPr="000B78A7">
        <w:rPr>
          <w:rFonts w:ascii="David" w:hAnsi="David" w:hint="cs"/>
          <w:b/>
          <w:bCs/>
          <w:color w:val="000000"/>
          <w:rtl/>
        </w:rPr>
        <w:t>"</w:t>
      </w:r>
      <w:r w:rsidRPr="000B78A7">
        <w:rPr>
          <w:rFonts w:ascii="David" w:hAnsi="David"/>
          <w:b/>
          <w:bCs/>
          <w:color w:val="000000"/>
          <w:rtl/>
        </w:rPr>
        <w:t>בית משפט זה עמד לא אחת על החומרה הרבה הטמונה בעבירות סחר והפצה של סמים, לא כל שכן סמים מסוכנים המוגדרים 'קשים'</w:t>
      </w:r>
      <w:r w:rsidRPr="000B78A7">
        <w:rPr>
          <w:rFonts w:ascii="David" w:hAnsi="David" w:hint="cs"/>
          <w:b/>
          <w:bCs/>
          <w:color w:val="000000"/>
          <w:rtl/>
        </w:rPr>
        <w:t>...</w:t>
      </w:r>
      <w:r w:rsidRPr="000B78A7">
        <w:rPr>
          <w:rFonts w:ascii="David" w:hAnsi="David"/>
          <w:b/>
          <w:bCs/>
          <w:color w:val="000000"/>
          <w:rtl/>
        </w:rPr>
        <w:t xml:space="preserve"> ועל הצורך להיאבק בהן באמצעות ענישה משמעותית ומרתיעה</w:t>
      </w:r>
      <w:r w:rsidRPr="000B78A7">
        <w:rPr>
          <w:rFonts w:ascii="David" w:hAnsi="David" w:hint="cs"/>
          <w:b/>
          <w:bCs/>
          <w:color w:val="000000"/>
          <w:rtl/>
        </w:rPr>
        <w:t>...</w:t>
      </w:r>
      <w:r w:rsidRPr="000B78A7">
        <w:rPr>
          <w:rFonts w:ascii="David" w:hAnsi="David"/>
          <w:b/>
          <w:bCs/>
          <w:color w:val="000000"/>
          <w:rtl/>
        </w:rPr>
        <w:t xml:space="preserve"> זאת, לאור הנזק הרב שהן מסבות לא אך למשתמשים הישירים</w:t>
      </w:r>
      <w:r w:rsidRPr="000B78A7">
        <w:rPr>
          <w:rFonts w:ascii="David" w:hAnsi="David" w:hint="cs"/>
          <w:b/>
          <w:bCs/>
          <w:color w:val="000000"/>
          <w:rtl/>
        </w:rPr>
        <w:t xml:space="preserve"> </w:t>
      </w:r>
      <w:r w:rsidRPr="000B78A7">
        <w:rPr>
          <w:rFonts w:ascii="David" w:hAnsi="David"/>
          <w:b/>
          <w:bCs/>
          <w:color w:val="000000"/>
          <w:rtl/>
        </w:rPr>
        <w:t>בסם, אלא לחברה כולה, הסובלת מעבירות רכוש ואלימות מצד העוסקים בסחר ומלקוחותיהם</w:t>
      </w:r>
      <w:r w:rsidRPr="000B78A7">
        <w:rPr>
          <w:rFonts w:ascii="David" w:hAnsi="David" w:hint="cs"/>
          <w:b/>
          <w:bCs/>
          <w:color w:val="000000"/>
          <w:rtl/>
        </w:rPr>
        <w:t>"</w:t>
      </w:r>
    </w:p>
    <w:p w14:paraId="6187E9D6" w14:textId="77777777" w:rsidR="00AE421E" w:rsidRPr="000B78A7" w:rsidRDefault="00AE421E" w:rsidP="00AE421E">
      <w:pPr>
        <w:ind w:left="1361" w:right="1134"/>
        <w:contextualSpacing/>
        <w:jc w:val="both"/>
        <w:rPr>
          <w:rFonts w:ascii="David" w:hAnsi="David"/>
          <w:bCs/>
          <w:color w:val="000000"/>
        </w:rPr>
      </w:pPr>
      <w:r w:rsidRPr="000B78A7">
        <w:rPr>
          <w:rFonts w:ascii="David" w:hAnsi="David" w:hint="cs"/>
          <w:rtl/>
        </w:rPr>
        <w:t>(</w:t>
      </w:r>
      <w:hyperlink r:id="rId21" w:history="1">
        <w:r w:rsidR="0029639B" w:rsidRPr="0029639B">
          <w:rPr>
            <w:rFonts w:ascii="David" w:hAnsi="David"/>
            <w:color w:val="0000FF"/>
            <w:u w:val="single"/>
            <w:rtl/>
          </w:rPr>
          <w:t>ע"פ 7952/15</w:t>
        </w:r>
      </w:hyperlink>
      <w:r w:rsidRPr="000B78A7">
        <w:rPr>
          <w:rFonts w:ascii="David" w:hAnsi="David"/>
          <w:rtl/>
        </w:rPr>
        <w:t xml:space="preserve"> </w:t>
      </w:r>
      <w:r w:rsidRPr="000B78A7">
        <w:rPr>
          <w:rFonts w:ascii="David" w:hAnsi="David"/>
          <w:b/>
          <w:bCs/>
          <w:rtl/>
        </w:rPr>
        <w:t xml:space="preserve">מדינת ישראל נ' </w:t>
      </w:r>
      <w:r w:rsidRPr="000B78A7">
        <w:rPr>
          <w:rFonts w:ascii="David" w:hAnsi="David" w:hint="cs"/>
          <w:b/>
          <w:bCs/>
          <w:rtl/>
        </w:rPr>
        <w:t xml:space="preserve">אילון ישראל </w:t>
      </w:r>
      <w:r w:rsidRPr="000B78A7">
        <w:rPr>
          <w:rFonts w:ascii="David" w:hAnsi="David"/>
          <w:b/>
          <w:bCs/>
          <w:rtl/>
        </w:rPr>
        <w:t xml:space="preserve">שץ, </w:t>
      </w:r>
      <w:r w:rsidRPr="000B78A7">
        <w:rPr>
          <w:rFonts w:ascii="David" w:hAnsi="David"/>
          <w:rtl/>
        </w:rPr>
        <w:t>פסקה 42</w:t>
      </w:r>
      <w:r w:rsidRPr="000B78A7">
        <w:rPr>
          <w:rFonts w:ascii="David" w:hAnsi="David" w:hint="cs"/>
          <w:b/>
          <w:bCs/>
          <w:rtl/>
        </w:rPr>
        <w:t xml:space="preserve"> </w:t>
      </w:r>
      <w:r w:rsidRPr="000B78A7">
        <w:rPr>
          <w:rFonts w:ascii="David" w:hAnsi="David" w:hint="cs"/>
          <w:rtl/>
        </w:rPr>
        <w:t>בפסק דינו של כב' השופט סולברג</w:t>
      </w:r>
      <w:r w:rsidRPr="000B78A7">
        <w:rPr>
          <w:rFonts w:ascii="David" w:hAnsi="David"/>
          <w:rtl/>
        </w:rPr>
        <w:t xml:space="preserve"> (15.2.16))</w:t>
      </w:r>
      <w:r w:rsidRPr="000B78A7">
        <w:rPr>
          <w:rFonts w:ascii="David" w:hAnsi="David" w:hint="cs"/>
          <w:rtl/>
        </w:rPr>
        <w:t>.</w:t>
      </w:r>
    </w:p>
    <w:p w14:paraId="3622AEB4" w14:textId="77777777" w:rsidR="00AE421E" w:rsidRPr="000B78A7" w:rsidRDefault="00AE421E" w:rsidP="00AE421E">
      <w:pPr>
        <w:pStyle w:val="a9"/>
        <w:spacing w:line="360" w:lineRule="auto"/>
        <w:jc w:val="both"/>
        <w:rPr>
          <w:rFonts w:ascii="David" w:hAnsi="David"/>
          <w:rtl/>
        </w:rPr>
      </w:pPr>
    </w:p>
    <w:p w14:paraId="6B9501CF" w14:textId="77777777" w:rsidR="00AE421E" w:rsidRPr="000B78A7" w:rsidRDefault="00AE421E" w:rsidP="00AE421E">
      <w:pPr>
        <w:pStyle w:val="a9"/>
        <w:numPr>
          <w:ilvl w:val="0"/>
          <w:numId w:val="1"/>
        </w:numPr>
        <w:spacing w:line="360" w:lineRule="auto"/>
        <w:jc w:val="both"/>
        <w:rPr>
          <w:rFonts w:ascii="David" w:hAnsi="David"/>
        </w:rPr>
      </w:pPr>
      <w:r w:rsidRPr="000B78A7">
        <w:rPr>
          <w:rFonts w:ascii="David" w:hAnsi="David" w:hint="cs"/>
          <w:rtl/>
        </w:rPr>
        <w:t xml:space="preserve">בעת קביעת מתחם הענישה, יש לתת משקל משמעותי לנסיבות ביצוע העבירה המשפיעות באופן ישיר על מידת הפגיעה בערכים המוגנים, סוגיה בעלת משקל רב במיוחד ביחס לעבירות סחר בסם מסוכן והחזקת סם שלא לצריכה עצמית להן מנעד נסיבות רחב ביותר. </w:t>
      </w:r>
    </w:p>
    <w:p w14:paraId="4E735AE8" w14:textId="77777777" w:rsidR="00AE421E" w:rsidRPr="000B78A7" w:rsidRDefault="00AE421E" w:rsidP="00AE421E">
      <w:pPr>
        <w:pStyle w:val="a9"/>
        <w:spacing w:line="360" w:lineRule="auto"/>
        <w:jc w:val="both"/>
        <w:rPr>
          <w:rFonts w:ascii="David" w:hAnsi="David"/>
          <w:rtl/>
        </w:rPr>
      </w:pPr>
      <w:r w:rsidRPr="000B78A7">
        <w:rPr>
          <w:rFonts w:ascii="David" w:hAnsi="David" w:hint="cs"/>
          <w:rtl/>
        </w:rPr>
        <w:t xml:space="preserve">בנסיבות מקרה זה יש להתייחס תחילה לסוג הסם המדובר, אשר אינו נדון באופן תדיר בבתי המשפט. מדובר בסם </w:t>
      </w:r>
      <w:r>
        <w:rPr>
          <w:rFonts w:ascii="David" w:hAnsi="David" w:hint="cs"/>
          <w:rtl/>
        </w:rPr>
        <w:t xml:space="preserve">מסוג </w:t>
      </w:r>
      <w:r>
        <w:rPr>
          <w:rFonts w:ascii="David" w:hAnsi="David"/>
        </w:rPr>
        <w:t>Fentanyl</w:t>
      </w:r>
      <w:r>
        <w:rPr>
          <w:rFonts w:ascii="David" w:hAnsi="David" w:hint="cs"/>
          <w:rtl/>
        </w:rPr>
        <w:t xml:space="preserve"> (</w:t>
      </w:r>
      <w:r w:rsidRPr="000B78A7">
        <w:rPr>
          <w:rFonts w:ascii="David" w:hAnsi="David" w:hint="cs"/>
          <w:rtl/>
        </w:rPr>
        <w:t>להלן: "</w:t>
      </w:r>
      <w:r w:rsidRPr="000B78A7">
        <w:rPr>
          <w:rFonts w:ascii="David" w:hAnsi="David" w:hint="cs"/>
          <w:b/>
          <w:bCs/>
          <w:rtl/>
        </w:rPr>
        <w:t>פנטניל</w:t>
      </w:r>
      <w:r w:rsidRPr="000B78A7">
        <w:rPr>
          <w:rFonts w:ascii="David" w:hAnsi="David" w:hint="cs"/>
          <w:rtl/>
        </w:rPr>
        <w:t>"),</w:t>
      </w:r>
      <w:r w:rsidRPr="000B78A7">
        <w:rPr>
          <w:rFonts w:ascii="David" w:hAnsi="David"/>
          <w:rtl/>
        </w:rPr>
        <w:t xml:space="preserve"> </w:t>
      </w:r>
      <w:r w:rsidRPr="000B78A7">
        <w:rPr>
          <w:rFonts w:ascii="David" w:hAnsi="David" w:hint="cs"/>
          <w:rtl/>
        </w:rPr>
        <w:t>ה</w:t>
      </w:r>
      <w:r w:rsidRPr="000B78A7">
        <w:rPr>
          <w:rFonts w:ascii="David" w:hAnsi="David"/>
          <w:rtl/>
        </w:rPr>
        <w:t xml:space="preserve">משמש </w:t>
      </w:r>
      <w:r w:rsidRPr="000B78A7">
        <w:rPr>
          <w:rFonts w:ascii="David" w:hAnsi="David" w:hint="cs"/>
          <w:rtl/>
        </w:rPr>
        <w:t>כ</w:t>
      </w:r>
      <w:r w:rsidRPr="000B78A7">
        <w:rPr>
          <w:rFonts w:ascii="David" w:hAnsi="David"/>
          <w:rtl/>
        </w:rPr>
        <w:t>טיפול תרופתי לסובלים מכאב כרוני</w:t>
      </w:r>
      <w:r w:rsidRPr="000B78A7">
        <w:rPr>
          <w:rFonts w:ascii="David" w:hAnsi="David" w:hint="cs"/>
          <w:rtl/>
        </w:rPr>
        <w:t xml:space="preserve"> קשה</w:t>
      </w:r>
      <w:r w:rsidRPr="000B78A7">
        <w:rPr>
          <w:rFonts w:ascii="David" w:hAnsi="David"/>
          <w:rtl/>
        </w:rPr>
        <w:t>. הפנטניל שייך למשפחת האופיאטים</w:t>
      </w:r>
      <w:r w:rsidRPr="000B78A7">
        <w:rPr>
          <w:rFonts w:ascii="David" w:hAnsi="David" w:hint="cs"/>
          <w:rtl/>
        </w:rPr>
        <w:t>, הסמים המדכאים את פעילות מערכת העצבים המרכזית אשר בשימוש מופרז ולא מבוקר עלול לגרום ל</w:t>
      </w:r>
      <w:r w:rsidRPr="000B78A7">
        <w:rPr>
          <w:rFonts w:ascii="David" w:hAnsi="David"/>
          <w:rtl/>
        </w:rPr>
        <w:t xml:space="preserve">דיכוי נשימה ואף </w:t>
      </w:r>
      <w:r w:rsidRPr="000B78A7">
        <w:rPr>
          <w:rFonts w:ascii="David" w:hAnsi="David" w:hint="cs"/>
          <w:rtl/>
        </w:rPr>
        <w:t>ל</w:t>
      </w:r>
      <w:r w:rsidRPr="000B78A7">
        <w:rPr>
          <w:rFonts w:ascii="David" w:hAnsi="David"/>
          <w:rtl/>
        </w:rPr>
        <w:t>איבוד הכרה. מדובר בנגזרת סינתטית של מורפין, בדומה להרואין</w:t>
      </w:r>
      <w:r w:rsidRPr="000B78A7">
        <w:rPr>
          <w:rFonts w:ascii="David" w:hAnsi="David" w:hint="cs"/>
          <w:rtl/>
        </w:rPr>
        <w:t>,</w:t>
      </w:r>
      <w:r w:rsidRPr="000B78A7">
        <w:rPr>
          <w:rFonts w:ascii="David" w:hAnsi="David"/>
          <w:rtl/>
        </w:rPr>
        <w:t xml:space="preserve"> הנקרא</w:t>
      </w:r>
      <w:r w:rsidRPr="000B78A7">
        <w:rPr>
          <w:rFonts w:ascii="David" w:hAnsi="David" w:hint="cs"/>
          <w:rtl/>
        </w:rPr>
        <w:t>ות</w:t>
      </w:r>
      <w:r w:rsidRPr="000B78A7">
        <w:rPr>
          <w:rFonts w:ascii="David" w:hAnsi="David"/>
          <w:rtl/>
        </w:rPr>
        <w:t xml:space="preserve"> גם "חומר נרקוטי" היוצר תחוש</w:t>
      </w:r>
      <w:r w:rsidRPr="000B78A7">
        <w:rPr>
          <w:rFonts w:ascii="David" w:hAnsi="David" w:hint="cs"/>
          <w:rtl/>
        </w:rPr>
        <w:t>ו</w:t>
      </w:r>
      <w:r w:rsidRPr="000B78A7">
        <w:rPr>
          <w:rFonts w:ascii="David" w:hAnsi="David"/>
          <w:rtl/>
        </w:rPr>
        <w:t>ת זחיחות, ערפול</w:t>
      </w:r>
      <w:r w:rsidRPr="000B78A7">
        <w:rPr>
          <w:rFonts w:ascii="David" w:hAnsi="David" w:hint="cs"/>
          <w:rtl/>
        </w:rPr>
        <w:t>,</w:t>
      </w:r>
      <w:r w:rsidRPr="000B78A7">
        <w:rPr>
          <w:rFonts w:ascii="David" w:hAnsi="David"/>
          <w:rtl/>
        </w:rPr>
        <w:t xml:space="preserve"> כהות ח</w:t>
      </w:r>
      <w:r w:rsidRPr="000B78A7">
        <w:rPr>
          <w:rFonts w:ascii="David" w:hAnsi="David" w:hint="cs"/>
          <w:rtl/>
        </w:rPr>
        <w:t>ו</w:t>
      </w:r>
      <w:r w:rsidRPr="000B78A7">
        <w:rPr>
          <w:rFonts w:ascii="David" w:hAnsi="David"/>
          <w:rtl/>
        </w:rPr>
        <w:t>שים</w:t>
      </w:r>
      <w:r w:rsidRPr="000B78A7">
        <w:rPr>
          <w:rFonts w:ascii="David" w:hAnsi="David" w:hint="cs"/>
          <w:rtl/>
        </w:rPr>
        <w:t xml:space="preserve">, ובעל </w:t>
      </w:r>
      <w:r w:rsidRPr="000B78A7">
        <w:rPr>
          <w:rFonts w:ascii="David" w:hAnsi="David"/>
          <w:rtl/>
        </w:rPr>
        <w:t xml:space="preserve">השלכות חמורות על מערכת העצבים ולעיתים אף בלתי הפיכות (לירון </w:t>
      </w:r>
      <w:hyperlink r:id="rId22" w:history="1">
        <w:r w:rsidR="0029639B" w:rsidRPr="0029639B">
          <w:rPr>
            <w:rFonts w:ascii="David" w:hAnsi="David"/>
            <w:color w:val="0000FF"/>
            <w:u w:val="single"/>
            <w:rtl/>
          </w:rPr>
          <w:t xml:space="preserve">אבלי "הסובלים מכאב כרוני המטופלים </w:t>
        </w:r>
      </w:hyperlink>
      <w:r w:rsidRPr="000B78A7">
        <w:rPr>
          <w:rFonts w:ascii="David" w:hAnsi="David"/>
          <w:rtl/>
        </w:rPr>
        <w:t xml:space="preserve"> בקבוצת תרופות אופיאטיות ומערך זכויותיהם המשפטיות"</w:t>
      </w:r>
      <w:r w:rsidRPr="000B78A7">
        <w:rPr>
          <w:rFonts w:ascii="David" w:hAnsi="David" w:hint="cs"/>
          <w:rtl/>
        </w:rPr>
        <w:t>,</w:t>
      </w:r>
      <w:r w:rsidRPr="000B78A7">
        <w:rPr>
          <w:rFonts w:ascii="David" w:hAnsi="David"/>
          <w:rtl/>
        </w:rPr>
        <w:t xml:space="preserve"> </w:t>
      </w:r>
      <w:r w:rsidRPr="000B78A7">
        <w:rPr>
          <w:rFonts w:ascii="David" w:hAnsi="David"/>
          <w:b/>
          <w:bCs/>
          <w:rtl/>
        </w:rPr>
        <w:t>רפואה ומשפט</w:t>
      </w:r>
      <w:r w:rsidRPr="000B78A7">
        <w:rPr>
          <w:rFonts w:ascii="David" w:hAnsi="David"/>
          <w:rtl/>
        </w:rPr>
        <w:t xml:space="preserve"> גיליון 48</w:t>
      </w:r>
      <w:r w:rsidRPr="000B78A7">
        <w:rPr>
          <w:rFonts w:ascii="David" w:hAnsi="David" w:hint="cs"/>
          <w:rtl/>
        </w:rPr>
        <w:t>,</w:t>
      </w:r>
      <w:r w:rsidRPr="000B78A7">
        <w:rPr>
          <w:rFonts w:ascii="David" w:hAnsi="David"/>
          <w:rtl/>
        </w:rPr>
        <w:t xml:space="preserve"> 64 (2015).</w:t>
      </w:r>
      <w:r w:rsidRPr="000B78A7">
        <w:rPr>
          <w:rFonts w:ascii="David" w:hAnsi="David" w:hint="cs"/>
          <w:rtl/>
        </w:rPr>
        <w:t xml:space="preserve"> </w:t>
      </w:r>
    </w:p>
    <w:p w14:paraId="3A736819" w14:textId="77777777" w:rsidR="00AE421E" w:rsidRPr="000B78A7" w:rsidRDefault="00AE421E" w:rsidP="00AE421E">
      <w:pPr>
        <w:pStyle w:val="a9"/>
        <w:spacing w:line="360" w:lineRule="auto"/>
        <w:jc w:val="both"/>
        <w:rPr>
          <w:rFonts w:ascii="David" w:hAnsi="David"/>
          <w:rtl/>
        </w:rPr>
      </w:pPr>
      <w:r w:rsidRPr="000B78A7">
        <w:rPr>
          <w:rFonts w:ascii="David" w:hAnsi="David" w:hint="cs"/>
          <w:rtl/>
        </w:rPr>
        <w:t>הפנטניל חזק פי 50 עד 100 ממורפין, ומוכר כחומר הנרקוטי החזק ביותר שבשימוש קליני. בהתאם לנתונים שנאספו ורוכזו על ידי המרכז האמריקאי הלאומי לנתוני בריאות (</w:t>
      </w:r>
      <w:r w:rsidRPr="000B78A7">
        <w:rPr>
          <w:rFonts w:ascii="David" w:hAnsi="David" w:hint="cs"/>
        </w:rPr>
        <w:t>N</w:t>
      </w:r>
      <w:r w:rsidRPr="000B78A7">
        <w:rPr>
          <w:rFonts w:ascii="David" w:hAnsi="David"/>
        </w:rPr>
        <w:t>ational Center for Health Statistics – NCHS</w:t>
      </w:r>
      <w:r w:rsidRPr="000B78A7">
        <w:rPr>
          <w:rFonts w:ascii="David" w:hAnsi="David" w:hint="cs"/>
          <w:rtl/>
        </w:rPr>
        <w:t xml:space="preserve">), בשנת 2020 דווחו בארצות הברית 91,799 מקרי מוות המעורבים במינון יתר של סמים, כאשר הגורם המרכזי לכך הוא אופיואידים סינתטיים, אשר העיקרי בהם הוא </w:t>
      </w:r>
      <w:r w:rsidRPr="000B78A7">
        <w:rPr>
          <w:rFonts w:ascii="David" w:hAnsi="David" w:hint="cs"/>
          <w:u w:val="single"/>
          <w:rtl/>
        </w:rPr>
        <w:t>פנטניל</w:t>
      </w:r>
      <w:r w:rsidRPr="000B78A7">
        <w:rPr>
          <w:rFonts w:ascii="David" w:hAnsi="David" w:hint="cs"/>
          <w:rtl/>
        </w:rPr>
        <w:t xml:space="preserve">. הנתונים הצביעו על עלייה של לא פחות מפי </w:t>
      </w:r>
      <w:r>
        <w:rPr>
          <w:rFonts w:ascii="David" w:hAnsi="David" w:hint="cs"/>
          <w:rtl/>
        </w:rPr>
        <w:t>שישה</w:t>
      </w:r>
      <w:r w:rsidRPr="000B78A7">
        <w:rPr>
          <w:rFonts w:ascii="David" w:hAnsi="David" w:hint="cs"/>
          <w:rtl/>
        </w:rPr>
        <w:t xml:space="preserve"> מקרי מוות בין שנת 20</w:t>
      </w:r>
      <w:r>
        <w:rPr>
          <w:rFonts w:ascii="David" w:hAnsi="David" w:hint="cs"/>
          <w:rtl/>
        </w:rPr>
        <w:t>15 לשנת 2020 (אתר ה</w:t>
      </w:r>
      <w:r w:rsidRPr="000B78A7">
        <w:rPr>
          <w:rFonts w:ascii="David" w:hAnsi="David" w:hint="cs"/>
          <w:rtl/>
        </w:rPr>
        <w:t xml:space="preserve">- </w:t>
      </w:r>
      <w:r w:rsidRPr="000B78A7">
        <w:rPr>
          <w:rFonts w:ascii="David" w:hAnsi="David"/>
        </w:rPr>
        <w:t>national institutes of health</w:t>
      </w:r>
      <w:r w:rsidRPr="000B78A7">
        <w:rPr>
          <w:rFonts w:ascii="David" w:hAnsi="David" w:hint="cs"/>
          <w:rtl/>
        </w:rPr>
        <w:t xml:space="preserve"> </w:t>
      </w:r>
      <w:r w:rsidRPr="000B78A7">
        <w:rPr>
          <w:rFonts w:ascii="David" w:hAnsi="David"/>
          <w:rtl/>
        </w:rPr>
        <w:t>–</w:t>
      </w:r>
      <w:r w:rsidRPr="000B78A7">
        <w:rPr>
          <w:rFonts w:ascii="David" w:hAnsi="David" w:hint="cs"/>
          <w:rtl/>
        </w:rPr>
        <w:t xml:space="preserve"> </w:t>
      </w:r>
      <w:r w:rsidRPr="000B78A7">
        <w:rPr>
          <w:rFonts w:ascii="David" w:hAnsi="David"/>
        </w:rPr>
        <w:t>NIH</w:t>
      </w:r>
      <w:r w:rsidRPr="000B78A7">
        <w:rPr>
          <w:rFonts w:ascii="David" w:hAnsi="David" w:hint="cs"/>
          <w:rtl/>
        </w:rPr>
        <w:t xml:space="preserve">). </w:t>
      </w:r>
    </w:p>
    <w:p w14:paraId="786D5D8C" w14:textId="77777777" w:rsidR="00AE421E" w:rsidRPr="000B78A7" w:rsidRDefault="00AE421E" w:rsidP="00AE421E">
      <w:pPr>
        <w:pStyle w:val="a9"/>
        <w:spacing w:line="360" w:lineRule="auto"/>
        <w:jc w:val="both"/>
        <w:rPr>
          <w:rFonts w:ascii="David" w:hAnsi="David"/>
          <w:rtl/>
        </w:rPr>
      </w:pPr>
      <w:r w:rsidRPr="000B78A7">
        <w:rPr>
          <w:rFonts w:ascii="David" w:hAnsi="David" w:hint="cs"/>
          <w:rtl/>
        </w:rPr>
        <w:t xml:space="preserve">הפנטניל הוכנס לתוספת לפקודת הסמים בהודעה בשנת 2018, ועיון במאגרים המשפטיים מצביע על פסיקה החל משנת 2020 בלבד אשר רובה המוחלט באזור דרום הארץ. </w:t>
      </w:r>
    </w:p>
    <w:p w14:paraId="16AAB53B" w14:textId="77777777" w:rsidR="00AE421E" w:rsidRDefault="00AE421E" w:rsidP="00AE421E">
      <w:pPr>
        <w:pStyle w:val="a9"/>
        <w:spacing w:line="360" w:lineRule="auto"/>
        <w:jc w:val="both"/>
        <w:rPr>
          <w:rFonts w:ascii="David" w:hAnsi="David"/>
          <w:rtl/>
        </w:rPr>
      </w:pPr>
      <w:r w:rsidRPr="000B78A7">
        <w:rPr>
          <w:rFonts w:ascii="David" w:hAnsi="David" w:hint="cs"/>
          <w:rtl/>
        </w:rPr>
        <w:t>השופט סולקין התייחס לסכנת החיים הנשקפת כתוצאה מאופי השימו</w:t>
      </w:r>
      <w:r>
        <w:rPr>
          <w:rFonts w:ascii="David" w:hAnsi="David" w:hint="cs"/>
          <w:rtl/>
        </w:rPr>
        <w:t>ש בסם הפנטניל שלא למטרה רפואית:</w:t>
      </w:r>
    </w:p>
    <w:p w14:paraId="2DF7452B" w14:textId="77777777" w:rsidR="00AE421E" w:rsidRPr="000B78A7" w:rsidRDefault="00AE421E" w:rsidP="00AE421E">
      <w:pPr>
        <w:pStyle w:val="a9"/>
        <w:spacing w:line="360" w:lineRule="auto"/>
        <w:jc w:val="both"/>
        <w:rPr>
          <w:rFonts w:ascii="David" w:hAnsi="David"/>
          <w:rtl/>
        </w:rPr>
      </w:pPr>
    </w:p>
    <w:p w14:paraId="022546F6" w14:textId="77777777" w:rsidR="00AE421E" w:rsidRPr="000B78A7" w:rsidRDefault="00AE421E" w:rsidP="00AE421E">
      <w:pPr>
        <w:ind w:left="1361" w:right="1134"/>
        <w:jc w:val="both"/>
        <w:rPr>
          <w:rFonts w:ascii="David" w:hAnsi="David"/>
          <w:b/>
          <w:bCs/>
        </w:rPr>
      </w:pPr>
      <w:r w:rsidRPr="000B78A7">
        <w:rPr>
          <w:rFonts w:ascii="David" w:hAnsi="David" w:hint="cs"/>
          <w:rtl/>
        </w:rPr>
        <w:t>"</w:t>
      </w:r>
      <w:r w:rsidRPr="000B78A7">
        <w:rPr>
          <w:rFonts w:ascii="David" w:hAnsi="David"/>
          <w:b/>
          <w:bCs/>
          <w:rtl/>
        </w:rPr>
        <w:t>המדובר בסמים ממריצים ובסמים ממשפחת האופיאטיים, שהם בעלי פוטנציאל לגרום נזק כבד, כאשר נערך בהם שימוש שאינו מפוקח. רק לאחרונה, היו מספר מקרים בהם התמוטטו מבלים, או מבלות, במסיבות שונות, אשר נערכו תחת כיפת השמיים (המכונות: "מסיבות טבע") בשל שימוש בסמים ממריצים מסוגים דומים ורק בשנה האחרונה נפטרה נערה, בעיר דימונה, שטרם זכתה להגיע לגיל 18 שנים, בשל שימוש במדבקה לשיכוך כאבים מהסוג שהוחזק על ידי הנאשם ("</w:t>
      </w:r>
      <w:r w:rsidRPr="000B78A7">
        <w:rPr>
          <w:rFonts w:ascii="David" w:hAnsi="David"/>
          <w:b/>
          <w:bCs/>
        </w:rPr>
        <w:t>Fentanyl</w:t>
      </w:r>
      <w:r w:rsidRPr="000B78A7">
        <w:rPr>
          <w:rFonts w:ascii="David" w:hAnsi="David"/>
          <w:b/>
          <w:bCs/>
          <w:rtl/>
        </w:rPr>
        <w:t xml:space="preserve">"). </w:t>
      </w:r>
    </w:p>
    <w:p w14:paraId="6B1FF1A7" w14:textId="77777777" w:rsidR="00AE421E" w:rsidRPr="000B78A7" w:rsidRDefault="00AE421E" w:rsidP="00AE421E">
      <w:pPr>
        <w:ind w:left="1361" w:right="1134"/>
        <w:jc w:val="both"/>
        <w:rPr>
          <w:rFonts w:ascii="David" w:hAnsi="David"/>
          <w:rtl/>
        </w:rPr>
      </w:pPr>
      <w:r w:rsidRPr="000B78A7">
        <w:rPr>
          <w:rFonts w:ascii="David" w:hAnsi="David"/>
          <w:b/>
          <w:bCs/>
          <w:rtl/>
        </w:rPr>
        <w:t xml:space="preserve"> המדובר במדבקה הניתנת לחולים הסובלים מכאבים קשים, כשבשימוש הנכון בה – תוך הדבקתה על הגוף – משתחרר החומר הפעיל באופן מדורג ומבוקר, במהלך מספר ימים, אך בשימוש עברייני – נצרך כל החומר בבת אחת, תוך לעיסת המדבקה, ולכך - פוטנציאל לסיכון חיים של ממש</w:t>
      </w:r>
      <w:r w:rsidRPr="000B78A7">
        <w:rPr>
          <w:rFonts w:ascii="David" w:hAnsi="David" w:hint="cs"/>
          <w:rtl/>
        </w:rPr>
        <w:t xml:space="preserve">" </w:t>
      </w:r>
    </w:p>
    <w:p w14:paraId="43868CE8" w14:textId="77777777" w:rsidR="00AE421E" w:rsidRPr="000B78A7" w:rsidRDefault="00AE421E" w:rsidP="00AE421E">
      <w:pPr>
        <w:ind w:left="1361" w:right="1134"/>
        <w:jc w:val="both"/>
        <w:rPr>
          <w:rFonts w:ascii="David" w:hAnsi="David"/>
          <w:rtl/>
        </w:rPr>
      </w:pPr>
      <w:r w:rsidRPr="000B78A7">
        <w:rPr>
          <w:rFonts w:ascii="David" w:hAnsi="David" w:hint="cs"/>
          <w:rtl/>
        </w:rPr>
        <w:t>(</w:t>
      </w:r>
      <w:hyperlink r:id="rId23" w:history="1">
        <w:r w:rsidR="0029639B" w:rsidRPr="0029639B">
          <w:rPr>
            <w:rFonts w:ascii="David" w:hAnsi="David"/>
            <w:color w:val="0000FF"/>
            <w:u w:val="single"/>
            <w:rtl/>
          </w:rPr>
          <w:t>ת"פ 16449-02-20</w:t>
        </w:r>
      </w:hyperlink>
      <w:r w:rsidRPr="000B78A7">
        <w:rPr>
          <w:rFonts w:ascii="David" w:hAnsi="David" w:hint="cs"/>
          <w:rtl/>
        </w:rPr>
        <w:t xml:space="preserve"> </w:t>
      </w:r>
      <w:r w:rsidRPr="000B78A7">
        <w:rPr>
          <w:rFonts w:ascii="David" w:hAnsi="David" w:hint="cs"/>
          <w:b/>
          <w:bCs/>
          <w:rtl/>
        </w:rPr>
        <w:t xml:space="preserve">מדינת ישראל נ' אילן אלון, </w:t>
      </w:r>
      <w:r w:rsidRPr="000B78A7">
        <w:rPr>
          <w:rFonts w:ascii="David" w:hAnsi="David" w:hint="cs"/>
          <w:rtl/>
        </w:rPr>
        <w:t>(22.02.2021)).</w:t>
      </w:r>
    </w:p>
    <w:p w14:paraId="1BD866CB" w14:textId="77777777" w:rsidR="00AE421E" w:rsidRPr="000B78A7" w:rsidRDefault="00AE421E" w:rsidP="00AE421E">
      <w:pPr>
        <w:spacing w:line="360" w:lineRule="auto"/>
        <w:ind w:right="1134"/>
        <w:jc w:val="both"/>
        <w:rPr>
          <w:rFonts w:ascii="David" w:hAnsi="David"/>
          <w:rtl/>
        </w:rPr>
      </w:pPr>
    </w:p>
    <w:p w14:paraId="57EC2A4C" w14:textId="77777777" w:rsidR="00AE421E" w:rsidRPr="000B78A7" w:rsidRDefault="00AE421E" w:rsidP="00AE421E">
      <w:pPr>
        <w:pStyle w:val="a9"/>
        <w:numPr>
          <w:ilvl w:val="0"/>
          <w:numId w:val="1"/>
        </w:numPr>
        <w:spacing w:line="360" w:lineRule="auto"/>
        <w:jc w:val="both"/>
        <w:rPr>
          <w:rFonts w:ascii="David" w:hAnsi="David"/>
          <w:rtl/>
        </w:rPr>
      </w:pPr>
      <w:r w:rsidRPr="000B78A7">
        <w:rPr>
          <w:rFonts w:ascii="David" w:hAnsi="David" w:hint="cs"/>
          <w:rtl/>
        </w:rPr>
        <w:t>עיון בכל פסקי הדין שנית</w:t>
      </w:r>
      <w:r>
        <w:rPr>
          <w:rFonts w:ascii="David" w:hAnsi="David" w:hint="cs"/>
          <w:rtl/>
        </w:rPr>
        <w:t xml:space="preserve">ן </w:t>
      </w:r>
      <w:r w:rsidRPr="000B78A7">
        <w:rPr>
          <w:rFonts w:ascii="David" w:hAnsi="David" w:hint="cs"/>
          <w:rtl/>
        </w:rPr>
        <w:t xml:space="preserve">היה לאתר וניתנו בענין סחר בפנטניל או בהחזקתו שלא לצריכה עצמית, מעלה כי הענישה עמדה על מאסר בפועל ולא בדרך של עבודות שרות: </w:t>
      </w:r>
    </w:p>
    <w:p w14:paraId="1A1F9A6D" w14:textId="77777777" w:rsidR="00AE421E" w:rsidRPr="000B78A7" w:rsidRDefault="0029639B" w:rsidP="00AE421E">
      <w:pPr>
        <w:spacing w:line="360" w:lineRule="auto"/>
        <w:ind w:left="720"/>
        <w:jc w:val="both"/>
        <w:rPr>
          <w:rFonts w:ascii="David" w:hAnsi="David"/>
          <w:rtl/>
        </w:rPr>
      </w:pPr>
      <w:hyperlink r:id="rId24" w:history="1">
        <w:r w:rsidRPr="0029639B">
          <w:rPr>
            <w:rFonts w:ascii="David" w:hAnsi="David"/>
            <w:color w:val="0000FF"/>
            <w:u w:val="single"/>
            <w:rtl/>
          </w:rPr>
          <w:t>ת"פ 51811-03-21</w:t>
        </w:r>
      </w:hyperlink>
      <w:r w:rsidR="00AE421E" w:rsidRPr="000B78A7">
        <w:rPr>
          <w:rFonts w:ascii="David" w:hAnsi="David" w:hint="cs"/>
          <w:rtl/>
        </w:rPr>
        <w:t xml:space="preserve"> </w:t>
      </w:r>
      <w:r w:rsidR="00AE421E" w:rsidRPr="000B78A7">
        <w:rPr>
          <w:rFonts w:ascii="David" w:hAnsi="David" w:hint="cs"/>
          <w:b/>
          <w:bCs/>
          <w:rtl/>
        </w:rPr>
        <w:t xml:space="preserve">מדינת ישראל נ' מיכאל מזוז </w:t>
      </w:r>
      <w:r w:rsidR="00AE421E" w:rsidRPr="000B78A7">
        <w:rPr>
          <w:rFonts w:ascii="David" w:hAnsi="David" w:hint="cs"/>
          <w:rtl/>
        </w:rPr>
        <w:t xml:space="preserve">(20.07.2021) </w:t>
      </w:r>
      <w:r w:rsidR="00AE421E" w:rsidRPr="000B78A7">
        <w:rPr>
          <w:rFonts w:ascii="David" w:hAnsi="David"/>
          <w:rtl/>
        </w:rPr>
        <w:t>–</w:t>
      </w:r>
      <w:r w:rsidR="00AE421E" w:rsidRPr="000B78A7">
        <w:rPr>
          <w:rFonts w:ascii="David" w:hAnsi="David" w:hint="cs"/>
          <w:rtl/>
        </w:rPr>
        <w:t xml:space="preserve"> שני מקרי סחר של מדבקת פנטניל בתמורה ל-150 ₪ בכל מקרה וכן החזקת מדבקה אחת שלא לצריכה עצמית. נקבע מתחם ענישה של 8-18 חודשי מאסר, והוטלו על הנאשם 16 חודשי מאסר הכוללים הפעלת מאסר מותנה שמשכו 4 חודשים. </w:t>
      </w:r>
    </w:p>
    <w:p w14:paraId="497401E4" w14:textId="77777777" w:rsidR="00AE421E" w:rsidRPr="000B78A7" w:rsidRDefault="0029639B" w:rsidP="00AE421E">
      <w:pPr>
        <w:spacing w:line="360" w:lineRule="auto"/>
        <w:ind w:left="720"/>
        <w:jc w:val="both"/>
        <w:rPr>
          <w:rFonts w:ascii="David" w:hAnsi="David"/>
          <w:rtl/>
        </w:rPr>
      </w:pPr>
      <w:hyperlink r:id="rId25" w:history="1">
        <w:r w:rsidRPr="0029639B">
          <w:rPr>
            <w:rFonts w:ascii="David" w:hAnsi="David"/>
            <w:color w:val="0000FF"/>
            <w:u w:val="single"/>
            <w:rtl/>
          </w:rPr>
          <w:t>ת"פ 18543-01-21</w:t>
        </w:r>
      </w:hyperlink>
      <w:r w:rsidR="00AE421E" w:rsidRPr="000B78A7">
        <w:rPr>
          <w:rFonts w:ascii="David" w:hAnsi="David" w:hint="cs"/>
          <w:rtl/>
        </w:rPr>
        <w:t xml:space="preserve"> </w:t>
      </w:r>
      <w:r w:rsidR="00AE421E" w:rsidRPr="000B78A7">
        <w:rPr>
          <w:rFonts w:ascii="David" w:hAnsi="David" w:hint="cs"/>
          <w:b/>
          <w:bCs/>
          <w:rtl/>
        </w:rPr>
        <w:t xml:space="preserve">מדינת ישראל נ' דוד פחימה </w:t>
      </w:r>
      <w:r w:rsidR="00AE421E" w:rsidRPr="000B78A7">
        <w:rPr>
          <w:rFonts w:ascii="David" w:hAnsi="David" w:hint="cs"/>
          <w:rtl/>
        </w:rPr>
        <w:t xml:space="preserve">(2.05.2021) </w:t>
      </w:r>
      <w:r w:rsidR="00AE421E" w:rsidRPr="000B78A7">
        <w:rPr>
          <w:rFonts w:ascii="David" w:hAnsi="David"/>
          <w:rtl/>
        </w:rPr>
        <w:t>–</w:t>
      </w:r>
      <w:r w:rsidR="00AE421E" w:rsidRPr="000B78A7">
        <w:rPr>
          <w:rFonts w:ascii="David" w:hAnsi="David" w:hint="cs"/>
          <w:rtl/>
        </w:rPr>
        <w:t xml:space="preserve"> מכירה של שתי מדבקות פנטניל בתמורה ל-150 ₪ וכן החזקת מדבקה אחת של פנטניל שלא לצריכה עצמית. נקבע מתחם ענישה של 7-19 חודשי מאסר, והוטלו על הנאשם 7.5 חודשי מאסר בפועל. </w:t>
      </w:r>
    </w:p>
    <w:p w14:paraId="02796DCF" w14:textId="77777777" w:rsidR="00AE421E" w:rsidRPr="000B78A7" w:rsidRDefault="0029639B" w:rsidP="00AE421E">
      <w:pPr>
        <w:spacing w:line="360" w:lineRule="auto"/>
        <w:ind w:left="720"/>
        <w:jc w:val="both"/>
        <w:rPr>
          <w:rFonts w:ascii="David" w:hAnsi="David"/>
          <w:rtl/>
        </w:rPr>
      </w:pPr>
      <w:hyperlink r:id="rId26" w:history="1">
        <w:r w:rsidRPr="0029639B">
          <w:rPr>
            <w:rFonts w:ascii="David" w:hAnsi="David"/>
            <w:color w:val="0000FF"/>
            <w:u w:val="single"/>
            <w:rtl/>
          </w:rPr>
          <w:t>ת"פ 33495-01-21</w:t>
        </w:r>
      </w:hyperlink>
      <w:r w:rsidR="00AE421E" w:rsidRPr="000B78A7">
        <w:rPr>
          <w:rFonts w:ascii="David" w:hAnsi="David" w:hint="cs"/>
          <w:rtl/>
        </w:rPr>
        <w:t xml:space="preserve"> </w:t>
      </w:r>
      <w:r w:rsidR="00AE421E" w:rsidRPr="000B78A7">
        <w:rPr>
          <w:rFonts w:ascii="David" w:hAnsi="David" w:hint="cs"/>
          <w:b/>
          <w:bCs/>
          <w:rtl/>
        </w:rPr>
        <w:t xml:space="preserve">מדינת ישראל נ' זכר חיימוב </w:t>
      </w:r>
      <w:r w:rsidR="00AE421E" w:rsidRPr="000B78A7">
        <w:rPr>
          <w:rFonts w:ascii="David" w:hAnsi="David" w:hint="cs"/>
          <w:rtl/>
        </w:rPr>
        <w:t xml:space="preserve">(24.06.2021) </w:t>
      </w:r>
      <w:r w:rsidR="00AE421E" w:rsidRPr="000B78A7">
        <w:rPr>
          <w:rFonts w:ascii="David" w:hAnsi="David"/>
          <w:rtl/>
        </w:rPr>
        <w:t>–</w:t>
      </w:r>
      <w:r w:rsidR="00AE421E" w:rsidRPr="000B78A7">
        <w:rPr>
          <w:rFonts w:ascii="David" w:hAnsi="David" w:hint="cs"/>
          <w:rtl/>
        </w:rPr>
        <w:t xml:space="preserve"> שלושה מקרים של תיווך למכירת מדבקת פנטניל בכל מקרה. נקבע מתחם ענישה של 6-18 חודשי מאסר, והוטל מאסר בפועל למשך 9 חודשים.</w:t>
      </w:r>
    </w:p>
    <w:p w14:paraId="077659D9" w14:textId="77777777" w:rsidR="00AE421E" w:rsidRPr="000B78A7" w:rsidRDefault="0029639B" w:rsidP="00AE421E">
      <w:pPr>
        <w:spacing w:line="360" w:lineRule="auto"/>
        <w:ind w:left="720"/>
        <w:jc w:val="both"/>
        <w:rPr>
          <w:rFonts w:ascii="David" w:hAnsi="David"/>
          <w:rtl/>
        </w:rPr>
      </w:pPr>
      <w:hyperlink r:id="rId27" w:history="1">
        <w:r w:rsidRPr="0029639B">
          <w:rPr>
            <w:rFonts w:ascii="David" w:hAnsi="David"/>
            <w:color w:val="0000FF"/>
            <w:u w:val="single"/>
            <w:rtl/>
          </w:rPr>
          <w:t>ת"פ 69172-07-20</w:t>
        </w:r>
      </w:hyperlink>
      <w:r w:rsidR="00AE421E" w:rsidRPr="000B78A7">
        <w:rPr>
          <w:rFonts w:ascii="David" w:hAnsi="David" w:hint="cs"/>
          <w:rtl/>
        </w:rPr>
        <w:t xml:space="preserve"> </w:t>
      </w:r>
      <w:r w:rsidR="00AE421E" w:rsidRPr="000B78A7">
        <w:rPr>
          <w:rFonts w:ascii="David" w:hAnsi="David" w:hint="cs"/>
          <w:b/>
          <w:bCs/>
          <w:rtl/>
        </w:rPr>
        <w:t xml:space="preserve">מדינת ישראל נ' יעקב מויאל </w:t>
      </w:r>
      <w:r w:rsidR="00AE421E" w:rsidRPr="000B78A7">
        <w:rPr>
          <w:rFonts w:ascii="David" w:hAnsi="David" w:hint="cs"/>
          <w:rtl/>
        </w:rPr>
        <w:t xml:space="preserve">(30.12.2020) </w:t>
      </w:r>
      <w:r w:rsidR="00AE421E" w:rsidRPr="000B78A7">
        <w:rPr>
          <w:rFonts w:ascii="David" w:hAnsi="David"/>
          <w:rtl/>
        </w:rPr>
        <w:t>–</w:t>
      </w:r>
      <w:r w:rsidR="00AE421E" w:rsidRPr="000B78A7">
        <w:rPr>
          <w:rFonts w:ascii="David" w:hAnsi="David" w:hint="cs"/>
          <w:rtl/>
        </w:rPr>
        <w:t xml:space="preserve"> מכירת 2 יחידות פנטניל בתמורה ל-3 קופסאות סיגריות. נקבע מתחם ענישה של 6-18 חודשי מאסר. הוחלט לחרוג מהמתחם לקולא בשל נסיבותיו של הנאשם ולהטיל ענישה שיקומית בלבד.</w:t>
      </w:r>
    </w:p>
    <w:p w14:paraId="62617D6C" w14:textId="77777777" w:rsidR="00AE421E" w:rsidRPr="000B78A7" w:rsidRDefault="0029639B" w:rsidP="00AE421E">
      <w:pPr>
        <w:spacing w:line="360" w:lineRule="auto"/>
        <w:ind w:left="720"/>
        <w:jc w:val="both"/>
        <w:rPr>
          <w:rFonts w:ascii="David" w:hAnsi="David"/>
          <w:rtl/>
        </w:rPr>
      </w:pPr>
      <w:hyperlink r:id="rId28" w:history="1">
        <w:r w:rsidRPr="0029639B">
          <w:rPr>
            <w:rFonts w:ascii="David" w:hAnsi="David"/>
            <w:color w:val="0000FF"/>
            <w:u w:val="single"/>
            <w:rtl/>
          </w:rPr>
          <w:t>ת"פ 54916-09-20</w:t>
        </w:r>
      </w:hyperlink>
      <w:r w:rsidR="00AE421E" w:rsidRPr="000B78A7">
        <w:rPr>
          <w:rFonts w:ascii="David" w:hAnsi="David" w:hint="cs"/>
          <w:rtl/>
        </w:rPr>
        <w:t xml:space="preserve"> </w:t>
      </w:r>
      <w:r w:rsidR="00AE421E" w:rsidRPr="000B78A7">
        <w:rPr>
          <w:rFonts w:ascii="David" w:hAnsi="David" w:hint="cs"/>
          <w:b/>
          <w:bCs/>
          <w:rtl/>
        </w:rPr>
        <w:t xml:space="preserve">מדינת ישראל נ' אזולאי </w:t>
      </w:r>
      <w:r w:rsidR="00AE421E" w:rsidRPr="000B78A7">
        <w:rPr>
          <w:rFonts w:ascii="David" w:hAnsi="David" w:hint="cs"/>
          <w:rtl/>
        </w:rPr>
        <w:t xml:space="preserve">(3.03.2021) </w:t>
      </w:r>
      <w:r w:rsidR="00AE421E" w:rsidRPr="000B78A7">
        <w:rPr>
          <w:rFonts w:ascii="David" w:hAnsi="David"/>
          <w:rtl/>
        </w:rPr>
        <w:t>–</w:t>
      </w:r>
      <w:r w:rsidR="00AE421E" w:rsidRPr="000B78A7">
        <w:rPr>
          <w:rFonts w:ascii="David" w:hAnsi="David" w:hint="cs"/>
          <w:rtl/>
        </w:rPr>
        <w:t xml:space="preserve"> הנאשמת מכרה בצוותא עם נאשם נוסף מדבקות פנטניל בארבעה מקרים שונים ובסכום כולל של 2,000 ₪. בנוסף, החזיקה ב-60 מדבקות פנטניל שלא לצריכה עצמית. נקבע מתחם ענישה של 6-30 חודשי מאסר, והוטל מאסר למשך 11 חודשים וכן הופעל מאסר מותנה שמשכו 5 חודשים אשר חודש מתוכו במצטבר (פסק דין זה הוגש על ידי הסנגור).</w:t>
      </w:r>
    </w:p>
    <w:p w14:paraId="511593C8" w14:textId="77777777" w:rsidR="00AE421E" w:rsidRPr="000B78A7" w:rsidRDefault="00AE421E" w:rsidP="00AE421E">
      <w:pPr>
        <w:spacing w:line="360" w:lineRule="auto"/>
        <w:ind w:left="720"/>
        <w:jc w:val="both"/>
        <w:rPr>
          <w:rFonts w:ascii="David" w:hAnsi="David"/>
          <w:rtl/>
        </w:rPr>
      </w:pPr>
      <w:r w:rsidRPr="000B78A7">
        <w:rPr>
          <w:rFonts w:ascii="David" w:hAnsi="David" w:hint="cs"/>
          <w:rtl/>
        </w:rPr>
        <w:t>בשני מקרים, הגיעו הצדדים להסדר טיעון לפיו הוטלו על הנאשמים מאסרים בפועל בשל מקרה אחד של סחר: ב</w:t>
      </w:r>
      <w:hyperlink r:id="rId29" w:history="1">
        <w:r w:rsidR="0029639B" w:rsidRPr="0029639B">
          <w:rPr>
            <w:rFonts w:ascii="David" w:hAnsi="David"/>
            <w:color w:val="0000FF"/>
            <w:u w:val="single"/>
            <w:rtl/>
          </w:rPr>
          <w:t>ת"פ 1386-03-20</w:t>
        </w:r>
      </w:hyperlink>
      <w:r w:rsidRPr="000B78A7">
        <w:rPr>
          <w:rFonts w:ascii="David" w:hAnsi="David" w:hint="cs"/>
          <w:rtl/>
        </w:rPr>
        <w:t xml:space="preserve"> </w:t>
      </w:r>
      <w:r w:rsidRPr="000B78A7">
        <w:rPr>
          <w:rFonts w:ascii="David" w:hAnsi="David" w:hint="cs"/>
          <w:b/>
          <w:bCs/>
          <w:rtl/>
        </w:rPr>
        <w:t xml:space="preserve">מדינת ישראל נ' שטיימן </w:t>
      </w:r>
      <w:r w:rsidRPr="000B78A7">
        <w:rPr>
          <w:rFonts w:ascii="David" w:hAnsi="David" w:hint="cs"/>
          <w:rtl/>
        </w:rPr>
        <w:t>(19.5.20), נדון הנאשם אשר מכר 2 מדבקות של סם פנטניל בתמורה ל-300 ₪ ל-7 חודשי מאסר בפועל, ואילו ב</w:t>
      </w:r>
      <w:hyperlink r:id="rId30" w:history="1">
        <w:r w:rsidR="0029639B" w:rsidRPr="0029639B">
          <w:rPr>
            <w:rFonts w:ascii="David" w:hAnsi="David"/>
            <w:color w:val="0000FF"/>
            <w:u w:val="single"/>
            <w:rtl/>
          </w:rPr>
          <w:t>ת"פ 11725-11-20</w:t>
        </w:r>
      </w:hyperlink>
      <w:r w:rsidRPr="000B78A7">
        <w:rPr>
          <w:rFonts w:ascii="David" w:hAnsi="David" w:hint="cs"/>
          <w:rtl/>
        </w:rPr>
        <w:t xml:space="preserve"> </w:t>
      </w:r>
      <w:r w:rsidRPr="000B78A7">
        <w:rPr>
          <w:rFonts w:ascii="David" w:hAnsi="David" w:hint="cs"/>
          <w:b/>
          <w:bCs/>
          <w:rtl/>
        </w:rPr>
        <w:t xml:space="preserve">מדינת ישראל נ' דנינו </w:t>
      </w:r>
      <w:r w:rsidRPr="000B78A7">
        <w:rPr>
          <w:rFonts w:ascii="David" w:hAnsi="David" w:hint="cs"/>
          <w:rtl/>
        </w:rPr>
        <w:t>(27.1.21), נדון הנאשם אשר מכר מדבקה אחת של סם פנטניל בתמורה ל-170 ₪ ל-6.5 חודשי מאסר בפועל.</w:t>
      </w:r>
    </w:p>
    <w:p w14:paraId="43D33E5E" w14:textId="77777777" w:rsidR="00AE421E" w:rsidRPr="000B78A7" w:rsidRDefault="00AE421E" w:rsidP="00AE421E">
      <w:pPr>
        <w:spacing w:line="360" w:lineRule="auto"/>
        <w:ind w:left="720"/>
        <w:jc w:val="both"/>
        <w:rPr>
          <w:rFonts w:ascii="David" w:hAnsi="David"/>
          <w:color w:val="000000"/>
          <w:rtl/>
        </w:rPr>
      </w:pPr>
      <w:r w:rsidRPr="000B78A7">
        <w:rPr>
          <w:rFonts w:ascii="David" w:hAnsi="David" w:hint="cs"/>
          <w:rtl/>
        </w:rPr>
        <w:t xml:space="preserve">ב"כ הנאשם טען כי בחלק מהמקרים שפורטו לעיל, </w:t>
      </w:r>
      <w:r>
        <w:rPr>
          <w:rFonts w:ascii="David" w:hAnsi="David" w:hint="cs"/>
          <w:rtl/>
        </w:rPr>
        <w:t xml:space="preserve">המקרים </w:t>
      </w:r>
      <w:r w:rsidRPr="000B78A7">
        <w:rPr>
          <w:rFonts w:ascii="David" w:hAnsi="David" w:hint="cs"/>
          <w:rtl/>
        </w:rPr>
        <w:t>אליהם הפנתה המאשימה, מדובר היה בנאשמים אשר היו עצורים עד תום ההליכים לעומת הנאשם במקרה הנדון המשוחרר מזה תקופה ארוכה, וכן כי מדובר היה בנאשמים שריצו בעבר מאסרים לעומת הנאשם אשר לא ריצה מאסר מעולם. מדובר בסוגיה שיש ל</w:t>
      </w:r>
      <w:r>
        <w:rPr>
          <w:rFonts w:ascii="David" w:hAnsi="David" w:hint="cs"/>
          <w:rtl/>
        </w:rPr>
        <w:t>תת ל</w:t>
      </w:r>
      <w:r w:rsidRPr="000B78A7">
        <w:rPr>
          <w:rFonts w:ascii="David" w:hAnsi="David" w:hint="cs"/>
          <w:rtl/>
        </w:rPr>
        <w:t xml:space="preserve">ה משקל בכל הנוגע לקביעת העונש המתאים בתוך מתחמי הענישה, אולם מתחמי הענישה אינם מתחשבים בנסיבות אישיות של מעצר או של עבר פלילי. בנוסף, אציין כי פסק הדין אליו הפנה ב"כ הנאשם, בענין אזולאי, ניתן בבית משפט </w:t>
      </w:r>
      <w:r>
        <w:rPr>
          <w:rFonts w:ascii="David" w:hAnsi="David" w:hint="cs"/>
          <w:rtl/>
        </w:rPr>
        <w:t xml:space="preserve">השלום </w:t>
      </w:r>
      <w:r w:rsidRPr="000B78A7">
        <w:rPr>
          <w:rFonts w:ascii="David" w:hAnsi="David" w:hint="cs"/>
          <w:rtl/>
        </w:rPr>
        <w:t xml:space="preserve">באילת, ואילו כל פסקי הדין הנוספים שפורטו ניתנו בבית משפט השלום בבאר שבע. דומה כי מדיניות הענישה בבית משפט השלום בבאר שבע, לגבי מדבקות פנטניל, מחמירה מזו של בית המשפט באילת. יש להפנות לכך שבכל המקרים מדובר בפסיקה של בתי משפט השלום. עוד אציין </w:t>
      </w:r>
      <w:r w:rsidRPr="000B78A7">
        <w:rPr>
          <w:rFonts w:ascii="David" w:hAnsi="David"/>
          <w:color w:val="000000"/>
          <w:rtl/>
        </w:rPr>
        <w:t>כי אין זהות בין מתחם העונש ההולם, המגלם הכרעה ערכית המבוססת על שיקולים שונים, לבין מדיניות הענישה הנוהגת המהווה אך את אחד משיקולים אלה (ע"פ 322/16</w:t>
      </w:r>
      <w:r w:rsidR="0029639B">
        <w:rPr>
          <w:rFonts w:ascii="David" w:hAnsi="David"/>
          <w:color w:val="000000"/>
          <w:rtl/>
        </w:rPr>
        <w:t xml:space="preserve"> </w:t>
      </w:r>
      <w:r w:rsidRPr="000B78A7">
        <w:rPr>
          <w:rFonts w:ascii="David" w:hAnsi="David"/>
          <w:b/>
          <w:bCs/>
          <w:color w:val="000000"/>
          <w:rtl/>
        </w:rPr>
        <w:t>פלוני נ' מדינת ישרא</w:t>
      </w:r>
      <w:r w:rsidRPr="000B78A7">
        <w:rPr>
          <w:rFonts w:ascii="David" w:hAnsi="David" w:hint="cs"/>
          <w:b/>
          <w:bCs/>
          <w:color w:val="000000"/>
          <w:rtl/>
        </w:rPr>
        <w:t xml:space="preserve">ל, </w:t>
      </w:r>
      <w:r w:rsidRPr="000B78A7">
        <w:rPr>
          <w:rFonts w:ascii="David" w:hAnsi="David"/>
          <w:color w:val="000000"/>
          <w:rtl/>
        </w:rPr>
        <w:t>פסקה</w:t>
      </w:r>
      <w:r w:rsidRPr="000B78A7">
        <w:rPr>
          <w:rFonts w:ascii="David" w:hAnsi="David" w:hint="cs"/>
          <w:color w:val="000000"/>
          <w:rtl/>
        </w:rPr>
        <w:t xml:space="preserve"> 5 (9.10.2016)).</w:t>
      </w:r>
    </w:p>
    <w:p w14:paraId="1A0C6668" w14:textId="77777777" w:rsidR="00AE421E" w:rsidRPr="000B78A7" w:rsidRDefault="00AE421E" w:rsidP="00AE421E">
      <w:pPr>
        <w:spacing w:line="360" w:lineRule="auto"/>
        <w:ind w:left="720"/>
        <w:jc w:val="both"/>
        <w:rPr>
          <w:rFonts w:ascii="David" w:hAnsi="David"/>
          <w:color w:val="000000"/>
          <w:rtl/>
        </w:rPr>
      </w:pPr>
      <w:r w:rsidRPr="000B78A7">
        <w:rPr>
          <w:rFonts w:ascii="David" w:hAnsi="David" w:hint="cs"/>
          <w:color w:val="000000"/>
          <w:rtl/>
        </w:rPr>
        <w:t>אני מוצא כי יש לתת משקל משמעותי לסוג הסם המדובר, להשפעתו הרעה ולסכנה הנשקפת לציבור מפניו. לכל הפחות, יש להתייחס למדבקות הפנטניל כאל אופיאטים סינתטיים אחרים כגון הרואין. זאת ועוד: בהתחשב באופן מכירת הסם, כפי שעולה מעבירת הסחר בה הורשע הנאשם, יש לתת משקל משמעותי לכמות המדבקות שנתפסו ברשות הנאשם. כמות רבה זו של 63 מדבקות מגבשת, בצוותא עם המסוכנות הרבה הנובעת מ</w:t>
      </w:r>
      <w:r>
        <w:rPr>
          <w:rFonts w:ascii="David" w:hAnsi="David" w:hint="cs"/>
          <w:color w:val="000000"/>
          <w:rtl/>
        </w:rPr>
        <w:t>ה</w:t>
      </w:r>
      <w:r w:rsidRPr="000B78A7">
        <w:rPr>
          <w:rFonts w:ascii="David" w:hAnsi="David" w:hint="cs"/>
          <w:color w:val="000000"/>
          <w:rtl/>
        </w:rPr>
        <w:t xml:space="preserve">שימוש בסם זה, פוטנציאל מסוכנות משמעותי ביותר לציבור רחב של רוכשי מדבקת פנטניל. </w:t>
      </w:r>
    </w:p>
    <w:p w14:paraId="68C1577B" w14:textId="77777777" w:rsidR="00AE421E" w:rsidRPr="000B78A7" w:rsidRDefault="00AE421E" w:rsidP="00AE421E">
      <w:pPr>
        <w:pStyle w:val="a9"/>
        <w:spacing w:line="360" w:lineRule="auto"/>
        <w:jc w:val="both"/>
        <w:rPr>
          <w:rFonts w:ascii="David" w:hAnsi="David"/>
          <w:rtl/>
        </w:rPr>
      </w:pPr>
    </w:p>
    <w:p w14:paraId="5C45F042" w14:textId="77777777" w:rsidR="00AE421E" w:rsidRPr="000B78A7" w:rsidRDefault="00AE421E" w:rsidP="00AE421E">
      <w:pPr>
        <w:pStyle w:val="a9"/>
        <w:spacing w:line="360" w:lineRule="auto"/>
        <w:jc w:val="both"/>
        <w:rPr>
          <w:rFonts w:ascii="David" w:hAnsi="David"/>
          <w:rtl/>
        </w:rPr>
      </w:pPr>
      <w:r w:rsidRPr="000B78A7">
        <w:rPr>
          <w:rFonts w:ascii="David" w:hAnsi="David" w:hint="cs"/>
          <w:rtl/>
        </w:rPr>
        <w:t>בנסיבות כוללות אלה, בהן מתחם הענישה כולל את שתי העבירות בהן הורשע הנאשם, בהתאם לעקרון ההלימה ותוך דגש על הנזק שהיה צפוי להיגרם מביצוע העבירה, נכון היה לקבוע מתחם ענישה גבוה מזה לו עתרה המאשימה. יחד עם זאת, בהתחשב בכך שמתחם זה אינו סוטה באופן משמעותי ממתחם העונש ההולם וכן כי מדובר בעתירת המאשימה, אני קובע כי מתחם הענישה נע בין 8 חודשי מאסר</w:t>
      </w:r>
      <w:r>
        <w:rPr>
          <w:rFonts w:ascii="David" w:hAnsi="David" w:hint="cs"/>
          <w:rtl/>
        </w:rPr>
        <w:t xml:space="preserve"> בפועל</w:t>
      </w:r>
      <w:r w:rsidRPr="000B78A7">
        <w:rPr>
          <w:rFonts w:ascii="David" w:hAnsi="David" w:hint="cs"/>
          <w:rtl/>
        </w:rPr>
        <w:t xml:space="preserve"> ועד ל- 18 חודשים, לצד ענישה נלווית. </w:t>
      </w:r>
    </w:p>
    <w:p w14:paraId="021F075F" w14:textId="77777777" w:rsidR="00AE421E" w:rsidRPr="000B78A7" w:rsidRDefault="00AE421E" w:rsidP="00AE421E">
      <w:pPr>
        <w:pStyle w:val="a9"/>
        <w:spacing w:line="360" w:lineRule="auto"/>
        <w:jc w:val="both"/>
        <w:rPr>
          <w:rFonts w:ascii="David" w:hAnsi="David"/>
        </w:rPr>
      </w:pPr>
      <w:r w:rsidRPr="000B78A7">
        <w:rPr>
          <w:rFonts w:ascii="David" w:hAnsi="David" w:hint="cs"/>
          <w:rtl/>
        </w:rPr>
        <w:t xml:space="preserve">רכיב ענישה של קנס כספי מתחייב בגין ביצוע העבירות בהן הורשע הנאשם, זאת בשל המוטיבציה הכלכלית לביצוען אשר עמדה אף בבסיס מעשיו של הנאשם. במסגרת זו, יש להתחשב במצבו הכלכלי של הנאשם, כפי שניתן ללמוד מתלוש השכר שהוגש, ולצד זאת להתחשב בפוטנציאל הרווח מביצוע העבירות. לפיכך, אני קובע כי מתחם הענישה ביחס לרכיב הקנס נע בין 3,000 ₪ ועד ל- 10,000 ₪. </w:t>
      </w:r>
    </w:p>
    <w:p w14:paraId="7B6A707F" w14:textId="77777777" w:rsidR="00AE421E" w:rsidRPr="000B78A7" w:rsidRDefault="00AE421E" w:rsidP="00AE421E">
      <w:pPr>
        <w:spacing w:line="360" w:lineRule="auto"/>
        <w:ind w:left="360"/>
        <w:jc w:val="both"/>
        <w:rPr>
          <w:rFonts w:ascii="David" w:hAnsi="David"/>
          <w:rtl/>
        </w:rPr>
      </w:pPr>
    </w:p>
    <w:p w14:paraId="3D6A9FB1" w14:textId="77777777" w:rsidR="00AE421E" w:rsidRPr="000B78A7" w:rsidRDefault="00AE421E" w:rsidP="00AE421E">
      <w:pPr>
        <w:spacing w:line="360" w:lineRule="auto"/>
        <w:ind w:left="360"/>
        <w:jc w:val="both"/>
        <w:rPr>
          <w:rFonts w:ascii="David" w:hAnsi="David"/>
          <w:u w:val="single"/>
          <w:rtl/>
        </w:rPr>
      </w:pPr>
      <w:r w:rsidRPr="000B78A7">
        <w:rPr>
          <w:rFonts w:ascii="David" w:hAnsi="David" w:hint="cs"/>
          <w:u w:val="single"/>
          <w:rtl/>
        </w:rPr>
        <w:t>העונש המתאים</w:t>
      </w:r>
    </w:p>
    <w:p w14:paraId="3E7D14E7" w14:textId="77777777" w:rsidR="00AE421E" w:rsidRPr="000B78A7" w:rsidRDefault="00AE421E" w:rsidP="00AE421E">
      <w:pPr>
        <w:pStyle w:val="a9"/>
        <w:numPr>
          <w:ilvl w:val="0"/>
          <w:numId w:val="1"/>
        </w:numPr>
        <w:spacing w:line="360" w:lineRule="auto"/>
        <w:jc w:val="both"/>
        <w:rPr>
          <w:rFonts w:ascii="David" w:hAnsi="David"/>
        </w:rPr>
      </w:pPr>
      <w:r w:rsidRPr="000B78A7">
        <w:rPr>
          <w:rFonts w:ascii="David" w:hAnsi="David" w:hint="cs"/>
          <w:rtl/>
        </w:rPr>
        <w:t xml:space="preserve">הנאשם יליד 1986, </w:t>
      </w:r>
      <w:r w:rsidRPr="000B78A7">
        <w:rPr>
          <w:rFonts w:ascii="David" w:hAnsi="David"/>
          <w:rtl/>
        </w:rPr>
        <w:t xml:space="preserve">מתגורר בארץ </w:t>
      </w:r>
      <w:r w:rsidRPr="000B78A7">
        <w:rPr>
          <w:rFonts w:ascii="David" w:hAnsi="David" w:hint="cs"/>
          <w:rtl/>
        </w:rPr>
        <w:t xml:space="preserve">מזה </w:t>
      </w:r>
      <w:r w:rsidRPr="000B78A7">
        <w:rPr>
          <w:rFonts w:ascii="David" w:hAnsi="David"/>
          <w:rtl/>
        </w:rPr>
        <w:t>כעשר שנים</w:t>
      </w:r>
      <w:r w:rsidRPr="000B78A7">
        <w:rPr>
          <w:rFonts w:ascii="David" w:hAnsi="David" w:hint="cs"/>
          <w:rtl/>
        </w:rPr>
        <w:t xml:space="preserve">, </w:t>
      </w:r>
      <w:r w:rsidRPr="000B78A7">
        <w:rPr>
          <w:rFonts w:ascii="David" w:hAnsi="David"/>
          <w:rtl/>
        </w:rPr>
        <w:t>הודה בכתב האישום המתוקן</w:t>
      </w:r>
      <w:r w:rsidRPr="000B78A7">
        <w:rPr>
          <w:rFonts w:ascii="David" w:hAnsi="David" w:hint="cs"/>
          <w:rtl/>
        </w:rPr>
        <w:t xml:space="preserve"> וקיבל </w:t>
      </w:r>
      <w:r w:rsidRPr="000B78A7">
        <w:rPr>
          <w:rFonts w:ascii="David" w:hAnsi="David"/>
          <w:rtl/>
        </w:rPr>
        <w:t>אחריות על מעשיו.</w:t>
      </w:r>
      <w:r w:rsidRPr="000B78A7">
        <w:rPr>
          <w:rFonts w:ascii="David" w:hAnsi="David" w:hint="cs"/>
          <w:rtl/>
        </w:rPr>
        <w:t xml:space="preserve"> קבלת האחריות על ידי הנאשם באה לידי ביטוי אף בשיתוף הפעולה עם חוקרי המשטרה, כפי שבא לידי ביטוי בטיעון הסנגור. בנוסף, למעט הרשעה אחת קודמת בגין החזקת סם לצריכה עצמית, לא עומדות כל הרשעות לחובת הנאשם וכן לא נפתחו כנגדו תיקי חקירה נוספים.</w:t>
      </w:r>
      <w:r w:rsidRPr="000B78A7">
        <w:rPr>
          <w:rFonts w:ascii="David" w:hAnsi="David"/>
          <w:rtl/>
        </w:rPr>
        <w:t xml:space="preserve"> </w:t>
      </w:r>
    </w:p>
    <w:p w14:paraId="5F97C652" w14:textId="77777777" w:rsidR="00AE421E" w:rsidRPr="000B78A7" w:rsidRDefault="00AE421E" w:rsidP="00AE421E">
      <w:pPr>
        <w:pStyle w:val="a9"/>
        <w:spacing w:line="360" w:lineRule="auto"/>
        <w:jc w:val="both"/>
        <w:rPr>
          <w:rFonts w:ascii="David" w:hAnsi="David"/>
          <w:rtl/>
        </w:rPr>
      </w:pPr>
      <w:r w:rsidRPr="000B78A7">
        <w:rPr>
          <w:rFonts w:ascii="David" w:hAnsi="David"/>
          <w:rtl/>
        </w:rPr>
        <w:t xml:space="preserve">יחד עם זאת, </w:t>
      </w:r>
      <w:r w:rsidRPr="000B78A7">
        <w:rPr>
          <w:rFonts w:ascii="David" w:hAnsi="David" w:hint="cs"/>
          <w:rtl/>
        </w:rPr>
        <w:t>הנאשם לא היסס לבצע את העבירות כארבעה חודשים בלבד לאחר שהוטל עליו מאסר מותנה אשר לא היווה כל הרתעה כנגדו. התקשיתי לקבל את טיעון ב"כ הנאשם לגבי כך שהמעשים בוצעו בעיצומה של מגפת הקורונה אשר פגעה בנאשם כלכלית. לא ברור כיצד פגיעה שכזו עשויה לשמש ולוּ ראשית הסבר או הנמקה לפגיעה אפשרית קשה בציבור רחב, תוך הפגנת חוסר גבולות ואי הפנמת האיסור הפלילי שהוטל כנגדו זה מקרוב. בנוסף, לא מצאתי כל מקום לתת משקל לטיעון ב"כ הנאשם לגבי העובדה שלא הוגש כתב אישום כנגד רוכש הסם, טיעון אשר נטען בעלמא ללא ביסוס או הנמקה.</w:t>
      </w:r>
    </w:p>
    <w:p w14:paraId="5CA020E9" w14:textId="77777777" w:rsidR="00AE421E" w:rsidRPr="000B78A7" w:rsidRDefault="00AE421E" w:rsidP="00AE421E">
      <w:pPr>
        <w:pStyle w:val="a9"/>
        <w:spacing w:line="360" w:lineRule="auto"/>
        <w:jc w:val="both"/>
        <w:rPr>
          <w:rFonts w:ascii="David" w:hAnsi="David"/>
          <w:rtl/>
        </w:rPr>
      </w:pPr>
      <w:r w:rsidRPr="000B78A7">
        <w:rPr>
          <w:rFonts w:ascii="David" w:hAnsi="David" w:hint="cs"/>
          <w:rtl/>
        </w:rPr>
        <w:t xml:space="preserve">מכלול נתונים אלה מציב את עניינו של הנאשם ברף נמוך של מתחם הענישה, גם אם לא בתחתיתו. </w:t>
      </w:r>
    </w:p>
    <w:p w14:paraId="061B84C8" w14:textId="77777777" w:rsidR="00AE421E" w:rsidRDefault="00AE421E" w:rsidP="00AE421E">
      <w:pPr>
        <w:pStyle w:val="a9"/>
        <w:spacing w:line="360" w:lineRule="auto"/>
        <w:jc w:val="both"/>
        <w:rPr>
          <w:rFonts w:ascii="David" w:hAnsi="David"/>
          <w:rtl/>
        </w:rPr>
      </w:pPr>
      <w:r w:rsidRPr="000B78A7">
        <w:rPr>
          <w:rFonts w:ascii="David" w:hAnsi="David" w:hint="cs"/>
          <w:rtl/>
        </w:rPr>
        <w:t xml:space="preserve">אשר למאסר המותנה התלוי כנגד הנאשם, לא מצאתי כל טעם לסטות מהוראת </w:t>
      </w:r>
      <w:hyperlink r:id="rId31" w:history="1">
        <w:r w:rsidR="00AF7C7E" w:rsidRPr="00AF7C7E">
          <w:rPr>
            <w:rStyle w:val="Hyperlink"/>
            <w:rFonts w:ascii="David" w:hAnsi="David" w:hint="eastAsia"/>
            <w:rtl/>
          </w:rPr>
          <w:t>סעיף</w:t>
        </w:r>
        <w:r w:rsidR="00AF7C7E" w:rsidRPr="00AF7C7E">
          <w:rPr>
            <w:rStyle w:val="Hyperlink"/>
            <w:rFonts w:ascii="David" w:hAnsi="David"/>
            <w:rtl/>
          </w:rPr>
          <w:t xml:space="preserve"> 58</w:t>
        </w:r>
      </w:hyperlink>
      <w:r w:rsidRPr="000B78A7">
        <w:rPr>
          <w:rFonts w:ascii="David" w:hAnsi="David" w:hint="cs"/>
          <w:rtl/>
        </w:rPr>
        <w:t xml:space="preserve"> ל</w:t>
      </w:r>
      <w:hyperlink r:id="rId32" w:history="1">
        <w:r w:rsidR="0029639B" w:rsidRPr="0029639B">
          <w:rPr>
            <w:rFonts w:ascii="David" w:hAnsi="David"/>
            <w:color w:val="0000FF"/>
            <w:u w:val="single"/>
            <w:rtl/>
          </w:rPr>
          <w:t>חוק העונשין</w:t>
        </w:r>
      </w:hyperlink>
      <w:r w:rsidRPr="000B78A7">
        <w:rPr>
          <w:rFonts w:ascii="David" w:hAnsi="David" w:hint="cs"/>
          <w:rtl/>
        </w:rPr>
        <w:t xml:space="preserve"> לגבי נשיאת תקופות המאסר במצטבר. הדברים מתחדדים לנוכח ביצוע העבירות כארבעה חודשים בלבד לאחר ש</w:t>
      </w:r>
      <w:r>
        <w:rPr>
          <w:rFonts w:ascii="David" w:hAnsi="David" w:hint="cs"/>
          <w:rtl/>
        </w:rPr>
        <w:t>ה</w:t>
      </w:r>
      <w:r w:rsidRPr="000B78A7">
        <w:rPr>
          <w:rFonts w:ascii="David" w:hAnsi="David" w:hint="cs"/>
          <w:rtl/>
        </w:rPr>
        <w:t>מאסר המותנה הוטל על הנאשם. בבחינת למעלה מהצורך, אפנה לקביעת כב' בית המשפט העליון כי הגישה לפיה הצטברות העונשים היא נקודת המוצא קיבלה בשנים האחרונות מעמד בכורה לאור תיקון 113 ל</w:t>
      </w:r>
      <w:hyperlink r:id="rId33" w:history="1">
        <w:r w:rsidR="0029639B" w:rsidRPr="0029639B">
          <w:rPr>
            <w:rFonts w:ascii="David" w:hAnsi="David"/>
            <w:color w:val="0000FF"/>
            <w:u w:val="single"/>
            <w:rtl/>
          </w:rPr>
          <w:t>חוק העונשין</w:t>
        </w:r>
      </w:hyperlink>
      <w:r>
        <w:rPr>
          <w:rFonts w:ascii="David" w:hAnsi="David" w:hint="cs"/>
          <w:rtl/>
        </w:rPr>
        <w:t>:</w:t>
      </w:r>
    </w:p>
    <w:p w14:paraId="68C1A2FA" w14:textId="77777777" w:rsidR="00AE421E" w:rsidRPr="000B78A7" w:rsidRDefault="00AE421E" w:rsidP="00AE421E">
      <w:pPr>
        <w:pStyle w:val="a9"/>
        <w:spacing w:line="360" w:lineRule="auto"/>
        <w:rPr>
          <w:rFonts w:ascii="David" w:hAnsi="David"/>
          <w:rtl/>
        </w:rPr>
      </w:pPr>
    </w:p>
    <w:p w14:paraId="6796451B" w14:textId="77777777" w:rsidR="00AE421E" w:rsidRPr="000B78A7" w:rsidRDefault="00AE421E" w:rsidP="00AE421E">
      <w:pPr>
        <w:pStyle w:val="a9"/>
        <w:ind w:left="1361" w:right="1134"/>
        <w:jc w:val="both"/>
        <w:rPr>
          <w:rFonts w:ascii="David" w:hAnsi="David"/>
          <w:rtl/>
        </w:rPr>
      </w:pPr>
      <w:r w:rsidRPr="000B78A7">
        <w:rPr>
          <w:rFonts w:ascii="David" w:hAnsi="David"/>
        </w:rPr>
        <w:t>"</w:t>
      </w:r>
      <w:r w:rsidRPr="0029639B">
        <w:rPr>
          <w:rFonts w:ascii="David" w:hAnsi="David"/>
          <w:b/>
          <w:bCs/>
          <w:color w:val="000000"/>
          <w:rtl/>
        </w:rPr>
        <w:t>סעיף 58</w:t>
      </w:r>
      <w:r w:rsidR="0029639B">
        <w:rPr>
          <w:rFonts w:ascii="David" w:hAnsi="David"/>
          <w:b/>
          <w:bCs/>
        </w:rPr>
        <w:t xml:space="preserve"> </w:t>
      </w:r>
      <w:r w:rsidRPr="000B78A7">
        <w:rPr>
          <w:rFonts w:ascii="David" w:hAnsi="David"/>
          <w:b/>
          <w:bCs/>
          <w:rtl/>
        </w:rPr>
        <w:t>קובע אפוא כי</w:t>
      </w:r>
      <w:r w:rsidR="0029639B">
        <w:rPr>
          <w:rFonts w:ascii="David" w:hAnsi="David"/>
          <w:b/>
          <w:bCs/>
          <w:rtl/>
        </w:rPr>
        <w:t xml:space="preserve"> </w:t>
      </w:r>
      <w:r w:rsidRPr="000B78A7">
        <w:rPr>
          <w:rFonts w:ascii="David" w:hAnsi="David"/>
          <w:b/>
          <w:bCs/>
          <w:rtl/>
        </w:rPr>
        <w:t>ברירת המחדל</w:t>
      </w:r>
      <w:r w:rsidR="0029639B">
        <w:rPr>
          <w:rFonts w:ascii="David" w:hAnsi="David"/>
          <w:b/>
          <w:bCs/>
          <w:rtl/>
        </w:rPr>
        <w:t xml:space="preserve"> </w:t>
      </w:r>
      <w:r w:rsidRPr="000B78A7">
        <w:rPr>
          <w:rFonts w:ascii="David" w:hAnsi="David"/>
          <w:b/>
          <w:bCs/>
          <w:rtl/>
        </w:rPr>
        <w:t>היא שתקופת עונש מותנה שהופעל תרוצה</w:t>
      </w:r>
      <w:r w:rsidR="0029639B">
        <w:rPr>
          <w:rFonts w:ascii="David" w:hAnsi="David"/>
          <w:b/>
          <w:bCs/>
          <w:rtl/>
        </w:rPr>
        <w:t xml:space="preserve"> </w:t>
      </w:r>
      <w:r w:rsidRPr="000B78A7">
        <w:rPr>
          <w:rFonts w:ascii="David" w:hAnsi="David"/>
          <w:b/>
          <w:bCs/>
          <w:rtl/>
        </w:rPr>
        <w:t>במצטבר</w:t>
      </w:r>
      <w:r w:rsidR="0029639B">
        <w:rPr>
          <w:rFonts w:ascii="David" w:hAnsi="David"/>
          <w:b/>
          <w:bCs/>
          <w:rtl/>
        </w:rPr>
        <w:t xml:space="preserve"> </w:t>
      </w:r>
      <w:r w:rsidRPr="000B78A7">
        <w:rPr>
          <w:rFonts w:ascii="David" w:hAnsi="David"/>
          <w:b/>
          <w:bCs/>
          <w:rtl/>
        </w:rPr>
        <w:t>("בזו אחר זו") לתקופת המאסר שהוטלה בשל עבירה נוספת. בענין</w:t>
      </w:r>
      <w:r w:rsidR="0029639B">
        <w:rPr>
          <w:rFonts w:ascii="David" w:hAnsi="David"/>
          <w:b/>
          <w:bCs/>
          <w:rtl/>
        </w:rPr>
        <w:t xml:space="preserve"> </w:t>
      </w:r>
      <w:r w:rsidRPr="000B78A7">
        <w:rPr>
          <w:rFonts w:ascii="David" w:hAnsi="David"/>
          <w:b/>
          <w:bCs/>
          <w:rtl/>
        </w:rPr>
        <w:t>ואזנה</w:t>
      </w:r>
      <w:r w:rsidR="0029639B">
        <w:rPr>
          <w:rFonts w:ascii="David" w:hAnsi="David"/>
          <w:b/>
          <w:bCs/>
          <w:rtl/>
        </w:rPr>
        <w:t xml:space="preserve"> </w:t>
      </w:r>
      <w:r w:rsidRPr="000B78A7">
        <w:rPr>
          <w:rFonts w:ascii="David" w:hAnsi="David"/>
          <w:b/>
          <w:bCs/>
          <w:rtl/>
        </w:rPr>
        <w:t>עמדתי גם על כך כי ההסדרים הנורמטיביים בסוגיה של הטלת עונשים בגין עבירות שונות, באופן מצטבר או חופף, עברו בשנים האחרונות שינוי מובהק לכיוון של תפיסה המעניקה מעמד בכורה לגישה הרואה בהטלת עונשים באופן</w:t>
      </w:r>
      <w:r w:rsidR="0029639B">
        <w:rPr>
          <w:rFonts w:ascii="David" w:hAnsi="David"/>
          <w:b/>
          <w:bCs/>
          <w:rtl/>
        </w:rPr>
        <w:t xml:space="preserve"> </w:t>
      </w:r>
      <w:r w:rsidRPr="000B78A7">
        <w:rPr>
          <w:rFonts w:ascii="David" w:hAnsi="David"/>
          <w:b/>
          <w:bCs/>
          <w:rtl/>
        </w:rPr>
        <w:t>מצטבר</w:t>
      </w:r>
      <w:r w:rsidR="0029639B">
        <w:rPr>
          <w:rFonts w:ascii="David" w:hAnsi="David"/>
          <w:b/>
          <w:bCs/>
          <w:rtl/>
        </w:rPr>
        <w:t xml:space="preserve"> </w:t>
      </w:r>
      <w:r w:rsidRPr="000B78A7">
        <w:rPr>
          <w:rFonts w:ascii="David" w:hAnsi="David"/>
          <w:b/>
          <w:bCs/>
          <w:rtl/>
        </w:rPr>
        <w:t>כנקודת המוצא. גישה זו נגזרת בין היתר מעקרון ההלימה, שהוא עקרון היסוד לענישה שנקבע בתיקון 113</w:t>
      </w:r>
      <w:r w:rsidRPr="000B78A7">
        <w:rPr>
          <w:rFonts w:ascii="David" w:hAnsi="David" w:hint="cs"/>
          <w:b/>
          <w:bCs/>
          <w:rtl/>
        </w:rPr>
        <w:t xml:space="preserve"> (</w:t>
      </w:r>
      <w:r w:rsidRPr="0029639B">
        <w:rPr>
          <w:rFonts w:ascii="David" w:hAnsi="David"/>
          <w:b/>
          <w:bCs/>
          <w:color w:val="000000"/>
          <w:rtl/>
        </w:rPr>
        <w:t>סעיף 40ב</w:t>
      </w:r>
      <w:r w:rsidR="0029639B">
        <w:rPr>
          <w:rFonts w:ascii="David" w:hAnsi="David"/>
          <w:b/>
          <w:bCs/>
        </w:rPr>
        <w:t xml:space="preserve"> </w:t>
      </w:r>
      <w:r w:rsidRPr="000B78A7">
        <w:rPr>
          <w:rFonts w:ascii="David" w:hAnsi="David"/>
          <w:b/>
          <w:bCs/>
          <w:rtl/>
        </w:rPr>
        <w:t>ל</w:t>
      </w:r>
      <w:hyperlink r:id="rId34" w:history="1">
        <w:r w:rsidR="0029639B" w:rsidRPr="0029639B">
          <w:rPr>
            <w:rFonts w:ascii="David" w:hAnsi="David"/>
            <w:b/>
            <w:bCs/>
            <w:color w:val="0000FF"/>
            <w:u w:val="single"/>
            <w:rtl/>
          </w:rPr>
          <w:t>חוק העונשין</w:t>
        </w:r>
      </w:hyperlink>
      <w:r w:rsidRPr="0029639B">
        <w:rPr>
          <w:rFonts w:ascii="David" w:hAnsi="David" w:hint="cs"/>
          <w:b/>
          <w:bCs/>
          <w:color w:val="000000"/>
          <w:rtl/>
        </w:rPr>
        <w:t>),</w:t>
      </w:r>
      <w:r w:rsidRPr="000B78A7">
        <w:rPr>
          <w:rFonts w:ascii="David" w:hAnsi="David"/>
          <w:b/>
          <w:bCs/>
        </w:rPr>
        <w:t xml:space="preserve"> </w:t>
      </w:r>
      <w:r w:rsidRPr="000B78A7">
        <w:rPr>
          <w:rFonts w:ascii="David" w:hAnsi="David"/>
          <w:b/>
          <w:bCs/>
          <w:rtl/>
        </w:rPr>
        <w:t>והמחייב כי עבריין יישא בעונש הולם בגין כל עבירה שביצע. גישה זו חלה גם לענין הפעלת עונש מותנה, כעולה בבירור גם מלשונו של</w:t>
      </w:r>
      <w:r w:rsidR="0029639B">
        <w:rPr>
          <w:rFonts w:ascii="David" w:hAnsi="David"/>
          <w:b/>
          <w:bCs/>
          <w:rtl/>
        </w:rPr>
        <w:t xml:space="preserve"> </w:t>
      </w:r>
      <w:r w:rsidRPr="0029639B">
        <w:rPr>
          <w:rFonts w:ascii="David" w:hAnsi="David"/>
          <w:b/>
          <w:bCs/>
          <w:color w:val="000000"/>
          <w:rtl/>
        </w:rPr>
        <w:t>סעיף 58</w:t>
      </w:r>
      <w:r w:rsidR="0029639B">
        <w:rPr>
          <w:rFonts w:ascii="David" w:hAnsi="David"/>
          <w:b/>
          <w:bCs/>
        </w:rPr>
        <w:t xml:space="preserve"> </w:t>
      </w:r>
      <w:r w:rsidRPr="000B78A7">
        <w:rPr>
          <w:rFonts w:ascii="David" w:hAnsi="David" w:hint="cs"/>
          <w:b/>
          <w:bCs/>
          <w:rtl/>
        </w:rPr>
        <w:t>ל</w:t>
      </w:r>
      <w:hyperlink r:id="rId35" w:history="1">
        <w:r w:rsidR="0029639B" w:rsidRPr="0029639B">
          <w:rPr>
            <w:rFonts w:ascii="David" w:hAnsi="David"/>
            <w:b/>
            <w:bCs/>
            <w:color w:val="0000FF"/>
            <w:u w:val="single"/>
            <w:rtl/>
          </w:rPr>
          <w:t>חוק העונשין</w:t>
        </w:r>
      </w:hyperlink>
      <w:r w:rsidRPr="000B78A7">
        <w:rPr>
          <w:rFonts w:ascii="David" w:hAnsi="David" w:hint="cs"/>
          <w:rtl/>
        </w:rPr>
        <w:t xml:space="preserve">" </w:t>
      </w:r>
    </w:p>
    <w:p w14:paraId="0AE6196B" w14:textId="77777777" w:rsidR="00AE421E" w:rsidRPr="000B78A7" w:rsidRDefault="00AE421E" w:rsidP="00AE421E">
      <w:pPr>
        <w:pStyle w:val="a9"/>
        <w:ind w:left="1361" w:right="1134"/>
        <w:jc w:val="both"/>
        <w:rPr>
          <w:rFonts w:ascii="David" w:hAnsi="David"/>
          <w:rtl/>
        </w:rPr>
      </w:pPr>
      <w:r w:rsidRPr="000B78A7">
        <w:rPr>
          <w:rFonts w:ascii="David" w:hAnsi="David" w:hint="cs"/>
          <w:rtl/>
        </w:rPr>
        <w:t>(</w:t>
      </w:r>
      <w:hyperlink r:id="rId36" w:history="1">
        <w:r w:rsidR="0029639B" w:rsidRPr="0029639B">
          <w:rPr>
            <w:rFonts w:ascii="David" w:hAnsi="David"/>
            <w:color w:val="0000FF"/>
            <w:u w:val="single"/>
            <w:rtl/>
          </w:rPr>
          <w:t>ע"פ 10173/16</w:t>
        </w:r>
      </w:hyperlink>
      <w:r w:rsidRPr="000B78A7">
        <w:rPr>
          <w:rFonts w:ascii="David" w:hAnsi="David" w:hint="cs"/>
          <w:rtl/>
        </w:rPr>
        <w:t xml:space="preserve"> </w:t>
      </w:r>
      <w:r w:rsidRPr="000B78A7">
        <w:rPr>
          <w:rFonts w:ascii="David" w:hAnsi="David" w:hint="cs"/>
          <w:b/>
          <w:bCs/>
          <w:rtl/>
        </w:rPr>
        <w:t xml:space="preserve">מדינת ישראל נ' תמיר טאהא, </w:t>
      </w:r>
      <w:r w:rsidRPr="000B78A7">
        <w:rPr>
          <w:rFonts w:ascii="David" w:hAnsi="David" w:hint="cs"/>
          <w:rtl/>
        </w:rPr>
        <w:t xml:space="preserve">פסקה 12 (14.02.2017)). </w:t>
      </w:r>
    </w:p>
    <w:p w14:paraId="3869D3F8" w14:textId="77777777" w:rsidR="00AE421E" w:rsidRPr="00642B91" w:rsidRDefault="00AE421E" w:rsidP="00AE421E">
      <w:pPr>
        <w:pStyle w:val="a9"/>
        <w:spacing w:line="360" w:lineRule="auto"/>
        <w:jc w:val="both"/>
        <w:rPr>
          <w:rFonts w:ascii="David" w:hAnsi="David"/>
        </w:rPr>
      </w:pPr>
    </w:p>
    <w:p w14:paraId="4EF5B07A" w14:textId="77777777" w:rsidR="00AE421E" w:rsidRPr="000B78A7" w:rsidRDefault="00AE421E" w:rsidP="00AE421E">
      <w:pPr>
        <w:pStyle w:val="a9"/>
        <w:spacing w:line="360" w:lineRule="auto"/>
        <w:jc w:val="both"/>
        <w:rPr>
          <w:rFonts w:ascii="David" w:hAnsi="David"/>
          <w:u w:val="single"/>
          <w:rtl/>
        </w:rPr>
      </w:pPr>
      <w:r w:rsidRPr="000B78A7">
        <w:rPr>
          <w:rFonts w:ascii="David" w:hAnsi="David" w:hint="cs"/>
          <w:u w:val="single"/>
          <w:rtl/>
        </w:rPr>
        <w:t>חילוט הרכוש</w:t>
      </w:r>
    </w:p>
    <w:p w14:paraId="42801AED" w14:textId="77777777" w:rsidR="00AE421E" w:rsidRPr="00BD50CF" w:rsidRDefault="00AE421E" w:rsidP="00AE421E">
      <w:pPr>
        <w:pStyle w:val="a9"/>
        <w:numPr>
          <w:ilvl w:val="0"/>
          <w:numId w:val="1"/>
        </w:numPr>
        <w:spacing w:line="360" w:lineRule="auto"/>
        <w:jc w:val="both"/>
        <w:rPr>
          <w:rFonts w:ascii="David" w:hAnsi="David"/>
          <w:color w:val="FF0000"/>
        </w:rPr>
      </w:pPr>
      <w:r w:rsidRPr="000B78A7">
        <w:rPr>
          <w:rFonts w:ascii="David" w:hAnsi="David" w:hint="cs"/>
          <w:rtl/>
        </w:rPr>
        <w:t>הנאשם הוכרז כסוחר סמים והמאשימה ביקשה להורות על חילוט רכושו שנתפס. מדובר בסכום של 33,</w:t>
      </w:r>
      <w:r w:rsidRPr="000B78A7">
        <w:rPr>
          <w:rFonts w:ascii="David" w:hAnsi="David"/>
          <w:rtl/>
        </w:rPr>
        <w:t>440 ₪ ו- 500 דולר</w:t>
      </w:r>
      <w:r w:rsidRPr="000B78A7">
        <w:rPr>
          <w:rFonts w:ascii="David" w:hAnsi="David" w:hint="cs"/>
          <w:rtl/>
        </w:rPr>
        <w:t xml:space="preserve"> (להלן: "</w:t>
      </w:r>
      <w:r w:rsidRPr="000B78A7">
        <w:rPr>
          <w:rFonts w:ascii="David" w:hAnsi="David" w:hint="cs"/>
          <w:b/>
          <w:bCs/>
          <w:rtl/>
        </w:rPr>
        <w:t>הכסף</w:t>
      </w:r>
      <w:r w:rsidRPr="00480466">
        <w:rPr>
          <w:rFonts w:ascii="David" w:hAnsi="David" w:hint="cs"/>
          <w:rtl/>
        </w:rPr>
        <w:t>").</w:t>
      </w:r>
      <w:r w:rsidRPr="000B78A7">
        <w:rPr>
          <w:rFonts w:ascii="David" w:hAnsi="David" w:hint="cs"/>
          <w:rtl/>
        </w:rPr>
        <w:t xml:space="preserve"> ב"כ הנאשם לא חלק על הכרזת הנאשם כסוחר סמים אלא טען כי "</w:t>
      </w:r>
      <w:r w:rsidRPr="000B78A7">
        <w:rPr>
          <w:rFonts w:ascii="David" w:hAnsi="David" w:hint="cs"/>
          <w:b/>
          <w:bCs/>
          <w:rtl/>
        </w:rPr>
        <w:t>אין הלימה בין הסכום אותו מבקשים לחלט לבין הרווח שהפיק בפועל</w:t>
      </w:r>
      <w:r w:rsidRPr="000B78A7">
        <w:rPr>
          <w:rFonts w:ascii="David" w:hAnsi="David" w:hint="cs"/>
          <w:rtl/>
        </w:rPr>
        <w:t>"</w:t>
      </w:r>
      <w:r w:rsidRPr="000B78A7">
        <w:rPr>
          <w:rFonts w:ascii="David" w:hAnsi="David" w:hint="cs"/>
          <w:color w:val="FF0000"/>
          <w:rtl/>
        </w:rPr>
        <w:t xml:space="preserve"> </w:t>
      </w:r>
      <w:r w:rsidRPr="000B78A7">
        <w:rPr>
          <w:rFonts w:ascii="David" w:hAnsi="David" w:hint="cs"/>
          <w:rtl/>
        </w:rPr>
        <w:t xml:space="preserve">(עמ' 9 ש' 8 לפרוט'). ב"כ הנאשם הפנה לפסק דין בו הפעיל בית המשפט העליון שיקול דעת לגבי גובה החילוט, אולם באותו מקרה מדובר היה בחילוט בהתאם </w:t>
      </w:r>
      <w:hyperlink r:id="rId37" w:history="1">
        <w:r w:rsidR="00AF7C7E" w:rsidRPr="00AF7C7E">
          <w:rPr>
            <w:rStyle w:val="Hyperlink"/>
            <w:rFonts w:ascii="David" w:hAnsi="David" w:hint="eastAsia"/>
            <w:rtl/>
          </w:rPr>
          <w:t>לסעיף</w:t>
        </w:r>
        <w:r w:rsidR="00AF7C7E" w:rsidRPr="00AF7C7E">
          <w:rPr>
            <w:rStyle w:val="Hyperlink"/>
            <w:rFonts w:ascii="David" w:hAnsi="David"/>
            <w:rtl/>
          </w:rPr>
          <w:t xml:space="preserve"> 21(א)</w:t>
        </w:r>
      </w:hyperlink>
      <w:r w:rsidRPr="000B78A7">
        <w:rPr>
          <w:rFonts w:ascii="David" w:hAnsi="David" w:hint="cs"/>
          <w:rtl/>
        </w:rPr>
        <w:t xml:space="preserve"> </w:t>
      </w:r>
      <w:r w:rsidRPr="000B78A7">
        <w:rPr>
          <w:rFonts w:ascii="David" w:hAnsi="David"/>
          <w:rtl/>
        </w:rPr>
        <w:t>ל</w:t>
      </w:r>
      <w:hyperlink r:id="rId38" w:history="1">
        <w:r w:rsidR="0029639B" w:rsidRPr="0029639B">
          <w:rPr>
            <w:rFonts w:ascii="David" w:hAnsi="David"/>
            <w:color w:val="0000FF"/>
            <w:u w:val="single"/>
            <w:rtl/>
          </w:rPr>
          <w:t>חוק איסור הלבנת הון</w:t>
        </w:r>
      </w:hyperlink>
      <w:r>
        <w:rPr>
          <w:rFonts w:ascii="David" w:hAnsi="David"/>
          <w:rtl/>
        </w:rPr>
        <w:t>, תש"ס</w:t>
      </w:r>
      <w:r>
        <w:rPr>
          <w:rFonts w:ascii="David" w:hAnsi="David" w:hint="cs"/>
          <w:rtl/>
        </w:rPr>
        <w:t>-</w:t>
      </w:r>
      <w:r w:rsidRPr="000B78A7">
        <w:rPr>
          <w:rFonts w:ascii="David" w:hAnsi="David"/>
          <w:rtl/>
        </w:rPr>
        <w:t>2000</w:t>
      </w:r>
      <w:r w:rsidRPr="000B78A7">
        <w:rPr>
          <w:rFonts w:ascii="David" w:hAnsi="David" w:hint="cs"/>
          <w:rtl/>
        </w:rPr>
        <w:t xml:space="preserve"> (להלן: "</w:t>
      </w:r>
      <w:r w:rsidRPr="000B78A7">
        <w:rPr>
          <w:rFonts w:ascii="David" w:hAnsi="David" w:hint="cs"/>
          <w:b/>
          <w:bCs/>
          <w:rtl/>
        </w:rPr>
        <w:t>חוק איסור הלבנת הון</w:t>
      </w:r>
      <w:r w:rsidRPr="000B78A7">
        <w:rPr>
          <w:rFonts w:ascii="David" w:hAnsi="David" w:hint="cs"/>
          <w:rtl/>
        </w:rPr>
        <w:t>")</w:t>
      </w:r>
      <w:r>
        <w:rPr>
          <w:rFonts w:ascii="David" w:hAnsi="David"/>
          <w:rtl/>
        </w:rPr>
        <w:t xml:space="preserve"> הקובע כך:</w:t>
      </w:r>
    </w:p>
    <w:p w14:paraId="4795D16F" w14:textId="77777777" w:rsidR="00AE421E" w:rsidRPr="000B78A7" w:rsidRDefault="00AE421E" w:rsidP="00AE421E">
      <w:pPr>
        <w:pStyle w:val="a9"/>
        <w:spacing w:line="360" w:lineRule="auto"/>
        <w:jc w:val="both"/>
        <w:rPr>
          <w:rFonts w:ascii="David" w:hAnsi="David"/>
          <w:color w:val="FF0000"/>
        </w:rPr>
      </w:pPr>
    </w:p>
    <w:p w14:paraId="59907946" w14:textId="77777777" w:rsidR="00AE421E" w:rsidRDefault="00AE421E" w:rsidP="00AE421E">
      <w:pPr>
        <w:pStyle w:val="p00"/>
        <w:bidi/>
        <w:spacing w:before="0" w:beforeAutospacing="0" w:after="0" w:afterAutospacing="0"/>
        <w:ind w:left="1361" w:right="1134"/>
        <w:rPr>
          <w:rStyle w:val="default"/>
          <w:rFonts w:ascii="David" w:hAnsi="David" w:cs="David"/>
          <w:b/>
          <w:bCs/>
          <w:color w:val="000000"/>
          <w:rtl/>
        </w:rPr>
      </w:pPr>
      <w:r w:rsidRPr="000B78A7">
        <w:rPr>
          <w:rStyle w:val="big-number"/>
          <w:rFonts w:ascii="David" w:hAnsi="David" w:cs="David"/>
          <w:b/>
          <w:bCs/>
          <w:color w:val="000000"/>
          <w:rtl/>
        </w:rPr>
        <w:t>21.</w:t>
      </w:r>
      <w:r w:rsidR="0029639B">
        <w:rPr>
          <w:rStyle w:val="big-number"/>
          <w:rFonts w:ascii="David" w:hAnsi="David" w:cs="David"/>
          <w:b/>
          <w:bCs/>
          <w:color w:val="000000"/>
          <w:rtl/>
        </w:rPr>
        <w:t xml:space="preserve"> </w:t>
      </w:r>
      <w:r w:rsidRPr="000B78A7">
        <w:rPr>
          <w:rStyle w:val="default"/>
          <w:rFonts w:ascii="David" w:hAnsi="David" w:cs="David"/>
          <w:b/>
          <w:bCs/>
          <w:color w:val="000000"/>
          <w:rtl/>
        </w:rPr>
        <w:t>(א)</w:t>
      </w:r>
      <w:r w:rsidR="0029639B">
        <w:rPr>
          <w:rStyle w:val="default"/>
          <w:rFonts w:ascii="David" w:hAnsi="David" w:cs="David"/>
          <w:b/>
          <w:bCs/>
          <w:color w:val="000000"/>
          <w:rtl/>
        </w:rPr>
        <w:t xml:space="preserve"> </w:t>
      </w:r>
      <w:r w:rsidRPr="000B78A7">
        <w:rPr>
          <w:rStyle w:val="default"/>
          <w:rFonts w:ascii="David" w:hAnsi="David" w:cs="David"/>
          <w:b/>
          <w:bCs/>
          <w:color w:val="000000"/>
          <w:rtl/>
        </w:rPr>
        <w:t>הורשע אדם בעבירה לפי סעיפים 3 או 4, יצווה בית המשפט, זולת אם סבר שלא לעשות כן מנימוקים מיוחדים שיפרט, כי נוסף על כל עונש יחולט רכוש מתוך רכושו של הנידון בשווי של רכוש שהוא –</w:t>
      </w:r>
    </w:p>
    <w:p w14:paraId="16894621" w14:textId="77777777" w:rsidR="00AE421E" w:rsidRPr="000B78A7" w:rsidRDefault="00AE421E" w:rsidP="00AE421E">
      <w:pPr>
        <w:pStyle w:val="p00"/>
        <w:bidi/>
        <w:spacing w:before="0" w:beforeAutospacing="0" w:after="0" w:afterAutospacing="0"/>
        <w:ind w:left="1361" w:right="1134"/>
        <w:rPr>
          <w:rStyle w:val="default"/>
          <w:rFonts w:ascii="David" w:hAnsi="David" w:cs="David"/>
          <w:b/>
          <w:bCs/>
          <w:color w:val="000000"/>
        </w:rPr>
      </w:pPr>
      <w:r>
        <w:rPr>
          <w:rStyle w:val="default"/>
          <w:rFonts w:ascii="David" w:hAnsi="David" w:cs="David"/>
          <w:b/>
          <w:bCs/>
          <w:color w:val="000000"/>
          <w:rtl/>
        </w:rPr>
        <w:tab/>
      </w:r>
      <w:r>
        <w:rPr>
          <w:rStyle w:val="default"/>
          <w:rFonts w:ascii="David" w:hAnsi="David" w:cs="David"/>
          <w:b/>
          <w:bCs/>
          <w:color w:val="000000"/>
          <w:rtl/>
        </w:rPr>
        <w:tab/>
      </w:r>
      <w:r>
        <w:rPr>
          <w:rStyle w:val="default"/>
          <w:rFonts w:ascii="David" w:hAnsi="David" w:cs="David" w:hint="cs"/>
          <w:b/>
          <w:bCs/>
          <w:color w:val="000000"/>
          <w:rtl/>
        </w:rPr>
        <w:t xml:space="preserve">(1) </w:t>
      </w:r>
      <w:r w:rsidRPr="000B78A7">
        <w:rPr>
          <w:rStyle w:val="default"/>
          <w:rFonts w:ascii="David" w:hAnsi="David" w:cs="David"/>
          <w:b/>
          <w:bCs/>
          <w:color w:val="000000"/>
          <w:rtl/>
        </w:rPr>
        <w:t xml:space="preserve">רכוש שנעברה בו העבירה, וכן רכוש ששימש לביצוע </w:t>
      </w:r>
    </w:p>
    <w:p w14:paraId="2B540F58" w14:textId="77777777" w:rsidR="00AE421E" w:rsidRDefault="00AE421E" w:rsidP="00AE421E">
      <w:pPr>
        <w:pStyle w:val="p22"/>
        <w:bidi/>
        <w:spacing w:before="0" w:beforeAutospacing="0" w:after="0" w:afterAutospacing="0"/>
        <w:ind w:left="1928" w:right="1134"/>
        <w:rPr>
          <w:rFonts w:ascii="David" w:hAnsi="David" w:cs="David"/>
          <w:b/>
          <w:bCs/>
          <w:color w:val="000000"/>
          <w:rtl/>
        </w:rPr>
      </w:pPr>
      <w:r w:rsidRPr="000B78A7">
        <w:rPr>
          <w:rStyle w:val="default"/>
          <w:rFonts w:ascii="David" w:hAnsi="David" w:cs="David"/>
          <w:b/>
          <w:bCs/>
          <w:color w:val="000000"/>
          <w:rtl/>
        </w:rPr>
        <w:t>העבירה, שאיפשר את ביצועה או שיועד לכך;</w:t>
      </w:r>
    </w:p>
    <w:p w14:paraId="52DD7504" w14:textId="77777777" w:rsidR="00AE421E" w:rsidRPr="000B78A7" w:rsidRDefault="00AE421E" w:rsidP="00AE421E">
      <w:pPr>
        <w:pStyle w:val="p22"/>
        <w:bidi/>
        <w:spacing w:before="0" w:beforeAutospacing="0" w:after="0" w:afterAutospacing="0"/>
        <w:ind w:left="1928" w:right="1134" w:firstLine="232"/>
        <w:rPr>
          <w:rFonts w:ascii="David" w:hAnsi="David" w:cs="David"/>
          <w:b/>
          <w:bCs/>
          <w:color w:val="000000"/>
          <w:rtl/>
        </w:rPr>
      </w:pPr>
      <w:r>
        <w:rPr>
          <w:rFonts w:ascii="David" w:hAnsi="David" w:cs="David" w:hint="cs"/>
          <w:b/>
          <w:bCs/>
          <w:color w:val="000000"/>
          <w:rtl/>
        </w:rPr>
        <w:t xml:space="preserve">(2) </w:t>
      </w:r>
      <w:r w:rsidRPr="000B78A7">
        <w:rPr>
          <w:rStyle w:val="default"/>
          <w:rFonts w:ascii="David" w:hAnsi="David" w:cs="David"/>
          <w:b/>
          <w:bCs/>
          <w:color w:val="000000"/>
          <w:rtl/>
        </w:rPr>
        <w:t>רכוש שהושג, במישרין או בעקיפין, כשכר העבירה או כתוצאה מביצוע העבירה, או שיועד לכך.</w:t>
      </w:r>
    </w:p>
    <w:p w14:paraId="14DEF053" w14:textId="77777777" w:rsidR="00AE421E" w:rsidRPr="000B78A7" w:rsidRDefault="00AE421E" w:rsidP="00AE421E">
      <w:pPr>
        <w:spacing w:line="360" w:lineRule="auto"/>
        <w:rPr>
          <w:rFonts w:ascii="David" w:hAnsi="David"/>
          <w:color w:val="FF0000"/>
        </w:rPr>
      </w:pPr>
    </w:p>
    <w:p w14:paraId="47B659C6" w14:textId="77777777" w:rsidR="00AE421E" w:rsidRDefault="00AE421E" w:rsidP="00AE421E">
      <w:pPr>
        <w:spacing w:line="360" w:lineRule="auto"/>
        <w:ind w:left="720"/>
        <w:jc w:val="both"/>
        <w:rPr>
          <w:rFonts w:ascii="David" w:hAnsi="David"/>
          <w:rtl/>
        </w:rPr>
      </w:pPr>
      <w:r w:rsidRPr="000B78A7">
        <w:rPr>
          <w:rFonts w:ascii="David" w:hAnsi="David" w:hint="cs"/>
          <w:rtl/>
        </w:rPr>
        <w:t xml:space="preserve">אמנם, מדובר בטענה שובת לב בשל הדמיון הרב בין נוסח סעיף זה לנוסחו של </w:t>
      </w:r>
      <w:hyperlink r:id="rId39" w:history="1">
        <w:r w:rsidR="00AF7C7E" w:rsidRPr="00AF7C7E">
          <w:rPr>
            <w:rStyle w:val="Hyperlink"/>
            <w:rFonts w:ascii="David" w:hAnsi="David" w:hint="eastAsia"/>
            <w:rtl/>
          </w:rPr>
          <w:t>סעיף</w:t>
        </w:r>
        <w:r w:rsidR="00AF7C7E" w:rsidRPr="00AF7C7E">
          <w:rPr>
            <w:rStyle w:val="Hyperlink"/>
            <w:rFonts w:ascii="David" w:hAnsi="David"/>
            <w:rtl/>
          </w:rPr>
          <w:t xml:space="preserve"> 36א</w:t>
        </w:r>
      </w:hyperlink>
      <w:r w:rsidRPr="000B78A7">
        <w:rPr>
          <w:rFonts w:ascii="David" w:hAnsi="David" w:hint="cs"/>
          <w:rtl/>
        </w:rPr>
        <w:t xml:space="preserve"> בפקודת הסמים, הדן בסוגית חילוט רכושו של מורשע בעבירת עסקת סמים. יחד עם זאת, פקודת הסמים קובעת חזקה ביחס לרכושו של מי שהוכרז כסוחר סמים, אשר אי</w:t>
      </w:r>
      <w:r>
        <w:rPr>
          <w:rFonts w:ascii="David" w:hAnsi="David" w:hint="cs"/>
          <w:rtl/>
        </w:rPr>
        <w:t>נה מופיעה ב</w:t>
      </w:r>
      <w:hyperlink r:id="rId40" w:history="1">
        <w:r w:rsidR="0029639B" w:rsidRPr="0029639B">
          <w:rPr>
            <w:rFonts w:ascii="David" w:hAnsi="David"/>
            <w:color w:val="0000FF"/>
            <w:u w:val="single"/>
            <w:rtl/>
          </w:rPr>
          <w:t>חוק איסור הלבנת הון</w:t>
        </w:r>
      </w:hyperlink>
      <w:r>
        <w:rPr>
          <w:rFonts w:ascii="David" w:hAnsi="David" w:hint="cs"/>
          <w:rtl/>
        </w:rPr>
        <w:t>:</w:t>
      </w:r>
    </w:p>
    <w:p w14:paraId="399ECE8E" w14:textId="77777777" w:rsidR="00AE421E" w:rsidRPr="000B78A7" w:rsidRDefault="00AE421E" w:rsidP="00AE421E">
      <w:pPr>
        <w:spacing w:line="360" w:lineRule="auto"/>
        <w:ind w:left="720"/>
        <w:jc w:val="both"/>
        <w:rPr>
          <w:rFonts w:ascii="David" w:hAnsi="David"/>
          <w:rtl/>
        </w:rPr>
      </w:pPr>
    </w:p>
    <w:p w14:paraId="1C66FE52" w14:textId="77777777" w:rsidR="00AE421E" w:rsidRPr="000B78A7" w:rsidRDefault="00AE421E" w:rsidP="00AE421E">
      <w:pPr>
        <w:rPr>
          <w:rFonts w:ascii="David" w:hAnsi="David"/>
          <w:b/>
          <w:bCs/>
          <w:color w:val="000000"/>
        </w:rPr>
      </w:pPr>
      <w:r w:rsidRPr="000B78A7">
        <w:rPr>
          <w:rFonts w:ascii="David" w:hAnsi="David"/>
          <w:rtl/>
        </w:rPr>
        <w:tab/>
      </w:r>
      <w:r w:rsidRPr="000B78A7">
        <w:rPr>
          <w:rFonts w:ascii="David" w:hAnsi="David" w:hint="cs"/>
          <w:b/>
          <w:bCs/>
          <w:rtl/>
        </w:rPr>
        <w:t>31.</w:t>
      </w:r>
      <w:r w:rsidRPr="000B78A7">
        <w:rPr>
          <w:rFonts w:ascii="David" w:hAnsi="David" w:hint="cs"/>
          <w:rtl/>
        </w:rPr>
        <w:t xml:space="preserve"> </w:t>
      </w:r>
      <w:r w:rsidRPr="000B78A7">
        <w:rPr>
          <w:rStyle w:val="default"/>
          <w:rFonts w:ascii="David" w:hAnsi="David"/>
          <w:b/>
          <w:bCs/>
          <w:color w:val="000000"/>
          <w:rtl/>
        </w:rPr>
        <w:t>במשפט נגד אדם על עבירה לפי פקודה זו או תקנות לפיה –</w:t>
      </w:r>
    </w:p>
    <w:p w14:paraId="3637565F" w14:textId="77777777" w:rsidR="00AE421E" w:rsidRPr="000B78A7" w:rsidRDefault="00AE421E" w:rsidP="00AE421E">
      <w:pPr>
        <w:pStyle w:val="p22"/>
        <w:bidi/>
        <w:spacing w:before="0" w:beforeAutospacing="0" w:after="0" w:afterAutospacing="0"/>
        <w:ind w:left="1021" w:right="1134"/>
        <w:jc w:val="both"/>
        <w:rPr>
          <w:rFonts w:ascii="David" w:hAnsi="David" w:cs="David"/>
          <w:b/>
          <w:bCs/>
          <w:color w:val="000000"/>
          <w:rtl/>
        </w:rPr>
      </w:pPr>
      <w:r w:rsidRPr="000B78A7">
        <w:rPr>
          <w:rStyle w:val="default"/>
          <w:rFonts w:ascii="David" w:hAnsi="David" w:cs="David"/>
          <w:b/>
          <w:bCs/>
          <w:color w:val="000000"/>
          <w:rtl/>
        </w:rPr>
        <w:t xml:space="preserve"> (6)</w:t>
      </w:r>
      <w:r w:rsidR="0029639B">
        <w:rPr>
          <w:rStyle w:val="default"/>
          <w:rFonts w:ascii="David" w:hAnsi="David" w:cs="David"/>
          <w:b/>
          <w:bCs/>
          <w:color w:val="000000"/>
          <w:rtl/>
        </w:rPr>
        <w:t xml:space="preserve"> </w:t>
      </w:r>
      <w:r w:rsidRPr="000B78A7">
        <w:rPr>
          <w:rStyle w:val="default"/>
          <w:rFonts w:ascii="David" w:hAnsi="David" w:cs="David"/>
          <w:b/>
          <w:bCs/>
          <w:color w:val="000000"/>
          <w:rtl/>
        </w:rPr>
        <w:t>קבע בית המשפט לפי סעיף 36א(ב) שנידון הוא סוחר סמים –</w:t>
      </w:r>
    </w:p>
    <w:p w14:paraId="03F95867" w14:textId="77777777" w:rsidR="00AE421E" w:rsidRPr="000B78A7" w:rsidRDefault="00AE421E" w:rsidP="00AE421E">
      <w:pPr>
        <w:pStyle w:val="p33"/>
        <w:bidi/>
        <w:spacing w:before="0" w:beforeAutospacing="0" w:after="0" w:afterAutospacing="0"/>
        <w:ind w:left="1474" w:right="1134"/>
        <w:jc w:val="both"/>
        <w:rPr>
          <w:rFonts w:ascii="David" w:hAnsi="David" w:cs="David"/>
          <w:b/>
          <w:bCs/>
          <w:color w:val="000000"/>
          <w:rtl/>
        </w:rPr>
      </w:pPr>
      <w:r w:rsidRPr="000B78A7">
        <w:rPr>
          <w:rStyle w:val="default"/>
          <w:rFonts w:ascii="David" w:hAnsi="David" w:cs="David"/>
          <w:b/>
          <w:bCs/>
          <w:color w:val="000000"/>
          <w:rtl/>
        </w:rPr>
        <w:t>(א)</w:t>
      </w:r>
      <w:r w:rsidR="0029639B">
        <w:rPr>
          <w:rStyle w:val="default"/>
          <w:rFonts w:ascii="David" w:hAnsi="David" w:cs="David"/>
          <w:b/>
          <w:bCs/>
          <w:color w:val="000000"/>
          <w:rtl/>
        </w:rPr>
        <w:t xml:space="preserve"> </w:t>
      </w:r>
      <w:r w:rsidRPr="000B78A7">
        <w:rPr>
          <w:rStyle w:val="default"/>
          <w:rFonts w:ascii="David" w:hAnsi="David" w:cs="David"/>
          <w:b/>
          <w:bCs/>
          <w:color w:val="000000"/>
          <w:rtl/>
        </w:rPr>
        <w:t>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0FC10B63" w14:textId="77777777" w:rsidR="00AE421E" w:rsidRPr="000B78A7" w:rsidRDefault="00AE421E" w:rsidP="00AE421E">
      <w:pPr>
        <w:pStyle w:val="p44"/>
        <w:bidi/>
        <w:spacing w:before="0" w:beforeAutospacing="0" w:after="0" w:afterAutospacing="0"/>
        <w:ind w:left="1928" w:right="1134"/>
        <w:jc w:val="both"/>
        <w:rPr>
          <w:rFonts w:ascii="David" w:hAnsi="David" w:cs="David"/>
          <w:b/>
          <w:bCs/>
          <w:color w:val="000000"/>
          <w:rtl/>
        </w:rPr>
      </w:pPr>
      <w:r w:rsidRPr="000B78A7">
        <w:rPr>
          <w:rStyle w:val="default"/>
          <w:rFonts w:ascii="David" w:hAnsi="David" w:cs="David"/>
          <w:b/>
          <w:bCs/>
          <w:color w:val="000000"/>
          <w:rtl/>
        </w:rPr>
        <w:t>(אא) האמצעים להשגת הרכוש היו חוקיים;</w:t>
      </w:r>
    </w:p>
    <w:p w14:paraId="7BDE8FA1" w14:textId="77777777" w:rsidR="00AE421E" w:rsidRPr="000B78A7" w:rsidRDefault="00AE421E" w:rsidP="00AE421E">
      <w:pPr>
        <w:pStyle w:val="p44"/>
        <w:bidi/>
        <w:spacing w:before="0" w:beforeAutospacing="0" w:after="0" w:afterAutospacing="0"/>
        <w:ind w:left="1928" w:right="1134"/>
        <w:jc w:val="both"/>
        <w:rPr>
          <w:rFonts w:ascii="David" w:hAnsi="David" w:cs="David"/>
          <w:b/>
          <w:bCs/>
          <w:color w:val="000000"/>
          <w:rtl/>
        </w:rPr>
      </w:pPr>
      <w:r w:rsidRPr="000B78A7">
        <w:rPr>
          <w:rStyle w:val="default"/>
          <w:rFonts w:ascii="David" w:hAnsi="David" w:cs="David"/>
          <w:b/>
          <w:bCs/>
          <w:color w:val="000000"/>
          <w:rtl/>
        </w:rPr>
        <w:t>(בב) הרכוש הגיע לידיו או לידי בעליו לא מאוחר משמונה שנים שקדמו ליום הגשת כתב האישום בשל העבירה שעליה נדון;</w:t>
      </w:r>
    </w:p>
    <w:p w14:paraId="24391C4F" w14:textId="77777777" w:rsidR="00AE421E" w:rsidRPr="000B78A7" w:rsidRDefault="00AE421E" w:rsidP="00AE421E">
      <w:pPr>
        <w:pStyle w:val="p33"/>
        <w:bidi/>
        <w:spacing w:before="0" w:beforeAutospacing="0" w:after="0" w:afterAutospacing="0"/>
        <w:ind w:left="1474" w:right="1134"/>
        <w:jc w:val="both"/>
        <w:rPr>
          <w:rFonts w:ascii="David" w:hAnsi="David" w:cs="David"/>
          <w:color w:val="000000"/>
          <w:sz w:val="20"/>
          <w:szCs w:val="20"/>
          <w:rtl/>
        </w:rPr>
      </w:pPr>
      <w:r w:rsidRPr="000B78A7">
        <w:rPr>
          <w:rStyle w:val="default"/>
          <w:rFonts w:ascii="David" w:hAnsi="David" w:cs="David"/>
          <w:b/>
          <w:bCs/>
          <w:color w:val="000000"/>
          <w:rtl/>
        </w:rPr>
        <w:t>(ב)</w:t>
      </w:r>
      <w:r w:rsidR="0029639B">
        <w:rPr>
          <w:rStyle w:val="default"/>
          <w:rFonts w:ascii="David" w:hAnsi="David" w:cs="David"/>
          <w:b/>
          <w:bCs/>
          <w:color w:val="000000"/>
          <w:rtl/>
        </w:rPr>
        <w:t xml:space="preserve"> </w:t>
      </w:r>
      <w:r w:rsidRPr="000B78A7">
        <w:rPr>
          <w:rStyle w:val="default"/>
          <w:rFonts w:ascii="David" w:hAnsi="David" w:cs="David"/>
          <w:b/>
          <w:bCs/>
          <w:color w:val="000000"/>
          <w:rtl/>
        </w:rPr>
        <w:t>כל רכוש שנמצא בחזקתו או בחשבונו של הנידון ייראה כרכוש שלו אלא אם כן הוכיח שהרכוש הוא של זולתו, שאינו אחד האנשים המפורטים בפסקה (א).</w:t>
      </w:r>
    </w:p>
    <w:p w14:paraId="3DFFD040" w14:textId="77777777" w:rsidR="00AE421E" w:rsidRPr="000B78A7" w:rsidRDefault="00AE421E" w:rsidP="00AE421E">
      <w:pPr>
        <w:spacing w:line="360" w:lineRule="auto"/>
        <w:rPr>
          <w:rFonts w:ascii="David" w:hAnsi="David"/>
          <w:rtl/>
        </w:rPr>
      </w:pPr>
      <w:r w:rsidRPr="000B78A7">
        <w:rPr>
          <w:rFonts w:ascii="David" w:hAnsi="David"/>
          <w:rtl/>
        </w:rPr>
        <w:tab/>
      </w:r>
    </w:p>
    <w:p w14:paraId="19E50104" w14:textId="77777777" w:rsidR="00AE421E" w:rsidRDefault="00AE421E" w:rsidP="00AE421E">
      <w:pPr>
        <w:spacing w:line="360" w:lineRule="auto"/>
        <w:ind w:left="720"/>
        <w:jc w:val="both"/>
        <w:rPr>
          <w:rFonts w:ascii="David" w:hAnsi="David"/>
          <w:rtl/>
        </w:rPr>
      </w:pPr>
      <w:r w:rsidRPr="000B78A7">
        <w:rPr>
          <w:rFonts w:ascii="David" w:hAnsi="David" w:hint="cs"/>
          <w:rtl/>
        </w:rPr>
        <w:t>במקרה הנדון, הכסף נתפס בחזקתו של הנאשם, אשר הוכרז כסוחר סמים. הנאשם לא טען דבר ביחס לאמצעים חוקיים ששימשו אותו להשגת הרכוש, וכן לא השמיע טענה כי הרכוש הגיע לידיו לא מאוחר משמונה שנים שקדמו ליום הגשת כתב האישום. כך, הנאשם לא טען כל דבר כנגד החזקה הקיימת בפקודת הסמים ולפיכך יש לראות בכסף כרכוש הנאשם שהושג בעבירת עסקת סמים. הוראת החו</w:t>
      </w:r>
      <w:r>
        <w:rPr>
          <w:rFonts w:ascii="David" w:hAnsi="David" w:hint="cs"/>
          <w:rtl/>
        </w:rPr>
        <w:t>ק ברורה ואינה נתונה לשיקול דעת:</w:t>
      </w:r>
    </w:p>
    <w:p w14:paraId="0164C129" w14:textId="77777777" w:rsidR="00AE421E" w:rsidRPr="000B78A7" w:rsidRDefault="00AE421E" w:rsidP="00AE421E">
      <w:pPr>
        <w:spacing w:line="360" w:lineRule="auto"/>
        <w:ind w:left="720"/>
        <w:jc w:val="both"/>
        <w:rPr>
          <w:rFonts w:ascii="David" w:hAnsi="David"/>
          <w:rtl/>
        </w:rPr>
      </w:pPr>
    </w:p>
    <w:p w14:paraId="1152F90C" w14:textId="77777777" w:rsidR="00AE421E" w:rsidRPr="000B78A7" w:rsidRDefault="00AE421E" w:rsidP="00AE421E">
      <w:pPr>
        <w:ind w:left="1361" w:right="1134"/>
        <w:jc w:val="both"/>
        <w:rPr>
          <w:rFonts w:ascii="David" w:hAnsi="David"/>
          <w:color w:val="000000"/>
          <w:rtl/>
        </w:rPr>
      </w:pPr>
      <w:r w:rsidRPr="00EB79AB">
        <w:rPr>
          <w:rFonts w:ascii="David" w:hAnsi="David" w:hint="cs"/>
          <w:color w:val="000000"/>
          <w:rtl/>
        </w:rPr>
        <w:t>"</w:t>
      </w:r>
      <w:r w:rsidRPr="000B78A7">
        <w:rPr>
          <w:rFonts w:ascii="David" w:hAnsi="David"/>
          <w:b/>
          <w:bCs/>
          <w:color w:val="000000"/>
          <w:rtl/>
        </w:rPr>
        <w:t>פקודת הסמים למעשה קובעת כי די בכך שקיים כסף "שחור" כלשהו, על מנת "לצבוע" את כלל נכסיו של סוחר סמים בגוונים עברייניים, וכי הנטל יוטל על העבריין להוכיח אח</w:t>
      </w:r>
      <w:r w:rsidRPr="000B78A7">
        <w:rPr>
          <w:rFonts w:ascii="David" w:hAnsi="David" w:hint="cs"/>
          <w:b/>
          <w:bCs/>
          <w:color w:val="000000"/>
          <w:rtl/>
        </w:rPr>
        <w:t>רת</w:t>
      </w:r>
      <w:r>
        <w:rPr>
          <w:rFonts w:ascii="David" w:hAnsi="David" w:hint="cs"/>
          <w:color w:val="000000"/>
          <w:rtl/>
        </w:rPr>
        <w:t>"</w:t>
      </w:r>
    </w:p>
    <w:p w14:paraId="3728E8D9" w14:textId="77777777" w:rsidR="00AE421E" w:rsidRPr="000B78A7" w:rsidRDefault="00AE421E" w:rsidP="00AE421E">
      <w:pPr>
        <w:ind w:left="1361" w:right="1134"/>
        <w:jc w:val="both"/>
        <w:rPr>
          <w:rFonts w:ascii="David" w:hAnsi="David"/>
          <w:rtl/>
        </w:rPr>
      </w:pPr>
      <w:r w:rsidRPr="000B78A7">
        <w:rPr>
          <w:rFonts w:ascii="David" w:hAnsi="David" w:hint="cs"/>
          <w:color w:val="000000"/>
          <w:rtl/>
        </w:rPr>
        <w:t>(</w:t>
      </w:r>
      <w:hyperlink r:id="rId41" w:history="1">
        <w:r w:rsidRPr="000B78A7">
          <w:rPr>
            <w:rStyle w:val="Hyperlink"/>
            <w:rFonts w:ascii="David" w:hAnsi="David"/>
            <w:rtl/>
          </w:rPr>
          <w:t>ע"פ 5686/19</w:t>
        </w:r>
        <w:r w:rsidR="0029639B">
          <w:rPr>
            <w:rStyle w:val="Hyperlink"/>
            <w:rFonts w:ascii="David" w:hAnsi="David"/>
            <w:rtl/>
          </w:rPr>
          <w:t xml:space="preserve"> </w:t>
        </w:r>
        <w:r w:rsidRPr="000B78A7">
          <w:rPr>
            <w:rStyle w:val="Hyperlink"/>
            <w:rFonts w:ascii="David" w:hAnsi="David"/>
            <w:b/>
            <w:bCs/>
            <w:rtl/>
          </w:rPr>
          <w:t>אמיל רפאלוב נ' מדינת ישרא</w:t>
        </w:r>
        <w:r w:rsidRPr="000B78A7">
          <w:rPr>
            <w:rStyle w:val="Hyperlink"/>
            <w:rFonts w:ascii="David" w:hAnsi="David" w:hint="cs"/>
            <w:b/>
            <w:bCs/>
            <w:rtl/>
          </w:rPr>
          <w:t>ל</w:t>
        </w:r>
        <w:r w:rsidRPr="00EB79AB">
          <w:rPr>
            <w:rStyle w:val="Hyperlink"/>
            <w:rFonts w:ascii="David" w:hAnsi="David" w:hint="cs"/>
            <w:rtl/>
          </w:rPr>
          <w:t>,</w:t>
        </w:r>
        <w:r w:rsidRPr="000B78A7">
          <w:rPr>
            <w:rStyle w:val="Hyperlink"/>
            <w:rFonts w:ascii="David" w:hAnsi="David"/>
            <w:rtl/>
          </w:rPr>
          <w:t xml:space="preserve"> פסקה 41 (20.06.2021)‏</w:t>
        </w:r>
      </w:hyperlink>
      <w:r w:rsidRPr="000B78A7">
        <w:rPr>
          <w:rFonts w:ascii="David" w:hAnsi="David"/>
          <w:rtl/>
        </w:rPr>
        <w:t>‏)</w:t>
      </w:r>
      <w:r w:rsidRPr="000B78A7">
        <w:rPr>
          <w:rFonts w:ascii="David" w:hAnsi="David" w:hint="cs"/>
          <w:rtl/>
        </w:rPr>
        <w:t>.</w:t>
      </w:r>
    </w:p>
    <w:p w14:paraId="3779A79C" w14:textId="77777777" w:rsidR="00AE421E" w:rsidRPr="000B78A7" w:rsidRDefault="00AE421E" w:rsidP="00AE421E">
      <w:pPr>
        <w:spacing w:line="360" w:lineRule="auto"/>
        <w:ind w:left="1361" w:right="1134"/>
        <w:rPr>
          <w:rFonts w:ascii="David" w:hAnsi="David"/>
          <w:rtl/>
        </w:rPr>
      </w:pPr>
    </w:p>
    <w:p w14:paraId="511FD480" w14:textId="77777777" w:rsidR="00AE421E" w:rsidRPr="000B78A7" w:rsidRDefault="00AF7C7E" w:rsidP="00AE421E">
      <w:pPr>
        <w:spacing w:line="360" w:lineRule="auto"/>
        <w:ind w:left="720"/>
        <w:jc w:val="both"/>
        <w:rPr>
          <w:rFonts w:ascii="David" w:hAnsi="David"/>
          <w:rtl/>
        </w:rPr>
      </w:pPr>
      <w:hyperlink r:id="rId42" w:history="1">
        <w:r w:rsidRPr="00AF7C7E">
          <w:rPr>
            <w:rStyle w:val="Hyperlink"/>
            <w:rFonts w:ascii="David" w:hAnsi="David" w:hint="eastAsia"/>
            <w:rtl/>
          </w:rPr>
          <w:t>סעיף</w:t>
        </w:r>
        <w:r w:rsidRPr="00AF7C7E">
          <w:rPr>
            <w:rStyle w:val="Hyperlink"/>
            <w:rFonts w:ascii="David" w:hAnsi="David"/>
            <w:rtl/>
          </w:rPr>
          <w:t xml:space="preserve"> 36א(א)</w:t>
        </w:r>
      </w:hyperlink>
      <w:r w:rsidR="00AE421E" w:rsidRPr="000B78A7">
        <w:rPr>
          <w:rFonts w:ascii="David" w:hAnsi="David" w:hint="cs"/>
          <w:rtl/>
        </w:rPr>
        <w:t xml:space="preserve"> לפקודת הסמים מורה כי בית המשפט "</w:t>
      </w:r>
      <w:r w:rsidR="00AE421E" w:rsidRPr="000B78A7">
        <w:rPr>
          <w:rFonts w:ascii="David" w:hAnsi="David" w:hint="cs"/>
          <w:b/>
          <w:bCs/>
          <w:rtl/>
        </w:rPr>
        <w:t>יצווה</w:t>
      </w:r>
      <w:r w:rsidR="00AE421E" w:rsidRPr="000B78A7">
        <w:rPr>
          <w:rFonts w:ascii="David" w:hAnsi="David" w:hint="cs"/>
          <w:rtl/>
        </w:rPr>
        <w:t>" על חילוט רכוש זה, "</w:t>
      </w:r>
      <w:r w:rsidR="00AE421E" w:rsidRPr="000B78A7">
        <w:rPr>
          <w:rFonts w:ascii="David" w:hAnsi="David" w:hint="cs"/>
          <w:b/>
          <w:bCs/>
          <w:rtl/>
        </w:rPr>
        <w:t>זולת אם סבר שלא לעשות כן מנימוקים מיוחדים שיפרט</w:t>
      </w:r>
      <w:r w:rsidR="00AE421E" w:rsidRPr="000B78A7">
        <w:rPr>
          <w:rFonts w:ascii="David" w:hAnsi="David" w:hint="cs"/>
          <w:rtl/>
        </w:rPr>
        <w:t xml:space="preserve">". לא נמצאה ראשית הנמקה, ודאי שלא הנמקה מיוחדת, להימנע מחילוט כל סכום הכסף שנתפס. קביעה זו מקבלת משנה תוקף לנוכח שתיקת הנאשם באשר למקור הכסף והעובדה שנמנע מלטעון כל טענה שיש בה כדי לכרסם בחזקה הקבוע בפקודת הסמים. לפיכך, יש להורות על חילוט סכום הכסף במלואו. </w:t>
      </w:r>
    </w:p>
    <w:p w14:paraId="4D28219E" w14:textId="77777777" w:rsidR="00AE421E" w:rsidRPr="000B78A7" w:rsidRDefault="00AE421E" w:rsidP="00AE421E">
      <w:pPr>
        <w:spacing w:line="360" w:lineRule="auto"/>
        <w:ind w:left="720"/>
        <w:jc w:val="both"/>
        <w:rPr>
          <w:rFonts w:ascii="David" w:hAnsi="David"/>
          <w:rtl/>
        </w:rPr>
      </w:pPr>
      <w:r w:rsidRPr="000B78A7">
        <w:rPr>
          <w:rFonts w:ascii="David" w:hAnsi="David" w:hint="cs"/>
          <w:rtl/>
        </w:rPr>
        <w:t xml:space="preserve"> </w:t>
      </w:r>
    </w:p>
    <w:p w14:paraId="179E928D" w14:textId="77777777" w:rsidR="00AE421E" w:rsidRPr="000B78A7" w:rsidRDefault="00AE421E" w:rsidP="00AE421E">
      <w:pPr>
        <w:pStyle w:val="a9"/>
        <w:numPr>
          <w:ilvl w:val="0"/>
          <w:numId w:val="1"/>
        </w:numPr>
        <w:spacing w:line="360" w:lineRule="auto"/>
        <w:jc w:val="both"/>
        <w:rPr>
          <w:rFonts w:ascii="David" w:hAnsi="David"/>
          <w:rtl/>
        </w:rPr>
      </w:pPr>
      <w:r w:rsidRPr="000B78A7">
        <w:rPr>
          <w:rFonts w:ascii="David" w:hAnsi="David"/>
          <w:rtl/>
        </w:rPr>
        <w:t xml:space="preserve">לאחר ששקלתי את כל האמור לעיל, החלטתי להטיל על הנאשם את העונשים הבאים: </w:t>
      </w:r>
    </w:p>
    <w:p w14:paraId="3968F122" w14:textId="77777777" w:rsidR="00AE421E" w:rsidRPr="000B78A7" w:rsidRDefault="00AE421E" w:rsidP="00AE421E">
      <w:pPr>
        <w:pStyle w:val="a9"/>
        <w:numPr>
          <w:ilvl w:val="0"/>
          <w:numId w:val="2"/>
        </w:numPr>
        <w:spacing w:line="360" w:lineRule="auto"/>
        <w:jc w:val="both"/>
        <w:rPr>
          <w:rFonts w:ascii="David" w:hAnsi="David"/>
        </w:rPr>
      </w:pPr>
      <w:r w:rsidRPr="000B78A7">
        <w:rPr>
          <w:rFonts w:ascii="David" w:hAnsi="David" w:hint="cs"/>
          <w:rtl/>
        </w:rPr>
        <w:t>9</w:t>
      </w:r>
      <w:r w:rsidRPr="000B78A7">
        <w:rPr>
          <w:rFonts w:ascii="David" w:hAnsi="David"/>
          <w:rtl/>
        </w:rPr>
        <w:t xml:space="preserve"> חודשי מאסר </w:t>
      </w:r>
      <w:r w:rsidRPr="000B78A7">
        <w:rPr>
          <w:rFonts w:ascii="David" w:hAnsi="David" w:hint="cs"/>
          <w:rtl/>
        </w:rPr>
        <w:t>בפועל.</w:t>
      </w:r>
    </w:p>
    <w:p w14:paraId="09F76AE3" w14:textId="77777777" w:rsidR="00AE421E" w:rsidRPr="000B78A7" w:rsidRDefault="00AE421E" w:rsidP="00AE421E">
      <w:pPr>
        <w:pStyle w:val="a9"/>
        <w:numPr>
          <w:ilvl w:val="0"/>
          <w:numId w:val="2"/>
        </w:numPr>
        <w:spacing w:line="360" w:lineRule="auto"/>
        <w:jc w:val="both"/>
        <w:rPr>
          <w:rFonts w:ascii="David" w:hAnsi="David"/>
        </w:rPr>
      </w:pPr>
      <w:r w:rsidRPr="000B78A7">
        <w:rPr>
          <w:rFonts w:ascii="David" w:hAnsi="David" w:hint="cs"/>
          <w:rtl/>
        </w:rPr>
        <w:t xml:space="preserve">אני מורה על </w:t>
      </w:r>
      <w:r w:rsidRPr="000B78A7">
        <w:rPr>
          <w:rFonts w:ascii="David" w:hAnsi="David"/>
          <w:rtl/>
        </w:rPr>
        <w:t xml:space="preserve">הפעלת המאסר המותנה </w:t>
      </w:r>
      <w:r w:rsidRPr="000B78A7">
        <w:rPr>
          <w:rFonts w:ascii="David" w:hAnsi="David" w:hint="cs"/>
          <w:rtl/>
        </w:rPr>
        <w:t xml:space="preserve">שהוטל על הנאשם במסגרת </w:t>
      </w:r>
      <w:hyperlink r:id="rId43" w:history="1">
        <w:r w:rsidR="0029639B" w:rsidRPr="0029639B">
          <w:rPr>
            <w:rFonts w:ascii="David" w:hAnsi="David"/>
            <w:color w:val="0000FF"/>
            <w:u w:val="single"/>
            <w:rtl/>
          </w:rPr>
          <w:t>ת"פ 9243-01-20</w:t>
        </w:r>
      </w:hyperlink>
      <w:r>
        <w:rPr>
          <w:rFonts w:ascii="David" w:hAnsi="David" w:hint="cs"/>
          <w:rtl/>
        </w:rPr>
        <w:t xml:space="preserve"> </w:t>
      </w:r>
      <w:r w:rsidRPr="000B78A7">
        <w:rPr>
          <w:rFonts w:ascii="David" w:hAnsi="David" w:hint="cs"/>
          <w:rtl/>
        </w:rPr>
        <w:t xml:space="preserve">אשר משכו </w:t>
      </w:r>
      <w:r w:rsidRPr="000B78A7">
        <w:rPr>
          <w:rFonts w:ascii="David" w:hAnsi="David"/>
          <w:rtl/>
        </w:rPr>
        <w:t>3 חודשים</w:t>
      </w:r>
      <w:r w:rsidRPr="000B78A7">
        <w:rPr>
          <w:rFonts w:ascii="David" w:hAnsi="David" w:hint="cs"/>
          <w:rtl/>
        </w:rPr>
        <w:t>,</w:t>
      </w:r>
      <w:r w:rsidRPr="000B78A7">
        <w:rPr>
          <w:rFonts w:ascii="David" w:hAnsi="David"/>
          <w:rtl/>
        </w:rPr>
        <w:t xml:space="preserve"> כך שירוצה במצטבר לעונש זה.</w:t>
      </w:r>
      <w:r w:rsidRPr="000B78A7">
        <w:rPr>
          <w:rFonts w:ascii="David" w:hAnsi="David" w:hint="cs"/>
          <w:rtl/>
        </w:rPr>
        <w:t xml:space="preserve"> </w:t>
      </w:r>
    </w:p>
    <w:p w14:paraId="73CC4F84" w14:textId="77777777" w:rsidR="00AE421E" w:rsidRPr="000B78A7" w:rsidRDefault="00AE421E" w:rsidP="00AE421E">
      <w:pPr>
        <w:pStyle w:val="a9"/>
        <w:spacing w:line="360" w:lineRule="auto"/>
        <w:ind w:left="1080"/>
        <w:jc w:val="both"/>
        <w:rPr>
          <w:rFonts w:ascii="David" w:hAnsi="David"/>
        </w:rPr>
      </w:pPr>
      <w:r w:rsidRPr="000B78A7">
        <w:rPr>
          <w:rFonts w:ascii="David" w:hAnsi="David"/>
          <w:rtl/>
        </w:rPr>
        <w:t>בסך הכל ירצה הנאשם</w:t>
      </w:r>
      <w:r w:rsidRPr="000B78A7">
        <w:rPr>
          <w:rFonts w:ascii="David" w:hAnsi="David" w:hint="cs"/>
          <w:rtl/>
        </w:rPr>
        <w:t xml:space="preserve"> 12 </w:t>
      </w:r>
      <w:r w:rsidRPr="000B78A7">
        <w:rPr>
          <w:rFonts w:ascii="David" w:hAnsi="David"/>
          <w:rtl/>
        </w:rPr>
        <w:t>חודשי מאסר</w:t>
      </w:r>
      <w:r w:rsidRPr="000B78A7">
        <w:rPr>
          <w:rFonts w:ascii="David" w:hAnsi="David" w:hint="cs"/>
          <w:rtl/>
        </w:rPr>
        <w:t>, ב</w:t>
      </w:r>
      <w:r w:rsidRPr="000B78A7">
        <w:rPr>
          <w:rFonts w:ascii="David" w:hAnsi="David"/>
          <w:rtl/>
        </w:rPr>
        <w:t>ניכוי ימי מעצרו</w:t>
      </w:r>
      <w:r w:rsidRPr="000B78A7">
        <w:rPr>
          <w:rFonts w:ascii="David" w:hAnsi="David" w:hint="cs"/>
          <w:rtl/>
        </w:rPr>
        <w:t xml:space="preserve"> בין התאריכים </w:t>
      </w:r>
      <w:r>
        <w:rPr>
          <w:rFonts w:ascii="David" w:hAnsi="David" w:hint="cs"/>
          <w:rtl/>
        </w:rPr>
        <w:t>23.3.21 ועד 26.3.21.</w:t>
      </w:r>
    </w:p>
    <w:p w14:paraId="00137EFB" w14:textId="77777777" w:rsidR="00AE421E" w:rsidRPr="000B78A7" w:rsidRDefault="00AE421E" w:rsidP="00AE421E">
      <w:pPr>
        <w:pStyle w:val="a9"/>
        <w:numPr>
          <w:ilvl w:val="0"/>
          <w:numId w:val="2"/>
        </w:numPr>
        <w:spacing w:line="360" w:lineRule="auto"/>
        <w:jc w:val="both"/>
        <w:rPr>
          <w:rFonts w:ascii="David" w:hAnsi="David"/>
        </w:rPr>
      </w:pPr>
      <w:r w:rsidRPr="000B78A7">
        <w:rPr>
          <w:rFonts w:ascii="David" w:hAnsi="David" w:hint="cs"/>
          <w:rtl/>
        </w:rPr>
        <w:t xml:space="preserve">7 </w:t>
      </w:r>
      <w:r w:rsidRPr="000B78A7">
        <w:rPr>
          <w:rFonts w:ascii="David" w:hAnsi="David"/>
          <w:rtl/>
        </w:rPr>
        <w:t xml:space="preserve">חודשי מאסר, אותם לא ירצה אלא אם יעבור תוך שלוש שנים עבירת סמים מסוג פשע. </w:t>
      </w:r>
    </w:p>
    <w:p w14:paraId="06FB18C3" w14:textId="77777777" w:rsidR="00AE421E" w:rsidRPr="000B78A7" w:rsidRDefault="00AE421E" w:rsidP="00AE421E">
      <w:pPr>
        <w:pStyle w:val="a9"/>
        <w:numPr>
          <w:ilvl w:val="0"/>
          <w:numId w:val="2"/>
        </w:numPr>
        <w:spacing w:line="360" w:lineRule="auto"/>
        <w:jc w:val="both"/>
        <w:rPr>
          <w:rFonts w:ascii="David" w:hAnsi="David"/>
        </w:rPr>
      </w:pPr>
      <w:r w:rsidRPr="000B78A7">
        <w:rPr>
          <w:rFonts w:ascii="David" w:hAnsi="David" w:hint="cs"/>
          <w:rtl/>
        </w:rPr>
        <w:t xml:space="preserve">3 </w:t>
      </w:r>
      <w:r w:rsidRPr="000B78A7">
        <w:rPr>
          <w:rFonts w:ascii="David" w:hAnsi="David"/>
          <w:rtl/>
        </w:rPr>
        <w:t xml:space="preserve">חודשי מאסר, אותם לא ירצה אלא אם יעבור תוך שלוש שנים עבירת סמים מסוג עוון. </w:t>
      </w:r>
    </w:p>
    <w:p w14:paraId="69F19F72" w14:textId="77777777" w:rsidR="00AE421E" w:rsidRPr="000B78A7" w:rsidRDefault="00AE421E" w:rsidP="00AE421E">
      <w:pPr>
        <w:pStyle w:val="a9"/>
        <w:numPr>
          <w:ilvl w:val="0"/>
          <w:numId w:val="2"/>
        </w:numPr>
        <w:spacing w:line="360" w:lineRule="auto"/>
        <w:jc w:val="both"/>
        <w:rPr>
          <w:rFonts w:ascii="David" w:hAnsi="David"/>
        </w:rPr>
      </w:pPr>
      <w:r w:rsidRPr="000B78A7">
        <w:rPr>
          <w:rFonts w:ascii="David" w:hAnsi="David" w:hint="cs"/>
          <w:rtl/>
        </w:rPr>
        <w:t xml:space="preserve">קנס בסך 3,000 ₪ או חודש מאסר תמורתו. הקנס ישולם בחמישה תשלומים שווים החל מיום 1.2.23 ומידי חודש בחודשו. </w:t>
      </w:r>
    </w:p>
    <w:p w14:paraId="757EBF28" w14:textId="77777777" w:rsidR="00AE421E" w:rsidRPr="000B78A7" w:rsidRDefault="00AE421E" w:rsidP="00AE421E">
      <w:pPr>
        <w:pStyle w:val="a9"/>
        <w:numPr>
          <w:ilvl w:val="0"/>
          <w:numId w:val="2"/>
        </w:numPr>
        <w:spacing w:line="360" w:lineRule="auto"/>
        <w:jc w:val="both"/>
        <w:rPr>
          <w:rFonts w:ascii="David" w:hAnsi="David"/>
        </w:rPr>
      </w:pPr>
      <w:r w:rsidRPr="000B78A7">
        <w:rPr>
          <w:rFonts w:ascii="David" w:hAnsi="David" w:hint="cs"/>
          <w:rtl/>
        </w:rPr>
        <w:t xml:space="preserve">אני מורה על </w:t>
      </w:r>
      <w:r w:rsidRPr="000B78A7">
        <w:rPr>
          <w:rFonts w:ascii="David" w:hAnsi="David"/>
          <w:rtl/>
        </w:rPr>
        <w:t xml:space="preserve">חילוט </w:t>
      </w:r>
      <w:r>
        <w:rPr>
          <w:rFonts w:ascii="David" w:hAnsi="David" w:hint="cs"/>
          <w:rtl/>
        </w:rPr>
        <w:t>ה</w:t>
      </w:r>
      <w:r w:rsidRPr="000B78A7">
        <w:rPr>
          <w:rFonts w:ascii="David" w:hAnsi="David"/>
          <w:rtl/>
        </w:rPr>
        <w:t xml:space="preserve">כסף </w:t>
      </w:r>
      <w:r>
        <w:rPr>
          <w:rFonts w:ascii="David" w:hAnsi="David" w:hint="cs"/>
          <w:rtl/>
        </w:rPr>
        <w:t xml:space="preserve">שנתפס </w:t>
      </w:r>
      <w:r w:rsidRPr="000B78A7">
        <w:rPr>
          <w:rFonts w:ascii="David" w:hAnsi="David"/>
          <w:rtl/>
        </w:rPr>
        <w:t>בסך 33,440 ₪ וכן 500 דולר.</w:t>
      </w:r>
    </w:p>
    <w:p w14:paraId="1A785AFE" w14:textId="77777777" w:rsidR="00AE421E" w:rsidRPr="000B78A7" w:rsidRDefault="0029639B" w:rsidP="00AE421E">
      <w:pPr>
        <w:pStyle w:val="a9"/>
        <w:numPr>
          <w:ilvl w:val="0"/>
          <w:numId w:val="2"/>
        </w:numPr>
        <w:spacing w:line="360" w:lineRule="auto"/>
        <w:jc w:val="both"/>
        <w:rPr>
          <w:rFonts w:ascii="David" w:hAnsi="David"/>
        </w:rPr>
      </w:pPr>
      <w:r w:rsidRPr="0029639B">
        <w:rPr>
          <w:rFonts w:ascii="David" w:hAnsi="David"/>
          <w:color w:val="FFFFFF"/>
          <w:sz w:val="2"/>
          <w:szCs w:val="2"/>
          <w:rtl/>
        </w:rPr>
        <w:t>5129371</w:t>
      </w:r>
      <w:r w:rsidR="00AE421E" w:rsidRPr="000B78A7">
        <w:rPr>
          <w:rFonts w:ascii="David" w:hAnsi="David" w:hint="cs"/>
          <w:rtl/>
        </w:rPr>
        <w:t xml:space="preserve">הסמים יושמדו. מוצגים נוספים יושבו לבעליהם ובהיעדר בעלים יחולטו או יושמדו בהתאם לשיקול דעת קצין משטרה. </w:t>
      </w:r>
    </w:p>
    <w:p w14:paraId="164786B0" w14:textId="77777777" w:rsidR="00AE421E" w:rsidRPr="000B78A7" w:rsidRDefault="0029639B" w:rsidP="00AE421E">
      <w:pPr>
        <w:spacing w:line="360" w:lineRule="auto"/>
        <w:rPr>
          <w:rFonts w:ascii="David" w:hAnsi="David"/>
          <w:rtl/>
        </w:rPr>
      </w:pPr>
      <w:r w:rsidRPr="0029639B">
        <w:rPr>
          <w:rFonts w:ascii="David" w:hAnsi="David"/>
          <w:b/>
          <w:bCs/>
          <w:color w:val="FFFFFF"/>
          <w:sz w:val="2"/>
          <w:szCs w:val="2"/>
          <w:rtl/>
        </w:rPr>
        <w:t>54678313</w:t>
      </w:r>
      <w:r w:rsidR="00AE421E" w:rsidRPr="000B78A7">
        <w:rPr>
          <w:rFonts w:ascii="David" w:hAnsi="David" w:hint="cs"/>
          <w:b/>
          <w:bCs/>
          <w:rtl/>
        </w:rPr>
        <w:t>זכות ערעור לבית המשפט המחוזי תוך 45 ימים מהיום</w:t>
      </w:r>
      <w:r w:rsidR="00AE421E">
        <w:rPr>
          <w:rFonts w:ascii="David" w:hAnsi="David" w:hint="cs"/>
          <w:rtl/>
        </w:rPr>
        <w:t>.</w:t>
      </w:r>
    </w:p>
    <w:p w14:paraId="5106BB32" w14:textId="77777777" w:rsidR="00AE421E" w:rsidRPr="000B78A7" w:rsidRDefault="00AE421E" w:rsidP="00AE421E">
      <w:pPr>
        <w:rPr>
          <w:rFonts w:ascii="David" w:hAnsi="David"/>
          <w:rtl/>
        </w:rPr>
      </w:pPr>
    </w:p>
    <w:p w14:paraId="0A483BEB" w14:textId="77777777" w:rsidR="00AE421E" w:rsidRPr="000B78A7" w:rsidRDefault="0029639B" w:rsidP="0029639B">
      <w:pPr>
        <w:jc w:val="center"/>
      </w:pPr>
      <w:bookmarkStart w:id="10" w:name="Nitan"/>
      <w:r>
        <w:rPr>
          <w:rFonts w:ascii="David" w:hAnsi="David"/>
          <w:rtl/>
        </w:rPr>
        <w:t xml:space="preserve">ניתן היום, כ"ט חשוון תשפ"ג, 23 נובמבר 2022, במעמד הצדדים. </w:t>
      </w:r>
      <w:bookmarkEnd w:id="10"/>
      <w:r w:rsidR="00AE421E" w:rsidRPr="000B78A7">
        <w:rPr>
          <w:rFonts w:ascii="David" w:hAnsi="David" w:hint="cs"/>
          <w:rtl/>
        </w:rPr>
        <w:t xml:space="preserve">   </w:t>
      </w:r>
      <w:r w:rsidR="00AE421E" w:rsidRPr="000B78A7">
        <w:rPr>
          <w:rFonts w:ascii="David" w:hAnsi="David" w:hint="cs"/>
          <w:rtl/>
        </w:rPr>
        <w:tab/>
      </w:r>
      <w:r w:rsidR="00AE421E" w:rsidRPr="000B78A7">
        <w:rPr>
          <w:rFonts w:ascii="David" w:hAnsi="David" w:hint="cs"/>
          <w:rtl/>
        </w:rPr>
        <w:tab/>
      </w:r>
      <w:r w:rsidR="00AE421E" w:rsidRPr="000B78A7">
        <w:rPr>
          <w:rFonts w:ascii="David" w:hAnsi="David" w:hint="cs"/>
          <w:rtl/>
        </w:rPr>
        <w:tab/>
      </w:r>
      <w:r w:rsidR="00AE421E" w:rsidRPr="000B78A7">
        <w:rPr>
          <w:rFonts w:ascii="David" w:hAnsi="David" w:hint="cs"/>
          <w:rtl/>
        </w:rPr>
        <w:tab/>
      </w:r>
      <w:r w:rsidR="00AE421E" w:rsidRPr="000B78A7">
        <w:rPr>
          <w:rFonts w:ascii="David" w:hAnsi="David" w:hint="cs"/>
          <w:rtl/>
        </w:rPr>
        <w:tab/>
      </w:r>
    </w:p>
    <w:p w14:paraId="102F562E" w14:textId="77777777" w:rsidR="00AE421E" w:rsidRPr="000B78A7" w:rsidRDefault="00AE421E" w:rsidP="00AE421E">
      <w:pPr>
        <w:jc w:val="center"/>
        <w:rPr>
          <w:rFonts w:ascii="David" w:hAnsi="David"/>
          <w:rtl/>
        </w:rPr>
      </w:pPr>
    </w:p>
    <w:p w14:paraId="0309D1D8" w14:textId="77777777" w:rsidR="00AE421E" w:rsidRPr="000B78A7" w:rsidRDefault="00AE421E" w:rsidP="00AE421E">
      <w:pPr>
        <w:pStyle w:val="a3"/>
        <w:jc w:val="center"/>
        <w:rPr>
          <w:rFonts w:ascii="David" w:hAnsi="David"/>
          <w:rtl/>
        </w:rPr>
      </w:pPr>
    </w:p>
    <w:p w14:paraId="2AC4089D" w14:textId="77777777" w:rsidR="00493524" w:rsidRPr="0029639B" w:rsidRDefault="00493524" w:rsidP="0029639B">
      <w:pPr>
        <w:keepNext/>
        <w:rPr>
          <w:rFonts w:ascii="David" w:hAnsi="David"/>
          <w:color w:val="000000"/>
          <w:sz w:val="22"/>
          <w:szCs w:val="22"/>
          <w:rtl/>
        </w:rPr>
      </w:pPr>
    </w:p>
    <w:p w14:paraId="3D8B2AE8" w14:textId="77777777" w:rsidR="0029639B" w:rsidRPr="0029639B" w:rsidRDefault="0029639B" w:rsidP="0029639B">
      <w:pPr>
        <w:keepNext/>
        <w:rPr>
          <w:rFonts w:ascii="David" w:hAnsi="David"/>
          <w:color w:val="000000"/>
          <w:sz w:val="22"/>
          <w:szCs w:val="22"/>
          <w:rtl/>
        </w:rPr>
      </w:pPr>
      <w:r w:rsidRPr="0029639B">
        <w:rPr>
          <w:rFonts w:ascii="David" w:hAnsi="David"/>
          <w:color w:val="000000"/>
          <w:sz w:val="22"/>
          <w:szCs w:val="22"/>
          <w:rtl/>
        </w:rPr>
        <w:t>איתן קורנהאוזר 54678313</w:t>
      </w:r>
    </w:p>
    <w:p w14:paraId="1EF9D5C8" w14:textId="77777777" w:rsidR="0029639B" w:rsidRDefault="0029639B" w:rsidP="0029639B">
      <w:r w:rsidRPr="0029639B">
        <w:rPr>
          <w:color w:val="000000"/>
          <w:rtl/>
        </w:rPr>
        <w:t>נוסח מסמך זה כפוף לשינויי ניסוח ועריכה</w:t>
      </w:r>
    </w:p>
    <w:p w14:paraId="718B28C7" w14:textId="77777777" w:rsidR="0029639B" w:rsidRDefault="0029639B" w:rsidP="0029639B">
      <w:pPr>
        <w:rPr>
          <w:rtl/>
        </w:rPr>
      </w:pPr>
    </w:p>
    <w:p w14:paraId="02A8534E" w14:textId="77777777" w:rsidR="0029639B" w:rsidRDefault="0029639B" w:rsidP="0029639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E90984D" w14:textId="77777777" w:rsidR="0029639B" w:rsidRPr="0029639B" w:rsidRDefault="0029639B" w:rsidP="0029639B">
      <w:pPr>
        <w:jc w:val="center"/>
        <w:rPr>
          <w:color w:val="0000FF"/>
          <w:u w:val="single"/>
        </w:rPr>
      </w:pPr>
    </w:p>
    <w:sectPr w:rsidR="0029639B" w:rsidRPr="0029639B" w:rsidSect="0029639B">
      <w:headerReference w:type="even" r:id="rId45"/>
      <w:headerReference w:type="default" r:id="rId46"/>
      <w:footerReference w:type="even" r:id="rId47"/>
      <w:footerReference w:type="default" r:id="rId4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2F8A4" w14:textId="77777777" w:rsidR="00FD3E3A" w:rsidRDefault="00FD3E3A" w:rsidP="00C55CDB">
      <w:r>
        <w:separator/>
      </w:r>
    </w:p>
  </w:endnote>
  <w:endnote w:type="continuationSeparator" w:id="0">
    <w:p w14:paraId="39959444" w14:textId="77777777" w:rsidR="00FD3E3A" w:rsidRDefault="00FD3E3A" w:rsidP="00C5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CAA0D" w14:textId="77777777" w:rsidR="0029639B" w:rsidRDefault="0029639B" w:rsidP="002963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D458D7" w14:textId="77777777" w:rsidR="007D1545" w:rsidRPr="0029639B" w:rsidRDefault="0029639B" w:rsidP="002963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23855" w14:textId="77777777" w:rsidR="0029639B" w:rsidRDefault="0029639B" w:rsidP="002963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459D">
      <w:rPr>
        <w:rFonts w:ascii="FrankRuehl" w:hAnsi="FrankRuehl" w:cs="FrankRuehl"/>
        <w:noProof/>
        <w:rtl/>
      </w:rPr>
      <w:t>1</w:t>
    </w:r>
    <w:r>
      <w:rPr>
        <w:rFonts w:ascii="FrankRuehl" w:hAnsi="FrankRuehl" w:cs="FrankRuehl"/>
        <w:rtl/>
      </w:rPr>
      <w:fldChar w:fldCharType="end"/>
    </w:r>
  </w:p>
  <w:p w14:paraId="33A7E308" w14:textId="77777777" w:rsidR="007D1545" w:rsidRPr="0029639B" w:rsidRDefault="0029639B" w:rsidP="002963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1BC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FA583" w14:textId="77777777" w:rsidR="00FD3E3A" w:rsidRDefault="00FD3E3A" w:rsidP="00C55CDB">
      <w:r>
        <w:separator/>
      </w:r>
    </w:p>
  </w:footnote>
  <w:footnote w:type="continuationSeparator" w:id="0">
    <w:p w14:paraId="55B7BD5D" w14:textId="77777777" w:rsidR="00FD3E3A" w:rsidRDefault="00FD3E3A" w:rsidP="00C55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792ED" w14:textId="77777777" w:rsidR="0029639B" w:rsidRPr="0029639B" w:rsidRDefault="0029639B" w:rsidP="002963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62155-10-21</w:t>
    </w:r>
    <w:r>
      <w:rPr>
        <w:rFonts w:ascii="David" w:hAnsi="David"/>
        <w:color w:val="000000"/>
        <w:sz w:val="22"/>
        <w:szCs w:val="22"/>
        <w:rtl/>
      </w:rPr>
      <w:tab/>
      <w:t xml:space="preserve"> מדינת ישראל נ' </w:t>
    </w:r>
    <w:r>
      <w:rPr>
        <w:rFonts w:ascii="David" w:hAnsi="David"/>
        <w:color w:val="000000"/>
        <w:sz w:val="22"/>
        <w:szCs w:val="22"/>
      </w:rPr>
      <w:t>Asaad Abdalla Daoud Abdalla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0B8B3" w14:textId="77777777" w:rsidR="0029639B" w:rsidRPr="0029639B" w:rsidRDefault="0029639B" w:rsidP="002963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62155-10-21</w:t>
    </w:r>
    <w:r>
      <w:rPr>
        <w:rFonts w:ascii="David" w:hAnsi="David"/>
        <w:color w:val="000000"/>
        <w:sz w:val="22"/>
        <w:szCs w:val="22"/>
        <w:rtl/>
      </w:rPr>
      <w:tab/>
      <w:t xml:space="preserve"> מדינת ישראל נ' </w:t>
    </w:r>
    <w:r>
      <w:rPr>
        <w:rFonts w:ascii="David" w:hAnsi="David"/>
        <w:color w:val="000000"/>
        <w:sz w:val="22"/>
        <w:szCs w:val="22"/>
      </w:rPr>
      <w:t>Asaad Abdalla Daoud Abdalla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5C16"/>
    <w:multiLevelType w:val="hybridMultilevel"/>
    <w:tmpl w:val="615EDC12"/>
    <w:lvl w:ilvl="0" w:tplc="30BE3D04">
      <w:start w:val="1"/>
      <w:numFmt w:val="decimal"/>
      <w:lvlText w:val="%1."/>
      <w:lvlJc w:val="left"/>
      <w:pPr>
        <w:ind w:left="720" w:hanging="360"/>
      </w:pPr>
      <w:rPr>
        <w:color w:val="auto"/>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4A607E1"/>
    <w:multiLevelType w:val="hybridMultilevel"/>
    <w:tmpl w:val="5F3ABCB4"/>
    <w:lvl w:ilvl="0" w:tplc="B6DA5CB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29022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60311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421E"/>
    <w:rsid w:val="0002776D"/>
    <w:rsid w:val="00056C8F"/>
    <w:rsid w:val="001B5A3B"/>
    <w:rsid w:val="00200CEE"/>
    <w:rsid w:val="0029639B"/>
    <w:rsid w:val="00493524"/>
    <w:rsid w:val="004B2319"/>
    <w:rsid w:val="00552082"/>
    <w:rsid w:val="005A459D"/>
    <w:rsid w:val="007D1545"/>
    <w:rsid w:val="00A143A6"/>
    <w:rsid w:val="00AE421E"/>
    <w:rsid w:val="00AF7C7E"/>
    <w:rsid w:val="00B876C2"/>
    <w:rsid w:val="00C55CDB"/>
    <w:rsid w:val="00DE515D"/>
    <w:rsid w:val="00FD3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E24FF1"/>
  <w15:chartTrackingRefBased/>
  <w15:docId w15:val="{4D6EE293-6602-466A-8E87-5D833484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42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421E"/>
    <w:pPr>
      <w:tabs>
        <w:tab w:val="center" w:pos="4153"/>
        <w:tab w:val="right" w:pos="8306"/>
      </w:tabs>
    </w:pPr>
  </w:style>
  <w:style w:type="character" w:customStyle="1" w:styleId="a4">
    <w:name w:val="כותרת עליונה תו"/>
    <w:link w:val="a3"/>
    <w:rsid w:val="00AE421E"/>
    <w:rPr>
      <w:rFonts w:ascii="Times New Roman" w:eastAsia="Times New Roman" w:hAnsi="Times New Roman" w:cs="David"/>
      <w:sz w:val="24"/>
      <w:szCs w:val="24"/>
    </w:rPr>
  </w:style>
  <w:style w:type="paragraph" w:styleId="a5">
    <w:name w:val="footer"/>
    <w:basedOn w:val="a"/>
    <w:link w:val="a6"/>
    <w:rsid w:val="00AE421E"/>
    <w:pPr>
      <w:tabs>
        <w:tab w:val="center" w:pos="4153"/>
        <w:tab w:val="right" w:pos="8306"/>
      </w:tabs>
    </w:pPr>
  </w:style>
  <w:style w:type="character" w:customStyle="1" w:styleId="a6">
    <w:name w:val="כותרת תחתונה תו"/>
    <w:link w:val="a5"/>
    <w:rsid w:val="00AE421E"/>
    <w:rPr>
      <w:rFonts w:ascii="Times New Roman" w:eastAsia="Times New Roman" w:hAnsi="Times New Roman" w:cs="David"/>
      <w:sz w:val="24"/>
      <w:szCs w:val="24"/>
    </w:rPr>
  </w:style>
  <w:style w:type="table" w:styleId="a7">
    <w:name w:val="Table Grid"/>
    <w:basedOn w:val="a1"/>
    <w:rsid w:val="00AE42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421E"/>
  </w:style>
  <w:style w:type="character" w:styleId="Hyperlink">
    <w:name w:val="Hyperlink"/>
    <w:rsid w:val="00AE421E"/>
    <w:rPr>
      <w:color w:val="0000FF"/>
      <w:u w:val="single"/>
    </w:rPr>
  </w:style>
  <w:style w:type="paragraph" w:styleId="a9">
    <w:name w:val="List Paragraph"/>
    <w:basedOn w:val="a"/>
    <w:qFormat/>
    <w:rsid w:val="00AE421E"/>
    <w:pPr>
      <w:ind w:left="720"/>
      <w:contextualSpacing/>
    </w:pPr>
  </w:style>
  <w:style w:type="paragraph" w:customStyle="1" w:styleId="p00">
    <w:name w:val="p00"/>
    <w:basedOn w:val="a"/>
    <w:rsid w:val="00AE421E"/>
    <w:pPr>
      <w:bidi w:val="0"/>
      <w:spacing w:before="100" w:beforeAutospacing="1" w:after="100" w:afterAutospacing="1"/>
    </w:pPr>
    <w:rPr>
      <w:rFonts w:cs="Times New Roman"/>
    </w:rPr>
  </w:style>
  <w:style w:type="character" w:customStyle="1" w:styleId="big-number">
    <w:name w:val="big-number"/>
    <w:rsid w:val="00AE421E"/>
  </w:style>
  <w:style w:type="character" w:customStyle="1" w:styleId="default">
    <w:name w:val="default"/>
    <w:rsid w:val="00AE421E"/>
  </w:style>
  <w:style w:type="paragraph" w:customStyle="1" w:styleId="p22">
    <w:name w:val="p22"/>
    <w:basedOn w:val="a"/>
    <w:rsid w:val="00AE421E"/>
    <w:pPr>
      <w:bidi w:val="0"/>
      <w:spacing w:before="100" w:beforeAutospacing="1" w:after="100" w:afterAutospacing="1"/>
    </w:pPr>
    <w:rPr>
      <w:rFonts w:cs="Times New Roman"/>
    </w:rPr>
  </w:style>
  <w:style w:type="paragraph" w:customStyle="1" w:styleId="p33">
    <w:name w:val="p33"/>
    <w:basedOn w:val="a"/>
    <w:rsid w:val="00AE421E"/>
    <w:pPr>
      <w:bidi w:val="0"/>
      <w:spacing w:before="100" w:beforeAutospacing="1" w:after="100" w:afterAutospacing="1"/>
    </w:pPr>
    <w:rPr>
      <w:rFonts w:cs="Times New Roman"/>
    </w:rPr>
  </w:style>
  <w:style w:type="paragraph" w:customStyle="1" w:styleId="p44">
    <w:name w:val="p44"/>
    <w:basedOn w:val="a"/>
    <w:rsid w:val="00AE421E"/>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333219" TargetMode="External"/><Relationship Id="rId39" Type="http://schemas.openxmlformats.org/officeDocument/2006/relationships/hyperlink" Target="http://www.nevo.co.il/law/4216/36a" TargetMode="External"/><Relationship Id="rId21" Type="http://schemas.openxmlformats.org/officeDocument/2006/relationships/hyperlink" Target="http://www.nevo.co.il/case/20683594"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36a.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345/21.a" TargetMode="External"/><Relationship Id="rId29" Type="http://schemas.openxmlformats.org/officeDocument/2006/relationships/hyperlink" Target="http://www.nevo.co.il/case/26504342" TargetMode="External"/><Relationship Id="rId11" Type="http://schemas.openxmlformats.org/officeDocument/2006/relationships/hyperlink" Target="http://www.nevo.co.il/law/4216/36a" TargetMode="External"/><Relationship Id="rId24" Type="http://schemas.openxmlformats.org/officeDocument/2006/relationships/hyperlink" Target="http://www.nevo.co.il/case/27497400"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4345/21.a" TargetMode="External"/><Relationship Id="rId40" Type="http://schemas.openxmlformats.org/officeDocument/2006/relationships/hyperlink" Target="http://www.nevo.co.il/law/7434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4345" TargetMode="External"/><Relationship Id="rId23" Type="http://schemas.openxmlformats.org/officeDocument/2006/relationships/hyperlink" Target="http://www.nevo.co.il/case/26432398" TargetMode="External"/><Relationship Id="rId28" Type="http://schemas.openxmlformats.org/officeDocument/2006/relationships/hyperlink" Target="http://www.nevo.co.il/case/27027853" TargetMode="External"/><Relationship Id="rId36" Type="http://schemas.openxmlformats.org/officeDocument/2006/relationships/hyperlink" Target="http://www.nevo.co.il/case/21914030"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70301/58"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8" TargetMode="External"/><Relationship Id="rId22" Type="http://schemas.openxmlformats.org/officeDocument/2006/relationships/hyperlink" Target="http://www.nevo.co.il/safrut/book/23183" TargetMode="External"/><Relationship Id="rId27" Type="http://schemas.openxmlformats.org/officeDocument/2006/relationships/hyperlink" Target="http://www.nevo.co.il/case/26887447" TargetMode="External"/><Relationship Id="rId30" Type="http://schemas.openxmlformats.org/officeDocument/2006/relationships/hyperlink" Target="http://www.nevo.co.il/case/27130613"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6332955"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7314685"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4345" TargetMode="External"/><Relationship Id="rId46" Type="http://schemas.openxmlformats.org/officeDocument/2006/relationships/header" Target="header2.xml"/><Relationship Id="rId20" Type="http://schemas.openxmlformats.org/officeDocument/2006/relationships/hyperlink" Target="http://www.nevo.co.il/case/13022249" TargetMode="External"/><Relationship Id="rId41" Type="http://schemas.openxmlformats.org/officeDocument/2006/relationships/hyperlink" Target="https://www.nevo.co.il/psika_html/elyon/19056860-Q25.htm"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2973</Words>
  <Characters>14868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17806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3539064</vt:i4>
      </vt:variant>
      <vt:variant>
        <vt:i4>111</vt:i4>
      </vt:variant>
      <vt:variant>
        <vt:i4>0</vt:i4>
      </vt:variant>
      <vt:variant>
        <vt:i4>5</vt:i4>
      </vt:variant>
      <vt:variant>
        <vt:lpwstr>http://www.nevo.co.il/case/26332955</vt:lpwstr>
      </vt:variant>
      <vt:variant>
        <vt:lpwstr/>
      </vt:variant>
      <vt:variant>
        <vt:i4>5046354</vt:i4>
      </vt:variant>
      <vt:variant>
        <vt:i4>108</vt:i4>
      </vt:variant>
      <vt:variant>
        <vt:i4>0</vt:i4>
      </vt:variant>
      <vt:variant>
        <vt:i4>5</vt:i4>
      </vt:variant>
      <vt:variant>
        <vt:lpwstr>http://www.nevo.co.il/law/4216/36a.a</vt:lpwstr>
      </vt:variant>
      <vt:variant>
        <vt:lpwstr/>
      </vt:variant>
      <vt:variant>
        <vt:i4>5767222</vt:i4>
      </vt:variant>
      <vt:variant>
        <vt:i4>105</vt:i4>
      </vt:variant>
      <vt:variant>
        <vt:i4>0</vt:i4>
      </vt:variant>
      <vt:variant>
        <vt:i4>5</vt:i4>
      </vt:variant>
      <vt:variant>
        <vt:lpwstr>https://www.nevo.co.il/psika_html/elyon/19056860-Q25.htm</vt:lpwstr>
      </vt:variant>
      <vt:variant>
        <vt:lpwstr/>
      </vt:variant>
      <vt:variant>
        <vt:i4>7995492</vt:i4>
      </vt:variant>
      <vt:variant>
        <vt:i4>102</vt:i4>
      </vt:variant>
      <vt:variant>
        <vt:i4>0</vt:i4>
      </vt:variant>
      <vt:variant>
        <vt:i4>5</vt:i4>
      </vt:variant>
      <vt:variant>
        <vt:lpwstr>http://www.nevo.co.il/law/74345</vt:lpwstr>
      </vt:variant>
      <vt:variant>
        <vt:lpwstr/>
      </vt:variant>
      <vt:variant>
        <vt:i4>2883708</vt:i4>
      </vt:variant>
      <vt:variant>
        <vt:i4>99</vt:i4>
      </vt:variant>
      <vt:variant>
        <vt:i4>0</vt:i4>
      </vt:variant>
      <vt:variant>
        <vt:i4>5</vt:i4>
      </vt:variant>
      <vt:variant>
        <vt:lpwstr>http://www.nevo.co.il/law/4216/36a</vt:lpwstr>
      </vt:variant>
      <vt:variant>
        <vt:lpwstr/>
      </vt:variant>
      <vt:variant>
        <vt:i4>7995492</vt:i4>
      </vt:variant>
      <vt:variant>
        <vt:i4>96</vt:i4>
      </vt:variant>
      <vt:variant>
        <vt:i4>0</vt:i4>
      </vt:variant>
      <vt:variant>
        <vt:i4>5</vt:i4>
      </vt:variant>
      <vt:variant>
        <vt:lpwstr>http://www.nevo.co.il/law/74345</vt:lpwstr>
      </vt:variant>
      <vt:variant>
        <vt:lpwstr/>
      </vt:variant>
      <vt:variant>
        <vt:i4>327757</vt:i4>
      </vt:variant>
      <vt:variant>
        <vt:i4>93</vt:i4>
      </vt:variant>
      <vt:variant>
        <vt:i4>0</vt:i4>
      </vt:variant>
      <vt:variant>
        <vt:i4>5</vt:i4>
      </vt:variant>
      <vt:variant>
        <vt:lpwstr>http://www.nevo.co.il/law/74345/21.a</vt:lpwstr>
      </vt:variant>
      <vt:variant>
        <vt:lpwstr/>
      </vt:variant>
      <vt:variant>
        <vt:i4>3932276</vt:i4>
      </vt:variant>
      <vt:variant>
        <vt:i4>90</vt:i4>
      </vt:variant>
      <vt:variant>
        <vt:i4>0</vt:i4>
      </vt:variant>
      <vt:variant>
        <vt:i4>5</vt:i4>
      </vt:variant>
      <vt:variant>
        <vt:lpwstr>http://www.nevo.co.il/case/21914030</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7143520</vt:i4>
      </vt:variant>
      <vt:variant>
        <vt:i4>75</vt:i4>
      </vt:variant>
      <vt:variant>
        <vt:i4>0</vt:i4>
      </vt:variant>
      <vt:variant>
        <vt:i4>5</vt:i4>
      </vt:variant>
      <vt:variant>
        <vt:lpwstr>http://www.nevo.co.il/law/70301/58</vt:lpwstr>
      </vt:variant>
      <vt:variant>
        <vt:lpwstr/>
      </vt:variant>
      <vt:variant>
        <vt:i4>3276918</vt:i4>
      </vt:variant>
      <vt:variant>
        <vt:i4>72</vt:i4>
      </vt:variant>
      <vt:variant>
        <vt:i4>0</vt:i4>
      </vt:variant>
      <vt:variant>
        <vt:i4>5</vt:i4>
      </vt:variant>
      <vt:variant>
        <vt:lpwstr>http://www.nevo.co.il/case/27130613</vt:lpwstr>
      </vt:variant>
      <vt:variant>
        <vt:lpwstr/>
      </vt:variant>
      <vt:variant>
        <vt:i4>3604593</vt:i4>
      </vt:variant>
      <vt:variant>
        <vt:i4>69</vt:i4>
      </vt:variant>
      <vt:variant>
        <vt:i4>0</vt:i4>
      </vt:variant>
      <vt:variant>
        <vt:i4>5</vt:i4>
      </vt:variant>
      <vt:variant>
        <vt:lpwstr>http://www.nevo.co.il/case/26504342</vt:lpwstr>
      </vt:variant>
      <vt:variant>
        <vt:lpwstr/>
      </vt:variant>
      <vt:variant>
        <vt:i4>3145849</vt:i4>
      </vt:variant>
      <vt:variant>
        <vt:i4>66</vt:i4>
      </vt:variant>
      <vt:variant>
        <vt:i4>0</vt:i4>
      </vt:variant>
      <vt:variant>
        <vt:i4>5</vt:i4>
      </vt:variant>
      <vt:variant>
        <vt:lpwstr>http://www.nevo.co.il/case/27027853</vt:lpwstr>
      </vt:variant>
      <vt:variant>
        <vt:lpwstr/>
      </vt:variant>
      <vt:variant>
        <vt:i4>3735678</vt:i4>
      </vt:variant>
      <vt:variant>
        <vt:i4>63</vt:i4>
      </vt:variant>
      <vt:variant>
        <vt:i4>0</vt:i4>
      </vt:variant>
      <vt:variant>
        <vt:i4>5</vt:i4>
      </vt:variant>
      <vt:variant>
        <vt:lpwstr>http://www.nevo.co.il/case/26887447</vt:lpwstr>
      </vt:variant>
      <vt:variant>
        <vt:lpwstr/>
      </vt:variant>
      <vt:variant>
        <vt:i4>3342450</vt:i4>
      </vt:variant>
      <vt:variant>
        <vt:i4>60</vt:i4>
      </vt:variant>
      <vt:variant>
        <vt:i4>0</vt:i4>
      </vt:variant>
      <vt:variant>
        <vt:i4>5</vt:i4>
      </vt:variant>
      <vt:variant>
        <vt:lpwstr>http://www.nevo.co.il/case/27333219</vt:lpwstr>
      </vt:variant>
      <vt:variant>
        <vt:lpwstr/>
      </vt:variant>
      <vt:variant>
        <vt:i4>3997812</vt:i4>
      </vt:variant>
      <vt:variant>
        <vt:i4>57</vt:i4>
      </vt:variant>
      <vt:variant>
        <vt:i4>0</vt:i4>
      </vt:variant>
      <vt:variant>
        <vt:i4>5</vt:i4>
      </vt:variant>
      <vt:variant>
        <vt:lpwstr>http://www.nevo.co.il/case/27314685</vt:lpwstr>
      </vt:variant>
      <vt:variant>
        <vt:lpwstr/>
      </vt:variant>
      <vt:variant>
        <vt:i4>3211390</vt:i4>
      </vt:variant>
      <vt:variant>
        <vt:i4>54</vt:i4>
      </vt:variant>
      <vt:variant>
        <vt:i4>0</vt:i4>
      </vt:variant>
      <vt:variant>
        <vt:i4>5</vt:i4>
      </vt:variant>
      <vt:variant>
        <vt:lpwstr>http://www.nevo.co.il/case/27497400</vt:lpwstr>
      </vt:variant>
      <vt:variant>
        <vt:lpwstr/>
      </vt:variant>
      <vt:variant>
        <vt:i4>3997810</vt:i4>
      </vt:variant>
      <vt:variant>
        <vt:i4>51</vt:i4>
      </vt:variant>
      <vt:variant>
        <vt:i4>0</vt:i4>
      </vt:variant>
      <vt:variant>
        <vt:i4>5</vt:i4>
      </vt:variant>
      <vt:variant>
        <vt:lpwstr>http://www.nevo.co.il/case/26432398</vt:lpwstr>
      </vt:variant>
      <vt:variant>
        <vt:lpwstr/>
      </vt:variant>
      <vt:variant>
        <vt:i4>7995443</vt:i4>
      </vt:variant>
      <vt:variant>
        <vt:i4>48</vt:i4>
      </vt:variant>
      <vt:variant>
        <vt:i4>0</vt:i4>
      </vt:variant>
      <vt:variant>
        <vt:i4>5</vt:i4>
      </vt:variant>
      <vt:variant>
        <vt:lpwstr>http://www.nevo.co.il/safrut/book/23183</vt:lpwstr>
      </vt:variant>
      <vt:variant>
        <vt:lpwstr/>
      </vt:variant>
      <vt:variant>
        <vt:i4>4063353</vt:i4>
      </vt:variant>
      <vt:variant>
        <vt:i4>45</vt:i4>
      </vt:variant>
      <vt:variant>
        <vt:i4>0</vt:i4>
      </vt:variant>
      <vt:variant>
        <vt:i4>5</vt:i4>
      </vt:variant>
      <vt:variant>
        <vt:lpwstr>http://www.nevo.co.il/case/20683594</vt:lpwstr>
      </vt:variant>
      <vt:variant>
        <vt:lpwstr/>
      </vt:variant>
      <vt:variant>
        <vt:i4>3604599</vt:i4>
      </vt:variant>
      <vt:variant>
        <vt:i4>42</vt:i4>
      </vt:variant>
      <vt:variant>
        <vt:i4>0</vt:i4>
      </vt:variant>
      <vt:variant>
        <vt:i4>5</vt:i4>
      </vt:variant>
      <vt:variant>
        <vt:lpwstr>http://www.nevo.co.il/case/13022249</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327757</vt:i4>
      </vt:variant>
      <vt:variant>
        <vt:i4>30</vt:i4>
      </vt:variant>
      <vt:variant>
        <vt:i4>0</vt:i4>
      </vt:variant>
      <vt:variant>
        <vt:i4>5</vt:i4>
      </vt:variant>
      <vt:variant>
        <vt:lpwstr>http://www.nevo.co.il/law/74345/21.a</vt:lpwstr>
      </vt:variant>
      <vt:variant>
        <vt:lpwstr/>
      </vt:variant>
      <vt:variant>
        <vt:i4>7995492</vt:i4>
      </vt:variant>
      <vt:variant>
        <vt:i4>27</vt:i4>
      </vt:variant>
      <vt:variant>
        <vt:i4>0</vt:i4>
      </vt:variant>
      <vt:variant>
        <vt:i4>5</vt:i4>
      </vt:variant>
      <vt:variant>
        <vt:lpwstr>http://www.nevo.co.il/law/74345</vt:lpwstr>
      </vt:variant>
      <vt:variant>
        <vt:lpwstr/>
      </vt:variant>
      <vt:variant>
        <vt:i4>7143520</vt:i4>
      </vt:variant>
      <vt:variant>
        <vt:i4>24</vt:i4>
      </vt:variant>
      <vt:variant>
        <vt:i4>0</vt:i4>
      </vt:variant>
      <vt:variant>
        <vt:i4>5</vt:i4>
      </vt:variant>
      <vt:variant>
        <vt:lpwstr>http://www.nevo.co.il/law/70301/58</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7995443</vt:i4>
      </vt:variant>
      <vt:variant>
        <vt:i4>0</vt:i4>
      </vt:variant>
      <vt:variant>
        <vt:i4>0</vt:i4>
      </vt:variant>
      <vt:variant>
        <vt:i4>5</vt:i4>
      </vt:variant>
      <vt:variant>
        <vt:lpwstr>http://www.nevo.co.il/safrut/book/23183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2025-04-23T01:13:00Z</dcterms:created>
  <dcterms:modified xsi:type="dcterms:W3CDTF">2025-04-23T01:13:00Z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62155</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Asaad Abdalla Daoud Abdalla</vt:lpwstr>
  </property>
  <property fmtid="{D5CDD505-2E9C-101B-9397-08002B2CF9AE}" pid="10" name="LAWYER">
    <vt:lpwstr>אדר עידן;אלון ארז</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20221123</vt:lpwstr>
  </property>
  <property fmtid="{D5CDD505-2E9C-101B-9397-08002B2CF9AE}" pid="14" name="TYPE_N_DATE">
    <vt:lpwstr>38020221123</vt:lpwstr>
  </property>
  <property fmtid="{D5CDD505-2E9C-101B-9397-08002B2CF9AE}" pid="15" name="WORDNUMPAGES">
    <vt:lpwstr>8</vt:lpwstr>
  </property>
  <property fmtid="{D5CDD505-2E9C-101B-9397-08002B2CF9AE}" pid="16" name="TYPE_ABS_DATE">
    <vt:lpwstr>380020221123</vt:lpwstr>
  </property>
  <property fmtid="{D5CDD505-2E9C-101B-9397-08002B2CF9AE}" pid="17" name="ISABSTRACT">
    <vt:lpwstr>Y</vt:lpwstr>
  </property>
  <property fmtid="{D5CDD505-2E9C-101B-9397-08002B2CF9AE}" pid="18" name="CASESLISTTMP1">
    <vt:lpwstr>13022249;20683594;26432398;27497400;27314685;27333219;26887447;27027853;26504342;27130613;21914030;26332955</vt:lpwstr>
  </property>
  <property fmtid="{D5CDD505-2E9C-101B-9397-08002B2CF9AE}" pid="19" name="BOOKLISTTMP1">
    <vt:lpwstr>23183</vt:lpwstr>
  </property>
  <property fmtid="{D5CDD505-2E9C-101B-9397-08002B2CF9AE}" pid="20" name="LAWLISTTMP1">
    <vt:lpwstr>4216/013;007.a;007.c;036a;036a.a</vt:lpwstr>
  </property>
  <property fmtid="{D5CDD505-2E9C-101B-9397-08002B2CF9AE}" pid="21" name="LAWLISTTMP2">
    <vt:lpwstr>70301/058</vt:lpwstr>
  </property>
  <property fmtid="{D5CDD505-2E9C-101B-9397-08002B2CF9AE}" pid="22" name="LAWLISTTMP3">
    <vt:lpwstr>74345/021.a</vt:lpwstr>
  </property>
</Properties>
</file>