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1191"/>
        <w:gridCol w:w="2974"/>
        <w:gridCol w:w="513"/>
      </w:tblGrid>
      <w:tr w:rsidR="00AA5275" w:rsidRPr="001E57FF" w14:paraId="134F082C" w14:textId="77777777" w:rsidTr="00CA08C1">
        <w:trPr>
          <w:gridAfter w:val="1"/>
          <w:wAfter w:w="513" w:type="dxa"/>
          <w:trHeight w:hRule="exact" w:val="418"/>
          <w:jc w:val="center"/>
        </w:trPr>
        <w:tc>
          <w:tcPr>
            <w:tcW w:w="8307" w:type="dxa"/>
            <w:gridSpan w:val="4"/>
          </w:tcPr>
          <w:p w14:paraId="4068E612" w14:textId="77777777" w:rsidR="00AA5275" w:rsidRPr="001E57FF" w:rsidRDefault="00AA5275" w:rsidP="007D1508">
            <w:pPr>
              <w:pStyle w:val="a3"/>
              <w:jc w:val="center"/>
              <w:rPr>
                <w:rFonts w:ascii="Tahoma" w:hAnsi="Tahoma" w:cs="Tahoma"/>
                <w:color w:val="000080"/>
                <w:rtl/>
              </w:rPr>
            </w:pPr>
            <w:bookmarkStart w:id="0" w:name="LastJudge"/>
            <w:r w:rsidRPr="001E57FF">
              <w:rPr>
                <w:rFonts w:ascii="Tahoma" w:hAnsi="Tahoma" w:cs="Tahoma"/>
                <w:b/>
                <w:bCs/>
                <w:color w:val="000080"/>
                <w:rtl/>
              </w:rPr>
              <w:t>בית משפט השלום ברחובות</w:t>
            </w:r>
          </w:p>
        </w:tc>
      </w:tr>
      <w:tr w:rsidR="00AA5275" w:rsidRPr="001E57FF" w14:paraId="0179703A" w14:textId="77777777" w:rsidTr="00CA08C1">
        <w:trPr>
          <w:gridAfter w:val="1"/>
          <w:wAfter w:w="513" w:type="dxa"/>
          <w:trHeight w:val="337"/>
          <w:jc w:val="center"/>
        </w:trPr>
        <w:tc>
          <w:tcPr>
            <w:tcW w:w="5333" w:type="dxa"/>
            <w:gridSpan w:val="3"/>
          </w:tcPr>
          <w:p w14:paraId="59F94C56" w14:textId="77777777" w:rsidR="00AA5275" w:rsidRPr="001E57FF" w:rsidRDefault="00AA5275" w:rsidP="007D1508">
            <w:pPr>
              <w:rPr>
                <w:rFonts w:cs="FrankRuehl"/>
                <w:sz w:val="28"/>
                <w:szCs w:val="28"/>
                <w:rtl/>
              </w:rPr>
            </w:pPr>
            <w:r w:rsidRPr="001E57FF">
              <w:rPr>
                <w:rFonts w:cs="FrankRuehl"/>
                <w:sz w:val="28"/>
                <w:szCs w:val="28"/>
                <w:rtl/>
              </w:rPr>
              <w:t>ת"פ</w:t>
            </w:r>
            <w:r w:rsidRPr="001E57FF">
              <w:rPr>
                <w:rFonts w:cs="FrankRuehl" w:hint="cs"/>
                <w:sz w:val="28"/>
                <w:szCs w:val="28"/>
                <w:rtl/>
              </w:rPr>
              <w:t xml:space="preserve"> </w:t>
            </w:r>
            <w:r w:rsidRPr="001E57FF">
              <w:rPr>
                <w:rFonts w:cs="FrankRuehl"/>
                <w:sz w:val="28"/>
                <w:szCs w:val="28"/>
                <w:rtl/>
              </w:rPr>
              <w:t>10108-11-21</w:t>
            </w:r>
            <w:r w:rsidRPr="001E57FF">
              <w:rPr>
                <w:rFonts w:cs="FrankRuehl" w:hint="cs"/>
                <w:sz w:val="28"/>
                <w:szCs w:val="28"/>
                <w:rtl/>
              </w:rPr>
              <w:t xml:space="preserve"> </w:t>
            </w:r>
            <w:r w:rsidRPr="001E57FF">
              <w:rPr>
                <w:rFonts w:cs="FrankRuehl"/>
                <w:sz w:val="28"/>
                <w:szCs w:val="28"/>
                <w:rtl/>
              </w:rPr>
              <w:t>מדינת ישראל נ' סייפו(עציר) ואח'</w:t>
            </w:r>
          </w:p>
          <w:p w14:paraId="4BF25C9A" w14:textId="77777777" w:rsidR="00AA5275" w:rsidRPr="001E57FF" w:rsidRDefault="00AA5275" w:rsidP="007D1508">
            <w:pPr>
              <w:pStyle w:val="a3"/>
              <w:rPr>
                <w:rFonts w:cs="FrankRuehl"/>
                <w:sz w:val="28"/>
                <w:szCs w:val="28"/>
                <w:rtl/>
              </w:rPr>
            </w:pPr>
          </w:p>
        </w:tc>
        <w:tc>
          <w:tcPr>
            <w:tcW w:w="2974" w:type="dxa"/>
          </w:tcPr>
          <w:p w14:paraId="2BD76639" w14:textId="77777777" w:rsidR="00AA5275" w:rsidRPr="001E57FF" w:rsidRDefault="00AA5275" w:rsidP="007D1508">
            <w:pPr>
              <w:pStyle w:val="a3"/>
              <w:jc w:val="right"/>
              <w:rPr>
                <w:rFonts w:cs="FrankRuehl"/>
                <w:sz w:val="28"/>
                <w:szCs w:val="28"/>
                <w:rtl/>
              </w:rPr>
            </w:pPr>
          </w:p>
        </w:tc>
      </w:tr>
      <w:tr w:rsidR="00AA5275" w:rsidRPr="001E57FF" w14:paraId="2CEC848A" w14:textId="77777777" w:rsidTr="00CA08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AD31A8B" w14:textId="77777777" w:rsidR="00AA5275" w:rsidRPr="001E57FF" w:rsidRDefault="00AA5275" w:rsidP="00AA5275">
            <w:pPr>
              <w:jc w:val="both"/>
              <w:rPr>
                <w:rFonts w:ascii="David" w:hAnsi="David"/>
                <w:sz w:val="26"/>
                <w:szCs w:val="26"/>
              </w:rPr>
            </w:pPr>
            <w:r w:rsidRPr="001E57FF">
              <w:rPr>
                <w:rFonts w:hint="cs"/>
                <w:rtl/>
              </w:rPr>
              <w:t xml:space="preserve"> </w:t>
            </w:r>
            <w:r w:rsidRPr="001E57F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FAE062F" w14:textId="77777777" w:rsidR="00AA5275" w:rsidRPr="001E57FF" w:rsidRDefault="00AA5275" w:rsidP="007D1508">
            <w:pPr>
              <w:rPr>
                <w:rFonts w:ascii="David" w:hAnsi="David"/>
                <w:b/>
                <w:bCs/>
                <w:sz w:val="26"/>
                <w:szCs w:val="26"/>
                <w:rtl/>
              </w:rPr>
            </w:pPr>
            <w:r w:rsidRPr="001E57FF">
              <w:rPr>
                <w:rFonts w:ascii="David" w:hAnsi="David"/>
                <w:b/>
                <w:bCs/>
                <w:sz w:val="26"/>
                <w:szCs w:val="26"/>
                <w:rtl/>
              </w:rPr>
              <w:t>כבוד השופטת זהר דיבון סגל</w:t>
            </w:r>
          </w:p>
          <w:p w14:paraId="52302D8D" w14:textId="77777777" w:rsidR="00AA5275" w:rsidRPr="001E57FF" w:rsidRDefault="00AA5275" w:rsidP="007D1508">
            <w:pPr>
              <w:rPr>
                <w:rFonts w:ascii="David" w:hAnsi="David"/>
                <w:sz w:val="26"/>
                <w:szCs w:val="26"/>
                <w:rtl/>
              </w:rPr>
            </w:pPr>
          </w:p>
          <w:p w14:paraId="1D504ED2" w14:textId="77777777" w:rsidR="00AA5275" w:rsidRPr="001E57FF" w:rsidRDefault="00AA5275" w:rsidP="00AA5275">
            <w:pPr>
              <w:jc w:val="both"/>
              <w:rPr>
                <w:rFonts w:ascii="David" w:hAnsi="David"/>
                <w:sz w:val="26"/>
                <w:szCs w:val="26"/>
              </w:rPr>
            </w:pPr>
          </w:p>
        </w:tc>
      </w:tr>
      <w:tr w:rsidR="00AA5275" w:rsidRPr="001E57FF" w14:paraId="1AD6F736" w14:textId="77777777" w:rsidTr="00CA08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A56918" w14:textId="77777777" w:rsidR="00AA5275" w:rsidRPr="001E57FF" w:rsidRDefault="00AA5275" w:rsidP="00AA5275">
            <w:pPr>
              <w:jc w:val="both"/>
              <w:rPr>
                <w:rFonts w:ascii="David" w:hAnsi="David"/>
                <w:sz w:val="26"/>
                <w:szCs w:val="26"/>
              </w:rPr>
            </w:pPr>
            <w:bookmarkStart w:id="1" w:name="FirstAppellant"/>
            <w:bookmarkStart w:id="2" w:name="FirstLawyer"/>
            <w:r w:rsidRPr="001E57FF">
              <w:rPr>
                <w:rFonts w:ascii="David" w:hAnsi="David"/>
                <w:sz w:val="26"/>
                <w:szCs w:val="26"/>
                <w:rtl/>
              </w:rPr>
              <w:t>בעניין:</w:t>
            </w:r>
          </w:p>
        </w:tc>
        <w:tc>
          <w:tcPr>
            <w:tcW w:w="3219" w:type="dxa"/>
            <w:tcBorders>
              <w:top w:val="nil"/>
              <w:left w:val="nil"/>
              <w:bottom w:val="nil"/>
              <w:right w:val="nil"/>
            </w:tcBorders>
            <w:shd w:val="clear" w:color="auto" w:fill="auto"/>
          </w:tcPr>
          <w:p w14:paraId="4CBD71B8" w14:textId="77777777" w:rsidR="00AA5275" w:rsidRPr="001E57FF" w:rsidRDefault="00AA5275" w:rsidP="00AA5275">
            <w:pPr>
              <w:suppressLineNumbers/>
            </w:pPr>
            <w:r w:rsidRPr="001E57FF">
              <w:rPr>
                <w:rFonts w:ascii="Arial" w:hAnsi="Arial" w:hint="cs"/>
                <w:b/>
                <w:bCs/>
                <w:sz w:val="26"/>
                <w:szCs w:val="26"/>
                <w:rtl/>
              </w:rPr>
              <w:t>ה</w:t>
            </w:r>
            <w:r w:rsidRPr="001E57FF">
              <w:rPr>
                <w:rFonts w:ascii="Arial" w:hAnsi="Arial"/>
                <w:b/>
                <w:bCs/>
                <w:sz w:val="26"/>
                <w:szCs w:val="26"/>
                <w:rtl/>
              </w:rPr>
              <w:t>מאשימה</w:t>
            </w:r>
          </w:p>
          <w:p w14:paraId="1AC07BEF" w14:textId="77777777" w:rsidR="00AA5275" w:rsidRPr="001E57FF" w:rsidRDefault="00AA5275" w:rsidP="007D150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55F3C5D" w14:textId="77777777" w:rsidR="00AA5275" w:rsidRPr="001E57FF" w:rsidRDefault="00AA5275" w:rsidP="00AA5275">
            <w:pPr>
              <w:suppressLineNumbers/>
              <w:rPr>
                <w:rFonts w:ascii="Arial" w:hAnsi="Arial"/>
                <w:b/>
                <w:bCs/>
                <w:sz w:val="26"/>
                <w:szCs w:val="26"/>
                <w:rtl/>
              </w:rPr>
            </w:pPr>
            <w:r w:rsidRPr="001E57FF">
              <w:rPr>
                <w:rFonts w:ascii="Arial" w:hAnsi="Arial"/>
                <w:b/>
                <w:bCs/>
                <w:sz w:val="26"/>
                <w:szCs w:val="26"/>
                <w:rtl/>
              </w:rPr>
              <w:t>מדינת ישראל</w:t>
            </w:r>
            <w:r w:rsidRPr="001E57FF">
              <w:rPr>
                <w:rFonts w:ascii="Arial" w:hAnsi="Arial" w:hint="cs"/>
                <w:b/>
                <w:bCs/>
                <w:sz w:val="26"/>
                <w:szCs w:val="26"/>
                <w:rtl/>
              </w:rPr>
              <w:t xml:space="preserve"> </w:t>
            </w:r>
          </w:p>
          <w:p w14:paraId="119BB300" w14:textId="77777777" w:rsidR="00AA5275" w:rsidRPr="001E57FF" w:rsidRDefault="00AA5275" w:rsidP="00AA5275">
            <w:pPr>
              <w:suppressLineNumbers/>
              <w:rPr>
                <w:rFonts w:ascii="Arial" w:hAnsi="Arial"/>
                <w:b/>
                <w:bCs/>
                <w:sz w:val="26"/>
                <w:szCs w:val="26"/>
                <w:rtl/>
              </w:rPr>
            </w:pPr>
            <w:r w:rsidRPr="001E57FF">
              <w:rPr>
                <w:rFonts w:ascii="Arial" w:hAnsi="Arial" w:hint="cs"/>
                <w:b/>
                <w:bCs/>
                <w:sz w:val="26"/>
                <w:szCs w:val="26"/>
                <w:rtl/>
              </w:rPr>
              <w:t xml:space="preserve">פרקליטות מחוז מרכז </w:t>
            </w:r>
          </w:p>
          <w:p w14:paraId="1D2EBA1B" w14:textId="77777777" w:rsidR="00AA5275" w:rsidRPr="001E57FF" w:rsidRDefault="00AA5275" w:rsidP="00AA5275">
            <w:pPr>
              <w:suppressLineNumbers/>
            </w:pPr>
            <w:r w:rsidRPr="001E57FF">
              <w:rPr>
                <w:rFonts w:ascii="Arial" w:hAnsi="Arial"/>
                <w:b/>
                <w:bCs/>
                <w:sz w:val="26"/>
                <w:szCs w:val="26"/>
                <w:rtl/>
              </w:rPr>
              <w:t>ב"כ עוה"ד</w:t>
            </w:r>
            <w:r w:rsidRPr="001E57FF">
              <w:rPr>
                <w:rFonts w:ascii="Arial" w:hAnsi="Arial" w:hint="cs"/>
                <w:b/>
                <w:bCs/>
                <w:sz w:val="26"/>
                <w:szCs w:val="26"/>
                <w:rtl/>
              </w:rPr>
              <w:t xml:space="preserve"> שחר לדובסקי </w:t>
            </w:r>
          </w:p>
          <w:p w14:paraId="24A64CA4" w14:textId="77777777" w:rsidR="00AA5275" w:rsidRPr="001E57FF" w:rsidRDefault="00AA5275" w:rsidP="007D1508">
            <w:pPr>
              <w:rPr>
                <w:rFonts w:ascii="David" w:hAnsi="David"/>
                <w:sz w:val="26"/>
                <w:szCs w:val="26"/>
              </w:rPr>
            </w:pPr>
          </w:p>
        </w:tc>
      </w:tr>
      <w:bookmarkEnd w:id="1"/>
      <w:bookmarkEnd w:id="2"/>
      <w:tr w:rsidR="00AA5275" w:rsidRPr="001E57FF" w14:paraId="2EE09D64" w14:textId="77777777" w:rsidTr="00CA08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3D69EF8" w14:textId="77777777" w:rsidR="00AA5275" w:rsidRPr="001E57FF" w:rsidRDefault="00AA5275" w:rsidP="00AA5275">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B9D6D75" w14:textId="77777777" w:rsidR="00AA5275" w:rsidRPr="001E57FF" w:rsidRDefault="00AA5275" w:rsidP="00AA5275">
            <w:pPr>
              <w:jc w:val="center"/>
              <w:rPr>
                <w:rFonts w:ascii="David" w:hAnsi="David"/>
                <w:b/>
                <w:bCs/>
                <w:sz w:val="26"/>
                <w:szCs w:val="26"/>
                <w:rtl/>
              </w:rPr>
            </w:pPr>
            <w:r w:rsidRPr="001E57FF">
              <w:rPr>
                <w:rFonts w:ascii="David" w:hAnsi="David"/>
                <w:b/>
                <w:bCs/>
                <w:sz w:val="26"/>
                <w:szCs w:val="26"/>
                <w:rtl/>
              </w:rPr>
              <w:t>נגד</w:t>
            </w:r>
          </w:p>
          <w:p w14:paraId="017CE16C" w14:textId="77777777" w:rsidR="00AA5275" w:rsidRPr="001E57FF" w:rsidRDefault="00AA5275" w:rsidP="00AA5275">
            <w:pPr>
              <w:jc w:val="both"/>
              <w:rPr>
                <w:rFonts w:ascii="David" w:hAnsi="David"/>
                <w:sz w:val="26"/>
                <w:szCs w:val="26"/>
              </w:rPr>
            </w:pPr>
          </w:p>
        </w:tc>
      </w:tr>
      <w:tr w:rsidR="00AA5275" w:rsidRPr="001E57FF" w14:paraId="2950AA78" w14:textId="77777777" w:rsidTr="00CA08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02BECC" w14:textId="77777777" w:rsidR="00AA5275" w:rsidRPr="001E57FF" w:rsidRDefault="00AA5275" w:rsidP="007D1508">
            <w:pPr>
              <w:rPr>
                <w:rFonts w:ascii="David" w:hAnsi="David"/>
                <w:sz w:val="26"/>
                <w:szCs w:val="26"/>
                <w:rtl/>
              </w:rPr>
            </w:pPr>
          </w:p>
        </w:tc>
        <w:tc>
          <w:tcPr>
            <w:tcW w:w="3219" w:type="dxa"/>
            <w:tcBorders>
              <w:top w:val="nil"/>
              <w:left w:val="nil"/>
              <w:bottom w:val="nil"/>
              <w:right w:val="nil"/>
            </w:tcBorders>
            <w:shd w:val="clear" w:color="auto" w:fill="auto"/>
          </w:tcPr>
          <w:p w14:paraId="565E89AA" w14:textId="77777777" w:rsidR="00AA5275" w:rsidRPr="001E57FF" w:rsidRDefault="00AA5275" w:rsidP="007D1508">
            <w:pPr>
              <w:rPr>
                <w:rFonts w:ascii="Arial" w:hAnsi="Arial"/>
                <w:b/>
                <w:bCs/>
                <w:sz w:val="26"/>
                <w:szCs w:val="26"/>
                <w:rtl/>
              </w:rPr>
            </w:pPr>
            <w:r w:rsidRPr="001E57FF">
              <w:rPr>
                <w:rFonts w:ascii="Arial" w:hAnsi="Arial"/>
                <w:b/>
                <w:bCs/>
                <w:sz w:val="26"/>
                <w:szCs w:val="26"/>
                <w:rtl/>
              </w:rPr>
              <w:t>הנאש</w:t>
            </w:r>
            <w:r w:rsidRPr="001E57FF">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03D4100F" w14:textId="77777777" w:rsidR="00AA5275" w:rsidRPr="001E57FF" w:rsidRDefault="00AA5275" w:rsidP="00AA5275">
            <w:pPr>
              <w:suppressLineNumbers/>
              <w:rPr>
                <w:rFonts w:ascii="Arial" w:hAnsi="Arial"/>
                <w:b/>
                <w:bCs/>
                <w:sz w:val="26"/>
                <w:szCs w:val="26"/>
                <w:rtl/>
              </w:rPr>
            </w:pPr>
            <w:r w:rsidRPr="001E57FF">
              <w:rPr>
                <w:rFonts w:ascii="Arial" w:hAnsi="Arial"/>
                <w:b/>
                <w:bCs/>
                <w:sz w:val="26"/>
                <w:szCs w:val="26"/>
                <w:rtl/>
              </w:rPr>
              <w:t>סטיב סייפו (עציר)</w:t>
            </w:r>
            <w:r w:rsidRPr="001E57FF">
              <w:rPr>
                <w:rFonts w:ascii="Arial" w:hAnsi="Arial" w:hint="cs"/>
                <w:b/>
                <w:bCs/>
                <w:sz w:val="26"/>
                <w:szCs w:val="26"/>
                <w:rtl/>
              </w:rPr>
              <w:t xml:space="preserve"> </w:t>
            </w:r>
          </w:p>
          <w:p w14:paraId="7978C5FE" w14:textId="77777777" w:rsidR="00AA5275" w:rsidRPr="001E57FF" w:rsidRDefault="00AA5275" w:rsidP="00AA5275">
            <w:pPr>
              <w:suppressLineNumbers/>
            </w:pPr>
            <w:r w:rsidRPr="001E57FF">
              <w:rPr>
                <w:rFonts w:ascii="Arial" w:hAnsi="Arial"/>
                <w:b/>
                <w:bCs/>
                <w:sz w:val="26"/>
                <w:szCs w:val="26"/>
                <w:rtl/>
              </w:rPr>
              <w:t>ב"כ עוה"ד</w:t>
            </w:r>
            <w:r w:rsidRPr="001E57FF">
              <w:rPr>
                <w:rFonts w:ascii="Arial" w:hAnsi="Arial" w:hint="cs"/>
                <w:b/>
                <w:bCs/>
                <w:sz w:val="26"/>
                <w:szCs w:val="26"/>
                <w:rtl/>
              </w:rPr>
              <w:t xml:space="preserve"> יפתח רפאלי</w:t>
            </w:r>
            <w:r w:rsidRPr="001E57FF">
              <w:rPr>
                <w:rFonts w:hint="cs"/>
                <w:rtl/>
              </w:rPr>
              <w:t xml:space="preserve"> </w:t>
            </w:r>
          </w:p>
        </w:tc>
      </w:tr>
    </w:tbl>
    <w:p w14:paraId="16A8878D" w14:textId="77777777" w:rsidR="00CA08C1" w:rsidRDefault="00CA08C1" w:rsidP="001E57FF">
      <w:pPr>
        <w:jc w:val="center"/>
        <w:rPr>
          <w:rFonts w:ascii="David" w:hAnsi="David"/>
          <w:sz w:val="32"/>
          <w:szCs w:val="32"/>
          <w:rtl/>
        </w:rPr>
      </w:pPr>
    </w:p>
    <w:p w14:paraId="5A64EA69" w14:textId="77777777" w:rsidR="00CA08C1" w:rsidRPr="00CA08C1" w:rsidRDefault="00CA08C1" w:rsidP="00CA08C1">
      <w:pPr>
        <w:spacing w:after="120" w:line="240" w:lineRule="exact"/>
        <w:ind w:left="283" w:hanging="283"/>
        <w:jc w:val="both"/>
        <w:rPr>
          <w:rFonts w:ascii="FrankRuehl" w:hAnsi="FrankRuehl" w:cs="FrankRuehl"/>
          <w:rtl/>
        </w:rPr>
      </w:pPr>
    </w:p>
    <w:p w14:paraId="6C81B534" w14:textId="77777777" w:rsidR="00DC307A" w:rsidRPr="00DC307A" w:rsidRDefault="00DC307A" w:rsidP="00DC307A">
      <w:pPr>
        <w:spacing w:before="120" w:after="120" w:line="240" w:lineRule="exact"/>
        <w:ind w:left="283" w:hanging="283"/>
        <w:jc w:val="both"/>
        <w:rPr>
          <w:rFonts w:ascii="FrankRuehl" w:hAnsi="FrankRuehl" w:cs="FrankRuehl"/>
          <w:rtl/>
        </w:rPr>
      </w:pPr>
    </w:p>
    <w:p w14:paraId="47117DC8" w14:textId="77777777" w:rsidR="009804ED" w:rsidRDefault="009804ED" w:rsidP="009804ED">
      <w:pPr>
        <w:jc w:val="center"/>
        <w:rPr>
          <w:rFonts w:ascii="David" w:hAnsi="David"/>
          <w:sz w:val="32"/>
          <w:szCs w:val="32"/>
          <w:rtl/>
        </w:rPr>
      </w:pPr>
      <w:bookmarkStart w:id="3" w:name="LawTable"/>
      <w:bookmarkEnd w:id="3"/>
    </w:p>
    <w:p w14:paraId="05133F19" w14:textId="77777777" w:rsidR="009804ED" w:rsidRPr="009804ED" w:rsidRDefault="009804ED" w:rsidP="009804ED">
      <w:pPr>
        <w:spacing w:before="120" w:after="120" w:line="240" w:lineRule="exact"/>
        <w:ind w:left="283" w:hanging="283"/>
        <w:jc w:val="both"/>
        <w:rPr>
          <w:rFonts w:ascii="FrankRuehl" w:hAnsi="FrankRuehl" w:cs="FrankRuehl"/>
          <w:rtl/>
        </w:rPr>
      </w:pPr>
    </w:p>
    <w:p w14:paraId="4E68429A" w14:textId="77777777" w:rsidR="009804ED" w:rsidRPr="009804ED" w:rsidRDefault="009804ED" w:rsidP="009804ED">
      <w:pPr>
        <w:spacing w:before="120" w:after="120" w:line="240" w:lineRule="exact"/>
        <w:ind w:left="283" w:hanging="283"/>
        <w:jc w:val="both"/>
        <w:rPr>
          <w:rFonts w:ascii="FrankRuehl" w:hAnsi="FrankRuehl" w:cs="FrankRuehl"/>
          <w:rtl/>
        </w:rPr>
      </w:pPr>
    </w:p>
    <w:p w14:paraId="10CFE158" w14:textId="77777777" w:rsidR="009804ED" w:rsidRPr="009804ED" w:rsidRDefault="009804ED" w:rsidP="009804ED">
      <w:pPr>
        <w:spacing w:before="120" w:after="120" w:line="240" w:lineRule="exact"/>
        <w:ind w:left="283" w:hanging="283"/>
        <w:jc w:val="both"/>
        <w:rPr>
          <w:rFonts w:ascii="FrankRuehl" w:hAnsi="FrankRuehl" w:cs="FrankRuehl"/>
          <w:rtl/>
        </w:rPr>
      </w:pPr>
      <w:r w:rsidRPr="009804ED">
        <w:rPr>
          <w:rFonts w:ascii="FrankRuehl" w:hAnsi="FrankRuehl" w:cs="FrankRuehl"/>
          <w:rtl/>
        </w:rPr>
        <w:t xml:space="preserve">חקיקה שאוזכרה: </w:t>
      </w:r>
    </w:p>
    <w:p w14:paraId="1204A6D1" w14:textId="77777777" w:rsidR="009804ED" w:rsidRPr="009804ED" w:rsidRDefault="009804ED" w:rsidP="009804ED">
      <w:pPr>
        <w:spacing w:before="120" w:after="120" w:line="240" w:lineRule="exact"/>
        <w:ind w:left="283" w:hanging="283"/>
        <w:jc w:val="both"/>
        <w:rPr>
          <w:rFonts w:ascii="FrankRuehl" w:hAnsi="FrankRuehl" w:cs="FrankRuehl"/>
          <w:rtl/>
        </w:rPr>
      </w:pPr>
      <w:hyperlink r:id="rId7" w:history="1">
        <w:r w:rsidRPr="009804ED">
          <w:rPr>
            <w:rFonts w:ascii="FrankRuehl" w:hAnsi="FrankRuehl" w:cs="FrankRuehl"/>
            <w:color w:val="0000FF"/>
            <w:rtl/>
          </w:rPr>
          <w:t>פקודת הסמים המסוכנים [נוסח חדש], תשל"ג-1973</w:t>
        </w:r>
      </w:hyperlink>
      <w:r w:rsidRPr="009804ED">
        <w:rPr>
          <w:rFonts w:ascii="FrankRuehl" w:hAnsi="FrankRuehl" w:cs="FrankRuehl"/>
          <w:rtl/>
        </w:rPr>
        <w:t xml:space="preserve">: סע'  </w:t>
      </w:r>
      <w:hyperlink r:id="rId8" w:history="1">
        <w:r w:rsidRPr="009804ED">
          <w:rPr>
            <w:rFonts w:ascii="FrankRuehl" w:hAnsi="FrankRuehl" w:cs="FrankRuehl"/>
            <w:color w:val="0000FF"/>
            <w:rtl/>
          </w:rPr>
          <w:t>13</w:t>
        </w:r>
      </w:hyperlink>
      <w:r w:rsidRPr="009804ED">
        <w:rPr>
          <w:rFonts w:ascii="FrankRuehl" w:hAnsi="FrankRuehl" w:cs="FrankRuehl"/>
          <w:rtl/>
        </w:rPr>
        <w:t xml:space="preserve">, </w:t>
      </w:r>
      <w:hyperlink r:id="rId9" w:history="1">
        <w:r w:rsidRPr="009804ED">
          <w:rPr>
            <w:rFonts w:ascii="FrankRuehl" w:hAnsi="FrankRuehl" w:cs="FrankRuehl"/>
            <w:color w:val="0000FF"/>
            <w:rtl/>
          </w:rPr>
          <w:t>19.א</w:t>
        </w:r>
      </w:hyperlink>
    </w:p>
    <w:p w14:paraId="57805C18" w14:textId="77777777" w:rsidR="009804ED" w:rsidRPr="009804ED" w:rsidRDefault="009804ED" w:rsidP="009804ED">
      <w:pPr>
        <w:spacing w:before="120" w:after="120" w:line="240" w:lineRule="exact"/>
        <w:ind w:left="283" w:hanging="283"/>
        <w:jc w:val="both"/>
        <w:rPr>
          <w:rFonts w:ascii="FrankRuehl" w:hAnsi="FrankRuehl" w:cs="FrankRuehl"/>
          <w:rtl/>
        </w:rPr>
      </w:pPr>
      <w:hyperlink r:id="rId10" w:history="1">
        <w:r w:rsidRPr="009804ED">
          <w:rPr>
            <w:rFonts w:ascii="FrankRuehl" w:hAnsi="FrankRuehl" w:cs="FrankRuehl"/>
            <w:color w:val="0000FF"/>
            <w:rtl/>
          </w:rPr>
          <w:t>חוק העונשין, תשל"ז-1977</w:t>
        </w:r>
      </w:hyperlink>
      <w:r w:rsidRPr="009804ED">
        <w:rPr>
          <w:rFonts w:ascii="FrankRuehl" w:hAnsi="FrankRuehl" w:cs="FrankRuehl"/>
          <w:rtl/>
        </w:rPr>
        <w:t xml:space="preserve">: סע'  </w:t>
      </w:r>
      <w:hyperlink r:id="rId11" w:history="1">
        <w:r w:rsidRPr="009804ED">
          <w:rPr>
            <w:rFonts w:ascii="FrankRuehl" w:hAnsi="FrankRuehl" w:cs="FrankRuehl"/>
            <w:color w:val="0000FF"/>
            <w:rtl/>
          </w:rPr>
          <w:t>31</w:t>
        </w:r>
      </w:hyperlink>
      <w:r w:rsidRPr="009804ED">
        <w:rPr>
          <w:rFonts w:ascii="FrankRuehl" w:hAnsi="FrankRuehl" w:cs="FrankRuehl"/>
          <w:rtl/>
        </w:rPr>
        <w:t xml:space="preserve">, </w:t>
      </w:r>
      <w:hyperlink r:id="rId12" w:history="1">
        <w:r w:rsidRPr="009804ED">
          <w:rPr>
            <w:rFonts w:ascii="FrankRuehl" w:hAnsi="FrankRuehl" w:cs="FrankRuehl"/>
            <w:color w:val="0000FF"/>
            <w:rtl/>
          </w:rPr>
          <w:t>40יא'</w:t>
        </w:r>
      </w:hyperlink>
    </w:p>
    <w:p w14:paraId="7259D916" w14:textId="77777777" w:rsidR="009804ED" w:rsidRPr="009804ED" w:rsidRDefault="009804ED" w:rsidP="009804ED">
      <w:pPr>
        <w:jc w:val="center"/>
        <w:rPr>
          <w:rFonts w:ascii="David" w:hAnsi="David"/>
          <w:sz w:val="32"/>
          <w:szCs w:val="32"/>
          <w:rtl/>
        </w:rPr>
      </w:pPr>
      <w:bookmarkStart w:id="4" w:name="LawTable_End"/>
      <w:bookmarkEnd w:id="4"/>
    </w:p>
    <w:p w14:paraId="7BEA0F0F" w14:textId="77777777" w:rsidR="00CA08C1" w:rsidRPr="00DC307A" w:rsidRDefault="00CA08C1" w:rsidP="00DC307A">
      <w:pPr>
        <w:jc w:val="center"/>
        <w:rPr>
          <w:rFonts w:ascii="David" w:hAnsi="David"/>
          <w:sz w:val="32"/>
          <w:szCs w:val="32"/>
          <w:rtl/>
        </w:rPr>
      </w:pPr>
    </w:p>
    <w:p w14:paraId="5D50AC35" w14:textId="77777777" w:rsidR="00CA08C1" w:rsidRPr="001E57FF" w:rsidRDefault="00CA08C1" w:rsidP="001E57FF">
      <w:pPr>
        <w:jc w:val="center"/>
        <w:rPr>
          <w:rFonts w:ascii="David" w:hAnsi="David"/>
          <w:b/>
          <w:bCs/>
          <w:sz w:val="32"/>
          <w:szCs w:val="32"/>
          <w:rtl/>
        </w:rPr>
      </w:pPr>
      <w:bookmarkStart w:id="5" w:name="PsakDin"/>
      <w:r w:rsidRPr="001E57FF">
        <w:rPr>
          <w:rFonts w:ascii="David" w:hAnsi="David"/>
          <w:b/>
          <w:bCs/>
          <w:sz w:val="32"/>
          <w:szCs w:val="32"/>
          <w:rtl/>
        </w:rPr>
        <w:t>גזר דין</w:t>
      </w:r>
    </w:p>
    <w:bookmarkEnd w:id="5"/>
    <w:p w14:paraId="7AEB4D89" w14:textId="77777777" w:rsidR="00CA08C1" w:rsidRPr="00AA5275" w:rsidRDefault="00CA08C1" w:rsidP="00AA5275">
      <w:pPr>
        <w:jc w:val="center"/>
        <w:rPr>
          <w:rFonts w:ascii="David" w:hAnsi="David"/>
          <w:sz w:val="32"/>
          <w:szCs w:val="32"/>
          <w:rtl/>
        </w:rPr>
      </w:pPr>
    </w:p>
    <w:bookmarkEnd w:id="0"/>
    <w:p w14:paraId="300A6A45" w14:textId="77777777" w:rsidR="00AA5275" w:rsidRDefault="00AA5275" w:rsidP="00AA5275">
      <w:pPr>
        <w:spacing w:line="360" w:lineRule="auto"/>
        <w:jc w:val="both"/>
        <w:rPr>
          <w:rFonts w:ascii="Calibri" w:hAnsi="Calibri" w:cs="FrankRuehl"/>
          <w:sz w:val="22"/>
          <w:szCs w:val="28"/>
          <w:rtl/>
        </w:rPr>
      </w:pPr>
      <w:r>
        <w:rPr>
          <w:rFonts w:ascii="Calibri" w:hAnsi="Calibri" w:cs="FrankRuehl" w:hint="cs"/>
          <w:sz w:val="22"/>
          <w:szCs w:val="28"/>
          <w:rtl/>
        </w:rPr>
        <w:t>1.</w:t>
      </w:r>
      <w:r>
        <w:rPr>
          <w:rFonts w:ascii="Calibri" w:hAnsi="Calibri" w:cs="FrankRuehl" w:hint="cs"/>
          <w:sz w:val="22"/>
          <w:szCs w:val="28"/>
          <w:rtl/>
        </w:rPr>
        <w:tab/>
      </w:r>
      <w:bookmarkStart w:id="6" w:name="ABSTRACT_START"/>
      <w:bookmarkEnd w:id="6"/>
      <w:r w:rsidRPr="007D5111">
        <w:rPr>
          <w:rFonts w:ascii="Calibri" w:hAnsi="Calibri" w:cs="FrankRuehl"/>
          <w:sz w:val="22"/>
          <w:szCs w:val="28"/>
          <w:rtl/>
        </w:rPr>
        <w:t xml:space="preserve">הנאשם הודה בהתאם להסדר טיעון דיוני בעובדות כתב אישום מתוקן </w:t>
      </w:r>
      <w:r>
        <w:rPr>
          <w:rFonts w:ascii="Miriam" w:hAnsi="Miriam" w:cs="Miriam" w:hint="cs"/>
          <w:rtl/>
        </w:rPr>
        <w:t>ב</w:t>
      </w:r>
      <w:r w:rsidRPr="00501C7D">
        <w:rPr>
          <w:rFonts w:ascii="Miriam" w:hAnsi="Miriam" w:cs="Miriam"/>
          <w:rtl/>
        </w:rPr>
        <w:t xml:space="preserve">סחר בסם מסוכן </w:t>
      </w:r>
      <w:r>
        <w:rPr>
          <w:rFonts w:ascii="Calibri" w:hAnsi="Calibri" w:cs="FrankRuehl" w:hint="cs"/>
          <w:sz w:val="22"/>
          <w:szCs w:val="28"/>
          <w:rtl/>
        </w:rPr>
        <w:t xml:space="preserve">עבירה לפי </w:t>
      </w:r>
      <w:r w:rsidRPr="007D5111">
        <w:rPr>
          <w:rFonts w:ascii="Calibri" w:hAnsi="Calibri" w:cs="FrankRuehl"/>
          <w:sz w:val="22"/>
          <w:szCs w:val="28"/>
          <w:rtl/>
        </w:rPr>
        <w:t xml:space="preserve">סעיף </w:t>
      </w:r>
      <w:hyperlink r:id="rId13" w:history="1">
        <w:r w:rsidR="00CA08C1" w:rsidRPr="00CA08C1">
          <w:rPr>
            <w:rStyle w:val="Hyperlink"/>
            <w:rFonts w:ascii="Calibri" w:hAnsi="Calibri" w:cs="FrankRuehl"/>
            <w:sz w:val="22"/>
            <w:szCs w:val="28"/>
            <w:rtl/>
          </w:rPr>
          <w:t xml:space="preserve">13 </w:t>
        </w:r>
        <w:r w:rsidR="00CA08C1" w:rsidRPr="00CA08C1">
          <w:rPr>
            <w:rStyle w:val="Hyperlink"/>
            <w:rFonts w:ascii="Calibri" w:hAnsi="Calibri" w:cs="FrankRuehl" w:hint="eastAsia"/>
            <w:sz w:val="22"/>
            <w:szCs w:val="28"/>
            <w:rtl/>
          </w:rPr>
          <w:t>ו</w:t>
        </w:r>
        <w:r w:rsidR="00CA08C1" w:rsidRPr="00CA08C1">
          <w:rPr>
            <w:rStyle w:val="Hyperlink"/>
            <w:rFonts w:ascii="Calibri" w:hAnsi="Calibri" w:cs="FrankRuehl"/>
            <w:sz w:val="22"/>
            <w:szCs w:val="28"/>
            <w:rtl/>
          </w:rPr>
          <w:t>-19</w:t>
        </w:r>
        <w:r w:rsidR="00CA08C1" w:rsidRPr="00CA08C1">
          <w:rPr>
            <w:rStyle w:val="Hyperlink"/>
            <w:rFonts w:ascii="Calibri" w:hAnsi="Calibri" w:cs="FrankRuehl" w:hint="eastAsia"/>
            <w:sz w:val="22"/>
            <w:szCs w:val="28"/>
            <w:rtl/>
          </w:rPr>
          <w:t>א</w:t>
        </w:r>
      </w:hyperlink>
      <w:r w:rsidRPr="007D5111">
        <w:rPr>
          <w:rFonts w:ascii="Calibri" w:hAnsi="Calibri" w:cs="FrankRuehl"/>
          <w:sz w:val="22"/>
          <w:szCs w:val="28"/>
          <w:rtl/>
        </w:rPr>
        <w:t xml:space="preserve"> לפקודת הסמים</w:t>
      </w:r>
      <w:r>
        <w:rPr>
          <w:rFonts w:ascii="Calibri" w:hAnsi="Calibri" w:cs="FrankRuehl" w:hint="cs"/>
          <w:sz w:val="22"/>
          <w:szCs w:val="28"/>
          <w:rtl/>
        </w:rPr>
        <w:t xml:space="preserve"> [נוסח חדש] התשל"ג 1973 (להלן: </w:t>
      </w:r>
      <w:r w:rsidRPr="005F0A89">
        <w:rPr>
          <w:rFonts w:ascii="Miriam" w:hAnsi="Miriam" w:cs="Miriam" w:hint="cs"/>
          <w:rtl/>
        </w:rPr>
        <w:t>פקודת הסמים</w:t>
      </w:r>
      <w:r>
        <w:rPr>
          <w:rFonts w:ascii="Calibri" w:hAnsi="Calibri" w:cs="FrankRuehl" w:hint="cs"/>
          <w:sz w:val="22"/>
          <w:szCs w:val="28"/>
          <w:rtl/>
        </w:rPr>
        <w:t>) וב</w:t>
      </w:r>
      <w:r>
        <w:rPr>
          <w:rFonts w:ascii="Miriam" w:hAnsi="Miriam" w:cs="Miriam"/>
          <w:rtl/>
        </w:rPr>
        <w:t xml:space="preserve">סיוע לסחר בסם מסוכן </w:t>
      </w:r>
      <w:r>
        <w:rPr>
          <w:rFonts w:ascii="Calibri" w:hAnsi="Calibri" w:cs="FrankRuehl" w:hint="cs"/>
          <w:sz w:val="22"/>
          <w:szCs w:val="28"/>
          <w:rtl/>
        </w:rPr>
        <w:t xml:space="preserve">עבירה לפי </w:t>
      </w:r>
      <w:r w:rsidRPr="007D5111">
        <w:rPr>
          <w:rFonts w:ascii="Calibri" w:hAnsi="Calibri" w:cs="FrankRuehl"/>
          <w:sz w:val="22"/>
          <w:szCs w:val="28"/>
          <w:rtl/>
        </w:rPr>
        <w:t xml:space="preserve">סעיפים </w:t>
      </w:r>
      <w:hyperlink r:id="rId14" w:history="1">
        <w:r w:rsidR="00CA08C1" w:rsidRPr="00CA08C1">
          <w:rPr>
            <w:rStyle w:val="Hyperlink"/>
            <w:rFonts w:ascii="Calibri" w:hAnsi="Calibri" w:cs="FrankRuehl"/>
            <w:sz w:val="22"/>
            <w:szCs w:val="28"/>
            <w:rtl/>
          </w:rPr>
          <w:t xml:space="preserve">13 </w:t>
        </w:r>
        <w:r w:rsidR="00CA08C1" w:rsidRPr="00CA08C1">
          <w:rPr>
            <w:rStyle w:val="Hyperlink"/>
            <w:rFonts w:ascii="Calibri" w:hAnsi="Calibri" w:cs="FrankRuehl" w:hint="eastAsia"/>
            <w:sz w:val="22"/>
            <w:szCs w:val="28"/>
            <w:rtl/>
          </w:rPr>
          <w:t>ו</w:t>
        </w:r>
        <w:r w:rsidR="00CA08C1" w:rsidRPr="00CA08C1">
          <w:rPr>
            <w:rStyle w:val="Hyperlink"/>
            <w:rFonts w:ascii="Calibri" w:hAnsi="Calibri" w:cs="FrankRuehl"/>
            <w:sz w:val="22"/>
            <w:szCs w:val="28"/>
            <w:rtl/>
          </w:rPr>
          <w:t>-19</w:t>
        </w:r>
        <w:r w:rsidR="00CA08C1" w:rsidRPr="00CA08C1">
          <w:rPr>
            <w:rStyle w:val="Hyperlink"/>
            <w:rFonts w:ascii="Calibri" w:hAnsi="Calibri" w:cs="FrankRuehl" w:hint="eastAsia"/>
            <w:sz w:val="22"/>
            <w:szCs w:val="28"/>
            <w:rtl/>
          </w:rPr>
          <w:t>א</w:t>
        </w:r>
        <w:r w:rsidR="00CA08C1" w:rsidRPr="00CA08C1">
          <w:rPr>
            <w:rStyle w:val="Hyperlink"/>
            <w:rFonts w:ascii="Calibri" w:hAnsi="Calibri" w:cs="FrankRuehl"/>
            <w:sz w:val="22"/>
            <w:szCs w:val="28"/>
            <w:rtl/>
          </w:rPr>
          <w:t>'</w:t>
        </w:r>
      </w:hyperlink>
      <w:r w:rsidRPr="007D5111">
        <w:rPr>
          <w:rFonts w:ascii="Calibri" w:hAnsi="Calibri" w:cs="FrankRuehl"/>
          <w:sz w:val="22"/>
          <w:szCs w:val="28"/>
          <w:rtl/>
        </w:rPr>
        <w:t xml:space="preserve"> </w:t>
      </w:r>
      <w:hyperlink r:id="rId15" w:history="1">
        <w:r w:rsidR="00CA08C1" w:rsidRPr="00CA08C1">
          <w:rPr>
            <w:rStyle w:val="Hyperlink"/>
            <w:rFonts w:ascii="Calibri" w:hAnsi="Calibri" w:cs="FrankRuehl" w:hint="eastAsia"/>
            <w:sz w:val="22"/>
            <w:szCs w:val="28"/>
            <w:rtl/>
          </w:rPr>
          <w:t>וסעיף</w:t>
        </w:r>
        <w:r w:rsidR="00CA08C1" w:rsidRPr="00CA08C1">
          <w:rPr>
            <w:rStyle w:val="Hyperlink"/>
            <w:rFonts w:ascii="Calibri" w:hAnsi="Calibri" w:cs="FrankRuehl"/>
            <w:sz w:val="22"/>
            <w:szCs w:val="28"/>
            <w:rtl/>
          </w:rPr>
          <w:t xml:space="preserve"> 31</w:t>
        </w:r>
      </w:hyperlink>
      <w:r>
        <w:rPr>
          <w:rFonts w:ascii="Calibri" w:hAnsi="Calibri" w:cs="FrankRuehl"/>
          <w:sz w:val="22"/>
          <w:szCs w:val="28"/>
          <w:rtl/>
        </w:rPr>
        <w:t xml:space="preserve"> ל</w:t>
      </w:r>
      <w:hyperlink r:id="rId16" w:history="1">
        <w:r w:rsidR="001E57FF" w:rsidRPr="001E57FF">
          <w:rPr>
            <w:rFonts w:ascii="Calibri" w:hAnsi="Calibri" w:cs="FrankRuehl" w:hint="eastAsia"/>
            <w:color w:val="0000FF"/>
            <w:sz w:val="22"/>
            <w:szCs w:val="28"/>
            <w:u w:val="single"/>
            <w:rtl/>
          </w:rPr>
          <w:t>חוק</w:t>
        </w:r>
        <w:r w:rsidR="001E57FF" w:rsidRPr="001E57FF">
          <w:rPr>
            <w:rFonts w:ascii="Calibri" w:hAnsi="Calibri" w:cs="FrankRuehl"/>
            <w:color w:val="0000FF"/>
            <w:sz w:val="22"/>
            <w:szCs w:val="28"/>
            <w:u w:val="single"/>
            <w:rtl/>
          </w:rPr>
          <w:t xml:space="preserve"> </w:t>
        </w:r>
        <w:r w:rsidR="001E57FF" w:rsidRPr="001E57FF">
          <w:rPr>
            <w:rFonts w:ascii="Calibri" w:hAnsi="Calibri" w:cs="FrankRuehl" w:hint="eastAsia"/>
            <w:color w:val="0000FF"/>
            <w:sz w:val="22"/>
            <w:szCs w:val="28"/>
            <w:u w:val="single"/>
            <w:rtl/>
          </w:rPr>
          <w:t>העונשין</w:t>
        </w:r>
      </w:hyperlink>
      <w:r>
        <w:rPr>
          <w:rFonts w:ascii="Calibri" w:hAnsi="Calibri" w:cs="FrankRuehl"/>
          <w:sz w:val="22"/>
          <w:szCs w:val="28"/>
          <w:rtl/>
        </w:rPr>
        <w:t xml:space="preserve"> </w:t>
      </w:r>
      <w:r w:rsidRPr="007D5111">
        <w:rPr>
          <w:rFonts w:ascii="Calibri" w:hAnsi="Calibri" w:cs="FrankRuehl"/>
          <w:sz w:val="22"/>
          <w:szCs w:val="28"/>
          <w:rtl/>
        </w:rPr>
        <w:t xml:space="preserve">התשל"ז – 1977 (להלן: </w:t>
      </w:r>
      <w:r w:rsidRPr="007D5111">
        <w:rPr>
          <w:rFonts w:ascii="Miriam" w:hAnsi="Miriam" w:cs="Miriam"/>
          <w:rtl/>
        </w:rPr>
        <w:t>חוק העונשין</w:t>
      </w:r>
      <w:r w:rsidRPr="007D5111">
        <w:rPr>
          <w:rFonts w:ascii="Calibri" w:hAnsi="Calibri" w:cs="FrankRuehl"/>
          <w:sz w:val="22"/>
          <w:szCs w:val="28"/>
          <w:rtl/>
        </w:rPr>
        <w:t>)</w:t>
      </w:r>
      <w:r>
        <w:rPr>
          <w:rFonts w:ascii="Calibri" w:hAnsi="Calibri" w:cs="FrankRuehl" w:hint="cs"/>
          <w:sz w:val="22"/>
          <w:szCs w:val="28"/>
          <w:rtl/>
        </w:rPr>
        <w:t xml:space="preserve">. </w:t>
      </w:r>
      <w:r w:rsidRPr="007D5111">
        <w:rPr>
          <w:rFonts w:ascii="Calibri" w:hAnsi="Calibri" w:cs="FrankRuehl"/>
          <w:sz w:val="22"/>
          <w:szCs w:val="28"/>
          <w:rtl/>
        </w:rPr>
        <w:t xml:space="preserve"> </w:t>
      </w:r>
    </w:p>
    <w:p w14:paraId="1A9BA951" w14:textId="77777777" w:rsidR="00AA5275" w:rsidRDefault="00AA5275" w:rsidP="00AA5275">
      <w:pPr>
        <w:jc w:val="both"/>
        <w:rPr>
          <w:rFonts w:ascii="Calibri" w:hAnsi="Calibri" w:cs="FrankRuehl"/>
          <w:sz w:val="22"/>
          <w:szCs w:val="28"/>
          <w:rtl/>
        </w:rPr>
      </w:pPr>
      <w:bookmarkStart w:id="7" w:name="ABSTRACT_END"/>
      <w:bookmarkEnd w:id="7"/>
    </w:p>
    <w:p w14:paraId="60BB5081" w14:textId="77777777" w:rsidR="00AA5275" w:rsidRDefault="00AA5275" w:rsidP="00AA5275">
      <w:pPr>
        <w:spacing w:line="360" w:lineRule="auto"/>
        <w:ind w:left="-52"/>
        <w:jc w:val="both"/>
        <w:rPr>
          <w:rFonts w:ascii="Miriam" w:hAnsi="Miriam" w:cs="Miriam"/>
          <w:rtl/>
        </w:rPr>
      </w:pPr>
      <w:r>
        <w:rPr>
          <w:rFonts w:ascii="Calibri" w:hAnsi="Calibri" w:cs="FrankRuehl" w:hint="cs"/>
          <w:sz w:val="22"/>
          <w:szCs w:val="28"/>
          <w:rtl/>
        </w:rPr>
        <w:t>2.</w:t>
      </w:r>
      <w:r>
        <w:rPr>
          <w:rFonts w:ascii="Calibri" w:hAnsi="Calibri" w:cs="FrankRuehl" w:hint="cs"/>
          <w:sz w:val="22"/>
          <w:szCs w:val="28"/>
          <w:rtl/>
        </w:rPr>
        <w:tab/>
      </w:r>
      <w:r>
        <w:rPr>
          <w:rFonts w:ascii="Calibri" w:hAnsi="Calibri" w:cs="FrankRuehl"/>
          <w:sz w:val="22"/>
          <w:szCs w:val="28"/>
          <w:rtl/>
        </w:rPr>
        <w:t>בין הצדדים לא התגבשה הסכמה לעניין העונש</w:t>
      </w:r>
      <w:r>
        <w:rPr>
          <w:rFonts w:ascii="Calibri" w:hAnsi="Calibri" w:cs="FrankRuehl" w:hint="cs"/>
          <w:sz w:val="22"/>
          <w:szCs w:val="28"/>
          <w:rtl/>
        </w:rPr>
        <w:t xml:space="preserve"> וכל צד טען כראות עיניו. </w:t>
      </w:r>
      <w:r>
        <w:rPr>
          <w:rFonts w:ascii="Calibri" w:hAnsi="Calibri" w:cs="FrankRuehl"/>
          <w:sz w:val="22"/>
          <w:szCs w:val="28"/>
          <w:rtl/>
        </w:rPr>
        <w:t xml:space="preserve"> </w:t>
      </w:r>
    </w:p>
    <w:p w14:paraId="0D0C5B07" w14:textId="77777777" w:rsidR="00AA5275" w:rsidRDefault="00AA5275" w:rsidP="00AA5275">
      <w:pPr>
        <w:ind w:left="-52"/>
        <w:jc w:val="both"/>
        <w:rPr>
          <w:rFonts w:ascii="Miriam" w:hAnsi="Miriam" w:cs="Miriam"/>
          <w:rtl/>
        </w:rPr>
      </w:pPr>
    </w:p>
    <w:p w14:paraId="2E0CE02E" w14:textId="77777777" w:rsidR="00AA5275" w:rsidRDefault="00AA5275" w:rsidP="00AA5275">
      <w:pPr>
        <w:spacing w:line="360" w:lineRule="auto"/>
        <w:ind w:left="-52"/>
        <w:jc w:val="both"/>
        <w:rPr>
          <w:rFonts w:ascii="Calibri" w:hAnsi="Calibri" w:cs="FrankRuehl"/>
          <w:sz w:val="22"/>
          <w:szCs w:val="28"/>
          <w:rtl/>
        </w:rPr>
      </w:pPr>
      <w:r>
        <w:rPr>
          <w:rFonts w:ascii="Miriam" w:hAnsi="Miriam" w:cs="Miriam"/>
          <w:rtl/>
        </w:rPr>
        <w:t xml:space="preserve">עובדות כתב האישום בתמצית </w:t>
      </w:r>
    </w:p>
    <w:p w14:paraId="3F0106DF" w14:textId="77777777" w:rsidR="00AA5275" w:rsidRDefault="00AA5275" w:rsidP="00AA5275">
      <w:pPr>
        <w:ind w:left="-52"/>
        <w:jc w:val="both"/>
        <w:rPr>
          <w:rFonts w:ascii="Calibri" w:hAnsi="Calibri" w:cs="FrankRuehl"/>
          <w:sz w:val="22"/>
          <w:szCs w:val="28"/>
          <w:rtl/>
        </w:rPr>
      </w:pPr>
    </w:p>
    <w:p w14:paraId="257181C3" w14:textId="77777777" w:rsidR="00AA5275" w:rsidRDefault="00AA5275" w:rsidP="00AA5275">
      <w:pPr>
        <w:spacing w:line="360" w:lineRule="auto"/>
        <w:ind w:left="-52"/>
        <w:jc w:val="both"/>
        <w:rPr>
          <w:rFonts w:ascii="Calibri" w:hAnsi="Calibri" w:cs="FrankRuehl"/>
          <w:sz w:val="22"/>
          <w:szCs w:val="28"/>
        </w:rPr>
      </w:pPr>
      <w:r>
        <w:rPr>
          <w:rFonts w:ascii="Calibri" w:hAnsi="Calibri" w:cs="FrankRuehl" w:hint="cs"/>
          <w:sz w:val="22"/>
          <w:szCs w:val="28"/>
          <w:rtl/>
        </w:rPr>
        <w:t>3.</w:t>
      </w:r>
      <w:r>
        <w:rPr>
          <w:rFonts w:ascii="Calibri" w:hAnsi="Calibri" w:cs="FrankRuehl" w:hint="cs"/>
          <w:sz w:val="22"/>
          <w:szCs w:val="28"/>
          <w:rtl/>
        </w:rPr>
        <w:tab/>
        <w:t>עסקינן ב</w:t>
      </w:r>
      <w:r>
        <w:rPr>
          <w:rFonts w:ascii="Calibri" w:hAnsi="Calibri" w:cs="FrankRuehl"/>
          <w:sz w:val="22"/>
          <w:szCs w:val="28"/>
          <w:rtl/>
        </w:rPr>
        <w:t xml:space="preserve">כתב אישום אחד מתוך פרשייה, במסגרתה הופעל שוטר כסוכן משטרתי סמוי באזור המרכז אשר ביצע מול הנאשם (ונאשמים אחרים) עסקאות סמים. במסגרת פעילותו החשאית </w:t>
      </w:r>
      <w:r>
        <w:rPr>
          <w:rFonts w:ascii="Calibri" w:hAnsi="Calibri" w:cs="FrankRuehl" w:hint="cs"/>
          <w:sz w:val="22"/>
          <w:szCs w:val="28"/>
          <w:rtl/>
        </w:rPr>
        <w:t xml:space="preserve">של הסוכן </w:t>
      </w:r>
      <w:r>
        <w:rPr>
          <w:rFonts w:ascii="Calibri" w:hAnsi="Calibri" w:cs="FrankRuehl"/>
          <w:sz w:val="22"/>
          <w:szCs w:val="28"/>
          <w:rtl/>
        </w:rPr>
        <w:t xml:space="preserve">וכחלק מסיפור הכיסוי שלו עבד </w:t>
      </w:r>
      <w:r>
        <w:rPr>
          <w:rFonts w:ascii="Calibri" w:hAnsi="Calibri" w:cs="FrankRuehl" w:hint="cs"/>
          <w:sz w:val="22"/>
          <w:szCs w:val="28"/>
          <w:rtl/>
        </w:rPr>
        <w:t xml:space="preserve">הסוכן </w:t>
      </w:r>
      <w:r>
        <w:rPr>
          <w:rFonts w:ascii="Calibri" w:hAnsi="Calibri" w:cs="FrankRuehl"/>
          <w:sz w:val="22"/>
          <w:szCs w:val="28"/>
          <w:rtl/>
        </w:rPr>
        <w:t xml:space="preserve">כשליח של חברת "תן ביס" ושליח של משקאות אלכוהוליים. בין הסוכן לנאשם היכרות קודמת לאירועים נשוא כתב האישום, </w:t>
      </w:r>
      <w:r>
        <w:rPr>
          <w:rFonts w:ascii="Calibri" w:hAnsi="Calibri" w:cs="FrankRuehl"/>
          <w:sz w:val="22"/>
          <w:szCs w:val="28"/>
          <w:rtl/>
        </w:rPr>
        <w:lastRenderedPageBreak/>
        <w:t xml:space="preserve">מתקופת שירותם הצבאי. </w:t>
      </w:r>
      <w:r>
        <w:rPr>
          <w:rFonts w:ascii="Calibri" w:hAnsi="Calibri" w:cs="FrankRuehl" w:hint="cs"/>
          <w:sz w:val="22"/>
          <w:szCs w:val="28"/>
          <w:rtl/>
        </w:rPr>
        <w:t>כתב האישום הוגש נגד חמישה נאשמים ובגדרו שישה אישומים ו</w:t>
      </w:r>
      <w:r>
        <w:rPr>
          <w:rFonts w:ascii="Calibri" w:hAnsi="Calibri" w:cs="FrankRuehl"/>
          <w:sz w:val="22"/>
          <w:szCs w:val="28"/>
          <w:rtl/>
        </w:rPr>
        <w:t xml:space="preserve">לנאשם מיוחסים האישום הראשון והאישום הרביעי. </w:t>
      </w:r>
    </w:p>
    <w:p w14:paraId="0E8BED22" w14:textId="77777777" w:rsidR="00AA5275" w:rsidRDefault="00AA5275" w:rsidP="00AA5275">
      <w:pPr>
        <w:jc w:val="both"/>
        <w:rPr>
          <w:rFonts w:ascii="Calibri" w:hAnsi="Calibri" w:cs="FrankRuehl"/>
          <w:sz w:val="22"/>
          <w:szCs w:val="28"/>
          <w:rtl/>
        </w:rPr>
      </w:pPr>
    </w:p>
    <w:p w14:paraId="2914FC48" w14:textId="77777777" w:rsidR="00AA5275" w:rsidRDefault="00AA5275" w:rsidP="00AA5275">
      <w:pPr>
        <w:spacing w:line="360" w:lineRule="auto"/>
        <w:ind w:left="-52"/>
        <w:jc w:val="both"/>
        <w:rPr>
          <w:rFonts w:ascii="Calibri" w:hAnsi="Calibri" w:cs="FrankRuehl"/>
          <w:sz w:val="22"/>
          <w:szCs w:val="28"/>
          <w:rtl/>
        </w:rPr>
      </w:pPr>
      <w:r w:rsidRPr="00501C7D">
        <w:rPr>
          <w:rFonts w:ascii="Calibri" w:hAnsi="Calibri" w:cs="FrankRuehl" w:hint="cs"/>
          <w:sz w:val="22"/>
          <w:szCs w:val="28"/>
          <w:rtl/>
        </w:rPr>
        <w:t>4.</w:t>
      </w:r>
      <w:r>
        <w:rPr>
          <w:rFonts w:ascii="Miriam" w:hAnsi="Miriam" w:cs="Miriam" w:hint="cs"/>
          <w:rtl/>
        </w:rPr>
        <w:tab/>
      </w:r>
      <w:r>
        <w:rPr>
          <w:rFonts w:ascii="Miriam" w:hAnsi="Miriam" w:cs="Miriam"/>
          <w:rtl/>
        </w:rPr>
        <w:t xml:space="preserve">על פי עובדות האישום הראשון </w:t>
      </w:r>
      <w:r>
        <w:rPr>
          <w:rFonts w:ascii="Calibri" w:hAnsi="Calibri" w:cs="FrankRuehl"/>
          <w:sz w:val="22"/>
          <w:szCs w:val="28"/>
          <w:rtl/>
        </w:rPr>
        <w:t>ביום 26.1.21 בעת עבודתו פגש הסוכן באקראי את הנאשם והשניים החלו לשוחח. הסוכן סיפר לנאשם כי בכוונתו לנסוע לאילת על מנת לרכוש שם שתיה חריפה, הנאשם השיב לו כי מכיר אנשים רבים באילת ויכול למכור לו סמים מסוגים שונים, השניים החליפו מספרי טלפון וקבעו לדבר בהמשך.</w:t>
      </w:r>
      <w:r>
        <w:rPr>
          <w:rFonts w:ascii="Calibri" w:hAnsi="Calibri" w:cs="FrankRuehl" w:hint="cs"/>
          <w:sz w:val="22"/>
          <w:szCs w:val="28"/>
          <w:rtl/>
        </w:rPr>
        <w:t xml:space="preserve"> </w:t>
      </w:r>
    </w:p>
    <w:p w14:paraId="251F2236" w14:textId="77777777" w:rsidR="00AA5275" w:rsidRDefault="00AA5275" w:rsidP="00AA5275">
      <w:pPr>
        <w:ind w:left="-52"/>
        <w:jc w:val="both"/>
        <w:rPr>
          <w:rFonts w:ascii="Calibri" w:hAnsi="Calibri" w:cs="FrankRuehl"/>
          <w:sz w:val="22"/>
          <w:szCs w:val="28"/>
          <w:rtl/>
        </w:rPr>
      </w:pPr>
    </w:p>
    <w:p w14:paraId="3670331B" w14:textId="77777777" w:rsidR="00AA5275" w:rsidRDefault="00AA5275" w:rsidP="00AA5275">
      <w:pPr>
        <w:spacing w:line="360" w:lineRule="auto"/>
        <w:ind w:left="-52" w:firstLine="772"/>
        <w:jc w:val="both"/>
        <w:rPr>
          <w:rFonts w:ascii="Calibri" w:hAnsi="Calibri" w:cs="FrankRuehl"/>
          <w:sz w:val="22"/>
          <w:szCs w:val="28"/>
          <w:rtl/>
        </w:rPr>
      </w:pPr>
      <w:r>
        <w:rPr>
          <w:rFonts w:ascii="Calibri" w:hAnsi="Calibri" w:cs="FrankRuehl"/>
          <w:sz w:val="22"/>
          <w:szCs w:val="28"/>
          <w:rtl/>
        </w:rPr>
        <w:t xml:space="preserve">ביום 15.2.21 בשעות אחר הצהריים התכתבו הסוכן והנאשם 1 בטלפון וסיכמו כי הסוכן ירכוש מאדם אחר שזהותו אינה ידועה למאשימה (להלן: </w:t>
      </w:r>
      <w:r w:rsidRPr="002C679A">
        <w:rPr>
          <w:rFonts w:ascii="Miriam" w:hAnsi="Miriam" w:cs="Miriam"/>
          <w:rtl/>
        </w:rPr>
        <w:t>האחר</w:t>
      </w:r>
      <w:r>
        <w:rPr>
          <w:rFonts w:ascii="Calibri" w:hAnsi="Calibri" w:cs="FrankRuehl"/>
          <w:sz w:val="22"/>
          <w:szCs w:val="28"/>
          <w:rtl/>
        </w:rPr>
        <w:t xml:space="preserve">) 30 גרם קוקאין תמורת 380 ₪ לגרם סם (להלן: </w:t>
      </w:r>
      <w:r w:rsidRPr="002C679A">
        <w:rPr>
          <w:rFonts w:ascii="Miriam" w:hAnsi="Miriam" w:cs="Miriam"/>
          <w:rtl/>
        </w:rPr>
        <w:t>העסקה</w:t>
      </w:r>
      <w:r>
        <w:rPr>
          <w:rFonts w:ascii="Calibri" w:hAnsi="Calibri" w:cs="FrankRuehl"/>
          <w:sz w:val="22"/>
          <w:szCs w:val="28"/>
          <w:rtl/>
        </w:rPr>
        <w:t xml:space="preserve">) ולשם ביצועה תיאמו מקום מפגש. </w:t>
      </w:r>
      <w:r>
        <w:rPr>
          <w:rFonts w:ascii="Calibri" w:hAnsi="Calibri" w:cs="FrankRuehl" w:hint="cs"/>
          <w:sz w:val="22"/>
          <w:szCs w:val="28"/>
          <w:rtl/>
        </w:rPr>
        <w:t>ב</w:t>
      </w:r>
      <w:r>
        <w:rPr>
          <w:rFonts w:ascii="Calibri" w:hAnsi="Calibri" w:cs="FrankRuehl"/>
          <w:sz w:val="22"/>
          <w:szCs w:val="28"/>
          <w:rtl/>
        </w:rPr>
        <w:t xml:space="preserve">התאם למוסכם בשעה 19:23 נפגשו הנאשם והסוכן במקום המפגש. הסוכן מסר לנאשם 7,600 ₪ והאחרון עזב את המקום. בהמשך סמוך לשעה 19:48 נפגשו הסוכן והנאשם בחניון הנמצא בקרבת המקום, לשם הגיע האחר ומסר לנאשם שקית ובה 19.96 גרם נטו סם מסוכן מסוג קוקאין. הנאשם 1 מסר את השקית לסוכן. </w:t>
      </w:r>
    </w:p>
    <w:p w14:paraId="09656336" w14:textId="77777777" w:rsidR="00AA5275" w:rsidRDefault="00AA5275" w:rsidP="00AA5275">
      <w:pPr>
        <w:ind w:left="-52"/>
        <w:jc w:val="both"/>
        <w:rPr>
          <w:rFonts w:ascii="Calibri" w:hAnsi="Calibri" w:cs="FrankRuehl"/>
          <w:sz w:val="22"/>
          <w:szCs w:val="28"/>
          <w:rtl/>
        </w:rPr>
      </w:pPr>
    </w:p>
    <w:p w14:paraId="119BBE46" w14:textId="77777777" w:rsidR="00AA5275" w:rsidRDefault="00AA5275" w:rsidP="00AA5275">
      <w:pPr>
        <w:spacing w:line="360" w:lineRule="auto"/>
        <w:ind w:left="-52"/>
        <w:jc w:val="both"/>
        <w:rPr>
          <w:rFonts w:ascii="Calibri" w:hAnsi="Calibri" w:cs="FrankRuehl"/>
          <w:sz w:val="22"/>
          <w:szCs w:val="28"/>
          <w:rtl/>
        </w:rPr>
      </w:pPr>
      <w:r>
        <w:rPr>
          <w:rFonts w:ascii="Calibri" w:hAnsi="Calibri" w:cs="FrankRuehl" w:hint="cs"/>
          <w:sz w:val="22"/>
          <w:szCs w:val="28"/>
          <w:rtl/>
        </w:rPr>
        <w:t>5</w:t>
      </w:r>
      <w:r w:rsidRPr="00501C7D">
        <w:rPr>
          <w:rFonts w:ascii="Calibri" w:hAnsi="Calibri" w:cs="FrankRuehl" w:hint="cs"/>
          <w:sz w:val="22"/>
          <w:szCs w:val="28"/>
          <w:rtl/>
        </w:rPr>
        <w:t>.</w:t>
      </w:r>
      <w:r>
        <w:rPr>
          <w:rFonts w:ascii="Miriam" w:hAnsi="Miriam" w:cs="Miriam" w:hint="cs"/>
          <w:rtl/>
        </w:rPr>
        <w:tab/>
      </w:r>
      <w:r>
        <w:rPr>
          <w:rFonts w:ascii="Miriam" w:hAnsi="Miriam" w:cs="Miriam"/>
          <w:rtl/>
        </w:rPr>
        <w:t>על פי עובדות האישום השני</w:t>
      </w:r>
      <w:r>
        <w:rPr>
          <w:rFonts w:ascii="Calibri" w:hAnsi="Calibri" w:cs="FrankRuehl"/>
          <w:sz w:val="22"/>
          <w:szCs w:val="28"/>
          <w:rtl/>
        </w:rPr>
        <w:t>: ביום 1.3.21 בשעות הצהריים שוחחו הסוכן והנאשם וסיכמו כי הנאשם ימכור לסוכן סם מסוכן מסוג קוקאין. לצורך ביצוע העסקה תיאמו מקום מפגש. בהמשך סמוך לשעה 19:10 השניים נפגשו והנאשם מסר לסוכן, לאחר ששוחח עם אחר בטלפון</w:t>
      </w:r>
      <w:r>
        <w:rPr>
          <w:rFonts w:ascii="Calibri" w:hAnsi="Calibri" w:cs="FrankRuehl" w:hint="cs"/>
          <w:sz w:val="22"/>
          <w:szCs w:val="28"/>
          <w:rtl/>
        </w:rPr>
        <w:t>,</w:t>
      </w:r>
      <w:r>
        <w:rPr>
          <w:rFonts w:ascii="Calibri" w:hAnsi="Calibri" w:cs="FrankRuehl"/>
          <w:sz w:val="22"/>
          <w:szCs w:val="28"/>
          <w:rtl/>
        </w:rPr>
        <w:t xml:space="preserve"> כי העסקה לא תוכל להתבצע באותו היום והשניים סיכמו לשוב ולשוחח למחרת. </w:t>
      </w:r>
    </w:p>
    <w:p w14:paraId="1EDF4AFD" w14:textId="77777777" w:rsidR="00AA5275" w:rsidRDefault="00AA5275" w:rsidP="00AA5275">
      <w:pPr>
        <w:ind w:left="-52"/>
        <w:jc w:val="both"/>
        <w:rPr>
          <w:rFonts w:ascii="Calibri" w:hAnsi="Calibri" w:cs="FrankRuehl"/>
          <w:sz w:val="22"/>
          <w:szCs w:val="28"/>
          <w:rtl/>
        </w:rPr>
      </w:pPr>
    </w:p>
    <w:p w14:paraId="774C914A" w14:textId="77777777" w:rsidR="00AA5275" w:rsidRPr="003837C0" w:rsidRDefault="00AA5275" w:rsidP="00AA5275">
      <w:pPr>
        <w:spacing w:line="360" w:lineRule="auto"/>
        <w:ind w:left="-52" w:firstLine="772"/>
        <w:jc w:val="both"/>
        <w:rPr>
          <w:rFonts w:ascii="Calibri" w:hAnsi="Calibri" w:cs="FrankRuehl"/>
          <w:sz w:val="22"/>
          <w:szCs w:val="28"/>
          <w:rtl/>
        </w:rPr>
      </w:pPr>
      <w:r>
        <w:rPr>
          <w:rFonts w:ascii="Calibri" w:hAnsi="Calibri" w:cs="FrankRuehl"/>
          <w:sz w:val="22"/>
          <w:szCs w:val="28"/>
          <w:rtl/>
        </w:rPr>
        <w:t>ביום 2.3.21 בשעה 13:14 פנה הנאשם לסוכן בהצעה לרכישת סמים והשניים קבעו להיפגש. במועד זה, הציע הנאשם לסוכן לרכוש 5 גרם קוקאין נוספים תמורת 1,500 ₪. בהמשך אותו היום ובשעה 18:08 נפגשו השניים במקום המפגש, הסוכן מסר לנאשם 7,600 ₪</w:t>
      </w:r>
      <w:r>
        <w:rPr>
          <w:rFonts w:ascii="Calibri" w:hAnsi="Calibri" w:cs="FrankRuehl" w:hint="cs"/>
          <w:sz w:val="22"/>
          <w:szCs w:val="28"/>
          <w:rtl/>
        </w:rPr>
        <w:t>.</w:t>
      </w:r>
      <w:r>
        <w:rPr>
          <w:rFonts w:ascii="Calibri" w:hAnsi="Calibri" w:cs="FrankRuehl"/>
          <w:sz w:val="22"/>
          <w:szCs w:val="28"/>
          <w:rtl/>
        </w:rPr>
        <w:t xml:space="preserve"> </w:t>
      </w:r>
      <w:r>
        <w:rPr>
          <w:rFonts w:ascii="Calibri" w:hAnsi="Calibri" w:cs="FrankRuehl" w:hint="cs"/>
          <w:sz w:val="22"/>
          <w:szCs w:val="28"/>
          <w:rtl/>
        </w:rPr>
        <w:t xml:space="preserve">אז ניגש </w:t>
      </w:r>
      <w:r>
        <w:rPr>
          <w:rFonts w:ascii="Calibri" w:hAnsi="Calibri" w:cs="FrankRuehl"/>
          <w:sz w:val="22"/>
          <w:szCs w:val="28"/>
          <w:rtl/>
        </w:rPr>
        <w:t>הנאשם לבניין סמוך פגש בנאשם 2 ולאחר מכן שב לסוכן ומסר בידו שקית ובה 22.97 גרם נטו סם מסוכן מסוג קוקאין. באותו המועד שאל הנאשם את הסוכן האם מעוניין ב 5 גרם קוקאין נוספים תמורת 1,500 ₪ והסוכן השיב בחיוב</w:t>
      </w:r>
      <w:r>
        <w:rPr>
          <w:rFonts w:ascii="Calibri" w:hAnsi="Calibri" w:cs="FrankRuehl" w:hint="cs"/>
          <w:sz w:val="22"/>
          <w:szCs w:val="28"/>
          <w:rtl/>
        </w:rPr>
        <w:t xml:space="preserve"> ו</w:t>
      </w:r>
      <w:r>
        <w:rPr>
          <w:rFonts w:ascii="Calibri" w:hAnsi="Calibri" w:cs="FrankRuehl"/>
          <w:sz w:val="22"/>
          <w:szCs w:val="28"/>
          <w:rtl/>
        </w:rPr>
        <w:t>מסר בידי הנאשם 1,500 ₪</w:t>
      </w:r>
      <w:r>
        <w:rPr>
          <w:rFonts w:ascii="Calibri" w:hAnsi="Calibri" w:cs="FrankRuehl" w:hint="cs"/>
          <w:sz w:val="22"/>
          <w:szCs w:val="28"/>
          <w:rtl/>
        </w:rPr>
        <w:t>.</w:t>
      </w:r>
      <w:r>
        <w:rPr>
          <w:rFonts w:ascii="Calibri" w:hAnsi="Calibri" w:cs="FrankRuehl"/>
          <w:sz w:val="22"/>
          <w:szCs w:val="28"/>
          <w:rtl/>
        </w:rPr>
        <w:t xml:space="preserve"> הנאשם ניגש בשנית לבניין סמוך, </w:t>
      </w:r>
      <w:r>
        <w:rPr>
          <w:rFonts w:ascii="Calibri" w:hAnsi="Calibri" w:cs="FrankRuehl" w:hint="cs"/>
          <w:sz w:val="22"/>
          <w:szCs w:val="28"/>
          <w:rtl/>
        </w:rPr>
        <w:t xml:space="preserve">קיבל מהנאשם </w:t>
      </w:r>
      <w:r>
        <w:rPr>
          <w:rFonts w:ascii="Calibri" w:hAnsi="Calibri" w:cs="FrankRuehl"/>
          <w:sz w:val="22"/>
          <w:szCs w:val="28"/>
          <w:rtl/>
        </w:rPr>
        <w:t xml:space="preserve">2 שקית ובתוכה 4.768 גרם קוקאין, אותה מסר בהמשך לסוכן.  </w:t>
      </w:r>
    </w:p>
    <w:p w14:paraId="4F6ECBBA" w14:textId="77777777" w:rsidR="00AA5275" w:rsidRDefault="00AA5275" w:rsidP="00AA5275">
      <w:pPr>
        <w:ind w:left="-52"/>
        <w:jc w:val="both"/>
        <w:rPr>
          <w:rFonts w:ascii="Miriam" w:hAnsi="Miriam" w:cs="Miriam"/>
          <w:u w:val="single"/>
          <w:rtl/>
        </w:rPr>
      </w:pPr>
    </w:p>
    <w:p w14:paraId="688A848C" w14:textId="77777777" w:rsidR="00AA5275" w:rsidRDefault="00AA5275" w:rsidP="00AA5275">
      <w:pPr>
        <w:spacing w:line="360" w:lineRule="auto"/>
        <w:ind w:left="-52"/>
        <w:jc w:val="both"/>
        <w:rPr>
          <w:rFonts w:ascii="Miriam" w:hAnsi="Miriam" w:cs="Miriam"/>
          <w:rtl/>
        </w:rPr>
      </w:pPr>
      <w:r>
        <w:rPr>
          <w:rFonts w:ascii="Miriam" w:hAnsi="Miriam" w:cs="Miriam"/>
          <w:rtl/>
        </w:rPr>
        <w:t xml:space="preserve">טיעונים לעונש </w:t>
      </w:r>
    </w:p>
    <w:p w14:paraId="250BD0DE" w14:textId="77777777" w:rsidR="00AA5275" w:rsidRDefault="00AA5275" w:rsidP="00AA5275">
      <w:pPr>
        <w:ind w:left="-52"/>
        <w:jc w:val="both"/>
        <w:rPr>
          <w:rFonts w:ascii="Miriam" w:hAnsi="Miriam" w:cs="Miriam"/>
          <w:u w:val="single"/>
          <w:rtl/>
        </w:rPr>
      </w:pPr>
    </w:p>
    <w:p w14:paraId="51589E9A" w14:textId="77777777" w:rsidR="00AA5275" w:rsidRDefault="00AA5275" w:rsidP="00AA5275">
      <w:pPr>
        <w:spacing w:line="360" w:lineRule="auto"/>
        <w:ind w:left="-52"/>
        <w:jc w:val="both"/>
        <w:rPr>
          <w:rFonts w:ascii="FrankRuehl" w:hAnsi="FrankRuehl" w:cs="FrankRuehl"/>
          <w:sz w:val="28"/>
          <w:szCs w:val="28"/>
          <w:rtl/>
        </w:rPr>
      </w:pPr>
      <w:r>
        <w:rPr>
          <w:rFonts w:ascii="FrankRuehl" w:hAnsi="FrankRuehl" w:cs="FrankRuehl" w:hint="cs"/>
          <w:sz w:val="28"/>
          <w:szCs w:val="28"/>
          <w:rtl/>
        </w:rPr>
        <w:t>6.</w:t>
      </w:r>
      <w:r>
        <w:rPr>
          <w:rFonts w:ascii="Miriam" w:hAnsi="Miriam" w:cs="Miriam" w:hint="cs"/>
          <w:rtl/>
        </w:rPr>
        <w:tab/>
      </w:r>
      <w:r>
        <w:rPr>
          <w:rFonts w:ascii="Miriam" w:hAnsi="Miriam" w:cs="Miriam"/>
          <w:rtl/>
        </w:rPr>
        <w:t>בא כוח המאשימה</w:t>
      </w:r>
      <w:r>
        <w:rPr>
          <w:rFonts w:ascii="Calibri" w:hAnsi="Calibri" w:cs="FrankRuehl"/>
          <w:sz w:val="22"/>
          <w:szCs w:val="28"/>
          <w:rtl/>
        </w:rPr>
        <w:t xml:space="preserve"> עמד ב</w:t>
      </w:r>
      <w:r>
        <w:rPr>
          <w:rFonts w:ascii="FrankRuehl" w:hAnsi="FrankRuehl" w:cs="FrankRuehl"/>
          <w:sz w:val="28"/>
          <w:szCs w:val="28"/>
          <w:rtl/>
        </w:rPr>
        <w:t>טיעוניו על הערכים החברתיים המוגנים שנפגעו כתוצאה מביצוע העבירות בהן הורשע הנאשם ובהם הגנה על בטחון ובריאות הציבור והיותו של נגע הסמים כמחולל פשיעה ו</w:t>
      </w:r>
      <w:r>
        <w:rPr>
          <w:rFonts w:ascii="FrankRuehl" w:hAnsi="FrankRuehl" w:cs="FrankRuehl" w:hint="cs"/>
          <w:sz w:val="28"/>
          <w:szCs w:val="28"/>
          <w:rtl/>
        </w:rPr>
        <w:t xml:space="preserve">כן </w:t>
      </w:r>
      <w:r>
        <w:rPr>
          <w:rFonts w:ascii="FrankRuehl" w:hAnsi="FrankRuehl" w:cs="FrankRuehl"/>
          <w:sz w:val="28"/>
          <w:szCs w:val="28"/>
          <w:rtl/>
        </w:rPr>
        <w:t xml:space="preserve">הפנה לחומרה היתרה במעשיו של הנאשם אשר היה מעורב בשתי עסקאות סמים מסוג קוקאין שנזקם הבריאותי רב, במקרה אחד סחר ובשני סיוע. בשני המקרים </w:t>
      </w:r>
      <w:r>
        <w:rPr>
          <w:rFonts w:ascii="FrankRuehl" w:hAnsi="FrankRuehl" w:cs="FrankRuehl"/>
          <w:sz w:val="28"/>
          <w:szCs w:val="28"/>
          <w:rtl/>
        </w:rPr>
        <w:lastRenderedPageBreak/>
        <w:t>שבוצעו בפרקי זמן שונים תיאם הנאשם אל מול הסוכן את הפרטים המהותיים, כמות ומחיר. לדבריו נתונים אלו מלמדים על היותו של הנאשם מעורה בעולם הפשע, בעל גישה לכמויות סמים גדולות ו</w:t>
      </w:r>
      <w:r>
        <w:rPr>
          <w:rFonts w:ascii="FrankRuehl" w:hAnsi="FrankRuehl" w:cs="FrankRuehl" w:hint="cs"/>
          <w:sz w:val="28"/>
          <w:szCs w:val="28"/>
          <w:rtl/>
        </w:rPr>
        <w:t>על מי ש</w:t>
      </w:r>
      <w:r>
        <w:rPr>
          <w:rFonts w:ascii="FrankRuehl" w:hAnsi="FrankRuehl" w:cs="FrankRuehl"/>
          <w:sz w:val="28"/>
          <w:szCs w:val="28"/>
          <w:rtl/>
        </w:rPr>
        <w:t>פעל מתוך מניע כלכלי מובהק. בנסיבו</w:t>
      </w:r>
      <w:r>
        <w:rPr>
          <w:rFonts w:ascii="FrankRuehl" w:hAnsi="FrankRuehl" w:cs="FrankRuehl" w:hint="cs"/>
          <w:sz w:val="28"/>
          <w:szCs w:val="28"/>
          <w:rtl/>
        </w:rPr>
        <w:t xml:space="preserve">ת אלו </w:t>
      </w:r>
      <w:r>
        <w:rPr>
          <w:rFonts w:ascii="FrankRuehl" w:hAnsi="FrankRuehl" w:cs="FrankRuehl"/>
          <w:sz w:val="28"/>
          <w:szCs w:val="28"/>
          <w:rtl/>
        </w:rPr>
        <w:t xml:space="preserve">ובשים לב לכמות הסם, סוגו ופרקי הזמן </w:t>
      </w:r>
      <w:r>
        <w:rPr>
          <w:rFonts w:ascii="FrankRuehl" w:hAnsi="FrankRuehl" w:cs="FrankRuehl" w:hint="cs"/>
          <w:sz w:val="28"/>
          <w:szCs w:val="28"/>
          <w:rtl/>
        </w:rPr>
        <w:t xml:space="preserve">בהם </w:t>
      </w:r>
      <w:r>
        <w:rPr>
          <w:rFonts w:ascii="FrankRuehl" w:hAnsi="FrankRuehl" w:cs="FrankRuehl"/>
          <w:sz w:val="28"/>
          <w:szCs w:val="28"/>
          <w:rtl/>
        </w:rPr>
        <w:t>בוצעו העסקאות עתר בא כוח המאשימה לקביעת מתחמי ענישה נפרדים כדלקמן: באישום הראשון עבירת הסיוע – בין 10 ל- 22 חודשי מאסר בפועל; באישום השני עבירת הסחר – בין 22 ועד 40 חודשי מאסר בפועל. עמדתו תמך בפסיקה</w:t>
      </w:r>
      <w:r>
        <w:rPr>
          <w:rFonts w:ascii="FrankRuehl" w:hAnsi="FrankRuehl" w:cs="FrankRuehl" w:hint="cs"/>
          <w:sz w:val="28"/>
          <w:szCs w:val="28"/>
          <w:rtl/>
        </w:rPr>
        <w:t xml:space="preserve">. </w:t>
      </w:r>
    </w:p>
    <w:p w14:paraId="4FC95E80" w14:textId="77777777" w:rsidR="00AA5275" w:rsidRDefault="00AA5275" w:rsidP="00AA5275">
      <w:pPr>
        <w:ind w:left="-52"/>
        <w:jc w:val="both"/>
        <w:rPr>
          <w:rFonts w:ascii="FrankRuehl" w:hAnsi="FrankRuehl" w:cs="FrankRuehl"/>
          <w:sz w:val="28"/>
          <w:szCs w:val="28"/>
          <w:rtl/>
        </w:rPr>
      </w:pPr>
    </w:p>
    <w:p w14:paraId="7B3B2532" w14:textId="77777777" w:rsidR="00AA5275" w:rsidRDefault="00AA5275" w:rsidP="00AA5275">
      <w:pPr>
        <w:spacing w:line="360" w:lineRule="auto"/>
        <w:ind w:left="-52"/>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r>
      <w:r>
        <w:rPr>
          <w:rFonts w:ascii="FrankRuehl" w:hAnsi="FrankRuehl" w:cs="FrankRuehl"/>
          <w:sz w:val="28"/>
          <w:szCs w:val="28"/>
          <w:rtl/>
        </w:rPr>
        <w:t xml:space="preserve">בא כוח המאשימה </w:t>
      </w:r>
      <w:r>
        <w:rPr>
          <w:rFonts w:ascii="FrankRuehl" w:hAnsi="FrankRuehl" w:cs="FrankRuehl" w:hint="cs"/>
          <w:sz w:val="28"/>
          <w:szCs w:val="28"/>
          <w:rtl/>
        </w:rPr>
        <w:t xml:space="preserve">ציין כי </w:t>
      </w:r>
      <w:r>
        <w:rPr>
          <w:rFonts w:ascii="FrankRuehl" w:hAnsi="FrankRuehl" w:cs="FrankRuehl"/>
          <w:sz w:val="28"/>
          <w:szCs w:val="28"/>
          <w:rtl/>
        </w:rPr>
        <w:t xml:space="preserve">מדובר </w:t>
      </w:r>
      <w:r>
        <w:rPr>
          <w:rFonts w:ascii="FrankRuehl" w:hAnsi="FrankRuehl" w:cs="FrankRuehl" w:hint="cs"/>
          <w:sz w:val="28"/>
          <w:szCs w:val="28"/>
          <w:rtl/>
        </w:rPr>
        <w:t xml:space="preserve">אמנם </w:t>
      </w:r>
      <w:r>
        <w:rPr>
          <w:rFonts w:ascii="FrankRuehl" w:hAnsi="FrankRuehl" w:cs="FrankRuehl"/>
          <w:sz w:val="28"/>
          <w:szCs w:val="28"/>
          <w:rtl/>
        </w:rPr>
        <w:t xml:space="preserve">בנאשם </w:t>
      </w:r>
      <w:r>
        <w:rPr>
          <w:rFonts w:ascii="FrankRuehl" w:hAnsi="FrankRuehl" w:cs="FrankRuehl" w:hint="cs"/>
          <w:sz w:val="28"/>
          <w:szCs w:val="28"/>
          <w:rtl/>
        </w:rPr>
        <w:t xml:space="preserve">נעדר </w:t>
      </w:r>
      <w:r>
        <w:rPr>
          <w:rFonts w:ascii="FrankRuehl" w:hAnsi="FrankRuehl" w:cs="FrankRuehl"/>
          <w:sz w:val="28"/>
          <w:szCs w:val="28"/>
          <w:rtl/>
        </w:rPr>
        <w:t>עבר פלילי אולם לחובתו הרשעות קודמות בתחום התעבורה בגינן ריצה שתי תקופות מאסר, האחרונה החלה עוד טרם מעצרו בתיק זה. לנוכח זאת ובהינתן ההודיה והחיסכון בזמן שיפוטי, סבור ראוי להשית על הנאשם עונש מאסר כולל שלא יפחת מ- 28 חודשי מאסר בפועל</w:t>
      </w:r>
      <w:r>
        <w:rPr>
          <w:rFonts w:ascii="FrankRuehl" w:hAnsi="FrankRuehl" w:cs="FrankRuehl" w:hint="cs"/>
          <w:sz w:val="28"/>
          <w:szCs w:val="28"/>
          <w:rtl/>
        </w:rPr>
        <w:t>,</w:t>
      </w:r>
      <w:r>
        <w:rPr>
          <w:rFonts w:ascii="FrankRuehl" w:hAnsi="FrankRuehl" w:cs="FrankRuehl"/>
          <w:sz w:val="28"/>
          <w:szCs w:val="28"/>
          <w:rtl/>
        </w:rPr>
        <w:t xml:space="preserve"> מאסר על תנאי </w:t>
      </w:r>
      <w:r>
        <w:rPr>
          <w:rFonts w:ascii="FrankRuehl" w:hAnsi="FrankRuehl" w:cs="FrankRuehl" w:hint="cs"/>
          <w:sz w:val="28"/>
          <w:szCs w:val="28"/>
          <w:rtl/>
        </w:rPr>
        <w:t>ו</w:t>
      </w:r>
      <w:r>
        <w:rPr>
          <w:rFonts w:ascii="FrankRuehl" w:hAnsi="FrankRuehl" w:cs="FrankRuehl"/>
          <w:sz w:val="28"/>
          <w:szCs w:val="28"/>
          <w:rtl/>
        </w:rPr>
        <w:t>רכיבי ענישה נוספים</w:t>
      </w:r>
      <w:r>
        <w:rPr>
          <w:rFonts w:ascii="FrankRuehl" w:hAnsi="FrankRuehl" w:cs="FrankRuehl" w:hint="cs"/>
          <w:sz w:val="28"/>
          <w:szCs w:val="28"/>
          <w:rtl/>
        </w:rPr>
        <w:t xml:space="preserve">. </w:t>
      </w:r>
    </w:p>
    <w:p w14:paraId="270EE10F" w14:textId="77777777" w:rsidR="00AA5275" w:rsidRDefault="00AA5275" w:rsidP="00AA5275">
      <w:pPr>
        <w:ind w:left="-52"/>
        <w:jc w:val="both"/>
        <w:rPr>
          <w:rFonts w:ascii="FrankRuehl" w:hAnsi="FrankRuehl" w:cs="FrankRuehl"/>
          <w:sz w:val="28"/>
          <w:szCs w:val="28"/>
          <w:rtl/>
        </w:rPr>
      </w:pPr>
    </w:p>
    <w:p w14:paraId="00DCB387" w14:textId="77777777" w:rsidR="00AA5275" w:rsidRDefault="00AA5275" w:rsidP="00AA5275">
      <w:pPr>
        <w:spacing w:line="360" w:lineRule="auto"/>
        <w:ind w:left="-52"/>
        <w:jc w:val="both"/>
        <w:rPr>
          <w:rFonts w:ascii="FrankRuehl" w:hAnsi="FrankRuehl" w:cs="FrankRuehl"/>
          <w:sz w:val="28"/>
          <w:szCs w:val="28"/>
          <w:rtl/>
        </w:rPr>
      </w:pPr>
      <w:r>
        <w:rPr>
          <w:rFonts w:ascii="FrankRuehl" w:hAnsi="FrankRuehl" w:cs="FrankRuehl" w:hint="cs"/>
          <w:sz w:val="28"/>
          <w:szCs w:val="28"/>
          <w:rtl/>
        </w:rPr>
        <w:t>8.</w:t>
      </w:r>
      <w:r>
        <w:rPr>
          <w:rFonts w:ascii="Miriam" w:hAnsi="Miriam" w:cs="Miriam" w:hint="cs"/>
          <w:rtl/>
        </w:rPr>
        <w:tab/>
      </w:r>
      <w:r>
        <w:rPr>
          <w:rFonts w:ascii="Miriam" w:hAnsi="Miriam" w:cs="Miriam"/>
          <w:rtl/>
        </w:rPr>
        <w:t>בא כוח הנאשם</w:t>
      </w:r>
      <w:r>
        <w:rPr>
          <w:rFonts w:ascii="Calibri" w:hAnsi="Calibri" w:cs="FrankRuehl"/>
          <w:sz w:val="22"/>
          <w:szCs w:val="28"/>
          <w:rtl/>
        </w:rPr>
        <w:t xml:space="preserve"> </w:t>
      </w:r>
      <w:r>
        <w:rPr>
          <w:rFonts w:ascii="FrankRuehl" w:hAnsi="FrankRuehl" w:cs="FrankRuehl" w:hint="cs"/>
          <w:sz w:val="28"/>
          <w:szCs w:val="28"/>
          <w:rtl/>
        </w:rPr>
        <w:t xml:space="preserve">טען </w:t>
      </w:r>
      <w:r>
        <w:rPr>
          <w:rFonts w:ascii="FrankRuehl" w:hAnsi="FrankRuehl" w:cs="FrankRuehl"/>
          <w:sz w:val="28"/>
          <w:szCs w:val="28"/>
          <w:rtl/>
        </w:rPr>
        <w:t xml:space="preserve">כי המתחם אליו עותרת המאשימה מחמיר יתר על המידה ואינו משקף את מדיניות הענישה הנהוגה. כן נטען כי העונש לו עותרת המאשימה אינו עולה בקנה אחד עם טווח הענישה בפרשייה </w:t>
      </w:r>
      <w:r>
        <w:rPr>
          <w:rFonts w:ascii="FrankRuehl" w:hAnsi="FrankRuehl" w:cs="FrankRuehl" w:hint="cs"/>
          <w:sz w:val="28"/>
          <w:szCs w:val="28"/>
          <w:rtl/>
        </w:rPr>
        <w:t>בהתאם ל</w:t>
      </w:r>
      <w:r>
        <w:rPr>
          <w:rFonts w:ascii="FrankRuehl" w:hAnsi="FrankRuehl" w:cs="FrankRuehl"/>
          <w:sz w:val="28"/>
          <w:szCs w:val="28"/>
          <w:rtl/>
        </w:rPr>
        <w:t xml:space="preserve">הסדרי הטיעון השונים. בטיעוניו </w:t>
      </w:r>
      <w:r>
        <w:rPr>
          <w:rFonts w:ascii="FrankRuehl" w:hAnsi="FrankRuehl" w:cs="FrankRuehl" w:hint="cs"/>
          <w:sz w:val="28"/>
          <w:szCs w:val="28"/>
          <w:rtl/>
        </w:rPr>
        <w:t xml:space="preserve">עמד על </w:t>
      </w:r>
      <w:r>
        <w:rPr>
          <w:rFonts w:ascii="FrankRuehl" w:hAnsi="FrankRuehl" w:cs="FrankRuehl"/>
          <w:sz w:val="28"/>
          <w:szCs w:val="28"/>
          <w:rtl/>
        </w:rPr>
        <w:t>גילו של הנאשם, נעדר הרשעות קודמות וזוהי לו מעורב</w:t>
      </w:r>
      <w:r>
        <w:rPr>
          <w:rFonts w:ascii="FrankRuehl" w:hAnsi="FrankRuehl" w:cs="FrankRuehl" w:hint="cs"/>
          <w:sz w:val="28"/>
          <w:szCs w:val="28"/>
          <w:rtl/>
        </w:rPr>
        <w:t>ו</w:t>
      </w:r>
      <w:r>
        <w:rPr>
          <w:rFonts w:ascii="FrankRuehl" w:hAnsi="FrankRuehl" w:cs="FrankRuehl"/>
          <w:sz w:val="28"/>
          <w:szCs w:val="28"/>
          <w:rtl/>
        </w:rPr>
        <w:t xml:space="preserve">תו הראשונה בעסקאות סמים ועל כן </w:t>
      </w:r>
      <w:r>
        <w:rPr>
          <w:rFonts w:ascii="FrankRuehl" w:hAnsi="FrankRuehl" w:cs="FrankRuehl" w:hint="cs"/>
          <w:sz w:val="28"/>
          <w:szCs w:val="28"/>
          <w:rtl/>
        </w:rPr>
        <w:t xml:space="preserve">לטעמו </w:t>
      </w:r>
      <w:r>
        <w:rPr>
          <w:rFonts w:ascii="FrankRuehl" w:hAnsi="FrankRuehl" w:cs="FrankRuehl"/>
          <w:sz w:val="28"/>
          <w:szCs w:val="28"/>
          <w:rtl/>
        </w:rPr>
        <w:t>אי אפשר לטעון כי מעורב</w:t>
      </w:r>
      <w:r>
        <w:rPr>
          <w:rFonts w:ascii="FrankRuehl" w:hAnsi="FrankRuehl" w:cs="FrankRuehl" w:hint="cs"/>
          <w:sz w:val="28"/>
          <w:szCs w:val="28"/>
          <w:rtl/>
        </w:rPr>
        <w:t xml:space="preserve">ותו </w:t>
      </w:r>
      <w:r>
        <w:rPr>
          <w:rFonts w:ascii="FrankRuehl" w:hAnsi="FrankRuehl" w:cs="FrankRuehl"/>
          <w:sz w:val="28"/>
          <w:szCs w:val="28"/>
          <w:rtl/>
        </w:rPr>
        <w:t>בעולם הסמים</w:t>
      </w:r>
      <w:r>
        <w:rPr>
          <w:rFonts w:ascii="FrankRuehl" w:hAnsi="FrankRuehl" w:cs="FrankRuehl" w:hint="cs"/>
          <w:sz w:val="28"/>
          <w:szCs w:val="28"/>
          <w:rtl/>
        </w:rPr>
        <w:t xml:space="preserve"> עמוקה</w:t>
      </w:r>
      <w:r>
        <w:rPr>
          <w:rFonts w:ascii="FrankRuehl" w:hAnsi="FrankRuehl" w:cs="FrankRuehl"/>
          <w:sz w:val="28"/>
          <w:szCs w:val="28"/>
          <w:rtl/>
        </w:rPr>
        <w:t>. בא כוח הנאשם לא מצא לנכון להפנות לפסיקה התואמת את המתחם לו עתר, על אף שהיה מן הראוי לעשות כן</w:t>
      </w:r>
      <w:r>
        <w:rPr>
          <w:rFonts w:ascii="FrankRuehl" w:hAnsi="FrankRuehl" w:cs="FrankRuehl" w:hint="cs"/>
          <w:sz w:val="28"/>
          <w:szCs w:val="28"/>
          <w:rtl/>
        </w:rPr>
        <w:t xml:space="preserve"> ולמעשה </w:t>
      </w:r>
      <w:r>
        <w:rPr>
          <w:rFonts w:ascii="FrankRuehl" w:hAnsi="FrankRuehl" w:cs="FrankRuehl"/>
          <w:sz w:val="28"/>
          <w:szCs w:val="28"/>
          <w:rtl/>
        </w:rPr>
        <w:t xml:space="preserve">עיקר הטיעון התמקד בהבחנה בין עונשים אחרים בפרשייה לבין העונש שראוי </w:t>
      </w:r>
      <w:r>
        <w:rPr>
          <w:rFonts w:ascii="FrankRuehl" w:hAnsi="FrankRuehl" w:cs="FrankRuehl" w:hint="cs"/>
          <w:sz w:val="28"/>
          <w:szCs w:val="28"/>
          <w:rtl/>
        </w:rPr>
        <w:t xml:space="preserve">לטעמו </w:t>
      </w:r>
      <w:r>
        <w:rPr>
          <w:rFonts w:ascii="FrankRuehl" w:hAnsi="FrankRuehl" w:cs="FrankRuehl"/>
          <w:sz w:val="28"/>
          <w:szCs w:val="28"/>
          <w:rtl/>
        </w:rPr>
        <w:t>שיוטל כאן</w:t>
      </w:r>
      <w:r>
        <w:rPr>
          <w:rFonts w:ascii="FrankRuehl" w:hAnsi="FrankRuehl" w:cs="FrankRuehl" w:hint="cs"/>
          <w:sz w:val="28"/>
          <w:szCs w:val="28"/>
          <w:rtl/>
        </w:rPr>
        <w:t xml:space="preserve">. לגישתו </w:t>
      </w:r>
      <w:r>
        <w:rPr>
          <w:rFonts w:ascii="FrankRuehl" w:hAnsi="FrankRuehl" w:cs="FrankRuehl"/>
          <w:sz w:val="28"/>
          <w:szCs w:val="28"/>
          <w:rtl/>
        </w:rPr>
        <w:t>ישנה טעות במחשבה ובחישוב העומדים מאחורי עתירתה של המאשימה</w:t>
      </w:r>
      <w:r>
        <w:rPr>
          <w:rFonts w:ascii="FrankRuehl" w:hAnsi="FrankRuehl" w:cs="FrankRuehl" w:hint="cs"/>
          <w:sz w:val="28"/>
          <w:szCs w:val="28"/>
          <w:rtl/>
        </w:rPr>
        <w:t xml:space="preserve"> בעניין העונש</w:t>
      </w:r>
      <w:r>
        <w:rPr>
          <w:rFonts w:ascii="FrankRuehl" w:hAnsi="FrankRuehl" w:cs="FrankRuehl"/>
          <w:sz w:val="28"/>
          <w:szCs w:val="28"/>
          <w:rtl/>
        </w:rPr>
        <w:t xml:space="preserve">. עוד בטיעוניו הפנה בא כוח הנאשם לנסיבותיו האישיות של הנאשם והפגיעה הצפויה במשפחתו כתוצאה מעונש המאסר אותו צפוי הנאשם לרצות.  </w:t>
      </w:r>
    </w:p>
    <w:p w14:paraId="2DDFE290" w14:textId="77777777" w:rsidR="00AA5275" w:rsidRDefault="00AA5275" w:rsidP="00AA5275">
      <w:pPr>
        <w:ind w:left="-52"/>
        <w:jc w:val="both"/>
        <w:rPr>
          <w:rFonts w:ascii="FrankRuehl" w:hAnsi="FrankRuehl" w:cs="FrankRuehl"/>
          <w:sz w:val="28"/>
          <w:szCs w:val="28"/>
          <w:rtl/>
        </w:rPr>
      </w:pPr>
    </w:p>
    <w:p w14:paraId="010381B7" w14:textId="77777777" w:rsidR="00AA5275" w:rsidRDefault="00AA5275" w:rsidP="00AA5275">
      <w:pPr>
        <w:spacing w:line="360" w:lineRule="auto"/>
        <w:ind w:left="-52"/>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Pr>
          <w:rFonts w:ascii="FrankRuehl" w:hAnsi="FrankRuehl" w:cs="FrankRuehl"/>
          <w:sz w:val="28"/>
          <w:szCs w:val="28"/>
          <w:rtl/>
        </w:rPr>
        <w:t>מטעמים אלו</w:t>
      </w:r>
      <w:r>
        <w:rPr>
          <w:rFonts w:ascii="FrankRuehl" w:hAnsi="FrankRuehl" w:cs="FrankRuehl" w:hint="cs"/>
          <w:sz w:val="28"/>
          <w:szCs w:val="28"/>
          <w:rtl/>
        </w:rPr>
        <w:t xml:space="preserve"> ולנוכח ההודיה ולקיחת האחריות</w:t>
      </w:r>
      <w:r>
        <w:rPr>
          <w:rFonts w:ascii="FrankRuehl" w:hAnsi="FrankRuehl" w:cs="FrankRuehl"/>
          <w:sz w:val="28"/>
          <w:szCs w:val="28"/>
          <w:rtl/>
        </w:rPr>
        <w:t xml:space="preserve">, כך לדברי בא כוח הנאשם, ראוי להשית על הנאשם עונש מאסר שלא יעלה על 16 חודשים. באשר לרכיבי הענישה הנוספים, ביקש את התחשבות בית המשפט בשל מצבו הכלכלי הרעוע של הנאשם, הליכי הוצאה לפועל שננקטו נגדו והפגיעה הצפויה במשפחתו. באשר </w:t>
      </w:r>
      <w:r w:rsidRPr="00501C7D">
        <w:rPr>
          <w:rFonts w:ascii="FrankRuehl" w:hAnsi="FrankRuehl" w:cs="FrankRuehl"/>
          <w:sz w:val="28"/>
          <w:szCs w:val="28"/>
          <w:rtl/>
        </w:rPr>
        <w:t>לעונש הפסילה</w:t>
      </w:r>
      <w:r>
        <w:rPr>
          <w:rFonts w:ascii="FrankRuehl" w:hAnsi="FrankRuehl" w:cs="FrankRuehl"/>
          <w:sz w:val="28"/>
          <w:szCs w:val="28"/>
          <w:rtl/>
        </w:rPr>
        <w:t xml:space="preserve">, ביקש כי זה יהיה מתון ככל האפשר. </w:t>
      </w:r>
    </w:p>
    <w:p w14:paraId="7E93E876" w14:textId="77777777" w:rsidR="00AA5275" w:rsidRDefault="00AA5275" w:rsidP="00AA5275">
      <w:pPr>
        <w:rPr>
          <w:rFonts w:ascii="FrankRuehl" w:hAnsi="FrankRuehl" w:cs="FrankRuehl"/>
          <w:sz w:val="28"/>
          <w:szCs w:val="28"/>
          <w:rtl/>
        </w:rPr>
      </w:pPr>
    </w:p>
    <w:p w14:paraId="0B49E80D" w14:textId="77777777" w:rsidR="00AA5275" w:rsidRDefault="00AA5275" w:rsidP="00AA5275">
      <w:pPr>
        <w:spacing w:line="360" w:lineRule="auto"/>
        <w:rPr>
          <w:rFonts w:ascii="Calibri" w:hAnsi="Calibri" w:cs="FrankRuehl"/>
          <w:sz w:val="22"/>
          <w:szCs w:val="28"/>
          <w:rtl/>
        </w:rPr>
      </w:pPr>
      <w:r>
        <w:rPr>
          <w:rFonts w:ascii="FrankRuehl" w:hAnsi="FrankRuehl" w:cs="FrankRuehl" w:hint="cs"/>
          <w:sz w:val="28"/>
          <w:szCs w:val="28"/>
          <w:rtl/>
        </w:rPr>
        <w:t>10</w:t>
      </w:r>
      <w:r>
        <w:rPr>
          <w:rFonts w:ascii="Miriam" w:hAnsi="Miriam" w:cs="Miriam" w:hint="cs"/>
          <w:rtl/>
        </w:rPr>
        <w:t>.</w:t>
      </w:r>
      <w:r>
        <w:rPr>
          <w:rFonts w:ascii="Miriam" w:hAnsi="Miriam" w:cs="Miriam" w:hint="cs"/>
          <w:rtl/>
        </w:rPr>
        <w:tab/>
      </w:r>
      <w:r>
        <w:rPr>
          <w:rFonts w:ascii="Miriam" w:hAnsi="Miriam" w:cs="Miriam"/>
          <w:rtl/>
        </w:rPr>
        <w:t>הנאשם בדברו האחרון</w:t>
      </w:r>
      <w:r>
        <w:rPr>
          <w:rFonts w:ascii="Calibri" w:hAnsi="Calibri" w:cs="FrankRuehl"/>
          <w:sz w:val="22"/>
          <w:szCs w:val="28"/>
          <w:rtl/>
        </w:rPr>
        <w:t xml:space="preserve"> : "אין לי מה להגיד".</w:t>
      </w:r>
      <w:r>
        <w:rPr>
          <w:rFonts w:ascii="Calibri" w:hAnsi="Calibri" w:cs="FrankRuehl" w:hint="cs"/>
          <w:sz w:val="22"/>
          <w:szCs w:val="28"/>
          <w:rtl/>
        </w:rPr>
        <w:t xml:space="preserve"> </w:t>
      </w:r>
    </w:p>
    <w:p w14:paraId="2D57F4A5" w14:textId="77777777" w:rsidR="00AA5275" w:rsidRDefault="00AA5275" w:rsidP="00AA5275">
      <w:pPr>
        <w:rPr>
          <w:rFonts w:ascii="Miriam" w:hAnsi="Miriam" w:cs="Miriam"/>
          <w:b/>
          <w:rtl/>
        </w:rPr>
      </w:pPr>
    </w:p>
    <w:p w14:paraId="22512114" w14:textId="77777777" w:rsidR="00AA5275" w:rsidRDefault="00AA5275" w:rsidP="00AA5275">
      <w:pPr>
        <w:spacing w:line="360" w:lineRule="auto"/>
        <w:rPr>
          <w:rFonts w:ascii="Miriam" w:hAnsi="Miriam" w:cs="Miriam"/>
          <w:b/>
          <w:rtl/>
        </w:rPr>
      </w:pPr>
      <w:r>
        <w:rPr>
          <w:rFonts w:ascii="Miriam" w:hAnsi="Miriam" w:cs="Miriam"/>
          <w:b/>
          <w:rtl/>
        </w:rPr>
        <w:t>דיון והכרעה</w:t>
      </w:r>
      <w:r>
        <w:rPr>
          <w:rFonts w:ascii="Calibri" w:hAnsi="Calibri" w:cs="FrankRuehl" w:hint="cs"/>
          <w:sz w:val="22"/>
          <w:szCs w:val="28"/>
          <w:rtl/>
        </w:rPr>
        <w:t xml:space="preserve"> </w:t>
      </w:r>
    </w:p>
    <w:p w14:paraId="1D6ECC84" w14:textId="77777777" w:rsidR="00AA5275" w:rsidRDefault="00AA5275" w:rsidP="00AA5275">
      <w:pPr>
        <w:rPr>
          <w:rFonts w:ascii="Miriam" w:hAnsi="Miriam" w:cs="Miriam"/>
          <w:b/>
          <w:rtl/>
        </w:rPr>
      </w:pPr>
    </w:p>
    <w:p w14:paraId="3EA8AC09" w14:textId="77777777" w:rsidR="00AA5275" w:rsidRDefault="00AA5275" w:rsidP="00AA5275">
      <w:pPr>
        <w:spacing w:line="360" w:lineRule="auto"/>
        <w:jc w:val="both"/>
        <w:rPr>
          <w:rFonts w:ascii="Calibri" w:hAnsi="Calibri" w:cs="FrankRuehl"/>
          <w:sz w:val="22"/>
          <w:szCs w:val="28"/>
          <w:rtl/>
        </w:rPr>
      </w:pPr>
      <w:r>
        <w:rPr>
          <w:rFonts w:ascii="Calibri" w:hAnsi="Calibri" w:cs="FrankRuehl" w:hint="cs"/>
          <w:sz w:val="22"/>
          <w:szCs w:val="28"/>
          <w:rtl/>
        </w:rPr>
        <w:t>11.</w:t>
      </w:r>
      <w:r>
        <w:rPr>
          <w:rFonts w:ascii="Calibri" w:hAnsi="Calibri" w:cs="FrankRuehl" w:hint="cs"/>
          <w:sz w:val="22"/>
          <w:szCs w:val="28"/>
          <w:rtl/>
        </w:rPr>
        <w:tab/>
      </w:r>
      <w:r w:rsidRPr="002D36B0">
        <w:rPr>
          <w:rFonts w:cs="FrankRuehl"/>
          <w:sz w:val="28"/>
          <w:szCs w:val="28"/>
          <w:rtl/>
        </w:rPr>
        <w:t>לנוכח מבחן הקשר ההדוק, אופיין וטיבן של</w:t>
      </w:r>
      <w:r>
        <w:rPr>
          <w:rFonts w:cs="FrankRuehl"/>
          <w:sz w:val="28"/>
          <w:szCs w:val="28"/>
          <w:rtl/>
        </w:rPr>
        <w:t xml:space="preserve"> העבירות אשר בוצעו כחלק מתוכני</w:t>
      </w:r>
      <w:r>
        <w:rPr>
          <w:rFonts w:cs="FrankRuehl" w:hint="cs"/>
          <w:sz w:val="28"/>
          <w:szCs w:val="28"/>
          <w:rtl/>
        </w:rPr>
        <w:t xml:space="preserve">ת </w:t>
      </w:r>
      <w:r w:rsidRPr="002D36B0">
        <w:rPr>
          <w:rFonts w:cs="FrankRuehl"/>
          <w:sz w:val="28"/>
          <w:szCs w:val="28"/>
          <w:rtl/>
        </w:rPr>
        <w:t>עבריינית</w:t>
      </w:r>
      <w:r>
        <w:rPr>
          <w:rFonts w:cs="FrankRuehl" w:hint="cs"/>
          <w:sz w:val="28"/>
          <w:szCs w:val="28"/>
          <w:rtl/>
        </w:rPr>
        <w:t xml:space="preserve"> אל מול אותו סוכן סמוי</w:t>
      </w:r>
      <w:r w:rsidRPr="002D36B0">
        <w:rPr>
          <w:rFonts w:cs="FrankRuehl"/>
          <w:sz w:val="28"/>
          <w:szCs w:val="28"/>
          <w:rtl/>
        </w:rPr>
        <w:t xml:space="preserve"> ועל אף העובדה כי בוצעו במועדים שונים, מצאתי לקבוע מתחם עונש אחד. ההלכות שנקבעו בעניין הגדרת המונח "אירוע" ידועות ומוכרות ולא מצאתי לחזור על הדברים (ראו </w:t>
      </w:r>
      <w:hyperlink r:id="rId17" w:history="1">
        <w:r w:rsidR="001E57FF" w:rsidRPr="001E57FF">
          <w:rPr>
            <w:rFonts w:cs="FrankRuehl"/>
            <w:color w:val="0000FF"/>
            <w:sz w:val="28"/>
            <w:szCs w:val="28"/>
            <w:u w:val="single"/>
            <w:rtl/>
          </w:rPr>
          <w:t>ע"פ 4910/13</w:t>
        </w:r>
      </w:hyperlink>
      <w:r w:rsidRPr="002D36B0">
        <w:rPr>
          <w:rFonts w:cs="FrankRuehl"/>
          <w:sz w:val="28"/>
          <w:szCs w:val="28"/>
          <w:rtl/>
        </w:rPr>
        <w:t xml:space="preserve"> </w:t>
      </w:r>
      <w:r w:rsidRPr="002D36B0">
        <w:rPr>
          <w:rFonts w:ascii="Miriam" w:hAnsi="Miriam" w:cs="Miriam"/>
          <w:rtl/>
        </w:rPr>
        <w:t>ג'אבר נ' מדינת ישראל</w:t>
      </w:r>
      <w:r w:rsidRPr="002D36B0">
        <w:rPr>
          <w:rFonts w:cs="FrankRuehl"/>
          <w:sz w:val="28"/>
          <w:szCs w:val="28"/>
          <w:rtl/>
        </w:rPr>
        <w:t xml:space="preserve"> (29.10.2021), </w:t>
      </w:r>
      <w:hyperlink r:id="rId18" w:history="1">
        <w:r w:rsidR="001E57FF" w:rsidRPr="001E57FF">
          <w:rPr>
            <w:rFonts w:cs="FrankRuehl"/>
            <w:color w:val="0000FF"/>
            <w:sz w:val="28"/>
            <w:szCs w:val="28"/>
            <w:u w:val="single"/>
            <w:rtl/>
          </w:rPr>
          <w:t>ע"פ 5643/14</w:t>
        </w:r>
      </w:hyperlink>
      <w:r w:rsidRPr="002D36B0">
        <w:rPr>
          <w:rFonts w:ascii="Miriam" w:hAnsi="Miriam" w:cs="Miriam"/>
          <w:rtl/>
        </w:rPr>
        <w:t xml:space="preserve"> עיסא נ' מדינת ישראל</w:t>
      </w:r>
      <w:r w:rsidRPr="002D36B0">
        <w:rPr>
          <w:rFonts w:cs="FrankRuehl"/>
          <w:sz w:val="28"/>
          <w:szCs w:val="28"/>
          <w:rtl/>
        </w:rPr>
        <w:t xml:space="preserve"> (24.6.2015), </w:t>
      </w:r>
      <w:hyperlink r:id="rId19" w:history="1">
        <w:r w:rsidR="001E57FF" w:rsidRPr="001E57FF">
          <w:rPr>
            <w:rFonts w:cs="FrankRuehl"/>
            <w:color w:val="0000FF"/>
            <w:sz w:val="28"/>
            <w:szCs w:val="28"/>
            <w:u w:val="single"/>
            <w:rtl/>
          </w:rPr>
          <w:t>ע"פ 2519/14</w:t>
        </w:r>
      </w:hyperlink>
      <w:r w:rsidRPr="002D36B0">
        <w:rPr>
          <w:rFonts w:cs="FrankRuehl"/>
          <w:sz w:val="28"/>
          <w:szCs w:val="28"/>
          <w:rtl/>
        </w:rPr>
        <w:t xml:space="preserve"> </w:t>
      </w:r>
      <w:r w:rsidRPr="002D36B0">
        <w:rPr>
          <w:rFonts w:ascii="Miriam" w:hAnsi="Miriam" w:cs="Miriam"/>
          <w:rtl/>
        </w:rPr>
        <w:t>אבו קיעאן נ' מדינת ישראל</w:t>
      </w:r>
      <w:r w:rsidRPr="002D36B0">
        <w:rPr>
          <w:rFonts w:cs="FrankRuehl"/>
          <w:sz w:val="28"/>
          <w:szCs w:val="28"/>
          <w:rtl/>
        </w:rPr>
        <w:t xml:space="preserve"> (29.12.2014), </w:t>
      </w:r>
      <w:hyperlink r:id="rId20" w:history="1">
        <w:r w:rsidR="001E57FF" w:rsidRPr="001E57FF">
          <w:rPr>
            <w:rFonts w:cs="FrankRuehl"/>
            <w:color w:val="0000FF"/>
            <w:sz w:val="28"/>
            <w:szCs w:val="28"/>
            <w:u w:val="single"/>
            <w:rtl/>
          </w:rPr>
          <w:t>ע"פ 1261/15</w:t>
        </w:r>
      </w:hyperlink>
      <w:r w:rsidRPr="002D36B0">
        <w:rPr>
          <w:rFonts w:cs="FrankRuehl"/>
          <w:sz w:val="28"/>
          <w:szCs w:val="28"/>
          <w:rtl/>
        </w:rPr>
        <w:t xml:space="preserve"> </w:t>
      </w:r>
      <w:r w:rsidRPr="002D36B0">
        <w:rPr>
          <w:rFonts w:ascii="Miriam" w:hAnsi="Miriam" w:cs="Miriam"/>
          <w:rtl/>
        </w:rPr>
        <w:t>דלאל נ' מדינת ישראל</w:t>
      </w:r>
      <w:r w:rsidRPr="002D36B0">
        <w:rPr>
          <w:rFonts w:cs="FrankRuehl"/>
          <w:sz w:val="28"/>
          <w:szCs w:val="28"/>
          <w:rtl/>
        </w:rPr>
        <w:t xml:space="preserve"> (13.9.2015)).</w:t>
      </w:r>
      <w:r w:rsidRPr="002D36B0">
        <w:rPr>
          <w:rFonts w:ascii="FrankRuehl" w:hAnsi="FrankRuehl" w:cs="FrankRuehl"/>
          <w:sz w:val="28"/>
          <w:szCs w:val="28"/>
          <w:rtl/>
        </w:rPr>
        <w:t xml:space="preserve"> </w:t>
      </w:r>
      <w:r>
        <w:rPr>
          <w:rFonts w:ascii="FrankRuehl" w:hAnsi="FrankRuehl" w:cs="FrankRuehl" w:hint="cs"/>
          <w:sz w:val="28"/>
          <w:szCs w:val="28"/>
          <w:rtl/>
        </w:rPr>
        <w:t xml:space="preserve">עוד </w:t>
      </w:r>
      <w:r w:rsidRPr="002D36B0">
        <w:rPr>
          <w:rFonts w:ascii="FrankRuehl" w:hAnsi="FrankRuehl" w:cs="FrankRuehl"/>
          <w:sz w:val="28"/>
          <w:szCs w:val="28"/>
          <w:rtl/>
        </w:rPr>
        <w:t xml:space="preserve">בעניין זה, </w:t>
      </w:r>
      <w:r>
        <w:rPr>
          <w:rFonts w:ascii="FrankRuehl" w:hAnsi="FrankRuehl" w:cs="FrankRuehl" w:hint="cs"/>
          <w:sz w:val="28"/>
          <w:szCs w:val="28"/>
          <w:rtl/>
        </w:rPr>
        <w:t xml:space="preserve">אומר </w:t>
      </w:r>
      <w:r w:rsidRPr="002D36B0">
        <w:rPr>
          <w:rFonts w:ascii="FrankRuehl" w:hAnsi="FrankRuehl" w:cs="FrankRuehl"/>
          <w:sz w:val="28"/>
          <w:szCs w:val="28"/>
          <w:rtl/>
        </w:rPr>
        <w:t>כי עצם ההפרדה בין האישומים נראית מלאכותית ועשויה ליצור סרבול מיותר בגזירת הדין</w:t>
      </w:r>
      <w:r>
        <w:rPr>
          <w:rFonts w:ascii="FrankRuehl" w:hAnsi="FrankRuehl" w:cs="FrankRuehl" w:hint="cs"/>
          <w:sz w:val="28"/>
          <w:szCs w:val="28"/>
          <w:rtl/>
        </w:rPr>
        <w:t>,</w:t>
      </w:r>
      <w:r w:rsidRPr="002D36B0">
        <w:rPr>
          <w:rFonts w:ascii="FrankRuehl" w:hAnsi="FrankRuehl" w:cs="FrankRuehl"/>
          <w:sz w:val="28"/>
          <w:szCs w:val="28"/>
          <w:rtl/>
        </w:rPr>
        <w:t xml:space="preserve"> בפרט כאשר עתירתם המשותפת של הצדדים היא להשית על הנאשם עונש אחד כולל שיהלום את מעשיו.  </w:t>
      </w:r>
    </w:p>
    <w:p w14:paraId="67DCA511" w14:textId="77777777" w:rsidR="00AA5275" w:rsidRDefault="00AA5275" w:rsidP="00AA5275">
      <w:pPr>
        <w:rPr>
          <w:rFonts w:ascii="Miriam" w:hAnsi="Miriam" w:cs="Miriam"/>
          <w:b/>
          <w:rtl/>
        </w:rPr>
      </w:pPr>
    </w:p>
    <w:p w14:paraId="16B5682D" w14:textId="77777777" w:rsidR="00AA5275" w:rsidRDefault="00AA5275" w:rsidP="00AA5275">
      <w:pPr>
        <w:rPr>
          <w:rFonts w:ascii="Miriam" w:hAnsi="Miriam" w:cs="Miriam"/>
          <w:b/>
          <w:rtl/>
        </w:rPr>
      </w:pPr>
    </w:p>
    <w:p w14:paraId="486A4882" w14:textId="77777777" w:rsidR="00AA5275" w:rsidRDefault="00AA5275" w:rsidP="00AA5275">
      <w:pPr>
        <w:rPr>
          <w:rFonts w:ascii="Miriam" w:hAnsi="Miriam" w:cs="Miriam"/>
          <w:b/>
          <w:rtl/>
        </w:rPr>
      </w:pPr>
    </w:p>
    <w:p w14:paraId="306C8BFA" w14:textId="77777777" w:rsidR="00AA5275" w:rsidRDefault="00AA5275" w:rsidP="00AA5275">
      <w:pPr>
        <w:rPr>
          <w:rFonts w:ascii="Miriam" w:hAnsi="Miriam" w:cs="Miriam"/>
          <w:b/>
          <w:rtl/>
        </w:rPr>
      </w:pPr>
    </w:p>
    <w:p w14:paraId="4F42CD1C" w14:textId="77777777" w:rsidR="00AA5275" w:rsidRDefault="00AA5275" w:rsidP="00AA5275">
      <w:pPr>
        <w:spacing w:line="360" w:lineRule="auto"/>
        <w:rPr>
          <w:rFonts w:ascii="Miriam" w:hAnsi="Miriam" w:cs="Miriam"/>
          <w:b/>
          <w:rtl/>
        </w:rPr>
      </w:pPr>
      <w:r>
        <w:rPr>
          <w:rFonts w:ascii="Miriam" w:hAnsi="Miriam" w:cs="Miriam"/>
          <w:b/>
          <w:rtl/>
        </w:rPr>
        <w:t xml:space="preserve">קביעת מתחם העונש </w:t>
      </w:r>
    </w:p>
    <w:p w14:paraId="50C39C76" w14:textId="77777777" w:rsidR="00AA5275" w:rsidRDefault="00AA5275" w:rsidP="00AA5275">
      <w:pPr>
        <w:spacing w:before="100" w:beforeAutospacing="1" w:after="120" w:line="360" w:lineRule="auto"/>
        <w:ind w:left="-57"/>
        <w:jc w:val="both"/>
        <w:rPr>
          <w:rFonts w:ascii="FrankRuehl" w:hAnsi="FrankRuehl" w:cs="FrankRuehl"/>
          <w:sz w:val="28"/>
          <w:szCs w:val="28"/>
          <w:rtl/>
        </w:rPr>
      </w:pPr>
      <w:r>
        <w:rPr>
          <w:rFonts w:ascii="Calibri" w:eastAsia="Calibri" w:hAnsi="Calibri" w:cs="FrankRuehl" w:hint="cs"/>
          <w:szCs w:val="28"/>
          <w:rtl/>
        </w:rPr>
        <w:t>12.</w:t>
      </w:r>
      <w:r>
        <w:rPr>
          <w:rFonts w:ascii="Calibri" w:eastAsia="Calibri" w:hAnsi="Calibri" w:cs="FrankRuehl" w:hint="cs"/>
          <w:szCs w:val="28"/>
          <w:rtl/>
        </w:rPr>
        <w:tab/>
      </w:r>
      <w:r>
        <w:rPr>
          <w:rFonts w:ascii="Calibri" w:eastAsia="Calibri" w:hAnsi="Calibri" w:cs="FrankRuehl"/>
          <w:szCs w:val="28"/>
          <w:rtl/>
        </w:rPr>
        <w:t>מתחם העונש ייקבע בהתאם לעקרון ההלימה תוך מתן משקל לערכים החברתיים שנפגעו מביצוע העבירות, למידת הפגיעה בהם ולמדיניות הענישה הנהוגה, והכל בנסיבות הקשורות בביצוע העבירה.</w:t>
      </w:r>
    </w:p>
    <w:p w14:paraId="7B564D48" w14:textId="77777777" w:rsidR="00AA5275" w:rsidRDefault="00AA5275" w:rsidP="00AA5275">
      <w:pPr>
        <w:spacing w:before="100" w:beforeAutospacing="1" w:after="120" w:line="360" w:lineRule="auto"/>
        <w:ind w:left="-57"/>
        <w:jc w:val="both"/>
        <w:rPr>
          <w:rFonts w:ascii="FrankRuehl" w:hAnsi="FrankRuehl" w:cs="FrankRuehl"/>
          <w:sz w:val="28"/>
          <w:szCs w:val="28"/>
        </w:rPr>
      </w:pPr>
      <w:r>
        <w:rPr>
          <w:rFonts w:ascii="FrankRuehl" w:hAnsi="FrankRuehl" w:cs="FrankRuehl" w:hint="cs"/>
          <w:sz w:val="28"/>
          <w:szCs w:val="28"/>
          <w:rtl/>
        </w:rPr>
        <w:t>13.</w:t>
      </w:r>
      <w:r>
        <w:rPr>
          <w:rFonts w:ascii="FrankRuehl" w:hAnsi="FrankRuehl" w:cs="FrankRuehl" w:hint="cs"/>
          <w:sz w:val="28"/>
          <w:szCs w:val="28"/>
          <w:rtl/>
        </w:rPr>
        <w:tab/>
      </w:r>
      <w:r>
        <w:rPr>
          <w:rFonts w:ascii="FrankRuehl" w:hAnsi="FrankRuehl" w:cs="FrankRuehl"/>
          <w:sz w:val="28"/>
          <w:szCs w:val="28"/>
          <w:rtl/>
        </w:rPr>
        <w:t>הנאשם במעשיו פגע בערכים עליהם ביקש המחוקק להגן ובכלל אלה, שמירה על שלום ובריאות הציבור וההגנה מפני הנזקים החברתיים, הן הישירים והן העקיפים</w:t>
      </w:r>
      <w:r>
        <w:rPr>
          <w:rFonts w:ascii="FrankRuehl" w:hAnsi="FrankRuehl" w:cs="FrankRuehl" w:hint="cs"/>
          <w:sz w:val="28"/>
          <w:szCs w:val="28"/>
          <w:rtl/>
        </w:rPr>
        <w:t>,</w:t>
      </w:r>
      <w:r>
        <w:rPr>
          <w:rFonts w:ascii="FrankRuehl" w:hAnsi="FrankRuehl" w:cs="FrankRuehl"/>
          <w:sz w:val="28"/>
          <w:szCs w:val="28"/>
          <w:rtl/>
        </w:rPr>
        <w:t xml:space="preserve"> אשר נגרמים כתוצאה מעבריינות הנלווית לשימוש בסמים</w:t>
      </w:r>
      <w:r>
        <w:rPr>
          <w:rFonts w:ascii="FrankRuehl" w:hAnsi="FrankRuehl" w:cs="FrankRuehl" w:hint="cs"/>
          <w:sz w:val="28"/>
          <w:szCs w:val="28"/>
          <w:rtl/>
        </w:rPr>
        <w:t>,</w:t>
      </w:r>
      <w:r>
        <w:rPr>
          <w:rFonts w:ascii="FrankRuehl" w:hAnsi="FrankRuehl" w:cs="FrankRuehl"/>
          <w:sz w:val="28"/>
          <w:szCs w:val="28"/>
          <w:rtl/>
        </w:rPr>
        <w:t xml:space="preserve"> לרבות ההגנה על הביטחון האישי ורכוש הציבור. בית המשפט העליון עמד לא אחת על ההכרח במדיניות ענישה מרתיעה כלפי אלה הלוקחים חלק בהפצתם של סמים מסוכנים. ראו מיני רבים: </w:t>
      </w:r>
      <w:hyperlink r:id="rId21" w:history="1">
        <w:r w:rsidR="001E57FF" w:rsidRPr="001E57FF">
          <w:rPr>
            <w:rFonts w:ascii="FrankRuehl" w:hAnsi="FrankRuehl" w:cs="FrankRuehl"/>
            <w:color w:val="0000FF"/>
            <w:sz w:val="28"/>
            <w:szCs w:val="28"/>
            <w:u w:val="single"/>
            <w:rtl/>
          </w:rPr>
          <w:t>ע"פ 6029/03</w:t>
        </w:r>
      </w:hyperlink>
      <w:r>
        <w:rPr>
          <w:rFonts w:ascii="FrankRuehl" w:hAnsi="FrankRuehl" w:cs="FrankRuehl"/>
          <w:sz w:val="28"/>
          <w:szCs w:val="28"/>
          <w:rtl/>
        </w:rPr>
        <w:t xml:space="preserve"> </w:t>
      </w:r>
      <w:r>
        <w:rPr>
          <w:rFonts w:ascii="Miriam" w:hAnsi="Miriam" w:cs="Miriam"/>
          <w:b/>
          <w:rtl/>
        </w:rPr>
        <w:t>מדינת ישראל נ' שמאי</w:t>
      </w:r>
      <w:r>
        <w:rPr>
          <w:rFonts w:ascii="FrankRuehl" w:hAnsi="FrankRuehl" w:cs="FrankRuehl"/>
          <w:sz w:val="28"/>
          <w:szCs w:val="28"/>
          <w:rtl/>
        </w:rPr>
        <w:t xml:space="preserve">, פ"ד נח (2) 734 (9.2.2004); </w:t>
      </w:r>
      <w:hyperlink r:id="rId22" w:history="1">
        <w:r w:rsidR="001E57FF" w:rsidRPr="001E57FF">
          <w:rPr>
            <w:rFonts w:ascii="FrankRuehl" w:hAnsi="FrankRuehl" w:cs="FrankRuehl"/>
            <w:color w:val="0000FF"/>
            <w:sz w:val="28"/>
            <w:szCs w:val="28"/>
            <w:u w:val="single"/>
            <w:rtl/>
          </w:rPr>
          <w:t>ע"פ 6021/95</w:t>
        </w:r>
      </w:hyperlink>
      <w:r>
        <w:rPr>
          <w:rFonts w:ascii="FrankRuehl" w:hAnsi="FrankRuehl" w:cs="FrankRuehl"/>
          <w:sz w:val="28"/>
          <w:szCs w:val="28"/>
          <w:rtl/>
        </w:rPr>
        <w:t xml:space="preserve">, 4998/95, 5267/95, 5313/95 </w:t>
      </w:r>
      <w:r>
        <w:rPr>
          <w:rFonts w:ascii="Miriam" w:hAnsi="Miriam" w:cs="Miriam"/>
          <w:b/>
          <w:rtl/>
        </w:rPr>
        <w:t>מדינת ישראל נ' גומז</w:t>
      </w:r>
      <w:r>
        <w:rPr>
          <w:rFonts w:ascii="FrankRuehl" w:hAnsi="FrankRuehl" w:cs="FrankRuehl"/>
          <w:b/>
          <w:bCs/>
          <w:sz w:val="28"/>
          <w:szCs w:val="28"/>
          <w:rtl/>
        </w:rPr>
        <w:t xml:space="preserve"> </w:t>
      </w:r>
      <w:r>
        <w:rPr>
          <w:rFonts w:ascii="FrankRuehl" w:hAnsi="FrankRuehl" w:cs="FrankRuehl"/>
          <w:sz w:val="28"/>
          <w:szCs w:val="28"/>
          <w:rtl/>
        </w:rPr>
        <w:t xml:space="preserve">(31.7.1997); </w:t>
      </w:r>
      <w:hyperlink r:id="rId23" w:history="1">
        <w:r w:rsidR="001E57FF" w:rsidRPr="001E57FF">
          <w:rPr>
            <w:rFonts w:ascii="FrankRuehl" w:hAnsi="FrankRuehl" w:cs="FrankRuehl"/>
            <w:color w:val="0000FF"/>
            <w:sz w:val="28"/>
            <w:szCs w:val="28"/>
            <w:u w:val="single"/>
            <w:rtl/>
          </w:rPr>
          <w:t>ע"פ 575/88</w:t>
        </w:r>
      </w:hyperlink>
      <w:r>
        <w:rPr>
          <w:rFonts w:ascii="FrankRuehl" w:hAnsi="FrankRuehl" w:cs="FrankRuehl"/>
          <w:sz w:val="28"/>
          <w:szCs w:val="28"/>
          <w:rtl/>
        </w:rPr>
        <w:t xml:space="preserve"> </w:t>
      </w:r>
      <w:r>
        <w:rPr>
          <w:rFonts w:ascii="Miriam" w:hAnsi="Miriam" w:cs="Miriam"/>
          <w:b/>
          <w:rtl/>
        </w:rPr>
        <w:t>עודה נ' מדינת ישראל</w:t>
      </w:r>
      <w:r>
        <w:rPr>
          <w:rFonts w:ascii="FrankRuehl" w:hAnsi="FrankRuehl" w:cs="FrankRuehl"/>
          <w:sz w:val="28"/>
          <w:szCs w:val="28"/>
          <w:rtl/>
        </w:rPr>
        <w:t xml:space="preserve">, פ"ד מב (4) 242 (11.12.1988)). </w:t>
      </w:r>
    </w:p>
    <w:p w14:paraId="38DFAB02"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14.</w:t>
      </w:r>
      <w:r>
        <w:rPr>
          <w:rFonts w:ascii="FrankRuehl" w:hAnsi="FrankRuehl" w:cs="FrankRuehl" w:hint="cs"/>
          <w:sz w:val="28"/>
          <w:szCs w:val="28"/>
          <w:rtl/>
        </w:rPr>
        <w:tab/>
      </w:r>
      <w:r>
        <w:rPr>
          <w:rFonts w:ascii="FrankRuehl" w:hAnsi="FrankRuehl" w:cs="FrankRuehl"/>
          <w:sz w:val="28"/>
          <w:szCs w:val="28"/>
          <w:rtl/>
        </w:rPr>
        <w:t>וכן דברי בית המשפט העליון</w:t>
      </w:r>
      <w:r>
        <w:rPr>
          <w:rFonts w:ascii="FrankRuehl" w:hAnsi="FrankRuehl" w:cs="FrankRuehl" w:hint="cs"/>
          <w:sz w:val="28"/>
          <w:szCs w:val="28"/>
          <w:rtl/>
        </w:rPr>
        <w:t xml:space="preserve"> ב</w:t>
      </w:r>
      <w:hyperlink r:id="rId24" w:history="1">
        <w:r w:rsidR="001E57FF" w:rsidRPr="001E57FF">
          <w:rPr>
            <w:rFonts w:ascii="FrankRuehl" w:hAnsi="FrankRuehl" w:cs="FrankRuehl"/>
            <w:color w:val="0000FF"/>
            <w:sz w:val="28"/>
            <w:szCs w:val="28"/>
            <w:u w:val="single"/>
            <w:rtl/>
          </w:rPr>
          <w:t>ע"פ 6990/13</w:t>
        </w:r>
      </w:hyperlink>
      <w:r>
        <w:rPr>
          <w:rFonts w:ascii="FrankRuehl" w:hAnsi="FrankRuehl" w:cs="FrankRuehl" w:hint="cs"/>
          <w:sz w:val="28"/>
          <w:szCs w:val="28"/>
          <w:rtl/>
        </w:rPr>
        <w:t xml:space="preserve"> </w:t>
      </w:r>
      <w:r>
        <w:rPr>
          <w:rFonts w:ascii="Miriam" w:hAnsi="Miriam" w:cs="Miriam"/>
          <w:rtl/>
        </w:rPr>
        <w:t>חט</w:t>
      </w:r>
      <w:r>
        <w:rPr>
          <w:rFonts w:ascii="Miriam" w:hAnsi="Miriam" w:cs="Miriam"/>
        </w:rPr>
        <w:t>'</w:t>
      </w:r>
      <w:r>
        <w:rPr>
          <w:rFonts w:ascii="Miriam" w:hAnsi="Miriam" w:cs="Miriam"/>
          <w:rtl/>
        </w:rPr>
        <w:t>יב נ' מדינת ישראל</w:t>
      </w:r>
      <w:r>
        <w:rPr>
          <w:rFonts w:ascii="FrankRuehl" w:hAnsi="FrankRuehl" w:cs="FrankRuehl"/>
          <w:sz w:val="28"/>
          <w:szCs w:val="28"/>
          <w:rtl/>
        </w:rPr>
        <w:t xml:space="preserve"> (24.2.2014):</w:t>
      </w:r>
    </w:p>
    <w:p w14:paraId="77B03C45" w14:textId="77777777" w:rsidR="00AA5275" w:rsidRDefault="00AA5275" w:rsidP="00AA5275">
      <w:pPr>
        <w:tabs>
          <w:tab w:val="left" w:pos="7455"/>
        </w:tabs>
        <w:spacing w:before="100" w:beforeAutospacing="1" w:after="120" w:line="360" w:lineRule="auto"/>
        <w:ind w:left="720" w:right="851"/>
        <w:jc w:val="both"/>
        <w:rPr>
          <w:rFonts w:ascii="FrankRuehl" w:hAnsi="FrankRuehl" w:cs="FrankRuehl"/>
          <w:sz w:val="28"/>
          <w:szCs w:val="28"/>
          <w:rtl/>
        </w:rPr>
      </w:pPr>
      <w:r>
        <w:rPr>
          <w:rFonts w:ascii="FrankRuehl" w:hAnsi="FrankRuehl" w:cs="FrankRuehl"/>
          <w:sz w:val="28"/>
          <w:szCs w:val="28"/>
          <w:rtl/>
        </w:rPr>
        <w:t xml:space="preserve">"בית משפט זה הצביע בפסקי דין רבים על התוצאות הקשות וההרסניות </w:t>
      </w:r>
      <w:r>
        <w:rPr>
          <w:rFonts w:ascii="FrankRuehl" w:hAnsi="FrankRuehl" w:cs="FrankRuehl" w:hint="cs"/>
          <w:sz w:val="28"/>
          <w:szCs w:val="28"/>
          <w:rtl/>
        </w:rPr>
        <w:t xml:space="preserve">                                               </w:t>
      </w:r>
      <w:r>
        <w:rPr>
          <w:rFonts w:ascii="FrankRuehl" w:hAnsi="FrankRuehl" w:cs="FrankRuehl"/>
          <w:sz w:val="28"/>
          <w:szCs w:val="28"/>
          <w:rtl/>
        </w:rPr>
        <w:t>הנגרמות בעקבות הפצת סמים מסוכנים, ובמיוחד הקשים שביניהם.</w:t>
      </w:r>
      <w:r>
        <w:rPr>
          <w:rFonts w:ascii="FrankRuehl" w:hAnsi="FrankRuehl" w:cs="FrankRuehl" w:hint="cs"/>
          <w:sz w:val="28"/>
          <w:szCs w:val="28"/>
          <w:rtl/>
        </w:rPr>
        <w:t xml:space="preserve"> </w:t>
      </w:r>
      <w:r>
        <w:rPr>
          <w:rFonts w:ascii="FrankRuehl" w:hAnsi="FrankRuehl" w:cs="FrankRuehl"/>
          <w:sz w:val="28"/>
          <w:szCs w:val="28"/>
          <w:rtl/>
        </w:rPr>
        <w:t xml:space="preserve">קשה להגזים בהערכת הנזק הנגרם מייצור, הפצה, סחר ושימוש בסמים. נזק ממוני, גופני ונפשי, המקיף את החברה בכללותה, ואיננו נעצר במשתמש או במעורבים הישירים בביצוע העבירות... יבואני סמים וסוחריו המרכזיים הם אלו שיוזמים ומניעים את התהליך, אולם תפקיד חשוב וממשי בפגיעה בערכים המוגנים מסור גם לכל יתר חברי החוליות המרכיבות את השרשרת, מגדול ועד קטן: "וידענו מכבר כי בלא חוליות-הביניים המרכיבות את השרשרת יתקשו עברייני הסמים העיקריים לבצע את זממם. כנדרש מכאן, חובה היא המוטלת עלינו להיאבק בכל חוליה וחוליה ולנתק את השרשרת...".  </w:t>
      </w:r>
    </w:p>
    <w:p w14:paraId="3F052D62" w14:textId="77777777" w:rsidR="00AA5275" w:rsidRDefault="00AA5275" w:rsidP="00AA5275">
      <w:pPr>
        <w:spacing w:before="100" w:beforeAutospacing="1" w:after="120" w:line="360" w:lineRule="auto"/>
        <w:jc w:val="both"/>
        <w:rPr>
          <w:rFonts w:ascii="FrankRuehl" w:hAnsi="FrankRuehl" w:cs="FrankRuehl"/>
          <w:sz w:val="28"/>
          <w:szCs w:val="28"/>
          <w:rtl/>
        </w:rPr>
      </w:pPr>
      <w:r>
        <w:rPr>
          <w:rFonts w:ascii="FrankRuehl" w:hAnsi="FrankRuehl" w:cs="FrankRuehl" w:hint="cs"/>
          <w:sz w:val="28"/>
          <w:szCs w:val="28"/>
          <w:rtl/>
        </w:rPr>
        <w:t>15.</w:t>
      </w:r>
      <w:r>
        <w:rPr>
          <w:rFonts w:ascii="FrankRuehl" w:hAnsi="FrankRuehl" w:cs="FrankRuehl" w:hint="cs"/>
          <w:sz w:val="28"/>
          <w:szCs w:val="28"/>
          <w:rtl/>
        </w:rPr>
        <w:tab/>
        <w:t>ב</w:t>
      </w:r>
      <w:r>
        <w:rPr>
          <w:rFonts w:ascii="FrankRuehl" w:hAnsi="FrankRuehl" w:cs="FrankRuehl"/>
          <w:sz w:val="28"/>
          <w:szCs w:val="28"/>
          <w:rtl/>
        </w:rPr>
        <w:t>אשר לסכנה הנשקפת מסם הקוקאין</w:t>
      </w:r>
      <w:r>
        <w:rPr>
          <w:rFonts w:ascii="FrankRuehl" w:hAnsi="FrankRuehl" w:cs="FrankRuehl" w:hint="cs"/>
          <w:sz w:val="28"/>
          <w:szCs w:val="28"/>
          <w:rtl/>
        </w:rPr>
        <w:t xml:space="preserve"> אפנה ל</w:t>
      </w:r>
      <w:hyperlink r:id="rId25" w:history="1">
        <w:r w:rsidR="001E57FF" w:rsidRPr="001E57FF">
          <w:rPr>
            <w:rFonts w:ascii="FrankRuehl" w:hAnsi="FrankRuehl" w:cs="FrankRuehl"/>
            <w:color w:val="0000FF"/>
            <w:sz w:val="28"/>
            <w:szCs w:val="28"/>
            <w:u w:val="single"/>
            <w:rtl/>
          </w:rPr>
          <w:t>ע"פ 972/11</w:t>
        </w:r>
      </w:hyperlink>
      <w:r>
        <w:rPr>
          <w:rFonts w:ascii="FrankRuehl" w:hAnsi="FrankRuehl" w:cs="FrankRuehl"/>
          <w:sz w:val="28"/>
          <w:szCs w:val="28"/>
          <w:rtl/>
        </w:rPr>
        <w:t xml:space="preserve"> </w:t>
      </w:r>
      <w:r>
        <w:rPr>
          <w:rFonts w:ascii="Miriam" w:hAnsi="Miriam" w:cs="Miriam"/>
          <w:b/>
          <w:rtl/>
        </w:rPr>
        <w:t>מדינת</w:t>
      </w:r>
      <w:r>
        <w:rPr>
          <w:rFonts w:ascii="FrankRuehl" w:hAnsi="FrankRuehl" w:cs="FrankRuehl"/>
          <w:b/>
          <w:bCs/>
          <w:sz w:val="28"/>
          <w:szCs w:val="28"/>
          <w:rtl/>
        </w:rPr>
        <w:t xml:space="preserve"> </w:t>
      </w:r>
      <w:r>
        <w:rPr>
          <w:rFonts w:ascii="Miriam" w:hAnsi="Miriam" w:cs="Miriam"/>
          <w:b/>
          <w:rtl/>
        </w:rPr>
        <w:t>ישראל נ' יונה</w:t>
      </w:r>
      <w:r>
        <w:rPr>
          <w:rFonts w:ascii="FrankRuehl" w:hAnsi="FrankRuehl" w:cs="FrankRuehl"/>
          <w:sz w:val="28"/>
          <w:szCs w:val="28"/>
          <w:rtl/>
        </w:rPr>
        <w:t xml:space="preserve"> (4.7.2012):</w:t>
      </w:r>
    </w:p>
    <w:p w14:paraId="44AAEE6E" w14:textId="77777777" w:rsidR="00AA5275" w:rsidRDefault="00AA5275" w:rsidP="00AA5275">
      <w:pPr>
        <w:spacing w:before="100" w:beforeAutospacing="1" w:after="120" w:line="360" w:lineRule="auto"/>
        <w:ind w:left="720" w:right="851"/>
        <w:jc w:val="both"/>
        <w:rPr>
          <w:rFonts w:ascii="FrankRuehl" w:hAnsi="FrankRuehl" w:cs="FrankRuehl"/>
          <w:sz w:val="28"/>
          <w:szCs w:val="28"/>
        </w:rPr>
      </w:pPr>
      <w:r>
        <w:rPr>
          <w:rFonts w:ascii="FrankRuehl" w:hAnsi="FrankRuehl" w:cs="FrankRuehl"/>
          <w:sz w:val="28"/>
          <w:szCs w:val="28"/>
          <w:rtl/>
        </w:rPr>
        <w:t>"יתכן ועבירות הסמים הקשים ה</w:t>
      </w:r>
      <w:r>
        <w:rPr>
          <w:rFonts w:ascii="FrankRuehl" w:hAnsi="FrankRuehl" w:cs="FrankRuehl" w:hint="cs"/>
          <w:sz w:val="28"/>
          <w:szCs w:val="28"/>
          <w:rtl/>
        </w:rPr>
        <w:t>ן</w:t>
      </w:r>
      <w:r>
        <w:rPr>
          <w:rFonts w:ascii="FrankRuehl" w:hAnsi="FrankRuehl" w:cs="FrankRuehl"/>
          <w:sz w:val="28"/>
          <w:szCs w:val="28"/>
          <w:rtl/>
        </w:rPr>
        <w:t xml:space="preserve"> כה נפוצות עד שהתרגלנו אליהן ואולי אף אבדה לנו הרגישות למחיר שלא רק החברה משלמת אלא המשתמש עצמו. הקוקאין נחשב ולא בכדי, לסם קשה. זאת הן בשל ההשפעות על גוף האדם והן בשל פוטנציאל ההתמכרות הגבוה שטמון בו. על פי רוב, לאחר נטילת הסם חווה המשתמש תחושה חזקה של אופוריה. לאחר האופוריה מגיעה התרסקות שמתאפיינת בתשישות, שינה, דיכאון ממושך – וצורך עז להשיג מנת סם נוספת. נמצא גם שהמוח מסתגל במהירות לאפקט האופוריה, וכתוצאה מכך המשתמש צורך כמויות הולכות וגדלות מהסם. הגדלת מנת הסם מעצימה את הפגיעה שנגרמת למשתמש ובכלל זאת פרנויה, פאניקה ושיבוש בפעילות החשמלית של הלב עד כדי פוטנציאל להתקף או לדום לב... הפגיעה ביחיד חוזרת חלילה לפגיעה בחברה. השימוש בסם מסוג קוקאין יוצר צורך להמשיך ולהשתמש. כתוצאה מכך עליו לחפש מקורות כספיים למימון הסם, לאו דווקא בדרכים חוקיות, תוך שהוא חווה הידרדרות מתמדת בתפקוד הפיזי והקוגניטיבי". </w:t>
      </w:r>
    </w:p>
    <w:p w14:paraId="6C89C607" w14:textId="77777777" w:rsidR="00AA5275" w:rsidRDefault="00AA5275" w:rsidP="00AA5275">
      <w:pPr>
        <w:spacing w:before="100" w:beforeAutospacing="1" w:after="120" w:line="360" w:lineRule="auto"/>
        <w:ind w:left="-50"/>
        <w:jc w:val="both"/>
        <w:rPr>
          <w:rFonts w:ascii="Corbel" w:hAnsi="Corbel" w:cs="FrankRuehl"/>
          <w:sz w:val="28"/>
          <w:szCs w:val="28"/>
          <w:rtl/>
        </w:rPr>
      </w:pPr>
      <w:r>
        <w:rPr>
          <w:rFonts w:ascii="Corbel" w:hAnsi="Corbel" w:cs="FrankRuehl" w:hint="cs"/>
          <w:sz w:val="28"/>
          <w:szCs w:val="28"/>
          <w:rtl/>
        </w:rPr>
        <w:t>16.</w:t>
      </w:r>
      <w:r>
        <w:rPr>
          <w:rFonts w:ascii="Corbel" w:hAnsi="Corbel" w:cs="FrankRuehl" w:hint="cs"/>
          <w:sz w:val="28"/>
          <w:szCs w:val="28"/>
          <w:rtl/>
        </w:rPr>
        <w:tab/>
      </w:r>
      <w:r>
        <w:rPr>
          <w:rFonts w:ascii="Corbel" w:hAnsi="Corbel" w:cs="FrankRuehl"/>
          <w:sz w:val="28"/>
          <w:szCs w:val="28"/>
          <w:rtl/>
        </w:rPr>
        <w:t xml:space="preserve">טרם נידרש לפרטי המקרה </w:t>
      </w:r>
      <w:r>
        <w:rPr>
          <w:rFonts w:ascii="Corbel" w:hAnsi="Corbel" w:cs="FrankRuehl" w:hint="cs"/>
          <w:sz w:val="28"/>
          <w:szCs w:val="28"/>
          <w:rtl/>
        </w:rPr>
        <w:t>הקונקרטי</w:t>
      </w:r>
      <w:r>
        <w:rPr>
          <w:rFonts w:ascii="Corbel" w:hAnsi="Corbel" w:cs="FrankRuehl"/>
          <w:sz w:val="28"/>
          <w:szCs w:val="28"/>
          <w:rtl/>
        </w:rPr>
        <w:t xml:space="preserve"> יובאו להלן מספר פסקי דין שיש בהם ללמד על מדיניות הענישה הנהוגה בעבירות סחר בסם</w:t>
      </w:r>
      <w:r>
        <w:rPr>
          <w:rFonts w:ascii="Corbel" w:hAnsi="Corbel" w:cs="FrankRuehl" w:hint="cs"/>
          <w:sz w:val="28"/>
          <w:szCs w:val="28"/>
          <w:rtl/>
        </w:rPr>
        <w:t xml:space="preserve"> מסוג קוקאין</w:t>
      </w:r>
      <w:r>
        <w:rPr>
          <w:rFonts w:ascii="Corbel" w:hAnsi="Corbel" w:cs="FrankRuehl"/>
          <w:sz w:val="28"/>
          <w:szCs w:val="28"/>
          <w:rtl/>
        </w:rPr>
        <w:t xml:space="preserve"> וזאת ככלי עזר לקביעת מתחם העונש ההולם. עיון בפסקי הדין מלמד כי קשת העונשים בעבירות מעין אלו היא רחבה ולרוב כולל</w:t>
      </w:r>
      <w:r>
        <w:rPr>
          <w:rFonts w:ascii="Corbel" w:hAnsi="Corbel" w:cs="FrankRuehl" w:hint="cs"/>
          <w:sz w:val="28"/>
          <w:szCs w:val="28"/>
          <w:rtl/>
        </w:rPr>
        <w:t>ת</w:t>
      </w:r>
      <w:r>
        <w:rPr>
          <w:rFonts w:ascii="Corbel" w:hAnsi="Corbel" w:cs="FrankRuehl"/>
          <w:sz w:val="28"/>
          <w:szCs w:val="28"/>
          <w:rtl/>
        </w:rPr>
        <w:t xml:space="preserve"> תקופות מאסר ארוכות. חלק מפסקי הדין עוסקים במקרים אשר נידונו בבית המשפט המחוזי אך הכמויות באותן העסקאות דומות למקרה הנוכחי. </w:t>
      </w:r>
    </w:p>
    <w:p w14:paraId="7C7EF319" w14:textId="77777777" w:rsidR="00AA5275" w:rsidRDefault="00AA5275" w:rsidP="00AA5275">
      <w:pPr>
        <w:spacing w:before="100" w:beforeAutospacing="1" w:after="120" w:line="360" w:lineRule="auto"/>
        <w:ind w:left="-50"/>
        <w:jc w:val="both"/>
        <w:rPr>
          <w:rFonts w:ascii="Corbel" w:hAnsi="Corbel" w:cs="FrankRuehl"/>
          <w:sz w:val="28"/>
          <w:szCs w:val="28"/>
          <w:rtl/>
        </w:rPr>
      </w:pPr>
      <w:r>
        <w:rPr>
          <w:rFonts w:ascii="Corbel" w:hAnsi="Corbel" w:cs="FrankRuehl" w:hint="cs"/>
          <w:sz w:val="28"/>
          <w:szCs w:val="28"/>
          <w:rtl/>
        </w:rPr>
        <w:t>17.</w:t>
      </w:r>
      <w:r>
        <w:rPr>
          <w:rFonts w:ascii="Corbel" w:hAnsi="Corbel" w:cs="FrankRuehl" w:hint="cs"/>
          <w:sz w:val="28"/>
          <w:szCs w:val="28"/>
          <w:rtl/>
        </w:rPr>
        <w:tab/>
      </w:r>
      <w:hyperlink r:id="rId26" w:history="1">
        <w:r w:rsidR="001E57FF" w:rsidRPr="001E57FF">
          <w:rPr>
            <w:rFonts w:ascii="FrankRuehl" w:hAnsi="FrankRuehl" w:cs="FrankRuehl"/>
            <w:color w:val="0000FF"/>
            <w:sz w:val="28"/>
            <w:szCs w:val="28"/>
            <w:u w:val="single"/>
            <w:rtl/>
          </w:rPr>
          <w:t>ע"פ 1184/21;</w:t>
        </w:r>
      </w:hyperlink>
      <w:r>
        <w:rPr>
          <w:rFonts w:ascii="FrankRuehl" w:hAnsi="FrankRuehl" w:cs="FrankRuehl"/>
          <w:sz w:val="28"/>
          <w:szCs w:val="28"/>
          <w:rtl/>
        </w:rPr>
        <w:t xml:space="preserve"> </w:t>
      </w:r>
      <w:hyperlink r:id="rId27" w:history="1">
        <w:r w:rsidR="001E57FF" w:rsidRPr="001E57FF">
          <w:rPr>
            <w:rFonts w:ascii="FrankRuehl" w:hAnsi="FrankRuehl" w:cs="FrankRuehl"/>
            <w:color w:val="0000FF"/>
            <w:sz w:val="28"/>
            <w:szCs w:val="28"/>
            <w:u w:val="single"/>
            <w:rtl/>
          </w:rPr>
          <w:t>ע"פ 1304/21</w:t>
        </w:r>
      </w:hyperlink>
      <w:r>
        <w:rPr>
          <w:rFonts w:ascii="FrankRuehl" w:hAnsi="FrankRuehl" w:cs="FrankRuehl"/>
          <w:sz w:val="28"/>
          <w:szCs w:val="28"/>
          <w:rtl/>
        </w:rPr>
        <w:t xml:space="preserve"> </w:t>
      </w:r>
      <w:r>
        <w:rPr>
          <w:rFonts w:ascii="Miriam" w:hAnsi="Miriam" w:cs="Miriam"/>
          <w:rtl/>
        </w:rPr>
        <w:t>יאיר כוכבי ודביר אזולאי נ' מדינת ישראל</w:t>
      </w:r>
      <w:r>
        <w:rPr>
          <w:rFonts w:ascii="FrankRuehl" w:hAnsi="FrankRuehl" w:cs="FrankRuehl"/>
          <w:sz w:val="28"/>
          <w:szCs w:val="28"/>
          <w:rtl/>
        </w:rPr>
        <w:t xml:space="preserve"> (2.6.2021) הנאשמים הורשעו על יסוד הודאתם בביצוע שתי עסקאות סמים בשני אישומים. באישום הראשון סחר הנאשם 1 ביחד עם הנאשם 2 ואחר בסם מסוכן מסוג קוקאין במשקל 49.18 גרם נטו תמורת 25,000 ₪ ובאישום השני סחר הנאשם 2 בסם בסיוע הנאשם 1 בכך שמכר לסוכן המשטרתי 48.47 גרם נטו סם מסוכן מסוג קוקאין תמורת 25,000 ₪. נקבע מתחם ענישה </w:t>
      </w:r>
      <w:r>
        <w:rPr>
          <w:rFonts w:ascii="FrankRuehl" w:hAnsi="FrankRuehl" w:cs="FrankRuehl" w:hint="cs"/>
          <w:sz w:val="28"/>
          <w:szCs w:val="28"/>
          <w:rtl/>
        </w:rPr>
        <w:t xml:space="preserve">אחד </w:t>
      </w:r>
      <w:r>
        <w:rPr>
          <w:rFonts w:ascii="FrankRuehl" w:hAnsi="FrankRuehl" w:cs="FrankRuehl"/>
          <w:sz w:val="28"/>
          <w:szCs w:val="28"/>
          <w:rtl/>
        </w:rPr>
        <w:t xml:space="preserve">לשני האישומים בין 48-24 חודשים. בית המשפט גזר על הנאשם 1 בעל עבר פלילי – 24 חודשי מאסר בפועל וענישה נלווית ועל הנאשם 2 שעברו אינו מכביד מצא בית המשפט לסטות מעט ממתחם הענישה מטעמי שיקום וגזר עליו 18 חודשי מאסר ורכיבי ענישה נוספים. הוגשו ערעורים לבית המשפט העליון אך </w:t>
      </w:r>
      <w:r>
        <w:rPr>
          <w:rFonts w:ascii="FrankRuehl" w:hAnsi="FrankRuehl" w:cs="FrankRuehl" w:hint="cs"/>
          <w:sz w:val="28"/>
          <w:szCs w:val="28"/>
          <w:rtl/>
        </w:rPr>
        <w:t>ב</w:t>
      </w:r>
      <w:r>
        <w:rPr>
          <w:rFonts w:ascii="FrankRuehl" w:hAnsi="FrankRuehl" w:cs="FrankRuehl"/>
          <w:sz w:val="28"/>
          <w:szCs w:val="28"/>
          <w:rtl/>
        </w:rPr>
        <w:t>עקבות הערות בית המשפט, המערערים הודיעו כי לא יעמדו על הערעור. בצד זאת ניתנה הקלה לעניין רכיב הפסילה.</w:t>
      </w:r>
    </w:p>
    <w:p w14:paraId="2D411054"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Corbel" w:hAnsi="Corbel" w:cs="FrankRuehl" w:hint="cs"/>
          <w:sz w:val="28"/>
          <w:szCs w:val="28"/>
          <w:rtl/>
        </w:rPr>
        <w:t>18.</w:t>
      </w:r>
      <w:r>
        <w:rPr>
          <w:rFonts w:ascii="Corbel" w:hAnsi="Corbel" w:cs="FrankRuehl" w:hint="cs"/>
          <w:sz w:val="28"/>
          <w:szCs w:val="28"/>
          <w:rtl/>
        </w:rPr>
        <w:tab/>
      </w:r>
      <w:hyperlink r:id="rId28" w:history="1">
        <w:r w:rsidR="001E57FF" w:rsidRPr="001E57FF">
          <w:rPr>
            <w:rFonts w:ascii="Corbel" w:hAnsi="Corbel" w:cs="FrankRuehl" w:hint="eastAsia"/>
            <w:color w:val="0000FF"/>
            <w:sz w:val="28"/>
            <w:szCs w:val="28"/>
            <w:u w:val="single"/>
            <w:rtl/>
          </w:rPr>
          <w:t>ע</w:t>
        </w:r>
        <w:r w:rsidR="001E57FF" w:rsidRPr="001E57FF">
          <w:rPr>
            <w:rFonts w:ascii="Corbel" w:hAnsi="Corbel" w:cs="FrankRuehl"/>
            <w:color w:val="0000FF"/>
            <w:sz w:val="28"/>
            <w:szCs w:val="28"/>
            <w:u w:val="single"/>
            <w:rtl/>
          </w:rPr>
          <w:t>"</w:t>
        </w:r>
        <w:r w:rsidR="001E57FF" w:rsidRPr="001E57FF">
          <w:rPr>
            <w:rFonts w:ascii="Corbel" w:hAnsi="Corbel" w:cs="FrankRuehl" w:hint="eastAsia"/>
            <w:color w:val="0000FF"/>
            <w:sz w:val="28"/>
            <w:szCs w:val="28"/>
            <w:u w:val="single"/>
            <w:rtl/>
          </w:rPr>
          <w:t>פ</w:t>
        </w:r>
        <w:r w:rsidR="001E57FF" w:rsidRPr="001E57FF">
          <w:rPr>
            <w:rFonts w:ascii="Corbel" w:hAnsi="Corbel" w:cs="FrankRuehl"/>
            <w:color w:val="0000FF"/>
            <w:sz w:val="28"/>
            <w:szCs w:val="28"/>
            <w:u w:val="single"/>
            <w:rtl/>
          </w:rPr>
          <w:t xml:space="preserve"> 1965/20</w:t>
        </w:r>
      </w:hyperlink>
      <w:r>
        <w:rPr>
          <w:rFonts w:ascii="Corbel" w:hAnsi="Corbel" w:cs="FrankRuehl"/>
          <w:sz w:val="28"/>
          <w:szCs w:val="28"/>
          <w:rtl/>
        </w:rPr>
        <w:t xml:space="preserve"> </w:t>
      </w:r>
      <w:r>
        <w:rPr>
          <w:rFonts w:ascii="Miriam" w:hAnsi="Miriam" w:cs="Miriam"/>
          <w:rtl/>
        </w:rPr>
        <w:t>כרים בדואי נ' מדינת ישראל</w:t>
      </w:r>
      <w:r>
        <w:rPr>
          <w:rFonts w:ascii="FrankRuehl" w:hAnsi="FrankRuehl" w:cs="FrankRuehl"/>
          <w:sz w:val="28"/>
          <w:szCs w:val="28"/>
          <w:rtl/>
        </w:rPr>
        <w:t xml:space="preserve"> (11.6.2020)- המערער הורשע על פי הודאתו בעבירות של סיוע לסחר בסם מסוכן ובסחר בסם מסוכן. במקרה הראשון סייע למכירת סם מסוכן מסוג קוקאין במשקל 39.62 גרם נטו תמורת 15,200 ₪; ובמקרה השני מכר לסוכן המשטרתי סם מסוכן מסוג קוקאין במשקל 29.98 גרם נטו תמורת 11,400 ₪. נקבע מתחם ענישה בגין שני האישומים בין 50-25 חודשי מאסר. בית המשפט גזר על הנאשם בעל עבר פלילי 36 חודשי מאסר הכוללים הפעלת מאסר מותנה במצטבר ורכיבי ענישה נוספים. ערעור על חומרת העונש התקבל ונקבע כי המאסר המותנה ירוצה בחופף כך שהנאשם ירצה עונש מאסר בן 30 חודשים</w:t>
      </w:r>
      <w:r>
        <w:rPr>
          <w:rFonts w:ascii="FrankRuehl" w:hAnsi="FrankRuehl" w:cs="FrankRuehl" w:hint="cs"/>
          <w:sz w:val="28"/>
          <w:szCs w:val="28"/>
          <w:rtl/>
        </w:rPr>
        <w:t xml:space="preserve"> יתר רכיבי הענישה ללא שינוי</w:t>
      </w:r>
      <w:r>
        <w:rPr>
          <w:rFonts w:ascii="FrankRuehl" w:hAnsi="FrankRuehl" w:cs="FrankRuehl"/>
          <w:sz w:val="28"/>
          <w:szCs w:val="28"/>
          <w:rtl/>
        </w:rPr>
        <w:t>.</w:t>
      </w:r>
    </w:p>
    <w:p w14:paraId="341C1EF0"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19.</w:t>
      </w:r>
      <w:r>
        <w:rPr>
          <w:rFonts w:ascii="FrankRuehl" w:hAnsi="FrankRuehl" w:cs="FrankRuehl" w:hint="cs"/>
          <w:sz w:val="28"/>
          <w:szCs w:val="28"/>
          <w:rtl/>
        </w:rPr>
        <w:tab/>
      </w:r>
      <w:hyperlink r:id="rId29" w:history="1">
        <w:r w:rsidR="001E57FF" w:rsidRPr="001E57FF">
          <w:rPr>
            <w:rFonts w:ascii="FrankRuehl" w:hAnsi="FrankRuehl" w:cs="FrankRuehl"/>
            <w:color w:val="0000FF"/>
            <w:sz w:val="28"/>
            <w:szCs w:val="28"/>
            <w:u w:val="single"/>
            <w:rtl/>
          </w:rPr>
          <w:t>ע"פ 2467/19</w:t>
        </w:r>
      </w:hyperlink>
      <w:r>
        <w:rPr>
          <w:rFonts w:ascii="FrankRuehl" w:hAnsi="FrankRuehl" w:cs="FrankRuehl"/>
          <w:sz w:val="28"/>
          <w:szCs w:val="28"/>
          <w:rtl/>
        </w:rPr>
        <w:t xml:space="preserve"> </w:t>
      </w:r>
      <w:r>
        <w:rPr>
          <w:rFonts w:ascii="Miriam" w:hAnsi="Miriam" w:cs="Miriam"/>
          <w:rtl/>
        </w:rPr>
        <w:t>ארנסט גרשומוב נ' מדינת ישראל</w:t>
      </w:r>
      <w:r>
        <w:rPr>
          <w:rFonts w:ascii="FrankRuehl" w:hAnsi="FrankRuehl" w:cs="FrankRuehl"/>
          <w:sz w:val="28"/>
          <w:szCs w:val="28"/>
          <w:rtl/>
        </w:rPr>
        <w:t xml:space="preserve"> (12.5.20219) – הנאשם בעל עבר פלילי הורשע על פי הודאתו בשתי עבירות סמים. במקרה הראשון, סייע הנאשם לביצוע עסקת סמים בכך שמסר לסוכן משטרתי סם מסוג קוקאין במשקל 48.25 גרם תמורת 21,500 ₪. ובמקרה השני מכר לסוכן משטרתי 49.22 גרם קוקאין תמורת 21,500 ₪. נקבע מתחם ענישה 48-24 חודשים. בית המשפט גזר על הנאשם 27 חודשי מאסר בפועל ורכיבי ענישה נוספים. ערעור לבית המשפט העליון נדחה למעט קיצור תקופת פסילת רישיון הנהיגה. </w:t>
      </w:r>
    </w:p>
    <w:p w14:paraId="35DBAE69"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20.</w:t>
      </w:r>
      <w:r>
        <w:rPr>
          <w:rFonts w:ascii="FrankRuehl" w:hAnsi="FrankRuehl" w:cs="FrankRuehl" w:hint="cs"/>
          <w:sz w:val="28"/>
          <w:szCs w:val="28"/>
          <w:rtl/>
        </w:rPr>
        <w:tab/>
      </w:r>
      <w:hyperlink r:id="rId30" w:history="1">
        <w:r w:rsidR="001E57FF" w:rsidRPr="001E57FF">
          <w:rPr>
            <w:rFonts w:ascii="FrankRuehl" w:hAnsi="FrankRuehl" w:cs="FrankRuehl"/>
            <w:color w:val="0000FF"/>
            <w:sz w:val="28"/>
            <w:szCs w:val="28"/>
            <w:u w:val="single"/>
            <w:rtl/>
          </w:rPr>
          <w:t>ע"פ 5713/18</w:t>
        </w:r>
      </w:hyperlink>
      <w:r>
        <w:rPr>
          <w:rFonts w:ascii="FrankRuehl" w:hAnsi="FrankRuehl" w:cs="FrankRuehl"/>
          <w:sz w:val="28"/>
          <w:szCs w:val="28"/>
          <w:rtl/>
        </w:rPr>
        <w:t xml:space="preserve"> </w:t>
      </w:r>
      <w:r>
        <w:rPr>
          <w:rFonts w:ascii="Miriam" w:hAnsi="Miriam" w:cs="Miriam"/>
          <w:rtl/>
        </w:rPr>
        <w:t>עלי כליבאת נ' מדינת ישראל</w:t>
      </w:r>
      <w:r>
        <w:rPr>
          <w:rFonts w:ascii="FrankRuehl" w:hAnsi="FrankRuehl" w:cs="FrankRuehl"/>
          <w:sz w:val="28"/>
          <w:szCs w:val="28"/>
          <w:rtl/>
        </w:rPr>
        <w:t xml:space="preserve"> (20.1.2019) – הנאשם בן 19 נעדר עבר פלילי הורשע על פי הודאתו בשתי אישומים של סיוע לסחר בסם מסוכן וסיוע להחזקת סם שלא לצריכה עצמית במשקל כולל 45 גרם קוקאין וזאת כחלק מפרשיית סוכן. נקבע מתחם ענישה 32-15 חודשים ועל הנאשם נגזר עונש מאסר בן 16 חודשים ורכיבי ענישה נוספים. ערעור לבית המשפט העליון נדחה. נציין כי על המבצע העיקרי בעל עבר פלילי נגזרו 39.5 חודשי מאסר בפועל.  </w:t>
      </w:r>
    </w:p>
    <w:p w14:paraId="47BEC816"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21.</w:t>
      </w:r>
      <w:r>
        <w:rPr>
          <w:rFonts w:ascii="FrankRuehl" w:hAnsi="FrankRuehl" w:cs="FrankRuehl" w:hint="cs"/>
          <w:sz w:val="28"/>
          <w:szCs w:val="28"/>
          <w:rtl/>
        </w:rPr>
        <w:tab/>
      </w:r>
      <w:hyperlink r:id="rId31" w:history="1">
        <w:r w:rsidR="001E57FF" w:rsidRPr="001E57FF">
          <w:rPr>
            <w:rFonts w:ascii="FrankRuehl" w:hAnsi="FrankRuehl" w:cs="FrankRuehl"/>
            <w:color w:val="0000FF"/>
            <w:sz w:val="28"/>
            <w:szCs w:val="28"/>
            <w:u w:val="single"/>
            <w:rtl/>
          </w:rPr>
          <w:t>ע"פ 8367/18</w:t>
        </w:r>
      </w:hyperlink>
      <w:r>
        <w:rPr>
          <w:rFonts w:ascii="FrankRuehl" w:hAnsi="FrankRuehl" w:cs="FrankRuehl"/>
          <w:sz w:val="28"/>
          <w:szCs w:val="28"/>
          <w:rtl/>
        </w:rPr>
        <w:t xml:space="preserve"> </w:t>
      </w:r>
      <w:r>
        <w:rPr>
          <w:rFonts w:ascii="Miriam" w:hAnsi="Miriam" w:cs="Miriam"/>
          <w:rtl/>
        </w:rPr>
        <w:t xml:space="preserve">פלוני (אבו נס) נ' מדינת ישראל </w:t>
      </w:r>
      <w:r>
        <w:rPr>
          <w:rFonts w:ascii="FrankRuehl" w:hAnsi="FrankRuehl" w:cs="FrankRuehl"/>
          <w:sz w:val="28"/>
          <w:szCs w:val="28"/>
          <w:rtl/>
        </w:rPr>
        <w:t xml:space="preserve">(12.3.2019)- הנאשם בעל עבר פלילי הורשע בשתי עבירות של סחר בסם לסוכן משטרתי. בעסקה הראשונה מכר סם מסוכן מסוג קוקאין במשקל 29.9 גרם נטו תמורת 16,500 ₪ נקבע מתחם שבין 23 ל-50 חודשי מאסר. בעסקה השנייה מכר סם מסוכן מסוג קוקאין במשקל 50.4 גרם נטו תמורת 22,500 ₪, נקבע מתחם שבין 27 ל-54 חודשי מאסר. בית המשפט גזר על הנאשם 36 חודשי מאסר בפועל ורכיבי ענישה נוספים. בית המשפט העליון קיבל את ערעור הנאשם והעמיד את תקופת המאסר על 30 חודשים ויתר רכיבי הענישה נותרו על כנם. </w:t>
      </w:r>
    </w:p>
    <w:p w14:paraId="7D0EDAF1"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22.</w:t>
      </w:r>
      <w:r>
        <w:rPr>
          <w:rFonts w:ascii="FrankRuehl" w:hAnsi="FrankRuehl" w:cs="FrankRuehl" w:hint="cs"/>
          <w:sz w:val="28"/>
          <w:szCs w:val="28"/>
          <w:rtl/>
        </w:rPr>
        <w:tab/>
      </w:r>
      <w:hyperlink r:id="rId32" w:history="1">
        <w:r w:rsidR="001E57FF" w:rsidRPr="001E57FF">
          <w:rPr>
            <w:rFonts w:ascii="FrankRuehl" w:hAnsi="FrankRuehl" w:cs="FrankRuehl"/>
            <w:color w:val="0000FF"/>
            <w:sz w:val="28"/>
            <w:szCs w:val="28"/>
            <w:u w:val="single"/>
            <w:rtl/>
          </w:rPr>
          <w:t>ע"פ 1654/16</w:t>
        </w:r>
      </w:hyperlink>
      <w:r>
        <w:rPr>
          <w:rFonts w:ascii="FrankRuehl" w:hAnsi="FrankRuehl" w:cs="FrankRuehl"/>
          <w:sz w:val="28"/>
          <w:szCs w:val="28"/>
          <w:rtl/>
        </w:rPr>
        <w:t xml:space="preserve"> </w:t>
      </w:r>
      <w:r>
        <w:rPr>
          <w:rFonts w:ascii="Miriam" w:hAnsi="Miriam" w:cs="Miriam"/>
          <w:rtl/>
        </w:rPr>
        <w:t>גל שרר נ' מדינת ישראל</w:t>
      </w:r>
      <w:r>
        <w:rPr>
          <w:rFonts w:ascii="FrankRuehl" w:hAnsi="FrankRuehl" w:cs="FrankRuehl"/>
          <w:sz w:val="28"/>
          <w:szCs w:val="28"/>
          <w:rtl/>
        </w:rPr>
        <w:t xml:space="preserve"> (27.2.2017) ה</w:t>
      </w:r>
      <w:r>
        <w:rPr>
          <w:rFonts w:ascii="FrankRuehl" w:hAnsi="FrankRuehl" w:cs="FrankRuehl" w:hint="cs"/>
          <w:sz w:val="28"/>
          <w:szCs w:val="28"/>
          <w:rtl/>
        </w:rPr>
        <w:t xml:space="preserve">נאשם </w:t>
      </w:r>
      <w:r>
        <w:rPr>
          <w:rFonts w:ascii="FrankRuehl" w:hAnsi="FrankRuehl" w:cs="FrankRuehl"/>
          <w:sz w:val="28"/>
          <w:szCs w:val="28"/>
          <w:rtl/>
        </w:rPr>
        <w:t xml:space="preserve">הורשע על יסוד הודאתו בסחר בסם מסוכן, סיוע לסחר בסם מסוכן והחזקת סם מסוכן שלא לצריכה עצמית. באישום הראשון מכר הנאשם סם מסוכן מסוג קוקאין לסוכן משטרתי במשקל 16.6 ו19.6 גרם נטו – נקבע מתחם ענישה בין 48-24 חודשים. באישום השני מכר הנאשם לסוכן משטרתי סם מסוכן בשתי הזדמנויות במשקל 88.9 גרם ו 99.02 גרם- נקבע מתחם ענישה שבין 60-36 חודשים. בית המשפט גזר על הנאשם 54 חודשי מאסר ורכיבי ענישה נוספים. ערעור לבית המשפט העליון נדחה. </w:t>
      </w:r>
    </w:p>
    <w:p w14:paraId="3DF23F6B"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23.</w:t>
      </w:r>
      <w:r>
        <w:rPr>
          <w:rFonts w:ascii="FrankRuehl" w:hAnsi="FrankRuehl" w:cs="FrankRuehl" w:hint="cs"/>
          <w:sz w:val="28"/>
          <w:szCs w:val="28"/>
          <w:rtl/>
        </w:rPr>
        <w:tab/>
      </w:r>
      <w:hyperlink r:id="rId33" w:history="1">
        <w:r w:rsidR="001E57FF" w:rsidRPr="001E57FF">
          <w:rPr>
            <w:rFonts w:ascii="FrankRuehl" w:hAnsi="FrankRuehl" w:cs="FrankRuehl"/>
            <w:color w:val="0000FF"/>
            <w:sz w:val="28"/>
            <w:szCs w:val="28"/>
            <w:u w:val="single"/>
            <w:rtl/>
          </w:rPr>
          <w:t>ת.פ 73652-01-18</w:t>
        </w:r>
      </w:hyperlink>
      <w:r>
        <w:rPr>
          <w:rFonts w:ascii="FrankRuehl" w:hAnsi="FrankRuehl" w:cs="FrankRuehl"/>
          <w:sz w:val="28"/>
          <w:szCs w:val="28"/>
          <w:rtl/>
        </w:rPr>
        <w:t xml:space="preserve"> </w:t>
      </w:r>
      <w:r>
        <w:rPr>
          <w:rFonts w:ascii="Miriam" w:hAnsi="Miriam" w:cs="Miriam"/>
          <w:rtl/>
        </w:rPr>
        <w:t>מדינת ישראל נ' מכאוי</w:t>
      </w:r>
      <w:r>
        <w:rPr>
          <w:rFonts w:ascii="FrankRuehl" w:hAnsi="FrankRuehl" w:cs="FrankRuehl"/>
          <w:sz w:val="28"/>
          <w:szCs w:val="28"/>
          <w:rtl/>
        </w:rPr>
        <w:t xml:space="preserve"> (12.8.2021) – הנאשם הורשע על יסוד הודאתו בשתי עבירות של סחר בסמים מסוכנים. במקרה הראשון מכר לסוכן משטרתי סם מסוכן מסוג קוקאין במשקל 20.09 גרם נטו תמורת 9,000 ₪. בית המשפט קבע מתחם עונש 47-20 חודשי מאסר. במקרה השני מכר הנאשם לסוכן המשטרתי סם מסוכן מסוג קוקאין במשקל 49 גרם נטו תמורת 22,500 ₪. כן צוין כי בכל הפרשייה נקבעו מתחמי ענישה בעסקאות של כ 30 גרם בין 50-23 חודשי מאסר ומתחמי הענישה בגין עסקאות של 50 גרם בין 60-30 חודשים. במקרה הפרטני, מצא בית המשפט לחרוג ממתחם העונש ההולם מטעמי שיקום, שאינם רלבנטיים בענייננו (הוצג על ידי המאשימה).</w:t>
      </w:r>
    </w:p>
    <w:p w14:paraId="1177CD0E"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24.</w:t>
      </w:r>
      <w:r>
        <w:rPr>
          <w:rFonts w:ascii="FrankRuehl" w:hAnsi="FrankRuehl" w:cs="FrankRuehl" w:hint="cs"/>
          <w:sz w:val="28"/>
          <w:szCs w:val="28"/>
          <w:rtl/>
        </w:rPr>
        <w:tab/>
      </w:r>
      <w:hyperlink r:id="rId34" w:history="1">
        <w:r w:rsidR="001E57FF" w:rsidRPr="001E57FF">
          <w:rPr>
            <w:rFonts w:ascii="FrankRuehl" w:hAnsi="FrankRuehl" w:cs="FrankRuehl"/>
            <w:color w:val="0000FF"/>
            <w:sz w:val="28"/>
            <w:szCs w:val="28"/>
            <w:u w:val="single"/>
            <w:rtl/>
          </w:rPr>
          <w:t>ת.פ 10429-12-18</w:t>
        </w:r>
      </w:hyperlink>
      <w:r>
        <w:rPr>
          <w:rFonts w:ascii="FrankRuehl" w:hAnsi="FrankRuehl" w:cs="FrankRuehl"/>
          <w:sz w:val="28"/>
          <w:szCs w:val="28"/>
          <w:rtl/>
        </w:rPr>
        <w:t xml:space="preserve"> </w:t>
      </w:r>
      <w:r>
        <w:rPr>
          <w:rFonts w:ascii="Miriam" w:hAnsi="Miriam" w:cs="Miriam"/>
          <w:rtl/>
        </w:rPr>
        <w:t>מדינת ישראל נ' מוחמד מגדלאוי</w:t>
      </w:r>
      <w:r>
        <w:rPr>
          <w:rFonts w:ascii="FrankRuehl" w:hAnsi="FrankRuehl" w:cs="FrankRuehl"/>
          <w:sz w:val="28"/>
          <w:szCs w:val="28"/>
          <w:rtl/>
        </w:rPr>
        <w:t xml:space="preserve"> (30.6.2021) – הנאשמים הורשעו על פי הודאתם במעורבות בעסקאות סמים. בעסקה הראשונה מכר הנאשם 1 לסוכן המשטרתי סם מסוכן מסוג קוקאין במשקל 9.9992 גרם נטו תמורת 4,500 ₪ ובעסקה השנייה מכר הנאשם 1 בסיוע הנאשם 2 לסוכן 50.16 גרם קוקאין תמורת 23,500 ₪. כמו כן הורשע הנאשם 1 בביצוע שתי עבירות של הפרת הוראה חוקית. נקבע מתחם ענישה ביחס לנאשם 1 בין 55-30 חודשי מאסר ולנאשם 2 מתחם ענישה 22-10 חודשי מאסר בפועל. בית המשפט גזר על הנאשם 1 עונש מאסר בן 45 חודשים ועל הנאשם 3 גזר 9 חודשי מאסר לריצוי בדרך של עבודות שירות. על השניים נגזרו גם עונשים נלווים בדמות מאסר מותנה קנס וכן חולטו כספים לאוצר המדינה. </w:t>
      </w:r>
    </w:p>
    <w:p w14:paraId="3C025C1E"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25.</w:t>
      </w:r>
      <w:r>
        <w:rPr>
          <w:rFonts w:ascii="FrankRuehl" w:hAnsi="FrankRuehl" w:cs="FrankRuehl" w:hint="cs"/>
          <w:sz w:val="28"/>
          <w:szCs w:val="28"/>
          <w:rtl/>
        </w:rPr>
        <w:tab/>
      </w:r>
      <w:hyperlink r:id="rId35" w:history="1">
        <w:r w:rsidR="001E57FF" w:rsidRPr="001E57FF">
          <w:rPr>
            <w:rFonts w:ascii="FrankRuehl" w:hAnsi="FrankRuehl" w:cs="FrankRuehl"/>
            <w:color w:val="0000FF"/>
            <w:sz w:val="28"/>
            <w:szCs w:val="28"/>
            <w:u w:val="single"/>
            <w:rtl/>
          </w:rPr>
          <w:t>ת.פ (מח' ת"א) 27612-02-19</w:t>
        </w:r>
      </w:hyperlink>
      <w:r>
        <w:rPr>
          <w:rFonts w:ascii="FrankRuehl" w:hAnsi="FrankRuehl" w:cs="FrankRuehl"/>
          <w:sz w:val="28"/>
          <w:szCs w:val="28"/>
          <w:rtl/>
        </w:rPr>
        <w:t xml:space="preserve"> </w:t>
      </w:r>
      <w:r>
        <w:rPr>
          <w:rFonts w:ascii="Miriam" w:hAnsi="Miriam" w:cs="Miriam"/>
          <w:rtl/>
        </w:rPr>
        <w:t>מדינת ישראל נ' עסמת קאראנטינאג'י</w:t>
      </w:r>
      <w:r>
        <w:rPr>
          <w:rFonts w:ascii="FrankRuehl" w:hAnsi="FrankRuehl" w:cs="FrankRuehl"/>
          <w:rtl/>
        </w:rPr>
        <w:t xml:space="preserve"> (</w:t>
      </w:r>
      <w:r>
        <w:rPr>
          <w:rFonts w:ascii="FrankRuehl" w:hAnsi="FrankRuehl" w:cs="FrankRuehl"/>
          <w:sz w:val="28"/>
          <w:szCs w:val="28"/>
          <w:rtl/>
        </w:rPr>
        <w:t>23.6.2019) הנאשם הורשע על יסוד הודאתו בשתי עבירות של סחר בסם מסוכן לסוכן משטרתי. לפי האישום הראשון מכר סם מסוכן מסוג קוקאין במשקל 30.9 גרם נטו תמורת 14,000 ₪ -  נקבע מתחם ענישה בין 50-25 חודשי מאסר. לפי האישום השני מכר סם מסוכן מסוג קוקאין במשקל 48.8 גרם נטו תמורת 21,000 ₪ - נקבע מתחם ענישה בין 60-30 חודשי מאסר. בית המשפט גזר על הנאשם בעל עבר פלילי 36 חודשי מאסר בפועל ורכיבי ענישה נוספים.</w:t>
      </w:r>
    </w:p>
    <w:p w14:paraId="4194B00F"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26.</w:t>
      </w:r>
      <w:r>
        <w:rPr>
          <w:rFonts w:ascii="FrankRuehl" w:hAnsi="FrankRuehl" w:cs="FrankRuehl"/>
          <w:sz w:val="28"/>
          <w:szCs w:val="28"/>
          <w:rtl/>
        </w:rPr>
        <w:tab/>
      </w:r>
      <w:hyperlink r:id="rId36" w:history="1">
        <w:r w:rsidR="001E57FF" w:rsidRPr="001E57FF">
          <w:rPr>
            <w:rFonts w:ascii="FrankRuehl" w:hAnsi="FrankRuehl" w:cs="FrankRuehl"/>
            <w:color w:val="0000FF"/>
            <w:sz w:val="28"/>
            <w:szCs w:val="28"/>
            <w:u w:val="single"/>
            <w:rtl/>
          </w:rPr>
          <w:t>ת"פ (מח' מרכז) 13227-12-16</w:t>
        </w:r>
      </w:hyperlink>
      <w:r>
        <w:rPr>
          <w:rFonts w:ascii="FrankRuehl" w:hAnsi="FrankRuehl" w:cs="FrankRuehl"/>
          <w:sz w:val="28"/>
          <w:szCs w:val="28"/>
          <w:rtl/>
        </w:rPr>
        <w:t xml:space="preserve"> </w:t>
      </w:r>
      <w:r>
        <w:rPr>
          <w:rFonts w:ascii="Miriam" w:hAnsi="Miriam" w:cs="Miriam"/>
          <w:rtl/>
        </w:rPr>
        <w:t>מדינת ישראל נ' מוחמד כראג'ה</w:t>
      </w:r>
      <w:r>
        <w:rPr>
          <w:rFonts w:ascii="FrankRuehl" w:hAnsi="FrankRuehl" w:cs="FrankRuehl"/>
          <w:sz w:val="28"/>
          <w:szCs w:val="28"/>
          <w:rtl/>
        </w:rPr>
        <w:t xml:space="preserve"> (3.5.2018) הנאשם בחור צעיר ללא עבר פלילי הורשע על יסוד הודאתו בסחר בסם מסוכן ותיווך לסחר בסם מסוכן לסוכן משטרתי. באישום הראשון מכר  סם מסוכן מסוג קוקאין במשקל 30.12 גרם תמורת 15,600 ₪ והאישום השני תיווך הנאשם לביצוע עסקה בסם מסוכן מסוג קוקאין במשקל 39.81 גרם נטו תמורת 20,800 ₪, ו-2,000 ₪. נקבע מתחם ענישה לשני האישומים 48-24 חודשי מאסר. בית המשפט מטעמי שיקום חרג ממתחם העונש ההולם מטעמי שיקום, שלא רלבנטיים בענייננו וגזר על הנאשם 15 חודשי מאסר בפועל ורכיבי ענישה נוספים.</w:t>
      </w:r>
    </w:p>
    <w:p w14:paraId="0032FC08" w14:textId="77777777" w:rsidR="00AA5275" w:rsidRDefault="00AA5275" w:rsidP="00AA5275">
      <w:pPr>
        <w:spacing w:before="100" w:beforeAutospacing="1" w:after="120" w:line="360" w:lineRule="auto"/>
        <w:ind w:left="-50"/>
        <w:jc w:val="both"/>
        <w:rPr>
          <w:rFonts w:ascii="FrankRuehl" w:hAnsi="FrankRuehl" w:cs="FrankRuehl"/>
          <w:sz w:val="28"/>
          <w:szCs w:val="28"/>
          <w:rtl/>
        </w:rPr>
      </w:pPr>
      <w:r>
        <w:rPr>
          <w:rFonts w:ascii="FrankRuehl" w:hAnsi="FrankRuehl" w:cs="FrankRuehl" w:hint="cs"/>
          <w:sz w:val="28"/>
          <w:szCs w:val="28"/>
          <w:rtl/>
        </w:rPr>
        <w:t>27.</w:t>
      </w:r>
      <w:r>
        <w:rPr>
          <w:rFonts w:ascii="FrankRuehl" w:hAnsi="FrankRuehl" w:cs="FrankRuehl"/>
          <w:sz w:val="28"/>
          <w:szCs w:val="28"/>
          <w:rtl/>
        </w:rPr>
        <w:tab/>
      </w:r>
      <w:hyperlink r:id="rId37" w:history="1">
        <w:r w:rsidR="001E57FF" w:rsidRPr="001E57FF">
          <w:rPr>
            <w:rFonts w:ascii="FrankRuehl" w:hAnsi="FrankRuehl" w:cs="FrankRuehl"/>
            <w:color w:val="0000FF"/>
            <w:sz w:val="28"/>
            <w:szCs w:val="28"/>
            <w:u w:val="single"/>
            <w:rtl/>
          </w:rPr>
          <w:t>ע"פ 2173/16</w:t>
        </w:r>
      </w:hyperlink>
      <w:r>
        <w:rPr>
          <w:rFonts w:ascii="FrankRuehl" w:hAnsi="FrankRuehl" w:cs="FrankRuehl"/>
          <w:sz w:val="28"/>
          <w:szCs w:val="28"/>
          <w:rtl/>
        </w:rPr>
        <w:t xml:space="preserve"> </w:t>
      </w:r>
      <w:r>
        <w:rPr>
          <w:rFonts w:ascii="Miriam" w:hAnsi="Miriam" w:cs="Miriam"/>
          <w:rtl/>
        </w:rPr>
        <w:t>אבו צעלוק נ' מדינת ישראל</w:t>
      </w:r>
      <w:r>
        <w:rPr>
          <w:rFonts w:ascii="FrankRuehl" w:hAnsi="FrankRuehl" w:cs="FrankRuehl"/>
          <w:sz w:val="28"/>
          <w:szCs w:val="28"/>
          <w:rtl/>
        </w:rPr>
        <w:t xml:space="preserve"> (3.11.16) – המערער בעל עבר פלילי הורשע על פי הודאתו בעבירה של סחר מסוכן בכך שמכר לסוכן משטרתי סם מסוכן מסוג קוקאין במשקל של 50 גרם נטו תמורת 19,000 ₪. בית המשפט גזר על הנאשם 48 חודשי מאסר ורכיבי ענישה נוספים. ערעור לבית המשפט העליון נדחה. לציין כי באותה פרשייה נידון אחיו של המערער – בהתאם להסדר טיעון סגור לעונש מאסר בן 30 חודשים, מתוכם 21 חודשי מאסר בגין סיוע לסחר בסם מסוכן, עבירת נהיגה בזמן פסילה והפעלת מאסר מותנה בחופף ובמצטבר. </w:t>
      </w:r>
    </w:p>
    <w:p w14:paraId="3EFB6472" w14:textId="77777777" w:rsidR="00AA5275" w:rsidRDefault="00AA5275" w:rsidP="00AA5275">
      <w:pPr>
        <w:spacing w:after="120" w:line="360" w:lineRule="auto"/>
        <w:jc w:val="both"/>
        <w:rPr>
          <w:rFonts w:ascii="FrankRuehl" w:hAnsi="FrankRuehl" w:cs="FrankRuehl"/>
          <w:sz w:val="28"/>
          <w:szCs w:val="28"/>
          <w:rtl/>
        </w:rPr>
      </w:pPr>
      <w:r>
        <w:rPr>
          <w:rFonts w:ascii="FrankRuehl" w:hAnsi="FrankRuehl" w:cs="FrankRuehl" w:hint="cs"/>
          <w:sz w:val="28"/>
          <w:szCs w:val="28"/>
          <w:rtl/>
        </w:rPr>
        <w:t>28.</w:t>
      </w:r>
      <w:r>
        <w:rPr>
          <w:rFonts w:ascii="FrankRuehl" w:hAnsi="FrankRuehl" w:cs="FrankRuehl" w:hint="cs"/>
          <w:sz w:val="28"/>
          <w:szCs w:val="28"/>
          <w:rtl/>
        </w:rPr>
        <w:tab/>
      </w:r>
      <w:r>
        <w:rPr>
          <w:rFonts w:ascii="FrankRuehl" w:hAnsi="FrankRuehl" w:cs="FrankRuehl"/>
          <w:sz w:val="28"/>
          <w:szCs w:val="28"/>
          <w:rtl/>
        </w:rPr>
        <w:t>להשלמת הפרק העוסק במדיניות הענישה הנהוגה,</w:t>
      </w:r>
      <w:r>
        <w:rPr>
          <w:rFonts w:ascii="FrankRuehl" w:hAnsi="FrankRuehl" w:cs="FrankRuehl" w:hint="cs"/>
          <w:sz w:val="28"/>
          <w:szCs w:val="28"/>
          <w:rtl/>
        </w:rPr>
        <w:t xml:space="preserve"> אומר בחנתי את טבלת ההליכים שהציגה המאשימה ובה סקירה של ההליכים בפרשייה </w:t>
      </w:r>
      <w:r>
        <w:rPr>
          <w:rFonts w:ascii="FrankRuehl" w:hAnsi="FrankRuehl" w:cs="FrankRuehl"/>
          <w:sz w:val="28"/>
          <w:szCs w:val="28"/>
          <w:rtl/>
        </w:rPr>
        <w:t xml:space="preserve">(יסומן </w:t>
      </w:r>
      <w:r>
        <w:rPr>
          <w:rFonts w:ascii="Miriam" w:hAnsi="Miriam" w:cs="Miriam"/>
          <w:rtl/>
        </w:rPr>
        <w:t>עת/4</w:t>
      </w:r>
      <w:r>
        <w:rPr>
          <w:rFonts w:ascii="FrankRuehl" w:hAnsi="FrankRuehl" w:cs="FrankRuehl"/>
          <w:sz w:val="28"/>
          <w:szCs w:val="28"/>
          <w:rtl/>
        </w:rPr>
        <w:t xml:space="preserve"> – ויסרק למערכת "נט המשפט" כחסוי לצדדים בלבד מפאת צנעת הפרט)</w:t>
      </w:r>
      <w:r>
        <w:rPr>
          <w:rFonts w:ascii="FrankRuehl" w:hAnsi="FrankRuehl" w:cs="FrankRuehl" w:hint="cs"/>
          <w:sz w:val="28"/>
          <w:szCs w:val="28"/>
          <w:rtl/>
        </w:rPr>
        <w:t>). אין בידי לקבל את עמדת ההגנה לפיה בהתאם לעיקרון אחידות הענישה, במקרה דנן, י</w:t>
      </w:r>
      <w:r>
        <w:rPr>
          <w:rFonts w:ascii="FrankRuehl" w:hAnsi="FrankRuehl" w:cs="FrankRuehl"/>
          <w:sz w:val="28"/>
          <w:szCs w:val="28"/>
          <w:rtl/>
        </w:rPr>
        <w:t xml:space="preserve">ש לקבוע את גבולות המתחם, באופן שאינו חורג </w:t>
      </w:r>
      <w:r>
        <w:rPr>
          <w:rFonts w:ascii="FrankRuehl" w:hAnsi="FrankRuehl" w:cs="FrankRuehl" w:hint="cs"/>
          <w:sz w:val="28"/>
          <w:szCs w:val="28"/>
          <w:rtl/>
        </w:rPr>
        <w:t>מה</w:t>
      </w:r>
      <w:r>
        <w:rPr>
          <w:rFonts w:ascii="FrankRuehl" w:hAnsi="FrankRuehl" w:cs="FrankRuehl"/>
          <w:sz w:val="28"/>
          <w:szCs w:val="28"/>
          <w:rtl/>
        </w:rPr>
        <w:t>עונשים שנגזרו על נאשמים אחרים בפרשה</w:t>
      </w:r>
      <w:r>
        <w:rPr>
          <w:rFonts w:ascii="FrankRuehl" w:hAnsi="FrankRuehl" w:cs="FrankRuehl" w:hint="cs"/>
          <w:sz w:val="28"/>
          <w:szCs w:val="28"/>
          <w:rtl/>
        </w:rPr>
        <w:t xml:space="preserve"> בהסדרי טיעון "סגורים". אסביר. </w:t>
      </w:r>
    </w:p>
    <w:p w14:paraId="4D494354" w14:textId="77777777" w:rsidR="00AA5275" w:rsidRDefault="00AA5275" w:rsidP="00AA5275">
      <w:pPr>
        <w:spacing w:after="120"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hint="cs"/>
          <w:sz w:val="28"/>
          <w:szCs w:val="28"/>
          <w:rtl/>
        </w:rPr>
        <w:tab/>
      </w:r>
      <w:r>
        <w:rPr>
          <w:rFonts w:ascii="FrankRuehl" w:hAnsi="FrankRuehl" w:cs="FrankRuehl"/>
          <w:sz w:val="28"/>
          <w:szCs w:val="28"/>
          <w:rtl/>
        </w:rPr>
        <w:t xml:space="preserve">עקרון אחידות הענישה אכן מורה להחיל שיקולי ענישה דומים על מי שביצעו עבירות דומות במהותן, בנסיבות דומות ובעלי נסיבות אישיות דומות. </w:t>
      </w:r>
      <w:r>
        <w:rPr>
          <w:rFonts w:ascii="FrankRuehl" w:hAnsi="FrankRuehl" w:cs="FrankRuehl" w:hint="cs"/>
          <w:sz w:val="28"/>
          <w:szCs w:val="28"/>
          <w:rtl/>
        </w:rPr>
        <w:t>ו</w:t>
      </w:r>
      <w:r>
        <w:rPr>
          <w:rFonts w:ascii="FrankRuehl" w:hAnsi="FrankRuehl" w:cs="FrankRuehl"/>
          <w:sz w:val="28"/>
          <w:szCs w:val="28"/>
          <w:rtl/>
        </w:rPr>
        <w:t>כאשר עסקינן בנאשמים המורשעים בגדרה של אותה פרשה, עיקרון זה מצדד בהטלת עונשים דומים וזאת תוך שמירה על יחס הולם בין הנאשמים השונים אשר ביצעו מעשים הנבדלים זה מזה במספרם</w:t>
      </w:r>
      <w:r>
        <w:rPr>
          <w:rFonts w:ascii="FrankRuehl" w:hAnsi="FrankRuehl" w:cs="FrankRuehl" w:hint="cs"/>
          <w:sz w:val="28"/>
          <w:szCs w:val="28"/>
          <w:rtl/>
        </w:rPr>
        <w:t xml:space="preserve"> ו</w:t>
      </w:r>
      <w:r>
        <w:rPr>
          <w:rFonts w:ascii="FrankRuehl" w:hAnsi="FrankRuehl" w:cs="FrankRuehl"/>
          <w:sz w:val="28"/>
          <w:szCs w:val="28"/>
          <w:rtl/>
        </w:rPr>
        <w:t>חומרתם. דברים אלו נכונים גם כאשר קיים שוני בנסיבות האישיות של המבצע.</w:t>
      </w:r>
      <w:r>
        <w:rPr>
          <w:rFonts w:ascii="FrankRuehl" w:hAnsi="FrankRuehl" w:cs="FrankRuehl" w:hint="cs"/>
          <w:sz w:val="28"/>
          <w:szCs w:val="28"/>
          <w:rtl/>
        </w:rPr>
        <w:t xml:space="preserve"> </w:t>
      </w:r>
    </w:p>
    <w:p w14:paraId="0EA8D48C" w14:textId="77777777" w:rsidR="00AA5275" w:rsidRDefault="00AA5275" w:rsidP="00AA5275">
      <w:pPr>
        <w:spacing w:after="120" w:line="360" w:lineRule="auto"/>
        <w:ind w:firstLine="720"/>
        <w:jc w:val="both"/>
        <w:rPr>
          <w:rFonts w:ascii="FrankRuehl" w:hAnsi="FrankRuehl" w:cs="FrankRuehl"/>
          <w:sz w:val="28"/>
          <w:szCs w:val="28"/>
        </w:rPr>
      </w:pPr>
      <w:r>
        <w:rPr>
          <w:rFonts w:ascii="FrankRuehl" w:hAnsi="FrankRuehl" w:cs="FrankRuehl"/>
          <w:sz w:val="28"/>
          <w:szCs w:val="28"/>
          <w:rtl/>
        </w:rPr>
        <w:t>ואולם, יש הבדל בין טווח הענישה המקובל בפרשייה המבוסס על הסדרי טיעון "סגורים" ובין מתחם העונש ההולם. בעוד שהעונש שגיבשו הצדדים בהסדר טיעון</w:t>
      </w:r>
      <w:r>
        <w:rPr>
          <w:rFonts w:ascii="FrankRuehl" w:hAnsi="FrankRuehl" w:cs="FrankRuehl" w:hint="cs"/>
          <w:sz w:val="28"/>
          <w:szCs w:val="28"/>
          <w:rtl/>
        </w:rPr>
        <w:t>, בפרט בפרשייה זו,</w:t>
      </w:r>
      <w:r>
        <w:rPr>
          <w:rFonts w:ascii="FrankRuehl" w:hAnsi="FrankRuehl" w:cs="FrankRuehl"/>
          <w:sz w:val="28"/>
          <w:szCs w:val="28"/>
          <w:rtl/>
        </w:rPr>
        <w:t xml:space="preserve"> לוקח בחשבון נתונים רבים, בין השאר, נסיבות אישיות, משך התקופה בה שהו במעצר, עבר פלילי, צירוף תיקים</w:t>
      </w:r>
      <w:r>
        <w:rPr>
          <w:rFonts w:ascii="FrankRuehl" w:hAnsi="FrankRuehl" w:cs="FrankRuehl" w:hint="cs"/>
          <w:sz w:val="28"/>
          <w:szCs w:val="28"/>
          <w:rtl/>
        </w:rPr>
        <w:t>,</w:t>
      </w:r>
      <w:r>
        <w:rPr>
          <w:rFonts w:ascii="FrankRuehl" w:hAnsi="FrankRuehl" w:cs="FrankRuehl"/>
          <w:sz w:val="28"/>
          <w:szCs w:val="28"/>
          <w:rtl/>
        </w:rPr>
        <w:t xml:space="preserve"> חילוט רכוש וכן שיקולים ראייתיים שלא בהכרח חשופים במלואם </w:t>
      </w:r>
      <w:r>
        <w:rPr>
          <w:rFonts w:ascii="FrankRuehl" w:hAnsi="FrankRuehl" w:cs="FrankRuehl" w:hint="cs"/>
          <w:sz w:val="28"/>
          <w:szCs w:val="28"/>
          <w:rtl/>
        </w:rPr>
        <w:t>ב</w:t>
      </w:r>
      <w:r>
        <w:rPr>
          <w:rFonts w:ascii="FrankRuehl" w:hAnsi="FrankRuehl" w:cs="FrankRuehl"/>
          <w:sz w:val="28"/>
          <w:szCs w:val="28"/>
          <w:rtl/>
        </w:rPr>
        <w:t xml:space="preserve">פני בית המשפט (לדוגמה ת.פ 8245-11-21 </w:t>
      </w:r>
      <w:r>
        <w:rPr>
          <w:rFonts w:ascii="Miriam" w:hAnsi="Miriam" w:cs="Miriam"/>
          <w:rtl/>
        </w:rPr>
        <w:t>מדינת ישראל נ' ליאור לוי</w:t>
      </w:r>
      <w:r>
        <w:rPr>
          <w:rFonts w:ascii="FrankRuehl" w:hAnsi="FrankRuehl" w:cs="FrankRuehl"/>
          <w:sz w:val="28"/>
          <w:szCs w:val="28"/>
          <w:rtl/>
        </w:rPr>
        <w:t xml:space="preserve"> </w:t>
      </w:r>
      <w:r>
        <w:rPr>
          <w:rFonts w:ascii="FrankRuehl" w:hAnsi="FrankRuehl" w:cs="FrankRuehl" w:hint="cs"/>
          <w:sz w:val="28"/>
          <w:szCs w:val="28"/>
          <w:rtl/>
        </w:rPr>
        <w:t>[</w:t>
      </w:r>
      <w:r>
        <w:rPr>
          <w:rFonts w:ascii="FrankRuehl" w:hAnsi="FrankRuehl" w:cs="FrankRuehl"/>
          <w:sz w:val="28"/>
          <w:szCs w:val="28"/>
          <w:rtl/>
        </w:rPr>
        <w:t>18.4.2022</w:t>
      </w:r>
      <w:r>
        <w:rPr>
          <w:rFonts w:ascii="FrankRuehl" w:hAnsi="FrankRuehl" w:cs="FrankRuehl" w:hint="cs"/>
          <w:sz w:val="28"/>
          <w:szCs w:val="28"/>
          <w:rtl/>
        </w:rPr>
        <w:t>]</w:t>
      </w:r>
      <w:r>
        <w:rPr>
          <w:rFonts w:ascii="FrankRuehl" w:hAnsi="FrankRuehl" w:cs="FrankRuehl"/>
          <w:sz w:val="28"/>
          <w:szCs w:val="28"/>
          <w:rtl/>
        </w:rPr>
        <w:t xml:space="preserve"> - אליו הפנתה ההגנה). הרי, קביעת מתחם העונש ההולם הוא הכרעה ערכית של בית המשפט בדבר מדיניות הענישה הראויה, הכרעה שמבוססת על שורה של שיקולים שהפסיקה הנוהגת בהם היא רק אחד מהם. ובמיוחד שטווח הענישה הוא פועל יוצא של הסדרי טיעון סגורים. בנסיבות העניין וככל שיש לתת ביטוי לעיקרון אחידות הענישה הרי הדבר ייעשה בקביעת עונשו של הנאשם בגדרי המתחם שייקבע. ונזכיר כי הענישה בסופו של דבר משקפת את נסיבות העושה והמעשה ושקלול מלוא השיקולים הרלבנטיים ואינה נעשית בדרך של שיטת ניקוד.  </w:t>
      </w:r>
    </w:p>
    <w:p w14:paraId="7DEEA8F7" w14:textId="77777777" w:rsidR="00AA5275" w:rsidRDefault="00AA5275" w:rsidP="00AA5275">
      <w:pPr>
        <w:spacing w:after="120" w:line="360" w:lineRule="auto"/>
        <w:jc w:val="both"/>
        <w:rPr>
          <w:rFonts w:ascii="FrankRuehl" w:hAnsi="FrankRuehl" w:cs="FrankRuehl"/>
          <w:sz w:val="28"/>
          <w:szCs w:val="28"/>
          <w:rtl/>
        </w:rPr>
      </w:pPr>
      <w:r>
        <w:rPr>
          <w:rFonts w:ascii="FrankRuehl" w:hAnsi="FrankRuehl" w:cs="FrankRuehl" w:hint="cs"/>
          <w:sz w:val="28"/>
          <w:szCs w:val="28"/>
          <w:rtl/>
        </w:rPr>
        <w:t>30.</w:t>
      </w:r>
      <w:r>
        <w:rPr>
          <w:rFonts w:ascii="FrankRuehl" w:hAnsi="FrankRuehl" w:cs="FrankRuehl" w:hint="cs"/>
          <w:sz w:val="28"/>
          <w:szCs w:val="28"/>
          <w:rtl/>
        </w:rPr>
        <w:tab/>
      </w:r>
      <w:r>
        <w:rPr>
          <w:rFonts w:ascii="FrankRuehl" w:hAnsi="FrankRuehl" w:cs="FrankRuehl"/>
          <w:sz w:val="28"/>
          <w:szCs w:val="28"/>
          <w:rtl/>
        </w:rPr>
        <w:t xml:space="preserve">ועתה לבחינת </w:t>
      </w:r>
      <w:r>
        <w:rPr>
          <w:rFonts w:ascii="FrankRuehl" w:hAnsi="FrankRuehl" w:cs="FrankRuehl" w:hint="cs"/>
          <w:sz w:val="28"/>
          <w:szCs w:val="28"/>
          <w:rtl/>
        </w:rPr>
        <w:t xml:space="preserve">העבירה בנסיבותיה. </w:t>
      </w:r>
    </w:p>
    <w:p w14:paraId="47D50F14" w14:textId="77777777" w:rsidR="00AA5275" w:rsidRDefault="00AA5275" w:rsidP="00AA5275">
      <w:pPr>
        <w:spacing w:after="120" w:line="360" w:lineRule="auto"/>
        <w:ind w:firstLine="720"/>
        <w:jc w:val="both"/>
        <w:rPr>
          <w:rFonts w:ascii="FrankRuehl" w:hAnsi="FrankRuehl" w:cs="FrankRuehl"/>
          <w:sz w:val="28"/>
          <w:szCs w:val="28"/>
          <w:rtl/>
        </w:rPr>
      </w:pPr>
      <w:r>
        <w:rPr>
          <w:rFonts w:ascii="FrankRuehl" w:hAnsi="FrankRuehl" w:cs="FrankRuehl"/>
          <w:sz w:val="28"/>
          <w:szCs w:val="28"/>
          <w:rtl/>
        </w:rPr>
        <w:t xml:space="preserve">מידת הפגיעה בערכים המוגנים היא בינונית – גבוהה. הנאשם שימש חוליה מרכזית בלעדיה אין בשרשרת הפצת הסם. במקרה דנן, לא מדובר בעבירה פרי מעידה רגעית, הנאשם היה מעורב בשתי עסקאות אל מול סוכן משטרתי עמו יש לו היכרות מוקדמת מהצבא. </w:t>
      </w:r>
      <w:r>
        <w:rPr>
          <w:rFonts w:ascii="FrankRuehl" w:hAnsi="FrankRuehl" w:cs="FrankRuehl" w:hint="cs"/>
          <w:sz w:val="28"/>
          <w:szCs w:val="28"/>
          <w:rtl/>
        </w:rPr>
        <w:t xml:space="preserve">נדרשת כמובן הבחנה </w:t>
      </w:r>
      <w:r>
        <w:rPr>
          <w:rFonts w:ascii="FrankRuehl" w:hAnsi="FrankRuehl" w:cs="FrankRuehl"/>
          <w:sz w:val="28"/>
          <w:szCs w:val="28"/>
          <w:rtl/>
        </w:rPr>
        <w:t xml:space="preserve">בין חלקו המרכזי של הנאשם באישום </w:t>
      </w:r>
      <w:r>
        <w:rPr>
          <w:rFonts w:ascii="FrankRuehl" w:hAnsi="FrankRuehl" w:cs="FrankRuehl" w:hint="cs"/>
          <w:sz w:val="28"/>
          <w:szCs w:val="28"/>
          <w:rtl/>
        </w:rPr>
        <w:t xml:space="preserve">בו </w:t>
      </w:r>
      <w:r>
        <w:rPr>
          <w:rFonts w:ascii="FrankRuehl" w:hAnsi="FrankRuehl" w:cs="FrankRuehl"/>
          <w:sz w:val="28"/>
          <w:szCs w:val="28"/>
          <w:rtl/>
        </w:rPr>
        <w:t xml:space="preserve">הורשע בסחר בסמים, לבין חלקו באישום </w:t>
      </w:r>
      <w:r>
        <w:rPr>
          <w:rFonts w:ascii="FrankRuehl" w:hAnsi="FrankRuehl" w:cs="FrankRuehl" w:hint="cs"/>
          <w:sz w:val="28"/>
          <w:szCs w:val="28"/>
          <w:rtl/>
        </w:rPr>
        <w:t xml:space="preserve">בו </w:t>
      </w:r>
      <w:r>
        <w:rPr>
          <w:rFonts w:ascii="FrankRuehl" w:hAnsi="FrankRuehl" w:cs="FrankRuehl"/>
          <w:sz w:val="28"/>
          <w:szCs w:val="28"/>
          <w:rtl/>
        </w:rPr>
        <w:t xml:space="preserve">הורשע כמסייע. עם זאת, </w:t>
      </w:r>
      <w:r>
        <w:rPr>
          <w:rFonts w:ascii="FrankRuehl" w:hAnsi="FrankRuehl" w:cs="FrankRuehl" w:hint="cs"/>
          <w:sz w:val="28"/>
          <w:szCs w:val="28"/>
          <w:rtl/>
        </w:rPr>
        <w:t>למרות שהנאשם פעל כמסייע ו</w:t>
      </w:r>
      <w:r>
        <w:rPr>
          <w:rFonts w:ascii="FrankRuehl" w:hAnsi="FrankRuehl" w:cs="FrankRuehl"/>
          <w:sz w:val="28"/>
          <w:szCs w:val="28"/>
          <w:rtl/>
        </w:rPr>
        <w:t>הוא אינו "הגורם העיקרי</w:t>
      </w:r>
      <w:r>
        <w:rPr>
          <w:rFonts w:ascii="FrankRuehl" w:hAnsi="FrankRuehl" w:cs="FrankRuehl" w:hint="cs"/>
          <w:sz w:val="28"/>
          <w:szCs w:val="28"/>
          <w:rtl/>
        </w:rPr>
        <w:t>"</w:t>
      </w:r>
      <w:r>
        <w:rPr>
          <w:rFonts w:ascii="FrankRuehl" w:hAnsi="FrankRuehl" w:cs="FrankRuehl"/>
          <w:sz w:val="28"/>
          <w:szCs w:val="28"/>
          <w:rtl/>
        </w:rPr>
        <w:t xml:space="preserve">, דהיינו הסוחר. </w:t>
      </w:r>
      <w:r>
        <w:rPr>
          <w:rFonts w:ascii="FrankRuehl" w:hAnsi="FrankRuehl" w:cs="FrankRuehl" w:hint="cs"/>
          <w:sz w:val="28"/>
          <w:szCs w:val="28"/>
          <w:rtl/>
        </w:rPr>
        <w:t xml:space="preserve">ישנה משמעות רבה לעובדה כי </w:t>
      </w:r>
      <w:r>
        <w:rPr>
          <w:rFonts w:ascii="FrankRuehl" w:hAnsi="FrankRuehl" w:cs="FrankRuehl"/>
          <w:sz w:val="28"/>
          <w:szCs w:val="28"/>
          <w:rtl/>
        </w:rPr>
        <w:t>הנאשם עמד בקשר עם הסוכן והיה אחראי על תיאום הכמות, המחיר ומקום המפגש</w:t>
      </w:r>
      <w:r>
        <w:rPr>
          <w:rFonts w:ascii="FrankRuehl" w:hAnsi="FrankRuehl" w:cs="FrankRuehl" w:hint="cs"/>
          <w:sz w:val="28"/>
          <w:szCs w:val="28"/>
          <w:rtl/>
        </w:rPr>
        <w:t xml:space="preserve">, וחלקו כמסייע אינו שולי או זניח. העבירות אותן ביצע הנאשם </w:t>
      </w:r>
      <w:r>
        <w:rPr>
          <w:rFonts w:ascii="FrankRuehl" w:hAnsi="FrankRuehl" w:cs="FrankRuehl"/>
          <w:sz w:val="28"/>
          <w:szCs w:val="28"/>
          <w:rtl/>
        </w:rPr>
        <w:t>מצרי</w:t>
      </w:r>
      <w:r>
        <w:rPr>
          <w:rFonts w:ascii="FrankRuehl" w:hAnsi="FrankRuehl" w:cs="FrankRuehl" w:hint="cs"/>
          <w:sz w:val="28"/>
          <w:szCs w:val="28"/>
          <w:rtl/>
        </w:rPr>
        <w:t xml:space="preserve">כות </w:t>
      </w:r>
      <w:r>
        <w:rPr>
          <w:rFonts w:ascii="FrankRuehl" w:hAnsi="FrankRuehl" w:cs="FrankRuehl"/>
          <w:sz w:val="28"/>
          <w:szCs w:val="28"/>
          <w:rtl/>
        </w:rPr>
        <w:t xml:space="preserve">מחשבה, תכנון מוקדם, קשר עם גורמים עבריינים ומעיד על מוכנות להשתתף בפעילות פורצת חוק וזאת למטרת בצע כסף. </w:t>
      </w:r>
      <w:r>
        <w:rPr>
          <w:rFonts w:ascii="FrankRuehl" w:hAnsi="FrankRuehl" w:cs="FrankRuehl" w:hint="cs"/>
          <w:sz w:val="28"/>
          <w:szCs w:val="28"/>
          <w:rtl/>
        </w:rPr>
        <w:t xml:space="preserve">ונסיבות ביצוע העבירות </w:t>
      </w:r>
      <w:r>
        <w:rPr>
          <w:rFonts w:ascii="FrankRuehl" w:hAnsi="FrankRuehl" w:cs="FrankRuehl"/>
          <w:sz w:val="28"/>
          <w:szCs w:val="28"/>
          <w:rtl/>
        </w:rPr>
        <w:t>מלמדות על יכולתו של הנאשם לבצע עסקאות סמים בכמויות משתנות ותוך פרק זמן קצר</w:t>
      </w:r>
      <w:r>
        <w:rPr>
          <w:rFonts w:ascii="FrankRuehl" w:hAnsi="FrankRuehl" w:cs="FrankRuehl" w:hint="cs"/>
          <w:sz w:val="28"/>
          <w:szCs w:val="28"/>
          <w:rtl/>
        </w:rPr>
        <w:t xml:space="preserve"> ומתוך רצון לגרוף רווח כלכלי קל ומהיר</w:t>
      </w:r>
      <w:r>
        <w:rPr>
          <w:rFonts w:ascii="FrankRuehl" w:hAnsi="FrankRuehl" w:cs="FrankRuehl"/>
          <w:sz w:val="28"/>
          <w:szCs w:val="28"/>
          <w:rtl/>
        </w:rPr>
        <w:t xml:space="preserve">. </w:t>
      </w:r>
    </w:p>
    <w:p w14:paraId="53B05C23" w14:textId="77777777" w:rsidR="00AA5275" w:rsidRDefault="00AA5275" w:rsidP="00AA5275">
      <w:pPr>
        <w:spacing w:after="120" w:line="360" w:lineRule="auto"/>
        <w:jc w:val="both"/>
        <w:rPr>
          <w:rFonts w:ascii="FrankRuehl" w:hAnsi="FrankRuehl" w:cs="FrankRuehl"/>
          <w:sz w:val="28"/>
          <w:szCs w:val="28"/>
          <w:rtl/>
        </w:rPr>
      </w:pPr>
      <w:r>
        <w:rPr>
          <w:rFonts w:ascii="FrankRuehl" w:hAnsi="FrankRuehl" w:cs="FrankRuehl" w:hint="cs"/>
          <w:sz w:val="28"/>
          <w:szCs w:val="28"/>
          <w:rtl/>
        </w:rPr>
        <w:t xml:space="preserve">31. </w:t>
      </w:r>
      <w:r>
        <w:rPr>
          <w:rFonts w:ascii="FrankRuehl" w:hAnsi="FrankRuehl" w:cs="FrankRuehl"/>
          <w:sz w:val="28"/>
          <w:szCs w:val="28"/>
          <w:rtl/>
        </w:rPr>
        <w:tab/>
        <w:t>בשני המקרים עסקינן בסם מסוכן מסוג קוקאין הידוע כסם ממכר והרסני ובכמויות גדולות (20 גרם ו-27 גרם נטו)</w:t>
      </w:r>
      <w:r>
        <w:rPr>
          <w:rFonts w:ascii="FrankRuehl" w:hAnsi="FrankRuehl" w:cs="FrankRuehl" w:hint="cs"/>
          <w:sz w:val="28"/>
          <w:szCs w:val="28"/>
          <w:rtl/>
        </w:rPr>
        <w:t xml:space="preserve"> תמורת סכומי כסף נכבדים. ה</w:t>
      </w:r>
      <w:r>
        <w:rPr>
          <w:rFonts w:ascii="FrankRuehl" w:hAnsi="FrankRuehl" w:cs="FrankRuehl"/>
          <w:sz w:val="28"/>
          <w:szCs w:val="28"/>
          <w:rtl/>
        </w:rPr>
        <w:t>נזק הקונקרטי אמנם נמנע בטרם הופצו הסמים למש</w:t>
      </w:r>
      <w:r>
        <w:rPr>
          <w:rFonts w:ascii="FrankRuehl" w:hAnsi="FrankRuehl" w:cs="FrankRuehl" w:hint="cs"/>
          <w:sz w:val="28"/>
          <w:szCs w:val="28"/>
          <w:rtl/>
        </w:rPr>
        <w:t>ת</w:t>
      </w:r>
      <w:r>
        <w:rPr>
          <w:rFonts w:ascii="FrankRuehl" w:hAnsi="FrankRuehl" w:cs="FrankRuehl"/>
          <w:sz w:val="28"/>
          <w:szCs w:val="28"/>
          <w:rtl/>
        </w:rPr>
        <w:t xml:space="preserve">משי הקצה וזאת הודות למאמצי רשויות אכיפת החוק שנדרשו להשקיע משאבים לא מעטים לצורך הפעלת הסוכן. ואולם, הנזק הפוטנציאלי שעלול היה להיגרם מהפצת הסם הוא רב בשל סוג הסם </w:t>
      </w:r>
      <w:r>
        <w:rPr>
          <w:rFonts w:ascii="FrankRuehl" w:hAnsi="FrankRuehl" w:cs="FrankRuehl" w:hint="cs"/>
          <w:sz w:val="28"/>
          <w:szCs w:val="28"/>
          <w:rtl/>
        </w:rPr>
        <w:t>ו</w:t>
      </w:r>
      <w:r>
        <w:rPr>
          <w:rFonts w:ascii="FrankRuehl" w:hAnsi="FrankRuehl" w:cs="FrankRuehl"/>
          <w:sz w:val="28"/>
          <w:szCs w:val="28"/>
          <w:rtl/>
        </w:rPr>
        <w:t>הכמות הגדולה שעלולה הי</w:t>
      </w:r>
      <w:r>
        <w:rPr>
          <w:rFonts w:ascii="FrankRuehl" w:hAnsi="FrankRuehl" w:cs="FrankRuehl" w:hint="cs"/>
          <w:sz w:val="28"/>
          <w:szCs w:val="28"/>
          <w:rtl/>
        </w:rPr>
        <w:t>י</w:t>
      </w:r>
      <w:r>
        <w:rPr>
          <w:rFonts w:ascii="FrankRuehl" w:hAnsi="FrankRuehl" w:cs="FrankRuehl"/>
          <w:sz w:val="28"/>
          <w:szCs w:val="28"/>
          <w:rtl/>
        </w:rPr>
        <w:t xml:space="preserve">תה לשמש להכנת מנות סם רבות. </w:t>
      </w:r>
    </w:p>
    <w:p w14:paraId="2FCB9DCE" w14:textId="77777777" w:rsidR="00AA5275" w:rsidRDefault="00AA5275" w:rsidP="00AA5275">
      <w:pPr>
        <w:spacing w:after="120" w:line="360" w:lineRule="auto"/>
        <w:jc w:val="both"/>
        <w:rPr>
          <w:rFonts w:ascii="FrankRuehl" w:hAnsi="FrankRuehl" w:cs="FrankRuehl"/>
          <w:sz w:val="28"/>
          <w:szCs w:val="28"/>
          <w:rtl/>
        </w:rPr>
      </w:pPr>
      <w:r>
        <w:rPr>
          <w:rFonts w:ascii="FrankRuehl" w:hAnsi="FrankRuehl" w:cs="FrankRuehl" w:hint="cs"/>
          <w:sz w:val="28"/>
          <w:szCs w:val="28"/>
          <w:rtl/>
        </w:rPr>
        <w:t>32.</w:t>
      </w:r>
      <w:r>
        <w:rPr>
          <w:rFonts w:ascii="FrankRuehl" w:hAnsi="FrankRuehl" w:cs="FrankRuehl" w:hint="cs"/>
          <w:sz w:val="28"/>
          <w:szCs w:val="28"/>
          <w:rtl/>
        </w:rPr>
        <w:tab/>
      </w:r>
      <w:r>
        <w:rPr>
          <w:rFonts w:ascii="FrankRuehl" w:hAnsi="FrankRuehl" w:cs="FrankRuehl"/>
          <w:sz w:val="28"/>
          <w:szCs w:val="28"/>
          <w:rtl/>
        </w:rPr>
        <w:t>לאור כל האמור ובהתחשב בנסיבות ביצוע העבירות, מידת הפגיעה בערכים המוגנים ומדיניות הענישה הנהוגה מצאתי לקבוע כדלקמן: מתחם העונש ההולם בין 40-20 חודשי מאסר לצד ענישה נלווית.</w:t>
      </w:r>
    </w:p>
    <w:p w14:paraId="3171C1AD" w14:textId="77777777" w:rsidR="00AA5275" w:rsidRDefault="00AA5275" w:rsidP="00AA5275">
      <w:pPr>
        <w:tabs>
          <w:tab w:val="left" w:pos="-58"/>
        </w:tabs>
        <w:spacing w:before="100" w:beforeAutospacing="1" w:after="120" w:line="360" w:lineRule="auto"/>
        <w:ind w:left="-58"/>
        <w:jc w:val="both"/>
        <w:rPr>
          <w:rFonts w:ascii="Miriam" w:hAnsi="Miriam" w:cs="Miriam"/>
          <w:rtl/>
        </w:rPr>
      </w:pPr>
      <w:r>
        <w:rPr>
          <w:rFonts w:ascii="Miriam" w:hAnsi="Miriam" w:cs="Miriam"/>
          <w:rtl/>
        </w:rPr>
        <w:t>קביעת העונש במתחם העונש ההולם</w:t>
      </w:r>
    </w:p>
    <w:p w14:paraId="741FDB84" w14:textId="77777777" w:rsidR="00AA5275" w:rsidRDefault="00AA5275" w:rsidP="00AA5275">
      <w:pPr>
        <w:tabs>
          <w:tab w:val="left" w:pos="-58"/>
        </w:tabs>
        <w:spacing w:before="100" w:beforeAutospacing="1" w:after="120" w:line="360" w:lineRule="auto"/>
        <w:ind w:left="-58"/>
        <w:jc w:val="both"/>
        <w:rPr>
          <w:rFonts w:ascii="Calibri" w:hAnsi="Calibri" w:cs="FrankRuehl"/>
          <w:szCs w:val="28"/>
        </w:rPr>
      </w:pPr>
      <w:r>
        <w:rPr>
          <w:rFonts w:cs="FrankRuehl" w:hint="cs"/>
          <w:sz w:val="28"/>
          <w:szCs w:val="28"/>
          <w:rtl/>
        </w:rPr>
        <w:t>33.</w:t>
      </w:r>
      <w:r>
        <w:rPr>
          <w:rFonts w:cs="FrankRuehl" w:hint="cs"/>
          <w:sz w:val="28"/>
          <w:szCs w:val="28"/>
          <w:rtl/>
        </w:rPr>
        <w:tab/>
      </w:r>
      <w:r>
        <w:rPr>
          <w:rFonts w:cs="FrankRuehl"/>
          <w:sz w:val="28"/>
          <w:szCs w:val="28"/>
          <w:rtl/>
        </w:rPr>
        <w:t>הצדדים לא טענו ואף לא מצאתי נסיבות לחומרה או לקול</w:t>
      </w:r>
      <w:r>
        <w:rPr>
          <w:rFonts w:cs="FrankRuehl" w:hint="cs"/>
          <w:sz w:val="28"/>
          <w:szCs w:val="28"/>
          <w:rtl/>
        </w:rPr>
        <w:t>א</w:t>
      </w:r>
      <w:r>
        <w:rPr>
          <w:rFonts w:cs="FrankRuehl"/>
          <w:sz w:val="28"/>
          <w:szCs w:val="28"/>
          <w:rtl/>
        </w:rPr>
        <w:t xml:space="preserve"> המצדיקות חריגה ממתחם העונש ההולם. לפיכך, יש לקבוע עונשו של הנאשם בתוך המתחם תוך התחשבות בנסיבות שאינן קשורות בביצוע העבירה (</w:t>
      </w:r>
      <w:hyperlink r:id="rId38" w:history="1">
        <w:r w:rsidR="00CA08C1" w:rsidRPr="00CA08C1">
          <w:rPr>
            <w:rStyle w:val="Hyperlink"/>
            <w:rFonts w:ascii="Miriam" w:hAnsi="Miriam" w:cs="Miriam"/>
            <w:rtl/>
          </w:rPr>
          <w:t>סעיף 40יא'</w:t>
        </w:r>
      </w:hyperlink>
      <w:r>
        <w:rPr>
          <w:rFonts w:ascii="Miriam" w:hAnsi="Miriam" w:cs="Miriam"/>
          <w:rtl/>
        </w:rPr>
        <w:t xml:space="preserve"> ל</w:t>
      </w:r>
      <w:hyperlink r:id="rId39" w:history="1">
        <w:r w:rsidR="001E57FF" w:rsidRPr="001E57FF">
          <w:rPr>
            <w:rFonts w:ascii="Miriam" w:hAnsi="Miriam" w:cs="Miriam"/>
            <w:color w:val="0000FF"/>
            <w:u w:val="single"/>
            <w:rtl/>
          </w:rPr>
          <w:t>חוק העונשין</w:t>
        </w:r>
      </w:hyperlink>
      <w:r>
        <w:rPr>
          <w:rFonts w:cs="FrankRuehl"/>
          <w:sz w:val="28"/>
          <w:szCs w:val="28"/>
          <w:rtl/>
        </w:rPr>
        <w:t xml:space="preserve">) כדלקמן: </w:t>
      </w:r>
    </w:p>
    <w:p w14:paraId="053556B6" w14:textId="77777777" w:rsidR="00AA5275" w:rsidRDefault="00AA5275" w:rsidP="00AA5275">
      <w:pPr>
        <w:tabs>
          <w:tab w:val="left" w:pos="-58"/>
        </w:tabs>
        <w:spacing w:before="100" w:beforeAutospacing="1" w:after="120" w:line="360" w:lineRule="auto"/>
        <w:ind w:left="-58"/>
        <w:jc w:val="both"/>
        <w:rPr>
          <w:rFonts w:ascii="Arial (W1)" w:hAnsi="Arial (W1)" w:cs="FrankRuehl"/>
          <w:sz w:val="28"/>
          <w:szCs w:val="28"/>
        </w:rPr>
      </w:pPr>
      <w:r>
        <w:rPr>
          <w:rFonts w:cs="FrankRuehl" w:hint="cs"/>
          <w:sz w:val="28"/>
          <w:szCs w:val="28"/>
          <w:rtl/>
        </w:rPr>
        <w:t>34.</w:t>
      </w:r>
      <w:r>
        <w:rPr>
          <w:rFonts w:cs="FrankRuehl" w:hint="cs"/>
          <w:sz w:val="28"/>
          <w:szCs w:val="28"/>
          <w:rtl/>
        </w:rPr>
        <w:tab/>
      </w:r>
      <w:r>
        <w:rPr>
          <w:rFonts w:cs="FrankRuehl"/>
          <w:sz w:val="28"/>
          <w:szCs w:val="28"/>
          <w:rtl/>
        </w:rPr>
        <w:t xml:space="preserve">הנאשם יליד 1995 הודה </w:t>
      </w:r>
      <w:r>
        <w:rPr>
          <w:rFonts w:ascii="Corbel" w:hAnsi="Corbel" w:cs="FrankRuehl"/>
          <w:sz w:val="28"/>
          <w:szCs w:val="28"/>
          <w:rtl/>
        </w:rPr>
        <w:t>והורשע בכתב האישום המתוקן מבלי שגובש בין הצדדים הסדר טיעון לעניין העונש ובכך העמיד עצמו לשבט או לחסד של בית המשפט, הודאתו חסכה זמן ציבורי יקר ומשאבים נוספים הכרוכים בניהול המשפט. חשוב מכך יש בהודאה זו ללמד על הפנמת הפסול במעשיו ו</w:t>
      </w:r>
      <w:r>
        <w:rPr>
          <w:rFonts w:ascii="Corbel" w:hAnsi="Corbel" w:cs="FrankRuehl" w:hint="cs"/>
          <w:sz w:val="28"/>
          <w:szCs w:val="28"/>
          <w:rtl/>
        </w:rPr>
        <w:t>ע</w:t>
      </w:r>
      <w:r>
        <w:rPr>
          <w:rFonts w:ascii="Corbel" w:hAnsi="Corbel" w:cs="FrankRuehl"/>
          <w:sz w:val="28"/>
          <w:szCs w:val="28"/>
          <w:rtl/>
        </w:rPr>
        <w:t xml:space="preserve">ל הבעת חרטה. </w:t>
      </w:r>
    </w:p>
    <w:p w14:paraId="6A4C2C0D" w14:textId="77777777" w:rsidR="00AA5275" w:rsidRDefault="00AA5275" w:rsidP="00AA5275">
      <w:pPr>
        <w:tabs>
          <w:tab w:val="left" w:pos="-58"/>
        </w:tabs>
        <w:spacing w:before="100" w:beforeAutospacing="1" w:after="120" w:line="360" w:lineRule="auto"/>
        <w:ind w:left="-58"/>
        <w:jc w:val="both"/>
        <w:rPr>
          <w:rFonts w:cs="FrankRuehl"/>
          <w:sz w:val="28"/>
          <w:szCs w:val="28"/>
          <w:rtl/>
        </w:rPr>
      </w:pPr>
      <w:r>
        <w:rPr>
          <w:rFonts w:cs="FrankRuehl" w:hint="cs"/>
          <w:sz w:val="28"/>
          <w:szCs w:val="28"/>
          <w:rtl/>
        </w:rPr>
        <w:t>35.</w:t>
      </w:r>
      <w:r>
        <w:rPr>
          <w:rFonts w:cs="FrankRuehl" w:hint="cs"/>
          <w:sz w:val="28"/>
          <w:szCs w:val="28"/>
          <w:rtl/>
        </w:rPr>
        <w:tab/>
      </w:r>
      <w:r>
        <w:rPr>
          <w:rFonts w:cs="FrankRuehl"/>
          <w:sz w:val="28"/>
          <w:szCs w:val="28"/>
          <w:rtl/>
        </w:rPr>
        <w:t>נסיבותיו האישיות של הנאשם מורכבות, כפי שעולה מטיעוני בא כוחו אף הן י</w:t>
      </w:r>
      <w:r>
        <w:rPr>
          <w:rFonts w:cs="FrankRuehl" w:hint="cs"/>
          <w:sz w:val="28"/>
          <w:szCs w:val="28"/>
          <w:rtl/>
        </w:rPr>
        <w:t>י</w:t>
      </w:r>
      <w:r>
        <w:rPr>
          <w:rFonts w:cs="FrankRuehl"/>
          <w:sz w:val="28"/>
          <w:szCs w:val="28"/>
          <w:rtl/>
        </w:rPr>
        <w:t xml:space="preserve">לקחו בחשבון. אפרט מקצתן. </w:t>
      </w:r>
      <w:r>
        <w:rPr>
          <w:rFonts w:ascii="FrankRuehl" w:hAnsi="FrankRuehl" w:cs="FrankRuehl"/>
          <w:sz w:val="28"/>
          <w:szCs w:val="28"/>
          <w:rtl/>
        </w:rPr>
        <w:t xml:space="preserve">הנאשם הבכור בסדר הלידה במשפחה מרובת ילדים המונה 7 אחים ואחיות. הוריו התגרשו בהיותו בן 4 שנים. לדברי הנאשם, סבל מנחת זרועו של האב ובגיל 11 הוצא מהבית במעורבות גורמי הרווחה. כיום אין קשר בין הנאשם לאב. </w:t>
      </w:r>
      <w:r>
        <w:rPr>
          <w:rFonts w:ascii="FrankRuehl" w:hAnsi="FrankRuehl" w:cs="FrankRuehl" w:hint="cs"/>
          <w:sz w:val="28"/>
          <w:szCs w:val="28"/>
          <w:rtl/>
        </w:rPr>
        <w:t xml:space="preserve">האם </w:t>
      </w:r>
      <w:r>
        <w:rPr>
          <w:rFonts w:ascii="FrankRuehl" w:hAnsi="FrankRuehl" w:cs="FrankRuehl"/>
          <w:sz w:val="28"/>
          <w:szCs w:val="28"/>
          <w:rtl/>
        </w:rPr>
        <w:t>מתגוררת בנתניה ועובדת ככוח עזר בבית חולים. הקשר בין הנאשם לאימו קרוב, היא כל עולמו ו</w:t>
      </w:r>
      <w:r>
        <w:rPr>
          <w:rFonts w:ascii="FrankRuehl" w:hAnsi="FrankRuehl" w:cs="FrankRuehl" w:hint="cs"/>
          <w:sz w:val="28"/>
          <w:szCs w:val="28"/>
          <w:rtl/>
        </w:rPr>
        <w:t xml:space="preserve">נמסר כי </w:t>
      </w:r>
      <w:r>
        <w:rPr>
          <w:rFonts w:ascii="FrankRuehl" w:hAnsi="FrankRuehl" w:cs="FrankRuehl"/>
          <w:sz w:val="28"/>
          <w:szCs w:val="28"/>
          <w:rtl/>
        </w:rPr>
        <w:t>מסייע לה לפרנס את אחיו הקטינים</w:t>
      </w:r>
      <w:r>
        <w:rPr>
          <w:rFonts w:ascii="FrankRuehl" w:hAnsi="FrankRuehl" w:cs="FrankRuehl" w:hint="cs"/>
          <w:sz w:val="28"/>
          <w:szCs w:val="28"/>
          <w:rtl/>
        </w:rPr>
        <w:t xml:space="preserve">, </w:t>
      </w:r>
      <w:r>
        <w:rPr>
          <w:rFonts w:ascii="FrankRuehl" w:hAnsi="FrankRuehl" w:cs="FrankRuehl"/>
          <w:sz w:val="28"/>
          <w:szCs w:val="28"/>
          <w:rtl/>
        </w:rPr>
        <w:t xml:space="preserve">כך שההשפעה של מאסר ארוך על בני המשפחה, קשה. </w:t>
      </w:r>
      <w:r>
        <w:rPr>
          <w:rFonts w:cs="FrankRuehl"/>
          <w:sz w:val="28"/>
          <w:szCs w:val="28"/>
          <w:rtl/>
        </w:rPr>
        <w:t xml:space="preserve">כן הבאתי בחשבון את מצבו הכלכלי של הנאשם כעולה מטיעוני בא כוחו. </w:t>
      </w:r>
    </w:p>
    <w:p w14:paraId="0742E7D0" w14:textId="77777777" w:rsidR="00AA5275" w:rsidRDefault="00AA5275" w:rsidP="00AA5275">
      <w:pPr>
        <w:spacing w:before="100" w:beforeAutospacing="1" w:after="120" w:line="360" w:lineRule="auto"/>
        <w:jc w:val="both"/>
        <w:rPr>
          <w:rFonts w:cs="FrankRuehl"/>
          <w:szCs w:val="28"/>
          <w:rtl/>
        </w:rPr>
      </w:pPr>
      <w:r>
        <w:rPr>
          <w:rFonts w:ascii="Calibri" w:hAnsi="Calibri" w:cs="FrankRuehl" w:hint="cs"/>
          <w:szCs w:val="28"/>
          <w:rtl/>
        </w:rPr>
        <w:t>36.</w:t>
      </w:r>
      <w:r>
        <w:rPr>
          <w:rFonts w:ascii="Calibri" w:hAnsi="Calibri" w:cs="FrankRuehl" w:hint="cs"/>
          <w:szCs w:val="28"/>
          <w:rtl/>
        </w:rPr>
        <w:tab/>
      </w:r>
      <w:r>
        <w:rPr>
          <w:rFonts w:ascii="Calibri" w:hAnsi="Calibri" w:cs="FrankRuehl"/>
          <w:szCs w:val="28"/>
          <w:rtl/>
        </w:rPr>
        <w:t>הנאשם נעדר הרשעות קודמות בתחום הפלילי ואולם, לחובתו 11 הרשעות בתחום התעבורה. כיום מרצה עונש מאסר בן 10 חודשים שהוטל עליו בגין עבירה של נהיגה בזמן פסילה ונהיגה ללא רישיון נהיגה מיום 30.7.2021 זאת לאחר ש</w:t>
      </w:r>
      <w:r>
        <w:rPr>
          <w:rFonts w:ascii="Calibri" w:hAnsi="Calibri" w:cs="FrankRuehl" w:hint="cs"/>
          <w:szCs w:val="28"/>
          <w:rtl/>
        </w:rPr>
        <w:t xml:space="preserve">גם </w:t>
      </w:r>
      <w:r>
        <w:rPr>
          <w:rFonts w:ascii="Calibri" w:hAnsi="Calibri" w:cs="FrankRuehl"/>
          <w:szCs w:val="28"/>
          <w:rtl/>
        </w:rPr>
        <w:t xml:space="preserve">בעבר נידון בגין עבירות תעבורה דומות למאסר בן 5 חודשים וענישה נלווית. </w:t>
      </w:r>
      <w:r>
        <w:rPr>
          <w:rFonts w:cs="FrankRuehl"/>
          <w:szCs w:val="28"/>
          <w:rtl/>
        </w:rPr>
        <w:t>עיון בגיליון בתחום התעבורה מלמד כי חרף הליכים משפטיים קודמים הנאשם לא הפיק את לקחיו כמצופה והסלים במעורבות בפעילות פורצת חוק, הפעם בתחום הסמים.</w:t>
      </w:r>
    </w:p>
    <w:p w14:paraId="2CC3B80F" w14:textId="77777777" w:rsidR="00AA5275" w:rsidRDefault="00AA5275" w:rsidP="00AA5275">
      <w:pPr>
        <w:spacing w:before="100" w:beforeAutospacing="1" w:after="120" w:line="360" w:lineRule="auto"/>
        <w:jc w:val="both"/>
        <w:rPr>
          <w:rFonts w:cs="FrankRuehl"/>
          <w:szCs w:val="28"/>
          <w:rtl/>
        </w:rPr>
      </w:pPr>
      <w:r>
        <w:rPr>
          <w:rFonts w:cs="FrankRuehl" w:hint="cs"/>
          <w:szCs w:val="28"/>
          <w:rtl/>
        </w:rPr>
        <w:t xml:space="preserve">37. ואחרון, לקחתי בחשבון את העונשים שהוטלו על נאשמים אחרים בפרשייה זו. </w:t>
      </w:r>
    </w:p>
    <w:p w14:paraId="6B78D257" w14:textId="77777777" w:rsidR="00AA5275" w:rsidRDefault="00AA5275" w:rsidP="00AA5275">
      <w:pPr>
        <w:tabs>
          <w:tab w:val="left" w:pos="-58"/>
        </w:tabs>
        <w:spacing w:before="100" w:beforeAutospacing="1" w:after="120" w:line="360" w:lineRule="auto"/>
        <w:ind w:left="-58"/>
        <w:jc w:val="both"/>
        <w:rPr>
          <w:rFonts w:ascii="Miriam" w:hAnsi="Miriam" w:cs="Miriam"/>
          <w:rtl/>
        </w:rPr>
      </w:pPr>
      <w:r>
        <w:rPr>
          <w:rFonts w:ascii="Miriam" w:hAnsi="Miriam" w:cs="Miriam"/>
          <w:rtl/>
        </w:rPr>
        <w:t xml:space="preserve">תוצאה </w:t>
      </w:r>
    </w:p>
    <w:p w14:paraId="152A4AF8" w14:textId="77777777" w:rsidR="00AA5275" w:rsidRDefault="00AA5275" w:rsidP="00AA5275">
      <w:pPr>
        <w:tabs>
          <w:tab w:val="left" w:pos="-58"/>
        </w:tabs>
        <w:spacing w:before="100" w:beforeAutospacing="1" w:after="120" w:line="360" w:lineRule="auto"/>
        <w:jc w:val="both"/>
        <w:rPr>
          <w:rFonts w:ascii="FrankRuehl" w:hAnsi="FrankRuehl" w:cs="FrankRuehl"/>
          <w:sz w:val="28"/>
          <w:szCs w:val="28"/>
          <w:rtl/>
        </w:rPr>
      </w:pPr>
      <w:r>
        <w:rPr>
          <w:rFonts w:cs="FrankRuehl" w:hint="cs"/>
          <w:szCs w:val="28"/>
          <w:rtl/>
        </w:rPr>
        <w:t>38.</w:t>
      </w:r>
      <w:r>
        <w:rPr>
          <w:rFonts w:cs="FrankRuehl" w:hint="cs"/>
          <w:szCs w:val="28"/>
          <w:rtl/>
        </w:rPr>
        <w:tab/>
      </w:r>
      <w:r>
        <w:rPr>
          <w:rFonts w:cs="FrankRuehl"/>
          <w:szCs w:val="28"/>
          <w:rtl/>
        </w:rPr>
        <w:t xml:space="preserve">לנוכח האמור ובאיזון בין הנסיבות לזכותו של הנאשם לבין הנסיבות העומדות לחובתו </w:t>
      </w:r>
      <w:r>
        <w:rPr>
          <w:rFonts w:ascii="FrankRuehl" w:hAnsi="FrankRuehl" w:cs="FrankRuehl"/>
          <w:sz w:val="28"/>
          <w:szCs w:val="28"/>
          <w:rtl/>
        </w:rPr>
        <w:t xml:space="preserve">אני גוזרת על הנאשם את העונשים הבאים: </w:t>
      </w:r>
    </w:p>
    <w:p w14:paraId="128ACD36" w14:textId="77777777" w:rsidR="00AA5275" w:rsidRDefault="00AA5275" w:rsidP="00AA5275">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 xml:space="preserve">22 חודשי מאסר בפועל </w:t>
      </w:r>
      <w:r>
        <w:rPr>
          <w:rFonts w:ascii="FrankRuehl" w:hAnsi="FrankRuehl" w:cs="FrankRuehl" w:hint="cs"/>
          <w:sz w:val="28"/>
          <w:szCs w:val="28"/>
          <w:rtl/>
        </w:rPr>
        <w:t>בניכוי ימי מעצרו מיום 29.5.2022.</w:t>
      </w:r>
      <w:r>
        <w:rPr>
          <w:rFonts w:ascii="FrankRuehl" w:hAnsi="FrankRuehl" w:cs="FrankRuehl"/>
          <w:sz w:val="28"/>
          <w:szCs w:val="28"/>
          <w:rtl/>
        </w:rPr>
        <w:t xml:space="preserve"> </w:t>
      </w:r>
    </w:p>
    <w:p w14:paraId="71EF3E2C" w14:textId="77777777" w:rsidR="00AA5275" w:rsidRDefault="00AA5275" w:rsidP="00AA5275">
      <w:pPr>
        <w:pStyle w:val="a9"/>
        <w:numPr>
          <w:ilvl w:val="0"/>
          <w:numId w:val="1"/>
        </w:numPr>
        <w:spacing w:line="360" w:lineRule="auto"/>
        <w:jc w:val="both"/>
        <w:rPr>
          <w:rFonts w:ascii="FrankRuehl" w:hAnsi="FrankRuehl" w:cs="FrankRuehl"/>
          <w:sz w:val="28"/>
          <w:szCs w:val="28"/>
          <w:rtl/>
        </w:rPr>
      </w:pPr>
      <w:r>
        <w:rPr>
          <w:rFonts w:ascii="FrankRuehl" w:hAnsi="FrankRuehl" w:cs="FrankRuehl"/>
          <w:sz w:val="28"/>
          <w:szCs w:val="28"/>
          <w:rtl/>
        </w:rPr>
        <w:t xml:space="preserve">6 חודשי מאסר אותם לא ירצה הנאשם אלא אם יעבור בתוך שלוש שנים כל עבירת פשע לפי </w:t>
      </w:r>
      <w:hyperlink r:id="rId40" w:history="1">
        <w:r w:rsidR="001E57FF" w:rsidRPr="001E57FF">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0231089D" w14:textId="77777777" w:rsidR="00AA5275" w:rsidRDefault="00AA5275" w:rsidP="00AA5275">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3 חודשי מאסר אותם לא ירצה הנאשם אלא אם יעבור בתוך שלוש שנים עבירת עוון לפי </w:t>
      </w:r>
      <w:hyperlink r:id="rId41" w:history="1">
        <w:r w:rsidR="001E57FF" w:rsidRPr="001E57FF">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w:t>
      </w:r>
    </w:p>
    <w:p w14:paraId="2E240E6E" w14:textId="77777777" w:rsidR="00AA5275" w:rsidRDefault="00AA5275" w:rsidP="00AA5275">
      <w:pPr>
        <w:spacing w:line="360" w:lineRule="auto"/>
        <w:ind w:left="1440" w:hanging="720"/>
        <w:jc w:val="both"/>
        <w:rPr>
          <w:rFonts w:ascii="FrankRuehl" w:hAnsi="FrankRuehl" w:cs="FrankRuehl"/>
          <w:sz w:val="28"/>
          <w:szCs w:val="28"/>
        </w:rPr>
      </w:pPr>
      <w:r>
        <w:rPr>
          <w:rFonts w:ascii="FrankRuehl" w:hAnsi="FrankRuehl" w:cs="FrankRuehl"/>
          <w:sz w:val="28"/>
          <w:szCs w:val="28"/>
          <w:rtl/>
        </w:rPr>
        <w:t>ד</w:t>
      </w:r>
      <w:r>
        <w:rPr>
          <w:rFonts w:ascii="FrankRuehl" w:hAnsi="FrankRuehl" w:cs="FrankRuehl"/>
          <w:sz w:val="28"/>
          <w:szCs w:val="28"/>
          <w:rtl/>
        </w:rPr>
        <w:tab/>
        <w:t xml:space="preserve">קנס בסך 2,000 ₪ או 20 ימי מאסר תמורתו. הקנס ישולם ב- 10 תשלומים חודשיים שווים ורצופים, החל מיום 1.12.2022 . לא ישולם איזה מהתשלומים במועדו, תעמוד יתרת הקנס לפירעון מידי. </w:t>
      </w:r>
    </w:p>
    <w:p w14:paraId="384A6FED" w14:textId="77777777" w:rsidR="00AA5275" w:rsidRDefault="00AA5275" w:rsidP="00AA5275">
      <w:pPr>
        <w:spacing w:line="360" w:lineRule="auto"/>
        <w:ind w:left="1440" w:hanging="720"/>
        <w:jc w:val="both"/>
        <w:rPr>
          <w:rFonts w:ascii="FrankRuehl" w:hAnsi="FrankRuehl" w:cs="FrankRuehl"/>
          <w:sz w:val="28"/>
          <w:szCs w:val="28"/>
          <w:rtl/>
        </w:rPr>
      </w:pPr>
      <w:r>
        <w:rPr>
          <w:rFonts w:ascii="FrankRuehl" w:hAnsi="FrankRuehl" w:cs="FrankRuehl"/>
          <w:sz w:val="28"/>
          <w:szCs w:val="28"/>
          <w:rtl/>
        </w:rPr>
        <w:t xml:space="preserve">ה. </w:t>
      </w:r>
      <w:r>
        <w:rPr>
          <w:rFonts w:ascii="FrankRuehl" w:hAnsi="FrankRuehl" w:cs="FrankRuehl"/>
          <w:sz w:val="28"/>
          <w:szCs w:val="28"/>
          <w:rtl/>
        </w:rPr>
        <w:tab/>
        <w:t>אני פוסלת את הנאשם מלקבל ולהחזיק רישיון נהיגה לתקופה של 4 חודשים</w:t>
      </w:r>
      <w:r>
        <w:rPr>
          <w:rFonts w:ascii="FrankRuehl" w:hAnsi="FrankRuehl" w:cs="FrankRuehl" w:hint="cs"/>
          <w:sz w:val="28"/>
          <w:szCs w:val="28"/>
          <w:rtl/>
        </w:rPr>
        <w:t xml:space="preserve">. </w:t>
      </w:r>
      <w:r>
        <w:rPr>
          <w:rFonts w:ascii="FrankRuehl" w:hAnsi="FrankRuehl" w:cs="FrankRuehl"/>
          <w:sz w:val="28"/>
          <w:szCs w:val="28"/>
          <w:rtl/>
        </w:rPr>
        <w:t xml:space="preserve">עונש הפסילה ירוצה במצטבר לכל עונש פסילה אחר. </w:t>
      </w:r>
    </w:p>
    <w:p w14:paraId="1AB4990A" w14:textId="77777777" w:rsidR="00AA5275" w:rsidRDefault="001E57FF" w:rsidP="00AA5275">
      <w:pPr>
        <w:spacing w:line="360" w:lineRule="auto"/>
        <w:ind w:firstLine="720"/>
        <w:jc w:val="both"/>
        <w:rPr>
          <w:rFonts w:ascii="FrankRuehl" w:hAnsi="FrankRuehl" w:cs="FrankRuehl"/>
          <w:sz w:val="28"/>
          <w:szCs w:val="28"/>
          <w:rtl/>
        </w:rPr>
      </w:pPr>
      <w:r w:rsidRPr="001E57FF">
        <w:rPr>
          <w:rFonts w:ascii="FrankRuehl" w:hAnsi="FrankRuehl" w:cs="FrankRuehl"/>
          <w:color w:val="FFFFFF"/>
          <w:sz w:val="2"/>
          <w:szCs w:val="2"/>
          <w:rtl/>
        </w:rPr>
        <w:t>5129371</w:t>
      </w:r>
      <w:r w:rsidR="00AA5275">
        <w:rPr>
          <w:rFonts w:ascii="FrankRuehl" w:hAnsi="FrankRuehl" w:cs="FrankRuehl"/>
          <w:sz w:val="28"/>
          <w:szCs w:val="28"/>
          <w:rtl/>
        </w:rPr>
        <w:t xml:space="preserve">טיפול במוצגים בכפוף לכל דין. </w:t>
      </w:r>
    </w:p>
    <w:p w14:paraId="1D5FC21E" w14:textId="77777777" w:rsidR="00AA5275" w:rsidRDefault="001E57FF" w:rsidP="00AA5275">
      <w:pPr>
        <w:spacing w:line="360" w:lineRule="auto"/>
        <w:ind w:firstLine="720"/>
        <w:jc w:val="both"/>
        <w:rPr>
          <w:rFonts w:ascii="FrankRuehl" w:hAnsi="FrankRuehl" w:cs="FrankRuehl"/>
          <w:sz w:val="28"/>
          <w:szCs w:val="28"/>
          <w:rtl/>
        </w:rPr>
      </w:pPr>
      <w:r w:rsidRPr="001E57FF">
        <w:rPr>
          <w:rFonts w:ascii="FrankRuehl" w:hAnsi="FrankRuehl" w:cs="FrankRuehl"/>
          <w:color w:val="FFFFFF"/>
          <w:sz w:val="2"/>
          <w:szCs w:val="2"/>
          <w:rtl/>
        </w:rPr>
        <w:t>54678313</w:t>
      </w:r>
      <w:r w:rsidR="00AA5275">
        <w:rPr>
          <w:rFonts w:ascii="FrankRuehl" w:hAnsi="FrankRuehl" w:cs="FrankRuehl"/>
          <w:sz w:val="28"/>
          <w:szCs w:val="28"/>
          <w:rtl/>
        </w:rPr>
        <w:t>זכות ערעור תוך 45 ימים מהיום.</w:t>
      </w:r>
    </w:p>
    <w:p w14:paraId="7DA6B630" w14:textId="77777777" w:rsidR="00AA5275" w:rsidRPr="000F2247" w:rsidRDefault="00AA5275" w:rsidP="00AA5275">
      <w:pPr>
        <w:rPr>
          <w:rFonts w:ascii="Arial" w:hAnsi="Arial"/>
          <w:b/>
          <w:bCs/>
          <w:sz w:val="26"/>
          <w:szCs w:val="26"/>
          <w:rtl/>
        </w:rPr>
      </w:pPr>
    </w:p>
    <w:p w14:paraId="7FA83F9A" w14:textId="77777777" w:rsidR="00AA5275" w:rsidRPr="000F2247" w:rsidRDefault="001E57FF" w:rsidP="00AA5275">
      <w:pPr>
        <w:rPr>
          <w:rFonts w:ascii="Arial" w:hAnsi="Arial"/>
          <w:b/>
          <w:bCs/>
          <w:sz w:val="26"/>
          <w:szCs w:val="26"/>
          <w:rtl/>
        </w:rPr>
      </w:pPr>
      <w:bookmarkStart w:id="8" w:name="Nitan"/>
      <w:r>
        <w:rPr>
          <w:rFonts w:ascii="Arial" w:hAnsi="Arial"/>
          <w:b/>
          <w:bCs/>
          <w:sz w:val="26"/>
          <w:szCs w:val="26"/>
          <w:rtl/>
        </w:rPr>
        <w:t xml:space="preserve">ניתן היום,  ט"ו אלול תשפ"ב, 11 ספטמבר 2022, בהעדר הצדדים. </w:t>
      </w:r>
      <w:bookmarkEnd w:id="8"/>
    </w:p>
    <w:p w14:paraId="749CF3FF" w14:textId="77777777" w:rsidR="00AA5275" w:rsidRPr="000F2247" w:rsidRDefault="00AA5275" w:rsidP="001E57F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44983FC" w14:textId="77777777" w:rsidR="00AA5275" w:rsidRPr="00CA08C1" w:rsidRDefault="00CA08C1" w:rsidP="00AA5275">
      <w:pPr>
        <w:jc w:val="center"/>
        <w:rPr>
          <w:rFonts w:ascii="Arial" w:hAnsi="Arial"/>
          <w:b/>
          <w:bCs/>
          <w:color w:val="FFFFFF"/>
          <w:sz w:val="2"/>
          <w:szCs w:val="2"/>
          <w:rtl/>
        </w:rPr>
      </w:pPr>
      <w:r w:rsidRPr="00CA08C1">
        <w:rPr>
          <w:rFonts w:ascii="Arial" w:hAnsi="Arial"/>
          <w:b/>
          <w:bCs/>
          <w:color w:val="FFFFFF"/>
          <w:sz w:val="2"/>
          <w:szCs w:val="2"/>
          <w:rtl/>
        </w:rPr>
        <w:t>5129371</w:t>
      </w:r>
    </w:p>
    <w:p w14:paraId="5359283F" w14:textId="77777777" w:rsidR="00E07FB9" w:rsidRPr="00CA08C1" w:rsidRDefault="00CA08C1" w:rsidP="001E57FF">
      <w:pPr>
        <w:keepNext/>
        <w:rPr>
          <w:rFonts w:ascii="David" w:hAnsi="David"/>
          <w:color w:val="FFFFFF"/>
          <w:sz w:val="2"/>
          <w:szCs w:val="2"/>
          <w:rtl/>
        </w:rPr>
      </w:pPr>
      <w:r w:rsidRPr="00CA08C1">
        <w:rPr>
          <w:rFonts w:ascii="David" w:hAnsi="David"/>
          <w:color w:val="FFFFFF"/>
          <w:sz w:val="2"/>
          <w:szCs w:val="2"/>
          <w:rtl/>
        </w:rPr>
        <w:t>54678313</w:t>
      </w:r>
    </w:p>
    <w:p w14:paraId="1E69E097" w14:textId="77777777" w:rsidR="001E57FF" w:rsidRDefault="001E57FF" w:rsidP="001E57FF">
      <w:pPr>
        <w:rPr>
          <w:rtl/>
        </w:rPr>
      </w:pPr>
    </w:p>
    <w:p w14:paraId="5ED9C351" w14:textId="77777777" w:rsidR="001E57FF" w:rsidRDefault="001E57FF" w:rsidP="001E57FF">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6326D8AF" w14:textId="77777777" w:rsidR="00CA08C1" w:rsidRPr="00CA08C1" w:rsidRDefault="00CA08C1" w:rsidP="00CA08C1">
      <w:pPr>
        <w:keepNext/>
        <w:rPr>
          <w:rFonts w:ascii="David" w:hAnsi="David"/>
          <w:color w:val="000000"/>
          <w:sz w:val="22"/>
          <w:szCs w:val="22"/>
          <w:rtl/>
        </w:rPr>
      </w:pPr>
    </w:p>
    <w:p w14:paraId="64539EBE" w14:textId="77777777" w:rsidR="00CA08C1" w:rsidRPr="00CA08C1" w:rsidRDefault="00CA08C1" w:rsidP="00CA08C1">
      <w:pPr>
        <w:keepNext/>
        <w:rPr>
          <w:rFonts w:ascii="David" w:hAnsi="David"/>
          <w:color w:val="000000"/>
          <w:sz w:val="22"/>
          <w:szCs w:val="22"/>
          <w:rtl/>
        </w:rPr>
      </w:pPr>
      <w:r w:rsidRPr="00CA08C1">
        <w:rPr>
          <w:rFonts w:ascii="David" w:hAnsi="David"/>
          <w:color w:val="000000"/>
          <w:sz w:val="22"/>
          <w:szCs w:val="22"/>
          <w:rtl/>
        </w:rPr>
        <w:t>זהר דיבון סגל 54678313-/</w:t>
      </w:r>
    </w:p>
    <w:p w14:paraId="76FDD1D0" w14:textId="77777777" w:rsidR="001E57FF" w:rsidRPr="001E57FF" w:rsidRDefault="00CA08C1" w:rsidP="00CA08C1">
      <w:pPr>
        <w:rPr>
          <w:color w:val="0000FF"/>
          <w:u w:val="single"/>
        </w:rPr>
      </w:pPr>
      <w:r w:rsidRPr="00CA08C1">
        <w:rPr>
          <w:color w:val="000000"/>
          <w:u w:val="single"/>
          <w:rtl/>
        </w:rPr>
        <w:t>נוסח מסמך זה כפוף לשינויי ניסוח ועריכה</w:t>
      </w:r>
    </w:p>
    <w:sectPr w:rsidR="001E57FF" w:rsidRPr="001E57FF" w:rsidSect="00CA08C1">
      <w:headerReference w:type="even" r:id="rId43"/>
      <w:headerReference w:type="default" r:id="rId44"/>
      <w:footerReference w:type="even" r:id="rId45"/>
      <w:footerReference w:type="default" r:id="rId46"/>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E6D10" w14:textId="77777777" w:rsidR="00C15064" w:rsidRDefault="00C15064" w:rsidP="00EB66B2">
      <w:r>
        <w:separator/>
      </w:r>
    </w:p>
  </w:endnote>
  <w:endnote w:type="continuationSeparator" w:id="0">
    <w:p w14:paraId="7E397099" w14:textId="77777777" w:rsidR="00C15064" w:rsidRDefault="00C15064" w:rsidP="00EB6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rbel">
    <w:panose1 w:val="020B0503020204020204"/>
    <w:charset w:val="00"/>
    <w:family w:val="swiss"/>
    <w:pitch w:val="variable"/>
    <w:sig w:usb0="A00002EF" w:usb1="4000A44B" w:usb2="0000000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0B78C" w14:textId="77777777" w:rsidR="00CA08C1" w:rsidRDefault="00CA08C1" w:rsidP="00CA08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83E4402" w14:textId="77777777" w:rsidR="007D1508" w:rsidRPr="00CA08C1" w:rsidRDefault="00CA08C1" w:rsidP="00CA08C1">
    <w:pPr>
      <w:pStyle w:val="a5"/>
      <w:pBdr>
        <w:top w:val="single" w:sz="4" w:space="1" w:color="auto"/>
        <w:between w:val="single" w:sz="4" w:space="0" w:color="auto"/>
      </w:pBdr>
      <w:spacing w:after="60"/>
      <w:jc w:val="center"/>
      <w:rPr>
        <w:rFonts w:ascii="FrankRuehl" w:hAnsi="FrankRuehl" w:cs="FrankRuehl"/>
        <w:color w:val="000000"/>
      </w:rPr>
    </w:pPr>
    <w:r w:rsidRPr="00CA08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CC079" w14:textId="77777777" w:rsidR="00CA08C1" w:rsidRDefault="00CA08C1" w:rsidP="00CA08C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F06AD">
      <w:rPr>
        <w:rFonts w:ascii="FrankRuehl" w:hAnsi="FrankRuehl" w:cs="FrankRuehl"/>
        <w:noProof/>
        <w:rtl/>
      </w:rPr>
      <w:t>1</w:t>
    </w:r>
    <w:r>
      <w:rPr>
        <w:rFonts w:ascii="FrankRuehl" w:hAnsi="FrankRuehl" w:cs="FrankRuehl"/>
        <w:rtl/>
      </w:rPr>
      <w:fldChar w:fldCharType="end"/>
    </w:r>
  </w:p>
  <w:p w14:paraId="4FB0C277" w14:textId="77777777" w:rsidR="007D1508" w:rsidRPr="00CA08C1" w:rsidRDefault="00CA08C1" w:rsidP="00CA08C1">
    <w:pPr>
      <w:pStyle w:val="a5"/>
      <w:pBdr>
        <w:top w:val="single" w:sz="4" w:space="1" w:color="auto"/>
        <w:between w:val="single" w:sz="4" w:space="0" w:color="auto"/>
      </w:pBdr>
      <w:spacing w:after="60"/>
      <w:jc w:val="center"/>
      <w:rPr>
        <w:rFonts w:ascii="FrankRuehl" w:hAnsi="FrankRuehl" w:cs="FrankRuehl"/>
        <w:color w:val="000000"/>
      </w:rPr>
    </w:pPr>
    <w:r w:rsidRPr="00CA08C1">
      <w:rPr>
        <w:rFonts w:ascii="FrankRuehl" w:hAnsi="FrankRuehl" w:cs="FrankRuehl"/>
        <w:color w:val="000000"/>
      </w:rPr>
      <w:pict w14:anchorId="76042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0990F" w14:textId="77777777" w:rsidR="00C15064" w:rsidRDefault="00C15064" w:rsidP="00EB66B2">
      <w:r>
        <w:separator/>
      </w:r>
    </w:p>
  </w:footnote>
  <w:footnote w:type="continuationSeparator" w:id="0">
    <w:p w14:paraId="2A77CCE5" w14:textId="77777777" w:rsidR="00C15064" w:rsidRDefault="00C15064" w:rsidP="00EB6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66AA2" w14:textId="77777777" w:rsidR="001E57FF" w:rsidRPr="00CA08C1" w:rsidRDefault="00CA08C1" w:rsidP="00CA08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10108-11-21</w:t>
    </w:r>
    <w:r>
      <w:rPr>
        <w:rFonts w:ascii="David" w:hAnsi="David"/>
        <w:color w:val="000000"/>
        <w:sz w:val="22"/>
        <w:szCs w:val="22"/>
        <w:rtl/>
      </w:rPr>
      <w:tab/>
      <w:t xml:space="preserve"> מדינת ישראל נ' סטיב סייפו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B2DD5" w14:textId="77777777" w:rsidR="001E57FF" w:rsidRPr="00CA08C1" w:rsidRDefault="00CA08C1" w:rsidP="00CA08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10108-11-21</w:t>
    </w:r>
    <w:r>
      <w:rPr>
        <w:rFonts w:ascii="David" w:hAnsi="David"/>
        <w:color w:val="000000"/>
        <w:sz w:val="22"/>
        <w:szCs w:val="22"/>
        <w:rtl/>
      </w:rPr>
      <w:tab/>
      <w:t xml:space="preserve"> מדינת ישראל נ' סטיב סייפו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46AB6"/>
    <w:multiLevelType w:val="hybridMultilevel"/>
    <w:tmpl w:val="5060D12E"/>
    <w:lvl w:ilvl="0" w:tplc="24F634DC">
      <w:start w:val="1"/>
      <w:numFmt w:val="hebrew1"/>
      <w:lvlText w:val="%1."/>
      <w:lvlJc w:val="left"/>
      <w:pPr>
        <w:ind w:left="1380" w:hanging="6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27070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A5275"/>
    <w:rsid w:val="001003DA"/>
    <w:rsid w:val="001B5A3B"/>
    <w:rsid w:val="001E57FF"/>
    <w:rsid w:val="001F06AD"/>
    <w:rsid w:val="007B1177"/>
    <w:rsid w:val="007D1508"/>
    <w:rsid w:val="009804ED"/>
    <w:rsid w:val="009A2D33"/>
    <w:rsid w:val="00A82B76"/>
    <w:rsid w:val="00AA5275"/>
    <w:rsid w:val="00B20ACF"/>
    <w:rsid w:val="00C15064"/>
    <w:rsid w:val="00CA08C1"/>
    <w:rsid w:val="00DC307A"/>
    <w:rsid w:val="00E07FB9"/>
    <w:rsid w:val="00EB66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18E38A"/>
  <w15:chartTrackingRefBased/>
  <w15:docId w15:val="{154737E8-324B-467F-9A17-7E399007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527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A5275"/>
    <w:pPr>
      <w:tabs>
        <w:tab w:val="center" w:pos="4153"/>
        <w:tab w:val="right" w:pos="8306"/>
      </w:tabs>
    </w:pPr>
  </w:style>
  <w:style w:type="character" w:customStyle="1" w:styleId="a4">
    <w:name w:val="כותרת עליונה תו"/>
    <w:link w:val="a3"/>
    <w:rsid w:val="00AA5275"/>
    <w:rPr>
      <w:rFonts w:ascii="Times New Roman" w:eastAsia="Times New Roman" w:hAnsi="Times New Roman" w:cs="David"/>
      <w:sz w:val="24"/>
      <w:szCs w:val="24"/>
    </w:rPr>
  </w:style>
  <w:style w:type="paragraph" w:styleId="a5">
    <w:name w:val="footer"/>
    <w:basedOn w:val="a"/>
    <w:link w:val="a6"/>
    <w:rsid w:val="00AA5275"/>
    <w:pPr>
      <w:tabs>
        <w:tab w:val="center" w:pos="4153"/>
        <w:tab w:val="right" w:pos="8306"/>
      </w:tabs>
    </w:pPr>
  </w:style>
  <w:style w:type="character" w:customStyle="1" w:styleId="a6">
    <w:name w:val="כותרת תחתונה תו"/>
    <w:link w:val="a5"/>
    <w:rsid w:val="00AA5275"/>
    <w:rPr>
      <w:rFonts w:ascii="Times New Roman" w:eastAsia="Times New Roman" w:hAnsi="Times New Roman" w:cs="David"/>
      <w:sz w:val="24"/>
      <w:szCs w:val="24"/>
    </w:rPr>
  </w:style>
  <w:style w:type="table" w:styleId="a7">
    <w:name w:val="Table Grid"/>
    <w:basedOn w:val="a1"/>
    <w:rsid w:val="00AA527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A5275"/>
  </w:style>
  <w:style w:type="paragraph" w:styleId="a9">
    <w:name w:val="List Paragraph"/>
    <w:basedOn w:val="a"/>
    <w:link w:val="aa"/>
    <w:qFormat/>
    <w:rsid w:val="00AA5275"/>
    <w:pPr>
      <w:ind w:left="720"/>
      <w:contextualSpacing/>
    </w:pPr>
  </w:style>
  <w:style w:type="character" w:customStyle="1" w:styleId="aa">
    <w:name w:val="פיסקת רשימה תו"/>
    <w:link w:val="a9"/>
    <w:locked/>
    <w:rsid w:val="00AA5275"/>
    <w:rPr>
      <w:rFonts w:ascii="Times New Roman" w:eastAsia="Times New Roman" w:hAnsi="Times New Roman" w:cs="David"/>
      <w:sz w:val="24"/>
      <w:szCs w:val="24"/>
    </w:rPr>
  </w:style>
  <w:style w:type="character" w:styleId="Hyperlink">
    <w:name w:val="Hyperlink"/>
    <w:rsid w:val="001E57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19.a" TargetMode="External"/><Relationship Id="rId18" Type="http://schemas.openxmlformats.org/officeDocument/2006/relationships/hyperlink" Target="http://www.nevo.co.il/case/17954235" TargetMode="External"/><Relationship Id="rId26" Type="http://schemas.openxmlformats.org/officeDocument/2006/relationships/hyperlink" Target="http://www.nevo.co.il/case/27418462"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5786821" TargetMode="External"/><Relationship Id="rId34" Type="http://schemas.openxmlformats.org/officeDocument/2006/relationships/hyperlink" Target="http://www.nevo.co.il/case/25203841"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55990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case/11269774" TargetMode="External"/><Relationship Id="rId32" Type="http://schemas.openxmlformats.org/officeDocument/2006/relationships/hyperlink" Target="http://www.nevo.co.il/case/21015131" TargetMode="External"/><Relationship Id="rId37" Type="http://schemas.openxmlformats.org/officeDocument/2006/relationships/hyperlink" Target="http://www.nevo.co.il/case/21472690"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1" TargetMode="External"/><Relationship Id="rId23" Type="http://schemas.openxmlformats.org/officeDocument/2006/relationships/hyperlink" Target="http://www.nevo.co.il/case/17939812" TargetMode="External"/><Relationship Id="rId28" Type="http://schemas.openxmlformats.org/officeDocument/2006/relationships/hyperlink" Target="http://www.nevo.co.il/case/26538247" TargetMode="External"/><Relationship Id="rId36" Type="http://schemas.openxmlformats.org/officeDocument/2006/relationships/hyperlink" Target="http://www.nevo.co.il/case/21731698"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13101134" TargetMode="External"/><Relationship Id="rId31" Type="http://schemas.openxmlformats.org/officeDocument/2006/relationships/hyperlink" Target="http://www.nevo.co.il/case/2517971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case/6045416" TargetMode="External"/><Relationship Id="rId27" Type="http://schemas.openxmlformats.org/officeDocument/2006/relationships/hyperlink" Target="http://www.nevo.co.il/case/27426494" TargetMode="External"/><Relationship Id="rId30" Type="http://schemas.openxmlformats.org/officeDocument/2006/relationships/hyperlink" Target="http://www.nevo.co.il/case/24881270" TargetMode="External"/><Relationship Id="rId35" Type="http://schemas.openxmlformats.org/officeDocument/2006/relationships/hyperlink" Target="http://www.nevo.co.il/case/25439387"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13"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case/13093721" TargetMode="External"/><Relationship Id="rId25" Type="http://schemas.openxmlformats.org/officeDocument/2006/relationships/hyperlink" Target="http://www.nevo.co.il/case/5738608" TargetMode="External"/><Relationship Id="rId33" Type="http://schemas.openxmlformats.org/officeDocument/2006/relationships/hyperlink" Target="http://www.nevo.co.il/case/23597019" TargetMode="External"/><Relationship Id="rId38" Type="http://schemas.openxmlformats.org/officeDocument/2006/relationships/hyperlink" Target="http://www.nevo.co.il/law/70301/40ja" TargetMode="External"/><Relationship Id="rId46" Type="http://schemas.openxmlformats.org/officeDocument/2006/relationships/footer" Target="footer2.xml"/><Relationship Id="rId20" Type="http://schemas.openxmlformats.org/officeDocument/2006/relationships/hyperlink" Target="http://www.nevo.co.il/case/20033641"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3614</Words>
  <Characters>18071</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21642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7995492</vt:i4>
      </vt:variant>
      <vt:variant>
        <vt:i4>96</vt:i4>
      </vt:variant>
      <vt:variant>
        <vt:i4>0</vt:i4>
      </vt:variant>
      <vt:variant>
        <vt:i4>5</vt:i4>
      </vt:variant>
      <vt:variant>
        <vt:lpwstr>http://www.nevo.co.il/law/70301</vt:lpwstr>
      </vt:variant>
      <vt:variant>
        <vt:lpwstr/>
      </vt:variant>
      <vt:variant>
        <vt:i4>262155</vt:i4>
      </vt:variant>
      <vt:variant>
        <vt:i4>93</vt:i4>
      </vt:variant>
      <vt:variant>
        <vt:i4>0</vt:i4>
      </vt:variant>
      <vt:variant>
        <vt:i4>5</vt:i4>
      </vt:variant>
      <vt:variant>
        <vt:lpwstr>http://www.nevo.co.il/law/70301/40ja</vt:lpwstr>
      </vt:variant>
      <vt:variant>
        <vt:lpwstr/>
      </vt:variant>
      <vt:variant>
        <vt:i4>3997812</vt:i4>
      </vt:variant>
      <vt:variant>
        <vt:i4>90</vt:i4>
      </vt:variant>
      <vt:variant>
        <vt:i4>0</vt:i4>
      </vt:variant>
      <vt:variant>
        <vt:i4>5</vt:i4>
      </vt:variant>
      <vt:variant>
        <vt:lpwstr>http://www.nevo.co.il/case/21472690</vt:lpwstr>
      </vt:variant>
      <vt:variant>
        <vt:lpwstr/>
      </vt:variant>
      <vt:variant>
        <vt:i4>3997808</vt:i4>
      </vt:variant>
      <vt:variant>
        <vt:i4>87</vt:i4>
      </vt:variant>
      <vt:variant>
        <vt:i4>0</vt:i4>
      </vt:variant>
      <vt:variant>
        <vt:i4>5</vt:i4>
      </vt:variant>
      <vt:variant>
        <vt:lpwstr>http://www.nevo.co.il/case/21731698</vt:lpwstr>
      </vt:variant>
      <vt:variant>
        <vt:lpwstr/>
      </vt:variant>
      <vt:variant>
        <vt:i4>3604593</vt:i4>
      </vt:variant>
      <vt:variant>
        <vt:i4>84</vt:i4>
      </vt:variant>
      <vt:variant>
        <vt:i4>0</vt:i4>
      </vt:variant>
      <vt:variant>
        <vt:i4>5</vt:i4>
      </vt:variant>
      <vt:variant>
        <vt:lpwstr>http://www.nevo.co.il/case/25439387</vt:lpwstr>
      </vt:variant>
      <vt:variant>
        <vt:lpwstr/>
      </vt:variant>
      <vt:variant>
        <vt:i4>3604601</vt:i4>
      </vt:variant>
      <vt:variant>
        <vt:i4>81</vt:i4>
      </vt:variant>
      <vt:variant>
        <vt:i4>0</vt:i4>
      </vt:variant>
      <vt:variant>
        <vt:i4>5</vt:i4>
      </vt:variant>
      <vt:variant>
        <vt:lpwstr>http://www.nevo.co.il/case/25203841</vt:lpwstr>
      </vt:variant>
      <vt:variant>
        <vt:lpwstr/>
      </vt:variant>
      <vt:variant>
        <vt:i4>3211390</vt:i4>
      </vt:variant>
      <vt:variant>
        <vt:i4>78</vt:i4>
      </vt:variant>
      <vt:variant>
        <vt:i4>0</vt:i4>
      </vt:variant>
      <vt:variant>
        <vt:i4>5</vt:i4>
      </vt:variant>
      <vt:variant>
        <vt:lpwstr>http://www.nevo.co.il/case/23597019</vt:lpwstr>
      </vt:variant>
      <vt:variant>
        <vt:lpwstr/>
      </vt:variant>
      <vt:variant>
        <vt:i4>3407989</vt:i4>
      </vt:variant>
      <vt:variant>
        <vt:i4>75</vt:i4>
      </vt:variant>
      <vt:variant>
        <vt:i4>0</vt:i4>
      </vt:variant>
      <vt:variant>
        <vt:i4>5</vt:i4>
      </vt:variant>
      <vt:variant>
        <vt:lpwstr>http://www.nevo.co.il/case/21015131</vt:lpwstr>
      </vt:variant>
      <vt:variant>
        <vt:lpwstr/>
      </vt:variant>
      <vt:variant>
        <vt:i4>3866737</vt:i4>
      </vt:variant>
      <vt:variant>
        <vt:i4>72</vt:i4>
      </vt:variant>
      <vt:variant>
        <vt:i4>0</vt:i4>
      </vt:variant>
      <vt:variant>
        <vt:i4>5</vt:i4>
      </vt:variant>
      <vt:variant>
        <vt:lpwstr>http://www.nevo.co.il/case/25179718</vt:lpwstr>
      </vt:variant>
      <vt:variant>
        <vt:lpwstr/>
      </vt:variant>
      <vt:variant>
        <vt:i4>3932282</vt:i4>
      </vt:variant>
      <vt:variant>
        <vt:i4>69</vt:i4>
      </vt:variant>
      <vt:variant>
        <vt:i4>0</vt:i4>
      </vt:variant>
      <vt:variant>
        <vt:i4>5</vt:i4>
      </vt:variant>
      <vt:variant>
        <vt:lpwstr>http://www.nevo.co.il/case/24881270</vt:lpwstr>
      </vt:variant>
      <vt:variant>
        <vt:lpwstr/>
      </vt:variant>
      <vt:variant>
        <vt:i4>3539064</vt:i4>
      </vt:variant>
      <vt:variant>
        <vt:i4>66</vt:i4>
      </vt:variant>
      <vt:variant>
        <vt:i4>0</vt:i4>
      </vt:variant>
      <vt:variant>
        <vt:i4>5</vt:i4>
      </vt:variant>
      <vt:variant>
        <vt:lpwstr>http://www.nevo.co.il/case/25599088</vt:lpwstr>
      </vt:variant>
      <vt:variant>
        <vt:lpwstr/>
      </vt:variant>
      <vt:variant>
        <vt:i4>3866739</vt:i4>
      </vt:variant>
      <vt:variant>
        <vt:i4>63</vt:i4>
      </vt:variant>
      <vt:variant>
        <vt:i4>0</vt:i4>
      </vt:variant>
      <vt:variant>
        <vt:i4>5</vt:i4>
      </vt:variant>
      <vt:variant>
        <vt:lpwstr>http://www.nevo.co.il/case/26538247</vt:lpwstr>
      </vt:variant>
      <vt:variant>
        <vt:lpwstr/>
      </vt:variant>
      <vt:variant>
        <vt:i4>3735669</vt:i4>
      </vt:variant>
      <vt:variant>
        <vt:i4>60</vt:i4>
      </vt:variant>
      <vt:variant>
        <vt:i4>0</vt:i4>
      </vt:variant>
      <vt:variant>
        <vt:i4>5</vt:i4>
      </vt:variant>
      <vt:variant>
        <vt:lpwstr>http://www.nevo.co.il/case/27426494</vt:lpwstr>
      </vt:variant>
      <vt:variant>
        <vt:lpwstr/>
      </vt:variant>
      <vt:variant>
        <vt:i4>3670134</vt:i4>
      </vt:variant>
      <vt:variant>
        <vt:i4>57</vt:i4>
      </vt:variant>
      <vt:variant>
        <vt:i4>0</vt:i4>
      </vt:variant>
      <vt:variant>
        <vt:i4>5</vt:i4>
      </vt:variant>
      <vt:variant>
        <vt:lpwstr>http://www.nevo.co.il/case/27418462</vt:lpwstr>
      </vt:variant>
      <vt:variant>
        <vt:lpwstr/>
      </vt:variant>
      <vt:variant>
        <vt:i4>3670139</vt:i4>
      </vt:variant>
      <vt:variant>
        <vt:i4>54</vt:i4>
      </vt:variant>
      <vt:variant>
        <vt:i4>0</vt:i4>
      </vt:variant>
      <vt:variant>
        <vt:i4>5</vt:i4>
      </vt:variant>
      <vt:variant>
        <vt:lpwstr>http://www.nevo.co.il/case/5738608</vt:lpwstr>
      </vt:variant>
      <vt:variant>
        <vt:lpwstr/>
      </vt:variant>
      <vt:variant>
        <vt:i4>3997812</vt:i4>
      </vt:variant>
      <vt:variant>
        <vt:i4>51</vt:i4>
      </vt:variant>
      <vt:variant>
        <vt:i4>0</vt:i4>
      </vt:variant>
      <vt:variant>
        <vt:i4>5</vt:i4>
      </vt:variant>
      <vt:variant>
        <vt:lpwstr>http://www.nevo.co.il/case/11269774</vt:lpwstr>
      </vt:variant>
      <vt:variant>
        <vt:lpwstr/>
      </vt:variant>
      <vt:variant>
        <vt:i4>3145848</vt:i4>
      </vt:variant>
      <vt:variant>
        <vt:i4>48</vt:i4>
      </vt:variant>
      <vt:variant>
        <vt:i4>0</vt:i4>
      </vt:variant>
      <vt:variant>
        <vt:i4>5</vt:i4>
      </vt:variant>
      <vt:variant>
        <vt:lpwstr>http://www.nevo.co.il/case/17939812</vt:lpwstr>
      </vt:variant>
      <vt:variant>
        <vt:lpwstr/>
      </vt:variant>
      <vt:variant>
        <vt:i4>3145840</vt:i4>
      </vt:variant>
      <vt:variant>
        <vt:i4>45</vt:i4>
      </vt:variant>
      <vt:variant>
        <vt:i4>0</vt:i4>
      </vt:variant>
      <vt:variant>
        <vt:i4>5</vt:i4>
      </vt:variant>
      <vt:variant>
        <vt:lpwstr>http://www.nevo.co.il/case/6045416</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3473521</vt:i4>
      </vt:variant>
      <vt:variant>
        <vt:i4>39</vt:i4>
      </vt:variant>
      <vt:variant>
        <vt:i4>0</vt:i4>
      </vt:variant>
      <vt:variant>
        <vt:i4>5</vt:i4>
      </vt:variant>
      <vt:variant>
        <vt:lpwstr>http://www.nevo.co.il/case/20033641</vt:lpwstr>
      </vt:variant>
      <vt:variant>
        <vt:lpwstr/>
      </vt:variant>
      <vt:variant>
        <vt:i4>3276918</vt:i4>
      </vt:variant>
      <vt:variant>
        <vt:i4>36</vt:i4>
      </vt:variant>
      <vt:variant>
        <vt:i4>0</vt:i4>
      </vt:variant>
      <vt:variant>
        <vt:i4>5</vt:i4>
      </vt:variant>
      <vt:variant>
        <vt:lpwstr>http://www.nevo.co.il/case/13101134</vt:lpwstr>
      </vt:variant>
      <vt:variant>
        <vt:lpwstr/>
      </vt:variant>
      <vt:variant>
        <vt:i4>4128884</vt:i4>
      </vt:variant>
      <vt:variant>
        <vt:i4>33</vt:i4>
      </vt:variant>
      <vt:variant>
        <vt:i4>0</vt:i4>
      </vt:variant>
      <vt:variant>
        <vt:i4>5</vt:i4>
      </vt:variant>
      <vt:variant>
        <vt:lpwstr>http://www.nevo.co.il/case/17954235</vt:lpwstr>
      </vt:variant>
      <vt:variant>
        <vt:lpwstr/>
      </vt:variant>
      <vt:variant>
        <vt:i4>3145849</vt:i4>
      </vt:variant>
      <vt:variant>
        <vt:i4>30</vt:i4>
      </vt:variant>
      <vt:variant>
        <vt:i4>0</vt:i4>
      </vt:variant>
      <vt:variant>
        <vt:i4>5</vt:i4>
      </vt:variant>
      <vt:variant>
        <vt:lpwstr>http://www.nevo.co.il/case/13093721</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6553702</vt:i4>
      </vt:variant>
      <vt:variant>
        <vt:i4>24</vt:i4>
      </vt:variant>
      <vt:variant>
        <vt:i4>0</vt:i4>
      </vt:variant>
      <vt:variant>
        <vt:i4>5</vt:i4>
      </vt:variant>
      <vt:variant>
        <vt:lpwstr>http://www.nevo.co.il/law/70301/31</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10108</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סטיב סייפו</vt:lpwstr>
  </property>
  <property fmtid="{D5CDD505-2E9C-101B-9397-08002B2CF9AE}" pid="10" name="LAWYER">
    <vt:lpwstr>שחר לדובסקי;יפתח רפאלי</vt:lpwstr>
  </property>
  <property fmtid="{D5CDD505-2E9C-101B-9397-08002B2CF9AE}" pid="11" name="JUDGE">
    <vt:lpwstr>זהר דיבון סגל</vt:lpwstr>
  </property>
  <property fmtid="{D5CDD505-2E9C-101B-9397-08002B2CF9AE}" pid="12" name="CITY">
    <vt:lpwstr>רח'</vt:lpwstr>
  </property>
  <property fmtid="{D5CDD505-2E9C-101B-9397-08002B2CF9AE}" pid="13" name="DATE">
    <vt:lpwstr>20220911</vt:lpwstr>
  </property>
  <property fmtid="{D5CDD505-2E9C-101B-9397-08002B2CF9AE}" pid="14" name="TYPE_N_DATE">
    <vt:lpwstr>38020220911</vt:lpwstr>
  </property>
  <property fmtid="{D5CDD505-2E9C-101B-9397-08002B2CF9AE}" pid="15" name="WORDNUMPAGES">
    <vt:lpwstr>11</vt:lpwstr>
  </property>
  <property fmtid="{D5CDD505-2E9C-101B-9397-08002B2CF9AE}" pid="16" name="TYPE_ABS_DATE">
    <vt:lpwstr>380020220911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13093721;17954235;13101134;20033641;5786821;6045416;17939812;11269774;5738608;27418462;27426494;26538247;25599088;24881270;25179718;21015131;23597019;25203841;25439387;21731698;21472690</vt:lpwstr>
  </property>
  <property fmtid="{D5CDD505-2E9C-101B-9397-08002B2CF9AE}" pid="36" name="LAWLISTTMP1">
    <vt:lpwstr>4216/013:2;019.a:2</vt:lpwstr>
  </property>
  <property fmtid="{D5CDD505-2E9C-101B-9397-08002B2CF9AE}" pid="37" name="LAWLISTTMP2">
    <vt:lpwstr>70301/031;40ja</vt:lpwstr>
  </property>
</Properties>
</file>