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5"/>
        <w:gridCol w:w="3664"/>
        <w:gridCol w:w="99"/>
      </w:tblGrid>
      <w:tr w:rsidR="00CE33E3" w:rsidRPr="00647B06" w14:paraId="274A8B92" w14:textId="77777777" w:rsidTr="00186CFC">
        <w:trPr>
          <w:gridAfter w:val="1"/>
          <w:wAfter w:w="99" w:type="dxa"/>
          <w:trHeight w:hRule="exact" w:val="418"/>
          <w:jc w:val="center"/>
        </w:trPr>
        <w:tc>
          <w:tcPr>
            <w:tcW w:w="8721" w:type="dxa"/>
            <w:gridSpan w:val="4"/>
          </w:tcPr>
          <w:p w14:paraId="4217D4C6" w14:textId="77777777" w:rsidR="00CE33E3" w:rsidRPr="00647B06" w:rsidRDefault="00CE33E3" w:rsidP="00BF4E91">
            <w:pPr>
              <w:pStyle w:val="a3"/>
              <w:jc w:val="center"/>
              <w:rPr>
                <w:rFonts w:ascii="Tahoma" w:hAnsi="Tahoma" w:cs="Tahoma"/>
                <w:color w:val="000080"/>
                <w:rtl/>
              </w:rPr>
            </w:pPr>
            <w:bookmarkStart w:id="0" w:name="LastJudge"/>
            <w:r w:rsidRPr="00647B06">
              <w:rPr>
                <w:rFonts w:ascii="Tahoma" w:hAnsi="Tahoma" w:cs="Tahoma"/>
                <w:b/>
                <w:bCs/>
                <w:color w:val="000080"/>
                <w:rtl/>
              </w:rPr>
              <w:t>בית משפט השלום בפתח תקווה</w:t>
            </w:r>
          </w:p>
        </w:tc>
      </w:tr>
      <w:tr w:rsidR="00CE33E3" w:rsidRPr="00647B06" w14:paraId="63D41C41" w14:textId="77777777" w:rsidTr="00186CFC">
        <w:trPr>
          <w:gridAfter w:val="1"/>
          <w:wAfter w:w="99" w:type="dxa"/>
          <w:trHeight w:val="337"/>
          <w:jc w:val="center"/>
        </w:trPr>
        <w:tc>
          <w:tcPr>
            <w:tcW w:w="5057" w:type="dxa"/>
            <w:gridSpan w:val="3"/>
          </w:tcPr>
          <w:p w14:paraId="71D91922" w14:textId="77777777" w:rsidR="00CE33E3" w:rsidRPr="00647B06" w:rsidRDefault="00CE33E3" w:rsidP="00BF4E91">
            <w:pPr>
              <w:rPr>
                <w:rFonts w:cs="FrankRuehl"/>
                <w:sz w:val="28"/>
                <w:szCs w:val="28"/>
                <w:rtl/>
              </w:rPr>
            </w:pPr>
            <w:r w:rsidRPr="00647B06">
              <w:rPr>
                <w:rFonts w:cs="FrankRuehl"/>
                <w:sz w:val="28"/>
                <w:szCs w:val="28"/>
                <w:rtl/>
              </w:rPr>
              <w:t>ת"פ</w:t>
            </w:r>
            <w:r w:rsidRPr="00647B06">
              <w:rPr>
                <w:rFonts w:cs="FrankRuehl" w:hint="cs"/>
                <w:sz w:val="28"/>
                <w:szCs w:val="28"/>
                <w:rtl/>
              </w:rPr>
              <w:t xml:space="preserve"> </w:t>
            </w:r>
            <w:r w:rsidRPr="00647B06">
              <w:rPr>
                <w:rFonts w:cs="FrankRuehl"/>
                <w:sz w:val="28"/>
                <w:szCs w:val="28"/>
                <w:rtl/>
              </w:rPr>
              <w:t>22978-11-21</w:t>
            </w:r>
            <w:r w:rsidRPr="00647B06">
              <w:rPr>
                <w:rFonts w:cs="FrankRuehl" w:hint="cs"/>
                <w:sz w:val="28"/>
                <w:szCs w:val="28"/>
                <w:rtl/>
              </w:rPr>
              <w:t xml:space="preserve"> </w:t>
            </w:r>
            <w:r w:rsidRPr="00647B06">
              <w:rPr>
                <w:rFonts w:cs="FrankRuehl"/>
                <w:sz w:val="28"/>
                <w:szCs w:val="28"/>
                <w:rtl/>
              </w:rPr>
              <w:t>מדינת ישראל נ' יעקב(עציר)</w:t>
            </w:r>
          </w:p>
          <w:p w14:paraId="30A616ED" w14:textId="77777777" w:rsidR="00CE33E3" w:rsidRPr="00647B06" w:rsidRDefault="00CE33E3" w:rsidP="00BF4E91">
            <w:pPr>
              <w:pStyle w:val="a3"/>
              <w:rPr>
                <w:rFonts w:cs="FrankRuehl"/>
                <w:sz w:val="28"/>
                <w:szCs w:val="28"/>
                <w:rtl/>
              </w:rPr>
            </w:pPr>
          </w:p>
        </w:tc>
        <w:tc>
          <w:tcPr>
            <w:tcW w:w="3664" w:type="dxa"/>
          </w:tcPr>
          <w:p w14:paraId="6ECA5963" w14:textId="77777777" w:rsidR="00CE33E3" w:rsidRPr="00647B06" w:rsidRDefault="00CE33E3" w:rsidP="00BF4E91">
            <w:pPr>
              <w:pStyle w:val="a3"/>
              <w:jc w:val="right"/>
              <w:rPr>
                <w:rFonts w:cs="FrankRuehl"/>
                <w:sz w:val="28"/>
                <w:szCs w:val="28"/>
                <w:rtl/>
              </w:rPr>
            </w:pPr>
          </w:p>
        </w:tc>
      </w:tr>
      <w:tr w:rsidR="00CE33E3" w:rsidRPr="00647B06" w14:paraId="13377D6F" w14:textId="77777777" w:rsidTr="00186C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B4CDC07" w14:textId="77777777" w:rsidR="00CE33E3" w:rsidRPr="00647B06" w:rsidRDefault="00CE33E3" w:rsidP="00CE33E3">
            <w:pPr>
              <w:jc w:val="both"/>
              <w:rPr>
                <w:rFonts w:ascii="David" w:hAnsi="David"/>
                <w:sz w:val="26"/>
                <w:szCs w:val="26"/>
              </w:rPr>
            </w:pPr>
            <w:r w:rsidRPr="00647B06">
              <w:rPr>
                <w:rFonts w:hint="cs"/>
                <w:rtl/>
              </w:rPr>
              <w:t xml:space="preserve"> </w:t>
            </w:r>
            <w:r w:rsidRPr="00647B06">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2EA1E065" w14:textId="77777777" w:rsidR="00CE33E3" w:rsidRPr="00647B06" w:rsidRDefault="00CE33E3" w:rsidP="00BF4E91">
            <w:pPr>
              <w:rPr>
                <w:rFonts w:ascii="David" w:hAnsi="David"/>
                <w:b/>
                <w:bCs/>
                <w:sz w:val="26"/>
                <w:szCs w:val="26"/>
                <w:rtl/>
              </w:rPr>
            </w:pPr>
            <w:r w:rsidRPr="00647B06">
              <w:rPr>
                <w:rFonts w:ascii="David" w:hAnsi="David"/>
                <w:b/>
                <w:bCs/>
                <w:sz w:val="26"/>
                <w:szCs w:val="26"/>
                <w:rtl/>
              </w:rPr>
              <w:t>כבוד השופט  דרור קלייטמן</w:t>
            </w:r>
          </w:p>
          <w:p w14:paraId="132A5318" w14:textId="77777777" w:rsidR="00CE33E3" w:rsidRPr="00647B06" w:rsidRDefault="00CE33E3" w:rsidP="00BF4E91">
            <w:pPr>
              <w:rPr>
                <w:rFonts w:ascii="David" w:hAnsi="David"/>
                <w:sz w:val="26"/>
                <w:szCs w:val="26"/>
                <w:rtl/>
              </w:rPr>
            </w:pPr>
          </w:p>
          <w:p w14:paraId="59C26F5F" w14:textId="77777777" w:rsidR="00CE33E3" w:rsidRPr="00647B06" w:rsidRDefault="00CE33E3" w:rsidP="00CE33E3">
            <w:pPr>
              <w:jc w:val="both"/>
              <w:rPr>
                <w:rFonts w:ascii="David" w:hAnsi="David"/>
                <w:sz w:val="26"/>
                <w:szCs w:val="26"/>
              </w:rPr>
            </w:pPr>
          </w:p>
        </w:tc>
      </w:tr>
      <w:tr w:rsidR="00CE33E3" w:rsidRPr="00647B06" w14:paraId="5F50A6E4" w14:textId="77777777" w:rsidTr="00186C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2D3D0B5" w14:textId="77777777" w:rsidR="00CE33E3" w:rsidRPr="00647B06" w:rsidRDefault="00CE33E3" w:rsidP="00CE33E3">
            <w:pPr>
              <w:jc w:val="both"/>
              <w:rPr>
                <w:rFonts w:ascii="David" w:hAnsi="David"/>
                <w:sz w:val="26"/>
                <w:szCs w:val="26"/>
              </w:rPr>
            </w:pPr>
            <w:bookmarkStart w:id="1" w:name="FirstAppellant"/>
            <w:bookmarkStart w:id="2" w:name="FirstLawyer"/>
            <w:r w:rsidRPr="00647B06">
              <w:rPr>
                <w:rFonts w:ascii="David" w:hAnsi="David"/>
                <w:sz w:val="26"/>
                <w:szCs w:val="26"/>
                <w:rtl/>
              </w:rPr>
              <w:t>בעניין:</w:t>
            </w:r>
          </w:p>
        </w:tc>
        <w:tc>
          <w:tcPr>
            <w:tcW w:w="3219" w:type="dxa"/>
            <w:tcBorders>
              <w:top w:val="nil"/>
              <w:left w:val="nil"/>
              <w:bottom w:val="nil"/>
              <w:right w:val="nil"/>
            </w:tcBorders>
            <w:shd w:val="clear" w:color="auto" w:fill="auto"/>
          </w:tcPr>
          <w:p w14:paraId="22FA913D" w14:textId="77777777" w:rsidR="00CE33E3" w:rsidRPr="00647B06" w:rsidRDefault="00CE33E3" w:rsidP="00CE33E3">
            <w:pPr>
              <w:suppressLineNumbers/>
            </w:pPr>
            <w:r w:rsidRPr="00647B06">
              <w:rPr>
                <w:rFonts w:ascii="Arial" w:hAnsi="Arial" w:hint="cs"/>
                <w:b/>
                <w:bCs/>
                <w:sz w:val="26"/>
                <w:szCs w:val="26"/>
                <w:rtl/>
              </w:rPr>
              <w:t>ה</w:t>
            </w:r>
            <w:r w:rsidRPr="00647B06">
              <w:rPr>
                <w:rFonts w:ascii="Arial" w:hAnsi="Arial"/>
                <w:b/>
                <w:bCs/>
                <w:sz w:val="26"/>
                <w:szCs w:val="26"/>
                <w:rtl/>
              </w:rPr>
              <w:t>מאשימה</w:t>
            </w:r>
          </w:p>
          <w:p w14:paraId="01A290B4" w14:textId="77777777" w:rsidR="00CE33E3" w:rsidRPr="00647B06" w:rsidRDefault="00CE33E3" w:rsidP="00BF4E91">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5495FE10" w14:textId="77777777" w:rsidR="00CE33E3" w:rsidRPr="00647B06" w:rsidRDefault="00CE33E3" w:rsidP="00CE33E3">
            <w:pPr>
              <w:suppressLineNumbers/>
            </w:pPr>
            <w:r w:rsidRPr="00647B06">
              <w:rPr>
                <w:rFonts w:ascii="Arial" w:hAnsi="Arial"/>
                <w:b/>
                <w:bCs/>
                <w:sz w:val="26"/>
                <w:szCs w:val="26"/>
                <w:rtl/>
              </w:rPr>
              <w:t>מדינת ישראל</w:t>
            </w:r>
          </w:p>
          <w:p w14:paraId="1940A041" w14:textId="77777777" w:rsidR="00CE33E3" w:rsidRPr="00647B06" w:rsidRDefault="00CE33E3" w:rsidP="00BF4E91">
            <w:pPr>
              <w:rPr>
                <w:rFonts w:ascii="David" w:hAnsi="David"/>
                <w:sz w:val="26"/>
                <w:szCs w:val="26"/>
              </w:rPr>
            </w:pPr>
            <w:r w:rsidRPr="00647B06">
              <w:rPr>
                <w:rFonts w:ascii="David" w:hAnsi="David" w:hint="cs"/>
                <w:sz w:val="26"/>
                <w:szCs w:val="26"/>
                <w:rtl/>
              </w:rPr>
              <w:t xml:space="preserve">באמצעות ב"כ עו"ד בר נמרי </w:t>
            </w:r>
            <w:r w:rsidRPr="00647B06">
              <w:rPr>
                <w:rFonts w:ascii="David" w:hAnsi="David"/>
                <w:sz w:val="26"/>
                <w:szCs w:val="26"/>
                <w:rtl/>
              </w:rPr>
              <w:t>–</w:t>
            </w:r>
            <w:r w:rsidRPr="00647B06">
              <w:rPr>
                <w:rFonts w:ascii="David" w:hAnsi="David" w:hint="cs"/>
                <w:sz w:val="26"/>
                <w:szCs w:val="26"/>
                <w:rtl/>
              </w:rPr>
              <w:t xml:space="preserve"> לשכת תביעות פתח תקווה</w:t>
            </w:r>
          </w:p>
        </w:tc>
      </w:tr>
      <w:bookmarkEnd w:id="1"/>
      <w:bookmarkEnd w:id="2"/>
      <w:tr w:rsidR="00CE33E3" w:rsidRPr="00647B06" w14:paraId="065F3913" w14:textId="77777777" w:rsidTr="00186C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41F6B65" w14:textId="77777777" w:rsidR="00CE33E3" w:rsidRPr="00647B06" w:rsidRDefault="00CE33E3" w:rsidP="00CE33E3">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3467D11E" w14:textId="77777777" w:rsidR="00CE33E3" w:rsidRPr="00647B06" w:rsidRDefault="00CE33E3" w:rsidP="00CE33E3">
            <w:pPr>
              <w:jc w:val="center"/>
              <w:rPr>
                <w:rFonts w:ascii="David" w:hAnsi="David"/>
                <w:b/>
                <w:bCs/>
                <w:sz w:val="26"/>
                <w:szCs w:val="26"/>
                <w:rtl/>
              </w:rPr>
            </w:pPr>
          </w:p>
          <w:p w14:paraId="0DCE340F" w14:textId="77777777" w:rsidR="00CE33E3" w:rsidRPr="00647B06" w:rsidRDefault="00CE33E3" w:rsidP="00CE33E3">
            <w:pPr>
              <w:jc w:val="center"/>
              <w:rPr>
                <w:rFonts w:ascii="David" w:hAnsi="David"/>
                <w:b/>
                <w:bCs/>
                <w:sz w:val="26"/>
                <w:szCs w:val="26"/>
                <w:rtl/>
              </w:rPr>
            </w:pPr>
            <w:r w:rsidRPr="00647B06">
              <w:rPr>
                <w:rFonts w:ascii="David" w:hAnsi="David"/>
                <w:b/>
                <w:bCs/>
                <w:sz w:val="26"/>
                <w:szCs w:val="26"/>
                <w:rtl/>
              </w:rPr>
              <w:t>נגד</w:t>
            </w:r>
          </w:p>
          <w:p w14:paraId="3AAFD3DB" w14:textId="77777777" w:rsidR="00CE33E3" w:rsidRPr="00647B06" w:rsidRDefault="00CE33E3" w:rsidP="00CE33E3">
            <w:pPr>
              <w:jc w:val="both"/>
              <w:rPr>
                <w:rFonts w:ascii="David" w:hAnsi="David"/>
                <w:sz w:val="26"/>
                <w:szCs w:val="26"/>
              </w:rPr>
            </w:pPr>
          </w:p>
        </w:tc>
      </w:tr>
      <w:tr w:rsidR="00CE33E3" w:rsidRPr="00647B06" w14:paraId="146DCF0F" w14:textId="77777777" w:rsidTr="00186C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E1D5071" w14:textId="77777777" w:rsidR="00CE33E3" w:rsidRPr="00647B06" w:rsidRDefault="00CE33E3" w:rsidP="00BF4E91">
            <w:pPr>
              <w:rPr>
                <w:rFonts w:ascii="David" w:hAnsi="David"/>
                <w:sz w:val="26"/>
                <w:szCs w:val="26"/>
                <w:rtl/>
              </w:rPr>
            </w:pPr>
          </w:p>
        </w:tc>
        <w:tc>
          <w:tcPr>
            <w:tcW w:w="3219" w:type="dxa"/>
            <w:tcBorders>
              <w:top w:val="nil"/>
              <w:left w:val="nil"/>
              <w:bottom w:val="nil"/>
              <w:right w:val="nil"/>
            </w:tcBorders>
            <w:shd w:val="clear" w:color="auto" w:fill="auto"/>
          </w:tcPr>
          <w:p w14:paraId="15A3BDEB" w14:textId="77777777" w:rsidR="00CE33E3" w:rsidRPr="00647B06" w:rsidRDefault="00CE33E3" w:rsidP="00BF4E91">
            <w:pPr>
              <w:rPr>
                <w:rFonts w:ascii="Arial" w:hAnsi="Arial"/>
                <w:b/>
                <w:bCs/>
                <w:sz w:val="26"/>
                <w:szCs w:val="26"/>
                <w:rtl/>
              </w:rPr>
            </w:pPr>
            <w:r w:rsidRPr="00647B06">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45B9A30F" w14:textId="77777777" w:rsidR="00CE33E3" w:rsidRPr="00647B06" w:rsidRDefault="00CE33E3" w:rsidP="00CE33E3">
            <w:pPr>
              <w:suppressLineNumbers/>
            </w:pPr>
            <w:r w:rsidRPr="00647B06">
              <w:rPr>
                <w:rFonts w:ascii="Arial" w:hAnsi="Arial"/>
                <w:b/>
                <w:bCs/>
                <w:sz w:val="26"/>
                <w:szCs w:val="26"/>
                <w:rtl/>
              </w:rPr>
              <w:t>תפרי רן יעקב (עציר)</w:t>
            </w:r>
          </w:p>
          <w:p w14:paraId="7DB1433F" w14:textId="77777777" w:rsidR="00CE33E3" w:rsidRPr="00647B06" w:rsidRDefault="00CE33E3" w:rsidP="00BF4E91">
            <w:pPr>
              <w:rPr>
                <w:rFonts w:ascii="David" w:hAnsi="David"/>
                <w:sz w:val="26"/>
                <w:szCs w:val="26"/>
              </w:rPr>
            </w:pPr>
            <w:r w:rsidRPr="00647B06">
              <w:rPr>
                <w:rFonts w:ascii="David" w:hAnsi="David" w:hint="cs"/>
                <w:sz w:val="26"/>
                <w:szCs w:val="26"/>
                <w:rtl/>
              </w:rPr>
              <w:t>באמצעות ב"כ עו"ד אורנית מרום</w:t>
            </w:r>
          </w:p>
        </w:tc>
      </w:tr>
    </w:tbl>
    <w:p w14:paraId="53AD4000" w14:textId="77777777" w:rsidR="00186CFC" w:rsidRDefault="00186CFC" w:rsidP="00647B06">
      <w:pPr>
        <w:rPr>
          <w:sz w:val="26"/>
          <w:szCs w:val="26"/>
          <w:rtl/>
        </w:rPr>
      </w:pPr>
    </w:p>
    <w:p w14:paraId="387D19C4" w14:textId="77777777" w:rsidR="00186CFC" w:rsidRPr="00186CFC" w:rsidRDefault="00186CFC" w:rsidP="00186CFC">
      <w:pPr>
        <w:spacing w:after="120" w:line="240" w:lineRule="exact"/>
        <w:ind w:left="283" w:hanging="283"/>
        <w:jc w:val="both"/>
        <w:rPr>
          <w:rFonts w:ascii="FrankRuehl" w:hAnsi="FrankRuehl" w:cs="FrankRuehl"/>
          <w:rtl/>
        </w:rPr>
      </w:pPr>
    </w:p>
    <w:p w14:paraId="32523EE8" w14:textId="77777777" w:rsidR="00F422C4" w:rsidRPr="00F422C4" w:rsidRDefault="00F422C4" w:rsidP="00F422C4">
      <w:pPr>
        <w:spacing w:before="120" w:after="120" w:line="240" w:lineRule="exact"/>
        <w:ind w:left="283" w:hanging="283"/>
        <w:jc w:val="both"/>
        <w:rPr>
          <w:rFonts w:ascii="FrankRuehl" w:hAnsi="FrankRuehl" w:cs="FrankRuehl"/>
          <w:rtl/>
        </w:rPr>
      </w:pPr>
    </w:p>
    <w:p w14:paraId="184427CB" w14:textId="77777777" w:rsidR="00655914" w:rsidRDefault="00655914" w:rsidP="00655914">
      <w:pPr>
        <w:rPr>
          <w:sz w:val="26"/>
          <w:szCs w:val="26"/>
          <w:rtl/>
        </w:rPr>
      </w:pPr>
      <w:bookmarkStart w:id="3" w:name="LawTable"/>
      <w:bookmarkEnd w:id="3"/>
    </w:p>
    <w:p w14:paraId="09B7649A" w14:textId="77777777" w:rsidR="00655914" w:rsidRPr="00655914" w:rsidRDefault="00655914" w:rsidP="00655914">
      <w:pPr>
        <w:spacing w:before="120" w:after="120" w:line="240" w:lineRule="exact"/>
        <w:ind w:left="283" w:hanging="283"/>
        <w:jc w:val="both"/>
        <w:rPr>
          <w:rFonts w:ascii="FrankRuehl" w:hAnsi="FrankRuehl" w:cs="FrankRuehl"/>
          <w:rtl/>
        </w:rPr>
      </w:pPr>
    </w:p>
    <w:p w14:paraId="5B9B10DB" w14:textId="77777777" w:rsidR="00655914" w:rsidRPr="00655914" w:rsidRDefault="00655914" w:rsidP="00655914">
      <w:pPr>
        <w:spacing w:before="120" w:after="120" w:line="240" w:lineRule="exact"/>
        <w:ind w:left="283" w:hanging="283"/>
        <w:jc w:val="both"/>
        <w:rPr>
          <w:rFonts w:ascii="FrankRuehl" w:hAnsi="FrankRuehl" w:cs="FrankRuehl"/>
          <w:rtl/>
        </w:rPr>
      </w:pPr>
    </w:p>
    <w:p w14:paraId="66E28224" w14:textId="77777777" w:rsidR="00655914" w:rsidRPr="00655914" w:rsidRDefault="00655914" w:rsidP="00655914">
      <w:pPr>
        <w:spacing w:before="120" w:after="120" w:line="240" w:lineRule="exact"/>
        <w:ind w:left="283" w:hanging="283"/>
        <w:jc w:val="both"/>
        <w:rPr>
          <w:rFonts w:ascii="FrankRuehl" w:hAnsi="FrankRuehl" w:cs="FrankRuehl"/>
          <w:rtl/>
        </w:rPr>
      </w:pPr>
      <w:r w:rsidRPr="00655914">
        <w:rPr>
          <w:rFonts w:ascii="FrankRuehl" w:hAnsi="FrankRuehl" w:cs="FrankRuehl"/>
          <w:rtl/>
        </w:rPr>
        <w:t xml:space="preserve">חקיקה שאוזכרה: </w:t>
      </w:r>
    </w:p>
    <w:p w14:paraId="1AA77E17" w14:textId="77777777" w:rsidR="00655914" w:rsidRPr="00655914" w:rsidRDefault="00655914" w:rsidP="00655914">
      <w:pPr>
        <w:spacing w:before="120" w:after="120" w:line="240" w:lineRule="exact"/>
        <w:ind w:left="283" w:hanging="283"/>
        <w:jc w:val="both"/>
        <w:rPr>
          <w:rFonts w:ascii="FrankRuehl" w:hAnsi="FrankRuehl" w:cs="FrankRuehl"/>
          <w:rtl/>
        </w:rPr>
      </w:pPr>
      <w:hyperlink r:id="rId7" w:history="1">
        <w:r w:rsidRPr="00655914">
          <w:rPr>
            <w:rFonts w:ascii="FrankRuehl" w:hAnsi="FrankRuehl" w:cs="FrankRuehl"/>
            <w:color w:val="0000FF"/>
            <w:rtl/>
          </w:rPr>
          <w:t>פקודת הסמים המסוכנים [נוסח חדש], תשל"ג-1973</w:t>
        </w:r>
      </w:hyperlink>
      <w:r w:rsidRPr="00655914">
        <w:rPr>
          <w:rFonts w:ascii="FrankRuehl" w:hAnsi="FrankRuehl" w:cs="FrankRuehl"/>
          <w:rtl/>
        </w:rPr>
        <w:t xml:space="preserve">: סע'  </w:t>
      </w:r>
      <w:hyperlink r:id="rId8" w:history="1">
        <w:r w:rsidRPr="00655914">
          <w:rPr>
            <w:rFonts w:ascii="FrankRuehl" w:hAnsi="FrankRuehl" w:cs="FrankRuehl"/>
            <w:color w:val="0000FF"/>
            <w:rtl/>
          </w:rPr>
          <w:t>7.א.</w:t>
        </w:r>
      </w:hyperlink>
      <w:r w:rsidRPr="00655914">
        <w:rPr>
          <w:rFonts w:ascii="FrankRuehl" w:hAnsi="FrankRuehl" w:cs="FrankRuehl"/>
          <w:rtl/>
        </w:rPr>
        <w:t xml:space="preserve">, </w:t>
      </w:r>
      <w:hyperlink r:id="rId9" w:history="1">
        <w:r w:rsidRPr="00655914">
          <w:rPr>
            <w:rFonts w:ascii="FrankRuehl" w:hAnsi="FrankRuehl" w:cs="FrankRuehl"/>
            <w:color w:val="0000FF"/>
            <w:rtl/>
          </w:rPr>
          <w:t>7.ג</w:t>
        </w:r>
      </w:hyperlink>
      <w:r w:rsidRPr="00655914">
        <w:rPr>
          <w:rFonts w:ascii="FrankRuehl" w:hAnsi="FrankRuehl" w:cs="FrankRuehl"/>
          <w:rtl/>
        </w:rPr>
        <w:t xml:space="preserve">, </w:t>
      </w:r>
      <w:hyperlink r:id="rId10" w:history="1">
        <w:r w:rsidRPr="00655914">
          <w:rPr>
            <w:rFonts w:ascii="FrankRuehl" w:hAnsi="FrankRuehl" w:cs="FrankRuehl"/>
            <w:color w:val="0000FF"/>
            <w:rtl/>
          </w:rPr>
          <w:t>13</w:t>
        </w:r>
      </w:hyperlink>
      <w:r w:rsidRPr="00655914">
        <w:rPr>
          <w:rFonts w:ascii="FrankRuehl" w:hAnsi="FrankRuehl" w:cs="FrankRuehl"/>
          <w:rtl/>
        </w:rPr>
        <w:t xml:space="preserve">, </w:t>
      </w:r>
      <w:hyperlink r:id="rId11" w:history="1">
        <w:r w:rsidRPr="00655914">
          <w:rPr>
            <w:rFonts w:ascii="FrankRuehl" w:hAnsi="FrankRuehl" w:cs="FrankRuehl"/>
            <w:color w:val="0000FF"/>
            <w:rtl/>
          </w:rPr>
          <w:t>19א</w:t>
        </w:r>
      </w:hyperlink>
    </w:p>
    <w:p w14:paraId="269CF81F" w14:textId="77777777" w:rsidR="00655914" w:rsidRPr="00655914" w:rsidRDefault="00655914" w:rsidP="00655914">
      <w:pPr>
        <w:rPr>
          <w:sz w:val="26"/>
          <w:szCs w:val="26"/>
          <w:rtl/>
        </w:rPr>
      </w:pPr>
      <w:bookmarkStart w:id="4" w:name="LawTable_End"/>
      <w:bookmarkEnd w:id="4"/>
    </w:p>
    <w:p w14:paraId="6EE786D7" w14:textId="77777777" w:rsidR="00CE33E3" w:rsidRPr="00F422C4" w:rsidRDefault="00CE33E3" w:rsidP="00F422C4">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E33E3" w14:paraId="658062FA" w14:textId="77777777" w:rsidTr="00CE33E3">
        <w:trPr>
          <w:trHeight w:val="355"/>
          <w:jc w:val="center"/>
        </w:trPr>
        <w:tc>
          <w:tcPr>
            <w:tcW w:w="8820" w:type="dxa"/>
            <w:tcBorders>
              <w:top w:val="nil"/>
              <w:left w:val="nil"/>
              <w:bottom w:val="nil"/>
              <w:right w:val="nil"/>
            </w:tcBorders>
            <w:shd w:val="clear" w:color="auto" w:fill="auto"/>
          </w:tcPr>
          <w:p w14:paraId="432CCE2E" w14:textId="77777777" w:rsidR="00647B06" w:rsidRPr="00647B06" w:rsidRDefault="00647B06" w:rsidP="00647B06">
            <w:pPr>
              <w:jc w:val="center"/>
              <w:rPr>
                <w:rFonts w:ascii="David" w:hAnsi="David"/>
                <w:b/>
                <w:bCs/>
                <w:sz w:val="32"/>
                <w:szCs w:val="32"/>
                <w:u w:val="single"/>
                <w:rtl/>
              </w:rPr>
            </w:pPr>
            <w:bookmarkStart w:id="5" w:name="PsakDin" w:colFirst="0" w:colLast="0"/>
            <w:bookmarkEnd w:id="0"/>
            <w:r w:rsidRPr="00647B06">
              <w:rPr>
                <w:rFonts w:ascii="David" w:hAnsi="David"/>
                <w:b/>
                <w:bCs/>
                <w:sz w:val="32"/>
                <w:szCs w:val="32"/>
                <w:u w:val="single"/>
                <w:rtl/>
              </w:rPr>
              <w:t>גזר דין</w:t>
            </w:r>
          </w:p>
          <w:p w14:paraId="28EEA017" w14:textId="77777777" w:rsidR="00CE33E3" w:rsidRPr="00647B06" w:rsidRDefault="00CE33E3" w:rsidP="00647B06">
            <w:pPr>
              <w:jc w:val="center"/>
              <w:rPr>
                <w:rFonts w:ascii="David" w:hAnsi="David"/>
                <w:bCs/>
                <w:sz w:val="32"/>
                <w:szCs w:val="32"/>
                <w:u w:val="single"/>
                <w:rtl/>
              </w:rPr>
            </w:pPr>
          </w:p>
        </w:tc>
      </w:tr>
      <w:bookmarkEnd w:id="5"/>
    </w:tbl>
    <w:p w14:paraId="0961FBBF" w14:textId="77777777" w:rsidR="00CE33E3" w:rsidRPr="000F2247" w:rsidRDefault="00CE33E3" w:rsidP="00CE33E3">
      <w:pPr>
        <w:rPr>
          <w:rFonts w:ascii="Arial" w:hAnsi="Arial"/>
          <w:b/>
          <w:bCs/>
          <w:sz w:val="26"/>
          <w:szCs w:val="26"/>
          <w:rtl/>
        </w:rPr>
      </w:pPr>
    </w:p>
    <w:p w14:paraId="0F038995" w14:textId="77777777" w:rsidR="00CE33E3" w:rsidRPr="0049443E" w:rsidRDefault="00CE33E3" w:rsidP="00CE33E3">
      <w:pPr>
        <w:spacing w:after="160" w:line="256" w:lineRule="auto"/>
        <w:rPr>
          <w:rFonts w:ascii="David" w:eastAsia="Calibri" w:hAnsi="David"/>
          <w:b/>
          <w:bCs/>
          <w:u w:val="single"/>
        </w:rPr>
      </w:pPr>
      <w:r w:rsidRPr="0049443E">
        <w:rPr>
          <w:rFonts w:ascii="David" w:eastAsia="Calibri" w:hAnsi="David"/>
          <w:b/>
          <w:bCs/>
          <w:u w:val="single"/>
          <w:rtl/>
        </w:rPr>
        <w:t>רקע</w:t>
      </w:r>
    </w:p>
    <w:p w14:paraId="15C1DFA4" w14:textId="77777777" w:rsidR="00CE33E3" w:rsidRPr="0049443E" w:rsidRDefault="00CE33E3" w:rsidP="00CE33E3">
      <w:pPr>
        <w:spacing w:after="160" w:line="256" w:lineRule="auto"/>
        <w:rPr>
          <w:rFonts w:ascii="David" w:eastAsia="Calibri" w:hAnsi="David"/>
          <w:rtl/>
        </w:rPr>
      </w:pPr>
      <w:bookmarkStart w:id="6" w:name="ABSTRACT_START"/>
      <w:bookmarkEnd w:id="6"/>
    </w:p>
    <w:p w14:paraId="49AD4722" w14:textId="77777777" w:rsidR="00CE33E3" w:rsidRPr="0049443E" w:rsidRDefault="00CE33E3" w:rsidP="00CE33E3">
      <w:pPr>
        <w:numPr>
          <w:ilvl w:val="0"/>
          <w:numId w:val="1"/>
        </w:numPr>
        <w:spacing w:after="160" w:line="480" w:lineRule="auto"/>
        <w:contextualSpacing/>
        <w:jc w:val="both"/>
        <w:rPr>
          <w:rFonts w:ascii="David" w:eastAsia="Calibri" w:hAnsi="David"/>
          <w:rtl/>
        </w:rPr>
      </w:pPr>
      <w:r w:rsidRPr="0049443E">
        <w:rPr>
          <w:rFonts w:ascii="David" w:eastAsia="Calibri" w:hAnsi="David"/>
          <w:rtl/>
        </w:rPr>
        <w:t xml:space="preserve">על יסוד הודאת הנאשם בעובדות כתב האישום המתוקן, הורשע בביצוע עבירות של החזקת סם לצריכה עצמית בהתאם </w:t>
      </w:r>
      <w:hyperlink r:id="rId12" w:history="1">
        <w:r w:rsidR="00186CFC" w:rsidRPr="00186CFC">
          <w:rPr>
            <w:rStyle w:val="Hyperlink"/>
            <w:rFonts w:ascii="David" w:eastAsia="Calibri" w:hAnsi="David"/>
            <w:rtl/>
          </w:rPr>
          <w:t>לסעיף 7(א)+7(ג)</w:t>
        </w:r>
      </w:hyperlink>
      <w:r w:rsidRPr="0049443E">
        <w:rPr>
          <w:rFonts w:ascii="David" w:eastAsia="Calibri" w:hAnsi="David"/>
          <w:rtl/>
        </w:rPr>
        <w:t xml:space="preserve"> סיפא ל</w:t>
      </w:r>
      <w:hyperlink r:id="rId13" w:history="1">
        <w:r w:rsidR="00647B06" w:rsidRPr="00647B06">
          <w:rPr>
            <w:rFonts w:ascii="David" w:eastAsia="Calibri" w:hAnsi="David"/>
            <w:color w:val="0000FF"/>
            <w:u w:val="single"/>
            <w:rtl/>
          </w:rPr>
          <w:t>פקודת הסמים המסוכנים</w:t>
        </w:r>
      </w:hyperlink>
      <w:r w:rsidRPr="0049443E">
        <w:rPr>
          <w:rFonts w:ascii="David" w:eastAsia="Calibri" w:hAnsi="David"/>
          <w:rtl/>
        </w:rPr>
        <w:t xml:space="preserve"> (נוסח חדש) תשל"ג-1973 (</w:t>
      </w:r>
      <w:r w:rsidRPr="0049443E">
        <w:rPr>
          <w:rFonts w:ascii="David" w:eastAsia="Calibri" w:hAnsi="David"/>
          <w:b/>
          <w:bCs/>
          <w:rtl/>
        </w:rPr>
        <w:t>להלן הפקודה</w:t>
      </w:r>
      <w:r w:rsidRPr="0049443E">
        <w:rPr>
          <w:rFonts w:ascii="David" w:eastAsia="Calibri" w:hAnsi="David"/>
          <w:rtl/>
        </w:rPr>
        <w:t xml:space="preserve">). החזקת סם שלא לצריכה עצמית בהתאם </w:t>
      </w:r>
      <w:hyperlink r:id="rId14" w:history="1">
        <w:r w:rsidR="00186CFC" w:rsidRPr="00186CFC">
          <w:rPr>
            <w:rStyle w:val="Hyperlink"/>
            <w:rFonts w:ascii="David" w:eastAsia="Calibri" w:hAnsi="David"/>
            <w:rtl/>
          </w:rPr>
          <w:t>לסעיף 7(א)+7(ג)</w:t>
        </w:r>
      </w:hyperlink>
      <w:r w:rsidRPr="0049443E">
        <w:rPr>
          <w:rFonts w:ascii="David" w:eastAsia="Calibri" w:hAnsi="David"/>
          <w:rtl/>
        </w:rPr>
        <w:t xml:space="preserve"> רישא לפקודה. סחר בסם מסוכן בהתאם </w:t>
      </w:r>
      <w:hyperlink r:id="rId15" w:history="1">
        <w:r w:rsidR="00186CFC" w:rsidRPr="00186CFC">
          <w:rPr>
            <w:rStyle w:val="Hyperlink"/>
            <w:rFonts w:ascii="David" w:eastAsia="Calibri" w:hAnsi="David" w:hint="cs"/>
            <w:rtl/>
          </w:rPr>
          <w:t>לסעיף</w:t>
        </w:r>
        <w:r w:rsidR="00186CFC" w:rsidRPr="00186CFC">
          <w:rPr>
            <w:rStyle w:val="Hyperlink"/>
            <w:rFonts w:ascii="David" w:eastAsia="Calibri" w:hAnsi="David"/>
            <w:rtl/>
          </w:rPr>
          <w:t xml:space="preserve"> 13</w:t>
        </w:r>
      </w:hyperlink>
      <w:r>
        <w:rPr>
          <w:rFonts w:ascii="David" w:eastAsia="Calibri" w:hAnsi="David" w:hint="cs"/>
          <w:rtl/>
        </w:rPr>
        <w:t xml:space="preserve"> + </w:t>
      </w:r>
      <w:hyperlink r:id="rId16" w:history="1">
        <w:r w:rsidR="00186CFC" w:rsidRPr="00186CFC">
          <w:rPr>
            <w:rStyle w:val="Hyperlink"/>
            <w:rFonts w:ascii="David" w:eastAsia="Calibri" w:hAnsi="David"/>
            <w:rtl/>
          </w:rPr>
          <w:t>19א</w:t>
        </w:r>
      </w:hyperlink>
      <w:r w:rsidRPr="0049443E">
        <w:rPr>
          <w:rFonts w:ascii="David" w:eastAsia="Calibri" w:hAnsi="David"/>
          <w:rtl/>
        </w:rPr>
        <w:t xml:space="preserve"> לפקודה (6 עבירות).    </w:t>
      </w:r>
      <w:bookmarkStart w:id="7" w:name="ABSTRACT_END"/>
      <w:bookmarkEnd w:id="7"/>
    </w:p>
    <w:p w14:paraId="178EB1CE" w14:textId="77777777" w:rsidR="00CE33E3" w:rsidRPr="0049443E" w:rsidRDefault="00CE33E3" w:rsidP="00CE33E3">
      <w:pPr>
        <w:numPr>
          <w:ilvl w:val="0"/>
          <w:numId w:val="1"/>
        </w:numPr>
        <w:spacing w:after="160" w:line="480" w:lineRule="auto"/>
        <w:contextualSpacing/>
        <w:jc w:val="both"/>
        <w:rPr>
          <w:rFonts w:ascii="David" w:eastAsia="Calibri" w:hAnsi="David"/>
        </w:rPr>
      </w:pPr>
      <w:r w:rsidRPr="0049443E">
        <w:rPr>
          <w:rFonts w:ascii="David" w:eastAsia="Calibri" w:hAnsi="David"/>
          <w:rtl/>
        </w:rPr>
        <w:t xml:space="preserve">בהתאם לחלק הכללי של כתב האישום המתוקן, במועדים הרלוונטיים לכתב האישום, יצרו לקוחות קשר עם הנאשם וביקשו לרכוש סם מסוכן. באותן נסיבות, תיאם הנאשם עם הלקוחות את פרטי העסקה – סוג וכמות הסם, מחירו וכן את פרטי המשלוח לרבות מקום ביצוע העסקה. בהמשך לאמור, הגיע הנאשם אל מקום ביצוע העסק, כשהוא רכוב על </w:t>
      </w:r>
      <w:r w:rsidRPr="0049443E">
        <w:rPr>
          <w:rFonts w:ascii="David" w:eastAsia="Calibri" w:hAnsi="David"/>
          <w:rtl/>
        </w:rPr>
        <w:lastRenderedPageBreak/>
        <w:t xml:space="preserve">אופניים חשמליים, מסר את הסם ללקוחות והללו מסרו בתמורה את התשלום. לעיתים, שלח הנאשם אחר שזהותו אינה ידועה במדויק למאשימה. </w:t>
      </w:r>
    </w:p>
    <w:p w14:paraId="5847E621" w14:textId="77777777" w:rsidR="00CE33E3" w:rsidRPr="0049443E" w:rsidRDefault="00CE33E3" w:rsidP="00CE33E3">
      <w:pPr>
        <w:numPr>
          <w:ilvl w:val="0"/>
          <w:numId w:val="1"/>
        </w:numPr>
        <w:spacing w:after="160" w:line="480" w:lineRule="auto"/>
        <w:contextualSpacing/>
        <w:jc w:val="both"/>
        <w:rPr>
          <w:rFonts w:ascii="David" w:eastAsia="Calibri" w:hAnsi="David"/>
        </w:rPr>
      </w:pPr>
      <w:r w:rsidRPr="0049443E">
        <w:rPr>
          <w:rFonts w:ascii="David" w:eastAsia="Calibri" w:hAnsi="David"/>
          <w:b/>
          <w:bCs/>
          <w:u w:val="single"/>
          <w:rtl/>
        </w:rPr>
        <w:t>אישום 1</w:t>
      </w:r>
      <w:r w:rsidRPr="0049443E">
        <w:rPr>
          <w:rFonts w:ascii="David" w:eastAsia="Calibri" w:hAnsi="David"/>
          <w:rtl/>
        </w:rPr>
        <w:t xml:space="preserve">: בתאריך 20.10.21 בשעה 19:37 או בסמוך לכך, בגן שעשועים, החזיק הנאשם בסם מסוכן מסוג קנבוס במשקל 10.01 גרם נטו. </w:t>
      </w:r>
    </w:p>
    <w:p w14:paraId="595465F7" w14:textId="77777777" w:rsidR="00CE33E3" w:rsidRPr="0049443E" w:rsidRDefault="00CE33E3" w:rsidP="00CE33E3">
      <w:pPr>
        <w:numPr>
          <w:ilvl w:val="0"/>
          <w:numId w:val="1"/>
        </w:numPr>
        <w:spacing w:after="160" w:line="480" w:lineRule="auto"/>
        <w:contextualSpacing/>
        <w:jc w:val="both"/>
        <w:rPr>
          <w:rFonts w:ascii="David" w:eastAsia="Calibri" w:hAnsi="David"/>
        </w:rPr>
      </w:pPr>
      <w:r w:rsidRPr="0049443E">
        <w:rPr>
          <w:rFonts w:ascii="David" w:eastAsia="Calibri" w:hAnsi="David"/>
          <w:b/>
          <w:bCs/>
          <w:u w:val="single"/>
          <w:rtl/>
        </w:rPr>
        <w:t>אישום 2</w:t>
      </w:r>
      <w:r w:rsidRPr="0049443E">
        <w:rPr>
          <w:rFonts w:ascii="David" w:eastAsia="Calibri" w:hAnsi="David"/>
          <w:rtl/>
        </w:rPr>
        <w:t xml:space="preserve">: בתאריך 7.11.21 בשעה 07:10 או בסמוך לכך, החזיק הנאשם בביתו סם מסוכן מסוג קנבוס במשקל 40.18 גרם נטו ו2.70 גרם נטו סם מסוכן מסוג חשיש. </w:t>
      </w:r>
    </w:p>
    <w:p w14:paraId="15D896BD" w14:textId="77777777" w:rsidR="00CE33E3" w:rsidRPr="0049443E" w:rsidRDefault="00CE33E3" w:rsidP="00CE33E3">
      <w:pPr>
        <w:numPr>
          <w:ilvl w:val="0"/>
          <w:numId w:val="1"/>
        </w:numPr>
        <w:spacing w:after="160" w:line="480" w:lineRule="auto"/>
        <w:contextualSpacing/>
        <w:jc w:val="both"/>
        <w:rPr>
          <w:rFonts w:ascii="David" w:eastAsia="Calibri" w:hAnsi="David"/>
        </w:rPr>
      </w:pPr>
      <w:r w:rsidRPr="0049443E">
        <w:rPr>
          <w:rFonts w:ascii="David" w:eastAsia="Calibri" w:hAnsi="David"/>
          <w:b/>
          <w:bCs/>
          <w:u w:val="single"/>
          <w:rtl/>
        </w:rPr>
        <w:t>אישום 3</w:t>
      </w:r>
      <w:r w:rsidRPr="0049443E">
        <w:rPr>
          <w:rFonts w:ascii="David" w:eastAsia="Calibri" w:hAnsi="David"/>
          <w:rtl/>
        </w:rPr>
        <w:t xml:space="preserve">: בתחילת חודש ספטמבר, יצר הנאשם קשר עם ס.ק קטינה ילידת 2005 והשניים שוחחו וקבעו להיפגש. בהמשך למתואר לעיל, בתאריך 28.9.21 יצרה ס.ק קשר עם הנאשם באמצעות הטלפון וביקשה ממנו סם מסוכן מסוג קנבוס עבור פ.נ. באותן נסיבות, הגיע הנאשם לגינה ציבורית שם פגש בפ.נ ומסר לה סיגריה מגולגלת המכילה סם מסוכן מסוג קנבוס במשקל שאינו ידוע למאשימה. בתאריך 16.10.21 או בסמוך לכך יצרה ס.ק קשר עם הנאשם באמצעות הטלפון וביקשה ממנו סם מסוג קנבוס עבור פ.נ. בהמשך למתואר לעיל, בשעה 22:15 או בסמוך לכך, פגש הנאשם בפ.נ ומסר לה סיגריה מגולגלת המכילה סם מסוכן מסוג קנבוס. </w:t>
      </w:r>
    </w:p>
    <w:p w14:paraId="311B9A9E" w14:textId="77777777" w:rsidR="00CE33E3" w:rsidRPr="0049443E" w:rsidRDefault="00CE33E3" w:rsidP="00CE33E3">
      <w:pPr>
        <w:numPr>
          <w:ilvl w:val="0"/>
          <w:numId w:val="1"/>
        </w:numPr>
        <w:spacing w:after="160" w:line="480" w:lineRule="auto"/>
        <w:contextualSpacing/>
        <w:jc w:val="both"/>
        <w:rPr>
          <w:rFonts w:ascii="David" w:eastAsia="Calibri" w:hAnsi="David"/>
        </w:rPr>
      </w:pPr>
      <w:r w:rsidRPr="0049443E">
        <w:rPr>
          <w:rFonts w:ascii="David" w:eastAsia="Calibri" w:hAnsi="David"/>
          <w:b/>
          <w:bCs/>
          <w:u w:val="single"/>
          <w:rtl/>
        </w:rPr>
        <w:t>אישום 4</w:t>
      </w:r>
      <w:r w:rsidRPr="0049443E">
        <w:rPr>
          <w:rFonts w:ascii="David" w:eastAsia="Calibri" w:hAnsi="David"/>
          <w:rtl/>
        </w:rPr>
        <w:t xml:space="preserve">: בתאריך 15.10.21 בשעה 13:34 או בסמוך לכך, יצר בירהאנו וורקיה קשר עם הנאשם באמצעות הטלפון הנייד ובקש לרכוש סם. באותן נסיבות, פגש הנאשם בבירהאנו, מסר לו סם מסוכן מסוג קנבוס במשקל 1 גרם ובירהאנו מסר לו בתמורה סך של 100 ₪. בהזדמנות נוספת אחת, כחודשיים עובר לתאריך 15.10.21 יצר בירהאנו קשר עם הנאשם וביקש לרכוש סם מסוכן. בהמשך לאמור לעיל, הגיע הנאשם למקום, מסר לבירהאנו סם מסוכן מסוג קנבוס במשקל 1 גרם בכל הזדמנות ובירהאנו מסר לו בתמורה 100 ₪ בכל פעם. </w:t>
      </w:r>
    </w:p>
    <w:p w14:paraId="0B075D98" w14:textId="77777777" w:rsidR="00CE33E3" w:rsidRPr="0049443E" w:rsidRDefault="00CE33E3" w:rsidP="00CE33E3">
      <w:pPr>
        <w:numPr>
          <w:ilvl w:val="0"/>
          <w:numId w:val="1"/>
        </w:numPr>
        <w:spacing w:after="160" w:line="480" w:lineRule="auto"/>
        <w:contextualSpacing/>
        <w:jc w:val="both"/>
        <w:rPr>
          <w:rFonts w:ascii="David" w:eastAsia="Calibri" w:hAnsi="David"/>
        </w:rPr>
      </w:pPr>
      <w:r w:rsidRPr="0049443E">
        <w:rPr>
          <w:rFonts w:ascii="David" w:eastAsia="Calibri" w:hAnsi="David"/>
          <w:rtl/>
        </w:rPr>
        <w:t xml:space="preserve"> </w:t>
      </w:r>
      <w:r w:rsidRPr="0049443E">
        <w:rPr>
          <w:rFonts w:ascii="David" w:eastAsia="Calibri" w:hAnsi="David" w:hint="cs"/>
          <w:b/>
          <w:bCs/>
          <w:u w:val="single"/>
          <w:rtl/>
        </w:rPr>
        <w:t>אישום 5</w:t>
      </w:r>
      <w:r w:rsidRPr="0049443E">
        <w:rPr>
          <w:rFonts w:ascii="David" w:eastAsia="Calibri" w:hAnsi="David" w:hint="cs"/>
          <w:rtl/>
        </w:rPr>
        <w:t xml:space="preserve">: בתאריך 17.10.21 בשעה 0:27 או בסמוך לכך, יצרה טאלדה אמרו קשר עם הנאשם באמצעות הטלפון הנייד וביקשה לרכוש סם מסוכן מסוג קנבוס במשקל 1 גרם. באותן נסיבות, הגיע הנאשם אל סניף דואר בפתח תקווה, פגש בטאלדה, מסר לה סם מסוכן מסוג קנבוס במשקל 1 גרם וטאלדה מסרה לו בתמורה סך של 100 ₪.   </w:t>
      </w:r>
    </w:p>
    <w:p w14:paraId="349E3A8E" w14:textId="77777777" w:rsidR="00CE33E3" w:rsidRPr="0049443E" w:rsidRDefault="00CE33E3" w:rsidP="00CE33E3">
      <w:pPr>
        <w:numPr>
          <w:ilvl w:val="0"/>
          <w:numId w:val="1"/>
        </w:numPr>
        <w:spacing w:after="160" w:line="480" w:lineRule="auto"/>
        <w:contextualSpacing/>
        <w:jc w:val="both"/>
        <w:rPr>
          <w:rFonts w:ascii="David" w:eastAsia="Calibri" w:hAnsi="David"/>
        </w:rPr>
      </w:pPr>
      <w:r w:rsidRPr="0049443E">
        <w:rPr>
          <w:rFonts w:ascii="David" w:eastAsia="Calibri" w:hAnsi="David"/>
          <w:b/>
          <w:bCs/>
          <w:u w:val="single"/>
          <w:rtl/>
        </w:rPr>
        <w:t>אישום 6</w:t>
      </w:r>
      <w:r w:rsidRPr="0049443E">
        <w:rPr>
          <w:rFonts w:ascii="David" w:eastAsia="Calibri" w:hAnsi="David"/>
          <w:rtl/>
        </w:rPr>
        <w:t xml:space="preserve">: בתאריך 14.9.21 בשעה 19:13 או בסמוך לכך, יצר מאור אברה קשר עם הנאשם באמצעות הטלפון הנייד וביקש לרכוש סם מסוכן מסוג קנבוס במשקל 1 גרם. באותן </w:t>
      </w:r>
      <w:r w:rsidRPr="0049443E">
        <w:rPr>
          <w:rFonts w:ascii="David" w:eastAsia="Calibri" w:hAnsi="David"/>
          <w:rtl/>
        </w:rPr>
        <w:lastRenderedPageBreak/>
        <w:t xml:space="preserve">נסיבות, הגיע הנאשם לביתו של מאור ומסר לו סם מסוכן מסוג קנבוס במשקל 1 גרם ומאור מסר לו בתמורה 100 ₪. </w:t>
      </w:r>
    </w:p>
    <w:p w14:paraId="3539251D" w14:textId="77777777" w:rsidR="00CE33E3" w:rsidRPr="0049443E" w:rsidRDefault="00CE33E3" w:rsidP="00CE33E3">
      <w:pPr>
        <w:numPr>
          <w:ilvl w:val="0"/>
          <w:numId w:val="1"/>
        </w:numPr>
        <w:spacing w:after="160" w:line="480" w:lineRule="auto"/>
        <w:contextualSpacing/>
        <w:jc w:val="both"/>
        <w:rPr>
          <w:rFonts w:ascii="David" w:eastAsia="Calibri" w:hAnsi="David"/>
        </w:rPr>
      </w:pPr>
      <w:r w:rsidRPr="0049443E">
        <w:rPr>
          <w:rFonts w:ascii="David" w:eastAsia="Calibri" w:hAnsi="David"/>
          <w:rtl/>
        </w:rPr>
        <w:t xml:space="preserve">במעמד הצגת ההסדר הופנה הנאשם לקבלת תסקיר מטעם שירות המבחן מפאת גילו כאשר חובת התסקיר - קבועה בדין. המאשימה הבהירה כי היא תעתור להשית על הנאשם עונש מאסר ממושך וענישה נלוות. </w:t>
      </w:r>
    </w:p>
    <w:p w14:paraId="6C51A6F8" w14:textId="77777777" w:rsidR="00CE33E3" w:rsidRPr="0049443E" w:rsidRDefault="00CE33E3" w:rsidP="00CE33E3">
      <w:pPr>
        <w:spacing w:after="160" w:line="480" w:lineRule="auto"/>
        <w:jc w:val="both"/>
        <w:rPr>
          <w:rFonts w:ascii="David" w:eastAsia="Calibri" w:hAnsi="David"/>
          <w:b/>
          <w:bCs/>
          <w:u w:val="single"/>
        </w:rPr>
      </w:pPr>
      <w:r w:rsidRPr="0049443E">
        <w:rPr>
          <w:rFonts w:ascii="David" w:eastAsia="Calibri" w:hAnsi="David"/>
          <w:b/>
          <w:bCs/>
          <w:u w:val="single"/>
          <w:rtl/>
        </w:rPr>
        <w:t xml:space="preserve">תסקיר שירות המבחן </w:t>
      </w:r>
    </w:p>
    <w:p w14:paraId="137F6558" w14:textId="77777777" w:rsidR="00CE33E3" w:rsidRPr="0049443E" w:rsidRDefault="00CE33E3" w:rsidP="00CE33E3">
      <w:pPr>
        <w:numPr>
          <w:ilvl w:val="0"/>
          <w:numId w:val="1"/>
        </w:numPr>
        <w:spacing w:after="160" w:line="480" w:lineRule="auto"/>
        <w:contextualSpacing/>
        <w:jc w:val="both"/>
        <w:rPr>
          <w:rFonts w:ascii="David" w:eastAsia="Calibri" w:hAnsi="David"/>
          <w:rtl/>
        </w:rPr>
      </w:pPr>
      <w:r w:rsidRPr="0049443E">
        <w:rPr>
          <w:rFonts w:ascii="David" w:eastAsia="Calibri" w:hAnsi="David"/>
          <w:rtl/>
        </w:rPr>
        <w:t xml:space="preserve">מהתסקיר שהוגש בעניינו של הנאשם מיום 12.6.22, עולה כי הנאשם בן 21, רווק וטרם מעצרו עבד כמחסנאי בסופר מרקט. לחובתו הרשעות קודמות בגין עבירות אלימות וסמים. בגין עבירות אלו הוטל עליו, בין היתר, צו מבחן בבית המשפט לנוער למשך 18 חודשים. במהלך כ-7 שנים שהיה בקשר עם שירות המבחן עבר מספר רב של מסגרות אבחוניות פתוחות וסגורות, בהן התקשה להשתלב ולשתף פעולה. אינו נרתע מההליך המשפטי, שולל נזקקות טיפולית, מתייחס למיוחס לו בהפחתת חומרה. לנוכח התרשמותם מאדם המנהל אורח חיים שולי ועברייני, חומרת וריבוי העבירות והעדר נכונות לטיפול, נמנעו מהמלצה טיפולית שיקומית בעניינו.  </w:t>
      </w:r>
    </w:p>
    <w:p w14:paraId="195F8E27" w14:textId="77777777" w:rsidR="00CE33E3" w:rsidRPr="0049443E" w:rsidRDefault="00CE33E3" w:rsidP="00CE33E3">
      <w:pPr>
        <w:spacing w:after="160" w:line="480" w:lineRule="auto"/>
        <w:jc w:val="both"/>
        <w:rPr>
          <w:rFonts w:ascii="David" w:eastAsia="Calibri" w:hAnsi="David"/>
          <w:b/>
          <w:bCs/>
          <w:u w:val="single"/>
        </w:rPr>
      </w:pPr>
      <w:r w:rsidRPr="0049443E">
        <w:rPr>
          <w:rFonts w:ascii="David" w:eastAsia="Calibri" w:hAnsi="David"/>
          <w:b/>
          <w:bCs/>
          <w:u w:val="single"/>
          <w:rtl/>
        </w:rPr>
        <w:t>טיעוני הצדדים</w:t>
      </w:r>
    </w:p>
    <w:p w14:paraId="01DD35F4" w14:textId="77777777" w:rsidR="00CE33E3" w:rsidRPr="0049443E" w:rsidRDefault="00CE33E3" w:rsidP="00CE33E3">
      <w:pPr>
        <w:numPr>
          <w:ilvl w:val="0"/>
          <w:numId w:val="1"/>
        </w:numPr>
        <w:spacing w:after="160" w:line="480" w:lineRule="auto"/>
        <w:contextualSpacing/>
        <w:jc w:val="both"/>
        <w:rPr>
          <w:rFonts w:ascii="David" w:eastAsia="Calibri" w:hAnsi="David"/>
          <w:rtl/>
        </w:rPr>
      </w:pPr>
      <w:r w:rsidRPr="0049443E">
        <w:rPr>
          <w:rFonts w:ascii="David" w:eastAsia="Calibri" w:hAnsi="David"/>
          <w:rtl/>
        </w:rPr>
        <w:t xml:space="preserve">ב"כ המאשימה, עו"ד בר נמרי, פתחה טיעוניה לעונש בבקשה להכריז על הנאשם כסוחר סמים כנהוג בפסיקה. הצביעה על הערכים המוגנים שנפגעו כתוצאה ממעשיו והם שלום הציבור ובריאות הציבור. הנאשם עסק באופן שיטתי בסמים תוך תכנון מוקדם שערך מול הרוכשים. סבורה כי יש לקבוע מתחם שונה ביחס לכל אישום בשל השוני ברוכשים ובמועדים. ביחס לאישומים 1 ו-2 עתרה למתחם עונש הנע בין מאסר על תנאי למספר חודשי מאסר בפועל. ביחס לאישום 3 סבורה כי מתחם העונש נע בין 8 ל-18 חודשי מאסר וביחס לאישומים 5,6 ו-7 סבורה כי מתחם העונש נע בין 5 ל-15 חודשי מאסר. באשר לנסיבות שאינן קשורות לביצוע העבירה, טענה כי הנאשם יליד שנת 2000, לחובתו רישום ללא הרשעה (ת/1) בעבירות אלימות, רכוש והחזקת סם לצריכה עצמית. הפנתה לאמור בתסקיר וטענה בהתאם לעמדתו כי זהו המקום להחמיר עמו שעה שהצהיר כי כוונתו לבצע עבירות נוספות עם שחרורו. מנגד, המאשימה שקלה את הודאתו וגילו הצעיר בעת ביצוע העבירות. המאשימה עתרה להשתת עונש מאסר בן 20 חודשים וענישה נלוות ובנוסף ביקשה לחלט סך של 2,800 ₪, אופניים חשמליים וטלפונים ניידים. </w:t>
      </w:r>
    </w:p>
    <w:p w14:paraId="1E6B8591" w14:textId="77777777" w:rsidR="00CE33E3" w:rsidRPr="0049443E" w:rsidRDefault="00CE33E3" w:rsidP="00CE33E3">
      <w:pPr>
        <w:numPr>
          <w:ilvl w:val="0"/>
          <w:numId w:val="1"/>
        </w:numPr>
        <w:spacing w:after="160" w:line="480" w:lineRule="auto"/>
        <w:contextualSpacing/>
        <w:jc w:val="both"/>
        <w:rPr>
          <w:rFonts w:ascii="David" w:eastAsia="Calibri" w:hAnsi="David"/>
        </w:rPr>
      </w:pPr>
      <w:r w:rsidRPr="0049443E">
        <w:rPr>
          <w:rFonts w:ascii="David" w:eastAsia="Calibri" w:hAnsi="David"/>
          <w:rtl/>
        </w:rPr>
        <w:t xml:space="preserve">ב"כ הנאשם, עו"ד אורנית מרום, טענה כי הפסיקה שהוגשה על ידי המאשימה לא רלוונטית לנסיבותיו של תיק זה. הנאשם החל לנהל אורח חיים עברייני בגיל צעיר, שולב במסגרות חוץ ביתיות ללא הצלחה עד ששולב בקהילה הטיפולית "מלכישוע". היא סבורה כי בהינתן "הקשר ההדוק" בעניינו, כאשר העבירות בוצעו על רקע דומה באמצעות אותה שיטה, ללא שותפים - יש לקבוע מתחם ענישה כולל לגבי כל כתב האישום. עתרה למתחם הנע בין מספר חודשי מאסר שיכול וירוצו בדרך של עבודות שירות ל-20 חודשי מאסר. באשר לנסיבות שאינן קשורות לביצוע העבירות, טענה כי הנאשם צעיר בן 21 אשר מביע רצון לשאת את עונשו. היא סבורה כי יש למקם את עונשו בחלק התחתון של המתחם שהוצע. מדובר במאסר ראשון וככל שתושת תקופת מאסר ארוכה יותר כך ייטמעו בו הדפוסים העבריינים השוליים. תמכה טיעוניה בפסיקה.  </w:t>
      </w:r>
    </w:p>
    <w:p w14:paraId="1DEFE0CD" w14:textId="77777777" w:rsidR="00CE33E3" w:rsidRPr="0049443E" w:rsidRDefault="00CE33E3" w:rsidP="00CE33E3">
      <w:pPr>
        <w:spacing w:after="160" w:line="480" w:lineRule="auto"/>
        <w:jc w:val="both"/>
        <w:rPr>
          <w:rFonts w:ascii="DaunPenh" w:eastAsia="Calibri" w:hAnsi="DaunPenh"/>
          <w:rtl/>
        </w:rPr>
      </w:pPr>
      <w:r w:rsidRPr="0049443E">
        <w:rPr>
          <w:rFonts w:ascii="Arial" w:eastAsia="Calibri" w:hAnsi="Arial"/>
          <w:b/>
          <w:bCs/>
          <w:u w:val="single"/>
          <w:rtl/>
        </w:rPr>
        <w:t>דיון והכרעה</w:t>
      </w:r>
    </w:p>
    <w:p w14:paraId="168FC9C7" w14:textId="77777777" w:rsidR="00CE33E3" w:rsidRPr="0049443E" w:rsidRDefault="00CE33E3" w:rsidP="00CE33E3">
      <w:pPr>
        <w:spacing w:after="160" w:line="480" w:lineRule="auto"/>
        <w:jc w:val="both"/>
        <w:rPr>
          <w:rFonts w:ascii="DaunPenh" w:eastAsia="Calibri" w:hAnsi="DaunPenh"/>
          <w:rtl/>
        </w:rPr>
      </w:pPr>
      <w:r w:rsidRPr="0049443E">
        <w:rPr>
          <w:rFonts w:ascii="DaunPenh" w:eastAsia="Calibri" w:hAnsi="DaunPenh"/>
          <w:b/>
          <w:bCs/>
          <w:u w:val="single"/>
          <w:rtl/>
        </w:rPr>
        <w:t>מתחם העונש</w:t>
      </w:r>
    </w:p>
    <w:p w14:paraId="253C9EB4" w14:textId="77777777" w:rsidR="00CE33E3" w:rsidRPr="0049443E" w:rsidRDefault="00CE33E3" w:rsidP="00CE33E3">
      <w:pPr>
        <w:numPr>
          <w:ilvl w:val="0"/>
          <w:numId w:val="1"/>
        </w:numPr>
        <w:spacing w:after="160" w:line="480" w:lineRule="auto"/>
        <w:contextualSpacing/>
        <w:jc w:val="both"/>
        <w:rPr>
          <w:rFonts w:ascii="DaunPenh" w:eastAsia="Calibri" w:hAnsi="DaunPenh"/>
        </w:rPr>
      </w:pPr>
      <w:r w:rsidRPr="0049443E">
        <w:rPr>
          <w:rFonts w:ascii="DaunPenh" w:eastAsia="Calibri" w:hAnsi="DaunPenh"/>
          <w:rtl/>
        </w:rPr>
        <w:t>הערך החברתי אשר נפגע כתוצאה מהעבירות שבוצעו על ידי הנאשם הינו הגנה על הציבור מפני הנזקים הנגרמים על ידי המשתמשים בסמים. בית המשפט העליון חזר פעמים רבות על חשיבות המאבק בנגע הסמים על ידי ענישת הסוחרים בסם אשר מפיקים רווח כספי תוך גרימת נזק לאחרים.</w:t>
      </w:r>
    </w:p>
    <w:p w14:paraId="21A116D7" w14:textId="77777777" w:rsidR="00CE33E3" w:rsidRPr="0049443E" w:rsidRDefault="00CE33E3" w:rsidP="00CE33E3">
      <w:pPr>
        <w:numPr>
          <w:ilvl w:val="0"/>
          <w:numId w:val="1"/>
        </w:numPr>
        <w:spacing w:after="160" w:line="480" w:lineRule="auto"/>
        <w:contextualSpacing/>
        <w:jc w:val="both"/>
        <w:rPr>
          <w:rFonts w:eastAsia="Calibri"/>
        </w:rPr>
      </w:pPr>
      <w:r w:rsidRPr="0049443E">
        <w:rPr>
          <w:rFonts w:ascii="DaunPenh" w:eastAsia="Calibri" w:hAnsi="DaunPenh"/>
          <w:rtl/>
        </w:rPr>
        <w:t>בכלל הנסיבות הקשורות לביצוע העבירה, שקלתי את העובדה כי מדובר</w:t>
      </w:r>
      <w:r w:rsidRPr="0049443E">
        <w:rPr>
          <w:rFonts w:eastAsia="Calibri"/>
          <w:rtl/>
        </w:rPr>
        <w:t xml:space="preserve"> ב-6  עסקאות של סחר בסם שבוצעו ללקוחות שונים. אמנם לא ניתן להצביע על תחכום בביצוע העבירות, אך עדיין לצורך ביצוען נדרש תיאום מוקדם. מועדי ביצוע העבירות מצביעים על כך שאין מדובר בעבירה רגעית וחד פעמית, אלא דפוס פעולה. מעשיו של הנאשם גרמו להפצת הסם למספר גורמים וכתוצאה מכך לגרימת נזקים ישירים ועקיפים לאנשים רבים ולסביבתם. </w:t>
      </w:r>
    </w:p>
    <w:p w14:paraId="3BF5F977" w14:textId="77777777" w:rsidR="00CE33E3" w:rsidRPr="0049443E" w:rsidRDefault="00CE33E3" w:rsidP="00CE33E3">
      <w:pPr>
        <w:numPr>
          <w:ilvl w:val="0"/>
          <w:numId w:val="1"/>
        </w:numPr>
        <w:spacing w:after="160" w:line="480" w:lineRule="auto"/>
        <w:contextualSpacing/>
        <w:jc w:val="both"/>
        <w:rPr>
          <w:rFonts w:eastAsia="Calibri"/>
        </w:rPr>
      </w:pPr>
      <w:r w:rsidRPr="0049443E">
        <w:rPr>
          <w:rFonts w:eastAsia="Calibri"/>
          <w:rtl/>
        </w:rPr>
        <w:t>בבחינת מדיניות הענישה הנוהגת, הרי כפי שניתן ללמוד מהפסיקה שהוצגה על ידי הצדדים, מדובר במנעד רחב של ענישה, בהתאם לנסיבות כל אירוע. ניתן להציע על מספר מקרים דומים כמפורט להלן:</w:t>
      </w:r>
    </w:p>
    <w:p w14:paraId="66702F62" w14:textId="77777777" w:rsidR="00CE33E3" w:rsidRPr="0049443E" w:rsidRDefault="009F40A1" w:rsidP="00CE33E3">
      <w:pPr>
        <w:numPr>
          <w:ilvl w:val="0"/>
          <w:numId w:val="2"/>
        </w:numPr>
        <w:spacing w:after="160" w:line="480" w:lineRule="auto"/>
        <w:contextualSpacing/>
        <w:jc w:val="both"/>
        <w:rPr>
          <w:rFonts w:ascii="Calibri" w:eastAsia="Calibri" w:hAnsi="Calibri"/>
        </w:rPr>
      </w:pPr>
      <w:hyperlink r:id="rId17" w:history="1">
        <w:r w:rsidR="00CE33E3" w:rsidRPr="0049443E">
          <w:rPr>
            <w:rFonts w:ascii="Calibri" w:eastAsia="Calibri" w:hAnsi="Calibri"/>
            <w:color w:val="0000FF"/>
            <w:u w:val="single"/>
            <w:rtl/>
          </w:rPr>
          <w:t>ת"פ 63672-03-19</w:t>
        </w:r>
        <w:r w:rsidR="00647B06">
          <w:rPr>
            <w:rFonts w:ascii="Calibri" w:eastAsia="Calibri" w:hAnsi="Calibri"/>
            <w:color w:val="0000FF"/>
            <w:u w:val="single"/>
            <w:rtl/>
          </w:rPr>
          <w:t xml:space="preserve"> </w:t>
        </w:r>
        <w:r w:rsidR="00CE33E3" w:rsidRPr="0049443E">
          <w:rPr>
            <w:rFonts w:ascii="Calibri" w:eastAsia="Calibri" w:hAnsi="Calibri"/>
            <w:b/>
            <w:bCs/>
            <w:color w:val="0000FF"/>
            <w:u w:val="single"/>
            <w:rtl/>
          </w:rPr>
          <w:t>מדינת ישראל נגד אסי חי אוזן</w:t>
        </w:r>
        <w:r w:rsidR="00647B06">
          <w:rPr>
            <w:rFonts w:ascii="Calibri" w:eastAsia="Calibri" w:hAnsi="Calibri"/>
            <w:color w:val="0000FF"/>
            <w:u w:val="single"/>
            <w:rtl/>
          </w:rPr>
          <w:t xml:space="preserve"> </w:t>
        </w:r>
        <w:r w:rsidR="00CE33E3" w:rsidRPr="0049443E">
          <w:rPr>
            <w:rFonts w:ascii="Calibri" w:eastAsia="Calibri" w:hAnsi="Calibri"/>
            <w:color w:val="0000FF"/>
            <w:u w:val="single"/>
            <w:rtl/>
          </w:rPr>
          <w:t>(15.7.20),‏</w:t>
        </w:r>
      </w:hyperlink>
      <w:r w:rsidR="00CE33E3" w:rsidRPr="0049443E">
        <w:rPr>
          <w:rFonts w:ascii="Calibri" w:eastAsia="Calibri" w:hAnsi="Calibri"/>
          <w:rtl/>
        </w:rPr>
        <w:t xml:space="preserve">‏ </w:t>
      </w:r>
      <w:r w:rsidR="00CE33E3" w:rsidRPr="0049443E">
        <w:rPr>
          <w:rFonts w:ascii="Calibri" w:eastAsia="Calibri" w:hAnsi="Calibri"/>
          <w:color w:val="000000"/>
          <w:rtl/>
        </w:rPr>
        <w:t xml:space="preserve">הנאשם הורשע, על פי הודאתו בביצוע </w:t>
      </w:r>
      <w:r w:rsidR="00CE33E3" w:rsidRPr="0049443E">
        <w:rPr>
          <w:rFonts w:ascii="Calibri" w:eastAsia="Calibri" w:hAnsi="Calibri"/>
          <w:color w:val="000000"/>
          <w:shd w:val="clear" w:color="auto" w:fill="FFFFFF"/>
          <w:rtl/>
        </w:rPr>
        <w:t>עבירה של עסקה אחרת בסם מסוכן</w:t>
      </w:r>
      <w:r w:rsidR="00647B06">
        <w:rPr>
          <w:rFonts w:ascii="Calibri" w:eastAsia="Calibri" w:hAnsi="Calibri"/>
          <w:color w:val="000000"/>
          <w:shd w:val="clear" w:color="auto" w:fill="FFFFFF"/>
          <w:rtl/>
        </w:rPr>
        <w:t xml:space="preserve"> </w:t>
      </w:r>
      <w:r w:rsidR="00CE33E3" w:rsidRPr="0049443E">
        <w:rPr>
          <w:rFonts w:ascii="Calibri" w:eastAsia="Calibri" w:hAnsi="Calibri"/>
        </w:rPr>
        <w:t>)</w:t>
      </w:r>
      <w:r w:rsidR="00CE33E3" w:rsidRPr="0049443E">
        <w:rPr>
          <w:rFonts w:ascii="Calibri" w:eastAsia="Calibri" w:hAnsi="Calibri"/>
          <w:rtl/>
        </w:rPr>
        <w:t>4 אישומים), ו</w:t>
      </w:r>
      <w:r w:rsidR="00CE33E3" w:rsidRPr="0049443E">
        <w:rPr>
          <w:rFonts w:ascii="Calibri" w:eastAsia="Calibri" w:hAnsi="Calibri"/>
          <w:shd w:val="clear" w:color="auto" w:fill="FFFFFF"/>
          <w:rtl/>
        </w:rPr>
        <w:t xml:space="preserve">החזקה בסמים שלא לצריכה עצמית. </w:t>
      </w:r>
      <w:r w:rsidR="00CE33E3" w:rsidRPr="0049443E">
        <w:rPr>
          <w:rFonts w:ascii="Calibri" w:eastAsia="Calibri" w:hAnsi="Calibri"/>
          <w:color w:val="000000"/>
          <w:rtl/>
        </w:rPr>
        <w:t>עבד הנאשם כסוחר ברשת טלגראס והעסיק שליח להפצת סמים</w:t>
      </w:r>
      <w:r w:rsidR="00CE33E3" w:rsidRPr="0049443E">
        <w:rPr>
          <w:rFonts w:ascii="Calibri" w:eastAsia="Calibri" w:hAnsi="Calibri"/>
          <w:rtl/>
        </w:rPr>
        <w:t xml:space="preserve">, מכר קנבוס במשקלים הנעים בין 5 ל-10 גרם, כמו כן נתפסו בדירתו 1,150 גרם קנבוס. נקבע מתחם בין 10 ל-24 חודשי מאסר בפועל. נידון ל-9 חודשי עבודות שירות בניכוי ימי מעצרו. </w:t>
      </w:r>
    </w:p>
    <w:p w14:paraId="78D6A4AE" w14:textId="77777777" w:rsidR="00CE33E3" w:rsidRPr="0049443E" w:rsidRDefault="009F40A1" w:rsidP="00CE33E3">
      <w:pPr>
        <w:numPr>
          <w:ilvl w:val="0"/>
          <w:numId w:val="2"/>
        </w:numPr>
        <w:spacing w:after="160" w:line="480" w:lineRule="auto"/>
        <w:contextualSpacing/>
        <w:jc w:val="both"/>
        <w:rPr>
          <w:rFonts w:ascii="Calibri" w:eastAsia="Calibri" w:hAnsi="Calibri"/>
        </w:rPr>
      </w:pPr>
      <w:hyperlink r:id="rId18" w:history="1">
        <w:r w:rsidR="00CE33E3" w:rsidRPr="0049443E">
          <w:rPr>
            <w:rFonts w:ascii="Calibri" w:eastAsia="Calibri" w:hAnsi="Calibri"/>
            <w:color w:val="0000FF"/>
            <w:u w:val="single"/>
            <w:rtl/>
          </w:rPr>
          <w:t>ת"פ 25332-01-18</w:t>
        </w:r>
        <w:r w:rsidR="00647B06">
          <w:rPr>
            <w:rFonts w:ascii="Calibri" w:eastAsia="Calibri" w:hAnsi="Calibri"/>
            <w:color w:val="0000FF"/>
            <w:u w:val="single"/>
            <w:rtl/>
          </w:rPr>
          <w:t xml:space="preserve"> </w:t>
        </w:r>
        <w:r w:rsidR="00CE33E3" w:rsidRPr="0049443E">
          <w:rPr>
            <w:rFonts w:ascii="Calibri" w:eastAsia="Calibri" w:hAnsi="Calibri"/>
            <w:b/>
            <w:bCs/>
            <w:color w:val="0000FF"/>
            <w:u w:val="single"/>
            <w:rtl/>
          </w:rPr>
          <w:t>תביעות מרום הגליל והגולן נגד ג'ואד חלאילי</w:t>
        </w:r>
        <w:r w:rsidR="00647B06">
          <w:rPr>
            <w:rFonts w:ascii="Calibri" w:eastAsia="Calibri" w:hAnsi="Calibri"/>
            <w:color w:val="0000FF"/>
            <w:u w:val="single"/>
            <w:rtl/>
          </w:rPr>
          <w:t xml:space="preserve"> </w:t>
        </w:r>
        <w:r w:rsidR="00CE33E3" w:rsidRPr="0049443E">
          <w:rPr>
            <w:rFonts w:ascii="Calibri" w:eastAsia="Calibri" w:hAnsi="Calibri"/>
            <w:color w:val="0000FF"/>
            <w:u w:val="single"/>
            <w:rtl/>
          </w:rPr>
          <w:t>(2.1.19),‏</w:t>
        </w:r>
      </w:hyperlink>
      <w:r w:rsidR="00CE33E3" w:rsidRPr="0049443E">
        <w:rPr>
          <w:rFonts w:ascii="Calibri" w:eastAsia="Calibri" w:hAnsi="Calibri"/>
          <w:rtl/>
        </w:rPr>
        <w:t>‏</w:t>
      </w:r>
      <w:r w:rsidR="00CE33E3" w:rsidRPr="0049443E">
        <w:rPr>
          <w:rFonts w:ascii="Calibri" w:eastAsia="Calibri" w:hAnsi="Calibri"/>
          <w:color w:val="000000"/>
          <w:rtl/>
        </w:rPr>
        <w:t xml:space="preserve"> הנאשם הורשע על יסוד הודאתו</w:t>
      </w:r>
      <w:r w:rsidR="00CE33E3" w:rsidRPr="0049443E">
        <w:rPr>
          <w:rFonts w:ascii="Calibri" w:eastAsia="Calibri" w:hAnsi="Calibri"/>
          <w:rtl/>
        </w:rPr>
        <w:t xml:space="preserve"> בעבירות של </w:t>
      </w:r>
      <w:r w:rsidR="00CE33E3" w:rsidRPr="0049443E">
        <w:rPr>
          <w:rFonts w:ascii="Calibri" w:eastAsia="Calibri" w:hAnsi="Calibri"/>
          <w:color w:val="000000"/>
          <w:shd w:val="clear" w:color="auto" w:fill="FFFFFF"/>
          <w:rtl/>
        </w:rPr>
        <w:t>סחר בסמים מסוכנים (6 עבירות), הסתייעות ברכב לביצוע עבירה (7 עבירות)</w:t>
      </w:r>
      <w:r w:rsidR="00647B06">
        <w:rPr>
          <w:rFonts w:ascii="Calibri" w:eastAsia="Calibri" w:hAnsi="Calibri"/>
          <w:color w:val="000000"/>
          <w:shd w:val="clear" w:color="auto" w:fill="FFFFFF"/>
        </w:rPr>
        <w:t xml:space="preserve"> </w:t>
      </w:r>
      <w:r w:rsidR="00CE33E3" w:rsidRPr="0049443E">
        <w:rPr>
          <w:rFonts w:ascii="Calibri" w:eastAsia="Calibri" w:hAnsi="Calibri"/>
          <w:color w:val="000000"/>
          <w:shd w:val="clear" w:color="auto" w:fill="FFFFFF"/>
          <w:rtl/>
        </w:rPr>
        <w:t>, החזקת סמים שלא לצריכה עצמית</w:t>
      </w:r>
      <w:r w:rsidR="00647B06">
        <w:rPr>
          <w:rFonts w:ascii="Calibri" w:eastAsia="Calibri" w:hAnsi="Calibri"/>
          <w:color w:val="000000"/>
          <w:shd w:val="clear" w:color="auto" w:fill="FFFFFF"/>
          <w:rtl/>
        </w:rPr>
        <w:t xml:space="preserve"> </w:t>
      </w:r>
      <w:r w:rsidR="00CE33E3" w:rsidRPr="0049443E">
        <w:rPr>
          <w:rFonts w:ascii="Calibri" w:eastAsia="Calibri" w:hAnsi="Calibri"/>
          <w:color w:val="000000"/>
          <w:shd w:val="clear" w:color="auto" w:fill="FFFFFF"/>
          <w:rtl/>
        </w:rPr>
        <w:t>והחזקת סמים לצריכה עצמית</w:t>
      </w:r>
      <w:r w:rsidR="00647B06">
        <w:rPr>
          <w:rFonts w:ascii="Calibri" w:eastAsia="Calibri" w:hAnsi="Calibri"/>
          <w:color w:val="000000"/>
          <w:shd w:val="clear" w:color="auto" w:fill="FFFFFF"/>
          <w:rtl/>
        </w:rPr>
        <w:t xml:space="preserve"> </w:t>
      </w:r>
      <w:r w:rsidR="00CE33E3" w:rsidRPr="0049443E">
        <w:rPr>
          <w:rFonts w:ascii="Calibri" w:eastAsia="Calibri" w:hAnsi="Calibri"/>
          <w:shd w:val="clear" w:color="auto" w:fill="FFFFFF"/>
          <w:rtl/>
        </w:rPr>
        <w:t>. הנאשם סחר בסמים באמצעות אפליקציית טלגראס, במשקלים הנעים בין 2 ל-10  גרם קנבוס כמו כן נתפסו אצלו 27.13 גרם קנבוס. נקבע מתחם הנע בין  שישה חודשי עבודות שירות ועד ל-15 חודשי מאסר בפועל. נידון לשישה חודשי מאסר בדרך של עבודות שירות</w:t>
      </w:r>
      <w:r w:rsidR="00CE33E3" w:rsidRPr="0049443E">
        <w:rPr>
          <w:rFonts w:ascii="Calibri" w:eastAsia="Calibri" w:hAnsi="Calibri"/>
          <w:rtl/>
        </w:rPr>
        <w:t>.</w:t>
      </w:r>
    </w:p>
    <w:p w14:paraId="5D789E7F" w14:textId="77777777" w:rsidR="00CE33E3" w:rsidRPr="0049443E" w:rsidRDefault="00647B06" w:rsidP="00CE33E3">
      <w:pPr>
        <w:numPr>
          <w:ilvl w:val="0"/>
          <w:numId w:val="2"/>
        </w:numPr>
        <w:spacing w:after="160" w:line="480" w:lineRule="auto"/>
        <w:contextualSpacing/>
        <w:jc w:val="both"/>
        <w:rPr>
          <w:rFonts w:ascii="Calibri" w:eastAsia="Calibri" w:hAnsi="Calibri"/>
        </w:rPr>
      </w:pPr>
      <w:hyperlink r:id="rId19" w:history="1">
        <w:r w:rsidRPr="00647B06">
          <w:rPr>
            <w:rFonts w:ascii="Calibri" w:eastAsia="Calibri" w:hAnsi="Calibri" w:hint="cs"/>
            <w:color w:val="0000FF"/>
            <w:u w:val="single"/>
            <w:rtl/>
          </w:rPr>
          <w:t>עפ</w:t>
        </w:r>
        <w:r w:rsidRPr="00647B06">
          <w:rPr>
            <w:rFonts w:ascii="Calibri" w:eastAsia="Calibri" w:hAnsi="Calibri"/>
            <w:color w:val="0000FF"/>
            <w:u w:val="single"/>
            <w:rtl/>
          </w:rPr>
          <w:t>"</w:t>
        </w:r>
        <w:r w:rsidRPr="00647B06">
          <w:rPr>
            <w:rFonts w:ascii="Calibri" w:eastAsia="Calibri" w:hAnsi="Calibri" w:hint="cs"/>
            <w:color w:val="0000FF"/>
            <w:u w:val="single"/>
            <w:rtl/>
          </w:rPr>
          <w:t>ג</w:t>
        </w:r>
        <w:r w:rsidRPr="00647B06">
          <w:rPr>
            <w:rFonts w:ascii="Calibri" w:eastAsia="Calibri" w:hAnsi="Calibri"/>
            <w:color w:val="0000FF"/>
            <w:u w:val="single"/>
            <w:rtl/>
          </w:rPr>
          <w:t xml:space="preserve"> 20755-07-17</w:t>
        </w:r>
      </w:hyperlink>
      <w:r w:rsidR="00CE33E3" w:rsidRPr="0049443E">
        <w:rPr>
          <w:rFonts w:ascii="Calibri" w:eastAsia="Calibri" w:hAnsi="Calibri"/>
          <w:rtl/>
        </w:rPr>
        <w:t xml:space="preserve"> </w:t>
      </w:r>
      <w:r w:rsidR="00CE33E3" w:rsidRPr="0049443E">
        <w:rPr>
          <w:rFonts w:ascii="Calibri" w:eastAsia="Calibri" w:hAnsi="Calibri"/>
          <w:b/>
          <w:bCs/>
          <w:rtl/>
        </w:rPr>
        <w:t xml:space="preserve">ליאור שוקרון נגד מדינת ישראל </w:t>
      </w:r>
      <w:r w:rsidR="00CE33E3" w:rsidRPr="0049443E">
        <w:rPr>
          <w:rFonts w:ascii="Calibri" w:eastAsia="Calibri" w:hAnsi="Calibri"/>
          <w:rtl/>
        </w:rPr>
        <w:t xml:space="preserve">(26.12.17), הנאשם הורשע על יסוד הודאתו ב-4 עבירות של סחר בסם מסוכן מסוג קנבוס וכן בתיק מצורף בעבירות של הפרעה לשוטר במילוי תפקידו והפרת הוראה חוקית. הנאשם עסק בהפצה ומכירה של סם מסוכן מסוג קנבוס לקונים שונים, חלקם קטינים בעת שעבד בחנות לממכר טבק. בית המשפט קבע כי מתחם הענישה ההולם למעשים שביצע הנאשם נע בין 8 חודשי מאסר בפועל ל-20 חודשים, ונידון ל10 חודשי מאסר בפועל. בית המשפט המחוזי אישר עונש זה.  </w:t>
      </w:r>
    </w:p>
    <w:p w14:paraId="77654E91" w14:textId="77777777" w:rsidR="00CE33E3" w:rsidRPr="0049443E" w:rsidRDefault="00647B06" w:rsidP="00CE33E3">
      <w:pPr>
        <w:numPr>
          <w:ilvl w:val="0"/>
          <w:numId w:val="2"/>
        </w:numPr>
        <w:spacing w:after="160" w:line="480" w:lineRule="auto"/>
        <w:contextualSpacing/>
        <w:jc w:val="both"/>
        <w:rPr>
          <w:rFonts w:ascii="Calibri" w:eastAsia="Calibri" w:hAnsi="Calibri"/>
        </w:rPr>
      </w:pPr>
      <w:hyperlink r:id="rId20" w:history="1">
        <w:r w:rsidRPr="00647B06">
          <w:rPr>
            <w:rFonts w:ascii="Calibri" w:eastAsia="Calibri" w:hAnsi="Calibri" w:hint="cs"/>
            <w:color w:val="0000FF"/>
            <w:u w:val="single"/>
            <w:rtl/>
          </w:rPr>
          <w:t>ת</w:t>
        </w:r>
        <w:r w:rsidRPr="00647B06">
          <w:rPr>
            <w:rFonts w:ascii="Calibri" w:eastAsia="Calibri" w:hAnsi="Calibri"/>
            <w:color w:val="0000FF"/>
            <w:u w:val="single"/>
            <w:rtl/>
          </w:rPr>
          <w:t>"</w:t>
        </w:r>
        <w:r w:rsidRPr="00647B06">
          <w:rPr>
            <w:rFonts w:ascii="Calibri" w:eastAsia="Calibri" w:hAnsi="Calibri" w:hint="cs"/>
            <w:color w:val="0000FF"/>
            <w:u w:val="single"/>
            <w:rtl/>
          </w:rPr>
          <w:t>פ</w:t>
        </w:r>
        <w:r w:rsidRPr="00647B06">
          <w:rPr>
            <w:rFonts w:ascii="Calibri" w:eastAsia="Calibri" w:hAnsi="Calibri"/>
            <w:color w:val="0000FF"/>
            <w:u w:val="single"/>
            <w:rtl/>
          </w:rPr>
          <w:t xml:space="preserve"> 7420-05-19</w:t>
        </w:r>
      </w:hyperlink>
      <w:r w:rsidR="00CE33E3" w:rsidRPr="0049443E">
        <w:rPr>
          <w:rFonts w:ascii="Calibri" w:eastAsia="Calibri" w:hAnsi="Calibri"/>
          <w:rtl/>
        </w:rPr>
        <w:t xml:space="preserve"> </w:t>
      </w:r>
      <w:r w:rsidR="00CE33E3" w:rsidRPr="0049443E">
        <w:rPr>
          <w:rFonts w:eastAsia="Calibri"/>
          <w:b/>
          <w:bCs/>
          <w:rtl/>
        </w:rPr>
        <w:t xml:space="preserve">מדינת ישראל נגד בלוי </w:t>
      </w:r>
      <w:r w:rsidR="00CE33E3" w:rsidRPr="0049443E">
        <w:rPr>
          <w:rFonts w:eastAsia="Calibri"/>
          <w:rtl/>
        </w:rPr>
        <w:t>(16.9.19),</w:t>
      </w:r>
      <w:r w:rsidR="00CE33E3" w:rsidRPr="0049443E">
        <w:rPr>
          <w:rFonts w:ascii="Calibri" w:eastAsia="Calibri" w:hAnsi="Calibri"/>
          <w:rtl/>
        </w:rPr>
        <w:t xml:space="preserve"> הנאשם הורשע לפי הודאתו ב-9 עבירות של סחר בסמים ובעבירה של החזקת סמים לצריכה עצמית. בית המשפט קבע כי מתחם העונש ההולם נע בין 8 ל-20 חודשי מאסר, והשית עליו מאסר לתקופה של 9 חודשים, מאסר על תנאי, התחייבות ופסילה על תנאי. </w:t>
      </w:r>
    </w:p>
    <w:p w14:paraId="0484081E" w14:textId="77777777" w:rsidR="00CE33E3" w:rsidRPr="0049443E" w:rsidRDefault="00647B06" w:rsidP="00CE33E3">
      <w:pPr>
        <w:numPr>
          <w:ilvl w:val="0"/>
          <w:numId w:val="2"/>
        </w:numPr>
        <w:spacing w:after="160" w:line="480" w:lineRule="auto"/>
        <w:contextualSpacing/>
        <w:jc w:val="both"/>
        <w:rPr>
          <w:rFonts w:ascii="Calibri" w:eastAsia="Calibri" w:hAnsi="Calibri"/>
        </w:rPr>
      </w:pPr>
      <w:hyperlink r:id="rId21" w:history="1">
        <w:r w:rsidRPr="00647B06">
          <w:rPr>
            <w:rFonts w:ascii="Calibri" w:eastAsia="Calibri" w:hAnsi="Calibri" w:hint="cs"/>
            <w:color w:val="0000FF"/>
            <w:u w:val="single"/>
            <w:rtl/>
          </w:rPr>
          <w:t>ת</w:t>
        </w:r>
        <w:r w:rsidRPr="00647B06">
          <w:rPr>
            <w:rFonts w:ascii="Calibri" w:eastAsia="Calibri" w:hAnsi="Calibri"/>
            <w:color w:val="0000FF"/>
            <w:u w:val="single"/>
            <w:rtl/>
          </w:rPr>
          <w:t>"</w:t>
        </w:r>
        <w:r w:rsidRPr="00647B06">
          <w:rPr>
            <w:rFonts w:ascii="Calibri" w:eastAsia="Calibri" w:hAnsi="Calibri" w:hint="cs"/>
            <w:color w:val="0000FF"/>
            <w:u w:val="single"/>
            <w:rtl/>
          </w:rPr>
          <w:t>פ</w:t>
        </w:r>
        <w:r w:rsidRPr="00647B06">
          <w:rPr>
            <w:rFonts w:ascii="Calibri" w:eastAsia="Calibri" w:hAnsi="Calibri"/>
            <w:color w:val="0000FF"/>
            <w:u w:val="single"/>
            <w:rtl/>
          </w:rPr>
          <w:t xml:space="preserve"> 44279-06-21</w:t>
        </w:r>
      </w:hyperlink>
      <w:r w:rsidR="00CE33E3" w:rsidRPr="0049443E">
        <w:rPr>
          <w:rFonts w:ascii="Calibri" w:eastAsia="Calibri" w:hAnsi="Calibri"/>
          <w:rtl/>
        </w:rPr>
        <w:t xml:space="preserve"> </w:t>
      </w:r>
      <w:r w:rsidR="00CE33E3" w:rsidRPr="0049443E">
        <w:rPr>
          <w:rFonts w:ascii="Calibri" w:eastAsia="Calibri" w:hAnsi="Calibri"/>
          <w:b/>
          <w:bCs/>
          <w:rtl/>
        </w:rPr>
        <w:t xml:space="preserve">מדינת ישראל נגד נגוסה </w:t>
      </w:r>
      <w:r w:rsidR="00CE33E3" w:rsidRPr="0049443E">
        <w:rPr>
          <w:rFonts w:ascii="Calibri" w:eastAsia="Calibri" w:hAnsi="Calibri"/>
          <w:rtl/>
        </w:rPr>
        <w:t xml:space="preserve">(15.2.22), הנאשם הורשע בהתאם להודאתו בשלושה אישומים בעבירות סחר. הנאשם ביצע את העבירות בשיטה דומה ועבור בצע כסף כאשר הסמים סופקו במנות קטנים לאחרים, שעימם הנאשם תיאם טלפונית את העסקאות. בית המשפט קבע כי מתחם העונש ההולם נע בין 8 חודשי מאסר שיכול וירוצו בעבודות שירות ועד 20 חודשי מאסר בפועל לצד ענישה נלווית. נידון ל12 חודשי מאסר בפועל. </w:t>
      </w:r>
    </w:p>
    <w:p w14:paraId="583808B1" w14:textId="77777777" w:rsidR="00CE33E3" w:rsidRPr="0049443E" w:rsidRDefault="00CE33E3" w:rsidP="00CE33E3">
      <w:pPr>
        <w:numPr>
          <w:ilvl w:val="0"/>
          <w:numId w:val="1"/>
        </w:numPr>
        <w:spacing w:after="160" w:line="480" w:lineRule="auto"/>
        <w:contextualSpacing/>
        <w:jc w:val="both"/>
        <w:rPr>
          <w:rFonts w:ascii="DaunPenh" w:eastAsia="Calibri" w:hAnsi="DaunPenh"/>
        </w:rPr>
      </w:pPr>
      <w:r w:rsidRPr="0049443E">
        <w:rPr>
          <w:rFonts w:ascii="DaunPenh" w:eastAsia="Calibri" w:hAnsi="DaunPenh"/>
          <w:rtl/>
        </w:rPr>
        <w:t>בחינת העבירות בהן הורשע הנאשם מצביעה על כך כי למרות שמדובר במספר מכירות לאנשים שונים, הרי שהמעשים מתאפיינים בדמיון וחזרתיות וקיים ביניהם קשר ענייני הדוק, ואשר על כן הם מהווים חלק מאותה תכנית עבריינית ויש לראותם כמסכת עבריינית אחת ולקבוע מתחם ענישה אחד לכולם.</w:t>
      </w:r>
    </w:p>
    <w:p w14:paraId="78B24511" w14:textId="77777777" w:rsidR="00CE33E3" w:rsidRPr="0049443E" w:rsidRDefault="00CE33E3" w:rsidP="00CE33E3">
      <w:pPr>
        <w:numPr>
          <w:ilvl w:val="0"/>
          <w:numId w:val="1"/>
        </w:numPr>
        <w:spacing w:after="160" w:line="480" w:lineRule="auto"/>
        <w:contextualSpacing/>
        <w:jc w:val="both"/>
        <w:rPr>
          <w:rFonts w:eastAsia="Calibri"/>
          <w:b/>
          <w:bCs/>
        </w:rPr>
      </w:pPr>
      <w:r w:rsidRPr="0049443E">
        <w:rPr>
          <w:rFonts w:ascii="Arial" w:eastAsia="Calibri" w:hAnsi="Arial"/>
          <w:b/>
          <w:bCs/>
          <w:rtl/>
        </w:rPr>
        <w:t>לנוכח</w:t>
      </w:r>
      <w:r w:rsidRPr="0049443E">
        <w:rPr>
          <w:rFonts w:ascii="DaunPenh" w:eastAsia="Calibri" w:hAnsi="DaunPenh"/>
          <w:b/>
          <w:bCs/>
          <w:rtl/>
        </w:rPr>
        <w:t xml:space="preserve"> </w:t>
      </w:r>
      <w:r w:rsidRPr="0049443E">
        <w:rPr>
          <w:rFonts w:ascii="Arial" w:eastAsia="Calibri" w:hAnsi="Arial"/>
          <w:b/>
          <w:bCs/>
          <w:rtl/>
        </w:rPr>
        <w:t>כל</w:t>
      </w:r>
      <w:r w:rsidRPr="0049443E">
        <w:rPr>
          <w:rFonts w:ascii="DaunPenh" w:eastAsia="Calibri" w:hAnsi="DaunPenh"/>
          <w:b/>
          <w:bCs/>
          <w:rtl/>
        </w:rPr>
        <w:t xml:space="preserve"> </w:t>
      </w:r>
      <w:r w:rsidRPr="0049443E">
        <w:rPr>
          <w:rFonts w:ascii="Arial" w:eastAsia="Calibri" w:hAnsi="Arial"/>
          <w:b/>
          <w:bCs/>
          <w:rtl/>
        </w:rPr>
        <w:t>האמור</w:t>
      </w:r>
      <w:r w:rsidRPr="0049443E">
        <w:rPr>
          <w:rFonts w:ascii="DaunPenh" w:eastAsia="Calibri" w:hAnsi="DaunPenh"/>
          <w:b/>
          <w:bCs/>
          <w:rtl/>
        </w:rPr>
        <w:t xml:space="preserve"> </w:t>
      </w:r>
      <w:r w:rsidRPr="0049443E">
        <w:rPr>
          <w:rFonts w:ascii="Arial" w:eastAsia="Calibri" w:hAnsi="Arial"/>
          <w:b/>
          <w:bCs/>
          <w:rtl/>
        </w:rPr>
        <w:t>לעיל,</w:t>
      </w:r>
      <w:r w:rsidRPr="0049443E">
        <w:rPr>
          <w:rFonts w:ascii="DaunPenh" w:eastAsia="Calibri" w:hAnsi="DaunPenh"/>
          <w:b/>
          <w:bCs/>
          <w:rtl/>
        </w:rPr>
        <w:t xml:space="preserve"> </w:t>
      </w:r>
      <w:r w:rsidRPr="0049443E">
        <w:rPr>
          <w:rFonts w:ascii="Arial" w:eastAsia="Calibri" w:hAnsi="Arial"/>
          <w:b/>
          <w:bCs/>
          <w:rtl/>
        </w:rPr>
        <w:t>אני</w:t>
      </w:r>
      <w:r w:rsidRPr="0049443E">
        <w:rPr>
          <w:rFonts w:ascii="DaunPenh" w:eastAsia="Calibri" w:hAnsi="DaunPenh"/>
          <w:b/>
          <w:bCs/>
          <w:rtl/>
        </w:rPr>
        <w:t xml:space="preserve"> </w:t>
      </w:r>
      <w:r w:rsidRPr="0049443E">
        <w:rPr>
          <w:rFonts w:ascii="Arial" w:eastAsia="Calibri" w:hAnsi="Arial"/>
          <w:b/>
          <w:bCs/>
          <w:rtl/>
        </w:rPr>
        <w:t>קובע</w:t>
      </w:r>
      <w:r w:rsidRPr="0049443E">
        <w:rPr>
          <w:rFonts w:ascii="DaunPenh" w:eastAsia="Calibri" w:hAnsi="DaunPenh"/>
          <w:b/>
          <w:bCs/>
          <w:rtl/>
        </w:rPr>
        <w:t xml:space="preserve"> </w:t>
      </w:r>
      <w:r w:rsidRPr="0049443E">
        <w:rPr>
          <w:rFonts w:ascii="Arial" w:eastAsia="Calibri" w:hAnsi="Arial"/>
          <w:b/>
          <w:bCs/>
          <w:rtl/>
        </w:rPr>
        <w:t>כי</w:t>
      </w:r>
      <w:r w:rsidRPr="0049443E">
        <w:rPr>
          <w:rFonts w:ascii="DaunPenh" w:eastAsia="Calibri" w:hAnsi="DaunPenh"/>
          <w:b/>
          <w:bCs/>
          <w:rtl/>
        </w:rPr>
        <w:t xml:space="preserve"> </w:t>
      </w:r>
      <w:r w:rsidRPr="0049443E">
        <w:rPr>
          <w:rFonts w:ascii="Arial" w:eastAsia="Calibri" w:hAnsi="Arial"/>
          <w:b/>
          <w:bCs/>
          <w:rtl/>
        </w:rPr>
        <w:t>מתחם</w:t>
      </w:r>
      <w:r w:rsidRPr="0049443E">
        <w:rPr>
          <w:rFonts w:ascii="DaunPenh" w:eastAsia="Calibri" w:hAnsi="DaunPenh"/>
          <w:b/>
          <w:bCs/>
          <w:rtl/>
        </w:rPr>
        <w:t xml:space="preserve"> </w:t>
      </w:r>
      <w:r w:rsidRPr="0049443E">
        <w:rPr>
          <w:rFonts w:ascii="Arial" w:eastAsia="Calibri" w:hAnsi="Arial"/>
          <w:b/>
          <w:bCs/>
          <w:rtl/>
        </w:rPr>
        <w:t>הענישה</w:t>
      </w:r>
      <w:r w:rsidRPr="0049443E">
        <w:rPr>
          <w:rFonts w:ascii="DaunPenh" w:eastAsia="Calibri" w:hAnsi="DaunPenh"/>
          <w:b/>
          <w:bCs/>
          <w:rtl/>
        </w:rPr>
        <w:t xml:space="preserve"> </w:t>
      </w:r>
      <w:r w:rsidRPr="0049443E">
        <w:rPr>
          <w:rFonts w:ascii="Arial" w:eastAsia="Calibri" w:hAnsi="Arial"/>
          <w:b/>
          <w:bCs/>
          <w:rtl/>
        </w:rPr>
        <w:t>ההולם</w:t>
      </w:r>
      <w:r w:rsidRPr="0049443E">
        <w:rPr>
          <w:rFonts w:ascii="DaunPenh" w:eastAsia="Calibri" w:hAnsi="DaunPenh"/>
          <w:b/>
          <w:bCs/>
          <w:rtl/>
        </w:rPr>
        <w:t xml:space="preserve"> </w:t>
      </w:r>
      <w:r w:rsidRPr="0049443E">
        <w:rPr>
          <w:rFonts w:ascii="Arial" w:eastAsia="Calibri" w:hAnsi="Arial"/>
          <w:b/>
          <w:bCs/>
          <w:rtl/>
        </w:rPr>
        <w:t>נע</w:t>
      </w:r>
      <w:r w:rsidRPr="0049443E">
        <w:rPr>
          <w:rFonts w:ascii="DaunPenh" w:eastAsia="Calibri" w:hAnsi="DaunPenh"/>
          <w:b/>
          <w:bCs/>
          <w:rtl/>
        </w:rPr>
        <w:t xml:space="preserve"> </w:t>
      </w:r>
      <w:r w:rsidRPr="0049443E">
        <w:rPr>
          <w:rFonts w:ascii="Arial" w:eastAsia="Calibri" w:hAnsi="Arial"/>
          <w:b/>
          <w:bCs/>
          <w:rtl/>
        </w:rPr>
        <w:t>החל</w:t>
      </w:r>
      <w:r w:rsidRPr="0049443E">
        <w:rPr>
          <w:rFonts w:ascii="DaunPenh" w:eastAsia="Calibri" w:hAnsi="DaunPenh"/>
          <w:b/>
          <w:bCs/>
          <w:rtl/>
        </w:rPr>
        <w:t xml:space="preserve"> מ</w:t>
      </w:r>
      <w:r w:rsidRPr="0049443E">
        <w:rPr>
          <w:rFonts w:eastAsia="Calibri"/>
          <w:b/>
          <w:bCs/>
          <w:rtl/>
        </w:rPr>
        <w:t xml:space="preserve">-9 ועד ל-20 חודשי מאסר בפועל. </w:t>
      </w:r>
    </w:p>
    <w:p w14:paraId="6A10840D" w14:textId="77777777" w:rsidR="00CE33E3" w:rsidRPr="0049443E" w:rsidRDefault="00CE33E3" w:rsidP="00CE33E3">
      <w:pPr>
        <w:spacing w:after="160" w:line="480" w:lineRule="auto"/>
        <w:ind w:left="360"/>
        <w:jc w:val="both"/>
        <w:rPr>
          <w:rFonts w:eastAsia="Calibri"/>
          <w:u w:val="single"/>
        </w:rPr>
      </w:pPr>
      <w:r w:rsidRPr="0049443E">
        <w:rPr>
          <w:rFonts w:eastAsia="Calibri"/>
          <w:u w:val="single"/>
          <w:rtl/>
        </w:rPr>
        <w:t>גזירת העונש</w:t>
      </w:r>
    </w:p>
    <w:p w14:paraId="16A6CFB3" w14:textId="77777777" w:rsidR="00CE33E3" w:rsidRPr="0049443E" w:rsidRDefault="00CE33E3" w:rsidP="00CE33E3">
      <w:pPr>
        <w:numPr>
          <w:ilvl w:val="0"/>
          <w:numId w:val="1"/>
        </w:numPr>
        <w:spacing w:after="160" w:line="480" w:lineRule="auto"/>
        <w:contextualSpacing/>
        <w:jc w:val="both"/>
        <w:rPr>
          <w:rFonts w:eastAsia="Calibri"/>
          <w:rtl/>
        </w:rPr>
      </w:pPr>
      <w:r w:rsidRPr="0049443E">
        <w:rPr>
          <w:rFonts w:eastAsia="Calibri"/>
          <w:rtl/>
        </w:rPr>
        <w:t xml:space="preserve">בכלל הנסיבות שאינן קשורות לביצוע העבירה, התחשבתי לקולא בהודאת הנאשם, נטילת אחריות וחיסכון בזמן שיפוטי, לרבות צורך בהעדת עדים. לחומרא שקלתי את העובדה כי לחובתו רישום פלילי מבית המשפט לנוער בשל ביצוע מספר עבירות אלימות וסמים. בשל רישום זה ניתן בעניינו צו מבחן לתקופה של 18 חודשים. על פי המתואר בתסקיר שירות המבחן, עבר הנאשם מספר רב של מסגרות אבחוניות, פתוחות וסגורות, אולם הוא התקשה להשתלב ולשתף פעולה לאורך זמן. בין היתר שהה הנאשם בקהילת "מלכישוע" מגיל 15 ועד גיל 17. למרות המאמצים הרבים שהושקעו בניסיון לשקמו ולסייע לו, שולל הנאשם נזקקות טיפולית ואינו מגלה כל רצון לבחון את דפוסיו ההתמכרותיים. שירות המבחן התרשם כי הנאשם אינו נרתע מהמעצר ומההליך המשפטי והוא מתייחס אליו בהפחתת חומרה. שירות המבחן מעריך כי קיים סיכון גבוה להישנות מקרים דומים, והנאשם עצמו לא מבטא כל רצון לשנות מאורח חייו העברייני. </w:t>
      </w:r>
    </w:p>
    <w:p w14:paraId="187ACBDD" w14:textId="77777777" w:rsidR="00CE33E3" w:rsidRPr="0049443E" w:rsidRDefault="00CE33E3" w:rsidP="00CE33E3">
      <w:pPr>
        <w:numPr>
          <w:ilvl w:val="0"/>
          <w:numId w:val="1"/>
        </w:numPr>
        <w:spacing w:after="160" w:line="480" w:lineRule="auto"/>
        <w:contextualSpacing/>
        <w:jc w:val="both"/>
        <w:rPr>
          <w:rFonts w:eastAsia="Calibri"/>
          <w:b/>
          <w:bCs/>
        </w:rPr>
      </w:pPr>
      <w:r w:rsidRPr="0049443E">
        <w:rPr>
          <w:rFonts w:eastAsia="Calibri"/>
          <w:b/>
          <w:bCs/>
          <w:rtl/>
        </w:rPr>
        <w:t>לאחר ששקלתי את כל האמור לעיל, אני גוזר על הנאשם את העונשים הבאים:</w:t>
      </w:r>
    </w:p>
    <w:p w14:paraId="39EB9BDA" w14:textId="77777777" w:rsidR="00CE33E3" w:rsidRPr="0049443E" w:rsidRDefault="00CE33E3" w:rsidP="00CE33E3">
      <w:pPr>
        <w:numPr>
          <w:ilvl w:val="0"/>
          <w:numId w:val="3"/>
        </w:numPr>
        <w:spacing w:after="160" w:line="480" w:lineRule="auto"/>
        <w:contextualSpacing/>
        <w:jc w:val="both"/>
        <w:rPr>
          <w:rFonts w:eastAsia="Calibri"/>
          <w:b/>
          <w:bCs/>
        </w:rPr>
      </w:pPr>
      <w:r w:rsidRPr="0049443E">
        <w:rPr>
          <w:rFonts w:eastAsia="Calibri"/>
          <w:b/>
          <w:bCs/>
          <w:rtl/>
        </w:rPr>
        <w:t>12 חודשי מאסר בפועל.</w:t>
      </w:r>
    </w:p>
    <w:p w14:paraId="1EC6C760" w14:textId="77777777" w:rsidR="00CE33E3" w:rsidRPr="0049443E" w:rsidRDefault="00CE33E3" w:rsidP="00CE33E3">
      <w:pPr>
        <w:numPr>
          <w:ilvl w:val="0"/>
          <w:numId w:val="3"/>
        </w:numPr>
        <w:spacing w:after="160" w:line="480" w:lineRule="auto"/>
        <w:contextualSpacing/>
        <w:jc w:val="both"/>
        <w:rPr>
          <w:rFonts w:eastAsia="Calibri"/>
          <w:b/>
          <w:bCs/>
        </w:rPr>
      </w:pPr>
      <w:r w:rsidRPr="0049443E">
        <w:rPr>
          <w:rFonts w:eastAsia="Calibri"/>
          <w:b/>
          <w:bCs/>
          <w:rtl/>
        </w:rPr>
        <w:t xml:space="preserve">6 חודשי מאסר על תנאי למשך שלש שנים מיום שחרורו ממאסרו. התנאי יופעל במידה והנאשם יעבור עבירה מסוג פשע על פי </w:t>
      </w:r>
      <w:hyperlink r:id="rId22" w:history="1">
        <w:r w:rsidR="00647B06" w:rsidRPr="00647B06">
          <w:rPr>
            <w:rFonts w:eastAsia="Calibri"/>
            <w:b/>
            <w:bCs/>
            <w:color w:val="0000FF"/>
            <w:u w:val="single"/>
            <w:rtl/>
          </w:rPr>
          <w:t>פקודת הסמים המסוכנים</w:t>
        </w:r>
      </w:hyperlink>
      <w:r w:rsidRPr="0049443E">
        <w:rPr>
          <w:rFonts w:eastAsia="Calibri"/>
          <w:b/>
          <w:bCs/>
          <w:rtl/>
        </w:rPr>
        <w:t>.</w:t>
      </w:r>
    </w:p>
    <w:p w14:paraId="4ADB64CC" w14:textId="77777777" w:rsidR="00CE33E3" w:rsidRPr="0049443E" w:rsidRDefault="00CE33E3" w:rsidP="00CE33E3">
      <w:pPr>
        <w:numPr>
          <w:ilvl w:val="0"/>
          <w:numId w:val="3"/>
        </w:numPr>
        <w:spacing w:after="160" w:line="480" w:lineRule="auto"/>
        <w:contextualSpacing/>
        <w:jc w:val="both"/>
        <w:rPr>
          <w:rFonts w:eastAsia="Calibri"/>
          <w:b/>
          <w:bCs/>
        </w:rPr>
      </w:pPr>
      <w:r w:rsidRPr="0049443E">
        <w:rPr>
          <w:rFonts w:eastAsia="Calibri"/>
          <w:b/>
          <w:bCs/>
          <w:rtl/>
        </w:rPr>
        <w:t xml:space="preserve">3 חודשי מאסר על תנאי למשך שלש שנים מיום שחרורו ממאסרו. התנאי יופעל במידה והנאשם יעבור עבירה מסוג עוון על פי </w:t>
      </w:r>
      <w:hyperlink r:id="rId23" w:history="1">
        <w:r w:rsidR="00647B06" w:rsidRPr="00647B06">
          <w:rPr>
            <w:rFonts w:eastAsia="Calibri"/>
            <w:b/>
            <w:bCs/>
            <w:color w:val="0000FF"/>
            <w:u w:val="single"/>
            <w:rtl/>
          </w:rPr>
          <w:t>פקודת הסמים המסוכנים</w:t>
        </w:r>
      </w:hyperlink>
      <w:r w:rsidRPr="0049443E">
        <w:rPr>
          <w:rFonts w:eastAsia="Calibri"/>
          <w:b/>
          <w:bCs/>
          <w:rtl/>
        </w:rPr>
        <w:t>.</w:t>
      </w:r>
    </w:p>
    <w:p w14:paraId="5DB6C56B" w14:textId="77777777" w:rsidR="00CE33E3" w:rsidRPr="0049443E" w:rsidRDefault="00CE33E3" w:rsidP="00CE33E3">
      <w:pPr>
        <w:numPr>
          <w:ilvl w:val="0"/>
          <w:numId w:val="3"/>
        </w:numPr>
        <w:spacing w:after="160" w:line="480" w:lineRule="auto"/>
        <w:contextualSpacing/>
        <w:jc w:val="both"/>
        <w:rPr>
          <w:rFonts w:eastAsia="Calibri"/>
          <w:b/>
          <w:bCs/>
        </w:rPr>
      </w:pPr>
      <w:r w:rsidRPr="0049443E">
        <w:rPr>
          <w:rFonts w:eastAsia="Calibri"/>
          <w:b/>
          <w:bCs/>
          <w:rtl/>
        </w:rPr>
        <w:t>קנס בסך 3,000 ₪ או 30 ימי מאסר תמורתו. הקנס ישולם בעשרה תשלומים חודשיים שווים ורצופים, שהראשון בהם בתאריך 1.10.22 וב-1 לכל חודש עוקב.</w:t>
      </w:r>
    </w:p>
    <w:p w14:paraId="47C07582" w14:textId="77777777" w:rsidR="00CE33E3" w:rsidRPr="0049443E" w:rsidRDefault="00CE33E3" w:rsidP="00CE33E3">
      <w:pPr>
        <w:numPr>
          <w:ilvl w:val="0"/>
          <w:numId w:val="3"/>
        </w:numPr>
        <w:spacing w:after="160" w:line="480" w:lineRule="auto"/>
        <w:contextualSpacing/>
        <w:jc w:val="both"/>
        <w:rPr>
          <w:rFonts w:eastAsia="Calibri"/>
          <w:b/>
          <w:bCs/>
        </w:rPr>
      </w:pPr>
      <w:r w:rsidRPr="0049443E">
        <w:rPr>
          <w:rFonts w:eastAsia="Calibri"/>
          <w:b/>
          <w:bCs/>
          <w:rtl/>
        </w:rPr>
        <w:t>פסילת רישיון נהיגה למשך 6 חודשים מיום שחרורו ממאסרו.</w:t>
      </w:r>
    </w:p>
    <w:p w14:paraId="3D68DBB0" w14:textId="77777777" w:rsidR="00CE33E3" w:rsidRPr="0049443E" w:rsidRDefault="00CE33E3" w:rsidP="00CE33E3">
      <w:pPr>
        <w:numPr>
          <w:ilvl w:val="0"/>
          <w:numId w:val="3"/>
        </w:numPr>
        <w:spacing w:after="160" w:line="480" w:lineRule="auto"/>
        <w:contextualSpacing/>
        <w:jc w:val="both"/>
        <w:rPr>
          <w:rFonts w:eastAsia="Calibri"/>
          <w:b/>
          <w:bCs/>
        </w:rPr>
      </w:pPr>
      <w:r w:rsidRPr="0049443E">
        <w:rPr>
          <w:rFonts w:eastAsia="Calibri"/>
          <w:b/>
          <w:bCs/>
          <w:rtl/>
        </w:rPr>
        <w:t xml:space="preserve">פסילת רישיון </w:t>
      </w:r>
      <w:r>
        <w:rPr>
          <w:rFonts w:eastAsia="Calibri" w:hint="cs"/>
          <w:b/>
          <w:bCs/>
          <w:rtl/>
        </w:rPr>
        <w:t xml:space="preserve">נהיגה </w:t>
      </w:r>
      <w:r w:rsidRPr="0049443E">
        <w:rPr>
          <w:rFonts w:eastAsia="Calibri"/>
          <w:b/>
          <w:bCs/>
          <w:rtl/>
        </w:rPr>
        <w:t>על תנאי למשך 6 חודשים. התנאי יופעל במידה והנאשם יעבור במשך שנתיים מיום שחרורו ממאסרו עבירה על פי פקודת הסמים.</w:t>
      </w:r>
    </w:p>
    <w:p w14:paraId="7AC0B225" w14:textId="77777777" w:rsidR="00CE33E3" w:rsidRPr="0049443E" w:rsidRDefault="00CE33E3" w:rsidP="00CE33E3">
      <w:pPr>
        <w:numPr>
          <w:ilvl w:val="0"/>
          <w:numId w:val="3"/>
        </w:numPr>
        <w:spacing w:after="160" w:line="480" w:lineRule="auto"/>
        <w:contextualSpacing/>
        <w:jc w:val="both"/>
        <w:rPr>
          <w:rFonts w:eastAsia="Calibri"/>
          <w:b/>
          <w:bCs/>
        </w:rPr>
      </w:pPr>
      <w:r w:rsidRPr="0049443E">
        <w:rPr>
          <w:rFonts w:eastAsia="Calibri"/>
          <w:b/>
          <w:bCs/>
          <w:rtl/>
        </w:rPr>
        <w:t>צו להשמדת הסמים וצו כללי למוצגים.</w:t>
      </w:r>
    </w:p>
    <w:p w14:paraId="4D7F3305" w14:textId="77777777" w:rsidR="00CE33E3" w:rsidRDefault="00CE33E3" w:rsidP="00CE33E3">
      <w:pPr>
        <w:spacing w:after="160" w:line="480" w:lineRule="auto"/>
        <w:ind w:left="720"/>
        <w:jc w:val="both"/>
        <w:rPr>
          <w:rFonts w:eastAsia="Calibri"/>
          <w:b/>
          <w:bCs/>
          <w:rtl/>
        </w:rPr>
      </w:pPr>
      <w:r w:rsidRPr="0049443E">
        <w:rPr>
          <w:rFonts w:eastAsia="Calibri"/>
          <w:b/>
          <w:bCs/>
          <w:rtl/>
        </w:rPr>
        <w:t>אני מכריז על הנאשם כסוחר סמים ומורה על חילוט סך של 2,800 ₪ , אופניים חשמליים וטלפונים ניידים שנתפסו ברשותו ומפורטים בכתב האישום.</w:t>
      </w:r>
    </w:p>
    <w:p w14:paraId="23D53124" w14:textId="77777777" w:rsidR="00CE33E3" w:rsidRPr="00753A09" w:rsidRDefault="00CE33E3" w:rsidP="00CE33E3">
      <w:pPr>
        <w:spacing w:after="160" w:line="480" w:lineRule="auto"/>
        <w:ind w:left="720"/>
        <w:jc w:val="both"/>
        <w:rPr>
          <w:rFonts w:eastAsia="Calibri"/>
          <w:b/>
          <w:bCs/>
          <w:u w:val="single"/>
        </w:rPr>
      </w:pPr>
      <w:r w:rsidRPr="00753A09">
        <w:rPr>
          <w:rFonts w:eastAsia="Calibri" w:hint="cs"/>
          <w:b/>
          <w:bCs/>
          <w:u w:val="single"/>
          <w:rtl/>
        </w:rPr>
        <w:t>תשומת לב שב"ס לבקשת הנאשם להעברתו להמשך ריצוי עונשו בבית הכלא " מעשיהו".</w:t>
      </w:r>
    </w:p>
    <w:p w14:paraId="44CB0240" w14:textId="77777777" w:rsidR="00CE33E3" w:rsidRPr="0049443E" w:rsidRDefault="00CE33E3" w:rsidP="00CE33E3">
      <w:pPr>
        <w:spacing w:after="160" w:line="480" w:lineRule="auto"/>
        <w:ind w:left="720"/>
        <w:jc w:val="center"/>
        <w:rPr>
          <w:rFonts w:eastAsia="Calibri"/>
          <w:b/>
          <w:bCs/>
          <w:u w:val="single"/>
          <w:rtl/>
        </w:rPr>
      </w:pPr>
      <w:r w:rsidRPr="0049443E">
        <w:rPr>
          <w:rFonts w:eastAsia="Calibri"/>
          <w:b/>
          <w:bCs/>
          <w:u w:val="single"/>
          <w:rtl/>
        </w:rPr>
        <w:t>זכות ערעור לבית המשפט המחוזי בתוך 45 יום</w:t>
      </w:r>
    </w:p>
    <w:p w14:paraId="3B2238BA" w14:textId="77777777" w:rsidR="00CE33E3" w:rsidRPr="00647B06" w:rsidRDefault="00647B06" w:rsidP="00CE33E3">
      <w:pPr>
        <w:rPr>
          <w:rFonts w:ascii="Arial" w:hAnsi="Arial"/>
          <w:b/>
          <w:bCs/>
          <w:color w:val="FFFFFF"/>
          <w:sz w:val="2"/>
          <w:szCs w:val="2"/>
          <w:rtl/>
        </w:rPr>
      </w:pPr>
      <w:r w:rsidRPr="00647B06">
        <w:rPr>
          <w:rFonts w:ascii="Arial" w:hAnsi="Arial"/>
          <w:b/>
          <w:bCs/>
          <w:color w:val="FFFFFF"/>
          <w:sz w:val="2"/>
          <w:szCs w:val="2"/>
          <w:rtl/>
        </w:rPr>
        <w:t>5129371</w:t>
      </w:r>
    </w:p>
    <w:p w14:paraId="2AE70B7E" w14:textId="77777777" w:rsidR="00CE33E3" w:rsidRPr="00647B06" w:rsidRDefault="00647B06" w:rsidP="00CE33E3">
      <w:pPr>
        <w:rPr>
          <w:rFonts w:ascii="Arial" w:hAnsi="Arial"/>
          <w:b/>
          <w:bCs/>
          <w:color w:val="FFFFFF"/>
          <w:sz w:val="2"/>
          <w:szCs w:val="2"/>
          <w:rtl/>
        </w:rPr>
      </w:pPr>
      <w:r w:rsidRPr="00647B06">
        <w:rPr>
          <w:rFonts w:ascii="Arial" w:hAnsi="Arial"/>
          <w:b/>
          <w:bCs/>
          <w:color w:val="FFFFFF"/>
          <w:sz w:val="2"/>
          <w:szCs w:val="2"/>
          <w:rtl/>
        </w:rPr>
        <w:t>54678313</w:t>
      </w:r>
    </w:p>
    <w:p w14:paraId="7CB0A508" w14:textId="77777777" w:rsidR="00CE33E3" w:rsidRPr="000F2247" w:rsidRDefault="00CE33E3" w:rsidP="00CE33E3">
      <w:pPr>
        <w:rPr>
          <w:rFonts w:ascii="Arial" w:hAnsi="Arial"/>
          <w:b/>
          <w:bCs/>
          <w:sz w:val="26"/>
          <w:szCs w:val="26"/>
          <w:rtl/>
        </w:rPr>
      </w:pPr>
    </w:p>
    <w:p w14:paraId="1FB80FF5" w14:textId="77777777" w:rsidR="00CE33E3" w:rsidRPr="000F2247" w:rsidRDefault="00647B06" w:rsidP="00CE33E3">
      <w:pPr>
        <w:rPr>
          <w:rFonts w:ascii="Arial" w:hAnsi="Arial"/>
          <w:b/>
          <w:bCs/>
          <w:sz w:val="26"/>
          <w:szCs w:val="26"/>
          <w:rtl/>
        </w:rPr>
      </w:pPr>
      <w:bookmarkStart w:id="8" w:name="Nitan"/>
      <w:r>
        <w:rPr>
          <w:rFonts w:ascii="Arial" w:hAnsi="Arial"/>
          <w:b/>
          <w:bCs/>
          <w:sz w:val="26"/>
          <w:szCs w:val="26"/>
          <w:rtl/>
        </w:rPr>
        <w:t xml:space="preserve">ניתן היום,  כ"א תמוז תשפ"ב, 20 יולי 2022, בהעדר הצדדים. </w:t>
      </w:r>
      <w:bookmarkEnd w:id="8"/>
    </w:p>
    <w:p w14:paraId="7348DAC8" w14:textId="77777777" w:rsidR="00CE33E3" w:rsidRPr="000F2247" w:rsidRDefault="00CE33E3" w:rsidP="00647B06">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CFE0E03" w14:textId="77777777" w:rsidR="00CE33E3" w:rsidRPr="00186CFC" w:rsidRDefault="00186CFC" w:rsidP="00CE33E3">
      <w:pPr>
        <w:jc w:val="center"/>
        <w:rPr>
          <w:rFonts w:ascii="Arial" w:hAnsi="Arial"/>
          <w:b/>
          <w:bCs/>
          <w:color w:val="FFFFFF"/>
          <w:sz w:val="2"/>
          <w:szCs w:val="2"/>
          <w:rtl/>
        </w:rPr>
      </w:pPr>
      <w:r w:rsidRPr="00186CFC">
        <w:rPr>
          <w:rFonts w:ascii="Arial" w:hAnsi="Arial"/>
          <w:b/>
          <w:bCs/>
          <w:color w:val="FFFFFF"/>
          <w:sz w:val="2"/>
          <w:szCs w:val="2"/>
          <w:rtl/>
        </w:rPr>
        <w:t>5129371</w:t>
      </w:r>
    </w:p>
    <w:p w14:paraId="496C5D89" w14:textId="77777777" w:rsidR="00D02FB7" w:rsidRPr="00186CFC" w:rsidRDefault="00186CFC" w:rsidP="00647B06">
      <w:pPr>
        <w:keepNext/>
        <w:rPr>
          <w:rFonts w:ascii="David" w:hAnsi="David"/>
          <w:color w:val="FFFFFF"/>
          <w:sz w:val="2"/>
          <w:szCs w:val="2"/>
          <w:rtl/>
        </w:rPr>
      </w:pPr>
      <w:r w:rsidRPr="00186CFC">
        <w:rPr>
          <w:rFonts w:ascii="David" w:hAnsi="David"/>
          <w:color w:val="FFFFFF"/>
          <w:sz w:val="2"/>
          <w:szCs w:val="2"/>
          <w:rtl/>
        </w:rPr>
        <w:t>54678313</w:t>
      </w:r>
    </w:p>
    <w:p w14:paraId="5D4D1F71" w14:textId="77777777" w:rsidR="00647B06" w:rsidRDefault="00647B06" w:rsidP="00647B06">
      <w:pPr>
        <w:rPr>
          <w:rtl/>
        </w:rPr>
      </w:pPr>
    </w:p>
    <w:p w14:paraId="72BC279C" w14:textId="77777777" w:rsidR="00647B06" w:rsidRDefault="00647B06" w:rsidP="00647B06">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37488BA6" w14:textId="77777777" w:rsidR="00186CFC" w:rsidRPr="00186CFC" w:rsidRDefault="00186CFC" w:rsidP="00186CFC">
      <w:pPr>
        <w:keepNext/>
        <w:rPr>
          <w:rFonts w:ascii="David" w:hAnsi="David"/>
          <w:color w:val="000000"/>
          <w:sz w:val="22"/>
          <w:szCs w:val="22"/>
          <w:rtl/>
        </w:rPr>
      </w:pPr>
    </w:p>
    <w:p w14:paraId="7522426F" w14:textId="77777777" w:rsidR="00186CFC" w:rsidRPr="00186CFC" w:rsidRDefault="00186CFC" w:rsidP="00186CFC">
      <w:pPr>
        <w:keepNext/>
        <w:rPr>
          <w:rFonts w:ascii="David" w:hAnsi="David"/>
          <w:color w:val="000000"/>
          <w:sz w:val="22"/>
          <w:szCs w:val="22"/>
          <w:rtl/>
        </w:rPr>
      </w:pPr>
      <w:r w:rsidRPr="00186CFC">
        <w:rPr>
          <w:rFonts w:ascii="David" w:hAnsi="David"/>
          <w:color w:val="000000"/>
          <w:sz w:val="22"/>
          <w:szCs w:val="22"/>
          <w:rtl/>
        </w:rPr>
        <w:t>דרור קלייטמן 54678313-/</w:t>
      </w:r>
    </w:p>
    <w:p w14:paraId="3E5B8214" w14:textId="77777777" w:rsidR="00647B06" w:rsidRPr="00647B06" w:rsidRDefault="00186CFC" w:rsidP="00186CFC">
      <w:pPr>
        <w:rPr>
          <w:color w:val="0000FF"/>
          <w:u w:val="single"/>
        </w:rPr>
      </w:pPr>
      <w:r w:rsidRPr="00186CFC">
        <w:rPr>
          <w:color w:val="000000"/>
          <w:u w:val="single"/>
          <w:rtl/>
        </w:rPr>
        <w:t>נוסח מסמך זה כפוף לשינויי ניסוח ועריכה</w:t>
      </w:r>
    </w:p>
    <w:sectPr w:rsidR="00647B06" w:rsidRPr="00647B06" w:rsidSect="00186CFC">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4590B7" w14:textId="77777777" w:rsidR="002E0765" w:rsidRDefault="002E0765" w:rsidP="009F40A1">
      <w:r>
        <w:separator/>
      </w:r>
    </w:p>
  </w:endnote>
  <w:endnote w:type="continuationSeparator" w:id="0">
    <w:p w14:paraId="33AF989E" w14:textId="77777777" w:rsidR="002E0765" w:rsidRDefault="002E0765" w:rsidP="009F4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DaunPenh">
    <w:charset w:val="00"/>
    <w:family w:val="auto"/>
    <w:pitch w:val="variable"/>
    <w:sig w:usb0="80000003" w:usb1="00000000" w:usb2="0001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841A6" w14:textId="77777777" w:rsidR="00186CFC" w:rsidRDefault="00186CFC" w:rsidP="00186CF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41B5AE4" w14:textId="77777777" w:rsidR="00BF4E91" w:rsidRPr="00186CFC" w:rsidRDefault="00186CFC" w:rsidP="00186CFC">
    <w:pPr>
      <w:pStyle w:val="a5"/>
      <w:pBdr>
        <w:top w:val="single" w:sz="4" w:space="1" w:color="auto"/>
        <w:between w:val="single" w:sz="4" w:space="0" w:color="auto"/>
      </w:pBdr>
      <w:spacing w:after="60"/>
      <w:jc w:val="center"/>
      <w:rPr>
        <w:rFonts w:ascii="FrankRuehl" w:hAnsi="FrankRuehl" w:cs="FrankRuehl"/>
        <w:color w:val="000000"/>
      </w:rPr>
    </w:pPr>
    <w:r w:rsidRPr="00186CF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DF875" w14:textId="77777777" w:rsidR="00186CFC" w:rsidRDefault="00186CFC" w:rsidP="00186CF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24CEB">
      <w:rPr>
        <w:rFonts w:ascii="FrankRuehl" w:hAnsi="FrankRuehl" w:cs="FrankRuehl"/>
        <w:noProof/>
        <w:rtl/>
      </w:rPr>
      <w:t>1</w:t>
    </w:r>
    <w:r>
      <w:rPr>
        <w:rFonts w:ascii="FrankRuehl" w:hAnsi="FrankRuehl" w:cs="FrankRuehl"/>
        <w:rtl/>
      </w:rPr>
      <w:fldChar w:fldCharType="end"/>
    </w:r>
  </w:p>
  <w:p w14:paraId="6B318175" w14:textId="77777777" w:rsidR="00BF4E91" w:rsidRPr="00186CFC" w:rsidRDefault="00186CFC" w:rsidP="00186CFC">
    <w:pPr>
      <w:pStyle w:val="a5"/>
      <w:pBdr>
        <w:top w:val="single" w:sz="4" w:space="1" w:color="auto"/>
        <w:between w:val="single" w:sz="4" w:space="0" w:color="auto"/>
      </w:pBdr>
      <w:spacing w:after="60"/>
      <w:jc w:val="center"/>
      <w:rPr>
        <w:rFonts w:ascii="FrankRuehl" w:hAnsi="FrankRuehl" w:cs="FrankRuehl"/>
        <w:color w:val="000000"/>
      </w:rPr>
    </w:pPr>
    <w:r w:rsidRPr="00186CFC">
      <w:rPr>
        <w:rFonts w:ascii="FrankRuehl" w:hAnsi="FrankRuehl" w:cs="FrankRuehl"/>
        <w:color w:val="000000"/>
      </w:rPr>
      <w:pict w14:anchorId="459602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F8DA35" w14:textId="77777777" w:rsidR="002E0765" w:rsidRDefault="002E0765" w:rsidP="009F40A1">
      <w:r>
        <w:separator/>
      </w:r>
    </w:p>
  </w:footnote>
  <w:footnote w:type="continuationSeparator" w:id="0">
    <w:p w14:paraId="44491110" w14:textId="77777777" w:rsidR="002E0765" w:rsidRDefault="002E0765" w:rsidP="009F40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2EAE1" w14:textId="77777777" w:rsidR="00647B06" w:rsidRPr="00186CFC" w:rsidRDefault="00186CFC" w:rsidP="00186CF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22978-11-21</w:t>
    </w:r>
    <w:r>
      <w:rPr>
        <w:rFonts w:ascii="David" w:hAnsi="David"/>
        <w:color w:val="000000"/>
        <w:sz w:val="22"/>
        <w:szCs w:val="22"/>
        <w:rtl/>
      </w:rPr>
      <w:tab/>
      <w:t xml:space="preserve"> מדינת ישראל נ' תפרי רן יעקב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B4145" w14:textId="77777777" w:rsidR="00647B06" w:rsidRPr="00186CFC" w:rsidRDefault="00186CFC" w:rsidP="00186CF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22978-11-21</w:t>
    </w:r>
    <w:r>
      <w:rPr>
        <w:rFonts w:ascii="David" w:hAnsi="David"/>
        <w:color w:val="000000"/>
        <w:sz w:val="22"/>
        <w:szCs w:val="22"/>
        <w:rtl/>
      </w:rPr>
      <w:tab/>
      <w:t xml:space="preserve"> מדינת ישראל נ' תפרי רן יעקב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D06062"/>
    <w:multiLevelType w:val="hybridMultilevel"/>
    <w:tmpl w:val="5254F576"/>
    <w:lvl w:ilvl="0" w:tplc="30B4E8CA">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538977B5"/>
    <w:multiLevelType w:val="hybridMultilevel"/>
    <w:tmpl w:val="53B6D97E"/>
    <w:lvl w:ilvl="0" w:tplc="93D85244">
      <w:start w:val="1"/>
      <w:numFmt w:val="hebrew1"/>
      <w:lvlText w:val="%1."/>
      <w:lvlJc w:val="left"/>
      <w:pPr>
        <w:ind w:left="1080" w:hanging="360"/>
      </w:pPr>
      <w:rPr>
        <w:color w:val="00000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6A5D525F"/>
    <w:multiLevelType w:val="hybridMultilevel"/>
    <w:tmpl w:val="FCB8C4B2"/>
    <w:lvl w:ilvl="0" w:tplc="E0302E30">
      <w:start w:val="1"/>
      <w:numFmt w:val="decimal"/>
      <w:lvlText w:val="%1."/>
      <w:lvlJc w:val="left"/>
      <w:pPr>
        <w:ind w:left="785"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588812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019603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806366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E33E3"/>
    <w:rsid w:val="00124CEB"/>
    <w:rsid w:val="00160519"/>
    <w:rsid w:val="00186CFC"/>
    <w:rsid w:val="001B5A3B"/>
    <w:rsid w:val="002E0765"/>
    <w:rsid w:val="00413231"/>
    <w:rsid w:val="00647B06"/>
    <w:rsid w:val="00655914"/>
    <w:rsid w:val="0081570C"/>
    <w:rsid w:val="009F40A1"/>
    <w:rsid w:val="00A06BD8"/>
    <w:rsid w:val="00BF4E91"/>
    <w:rsid w:val="00C2503A"/>
    <w:rsid w:val="00CE33E3"/>
    <w:rsid w:val="00D02FB7"/>
    <w:rsid w:val="00F422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11FCCA"/>
  <w15:chartTrackingRefBased/>
  <w15:docId w15:val="{98CFFAE2-643B-4E37-84CB-FCA79EA14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E33E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E33E3"/>
    <w:pPr>
      <w:tabs>
        <w:tab w:val="center" w:pos="4153"/>
        <w:tab w:val="right" w:pos="8306"/>
      </w:tabs>
    </w:pPr>
  </w:style>
  <w:style w:type="character" w:customStyle="1" w:styleId="a4">
    <w:name w:val="כותרת עליונה תו"/>
    <w:link w:val="a3"/>
    <w:rsid w:val="00CE33E3"/>
    <w:rPr>
      <w:rFonts w:ascii="Times New Roman" w:eastAsia="Times New Roman" w:hAnsi="Times New Roman" w:cs="David"/>
      <w:sz w:val="24"/>
      <w:szCs w:val="24"/>
    </w:rPr>
  </w:style>
  <w:style w:type="paragraph" w:styleId="a5">
    <w:name w:val="footer"/>
    <w:basedOn w:val="a"/>
    <w:link w:val="a6"/>
    <w:rsid w:val="00CE33E3"/>
    <w:pPr>
      <w:tabs>
        <w:tab w:val="center" w:pos="4153"/>
        <w:tab w:val="right" w:pos="8306"/>
      </w:tabs>
    </w:pPr>
  </w:style>
  <w:style w:type="character" w:customStyle="1" w:styleId="a6">
    <w:name w:val="כותרת תחתונה תו"/>
    <w:link w:val="a5"/>
    <w:rsid w:val="00CE33E3"/>
    <w:rPr>
      <w:rFonts w:ascii="Times New Roman" w:eastAsia="Times New Roman" w:hAnsi="Times New Roman" w:cs="David"/>
      <w:sz w:val="24"/>
      <w:szCs w:val="24"/>
    </w:rPr>
  </w:style>
  <w:style w:type="table" w:styleId="a7">
    <w:name w:val="Table Grid"/>
    <w:basedOn w:val="a1"/>
    <w:rsid w:val="00CE33E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E33E3"/>
  </w:style>
  <w:style w:type="character" w:styleId="Hyperlink">
    <w:name w:val="Hyperlink"/>
    <w:rsid w:val="00647B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 TargetMode="External"/><Relationship Id="rId18" Type="http://schemas.openxmlformats.org/officeDocument/2006/relationships/hyperlink" Target="https://www.nevo.co.il/psika_html/shalom/SH-18-01-25332-951.htm"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case/27720202"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7.a.;7.c" TargetMode="External"/><Relationship Id="rId17" Type="http://schemas.openxmlformats.org/officeDocument/2006/relationships/hyperlink" Target="https://www.nevo.co.il/psika_html/shalom/SH-19-03-63672-22.htm"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case/25664174"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law/4216" TargetMode="External"/><Relationship Id="rId28" Type="http://schemas.openxmlformats.org/officeDocument/2006/relationships/footer" Target="footer2.xml"/><Relationship Id="rId10" Type="http://schemas.openxmlformats.org/officeDocument/2006/relationships/hyperlink" Target="http://www.nevo.co.il/law/4216/13" TargetMode="External"/><Relationship Id="rId19" Type="http://schemas.openxmlformats.org/officeDocument/2006/relationships/hyperlink" Target="http://www.nevo.co.il/case/22819882"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7.c" TargetMode="External"/><Relationship Id="rId22" Type="http://schemas.openxmlformats.org/officeDocument/2006/relationships/hyperlink" Target="http://www.nevo.co.il/law/4216"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1898</Words>
  <Characters>9494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11370</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8257637</vt:i4>
      </vt:variant>
      <vt:variant>
        <vt:i4>48</vt:i4>
      </vt:variant>
      <vt:variant>
        <vt:i4>0</vt:i4>
      </vt:variant>
      <vt:variant>
        <vt:i4>5</vt:i4>
      </vt:variant>
      <vt:variant>
        <vt:lpwstr>http://www.nevo.co.il/law/4216</vt:lpwstr>
      </vt:variant>
      <vt:variant>
        <vt:lpwstr/>
      </vt:variant>
      <vt:variant>
        <vt:i4>8257637</vt:i4>
      </vt:variant>
      <vt:variant>
        <vt:i4>45</vt:i4>
      </vt:variant>
      <vt:variant>
        <vt:i4>0</vt:i4>
      </vt:variant>
      <vt:variant>
        <vt:i4>5</vt:i4>
      </vt:variant>
      <vt:variant>
        <vt:lpwstr>http://www.nevo.co.il/law/4216</vt:lpwstr>
      </vt:variant>
      <vt:variant>
        <vt:lpwstr/>
      </vt:variant>
      <vt:variant>
        <vt:i4>3473523</vt:i4>
      </vt:variant>
      <vt:variant>
        <vt:i4>42</vt:i4>
      </vt:variant>
      <vt:variant>
        <vt:i4>0</vt:i4>
      </vt:variant>
      <vt:variant>
        <vt:i4>5</vt:i4>
      </vt:variant>
      <vt:variant>
        <vt:lpwstr>http://www.nevo.co.il/case/27720202</vt:lpwstr>
      </vt:variant>
      <vt:variant>
        <vt:lpwstr/>
      </vt:variant>
      <vt:variant>
        <vt:i4>3604598</vt:i4>
      </vt:variant>
      <vt:variant>
        <vt:i4>39</vt:i4>
      </vt:variant>
      <vt:variant>
        <vt:i4>0</vt:i4>
      </vt:variant>
      <vt:variant>
        <vt:i4>5</vt:i4>
      </vt:variant>
      <vt:variant>
        <vt:lpwstr>http://www.nevo.co.il/case/25664174</vt:lpwstr>
      </vt:variant>
      <vt:variant>
        <vt:lpwstr/>
      </vt:variant>
      <vt:variant>
        <vt:i4>3866751</vt:i4>
      </vt:variant>
      <vt:variant>
        <vt:i4>36</vt:i4>
      </vt:variant>
      <vt:variant>
        <vt:i4>0</vt:i4>
      </vt:variant>
      <vt:variant>
        <vt:i4>5</vt:i4>
      </vt:variant>
      <vt:variant>
        <vt:lpwstr>http://www.nevo.co.il/case/22819882</vt:lpwstr>
      </vt:variant>
      <vt:variant>
        <vt:lpwstr/>
      </vt:variant>
      <vt:variant>
        <vt:i4>6750276</vt:i4>
      </vt:variant>
      <vt:variant>
        <vt:i4>33</vt:i4>
      </vt:variant>
      <vt:variant>
        <vt:i4>0</vt:i4>
      </vt:variant>
      <vt:variant>
        <vt:i4>5</vt:i4>
      </vt:variant>
      <vt:variant>
        <vt:lpwstr>https://www.nevo.co.il/psika_html/shalom/SH-18-01-25332-951.htm</vt:lpwstr>
      </vt:variant>
      <vt:variant>
        <vt:lpwstr/>
      </vt:variant>
      <vt:variant>
        <vt:i4>3932239</vt:i4>
      </vt:variant>
      <vt:variant>
        <vt:i4>30</vt:i4>
      </vt:variant>
      <vt:variant>
        <vt:i4>0</vt:i4>
      </vt:variant>
      <vt:variant>
        <vt:i4>5</vt:i4>
      </vt:variant>
      <vt:variant>
        <vt:lpwstr>https://www.nevo.co.il/psika_html/shalom/SH-19-03-63672-22.htm</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2025-04-23T01:14:00Z</dcterms:created>
  <dcterms:modified xsi:type="dcterms:W3CDTF">2025-04-23T01:14:00Z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22978</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תפרי רן יעקב</vt:lpwstr>
  </property>
  <property fmtid="{D5CDD505-2E9C-101B-9397-08002B2CF9AE}" pid="10" name="LAWYER">
    <vt:lpwstr>בר נמרי;אורנית מרום</vt:lpwstr>
  </property>
  <property fmtid="{D5CDD505-2E9C-101B-9397-08002B2CF9AE}" pid="11" name="JUDGE">
    <vt:lpwstr>דרור קלייטמן</vt:lpwstr>
  </property>
  <property fmtid="{D5CDD505-2E9C-101B-9397-08002B2CF9AE}" pid="12" name="CITY">
    <vt:lpwstr>פ"ת</vt:lpwstr>
  </property>
  <property fmtid="{D5CDD505-2E9C-101B-9397-08002B2CF9AE}" pid="13" name="DATE">
    <vt:lpwstr>20220720</vt:lpwstr>
  </property>
  <property fmtid="{D5CDD505-2E9C-101B-9397-08002B2CF9AE}" pid="14" name="TYPE_N_DATE">
    <vt:lpwstr>38020220720</vt:lpwstr>
  </property>
  <property fmtid="{D5CDD505-2E9C-101B-9397-08002B2CF9AE}" pid="15" name="WORDNUMPAGES">
    <vt:lpwstr>7</vt:lpwstr>
  </property>
  <property fmtid="{D5CDD505-2E9C-101B-9397-08002B2CF9AE}" pid="16" name="TYPE_ABS_DATE">
    <vt:lpwstr>380020220720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22819882;25664174;27720202</vt:lpwstr>
  </property>
  <property fmtid="{D5CDD505-2E9C-101B-9397-08002B2CF9AE}" pid="36" name="LAWLISTTMP1">
    <vt:lpwstr>4216/007.a:2;007.c:2;013;019a</vt:lpwstr>
  </property>
</Properties>
</file>