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A12046" w:rsidRPr="004F13BA" w14:paraId="4A0A362C" w14:textId="77777777" w:rsidTr="005E32B5">
        <w:trPr>
          <w:trHeight w:hRule="exact" w:val="418"/>
          <w:jc w:val="center"/>
        </w:trPr>
        <w:tc>
          <w:tcPr>
            <w:tcW w:w="8721" w:type="dxa"/>
            <w:gridSpan w:val="2"/>
          </w:tcPr>
          <w:p w14:paraId="425ECDCE" w14:textId="77777777" w:rsidR="00A12046" w:rsidRPr="004F13BA" w:rsidRDefault="00A12046" w:rsidP="005E32B5">
            <w:pPr>
              <w:pStyle w:val="a3"/>
              <w:jc w:val="center"/>
              <w:rPr>
                <w:rFonts w:ascii="Tahoma" w:hAnsi="Tahoma" w:cs="Tahoma"/>
                <w:color w:val="000080"/>
                <w:rtl/>
              </w:rPr>
            </w:pPr>
            <w:bookmarkStart w:id="0" w:name="LastJudge"/>
            <w:r w:rsidRPr="004F13BA">
              <w:rPr>
                <w:rFonts w:ascii="Tahoma" w:hAnsi="Tahoma" w:cs="Tahoma"/>
                <w:b/>
                <w:bCs/>
                <w:color w:val="000080"/>
                <w:rtl/>
              </w:rPr>
              <w:t>בית משפט השלום בקריית גת</w:t>
            </w:r>
          </w:p>
        </w:tc>
      </w:tr>
      <w:tr w:rsidR="00A12046" w:rsidRPr="004F13BA" w14:paraId="12A92826" w14:textId="77777777" w:rsidTr="005E32B5">
        <w:trPr>
          <w:trHeight w:val="337"/>
          <w:jc w:val="center"/>
        </w:trPr>
        <w:tc>
          <w:tcPr>
            <w:tcW w:w="5047" w:type="dxa"/>
          </w:tcPr>
          <w:p w14:paraId="04CD03C4" w14:textId="77777777" w:rsidR="00A12046" w:rsidRPr="004F13BA" w:rsidRDefault="00A12046" w:rsidP="005E32B5">
            <w:pPr>
              <w:rPr>
                <w:b/>
                <w:bCs/>
                <w:sz w:val="26"/>
                <w:szCs w:val="26"/>
                <w:rtl/>
              </w:rPr>
            </w:pPr>
          </w:p>
        </w:tc>
        <w:tc>
          <w:tcPr>
            <w:tcW w:w="3674" w:type="dxa"/>
          </w:tcPr>
          <w:p w14:paraId="48161825" w14:textId="77777777" w:rsidR="00A12046" w:rsidRPr="004F13BA" w:rsidRDefault="00A12046" w:rsidP="005E32B5">
            <w:pPr>
              <w:pStyle w:val="a3"/>
              <w:jc w:val="right"/>
              <w:rPr>
                <w:b/>
                <w:bCs/>
                <w:sz w:val="26"/>
                <w:szCs w:val="26"/>
                <w:rtl/>
              </w:rPr>
            </w:pPr>
            <w:r w:rsidRPr="004F13BA">
              <w:rPr>
                <w:b/>
                <w:bCs/>
                <w:sz w:val="26"/>
                <w:szCs w:val="26"/>
                <w:rtl/>
              </w:rPr>
              <w:t>12 יולי 2023</w:t>
            </w:r>
          </w:p>
        </w:tc>
      </w:tr>
      <w:tr w:rsidR="00A12046" w:rsidRPr="004F13BA" w14:paraId="32EC7B8F" w14:textId="77777777" w:rsidTr="005E32B5">
        <w:trPr>
          <w:trHeight w:val="337"/>
          <w:jc w:val="center"/>
        </w:trPr>
        <w:tc>
          <w:tcPr>
            <w:tcW w:w="8721" w:type="dxa"/>
            <w:gridSpan w:val="2"/>
          </w:tcPr>
          <w:p w14:paraId="7E75F213" w14:textId="77777777" w:rsidR="00A12046" w:rsidRPr="004F13BA" w:rsidRDefault="00A12046" w:rsidP="005E32B5">
            <w:pPr>
              <w:rPr>
                <w:b/>
                <w:bCs/>
                <w:sz w:val="26"/>
                <w:szCs w:val="26"/>
                <w:rtl/>
              </w:rPr>
            </w:pPr>
            <w:r w:rsidRPr="004F13BA">
              <w:rPr>
                <w:b/>
                <w:bCs/>
                <w:sz w:val="26"/>
                <w:szCs w:val="26"/>
                <w:rtl/>
              </w:rPr>
              <w:t>ת"פ 44015-11-21 מדינת ישראל נ' נגבקר</w:t>
            </w:r>
          </w:p>
          <w:p w14:paraId="0DD4AC8E" w14:textId="77777777" w:rsidR="00A12046" w:rsidRPr="004F13BA" w:rsidRDefault="00A12046" w:rsidP="005E32B5">
            <w:pPr>
              <w:rPr>
                <w:rtl/>
              </w:rPr>
            </w:pPr>
          </w:p>
        </w:tc>
      </w:tr>
    </w:tbl>
    <w:p w14:paraId="354CEABA" w14:textId="77777777" w:rsidR="00A12046" w:rsidRPr="004F13BA" w:rsidRDefault="00A12046" w:rsidP="00A12046"/>
    <w:tbl>
      <w:tblPr>
        <w:bidiVisual/>
        <w:tblW w:w="8820" w:type="dxa"/>
        <w:jc w:val="center"/>
        <w:tblLook w:val="0000" w:firstRow="0" w:lastRow="0" w:firstColumn="0" w:lastColumn="0" w:noHBand="0" w:noVBand="0"/>
      </w:tblPr>
      <w:tblGrid>
        <w:gridCol w:w="873"/>
        <w:gridCol w:w="6101"/>
        <w:gridCol w:w="1747"/>
        <w:gridCol w:w="99"/>
      </w:tblGrid>
      <w:tr w:rsidR="00A12046" w:rsidRPr="004F13BA" w14:paraId="1E8D9D35" w14:textId="77777777" w:rsidTr="005C5822">
        <w:trPr>
          <w:gridAfter w:val="1"/>
          <w:wAfter w:w="99" w:type="dxa"/>
          <w:trHeight w:val="337"/>
          <w:jc w:val="center"/>
        </w:trPr>
        <w:tc>
          <w:tcPr>
            <w:tcW w:w="873" w:type="dxa"/>
          </w:tcPr>
          <w:p w14:paraId="62D5A9E0" w14:textId="77777777" w:rsidR="00A12046" w:rsidRPr="004F13BA" w:rsidRDefault="00A12046" w:rsidP="005E32B5">
            <w:pPr>
              <w:tabs>
                <w:tab w:val="left" w:pos="1710"/>
              </w:tabs>
              <w:rPr>
                <w:b/>
                <w:bCs/>
                <w:sz w:val="28"/>
                <w:szCs w:val="28"/>
                <w:rtl/>
              </w:rPr>
            </w:pPr>
            <w:r w:rsidRPr="004F13BA">
              <w:rPr>
                <w:rFonts w:hint="cs"/>
                <w:b/>
                <w:bCs/>
                <w:sz w:val="28"/>
                <w:szCs w:val="28"/>
                <w:rtl/>
              </w:rPr>
              <w:t>בפני</w:t>
            </w:r>
          </w:p>
        </w:tc>
        <w:tc>
          <w:tcPr>
            <w:tcW w:w="7848" w:type="dxa"/>
            <w:gridSpan w:val="2"/>
          </w:tcPr>
          <w:p w14:paraId="39E2DB14" w14:textId="77777777" w:rsidR="00A12046" w:rsidRPr="004F13BA" w:rsidRDefault="00A12046" w:rsidP="005E32B5">
            <w:pPr>
              <w:rPr>
                <w:rFonts w:ascii="Arial" w:hAnsi="Arial"/>
                <w:b/>
                <w:bCs/>
                <w:sz w:val="28"/>
                <w:szCs w:val="28"/>
                <w:rtl/>
              </w:rPr>
            </w:pPr>
            <w:r w:rsidRPr="004F13BA">
              <w:rPr>
                <w:rFonts w:ascii="Arial" w:hAnsi="Arial" w:hint="cs"/>
                <w:b/>
                <w:bCs/>
                <w:sz w:val="28"/>
                <w:szCs w:val="28"/>
                <w:rtl/>
              </w:rPr>
              <w:t xml:space="preserve">כב' השופטת </w:t>
            </w:r>
            <w:r w:rsidRPr="004F13BA">
              <w:rPr>
                <w:rFonts w:ascii="Arial" w:hAnsi="Arial"/>
                <w:b/>
                <w:bCs/>
                <w:sz w:val="28"/>
                <w:szCs w:val="28"/>
                <w:rtl/>
              </w:rPr>
              <w:t>נגה שמואלי-מאייר</w:t>
            </w:r>
          </w:p>
          <w:p w14:paraId="4EFB6CE6" w14:textId="77777777" w:rsidR="00A12046" w:rsidRPr="004F13BA" w:rsidRDefault="00A12046" w:rsidP="005E32B5">
            <w:pPr>
              <w:tabs>
                <w:tab w:val="left" w:pos="1710"/>
              </w:tabs>
              <w:rPr>
                <w:rtl/>
              </w:rPr>
            </w:pPr>
          </w:p>
        </w:tc>
      </w:tr>
      <w:tr w:rsidR="00A12046" w:rsidRPr="004F13BA" w14:paraId="062D2CC5" w14:textId="77777777" w:rsidTr="005C5822">
        <w:tblPrEx>
          <w:tblLook w:val="01E0" w:firstRow="1" w:lastRow="1" w:firstColumn="1" w:lastColumn="1" w:noHBand="0" w:noVBand="0"/>
        </w:tblPrEx>
        <w:trPr>
          <w:jc w:val="center"/>
        </w:trPr>
        <w:tc>
          <w:tcPr>
            <w:tcW w:w="6974" w:type="dxa"/>
            <w:gridSpan w:val="2"/>
            <w:shd w:val="clear" w:color="auto" w:fill="auto"/>
          </w:tcPr>
          <w:p w14:paraId="39D4B214" w14:textId="77777777" w:rsidR="00A12046" w:rsidRPr="004F13BA" w:rsidRDefault="00A12046" w:rsidP="00A12046">
            <w:pPr>
              <w:spacing w:line="360" w:lineRule="auto"/>
              <w:rPr>
                <w:rFonts w:ascii="David" w:hAnsi="David"/>
                <w:b/>
                <w:bCs/>
                <w:sz w:val="26"/>
                <w:szCs w:val="26"/>
                <w:rtl/>
              </w:rPr>
            </w:pPr>
            <w:r w:rsidRPr="004F13BA">
              <w:rPr>
                <w:rtl/>
              </w:rPr>
              <w:t xml:space="preserve"> </w:t>
            </w:r>
            <w:bookmarkStart w:id="1" w:name="FirstAppellant"/>
            <w:bookmarkStart w:id="2" w:name="FirstLawyer"/>
            <w:r w:rsidRPr="004F13BA">
              <w:rPr>
                <w:rFonts w:ascii="David" w:hAnsi="David"/>
                <w:b/>
                <w:bCs/>
                <w:sz w:val="26"/>
                <w:szCs w:val="26"/>
                <w:rtl/>
              </w:rPr>
              <w:t>מדינת ישראל</w:t>
            </w:r>
          </w:p>
          <w:p w14:paraId="2FC0691B" w14:textId="77777777" w:rsidR="00A12046" w:rsidRPr="004F13BA" w:rsidRDefault="00A12046" w:rsidP="00A12046">
            <w:pPr>
              <w:spacing w:line="360" w:lineRule="auto"/>
              <w:rPr>
                <w:rFonts w:ascii="David" w:hAnsi="David"/>
                <w:b/>
                <w:bCs/>
                <w:sz w:val="28"/>
                <w:szCs w:val="28"/>
                <w:rtl/>
              </w:rPr>
            </w:pPr>
            <w:r w:rsidRPr="004F13BA">
              <w:rPr>
                <w:rFonts w:ascii="David" w:hAnsi="David"/>
                <w:b/>
                <w:bCs/>
                <w:sz w:val="26"/>
                <w:szCs w:val="26"/>
                <w:rtl/>
              </w:rPr>
              <w:t>ע"י ב"כ עו</w:t>
            </w:r>
            <w:r w:rsidRPr="004F13BA">
              <w:rPr>
                <w:rFonts w:ascii="David" w:hAnsi="David" w:hint="cs"/>
                <w:b/>
                <w:bCs/>
                <w:sz w:val="26"/>
                <w:szCs w:val="26"/>
                <w:rtl/>
              </w:rPr>
              <w:t>ה</w:t>
            </w:r>
            <w:r w:rsidRPr="004F13BA">
              <w:rPr>
                <w:rFonts w:ascii="David" w:hAnsi="David"/>
                <w:b/>
                <w:bCs/>
                <w:sz w:val="26"/>
                <w:szCs w:val="26"/>
                <w:rtl/>
              </w:rPr>
              <w:t>"ד</w:t>
            </w:r>
            <w:r w:rsidRPr="004F13BA">
              <w:rPr>
                <w:rFonts w:ascii="David" w:hAnsi="David" w:hint="cs"/>
                <w:b/>
                <w:bCs/>
                <w:sz w:val="26"/>
                <w:szCs w:val="26"/>
                <w:rtl/>
              </w:rPr>
              <w:t xml:space="preserve"> אורטל ליברזון ועוה"ד אודליה מויאל </w:t>
            </w:r>
            <w:r w:rsidRPr="004F13BA">
              <w:rPr>
                <w:rFonts w:ascii="David" w:hAnsi="David"/>
                <w:b/>
                <w:bCs/>
                <w:sz w:val="26"/>
                <w:szCs w:val="26"/>
                <w:rtl/>
              </w:rPr>
              <w:t>–</w:t>
            </w:r>
            <w:r w:rsidRPr="004F13BA">
              <w:rPr>
                <w:rFonts w:ascii="David" w:hAnsi="David" w:hint="cs"/>
                <w:b/>
                <w:bCs/>
                <w:sz w:val="26"/>
                <w:szCs w:val="26"/>
                <w:rtl/>
              </w:rPr>
              <w:t xml:space="preserve"> </w:t>
            </w:r>
            <w:r w:rsidRPr="004F13BA">
              <w:rPr>
                <w:rFonts w:ascii="David" w:hAnsi="David" w:hint="cs"/>
                <w:sz w:val="26"/>
                <w:szCs w:val="26"/>
                <w:rtl/>
              </w:rPr>
              <w:t>נוכחות</w:t>
            </w:r>
          </w:p>
        </w:tc>
        <w:tc>
          <w:tcPr>
            <w:tcW w:w="1846" w:type="dxa"/>
            <w:gridSpan w:val="2"/>
            <w:shd w:val="clear" w:color="auto" w:fill="auto"/>
          </w:tcPr>
          <w:p w14:paraId="038D015C" w14:textId="77777777" w:rsidR="00A12046" w:rsidRPr="004F13BA" w:rsidRDefault="00A12046" w:rsidP="00A12046">
            <w:pPr>
              <w:bidi w:val="0"/>
              <w:spacing w:line="360" w:lineRule="auto"/>
              <w:jc w:val="right"/>
              <w:rPr>
                <w:rFonts w:ascii="David" w:hAnsi="David"/>
                <w:b/>
                <w:bCs/>
                <w:sz w:val="28"/>
                <w:szCs w:val="28"/>
                <w:rtl/>
              </w:rPr>
            </w:pPr>
            <w:r w:rsidRPr="004F13BA">
              <w:rPr>
                <w:rFonts w:ascii="David" w:hAnsi="David"/>
                <w:b/>
                <w:bCs/>
                <w:sz w:val="28"/>
                <w:szCs w:val="28"/>
                <w:rtl/>
              </w:rPr>
              <w:t>המאשימה</w:t>
            </w:r>
          </w:p>
          <w:p w14:paraId="5379E403" w14:textId="77777777" w:rsidR="00A12046" w:rsidRPr="004F13BA" w:rsidRDefault="00A12046" w:rsidP="00A12046">
            <w:pPr>
              <w:spacing w:line="360" w:lineRule="auto"/>
              <w:rPr>
                <w:rFonts w:ascii="David" w:hAnsi="David"/>
                <w:b/>
                <w:bCs/>
                <w:sz w:val="26"/>
                <w:szCs w:val="26"/>
                <w:rtl/>
              </w:rPr>
            </w:pPr>
          </w:p>
        </w:tc>
      </w:tr>
      <w:bookmarkEnd w:id="1"/>
      <w:bookmarkEnd w:id="2"/>
      <w:tr w:rsidR="00A12046" w:rsidRPr="004F13BA" w14:paraId="479A7877" w14:textId="77777777" w:rsidTr="005C5822">
        <w:tblPrEx>
          <w:tblLook w:val="01E0" w:firstRow="1" w:lastRow="1" w:firstColumn="1" w:lastColumn="1" w:noHBand="0" w:noVBand="0"/>
        </w:tblPrEx>
        <w:trPr>
          <w:jc w:val="center"/>
        </w:trPr>
        <w:tc>
          <w:tcPr>
            <w:tcW w:w="8820" w:type="dxa"/>
            <w:gridSpan w:val="4"/>
            <w:shd w:val="clear" w:color="auto" w:fill="auto"/>
          </w:tcPr>
          <w:p w14:paraId="0E1B47B4" w14:textId="77777777" w:rsidR="00A12046" w:rsidRPr="004F13BA" w:rsidRDefault="00A12046" w:rsidP="00A12046">
            <w:pPr>
              <w:spacing w:line="360" w:lineRule="auto"/>
              <w:jc w:val="center"/>
              <w:rPr>
                <w:rFonts w:ascii="David" w:hAnsi="David"/>
                <w:b/>
                <w:bCs/>
                <w:sz w:val="28"/>
                <w:szCs w:val="28"/>
              </w:rPr>
            </w:pPr>
            <w:r w:rsidRPr="004F13BA">
              <w:rPr>
                <w:rFonts w:ascii="David" w:hAnsi="David"/>
                <w:b/>
                <w:bCs/>
                <w:sz w:val="28"/>
                <w:szCs w:val="28"/>
                <w:rtl/>
              </w:rPr>
              <w:t>נ ג ד</w:t>
            </w:r>
          </w:p>
        </w:tc>
      </w:tr>
      <w:tr w:rsidR="00A12046" w:rsidRPr="004F13BA" w14:paraId="317A0CC8" w14:textId="77777777" w:rsidTr="005C5822">
        <w:tblPrEx>
          <w:tblLook w:val="01E0" w:firstRow="1" w:lastRow="1" w:firstColumn="1" w:lastColumn="1" w:noHBand="0" w:noVBand="0"/>
        </w:tblPrEx>
        <w:trPr>
          <w:jc w:val="center"/>
        </w:trPr>
        <w:tc>
          <w:tcPr>
            <w:tcW w:w="6974" w:type="dxa"/>
            <w:gridSpan w:val="2"/>
            <w:shd w:val="clear" w:color="auto" w:fill="auto"/>
          </w:tcPr>
          <w:p w14:paraId="0C0C504A" w14:textId="77777777" w:rsidR="00A12046" w:rsidRPr="004F13BA" w:rsidRDefault="00A12046" w:rsidP="00A12046">
            <w:pPr>
              <w:spacing w:line="360" w:lineRule="auto"/>
              <w:rPr>
                <w:rFonts w:ascii="David" w:hAnsi="David"/>
                <w:b/>
                <w:bCs/>
                <w:sz w:val="26"/>
                <w:szCs w:val="26"/>
              </w:rPr>
            </w:pPr>
            <w:r w:rsidRPr="004F13BA">
              <w:rPr>
                <w:rFonts w:ascii="David" w:hAnsi="David"/>
                <w:b/>
                <w:bCs/>
                <w:sz w:val="26"/>
                <w:szCs w:val="26"/>
                <w:rtl/>
              </w:rPr>
              <w:t xml:space="preserve">יקיר נגבקר – </w:t>
            </w:r>
            <w:r w:rsidRPr="004F13BA">
              <w:rPr>
                <w:rFonts w:ascii="David" w:hAnsi="David"/>
                <w:sz w:val="26"/>
                <w:szCs w:val="26"/>
                <w:rtl/>
              </w:rPr>
              <w:t>נוכח</w:t>
            </w:r>
          </w:p>
          <w:p w14:paraId="4F70DF4E" w14:textId="77777777" w:rsidR="00A12046" w:rsidRPr="004F13BA" w:rsidRDefault="00A12046" w:rsidP="00A12046">
            <w:pPr>
              <w:spacing w:line="360" w:lineRule="auto"/>
              <w:rPr>
                <w:rFonts w:ascii="David" w:hAnsi="David"/>
                <w:b/>
                <w:bCs/>
                <w:sz w:val="26"/>
                <w:szCs w:val="26"/>
                <w:rtl/>
              </w:rPr>
            </w:pPr>
            <w:r w:rsidRPr="004F13BA">
              <w:rPr>
                <w:rFonts w:ascii="David" w:hAnsi="David"/>
                <w:b/>
                <w:bCs/>
                <w:sz w:val="26"/>
                <w:szCs w:val="26"/>
                <w:rtl/>
              </w:rPr>
              <w:t xml:space="preserve">ע"י ב"כ עו"ד יוסי דגה – </w:t>
            </w:r>
            <w:r w:rsidRPr="004F13BA">
              <w:rPr>
                <w:rFonts w:ascii="David" w:hAnsi="David" w:hint="cs"/>
                <w:sz w:val="26"/>
                <w:szCs w:val="26"/>
                <w:rtl/>
              </w:rPr>
              <w:t>בהעדר</w:t>
            </w:r>
          </w:p>
          <w:p w14:paraId="3833848F" w14:textId="77777777" w:rsidR="00A12046" w:rsidRPr="004F13BA" w:rsidRDefault="00A12046" w:rsidP="00A12046">
            <w:pPr>
              <w:spacing w:line="360" w:lineRule="auto"/>
              <w:rPr>
                <w:rFonts w:ascii="David" w:hAnsi="David"/>
                <w:b/>
                <w:bCs/>
                <w:sz w:val="26"/>
                <w:szCs w:val="26"/>
                <w:rtl/>
              </w:rPr>
            </w:pPr>
            <w:r w:rsidRPr="004F13BA">
              <w:rPr>
                <w:rFonts w:ascii="David" w:hAnsi="David" w:hint="cs"/>
                <w:b/>
                <w:bCs/>
                <w:sz w:val="26"/>
                <w:szCs w:val="26"/>
                <w:rtl/>
              </w:rPr>
              <w:t xml:space="preserve">עו"ד יורם סגי-זקס (בשם עו"ד דגה) </w:t>
            </w:r>
            <w:r w:rsidRPr="004F13BA">
              <w:rPr>
                <w:rFonts w:ascii="David" w:hAnsi="David"/>
                <w:b/>
                <w:bCs/>
                <w:sz w:val="26"/>
                <w:szCs w:val="26"/>
                <w:rtl/>
              </w:rPr>
              <w:t>–</w:t>
            </w:r>
            <w:r w:rsidRPr="004F13BA">
              <w:rPr>
                <w:rFonts w:ascii="David" w:hAnsi="David" w:hint="cs"/>
                <w:b/>
                <w:bCs/>
                <w:sz w:val="26"/>
                <w:szCs w:val="26"/>
                <w:rtl/>
              </w:rPr>
              <w:t xml:space="preserve"> </w:t>
            </w:r>
            <w:r w:rsidRPr="004F13BA">
              <w:rPr>
                <w:rFonts w:ascii="David" w:hAnsi="David" w:hint="cs"/>
                <w:sz w:val="26"/>
                <w:szCs w:val="26"/>
                <w:rtl/>
              </w:rPr>
              <w:t>נוכח</w:t>
            </w:r>
          </w:p>
        </w:tc>
        <w:tc>
          <w:tcPr>
            <w:tcW w:w="1846" w:type="dxa"/>
            <w:gridSpan w:val="2"/>
            <w:shd w:val="clear" w:color="auto" w:fill="auto"/>
          </w:tcPr>
          <w:p w14:paraId="2B7137E5" w14:textId="77777777" w:rsidR="00A12046" w:rsidRPr="004F13BA" w:rsidRDefault="00A12046" w:rsidP="00A12046">
            <w:pPr>
              <w:spacing w:line="360" w:lineRule="auto"/>
              <w:rPr>
                <w:rFonts w:ascii="David" w:hAnsi="David"/>
                <w:b/>
                <w:bCs/>
                <w:sz w:val="28"/>
                <w:szCs w:val="28"/>
                <w:rtl/>
              </w:rPr>
            </w:pPr>
            <w:r w:rsidRPr="004F13BA">
              <w:rPr>
                <w:rFonts w:ascii="David" w:hAnsi="David"/>
                <w:b/>
                <w:bCs/>
                <w:sz w:val="28"/>
                <w:szCs w:val="28"/>
                <w:rtl/>
              </w:rPr>
              <w:t>הנאשם</w:t>
            </w:r>
          </w:p>
        </w:tc>
      </w:tr>
    </w:tbl>
    <w:p w14:paraId="32491E29" w14:textId="77777777" w:rsidR="00A12046" w:rsidRPr="004F13BA" w:rsidRDefault="00A12046" w:rsidP="00A12046">
      <w:pPr>
        <w:spacing w:line="360" w:lineRule="auto"/>
        <w:rPr>
          <w:rFonts w:ascii="David" w:hAnsi="David"/>
        </w:rPr>
      </w:pPr>
    </w:p>
    <w:p w14:paraId="3A16EC01" w14:textId="77777777" w:rsidR="004F13BA" w:rsidRPr="004F13BA" w:rsidRDefault="004F13BA" w:rsidP="005C5822">
      <w:pPr>
        <w:pStyle w:val="1"/>
        <w:spacing w:before="120" w:after="120" w:line="240" w:lineRule="exact"/>
        <w:ind w:left="360"/>
        <w:jc w:val="both"/>
        <w:rPr>
          <w:rFonts w:ascii="FrankRuehl" w:hAnsi="FrankRuehl" w:cs="FrankRuehl"/>
          <w:color w:val="auto"/>
          <w:sz w:val="24"/>
          <w:szCs w:val="24"/>
          <w:rtl/>
        </w:rPr>
      </w:pPr>
    </w:p>
    <w:p w14:paraId="1C68A56D" w14:textId="77777777" w:rsidR="004F13BA" w:rsidRDefault="004F13BA" w:rsidP="005C5822">
      <w:pPr>
        <w:pStyle w:val="1"/>
        <w:spacing w:before="0" w:line="360" w:lineRule="auto"/>
        <w:ind w:left="360"/>
        <w:jc w:val="both"/>
        <w:rPr>
          <w:rFonts w:ascii="David" w:hAnsi="David" w:cs="David"/>
          <w:b/>
          <w:bCs/>
          <w:color w:val="auto"/>
          <w:sz w:val="28"/>
          <w:szCs w:val="24"/>
          <w:rtl/>
        </w:rPr>
      </w:pPr>
    </w:p>
    <w:p w14:paraId="759F0FE0" w14:textId="77777777" w:rsidR="005C5822" w:rsidRPr="005C5822" w:rsidRDefault="005C5822" w:rsidP="005C5822">
      <w:pPr>
        <w:pStyle w:val="1"/>
        <w:spacing w:before="120" w:after="120" w:line="240" w:lineRule="exact"/>
        <w:ind w:left="283" w:hanging="283"/>
        <w:jc w:val="both"/>
        <w:rPr>
          <w:rFonts w:ascii="FrankRuehl" w:hAnsi="FrankRuehl" w:cs="FrankRuehl"/>
          <w:color w:val="auto"/>
          <w:sz w:val="24"/>
          <w:szCs w:val="24"/>
          <w:rtl/>
        </w:rPr>
      </w:pPr>
    </w:p>
    <w:p w14:paraId="7230F6F0" w14:textId="77777777" w:rsidR="00C16341" w:rsidRPr="00C16341" w:rsidRDefault="00C16341" w:rsidP="00C16341">
      <w:pPr>
        <w:pStyle w:val="1"/>
        <w:spacing w:before="120" w:after="120" w:line="240" w:lineRule="exact"/>
        <w:ind w:left="283" w:hanging="283"/>
        <w:jc w:val="both"/>
        <w:rPr>
          <w:rFonts w:ascii="FrankRuehl" w:hAnsi="FrankRuehl" w:cs="FrankRuehl"/>
          <w:color w:val="auto"/>
          <w:sz w:val="24"/>
          <w:szCs w:val="24"/>
          <w:rtl/>
        </w:rPr>
      </w:pPr>
    </w:p>
    <w:p w14:paraId="5B7E4B0C" w14:textId="77777777" w:rsidR="00E72EFD" w:rsidRDefault="00E72EFD" w:rsidP="00E72EFD">
      <w:pPr>
        <w:pStyle w:val="1"/>
        <w:spacing w:before="0" w:line="360" w:lineRule="auto"/>
        <w:ind w:left="360"/>
        <w:jc w:val="both"/>
        <w:rPr>
          <w:rFonts w:ascii="David" w:hAnsi="David" w:cs="David"/>
          <w:color w:val="auto"/>
          <w:sz w:val="28"/>
          <w:szCs w:val="24"/>
          <w:rtl/>
        </w:rPr>
      </w:pPr>
      <w:bookmarkStart w:id="3" w:name="LawTable"/>
      <w:bookmarkEnd w:id="3"/>
    </w:p>
    <w:p w14:paraId="171200ED" w14:textId="77777777" w:rsidR="00E72EFD" w:rsidRPr="00E72EFD" w:rsidRDefault="00E72EFD" w:rsidP="00E72EFD">
      <w:pPr>
        <w:pStyle w:val="1"/>
        <w:spacing w:before="120" w:after="120" w:line="240" w:lineRule="exact"/>
        <w:ind w:left="283" w:hanging="283"/>
        <w:jc w:val="both"/>
        <w:rPr>
          <w:rFonts w:ascii="FrankRuehl" w:hAnsi="FrankRuehl" w:cs="FrankRuehl"/>
          <w:color w:val="auto"/>
          <w:sz w:val="24"/>
          <w:szCs w:val="24"/>
          <w:rtl/>
        </w:rPr>
      </w:pPr>
    </w:p>
    <w:p w14:paraId="28BA375A" w14:textId="77777777" w:rsidR="00E72EFD" w:rsidRPr="00E72EFD" w:rsidRDefault="00E72EFD" w:rsidP="00E72EFD">
      <w:pPr>
        <w:pStyle w:val="1"/>
        <w:spacing w:before="120" w:after="120" w:line="240" w:lineRule="exact"/>
        <w:ind w:left="283" w:hanging="283"/>
        <w:jc w:val="both"/>
        <w:rPr>
          <w:rFonts w:ascii="FrankRuehl" w:hAnsi="FrankRuehl" w:cs="FrankRuehl"/>
          <w:color w:val="auto"/>
          <w:sz w:val="24"/>
          <w:szCs w:val="24"/>
          <w:rtl/>
        </w:rPr>
      </w:pPr>
    </w:p>
    <w:p w14:paraId="0AEA3477" w14:textId="77777777" w:rsidR="00E72EFD" w:rsidRPr="00E72EFD" w:rsidRDefault="00E72EFD" w:rsidP="00E72EFD">
      <w:pPr>
        <w:pStyle w:val="1"/>
        <w:spacing w:before="120" w:after="120" w:line="240" w:lineRule="exact"/>
        <w:ind w:left="283" w:hanging="283"/>
        <w:jc w:val="both"/>
        <w:rPr>
          <w:rFonts w:ascii="FrankRuehl" w:hAnsi="FrankRuehl" w:cs="FrankRuehl"/>
          <w:color w:val="auto"/>
          <w:sz w:val="24"/>
          <w:szCs w:val="24"/>
          <w:rtl/>
        </w:rPr>
      </w:pPr>
      <w:r w:rsidRPr="00E72EFD">
        <w:rPr>
          <w:rFonts w:ascii="FrankRuehl" w:hAnsi="FrankRuehl" w:cs="FrankRuehl"/>
          <w:color w:val="auto"/>
          <w:sz w:val="24"/>
          <w:szCs w:val="24"/>
          <w:rtl/>
        </w:rPr>
        <w:t xml:space="preserve">חקיקה שאוזכרה: </w:t>
      </w:r>
    </w:p>
    <w:p w14:paraId="55EB789E" w14:textId="77777777" w:rsidR="00E72EFD" w:rsidRPr="00E72EFD" w:rsidRDefault="00E72EFD" w:rsidP="00E72EFD">
      <w:pPr>
        <w:pStyle w:val="1"/>
        <w:spacing w:before="120" w:after="120" w:line="240" w:lineRule="exact"/>
        <w:ind w:left="283" w:hanging="283"/>
        <w:jc w:val="both"/>
        <w:rPr>
          <w:rFonts w:ascii="FrankRuehl" w:hAnsi="FrankRuehl" w:cs="FrankRuehl"/>
          <w:color w:val="auto"/>
          <w:sz w:val="24"/>
          <w:szCs w:val="24"/>
          <w:rtl/>
        </w:rPr>
      </w:pPr>
      <w:hyperlink r:id="rId7" w:history="1">
        <w:r w:rsidRPr="00E72EFD">
          <w:rPr>
            <w:rFonts w:ascii="FrankRuehl" w:hAnsi="FrankRuehl" w:cs="FrankRuehl"/>
            <w:color w:val="0000FF"/>
            <w:sz w:val="24"/>
            <w:szCs w:val="24"/>
            <w:rtl/>
          </w:rPr>
          <w:t>פקודת הסמים המסוכנים [נוסח חדש], תשל"ג-1973</w:t>
        </w:r>
      </w:hyperlink>
      <w:r w:rsidRPr="00E72EFD">
        <w:rPr>
          <w:rFonts w:ascii="FrankRuehl" w:hAnsi="FrankRuehl" w:cs="FrankRuehl"/>
          <w:color w:val="auto"/>
          <w:sz w:val="24"/>
          <w:szCs w:val="24"/>
          <w:rtl/>
        </w:rPr>
        <w:t xml:space="preserve">: סע'  </w:t>
      </w:r>
      <w:hyperlink r:id="rId8" w:history="1">
        <w:r w:rsidRPr="00E72EFD">
          <w:rPr>
            <w:rFonts w:ascii="FrankRuehl" w:hAnsi="FrankRuehl" w:cs="FrankRuehl"/>
            <w:color w:val="0000FF"/>
            <w:sz w:val="24"/>
            <w:szCs w:val="24"/>
            <w:rtl/>
          </w:rPr>
          <w:t>7.א.</w:t>
        </w:r>
      </w:hyperlink>
      <w:r w:rsidRPr="00E72EFD">
        <w:rPr>
          <w:rFonts w:ascii="FrankRuehl" w:hAnsi="FrankRuehl" w:cs="FrankRuehl"/>
          <w:color w:val="auto"/>
          <w:sz w:val="24"/>
          <w:szCs w:val="24"/>
          <w:rtl/>
        </w:rPr>
        <w:t xml:space="preserve">, </w:t>
      </w:r>
      <w:hyperlink r:id="rId9" w:history="1">
        <w:r w:rsidRPr="00E72EFD">
          <w:rPr>
            <w:rFonts w:ascii="FrankRuehl" w:hAnsi="FrankRuehl" w:cs="FrankRuehl"/>
            <w:color w:val="0000FF"/>
            <w:sz w:val="24"/>
            <w:szCs w:val="24"/>
            <w:rtl/>
          </w:rPr>
          <w:t>7.ג</w:t>
        </w:r>
      </w:hyperlink>
    </w:p>
    <w:p w14:paraId="457F38DD" w14:textId="77777777" w:rsidR="00E72EFD" w:rsidRPr="00E72EFD" w:rsidRDefault="00E72EFD" w:rsidP="00E72EFD">
      <w:pPr>
        <w:pStyle w:val="1"/>
        <w:spacing w:before="120" w:after="120" w:line="240" w:lineRule="exact"/>
        <w:ind w:left="283" w:hanging="283"/>
        <w:jc w:val="both"/>
        <w:rPr>
          <w:rFonts w:ascii="FrankRuehl" w:hAnsi="FrankRuehl" w:cs="FrankRuehl"/>
          <w:color w:val="auto"/>
          <w:sz w:val="24"/>
          <w:szCs w:val="24"/>
          <w:rtl/>
        </w:rPr>
      </w:pPr>
      <w:hyperlink r:id="rId10" w:history="1">
        <w:r w:rsidRPr="00E72EFD">
          <w:rPr>
            <w:rFonts w:ascii="FrankRuehl" w:hAnsi="FrankRuehl" w:cs="FrankRuehl"/>
            <w:color w:val="0000FF"/>
            <w:sz w:val="24"/>
            <w:szCs w:val="24"/>
            <w:rtl/>
          </w:rPr>
          <w:t>חוק העונשין, תשל"ז-1977</w:t>
        </w:r>
      </w:hyperlink>
      <w:r w:rsidRPr="00E72EFD">
        <w:rPr>
          <w:rFonts w:ascii="FrankRuehl" w:hAnsi="FrankRuehl" w:cs="FrankRuehl"/>
          <w:color w:val="auto"/>
          <w:sz w:val="24"/>
          <w:szCs w:val="24"/>
          <w:rtl/>
        </w:rPr>
        <w:t xml:space="preserve">: סע'  </w:t>
      </w:r>
      <w:hyperlink r:id="rId11" w:history="1">
        <w:r w:rsidRPr="00E72EFD">
          <w:rPr>
            <w:rFonts w:ascii="FrankRuehl" w:hAnsi="FrankRuehl" w:cs="FrankRuehl"/>
            <w:color w:val="0000FF"/>
            <w:sz w:val="24"/>
            <w:szCs w:val="24"/>
            <w:rtl/>
          </w:rPr>
          <w:t>40ג(א)</w:t>
        </w:r>
      </w:hyperlink>
      <w:r w:rsidRPr="00E72EFD">
        <w:rPr>
          <w:rFonts w:ascii="FrankRuehl" w:hAnsi="FrankRuehl" w:cs="FrankRuehl"/>
          <w:color w:val="auto"/>
          <w:sz w:val="24"/>
          <w:szCs w:val="24"/>
          <w:rtl/>
        </w:rPr>
        <w:t xml:space="preserve">, </w:t>
      </w:r>
      <w:hyperlink r:id="rId12" w:history="1">
        <w:r w:rsidRPr="00E72EFD">
          <w:rPr>
            <w:rFonts w:ascii="FrankRuehl" w:hAnsi="FrankRuehl" w:cs="FrankRuehl"/>
            <w:color w:val="0000FF"/>
            <w:sz w:val="24"/>
            <w:szCs w:val="24"/>
            <w:rtl/>
          </w:rPr>
          <w:t>40ד(א)</w:t>
        </w:r>
      </w:hyperlink>
      <w:r w:rsidRPr="00E72EFD">
        <w:rPr>
          <w:rFonts w:ascii="FrankRuehl" w:hAnsi="FrankRuehl" w:cs="FrankRuehl"/>
          <w:color w:val="auto"/>
          <w:sz w:val="24"/>
          <w:szCs w:val="24"/>
          <w:rtl/>
        </w:rPr>
        <w:t xml:space="preserve">, </w:t>
      </w:r>
      <w:hyperlink r:id="rId13" w:history="1">
        <w:r w:rsidRPr="00E72EFD">
          <w:rPr>
            <w:rFonts w:ascii="FrankRuehl" w:hAnsi="FrankRuehl" w:cs="FrankRuehl"/>
            <w:color w:val="0000FF"/>
            <w:sz w:val="24"/>
            <w:szCs w:val="24"/>
            <w:rtl/>
          </w:rPr>
          <w:t>40יא</w:t>
        </w:r>
      </w:hyperlink>
    </w:p>
    <w:p w14:paraId="3CB54C9A" w14:textId="77777777" w:rsidR="00E72EFD" w:rsidRPr="00E72EFD" w:rsidRDefault="00E72EFD" w:rsidP="00E72EFD">
      <w:pPr>
        <w:pStyle w:val="1"/>
        <w:spacing w:before="0" w:line="360" w:lineRule="auto"/>
        <w:ind w:left="360"/>
        <w:jc w:val="both"/>
        <w:rPr>
          <w:rFonts w:ascii="David" w:hAnsi="David" w:cs="David"/>
          <w:color w:val="auto"/>
          <w:sz w:val="28"/>
          <w:szCs w:val="24"/>
          <w:rtl/>
        </w:rPr>
      </w:pPr>
      <w:bookmarkStart w:id="4" w:name="LawTable_End"/>
      <w:bookmarkEnd w:id="4"/>
    </w:p>
    <w:p w14:paraId="12489361" w14:textId="77777777" w:rsidR="00A12046" w:rsidRPr="00C16341" w:rsidRDefault="00A12046" w:rsidP="00C16341">
      <w:pPr>
        <w:pStyle w:val="1"/>
        <w:spacing w:before="0" w:line="360" w:lineRule="auto"/>
        <w:ind w:left="360"/>
        <w:jc w:val="both"/>
        <w:rPr>
          <w:rFonts w:ascii="David" w:hAnsi="David" w:cs="David"/>
          <w:color w:val="auto"/>
          <w:sz w:val="28"/>
          <w:szCs w:val="24"/>
        </w:rPr>
      </w:pPr>
    </w:p>
    <w:p w14:paraId="054AA524" w14:textId="77777777" w:rsidR="005C5822" w:rsidRPr="004F13BA" w:rsidRDefault="005C5822" w:rsidP="004F13BA">
      <w:pPr>
        <w:bidi w:val="0"/>
        <w:spacing w:line="360" w:lineRule="auto"/>
        <w:jc w:val="center"/>
        <w:rPr>
          <w:rFonts w:ascii="David" w:hAnsi="David"/>
          <w:b/>
          <w:bCs/>
          <w:i/>
          <w:iCs/>
          <w:sz w:val="36"/>
          <w:szCs w:val="36"/>
          <w:u w:val="single"/>
        </w:rPr>
      </w:pPr>
      <w:bookmarkStart w:id="5" w:name="PsakDin" w:colFirst="0" w:colLast="0"/>
      <w:bookmarkEnd w:id="0"/>
      <w:r w:rsidRPr="004F13BA">
        <w:rPr>
          <w:rFonts w:ascii="David" w:hAnsi="David"/>
          <w:b/>
          <w:bCs/>
          <w:i/>
          <w:iCs/>
          <w:sz w:val="36"/>
          <w:szCs w:val="36"/>
          <w:u w:val="single"/>
          <w:rtl/>
        </w:rPr>
        <w:t>גזר דין</w:t>
      </w:r>
    </w:p>
    <w:p w14:paraId="1BAE12B3" w14:textId="77777777" w:rsidR="005C5822" w:rsidRPr="004F13BA" w:rsidRDefault="005C5822" w:rsidP="004F13BA">
      <w:pPr>
        <w:bidi w:val="0"/>
        <w:spacing w:line="360" w:lineRule="auto"/>
        <w:jc w:val="center"/>
        <w:rPr>
          <w:rFonts w:ascii="David" w:hAnsi="David"/>
          <w:b/>
          <w:bCs/>
          <w:i/>
          <w:iCs/>
          <w:sz w:val="36"/>
          <w:szCs w:val="36"/>
          <w:u w:val="single"/>
        </w:rPr>
      </w:pPr>
    </w:p>
    <w:bookmarkEnd w:id="5"/>
    <w:p w14:paraId="00100E7C" w14:textId="77777777" w:rsidR="00A12046" w:rsidRPr="008E2DBE" w:rsidRDefault="00A12046" w:rsidP="00A12046">
      <w:pPr>
        <w:pStyle w:val="1"/>
        <w:numPr>
          <w:ilvl w:val="0"/>
          <w:numId w:val="1"/>
        </w:numPr>
        <w:spacing w:before="0" w:line="360" w:lineRule="auto"/>
        <w:ind w:left="425" w:hanging="425"/>
        <w:jc w:val="both"/>
        <w:rPr>
          <w:rFonts w:ascii="David" w:hAnsi="David" w:cs="David"/>
          <w:b/>
          <w:bCs/>
          <w:color w:val="auto"/>
          <w:sz w:val="28"/>
          <w:szCs w:val="24"/>
          <w:u w:val="single"/>
          <w:rtl/>
        </w:rPr>
      </w:pPr>
      <w:r w:rsidRPr="008E2DBE">
        <w:rPr>
          <w:rFonts w:ascii="David" w:hAnsi="David" w:cs="David"/>
          <w:b/>
          <w:bCs/>
          <w:color w:val="auto"/>
          <w:sz w:val="28"/>
          <w:szCs w:val="28"/>
          <w:u w:val="single"/>
          <w:rtl/>
        </w:rPr>
        <w:t>רקע עובדתי</w:t>
      </w:r>
    </w:p>
    <w:p w14:paraId="03085A08" w14:textId="77777777" w:rsidR="00A12046" w:rsidRPr="008E2DBE" w:rsidRDefault="00A12046" w:rsidP="00A12046">
      <w:pPr>
        <w:pStyle w:val="aa"/>
        <w:numPr>
          <w:ilvl w:val="0"/>
          <w:numId w:val="2"/>
        </w:numPr>
        <w:spacing w:after="0"/>
        <w:ind w:left="-58" w:hanging="283"/>
        <w:rPr>
          <w:rtl/>
        </w:rPr>
      </w:pPr>
      <w:bookmarkStart w:id="6" w:name="ABSTRACT_START"/>
      <w:bookmarkEnd w:id="6"/>
      <w:r w:rsidRPr="008E2DBE">
        <w:rPr>
          <w:rtl/>
        </w:rPr>
        <w:t xml:space="preserve">כפי הנטען </w:t>
      </w:r>
      <w:r w:rsidRPr="008E2DBE">
        <w:rPr>
          <w:b/>
          <w:bCs/>
          <w:rtl/>
        </w:rPr>
        <w:t xml:space="preserve">בחלק הכללי לכתב האישום המתוקן, </w:t>
      </w:r>
      <w:r w:rsidRPr="008E2DBE">
        <w:rPr>
          <w:rtl/>
        </w:rPr>
        <w:t xml:space="preserve">במועד הרלוונטי לכתב האישום הייתה הגב' מירוצניק (להלן: </w:t>
      </w:r>
      <w:r w:rsidRPr="008E2DBE">
        <w:rPr>
          <w:b/>
          <w:bCs/>
          <w:rtl/>
        </w:rPr>
        <w:t>'שרה'</w:t>
      </w:r>
      <w:r w:rsidRPr="008E2DBE">
        <w:rPr>
          <w:rtl/>
        </w:rPr>
        <w:t>), בעליה של דירה בעלת 4 מפלסים ומרפסת ברח' הרימון 1 בקריית גת (להלן: '</w:t>
      </w:r>
      <w:r w:rsidRPr="008E2DBE">
        <w:rPr>
          <w:b/>
          <w:bCs/>
          <w:rtl/>
        </w:rPr>
        <w:t>הדירה</w:t>
      </w:r>
      <w:r w:rsidRPr="008E2DBE">
        <w:rPr>
          <w:rtl/>
        </w:rPr>
        <w:t xml:space="preserve">') והתגוררה בה; באותו המועד, שכר הנאשם משרה את שני המפלסים העליונים והמרפסת בדירה (להלן: </w:t>
      </w:r>
      <w:r w:rsidRPr="008E2DBE">
        <w:rPr>
          <w:b/>
          <w:bCs/>
          <w:rtl/>
        </w:rPr>
        <w:t>'המקום</w:t>
      </w:r>
      <w:r w:rsidRPr="008E2DBE">
        <w:rPr>
          <w:rtl/>
        </w:rPr>
        <w:t xml:space="preserve">'), והתגורר בהם. </w:t>
      </w:r>
    </w:p>
    <w:p w14:paraId="7272941C" w14:textId="77777777" w:rsidR="00A12046" w:rsidRPr="008E2DBE" w:rsidRDefault="00A12046" w:rsidP="00A12046">
      <w:pPr>
        <w:pStyle w:val="aa"/>
        <w:numPr>
          <w:ilvl w:val="0"/>
          <w:numId w:val="2"/>
        </w:numPr>
        <w:spacing w:after="0"/>
        <w:ind w:left="-58" w:hanging="283"/>
      </w:pPr>
      <w:r w:rsidRPr="008E2DBE">
        <w:rPr>
          <w:rtl/>
        </w:rPr>
        <w:t xml:space="preserve">כפי הנטען </w:t>
      </w:r>
      <w:r w:rsidRPr="008E2DBE">
        <w:rPr>
          <w:b/>
          <w:bCs/>
          <w:rtl/>
        </w:rPr>
        <w:t>בעובדות כתב האישום המתוקן</w:t>
      </w:r>
      <w:r w:rsidRPr="008E2DBE">
        <w:rPr>
          <w:rtl/>
        </w:rPr>
        <w:t xml:space="preserve">, ביום 18.07.2021 בסמוך לשעה 15:19, במקום ובמרפסת הדירה, החזיק הנאשם בסם מסוכן מסוג קנבוס במשקל כולל של 300 גר' נטו שלא לצריכתו העצמית. </w:t>
      </w:r>
    </w:p>
    <w:p w14:paraId="30A8EE4D" w14:textId="77777777" w:rsidR="00A12046" w:rsidRPr="008E2DBE" w:rsidRDefault="00A12046" w:rsidP="00A12046">
      <w:pPr>
        <w:pStyle w:val="11"/>
        <w:numPr>
          <w:ilvl w:val="0"/>
          <w:numId w:val="2"/>
        </w:numPr>
        <w:spacing w:after="0"/>
        <w:ind w:left="-58" w:hanging="283"/>
      </w:pPr>
      <w:bookmarkStart w:id="7" w:name="ABSTRACT_END"/>
      <w:bookmarkEnd w:id="7"/>
      <w:r w:rsidRPr="008E2DBE">
        <w:rPr>
          <w:rtl/>
        </w:rPr>
        <w:lastRenderedPageBreak/>
        <w:t xml:space="preserve">הנאשם הודה במיוחס לו לעיל, ועל יסוד הודאתו זו הורשע בעבירת  </w:t>
      </w:r>
      <w:r w:rsidRPr="008E2DBE">
        <w:rPr>
          <w:b/>
          <w:bCs/>
          <w:rtl/>
        </w:rPr>
        <w:t>החזקת סם שלא לצריכה עצמית</w:t>
      </w:r>
      <w:r w:rsidRPr="008E2DBE">
        <w:rPr>
          <w:rtl/>
        </w:rPr>
        <w:t xml:space="preserve"> לפי </w:t>
      </w:r>
      <w:hyperlink r:id="rId14" w:history="1">
        <w:r w:rsidR="005C5822" w:rsidRPr="005C5822">
          <w:rPr>
            <w:rStyle w:val="Hyperlink"/>
            <w:rtl/>
          </w:rPr>
          <w:t>סעיפים 7(א)+7(ג)</w:t>
        </w:r>
      </w:hyperlink>
      <w:r w:rsidRPr="008E2DBE">
        <w:rPr>
          <w:rtl/>
        </w:rPr>
        <w:t xml:space="preserve"> רישא </w:t>
      </w:r>
      <w:r w:rsidRPr="008E2DBE">
        <w:rPr>
          <w:u w:val="single"/>
          <w:rtl/>
        </w:rPr>
        <w:t>ל</w:t>
      </w:r>
      <w:hyperlink r:id="rId15" w:history="1">
        <w:r w:rsidR="004F13BA" w:rsidRPr="004F13BA">
          <w:rPr>
            <w:color w:val="0000FF"/>
            <w:u w:val="single"/>
            <w:rtl/>
          </w:rPr>
          <w:t>פקודת הסמים המסוכנים</w:t>
        </w:r>
      </w:hyperlink>
      <w:r w:rsidRPr="008E2DBE">
        <w:rPr>
          <w:u w:val="single"/>
          <w:rtl/>
        </w:rPr>
        <w:t xml:space="preserve"> (נוסח חדש) התשל"ג – 1973</w:t>
      </w:r>
      <w:r w:rsidRPr="008E2DBE">
        <w:rPr>
          <w:rtl/>
        </w:rPr>
        <w:t xml:space="preserve"> (להלן: "</w:t>
      </w:r>
      <w:r w:rsidRPr="008E2DBE">
        <w:rPr>
          <w:b/>
          <w:bCs/>
          <w:rtl/>
        </w:rPr>
        <w:t>הפקודה"; "פקודת הסמים המסוכנים"</w:t>
      </w:r>
      <w:r w:rsidRPr="008E2DBE">
        <w:rPr>
          <w:rtl/>
        </w:rPr>
        <w:t xml:space="preserve">). </w:t>
      </w:r>
    </w:p>
    <w:p w14:paraId="5BCAD89D" w14:textId="77777777" w:rsidR="00A12046" w:rsidRPr="008E2DBE" w:rsidRDefault="00A12046" w:rsidP="00A12046">
      <w:pPr>
        <w:pStyle w:val="aa"/>
        <w:numPr>
          <w:ilvl w:val="0"/>
          <w:numId w:val="2"/>
        </w:numPr>
        <w:spacing w:after="0"/>
        <w:ind w:left="-58" w:hanging="283"/>
      </w:pPr>
      <w:r w:rsidRPr="008E2DBE">
        <w:rPr>
          <w:rtl/>
        </w:rPr>
        <w:t xml:space="preserve">הצדדים הציגו לפני בית המשפט טווח ענישה, לפיו המאשימה תגביל את עתירתה העונשית למאסר בן 4 חודשים שיכול וירוצה בעבודות שירות וענישה נלווית ואילו ההגנה תבקש להסתפק בענישה הצופה פני עתיד, תוך שהוסכם כי תתקבל חוות דעת ממונה בעניינו של הנאשם. </w:t>
      </w:r>
    </w:p>
    <w:p w14:paraId="0FE4D44F" w14:textId="77777777" w:rsidR="00A12046" w:rsidRPr="008E2DBE" w:rsidRDefault="00A12046" w:rsidP="00A12046">
      <w:pPr>
        <w:pStyle w:val="aa"/>
        <w:numPr>
          <w:ilvl w:val="0"/>
          <w:numId w:val="2"/>
        </w:numPr>
        <w:spacing w:after="0"/>
        <w:ind w:left="-58" w:hanging="283"/>
      </w:pPr>
      <w:r w:rsidRPr="008E2DBE">
        <w:rPr>
          <w:b/>
          <w:bCs/>
          <w:rtl/>
        </w:rPr>
        <w:t>מחוות דעת הממונה על עבודות השירות</w:t>
      </w:r>
      <w:r w:rsidRPr="008E2DBE">
        <w:rPr>
          <w:rtl/>
        </w:rPr>
        <w:t xml:space="preserve"> אשר התקבלה ביום 07.06.2023, עולה כי הנאשם מתאים לביצוע עבודות שירות במגבלות.</w:t>
      </w:r>
    </w:p>
    <w:p w14:paraId="58B182EF" w14:textId="77777777" w:rsidR="00A12046" w:rsidRPr="008E2DBE" w:rsidRDefault="00A12046" w:rsidP="00A12046">
      <w:pPr>
        <w:pStyle w:val="aa"/>
        <w:spacing w:after="0"/>
        <w:ind w:left="-58" w:firstLine="0"/>
      </w:pPr>
    </w:p>
    <w:p w14:paraId="2CF8F96B" w14:textId="77777777" w:rsidR="00A12046" w:rsidRPr="008E2DBE" w:rsidRDefault="00A12046" w:rsidP="00A12046">
      <w:pPr>
        <w:pStyle w:val="1"/>
        <w:numPr>
          <w:ilvl w:val="0"/>
          <w:numId w:val="1"/>
        </w:numPr>
        <w:spacing w:before="0" w:line="360" w:lineRule="auto"/>
        <w:ind w:left="360"/>
        <w:jc w:val="both"/>
        <w:rPr>
          <w:rFonts w:ascii="David" w:hAnsi="David" w:cs="David"/>
          <w:b/>
          <w:bCs/>
          <w:color w:val="auto"/>
          <w:sz w:val="28"/>
          <w:szCs w:val="28"/>
          <w:u w:val="single"/>
        </w:rPr>
      </w:pPr>
      <w:r w:rsidRPr="008E2DBE">
        <w:rPr>
          <w:rFonts w:ascii="David" w:hAnsi="David" w:cs="David"/>
          <w:b/>
          <w:bCs/>
          <w:color w:val="auto"/>
          <w:sz w:val="28"/>
          <w:szCs w:val="28"/>
          <w:u w:val="single"/>
          <w:rtl/>
        </w:rPr>
        <w:t>טיעוני הצדדים (עיקרי הדברים)</w:t>
      </w:r>
    </w:p>
    <w:p w14:paraId="66855B9B" w14:textId="77777777" w:rsidR="00A12046" w:rsidRPr="008E2DBE" w:rsidRDefault="00A12046" w:rsidP="00A12046">
      <w:pPr>
        <w:pStyle w:val="11"/>
        <w:numPr>
          <w:ilvl w:val="0"/>
          <w:numId w:val="2"/>
        </w:numPr>
        <w:spacing w:after="0"/>
        <w:ind w:left="-58" w:hanging="283"/>
        <w:rPr>
          <w:rtl/>
        </w:rPr>
      </w:pPr>
      <w:r w:rsidRPr="008E2DBE">
        <w:rPr>
          <w:rtl/>
        </w:rPr>
        <w:t xml:space="preserve">המאשימה עמדה על הערכים המוגנים שנפגעו כתוצאה ממעשיו של הנאשם,  על חומרת מעשיו בדגש על כמות הסם שנתפסה בחזקתו; ועתרה לקבוע מתחם עונש הולם הנע בין 4 חודשים מאסר שיכול וירוצו בעבודות שירות לבין-12 חודשים מאסר בפועל. בתוך המתחם סברה המאשימה כי בהינתן לקיחת האחריות של הנאשם על מעשיו מצד אחד ועברו הפלילי מצד שני – יש מקום להשית על הנאשם עונש המצוי ברף הנמוך למתחם בדמות מאסר בן 4 חודשים שיכול וירוצה בעבודות שירות וענישה נלוות בדמות פסילה בפועל, פסילה מותנית, מאסר מותנה, קנס והתחייבות.  </w:t>
      </w:r>
    </w:p>
    <w:p w14:paraId="25182C11" w14:textId="77777777" w:rsidR="00A12046" w:rsidRPr="008E2DBE" w:rsidRDefault="00A12046" w:rsidP="00A12046">
      <w:pPr>
        <w:pStyle w:val="aa"/>
        <w:numPr>
          <w:ilvl w:val="0"/>
          <w:numId w:val="2"/>
        </w:numPr>
        <w:spacing w:after="0"/>
        <w:ind w:left="-58" w:hanging="283"/>
        <w:rPr>
          <w:rtl/>
        </w:rPr>
      </w:pPr>
      <w:r w:rsidRPr="008E2DBE">
        <w:rPr>
          <w:b/>
          <w:bCs/>
          <w:rtl/>
        </w:rPr>
        <w:t>מנגד,</w:t>
      </w:r>
      <w:r w:rsidRPr="008E2DBE">
        <w:rPr>
          <w:rtl/>
        </w:rPr>
        <w:t xml:space="preserve"> בא כוח הנאשם חלק על מתחם העונש לו עתרה המאשימה, ועתר לקבוע כי על מתחם העונש הראוי להיקבע בהתאם לטווח הענישה עליו הוסכם במסגרת ההסדר, כך שתחילתו במאסר מותנה ועד ל-4 חודשים מאסר שיכול וירוצה בעבודות שירות. כמו כן הפנה הסנגור לנסיבותיו האישיות של הנאשם, ובכלל זה להיותו של הנאשם אדם נורמטיבי ויצרני, לגילו, לעברו הפלילי שאיננו מכביד, לחלוף הזמן, ולכך שהשתת ענישה בדמות מאסר שירוצה בעבודות עבודות שירות עלולה לפגוע בפרנסתו של הנאשם. מכל האמור עתר הסנגור להסתפק בענישה צופה פני עתיד ולהימנע מהשתת פסילה בפועל. </w:t>
      </w:r>
    </w:p>
    <w:p w14:paraId="2B5F4B17" w14:textId="77777777" w:rsidR="00A12046" w:rsidRPr="008E2DBE" w:rsidRDefault="00A12046" w:rsidP="00A12046">
      <w:pPr>
        <w:pStyle w:val="aa"/>
        <w:numPr>
          <w:ilvl w:val="0"/>
          <w:numId w:val="2"/>
        </w:numPr>
        <w:spacing w:after="0"/>
        <w:ind w:left="-58"/>
      </w:pPr>
      <w:r w:rsidRPr="008E2DBE">
        <w:rPr>
          <w:rtl/>
        </w:rPr>
        <w:t>הנאשם אשר קיבל את "זכות המילה האחרונה", הביע חרטה על מעשיו וביקש כ בית המשפט יתחשב בו לעניין העונש.</w:t>
      </w:r>
    </w:p>
    <w:p w14:paraId="01D06CB4" w14:textId="77777777" w:rsidR="00A12046" w:rsidRPr="008E2DBE" w:rsidRDefault="00A12046" w:rsidP="00A12046">
      <w:pPr>
        <w:pStyle w:val="aa"/>
        <w:numPr>
          <w:ilvl w:val="0"/>
          <w:numId w:val="2"/>
        </w:numPr>
        <w:spacing w:after="0"/>
        <w:ind w:left="-58"/>
      </w:pPr>
      <w:r w:rsidRPr="008E2DBE">
        <w:rPr>
          <w:rtl/>
        </w:rPr>
        <w:t>לאור אלה, ובהתאם למתווה גזירת הדין שאומץ בתיקון 113 ל</w:t>
      </w:r>
      <w:hyperlink r:id="rId16" w:history="1">
        <w:r w:rsidR="004F13BA" w:rsidRPr="004F13BA">
          <w:rPr>
            <w:color w:val="0000FF"/>
            <w:u w:val="single"/>
            <w:rtl/>
          </w:rPr>
          <w:t>חוק העונשין</w:t>
        </w:r>
      </w:hyperlink>
      <w:r w:rsidRPr="008E2DBE">
        <w:rPr>
          <w:rtl/>
        </w:rPr>
        <w:t>, בית המשפט יקבע תחילה את מתחם העונש ההולם; ולאחר מכן יגזור את העונש המתאים לנאשם, תוך בחינה שמא יש מקום במקרה הנדון לסטות לקולה או לחומרה מהמתחם שייקבע.</w:t>
      </w:r>
    </w:p>
    <w:p w14:paraId="33E6E379" w14:textId="77777777" w:rsidR="00A12046" w:rsidRPr="008E2DBE" w:rsidRDefault="00A12046" w:rsidP="00A12046">
      <w:pPr>
        <w:pStyle w:val="1"/>
        <w:spacing w:before="0" w:line="360" w:lineRule="auto"/>
        <w:jc w:val="center"/>
        <w:rPr>
          <w:rFonts w:ascii="David" w:hAnsi="David" w:cs="David"/>
          <w:color w:val="auto"/>
          <w:rtl/>
        </w:rPr>
      </w:pPr>
    </w:p>
    <w:p w14:paraId="3BB167A2" w14:textId="77777777" w:rsidR="00A12046" w:rsidRPr="008E2DBE" w:rsidRDefault="00A12046" w:rsidP="00A12046">
      <w:pPr>
        <w:pStyle w:val="1"/>
        <w:spacing w:before="0" w:line="360" w:lineRule="auto"/>
        <w:jc w:val="center"/>
        <w:rPr>
          <w:rFonts w:ascii="David" w:hAnsi="David" w:cs="David"/>
          <w:b/>
          <w:bCs/>
          <w:color w:val="auto"/>
          <w:u w:val="single"/>
        </w:rPr>
      </w:pPr>
      <w:r w:rsidRPr="008E2DBE">
        <w:rPr>
          <w:rFonts w:ascii="David" w:hAnsi="David" w:cs="David"/>
          <w:b/>
          <w:bCs/>
          <w:color w:val="auto"/>
          <w:u w:val="single"/>
          <w:rtl/>
        </w:rPr>
        <w:t>דיון והכרעה</w:t>
      </w:r>
    </w:p>
    <w:p w14:paraId="1FE1980E" w14:textId="77777777" w:rsidR="00A12046" w:rsidRPr="008E2DBE" w:rsidRDefault="00A12046" w:rsidP="00A12046">
      <w:pPr>
        <w:pStyle w:val="1"/>
        <w:spacing w:before="0" w:line="360" w:lineRule="auto"/>
        <w:ind w:left="283" w:hanging="283"/>
        <w:rPr>
          <w:rFonts w:ascii="David" w:hAnsi="David" w:cs="David"/>
          <w:b/>
          <w:bCs/>
          <w:color w:val="auto"/>
          <w:sz w:val="28"/>
          <w:szCs w:val="24"/>
          <w:u w:val="single"/>
          <w:rtl/>
        </w:rPr>
      </w:pPr>
      <w:r w:rsidRPr="008E2DBE">
        <w:rPr>
          <w:rFonts w:ascii="David" w:hAnsi="David" w:cs="David"/>
          <w:b/>
          <w:bCs/>
          <w:color w:val="auto"/>
          <w:sz w:val="28"/>
          <w:szCs w:val="28"/>
          <w:rtl/>
        </w:rPr>
        <w:t>ג.</w:t>
      </w:r>
      <w:r w:rsidRPr="008E2DBE">
        <w:rPr>
          <w:rFonts w:ascii="David" w:hAnsi="David" w:cs="David"/>
          <w:color w:val="auto"/>
          <w:rtl/>
        </w:rPr>
        <w:t xml:space="preserve"> </w:t>
      </w:r>
      <w:r w:rsidRPr="008E2DBE">
        <w:rPr>
          <w:rFonts w:ascii="David" w:hAnsi="David" w:cs="David"/>
          <w:b/>
          <w:bCs/>
          <w:color w:val="auto"/>
          <w:sz w:val="28"/>
          <w:szCs w:val="28"/>
          <w:u w:val="single"/>
          <w:rtl/>
        </w:rPr>
        <w:t>קביעת מתחם העונש ההולם</w:t>
      </w:r>
    </w:p>
    <w:p w14:paraId="2C9321A3" w14:textId="77777777" w:rsidR="00A12046" w:rsidRPr="008E2DBE" w:rsidRDefault="00A12046" w:rsidP="00A12046">
      <w:pPr>
        <w:pStyle w:val="aa"/>
        <w:numPr>
          <w:ilvl w:val="0"/>
          <w:numId w:val="2"/>
        </w:numPr>
        <w:spacing w:after="0"/>
        <w:ind w:left="-58" w:hanging="425"/>
      </w:pPr>
      <w:r w:rsidRPr="008E2DBE">
        <w:rPr>
          <w:rtl/>
        </w:rPr>
        <w:t xml:space="preserve">כאמור </w:t>
      </w:r>
      <w:hyperlink r:id="rId17" w:history="1">
        <w:r w:rsidR="005C5822" w:rsidRPr="005C5822">
          <w:rPr>
            <w:rStyle w:val="Hyperlink"/>
            <w:rtl/>
          </w:rPr>
          <w:t>בסעיף 40ג(א)</w:t>
        </w:r>
      </w:hyperlink>
      <w:r w:rsidRPr="008E2DBE">
        <w:rPr>
          <w:rtl/>
        </w:rPr>
        <w:t xml:space="preserve"> </w:t>
      </w:r>
      <w:r w:rsidRPr="008E2DBE">
        <w:rPr>
          <w:u w:val="single"/>
          <w:rtl/>
        </w:rPr>
        <w:t>ל</w:t>
      </w:r>
      <w:hyperlink r:id="rId18" w:history="1">
        <w:r w:rsidR="004F13BA" w:rsidRPr="004F13BA">
          <w:rPr>
            <w:color w:val="0000FF"/>
            <w:u w:val="single"/>
            <w:rtl/>
          </w:rPr>
          <w:t>חוק העונשין</w:t>
        </w:r>
      </w:hyperlink>
      <w:r w:rsidRPr="008E2DBE">
        <w:rPr>
          <w:u w:val="single"/>
          <w:rtl/>
        </w:rPr>
        <w:t>,</w:t>
      </w:r>
      <w:r w:rsidRPr="008E2DBE">
        <w:rPr>
          <w:rtl/>
        </w:rPr>
        <w:t xml:space="preserve">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 </w:t>
      </w:r>
    </w:p>
    <w:p w14:paraId="237E27CF" w14:textId="77777777" w:rsidR="00A12046" w:rsidRPr="008E2DBE" w:rsidRDefault="00A12046" w:rsidP="00A12046">
      <w:pPr>
        <w:pStyle w:val="aa"/>
        <w:numPr>
          <w:ilvl w:val="0"/>
          <w:numId w:val="2"/>
        </w:numPr>
        <w:spacing w:after="0"/>
        <w:ind w:left="-58" w:hanging="425"/>
      </w:pPr>
      <w:r w:rsidRPr="008E2DBE">
        <w:rPr>
          <w:rtl/>
        </w:rPr>
        <w:t xml:space="preserve">אקדים ואומר, כי אין בידי לקבל את עמדת ההגנה, לפיה על מתחם העונש ההולם להיקבע בהתאם לטווח הענישה שהוצג ע"י הצדדים במסגרת הסדר הטיעון. כידוע, בית המשפט אינו כבול להסדר עליו הסכימו הצדדים במסגרת הסדר הטיעון (ראו לעניין זה, </w:t>
      </w:r>
      <w:hyperlink r:id="rId19" w:history="1">
        <w:r w:rsidR="004F13BA" w:rsidRPr="004F13BA">
          <w:rPr>
            <w:color w:val="0000FF"/>
            <w:u w:val="single"/>
            <w:rtl/>
          </w:rPr>
          <w:t>ע"פ 1958/98</w:t>
        </w:r>
      </w:hyperlink>
      <w:r w:rsidRPr="008E2DBE">
        <w:rPr>
          <w:u w:val="single"/>
          <w:rtl/>
        </w:rPr>
        <w:t xml:space="preserve"> </w:t>
      </w:r>
      <w:r w:rsidRPr="008E2DBE">
        <w:rPr>
          <w:b/>
          <w:bCs/>
          <w:rtl/>
        </w:rPr>
        <w:t>פלוני נ' מדינת ישראל</w:t>
      </w:r>
      <w:r w:rsidRPr="008E2DBE">
        <w:rPr>
          <w:rtl/>
        </w:rPr>
        <w:t xml:space="preserve"> [פורסם בנבו] (25.12.2002)). משכך, טווח הענישה עליו מסכימים הצדדים במסגרת הסדר הטיעון </w:t>
      </w:r>
      <w:r w:rsidRPr="008E2DBE">
        <w:rPr>
          <w:rtl/>
        </w:rPr>
        <w:lastRenderedPageBreak/>
        <w:t xml:space="preserve">אינו תחליף למתחם העונש ההולם שעל בית המשפט לקבוע בהתאם לאמות המידה שבתיקון 113 </w:t>
      </w:r>
      <w:r w:rsidRPr="008E2DBE">
        <w:rPr>
          <w:u w:val="single"/>
          <w:rtl/>
        </w:rPr>
        <w:t>ל</w:t>
      </w:r>
      <w:hyperlink r:id="rId20" w:history="1">
        <w:r w:rsidR="004F13BA" w:rsidRPr="004F13BA">
          <w:rPr>
            <w:color w:val="0000FF"/>
            <w:u w:val="single"/>
            <w:rtl/>
          </w:rPr>
          <w:t>חוק העונשין</w:t>
        </w:r>
      </w:hyperlink>
      <w:r w:rsidRPr="008E2DBE">
        <w:rPr>
          <w:u w:val="single"/>
          <w:rtl/>
        </w:rPr>
        <w:t>.</w:t>
      </w:r>
      <w:r w:rsidRPr="008E2DBE">
        <w:rPr>
          <w:rtl/>
        </w:rPr>
        <w:t xml:space="preserve"> אדרבא, במקרה מעין זה יש חשיבות רבה לקביעת מתחם עונש הולם אשר לאורו תבחן ע"י בית המשפט סבירות הסדר הטיעון (ראו לעניין זה, </w:t>
      </w:r>
      <w:hyperlink r:id="rId21" w:history="1">
        <w:r w:rsidR="004F13BA" w:rsidRPr="004F13BA">
          <w:rPr>
            <w:color w:val="0000FF"/>
            <w:u w:val="single"/>
            <w:rtl/>
          </w:rPr>
          <w:t>ע"פ 6799/14</w:t>
        </w:r>
      </w:hyperlink>
      <w:r w:rsidRPr="008E2DBE">
        <w:rPr>
          <w:u w:val="single"/>
          <w:rtl/>
        </w:rPr>
        <w:t xml:space="preserve"> </w:t>
      </w:r>
      <w:r w:rsidRPr="008E2DBE">
        <w:rPr>
          <w:b/>
          <w:bCs/>
          <w:rtl/>
        </w:rPr>
        <w:t>אופיר נ' מדינת ישראל</w:t>
      </w:r>
      <w:r w:rsidRPr="008E2DBE">
        <w:rPr>
          <w:rtl/>
        </w:rPr>
        <w:t xml:space="preserve"> [פורסם בנבו] (04.02.2015)). </w:t>
      </w:r>
    </w:p>
    <w:p w14:paraId="39C9EF84" w14:textId="77777777" w:rsidR="00A12046" w:rsidRPr="008E2DBE" w:rsidRDefault="00A12046" w:rsidP="00A12046">
      <w:pPr>
        <w:pStyle w:val="aa"/>
        <w:numPr>
          <w:ilvl w:val="0"/>
          <w:numId w:val="2"/>
        </w:numPr>
        <w:spacing w:after="0"/>
        <w:ind w:left="-58" w:hanging="425"/>
      </w:pPr>
      <w:r w:rsidRPr="008E2DBE">
        <w:rPr>
          <w:rtl/>
        </w:rPr>
        <w:t xml:space="preserve">לגופו של עניין, ובכל הנוגע לעבירת </w:t>
      </w:r>
      <w:r w:rsidRPr="008E2DBE">
        <w:rPr>
          <w:b/>
          <w:bCs/>
          <w:rtl/>
        </w:rPr>
        <w:t>החזקת הסם שלא לצריכה עצמית</w:t>
      </w:r>
      <w:r w:rsidRPr="008E2DBE">
        <w:rPr>
          <w:rtl/>
        </w:rPr>
        <w:t xml:space="preserve"> אותה עבר הנאשם, נדמה כי אין צורך להכביר מילים על אודות החומרה הרבה הכרוכה בעבירות אלה. </w:t>
      </w:r>
      <w:hyperlink r:id="rId22" w:history="1">
        <w:r w:rsidR="004F13BA" w:rsidRPr="004F13BA">
          <w:rPr>
            <w:color w:val="0000FF"/>
            <w:u w:val="single"/>
            <w:rtl/>
          </w:rPr>
          <w:t>פקודת הסמים המסוכנים</w:t>
        </w:r>
      </w:hyperlink>
      <w:r w:rsidRPr="008E2DBE">
        <w:rPr>
          <w:rtl/>
        </w:rPr>
        <w:t xml:space="preserve"> נחקקה על מנת להגן על ערכים חברתיים מרכזיים ובראשם החובה להגן על שלומו של הציבור, בריאותו, על בטחונו האישי ועל רכושו. </w:t>
      </w:r>
    </w:p>
    <w:p w14:paraId="12F66117" w14:textId="77777777" w:rsidR="00A12046" w:rsidRPr="008E2DBE" w:rsidRDefault="00A12046" w:rsidP="00A12046">
      <w:pPr>
        <w:pStyle w:val="aa"/>
        <w:numPr>
          <w:ilvl w:val="0"/>
          <w:numId w:val="2"/>
        </w:numPr>
        <w:spacing w:after="0"/>
        <w:ind w:left="-58" w:hanging="425"/>
      </w:pPr>
      <w:r w:rsidRPr="008E2DBE">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3" w:history="1">
        <w:r w:rsidR="004F13BA" w:rsidRPr="004F13BA">
          <w:rPr>
            <w:color w:val="0000FF"/>
            <w:u w:val="single"/>
            <w:rtl/>
          </w:rPr>
          <w:t>ע"פ 575/88</w:t>
        </w:r>
      </w:hyperlink>
      <w:r w:rsidRPr="008E2DBE">
        <w:rPr>
          <w:rtl/>
        </w:rPr>
        <w:t xml:space="preserve"> </w:t>
      </w:r>
      <w:r w:rsidRPr="008E2DBE">
        <w:rPr>
          <w:b/>
          <w:bCs/>
          <w:rtl/>
        </w:rPr>
        <w:t>עודה נגד מדינת ישראל</w:t>
      </w:r>
      <w:r w:rsidRPr="008E2DBE">
        <w:rPr>
          <w:rtl/>
        </w:rPr>
        <w:t xml:space="preserve"> [פורסם בנבו] (11.12.1988);</w:t>
      </w:r>
      <w:r w:rsidRPr="008E2DBE">
        <w:rPr>
          <w:u w:val="single"/>
          <w:rtl/>
        </w:rPr>
        <w:t xml:space="preserve"> </w:t>
      </w:r>
      <w:hyperlink r:id="rId24" w:history="1">
        <w:r w:rsidR="004F13BA" w:rsidRPr="004F13BA">
          <w:rPr>
            <w:color w:val="0000FF"/>
            <w:u w:val="single"/>
            <w:rtl/>
          </w:rPr>
          <w:t>ע"פ 972/11</w:t>
        </w:r>
      </w:hyperlink>
      <w:r w:rsidRPr="008E2DBE">
        <w:rPr>
          <w:rtl/>
        </w:rPr>
        <w:t xml:space="preserve"> </w:t>
      </w:r>
      <w:r w:rsidRPr="008E2DBE">
        <w:rPr>
          <w:b/>
          <w:bCs/>
          <w:rtl/>
        </w:rPr>
        <w:t>מדינת ישראל נגד יניב יונה</w:t>
      </w:r>
      <w:r w:rsidRPr="008E2DBE">
        <w:rPr>
          <w:rtl/>
        </w:rPr>
        <w:t xml:space="preserve"> [פורסם בנבו] (04.07.2012); </w:t>
      </w:r>
      <w:hyperlink r:id="rId25" w:history="1">
        <w:r w:rsidR="004F13BA" w:rsidRPr="004F13BA">
          <w:rPr>
            <w:color w:val="0000FF"/>
            <w:u w:val="single"/>
            <w:rtl/>
          </w:rPr>
          <w:t>ע"פ 3117/12</w:t>
        </w:r>
      </w:hyperlink>
      <w:r w:rsidRPr="008E2DBE">
        <w:rPr>
          <w:u w:val="single"/>
          <w:rtl/>
        </w:rPr>
        <w:t xml:space="preserve"> </w:t>
      </w:r>
      <w:r w:rsidRPr="008E2DBE">
        <w:rPr>
          <w:b/>
          <w:bCs/>
          <w:rtl/>
        </w:rPr>
        <w:t>ארביב נ' מדינת ישראל</w:t>
      </w:r>
      <w:r w:rsidRPr="008E2DBE">
        <w:rPr>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10F7636F" w14:textId="77777777" w:rsidR="00A12046" w:rsidRPr="008E2DBE" w:rsidRDefault="00A12046" w:rsidP="00A12046">
      <w:pPr>
        <w:pStyle w:val="aa"/>
        <w:numPr>
          <w:ilvl w:val="0"/>
          <w:numId w:val="2"/>
        </w:numPr>
        <w:spacing w:after="0"/>
        <w:ind w:left="-58" w:hanging="425"/>
      </w:pPr>
      <w:r w:rsidRPr="008E2DBE">
        <w:rPr>
          <w:rtl/>
        </w:rPr>
        <w:t xml:space="preserve">אם לא די באלה, הרי שעל חומרתה היתרה של העבירה אותה עבר הנאשם, יכולה להעיד גם הענישה אשר נקבעה בצדה. וכך, העונש המרבי בגין ביצוע עבירת החזקת הסם שלא לצריכה עצמית הוא 20 שנות מאסר. </w:t>
      </w:r>
    </w:p>
    <w:p w14:paraId="7DAE5603" w14:textId="77777777" w:rsidR="00A12046" w:rsidRPr="008E2DBE" w:rsidRDefault="00A12046" w:rsidP="00A12046">
      <w:pPr>
        <w:pStyle w:val="aa"/>
        <w:numPr>
          <w:ilvl w:val="0"/>
          <w:numId w:val="2"/>
        </w:numPr>
        <w:spacing w:after="0"/>
        <w:ind w:left="-58" w:hanging="425"/>
        <w:rPr>
          <w:b/>
          <w:bCs/>
        </w:rPr>
      </w:pPr>
      <w:r w:rsidRPr="008E2DBE">
        <w:rPr>
          <w:rtl/>
        </w:rPr>
        <w:t xml:space="preserve">בשים לב לכמות הסם אותה החזיק הנאשם שלא לצריכתו העצמית, ולאור יתר הנסיבות הקשורות בביצוע העבירה, כפי שיפורט בהמשך הדברים, נדמה כי </w:t>
      </w:r>
      <w:r w:rsidRPr="008E2DBE">
        <w:rPr>
          <w:b/>
          <w:bCs/>
          <w:rtl/>
        </w:rPr>
        <w:t>מידת הפגיעה בערכים המוגנים במקרה הנדון מצויה ברף שאיננו נמוך כלל ועיקר</w:t>
      </w:r>
      <w:r w:rsidRPr="008E2DBE">
        <w:rPr>
          <w:rtl/>
        </w:rPr>
        <w:t>.</w:t>
      </w:r>
      <w:r w:rsidRPr="008E2DBE">
        <w:rPr>
          <w:b/>
          <w:bCs/>
          <w:rtl/>
        </w:rPr>
        <w:t xml:space="preserve"> </w:t>
      </w:r>
    </w:p>
    <w:p w14:paraId="2426B63D" w14:textId="77777777" w:rsidR="00A12046" w:rsidRPr="008E2DBE" w:rsidRDefault="00A12046" w:rsidP="00A12046">
      <w:pPr>
        <w:pStyle w:val="aa"/>
        <w:numPr>
          <w:ilvl w:val="0"/>
          <w:numId w:val="2"/>
        </w:numPr>
        <w:spacing w:after="0"/>
        <w:ind w:left="-58" w:hanging="426"/>
      </w:pPr>
      <w:r w:rsidRPr="008E2DBE">
        <w:rPr>
          <w:rtl/>
        </w:rPr>
        <w:t xml:space="preserve">בבחינת </w:t>
      </w:r>
      <w:r w:rsidRPr="008E2DBE">
        <w:rPr>
          <w:b/>
          <w:bCs/>
          <w:rtl/>
        </w:rPr>
        <w:t>הנסיבות הקשורות לביצוע העבירה</w:t>
      </w:r>
      <w:r w:rsidRPr="008E2DBE">
        <w:rPr>
          <w:rtl/>
        </w:rPr>
        <w:t xml:space="preserve">, מבלי להתעלם מכך שעסקינן בסם ה'קנבוס' אשר נמנה עם הסמים "הקלים", ואינו מצוי במדרג חומרה גבוה מבין הסמים השונים (כמובן שהדברים נאמרים מבלי שבית המשפט מקל ראש ולו לרגע בנזקים שגם סמים "קלים" אלה עלולים להסב לנאשם ולסביבתו), הרי שבשיקולים לחומרה, נתתי דעתי לכמות הסם במשקל כולל של 300 גר' נטו מסוג קנבוס אשר נתפסה ברשותו של הנאשם. ברי כי כמות זו אינה מבוטלת כלל ועיקר והגבוהה פי כמה וכמה מ"חזקת הצריכה העצמית" הקבועה בפקודה. </w:t>
      </w:r>
    </w:p>
    <w:p w14:paraId="7C2A1374" w14:textId="77777777" w:rsidR="00A12046" w:rsidRPr="008E2DBE" w:rsidRDefault="00A12046" w:rsidP="00A12046">
      <w:pPr>
        <w:pStyle w:val="aa"/>
        <w:numPr>
          <w:ilvl w:val="0"/>
          <w:numId w:val="2"/>
        </w:numPr>
        <w:spacing w:after="0"/>
        <w:ind w:left="-58"/>
      </w:pPr>
      <w:r w:rsidRPr="008E2DBE">
        <w:rPr>
          <w:rtl/>
        </w:rPr>
        <w:t xml:space="preserve">כאן יוער, כי כמות הסם אותה החזיק הנאשם במקרה הנדון, מהווה חזקה לכך שהסמים לא הוחזקו לצריכתו העצמית של הנאשם גרידא. מה עוד, שחיזוק לכך ניתן למצוא בכך שהנאשם הודה בעבירה של החזקת סם </w:t>
      </w:r>
      <w:r w:rsidRPr="008E2DBE">
        <w:rPr>
          <w:b/>
          <w:bCs/>
          <w:rtl/>
        </w:rPr>
        <w:t xml:space="preserve">שלא </w:t>
      </w:r>
      <w:r w:rsidRPr="008E2DBE">
        <w:rPr>
          <w:rtl/>
        </w:rPr>
        <w:t>לצריכה עצמית. ואולם, ועל אף שהמחוקק קבע כי בכמות זו שהחזיק הנאשם יש לראות כהחזקה שלא לצריכה עצמית אזי, אין הדבר מצביע בהכרח כי המדובר בהחזקה שמטרתה הייתה להפיץ את הסם. וכך נוסח העניין בקפידה ב</w:t>
      </w:r>
      <w:hyperlink r:id="rId26" w:history="1">
        <w:r w:rsidR="004F13BA" w:rsidRPr="004F13BA">
          <w:rPr>
            <w:color w:val="0000FF"/>
            <w:u w:val="single"/>
            <w:rtl/>
          </w:rPr>
          <w:t>ת"פ (שלום י-ם) 7414-01-15</w:t>
        </w:r>
      </w:hyperlink>
      <w:r w:rsidRPr="008E2DBE">
        <w:rPr>
          <w:rtl/>
        </w:rPr>
        <w:t xml:space="preserve"> </w:t>
      </w:r>
      <w:r w:rsidRPr="008E2DBE">
        <w:rPr>
          <w:b/>
          <w:bCs/>
          <w:rtl/>
        </w:rPr>
        <w:t>מדינת ישראל נ' ניסים שגב</w:t>
      </w:r>
      <w:r w:rsidRPr="008E2DBE">
        <w:rPr>
          <w:rtl/>
        </w:rPr>
        <w:t xml:space="preserve"> [פורסם בנבו] (26.02.2017): ".... </w:t>
      </w:r>
      <w:r w:rsidRPr="008E2DBE">
        <w:rPr>
          <w:b/>
          <w:bCs/>
          <w:rtl/>
        </w:rPr>
        <w:t>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r w:rsidRPr="008E2DBE">
        <w:rPr>
          <w:rtl/>
        </w:rPr>
        <w:t>".</w:t>
      </w:r>
    </w:p>
    <w:p w14:paraId="75394C69" w14:textId="77777777" w:rsidR="00A12046" w:rsidRPr="008E2DBE" w:rsidRDefault="00A12046" w:rsidP="00A12046">
      <w:pPr>
        <w:pStyle w:val="aa"/>
        <w:numPr>
          <w:ilvl w:val="0"/>
          <w:numId w:val="2"/>
        </w:numPr>
        <w:spacing w:after="0"/>
        <w:ind w:left="-58"/>
      </w:pPr>
      <w:r w:rsidRPr="008E2DBE">
        <w:rPr>
          <w:rtl/>
        </w:rPr>
        <w:t xml:space="preserve">בסיכומה של נקודה זה ייאמר, כי אין לו לדיין אלא מה שעיניו רואות </w:t>
      </w:r>
      <w:r w:rsidRPr="008E2DBE">
        <w:rPr>
          <w:b/>
          <w:bCs/>
          <w:rtl/>
        </w:rPr>
        <w:t xml:space="preserve">– </w:t>
      </w:r>
      <w:r w:rsidRPr="008E2DBE">
        <w:rPr>
          <w:rtl/>
        </w:rPr>
        <w:t xml:space="preserve">ומבלי להתעלם מהחזקה החוקית ומרמת האשמה ה'רישמית' שהיא יוצרת, הרי שיש להניח לטובתו של הנאשם כי רמת האשמה המוטלת לפתחו היא נמוכה, עת לא הוכח לפניי כי הלה החזיק את הסם במטרה להפיצו או לסחור בו. </w:t>
      </w:r>
    </w:p>
    <w:p w14:paraId="32356157" w14:textId="77777777" w:rsidR="00A12046" w:rsidRPr="008E2DBE" w:rsidRDefault="00A12046" w:rsidP="00A12046">
      <w:pPr>
        <w:pStyle w:val="aa"/>
        <w:numPr>
          <w:ilvl w:val="0"/>
          <w:numId w:val="2"/>
        </w:numPr>
        <w:spacing w:after="0"/>
        <w:ind w:left="-58"/>
      </w:pPr>
      <w:r w:rsidRPr="008E2DBE">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44E4108F" w14:textId="77777777" w:rsidR="00A12046" w:rsidRPr="008E2DBE" w:rsidRDefault="00A12046" w:rsidP="00A12046">
      <w:pPr>
        <w:pStyle w:val="aa"/>
        <w:numPr>
          <w:ilvl w:val="0"/>
          <w:numId w:val="2"/>
        </w:numPr>
        <w:spacing w:after="0"/>
        <w:ind w:left="-58"/>
      </w:pPr>
      <w:r w:rsidRPr="008E2DBE">
        <w:rPr>
          <w:rtl/>
        </w:rPr>
        <w:t xml:space="preserve">אשר </w:t>
      </w:r>
      <w:r w:rsidRPr="008E2DBE">
        <w:rPr>
          <w:b/>
          <w:bCs/>
          <w:rtl/>
        </w:rPr>
        <w:t>למדיניות הענישה הנוהגת</w:t>
      </w:r>
      <w:r w:rsidRPr="008E2DBE">
        <w:rPr>
          <w:rtl/>
        </w:rPr>
        <w:t xml:space="preserve">, סקירת הפסיקה מלמדת כי בעבירה של החזקת סם הקנבוס (או החשיש), שלא לצריכה עצמית </w:t>
      </w:r>
      <w:r w:rsidRPr="008E2DBE">
        <w:rPr>
          <w:b/>
          <w:bCs/>
          <w:rtl/>
        </w:rPr>
        <w:t>בכמויות דומות לאלו שבעניינינו</w:t>
      </w:r>
      <w:r w:rsidRPr="008E2DBE">
        <w:rPr>
          <w:rtl/>
        </w:rPr>
        <w:t xml:space="preserve">, קיים מנעד רחב של עונשים, הכול בהתאם לכמות הסם ונסיבות החזקתו, ואולם, </w:t>
      </w:r>
      <w:r w:rsidRPr="008E2DBE">
        <w:rPr>
          <w:b/>
          <w:bCs/>
          <w:rtl/>
        </w:rPr>
        <w:t>בדרך כלל,</w:t>
      </w:r>
      <w:r w:rsidRPr="008E2DBE">
        <w:rPr>
          <w:rtl/>
        </w:rPr>
        <w:t xml:space="preserve"> העונש הדומיננטי הוא, עונש הנע בין כמה חודשים מאסר שיכול להיות מרוצה בעבודות שירות ועד לתקופה ארוכה יותר המרוצה מאחורי סורג ובריח (ראו למשל, </w:t>
      </w:r>
      <w:hyperlink r:id="rId27" w:history="1">
        <w:r w:rsidR="004F13BA" w:rsidRPr="004F13BA">
          <w:rPr>
            <w:color w:val="0000FF"/>
            <w:u w:val="single"/>
            <w:shd w:val="clear" w:color="auto" w:fill="FAFAFA"/>
            <w:rtl/>
          </w:rPr>
          <w:t>עפ"ג (מחוזי חי') 63945-07-18</w:t>
        </w:r>
      </w:hyperlink>
      <w:r w:rsidR="004F13BA">
        <w:rPr>
          <w:shd w:val="clear" w:color="auto" w:fill="FAFAFA"/>
          <w:rtl/>
        </w:rPr>
        <w:t xml:space="preserve"> </w:t>
      </w:r>
      <w:r w:rsidRPr="008E2DBE">
        <w:rPr>
          <w:b/>
          <w:bCs/>
          <w:shd w:val="clear" w:color="auto" w:fill="FAFAFA"/>
          <w:rtl/>
        </w:rPr>
        <w:t>מדינת ישראל נ' מאיר מאור אזריאל</w:t>
      </w:r>
      <w:r w:rsidR="004F13BA">
        <w:rPr>
          <w:shd w:val="clear" w:color="auto" w:fill="FAFAFA"/>
          <w:rtl/>
        </w:rPr>
        <w:t xml:space="preserve"> </w:t>
      </w:r>
      <w:r w:rsidRPr="008E2DBE">
        <w:rPr>
          <w:shd w:val="clear" w:color="auto" w:fill="FAFAFA"/>
          <w:rtl/>
        </w:rPr>
        <w:t>[פורסם בנבו] (08.11.2018</w:t>
      </w:r>
      <w:r w:rsidRPr="008E2DBE">
        <w:rPr>
          <w:shd w:val="clear" w:color="auto" w:fill="FAFAFA"/>
        </w:rPr>
        <w:t>(</w:t>
      </w:r>
      <w:r w:rsidRPr="008E2DBE">
        <w:rPr>
          <w:shd w:val="clear" w:color="auto" w:fill="FAFAFA"/>
          <w:rtl/>
        </w:rPr>
        <w:t>;</w:t>
      </w:r>
      <w:r w:rsidRPr="008E2DBE">
        <w:rPr>
          <w:u w:val="single"/>
          <w:rtl/>
        </w:rPr>
        <w:t xml:space="preserve"> </w:t>
      </w:r>
      <w:hyperlink r:id="rId28" w:history="1">
        <w:r w:rsidR="004F13BA" w:rsidRPr="004F13BA">
          <w:rPr>
            <w:color w:val="0000FF"/>
            <w:u w:val="single"/>
            <w:rtl/>
          </w:rPr>
          <w:t>ת"פ (שלום קריות) 20685-11-16</w:t>
        </w:r>
      </w:hyperlink>
      <w:r w:rsidRPr="008E2DBE">
        <w:rPr>
          <w:rtl/>
        </w:rPr>
        <w:t xml:space="preserve"> </w:t>
      </w:r>
      <w:r w:rsidRPr="008E2DBE">
        <w:rPr>
          <w:b/>
          <w:bCs/>
          <w:rtl/>
        </w:rPr>
        <w:t xml:space="preserve">מדינת ישראל נ' הלל לי לאופר </w:t>
      </w:r>
      <w:r w:rsidRPr="008E2DBE">
        <w:rPr>
          <w:shd w:val="clear" w:color="auto" w:fill="FAFAFA"/>
          <w:rtl/>
        </w:rPr>
        <w:t>[פורסם בנבו] (</w:t>
      </w:r>
      <w:r w:rsidRPr="008E2DBE">
        <w:rPr>
          <w:rtl/>
        </w:rPr>
        <w:t>24.06.2018)</w:t>
      </w:r>
      <w:r w:rsidRPr="008E2DBE">
        <w:t>;</w:t>
      </w:r>
      <w:r w:rsidRPr="008E2DBE">
        <w:rPr>
          <w:rtl/>
        </w:rPr>
        <w:t xml:space="preserve"> </w:t>
      </w:r>
      <w:hyperlink r:id="rId29" w:history="1">
        <w:r w:rsidR="004F13BA" w:rsidRPr="004F13BA">
          <w:rPr>
            <w:color w:val="0000FF"/>
            <w:u w:val="single"/>
            <w:rtl/>
          </w:rPr>
          <w:t>ת"פ (שלום פ"ת) 11125-03-16</w:t>
        </w:r>
      </w:hyperlink>
      <w:r w:rsidRPr="008E2DBE">
        <w:rPr>
          <w:rtl/>
        </w:rPr>
        <w:t xml:space="preserve"> </w:t>
      </w:r>
      <w:r w:rsidRPr="008E2DBE">
        <w:rPr>
          <w:b/>
          <w:bCs/>
          <w:rtl/>
        </w:rPr>
        <w:t>מדינת ישראל נ' מאור חרזי</w:t>
      </w:r>
      <w:r w:rsidRPr="008E2DBE">
        <w:rPr>
          <w:rtl/>
        </w:rPr>
        <w:t xml:space="preserve"> </w:t>
      </w:r>
      <w:r w:rsidRPr="008E2DBE">
        <w:rPr>
          <w:shd w:val="clear" w:color="auto" w:fill="FAFAFA"/>
          <w:rtl/>
        </w:rPr>
        <w:t>[פורסם בנבו] (</w:t>
      </w:r>
      <w:r w:rsidRPr="008E2DBE">
        <w:rPr>
          <w:rtl/>
        </w:rPr>
        <w:t>28.06.2017)</w:t>
      </w:r>
      <w:r w:rsidRPr="008E2DBE">
        <w:t>;</w:t>
      </w:r>
      <w:r w:rsidRPr="008E2DBE">
        <w:rPr>
          <w:rtl/>
        </w:rPr>
        <w:t xml:space="preserve"> </w:t>
      </w:r>
      <w:hyperlink r:id="rId30" w:history="1">
        <w:r w:rsidR="004F13BA" w:rsidRPr="004F13BA">
          <w:rPr>
            <w:color w:val="0000FF"/>
            <w:u w:val="single"/>
            <w:rtl/>
          </w:rPr>
          <w:t>ת"פ (שלום רמ') 42543-06-14</w:t>
        </w:r>
      </w:hyperlink>
      <w:r w:rsidRPr="008E2DBE">
        <w:rPr>
          <w:rtl/>
        </w:rPr>
        <w:t xml:space="preserve"> </w:t>
      </w:r>
      <w:r w:rsidRPr="008E2DBE">
        <w:rPr>
          <w:b/>
          <w:bCs/>
          <w:rtl/>
        </w:rPr>
        <w:t>משטרת ישראל תביעות- שלוחת רמלה נ' קובי בלו</w:t>
      </w:r>
      <w:r w:rsidRPr="008E2DBE">
        <w:rPr>
          <w:rtl/>
        </w:rPr>
        <w:t xml:space="preserve"> </w:t>
      </w:r>
      <w:r w:rsidRPr="008E2DBE">
        <w:rPr>
          <w:shd w:val="clear" w:color="auto" w:fill="FAFAFA"/>
          <w:rtl/>
        </w:rPr>
        <w:t>[פורסם בנבו] (</w:t>
      </w:r>
      <w:r w:rsidRPr="008E2DBE">
        <w:rPr>
          <w:rtl/>
        </w:rPr>
        <w:t>03.01.2016)</w:t>
      </w:r>
      <w:r w:rsidRPr="008E2DBE">
        <w:t>;</w:t>
      </w:r>
      <w:r w:rsidRPr="008E2DBE">
        <w:rPr>
          <w:rtl/>
        </w:rPr>
        <w:t xml:space="preserve">  </w:t>
      </w:r>
      <w:hyperlink r:id="rId31" w:history="1">
        <w:r w:rsidR="004F13BA" w:rsidRPr="004F13BA">
          <w:rPr>
            <w:color w:val="0000FF"/>
            <w:u w:val="single"/>
            <w:rtl/>
          </w:rPr>
          <w:t>ת"פ (שלום רמ') 59602-07-15</w:t>
        </w:r>
      </w:hyperlink>
      <w:r w:rsidRPr="008E2DBE">
        <w:rPr>
          <w:rtl/>
        </w:rPr>
        <w:t xml:space="preserve"> </w:t>
      </w:r>
      <w:r w:rsidRPr="008E2DBE">
        <w:rPr>
          <w:b/>
          <w:bCs/>
          <w:rtl/>
        </w:rPr>
        <w:t>משטרת ישראל תביעות- שלוחת רמלה נ' אביב חטאב</w:t>
      </w:r>
      <w:r w:rsidRPr="008E2DBE">
        <w:rPr>
          <w:rtl/>
        </w:rPr>
        <w:t xml:space="preserve"> (</w:t>
      </w:r>
      <w:r w:rsidRPr="008E2DBE">
        <w:rPr>
          <w:shd w:val="clear" w:color="auto" w:fill="FAFAFA"/>
          <w:rtl/>
        </w:rPr>
        <w:t>[פורסם בנבו] (</w:t>
      </w:r>
      <w:r w:rsidRPr="008E2DBE">
        <w:rPr>
          <w:rtl/>
        </w:rPr>
        <w:t>13.12.2016)</w:t>
      </w:r>
      <w:r w:rsidRPr="008E2DBE">
        <w:t xml:space="preserve">; </w:t>
      </w:r>
      <w:r w:rsidRPr="008E2DBE">
        <w:rPr>
          <w:u w:val="single"/>
          <w:rtl/>
        </w:rPr>
        <w:t xml:space="preserve"> </w:t>
      </w:r>
      <w:hyperlink r:id="rId32" w:history="1">
        <w:r w:rsidR="004F13BA" w:rsidRPr="004F13BA">
          <w:rPr>
            <w:color w:val="0000FF"/>
            <w:u w:val="single"/>
            <w:rtl/>
          </w:rPr>
          <w:t>ת"פ (שלום נת') 53948-11-14</w:t>
        </w:r>
      </w:hyperlink>
      <w:r w:rsidRPr="008E2DBE">
        <w:rPr>
          <w:rtl/>
        </w:rPr>
        <w:t xml:space="preserve"> </w:t>
      </w:r>
      <w:r w:rsidRPr="008E2DBE">
        <w:rPr>
          <w:b/>
          <w:bCs/>
          <w:rtl/>
        </w:rPr>
        <w:t>מדינת ישראל נ' בן פרל</w:t>
      </w:r>
      <w:r w:rsidRPr="008E2DBE">
        <w:rPr>
          <w:rtl/>
        </w:rPr>
        <w:t xml:space="preserve"> </w:t>
      </w:r>
      <w:r w:rsidRPr="008E2DBE">
        <w:rPr>
          <w:shd w:val="clear" w:color="auto" w:fill="FAFAFA"/>
          <w:rtl/>
        </w:rPr>
        <w:t>[פורסם בנבו] (</w:t>
      </w:r>
      <w:r w:rsidRPr="008E2DBE">
        <w:rPr>
          <w:rtl/>
        </w:rPr>
        <w:t>08.12.2015)</w:t>
      </w:r>
      <w:r w:rsidRPr="008E2DBE">
        <w:t>;</w:t>
      </w:r>
      <w:r w:rsidRPr="008E2DBE">
        <w:rPr>
          <w:rtl/>
        </w:rPr>
        <w:t xml:space="preserve"> </w:t>
      </w:r>
      <w:hyperlink r:id="rId33" w:history="1">
        <w:r w:rsidR="004F13BA" w:rsidRPr="004F13BA">
          <w:rPr>
            <w:color w:val="0000FF"/>
            <w:u w:val="single"/>
            <w:shd w:val="clear" w:color="auto" w:fill="FAFAFA"/>
            <w:rtl/>
          </w:rPr>
          <w:t>ת"פ (שלום אש') 10901-10-17</w:t>
        </w:r>
      </w:hyperlink>
      <w:r w:rsidRPr="008E2DBE">
        <w:rPr>
          <w:shd w:val="clear" w:color="auto" w:fill="FAFAFA"/>
          <w:rtl/>
        </w:rPr>
        <w:t xml:space="preserve"> </w:t>
      </w:r>
      <w:r w:rsidRPr="008E2DBE">
        <w:rPr>
          <w:b/>
          <w:bCs/>
          <w:shd w:val="clear" w:color="auto" w:fill="FAFAFA"/>
          <w:rtl/>
        </w:rPr>
        <w:t>מדינת ישראל נגד מחמד אבן חמוד</w:t>
      </w:r>
      <w:r w:rsidRPr="008E2DBE">
        <w:rPr>
          <w:shd w:val="clear" w:color="auto" w:fill="FAFAFA"/>
          <w:rtl/>
        </w:rPr>
        <w:t xml:space="preserve"> [פורסם בנבו] (04.06.2018); </w:t>
      </w:r>
      <w:hyperlink r:id="rId34" w:history="1">
        <w:r w:rsidR="004F13BA" w:rsidRPr="004F13BA">
          <w:rPr>
            <w:color w:val="0000FF"/>
            <w:u w:val="single"/>
            <w:shd w:val="clear" w:color="auto" w:fill="FAFAFA"/>
            <w:rtl/>
          </w:rPr>
          <w:t>ת"פ (שלום ב"ש) 54116-09-16</w:t>
        </w:r>
      </w:hyperlink>
      <w:r w:rsidR="004F13BA">
        <w:rPr>
          <w:shd w:val="clear" w:color="auto" w:fill="FAFAFA"/>
          <w:rtl/>
        </w:rPr>
        <w:t xml:space="preserve"> </w:t>
      </w:r>
      <w:r w:rsidRPr="008E2DBE">
        <w:rPr>
          <w:b/>
          <w:bCs/>
          <w:shd w:val="clear" w:color="auto" w:fill="FAFAFA"/>
          <w:rtl/>
        </w:rPr>
        <w:t xml:space="preserve">מדינת ישראל נ' שלום אברהם </w:t>
      </w:r>
      <w:r w:rsidRPr="008E2DBE">
        <w:rPr>
          <w:shd w:val="clear" w:color="auto" w:fill="FAFAFA"/>
          <w:rtl/>
        </w:rPr>
        <w:t>[פורסם בנבו] (25.12.2016</w:t>
      </w:r>
      <w:r w:rsidRPr="008E2DBE">
        <w:rPr>
          <w:shd w:val="clear" w:color="auto" w:fill="FAFAFA"/>
        </w:rPr>
        <w:t>(</w:t>
      </w:r>
      <w:r w:rsidRPr="008E2DBE">
        <w:rPr>
          <w:shd w:val="clear" w:color="auto" w:fill="FAFAFA"/>
          <w:rtl/>
        </w:rPr>
        <w:t xml:space="preserve">; </w:t>
      </w:r>
      <w:hyperlink r:id="rId35" w:history="1">
        <w:r w:rsidR="004F13BA" w:rsidRPr="004F13BA">
          <w:rPr>
            <w:color w:val="0000FF"/>
            <w:u w:val="single"/>
            <w:shd w:val="clear" w:color="auto" w:fill="FAFAFA"/>
            <w:rtl/>
          </w:rPr>
          <w:t>ת"פ (שלום י-ם) 68523-01-18</w:t>
        </w:r>
      </w:hyperlink>
      <w:r w:rsidR="004F13BA">
        <w:rPr>
          <w:shd w:val="clear" w:color="auto" w:fill="FAFAFA"/>
          <w:rtl/>
        </w:rPr>
        <w:t xml:space="preserve"> </w:t>
      </w:r>
      <w:r w:rsidRPr="008E2DBE">
        <w:rPr>
          <w:b/>
          <w:bCs/>
          <w:shd w:val="clear" w:color="auto" w:fill="FAFAFA"/>
          <w:rtl/>
        </w:rPr>
        <w:t>מדינת ישראל נ' משה אושר בן יעקב גדעון ארזי</w:t>
      </w:r>
      <w:r w:rsidR="004F13BA">
        <w:rPr>
          <w:shd w:val="clear" w:color="auto" w:fill="FAFAFA"/>
          <w:rtl/>
        </w:rPr>
        <w:t xml:space="preserve"> </w:t>
      </w:r>
      <w:r w:rsidRPr="008E2DBE">
        <w:rPr>
          <w:shd w:val="clear" w:color="auto" w:fill="FAFAFA"/>
          <w:rtl/>
        </w:rPr>
        <w:t>[פורסם בנבו] (18.09.2019</w:t>
      </w:r>
      <w:r w:rsidRPr="008E2DBE">
        <w:rPr>
          <w:u w:val="single"/>
          <w:shd w:val="clear" w:color="auto" w:fill="FAFAFA"/>
          <w:rtl/>
        </w:rPr>
        <w:t xml:space="preserve">); </w:t>
      </w:r>
      <w:hyperlink r:id="rId36" w:history="1">
        <w:r w:rsidR="004F13BA" w:rsidRPr="004F13BA">
          <w:rPr>
            <w:color w:val="0000FF"/>
            <w:u w:val="single"/>
            <w:shd w:val="clear" w:color="auto" w:fill="FAFAFA"/>
            <w:rtl/>
          </w:rPr>
          <w:t>עפ"ג (מחוזי – מרכז) 61313-02-20</w:t>
        </w:r>
      </w:hyperlink>
      <w:r w:rsidRPr="008E2DBE">
        <w:rPr>
          <w:shd w:val="clear" w:color="auto" w:fill="FAFAFA"/>
          <w:rtl/>
        </w:rPr>
        <w:t xml:space="preserve"> </w:t>
      </w:r>
      <w:r w:rsidRPr="008E2DBE">
        <w:rPr>
          <w:b/>
          <w:bCs/>
          <w:shd w:val="clear" w:color="auto" w:fill="FAFAFA"/>
          <w:rtl/>
        </w:rPr>
        <w:t>פצו'לקין נגד מדינת ישראל</w:t>
      </w:r>
      <w:r w:rsidRPr="008E2DBE">
        <w:rPr>
          <w:shd w:val="clear" w:color="auto" w:fill="FAFAFA"/>
          <w:rtl/>
        </w:rPr>
        <w:t xml:space="preserve"> [לא פורסם] (08.09.2020); </w:t>
      </w:r>
      <w:hyperlink r:id="rId37" w:history="1">
        <w:r w:rsidR="004F13BA" w:rsidRPr="004F13BA">
          <w:rPr>
            <w:color w:val="0000FF"/>
            <w:u w:val="single"/>
            <w:shd w:val="clear" w:color="auto" w:fill="FAFAFA"/>
            <w:rtl/>
          </w:rPr>
          <w:t>ת"פ (שלום חי') 42827-10-18</w:t>
        </w:r>
      </w:hyperlink>
      <w:r w:rsidR="004F13BA">
        <w:rPr>
          <w:shd w:val="clear" w:color="auto" w:fill="FAFAFA"/>
          <w:rtl/>
        </w:rPr>
        <w:t xml:space="preserve"> </w:t>
      </w:r>
      <w:r w:rsidRPr="008E2DBE">
        <w:rPr>
          <w:b/>
          <w:bCs/>
          <w:shd w:val="clear" w:color="auto" w:fill="FAFAFA"/>
          <w:rtl/>
        </w:rPr>
        <w:t>מדינת ישראל נ' ארז באידינג</w:t>
      </w:r>
      <w:r w:rsidR="004F13BA">
        <w:rPr>
          <w:shd w:val="clear" w:color="auto" w:fill="FAFAFA"/>
          <w:rtl/>
        </w:rPr>
        <w:t xml:space="preserve"> </w:t>
      </w:r>
      <w:r w:rsidRPr="008E2DBE">
        <w:rPr>
          <w:shd w:val="clear" w:color="auto" w:fill="FAFAFA"/>
          <w:rtl/>
        </w:rPr>
        <w:t xml:space="preserve">[פורסם בנבו] (12.03.2020); </w:t>
      </w:r>
      <w:hyperlink r:id="rId38" w:history="1">
        <w:r w:rsidR="004F13BA" w:rsidRPr="004F13BA">
          <w:rPr>
            <w:color w:val="0000FF"/>
            <w:u w:val="single"/>
            <w:shd w:val="clear" w:color="auto" w:fill="FAFAFA"/>
            <w:rtl/>
          </w:rPr>
          <w:t>ת"פ (שלום ראשל"צ) 15424-06-19</w:t>
        </w:r>
      </w:hyperlink>
      <w:r w:rsidR="004F13BA">
        <w:rPr>
          <w:shd w:val="clear" w:color="auto" w:fill="FAFAFA"/>
          <w:rtl/>
        </w:rPr>
        <w:t xml:space="preserve"> </w:t>
      </w:r>
      <w:r w:rsidRPr="008E2DBE">
        <w:rPr>
          <w:b/>
          <w:bCs/>
          <w:shd w:val="clear" w:color="auto" w:fill="FAFAFA"/>
          <w:rtl/>
        </w:rPr>
        <w:t>מדינת ישראל נ' כפיר רשתי</w:t>
      </w:r>
      <w:r w:rsidR="004F13BA">
        <w:rPr>
          <w:shd w:val="clear" w:color="auto" w:fill="FAFAFA"/>
          <w:rtl/>
        </w:rPr>
        <w:t xml:space="preserve"> </w:t>
      </w:r>
      <w:r w:rsidRPr="008E2DBE">
        <w:rPr>
          <w:shd w:val="clear" w:color="auto" w:fill="FAFAFA"/>
          <w:rtl/>
        </w:rPr>
        <w:t xml:space="preserve">[פורסם בנבו] (08.02.2021); </w:t>
      </w:r>
      <w:hyperlink r:id="rId39" w:history="1">
        <w:r w:rsidR="004F13BA" w:rsidRPr="004F13BA">
          <w:rPr>
            <w:color w:val="0000FF"/>
            <w:u w:val="single"/>
            <w:shd w:val="clear" w:color="auto" w:fill="FAFAFA"/>
            <w:rtl/>
          </w:rPr>
          <w:t>ת"פ (שלום רמ') 33125-01-14</w:t>
        </w:r>
      </w:hyperlink>
      <w:r w:rsidR="004F13BA">
        <w:rPr>
          <w:shd w:val="clear" w:color="auto" w:fill="FAFAFA"/>
          <w:rtl/>
        </w:rPr>
        <w:t xml:space="preserve"> </w:t>
      </w:r>
      <w:r w:rsidRPr="008E2DBE">
        <w:rPr>
          <w:b/>
          <w:bCs/>
          <w:shd w:val="clear" w:color="auto" w:fill="FAFAFA"/>
          <w:rtl/>
        </w:rPr>
        <w:t>מדינת ישראל נ' איברהים אבו לבן</w:t>
      </w:r>
      <w:r w:rsidR="004F13BA">
        <w:rPr>
          <w:shd w:val="clear" w:color="auto" w:fill="FAFAFA"/>
          <w:rtl/>
        </w:rPr>
        <w:t xml:space="preserve"> </w:t>
      </w:r>
      <w:r w:rsidRPr="008E2DBE">
        <w:rPr>
          <w:shd w:val="clear" w:color="auto" w:fill="FAFAFA"/>
          <w:rtl/>
        </w:rPr>
        <w:t xml:space="preserve">[פורסם בנבו] (15.01.2015); </w:t>
      </w:r>
      <w:hyperlink r:id="rId40" w:history="1">
        <w:r w:rsidR="004F13BA" w:rsidRPr="004F13BA">
          <w:rPr>
            <w:color w:val="0000FF"/>
            <w:u w:val="single"/>
            <w:shd w:val="clear" w:color="auto" w:fill="FAFAFA"/>
            <w:rtl/>
          </w:rPr>
          <w:t>ת"פ (שלום ק"ג) 10215-10-19</w:t>
        </w:r>
      </w:hyperlink>
      <w:r w:rsidR="004F13BA">
        <w:rPr>
          <w:shd w:val="clear" w:color="auto" w:fill="FAFAFA"/>
          <w:rtl/>
        </w:rPr>
        <w:t xml:space="preserve"> </w:t>
      </w:r>
      <w:r w:rsidRPr="008E2DBE">
        <w:rPr>
          <w:b/>
          <w:bCs/>
          <w:shd w:val="clear" w:color="auto" w:fill="FAFAFA"/>
          <w:rtl/>
        </w:rPr>
        <w:t>מדינת ישראל נ' דרור עמר</w:t>
      </w:r>
      <w:r w:rsidR="004F13BA">
        <w:rPr>
          <w:shd w:val="clear" w:color="auto" w:fill="FAFAFA"/>
          <w:rtl/>
        </w:rPr>
        <w:t xml:space="preserve"> </w:t>
      </w:r>
      <w:r w:rsidRPr="008E2DBE">
        <w:rPr>
          <w:shd w:val="clear" w:color="auto" w:fill="FAFAFA"/>
          <w:rtl/>
        </w:rPr>
        <w:t>[פורסם בנבו] (14.07.2021)</w:t>
      </w:r>
      <w:r w:rsidRPr="008E2DBE">
        <w:rPr>
          <w:rtl/>
        </w:rPr>
        <w:t xml:space="preserve"> – ויוער כי הערעור שהוגש על ידי הנאשם במסגרת </w:t>
      </w:r>
      <w:hyperlink r:id="rId41" w:history="1">
        <w:r w:rsidR="004F13BA" w:rsidRPr="004F13BA">
          <w:rPr>
            <w:color w:val="0000FF"/>
            <w:u w:val="single"/>
            <w:rtl/>
          </w:rPr>
          <w:t>עפ"ג (ב"ש) 51992-08-21</w:t>
        </w:r>
      </w:hyperlink>
      <w:r w:rsidRPr="008E2DBE">
        <w:rPr>
          <w:rtl/>
        </w:rPr>
        <w:t xml:space="preserve"> </w:t>
      </w:r>
      <w:r w:rsidRPr="008E2DBE">
        <w:rPr>
          <w:b/>
          <w:bCs/>
          <w:rtl/>
        </w:rPr>
        <w:t>דרור עמר נגד מדינת ישראל</w:t>
      </w:r>
      <w:r w:rsidRPr="008E2DBE">
        <w:rPr>
          <w:rtl/>
        </w:rPr>
        <w:t xml:space="preserve"> [לא פורסם] (12.01.2022), נמחק בהסכמתו.</w:t>
      </w:r>
    </w:p>
    <w:p w14:paraId="7C5C2280" w14:textId="77777777" w:rsidR="00A12046" w:rsidRPr="008E2DBE" w:rsidRDefault="00A12046" w:rsidP="00A12046">
      <w:pPr>
        <w:pStyle w:val="aa"/>
        <w:numPr>
          <w:ilvl w:val="0"/>
          <w:numId w:val="2"/>
        </w:numPr>
        <w:spacing w:after="0"/>
        <w:ind w:left="-58"/>
      </w:pPr>
      <w:r w:rsidRPr="008E2DBE">
        <w:rPr>
          <w:rtl/>
        </w:rPr>
        <w:t xml:space="preserve">כאן אציין, כי אף לא התעלמתי מהפסיקה אליה הפנתה המאשימה, אולם חשוב להדגיש כי נהיר לבית המשפט שקיימים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8E2DBE">
        <w:rPr>
          <w:b/>
          <w:bCs/>
          <w:rtl/>
        </w:rPr>
        <w:t>ו"אין עסקינן בשיטת ניקוד, או באריתמטיקה. ענישה היא מלאכת מחשבת – ולא מלאכת מחשב"</w:t>
      </w:r>
      <w:r w:rsidRPr="008E2DBE">
        <w:rPr>
          <w:rtl/>
        </w:rPr>
        <w:t xml:space="preserve"> (ראו לעניין זה, </w:t>
      </w:r>
      <w:hyperlink r:id="rId42" w:history="1">
        <w:r w:rsidR="004F13BA" w:rsidRPr="004F13BA">
          <w:rPr>
            <w:color w:val="0000FF"/>
            <w:u w:val="single"/>
            <w:rtl/>
          </w:rPr>
          <w:t>ע"פ 5768/10</w:t>
        </w:r>
      </w:hyperlink>
      <w:r w:rsidRPr="008E2DBE">
        <w:rPr>
          <w:rtl/>
        </w:rPr>
        <w:t xml:space="preserve"> </w:t>
      </w:r>
      <w:r w:rsidRPr="008E2DBE">
        <w:rPr>
          <w:b/>
          <w:bCs/>
          <w:rtl/>
        </w:rPr>
        <w:t>פלוני נ' מדינת ישראל</w:t>
      </w:r>
      <w:r w:rsidRPr="008E2DBE">
        <w:rPr>
          <w:rtl/>
        </w:rPr>
        <w:t xml:space="preserve">, </w:t>
      </w:r>
      <w:r w:rsidRPr="008E2DBE">
        <w:rPr>
          <w:shd w:val="clear" w:color="auto" w:fill="FAFAFA"/>
          <w:rtl/>
        </w:rPr>
        <w:t>[פורסם בנבו] (</w:t>
      </w:r>
      <w:r w:rsidRPr="008E2DBE">
        <w:rPr>
          <w:rtl/>
        </w:rPr>
        <w:t xml:space="preserve">08.06.2015)). לעולם אין לגזור עונשו של נאשם על סמך כותרות העבירות שבהן הוא הורשע ויש להתחשב במכלול הנסיבות בכל מקרה לגופו (ראו והשוו, </w:t>
      </w:r>
      <w:hyperlink r:id="rId43" w:history="1">
        <w:r w:rsidR="004F13BA" w:rsidRPr="004F13BA">
          <w:rPr>
            <w:color w:val="0000FF"/>
            <w:u w:val="single"/>
            <w:rtl/>
          </w:rPr>
          <w:t>ע"פ 433/89</w:t>
        </w:r>
      </w:hyperlink>
      <w:r w:rsidRPr="008E2DBE">
        <w:rPr>
          <w:rtl/>
        </w:rPr>
        <w:t xml:space="preserve"> </w:t>
      </w:r>
      <w:r w:rsidRPr="008E2DBE">
        <w:rPr>
          <w:b/>
          <w:bCs/>
          <w:rtl/>
        </w:rPr>
        <w:t>ג'ורג' אטיאס נ' מדינת ישראל</w:t>
      </w:r>
      <w:r w:rsidRPr="008E2DBE">
        <w:rPr>
          <w:rtl/>
        </w:rPr>
        <w:t xml:space="preserve">, פ"ד מג(4) 170, (1989); </w:t>
      </w:r>
      <w:r w:rsidRPr="008E2DBE">
        <w:rPr>
          <w:u w:val="single"/>
          <w:rtl/>
        </w:rPr>
        <w:t>ו</w:t>
      </w:r>
      <w:hyperlink r:id="rId44" w:history="1">
        <w:r w:rsidR="004F13BA" w:rsidRPr="004F13BA">
          <w:rPr>
            <w:color w:val="0000FF"/>
            <w:u w:val="single"/>
            <w:rtl/>
          </w:rPr>
          <w:t>רע"פ 3173/09</w:t>
        </w:r>
      </w:hyperlink>
      <w:r w:rsidRPr="008E2DBE">
        <w:rPr>
          <w:rtl/>
        </w:rPr>
        <w:t xml:space="preserve"> </w:t>
      </w:r>
      <w:r w:rsidRPr="008E2DBE">
        <w:rPr>
          <w:b/>
          <w:bCs/>
          <w:rtl/>
        </w:rPr>
        <w:t>פראגין נ' מדינת ישראל</w:t>
      </w:r>
      <w:r w:rsidRPr="008E2DBE">
        <w:rPr>
          <w:rtl/>
        </w:rPr>
        <w:t xml:space="preserve">, </w:t>
      </w:r>
      <w:r w:rsidRPr="008E2DBE">
        <w:rPr>
          <w:shd w:val="clear" w:color="auto" w:fill="FAFAFA"/>
          <w:rtl/>
        </w:rPr>
        <w:t>[פורסם בנבו] (</w:t>
      </w:r>
      <w:r w:rsidRPr="008E2DBE">
        <w:rPr>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5" w:history="1">
        <w:r w:rsidR="004F13BA" w:rsidRPr="004F13BA">
          <w:rPr>
            <w:color w:val="0000FF"/>
            <w:u w:val="single"/>
            <w:rtl/>
          </w:rPr>
          <w:t>ע"פ 1903/13</w:t>
        </w:r>
      </w:hyperlink>
      <w:r w:rsidRPr="008E2DBE">
        <w:rPr>
          <w:rtl/>
        </w:rPr>
        <w:t xml:space="preserve"> </w:t>
      </w:r>
      <w:r w:rsidRPr="008E2DBE">
        <w:rPr>
          <w:b/>
          <w:bCs/>
          <w:rtl/>
        </w:rPr>
        <w:t>חמודה עיאשה נ' מדינת ישראל</w:t>
      </w:r>
      <w:r w:rsidRPr="008E2DBE">
        <w:rPr>
          <w:rtl/>
        </w:rPr>
        <w:t xml:space="preserve">, </w:t>
      </w:r>
      <w:r w:rsidRPr="008E2DBE">
        <w:rPr>
          <w:shd w:val="clear" w:color="auto" w:fill="FAFAFA"/>
          <w:rtl/>
        </w:rPr>
        <w:t>[פורסם בנבו] (</w:t>
      </w:r>
      <w:r w:rsidRPr="008E2DBE">
        <w:rPr>
          <w:rtl/>
        </w:rPr>
        <w:t>25.06.2013)).</w:t>
      </w:r>
    </w:p>
    <w:p w14:paraId="75A47F8F" w14:textId="77777777" w:rsidR="00A12046" w:rsidRPr="008E2DBE" w:rsidRDefault="00A12046" w:rsidP="00A12046">
      <w:pPr>
        <w:pStyle w:val="aa"/>
        <w:numPr>
          <w:ilvl w:val="0"/>
          <w:numId w:val="2"/>
        </w:numPr>
        <w:spacing w:after="0"/>
        <w:ind w:left="-58"/>
      </w:pPr>
      <w:r w:rsidRPr="008E2DBE">
        <w:rPr>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העבירה, כפי שפורט לעיל, ובשים לב לסוגם של הסמים, כמותם ונסיבות החזקתם, הריני לקבוע כי </w:t>
      </w:r>
      <w:r w:rsidRPr="008E2DBE">
        <w:rPr>
          <w:b/>
          <w:bCs/>
          <w:rtl/>
        </w:rPr>
        <w:t>על מתחם העונש ההולם במקרה הנדון לנוע בין מאסר קצר (שניתן לרצותו בעבודות שירות) לבין 12 חודשים מאסר בפועל</w:t>
      </w:r>
      <w:r w:rsidRPr="008E2DBE">
        <w:rPr>
          <w:rtl/>
        </w:rPr>
        <w:t xml:space="preserve">. </w:t>
      </w:r>
    </w:p>
    <w:p w14:paraId="42BE82EA" w14:textId="77777777" w:rsidR="00A12046" w:rsidRPr="008E2DBE" w:rsidRDefault="00A12046" w:rsidP="00A12046">
      <w:pPr>
        <w:tabs>
          <w:tab w:val="right" w:pos="7371"/>
        </w:tabs>
        <w:spacing w:line="360" w:lineRule="auto"/>
        <w:ind w:left="-58" w:right="-625"/>
        <w:contextualSpacing/>
        <w:rPr>
          <w:rFonts w:ascii="David" w:hAnsi="David"/>
        </w:rPr>
      </w:pPr>
    </w:p>
    <w:p w14:paraId="21B12F7D" w14:textId="77777777" w:rsidR="00A12046" w:rsidRPr="008E2DBE" w:rsidRDefault="00A12046" w:rsidP="00A12046">
      <w:pPr>
        <w:keepNext/>
        <w:keepLines/>
        <w:tabs>
          <w:tab w:val="right" w:pos="7371"/>
        </w:tabs>
        <w:spacing w:line="360" w:lineRule="auto"/>
        <w:ind w:right="-625"/>
        <w:jc w:val="center"/>
        <w:outlineLvl w:val="0"/>
        <w:rPr>
          <w:rFonts w:ascii="David" w:hAnsi="David"/>
          <w:b/>
          <w:bCs/>
          <w:sz w:val="32"/>
          <w:szCs w:val="32"/>
          <w:u w:val="single"/>
        </w:rPr>
      </w:pPr>
      <w:r w:rsidRPr="008E2DBE">
        <w:rPr>
          <w:rFonts w:ascii="David" w:hAnsi="David"/>
          <w:b/>
          <w:bCs/>
          <w:sz w:val="32"/>
          <w:szCs w:val="32"/>
          <w:u w:val="single"/>
          <w:rtl/>
        </w:rPr>
        <w:t>גזירת הדין</w:t>
      </w:r>
    </w:p>
    <w:p w14:paraId="25779824" w14:textId="77777777" w:rsidR="00A12046" w:rsidRPr="008E2DBE" w:rsidRDefault="00A12046" w:rsidP="00A12046">
      <w:pPr>
        <w:keepNext/>
        <w:keepLines/>
        <w:spacing w:line="360" w:lineRule="auto"/>
        <w:ind w:left="559" w:hanging="559"/>
        <w:outlineLvl w:val="0"/>
        <w:rPr>
          <w:rFonts w:ascii="David" w:hAnsi="David"/>
          <w:b/>
          <w:bCs/>
          <w:sz w:val="28"/>
          <w:szCs w:val="28"/>
          <w:u w:val="single"/>
          <w:rtl/>
        </w:rPr>
      </w:pPr>
      <w:r>
        <w:rPr>
          <w:rFonts w:ascii="David" w:hAnsi="David" w:hint="cs"/>
          <w:b/>
          <w:bCs/>
          <w:sz w:val="28"/>
          <w:szCs w:val="28"/>
          <w:rtl/>
        </w:rPr>
        <w:t>ד</w:t>
      </w:r>
      <w:r w:rsidRPr="008E2DBE">
        <w:rPr>
          <w:rFonts w:ascii="David" w:hAnsi="David"/>
          <w:b/>
          <w:bCs/>
          <w:sz w:val="28"/>
          <w:szCs w:val="28"/>
          <w:rtl/>
        </w:rPr>
        <w:t>.</w:t>
      </w:r>
      <w:r w:rsidRPr="008E2DBE">
        <w:rPr>
          <w:rFonts w:ascii="David" w:hAnsi="David"/>
          <w:sz w:val="28"/>
          <w:szCs w:val="28"/>
          <w:rtl/>
        </w:rPr>
        <w:t xml:space="preserve"> </w:t>
      </w:r>
      <w:r w:rsidRPr="008E2DBE">
        <w:rPr>
          <w:rFonts w:ascii="David" w:hAnsi="David"/>
          <w:b/>
          <w:bCs/>
          <w:sz w:val="28"/>
          <w:szCs w:val="28"/>
          <w:u w:val="single"/>
          <w:rtl/>
        </w:rPr>
        <w:t>גזירת העונש המתאים לנאשם</w:t>
      </w:r>
    </w:p>
    <w:p w14:paraId="78146CB9" w14:textId="77777777" w:rsidR="00A12046" w:rsidRPr="008E2DBE" w:rsidRDefault="00A12046" w:rsidP="00A12046">
      <w:pPr>
        <w:pStyle w:val="aa"/>
        <w:numPr>
          <w:ilvl w:val="0"/>
          <w:numId w:val="2"/>
        </w:numPr>
        <w:spacing w:after="0"/>
        <w:ind w:left="-58"/>
      </w:pPr>
      <w:r w:rsidRPr="008E2DBE">
        <w:rPr>
          <w:rtl/>
        </w:rPr>
        <w:t xml:space="preserve">כעת נותר לגזור את עונשו של הנאשם, ולצורך כך, כמצוות המחוקק </w:t>
      </w:r>
      <w:hyperlink r:id="rId46" w:history="1">
        <w:r w:rsidR="005C5822" w:rsidRPr="005C5822">
          <w:rPr>
            <w:rStyle w:val="Hyperlink"/>
            <w:rtl/>
          </w:rPr>
          <w:t>בסעיף 40יא</w:t>
        </w:r>
      </w:hyperlink>
      <w:r w:rsidRPr="008E2DBE">
        <w:rPr>
          <w:rtl/>
        </w:rPr>
        <w:t xml:space="preserve"> ל</w:t>
      </w:r>
      <w:hyperlink r:id="rId47" w:history="1">
        <w:r w:rsidR="004F13BA" w:rsidRPr="004F13BA">
          <w:rPr>
            <w:color w:val="0000FF"/>
            <w:u w:val="single"/>
            <w:rtl/>
          </w:rPr>
          <w:t>חוק העונשין</w:t>
        </w:r>
      </w:hyperlink>
      <w:r w:rsidRPr="008E2DBE">
        <w:rPr>
          <w:rtl/>
        </w:rPr>
        <w:t xml:space="preserve">, יש להתחשב בנסיבות שאינן קשורות בביצוע העבירה. </w:t>
      </w:r>
    </w:p>
    <w:p w14:paraId="429BF8A2" w14:textId="77777777" w:rsidR="00A12046" w:rsidRPr="008E2DBE" w:rsidRDefault="00A12046" w:rsidP="00A12046">
      <w:pPr>
        <w:numPr>
          <w:ilvl w:val="0"/>
          <w:numId w:val="2"/>
        </w:numPr>
        <w:shd w:val="clear" w:color="auto" w:fill="FAFAFA"/>
        <w:spacing w:line="360" w:lineRule="auto"/>
        <w:ind w:left="-118"/>
        <w:contextualSpacing/>
        <w:jc w:val="both"/>
        <w:rPr>
          <w:rFonts w:ascii="David" w:hAnsi="David"/>
        </w:rPr>
      </w:pPr>
      <w:r w:rsidRPr="008E2DBE">
        <w:rPr>
          <w:rFonts w:ascii="David" w:hAnsi="David"/>
          <w:rtl/>
        </w:rPr>
        <w:t xml:space="preserve">בעניין זה, בראש ובראשונה נתתי דעתי </w:t>
      </w:r>
      <w:r w:rsidRPr="008E2DBE">
        <w:rPr>
          <w:rFonts w:ascii="David" w:hAnsi="David"/>
          <w:b/>
          <w:bCs/>
          <w:rtl/>
        </w:rPr>
        <w:t xml:space="preserve">לעברו הפלילי </w:t>
      </w:r>
      <w:r w:rsidRPr="008E2DBE">
        <w:rPr>
          <w:rFonts w:ascii="David" w:hAnsi="David"/>
          <w:rtl/>
        </w:rPr>
        <w:t xml:space="preserve">של הנאשם הכולל 6 הרשעות קודמות בין השנים 2021-2012 בעבירות של חבלה חמורה; חבלה כשהעבריין מזויין; החזקת סם לצריכה עצמית; איומים; תקיפה הגורמת חבלה של ממש –בן זוג; תקיפה סתם; מכירת משקה משכר לקטין; והונאה בכרטיס חיוב, בגינן הלה נידון לעונשים בדמות מאסר בפועל, מאסרים מותנים, קנס פיצוי, והתחייבות להימנע מביצוע עבירה. </w:t>
      </w:r>
    </w:p>
    <w:p w14:paraId="749E2967" w14:textId="77777777" w:rsidR="00A12046" w:rsidRPr="008E2DBE" w:rsidRDefault="00A12046" w:rsidP="00A12046">
      <w:pPr>
        <w:numPr>
          <w:ilvl w:val="0"/>
          <w:numId w:val="2"/>
        </w:numPr>
        <w:shd w:val="clear" w:color="auto" w:fill="FAFAFA"/>
        <w:spacing w:line="360" w:lineRule="auto"/>
        <w:ind w:left="-118"/>
        <w:contextualSpacing/>
        <w:jc w:val="both"/>
        <w:rPr>
          <w:rFonts w:ascii="David" w:hAnsi="David"/>
        </w:rPr>
      </w:pPr>
      <w:r w:rsidRPr="008E2DBE">
        <w:rPr>
          <w:rFonts w:ascii="David" w:hAnsi="David"/>
          <w:rtl/>
        </w:rPr>
        <w:t>כן נתתי דעתי לנסיבותיו האישיות של הנאשם כפי שפורטו על ידי בא כוח הנאשם בשלב הטיעונים לעונש. עוד ולקולה, יש ליתן את הדעת לכך שהנאשם הודה בביצוע העבירה, לקח אחריות על מעשיו, הביא לחיסכון בזמן שיפוטי יקר ואף ייתר את הצורך בשמיעת העדים.</w:t>
      </w:r>
    </w:p>
    <w:p w14:paraId="72A74A5A" w14:textId="77777777" w:rsidR="00A12046" w:rsidRPr="008E2DBE" w:rsidRDefault="00A12046" w:rsidP="00A12046">
      <w:pPr>
        <w:numPr>
          <w:ilvl w:val="0"/>
          <w:numId w:val="2"/>
        </w:numPr>
        <w:tabs>
          <w:tab w:val="left" w:pos="8306"/>
        </w:tabs>
        <w:spacing w:line="360" w:lineRule="auto"/>
        <w:ind w:left="-199"/>
        <w:contextualSpacing/>
        <w:jc w:val="both"/>
        <w:rPr>
          <w:rFonts w:ascii="David" w:hAnsi="David"/>
          <w:b/>
          <w:bCs/>
        </w:rPr>
      </w:pPr>
      <w:r w:rsidRPr="008E2DBE">
        <w:rPr>
          <w:rFonts w:ascii="David" w:hAnsi="David"/>
          <w:rtl/>
        </w:rPr>
        <w:t xml:space="preserve">עוד לא נעלם מעיניי שהעבירה שבמוקד כתב האישום המתוקן בוצעה לפני כשנתיים, כשאת מירב המשקל בנקודה זו יש להעניק לא לאותה ספירת זמן "טכנית" –אלא לכך שעסקינן בנאשם, שהינו אזרח יצרני המשולב בשוק העבודה והתעסוקה וכי בפרק הזמן שחלף מאז ביצוע העבירה שבגינה הוא נותן את הדין כעת, היטיב את דרכיו ונמנע מלשוב ולבצע עבירות נוספות. עם זאת, לחומרה, מצאתי לזקוף לחובת הנאשם את העובדה כי הלה לא הביע כל נזקקות טיפולית; נמנע מליטול חלק בכל הליך טיפולי-שיקומי; ולא עתר לכך שעניינו יבחן ע"י שירות המבחן שהינו הגורם המוסמך לכך בחוק– </w:t>
      </w:r>
      <w:r w:rsidRPr="008E2DBE">
        <w:rPr>
          <w:rFonts w:ascii="David" w:hAnsi="David"/>
          <w:b/>
          <w:bCs/>
          <w:rtl/>
        </w:rPr>
        <w:t xml:space="preserve">ברי כי משאלו הם פני הדברים, הרי שאין מקום בעניינו לסטות סטייה לקולה מגדרי מתחם העונש שנקבע על ידי, כעתירתה העונשית דה-פקטו של ההגנה, אלא יש מקום להשית על הנאשם ענישה המצויה בגדרי מתחם העונש ההולם.  </w:t>
      </w:r>
    </w:p>
    <w:p w14:paraId="16DC5B4E" w14:textId="77777777" w:rsidR="00A12046" w:rsidRPr="008E2DBE" w:rsidRDefault="00A12046" w:rsidP="00A12046">
      <w:pPr>
        <w:pStyle w:val="aa"/>
        <w:numPr>
          <w:ilvl w:val="0"/>
          <w:numId w:val="2"/>
        </w:numPr>
        <w:spacing w:after="0"/>
        <w:ind w:left="-199"/>
      </w:pPr>
      <w:r w:rsidRPr="008E2DBE">
        <w:rPr>
          <w:rtl/>
        </w:rPr>
        <w:t xml:space="preserve">בסיכומה של נקודה זו ייאמר, כי בסופו של יום הנאשם לא נטל חלק בהליכים שיקומיים ייעודיים, כך שברי כי אותו מוקד בעייתי, קווי אישיותו, ותפיסת עולמו שעמדו ברקע לביצוע העבירה לא אוין. </w:t>
      </w:r>
    </w:p>
    <w:p w14:paraId="1EA77583" w14:textId="77777777" w:rsidR="00A12046" w:rsidRPr="008E2DBE" w:rsidRDefault="00A12046" w:rsidP="00A12046">
      <w:pPr>
        <w:pStyle w:val="aa"/>
        <w:numPr>
          <w:ilvl w:val="0"/>
          <w:numId w:val="2"/>
        </w:numPr>
        <w:tabs>
          <w:tab w:val="left" w:pos="8306"/>
        </w:tabs>
        <w:spacing w:after="0"/>
        <w:ind w:left="-199"/>
      </w:pPr>
      <w:r w:rsidRPr="008E2DBE">
        <w:rPr>
          <w:rtl/>
        </w:rPr>
        <w:t xml:space="preserve">אכן,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(ראו לעניין זה, </w:t>
      </w:r>
      <w:hyperlink r:id="rId48" w:history="1">
        <w:r w:rsidR="004F13BA" w:rsidRPr="004F13BA">
          <w:rPr>
            <w:color w:val="0000FF"/>
            <w:u w:val="single"/>
            <w:shd w:val="clear" w:color="auto" w:fill="FAFAFA"/>
            <w:rtl/>
          </w:rPr>
          <w:t>ע"פ 1903/13</w:t>
        </w:r>
      </w:hyperlink>
      <w:r w:rsidR="004F13BA">
        <w:rPr>
          <w:shd w:val="clear" w:color="auto" w:fill="FAFAFA"/>
          <w:rtl/>
        </w:rPr>
        <w:t xml:space="preserve"> </w:t>
      </w:r>
      <w:r w:rsidRPr="008E2DBE">
        <w:rPr>
          <w:b/>
          <w:bCs/>
          <w:shd w:val="clear" w:color="auto" w:fill="FAFAFA"/>
          <w:rtl/>
        </w:rPr>
        <w:t>חמודה עיאשה נ' מדינת ישראל</w:t>
      </w:r>
      <w:r w:rsidR="004F13BA">
        <w:rPr>
          <w:shd w:val="clear" w:color="auto" w:fill="FAFAFA"/>
          <w:rtl/>
        </w:rPr>
        <w:t xml:space="preserve"> </w:t>
      </w:r>
      <w:r w:rsidRPr="008E2DBE">
        <w:rPr>
          <w:shd w:val="clear" w:color="auto" w:fill="FAFAFA"/>
          <w:rtl/>
        </w:rPr>
        <w:t>[פורסם בנבו]</w:t>
      </w:r>
      <w:r w:rsidRPr="008E2DBE">
        <w:rPr>
          <w:rtl/>
        </w:rPr>
        <w:t xml:space="preserve"> </w:t>
      </w:r>
      <w:r w:rsidRPr="008E2DBE">
        <w:rPr>
          <w:shd w:val="clear" w:color="auto" w:fill="FAFAFA"/>
          <w:rtl/>
        </w:rPr>
        <w:t xml:space="preserve">(14.07.2013); </w:t>
      </w:r>
      <w:hyperlink r:id="rId49" w:history="1">
        <w:r w:rsidR="004F13BA" w:rsidRPr="004F13BA">
          <w:rPr>
            <w:color w:val="0000FF"/>
            <w:u w:val="single"/>
            <w:shd w:val="clear" w:color="auto" w:fill="FAFAFA"/>
            <w:rtl/>
          </w:rPr>
          <w:t>רע"פ 7683/13</w:t>
        </w:r>
      </w:hyperlink>
      <w:r w:rsidR="004F13BA">
        <w:rPr>
          <w:shd w:val="clear" w:color="auto" w:fill="FAFAFA"/>
          <w:rtl/>
        </w:rPr>
        <w:t xml:space="preserve"> </w:t>
      </w:r>
      <w:r w:rsidRPr="008E2DBE">
        <w:rPr>
          <w:b/>
          <w:bCs/>
          <w:shd w:val="clear" w:color="auto" w:fill="FAFAFA"/>
          <w:rtl/>
        </w:rPr>
        <w:t>דויד פרלמן נ' מדינת ישראל</w:t>
      </w:r>
      <w:r w:rsidR="004F13BA">
        <w:rPr>
          <w:shd w:val="clear" w:color="auto" w:fill="FAFAFA"/>
          <w:rtl/>
        </w:rPr>
        <w:t xml:space="preserve"> </w:t>
      </w:r>
      <w:r w:rsidRPr="008E2DBE">
        <w:rPr>
          <w:shd w:val="clear" w:color="auto" w:fill="FAFAFA"/>
          <w:rtl/>
        </w:rPr>
        <w:t xml:space="preserve">[פורסם בנבו] (23.02.2014); </w:t>
      </w:r>
      <w:hyperlink r:id="rId50" w:history="1">
        <w:r w:rsidR="004F13BA" w:rsidRPr="004F13BA">
          <w:rPr>
            <w:color w:val="0000FF"/>
            <w:u w:val="single"/>
            <w:shd w:val="clear" w:color="auto" w:fill="FAFAFA"/>
            <w:rtl/>
          </w:rPr>
          <w:t>רע"פ 1441/14</w:t>
        </w:r>
      </w:hyperlink>
      <w:r w:rsidR="004F13BA">
        <w:rPr>
          <w:shd w:val="clear" w:color="auto" w:fill="FAFAFA"/>
          <w:rtl/>
        </w:rPr>
        <w:t xml:space="preserve"> </w:t>
      </w:r>
      <w:r w:rsidRPr="008E2DBE">
        <w:rPr>
          <w:b/>
          <w:bCs/>
          <w:shd w:val="clear" w:color="auto" w:fill="FAFAFA"/>
          <w:rtl/>
        </w:rPr>
        <w:t>האבט חמיס נ' מדינת ישראל</w:t>
      </w:r>
      <w:r w:rsidRPr="008E2DBE">
        <w:rPr>
          <w:shd w:val="clear" w:color="auto" w:fill="FAFAFA"/>
          <w:rtl/>
        </w:rPr>
        <w:t xml:space="preserve"> [פורסם בנבו]</w:t>
      </w:r>
      <w:r w:rsidR="004F13BA">
        <w:rPr>
          <w:shd w:val="clear" w:color="auto" w:fill="FAFAFA"/>
          <w:rtl/>
        </w:rPr>
        <w:t xml:space="preserve"> </w:t>
      </w:r>
      <w:r w:rsidRPr="008E2DBE">
        <w:rPr>
          <w:shd w:val="clear" w:color="auto" w:fill="FAFAFA"/>
          <w:rtl/>
        </w:rPr>
        <w:t>(09.12.2014</w:t>
      </w:r>
      <w:r w:rsidRPr="008E2DBE">
        <w:rPr>
          <w:shd w:val="clear" w:color="auto" w:fill="FAFAFA"/>
        </w:rPr>
        <w:t>(</w:t>
      </w:r>
      <w:r w:rsidRPr="008E2DBE">
        <w:rPr>
          <w:shd w:val="clear" w:color="auto" w:fill="FAFAFA"/>
          <w:rtl/>
        </w:rPr>
        <w:t xml:space="preserve">; </w:t>
      </w:r>
      <w:hyperlink r:id="rId51" w:history="1">
        <w:r w:rsidR="004F13BA" w:rsidRPr="004F13BA">
          <w:rPr>
            <w:color w:val="0000FF"/>
            <w:u w:val="single"/>
            <w:shd w:val="clear" w:color="auto" w:fill="FAFAFA"/>
            <w:rtl/>
          </w:rPr>
          <w:t>ע"פ 5341/13</w:t>
        </w:r>
      </w:hyperlink>
      <w:r w:rsidR="004F13BA">
        <w:rPr>
          <w:shd w:val="clear" w:color="auto" w:fill="FAFAFA"/>
          <w:rtl/>
        </w:rPr>
        <w:t xml:space="preserve"> </w:t>
      </w:r>
      <w:r w:rsidRPr="008E2DBE">
        <w:rPr>
          <w:b/>
          <w:bCs/>
          <w:shd w:val="clear" w:color="auto" w:fill="FAFAFA"/>
          <w:rtl/>
        </w:rPr>
        <w:t>מדינת ישראל נ' מוחמד אלקרעאן</w:t>
      </w:r>
      <w:r w:rsidRPr="008E2DBE">
        <w:rPr>
          <w:shd w:val="clear" w:color="auto" w:fill="FAFAFA"/>
          <w:rtl/>
        </w:rPr>
        <w:t xml:space="preserve"> [פורסם בנבו] (08.12.2013</w:t>
      </w:r>
      <w:r w:rsidRPr="008E2DBE">
        <w:rPr>
          <w:shd w:val="clear" w:color="auto" w:fill="FAFAFA"/>
        </w:rPr>
        <w:t>(</w:t>
      </w:r>
      <w:r w:rsidRPr="008E2DBE">
        <w:rPr>
          <w:rtl/>
        </w:rPr>
        <w:t xml:space="preserve">; </w:t>
      </w:r>
      <w:r w:rsidRPr="008E2DBE">
        <w:rPr>
          <w:u w:val="single"/>
          <w:rtl/>
        </w:rPr>
        <w:t>ו</w:t>
      </w:r>
      <w:hyperlink r:id="rId52" w:history="1">
        <w:r w:rsidR="004F13BA" w:rsidRPr="004F13BA">
          <w:rPr>
            <w:color w:val="0000FF"/>
            <w:u w:val="single"/>
            <w:shd w:val="clear" w:color="auto" w:fill="FAFAFA"/>
            <w:rtl/>
          </w:rPr>
          <w:t>עפ"ג (מחוזי ב"ש) 37682-03-13</w:t>
        </w:r>
      </w:hyperlink>
      <w:r w:rsidR="004F13BA">
        <w:rPr>
          <w:shd w:val="clear" w:color="auto" w:fill="FAFAFA"/>
          <w:rtl/>
        </w:rPr>
        <w:t xml:space="preserve"> </w:t>
      </w:r>
      <w:r w:rsidRPr="008E2DBE">
        <w:rPr>
          <w:b/>
          <w:bCs/>
          <w:shd w:val="clear" w:color="auto" w:fill="FAFAFA"/>
          <w:rtl/>
        </w:rPr>
        <w:t>דמטרי גרניק נ' מדינת ישראל</w:t>
      </w:r>
      <w:r w:rsidR="004F13BA">
        <w:rPr>
          <w:shd w:val="clear" w:color="auto" w:fill="FAFAFA"/>
          <w:rtl/>
        </w:rPr>
        <w:t xml:space="preserve"> </w:t>
      </w:r>
      <w:r w:rsidRPr="008E2DBE">
        <w:rPr>
          <w:shd w:val="clear" w:color="auto" w:fill="FAFAFA"/>
          <w:rtl/>
        </w:rPr>
        <w:t>[פורסם בנבו] (20.11.2013</w:t>
      </w:r>
      <w:r w:rsidRPr="008E2DBE">
        <w:rPr>
          <w:shd w:val="clear" w:color="auto" w:fill="FAFAFA"/>
        </w:rPr>
        <w:t>(</w:t>
      </w:r>
      <w:r w:rsidRPr="008E2DBE">
        <w:rPr>
          <w:shd w:val="clear" w:color="auto" w:fill="FAFAFA"/>
          <w:rtl/>
        </w:rPr>
        <w:t xml:space="preserve">. </w:t>
      </w:r>
      <w:r w:rsidRPr="008E2DBE">
        <w:rPr>
          <w:rtl/>
        </w:rPr>
        <w:t xml:space="preserve">במקרה שלפניי, עת עלתה אי בהירות ביחס לעומק התמכרותו של הנאשם לסם (בהעדר חוות דעת מטעם גורם מוסמך באשר לנזקקותו הטיפולית), הרי שלא ניתן לומר כי שיקומו של הנאשם (בהינתן העובדה כי הלה מנהל אורח חיים נורמטיבי ולא שב לדרכיו הרעות), יצדיק סטייה ממתחם העונש שקבעתי לעיל. יתר על כן, אף אם הייתי קובעת שהנאשם השתקם בצורה מלאה או שקיים סיכוי ממשי לכך (ואינני קובעת זאת), עדיין אין זה אומר כי בית המשפט בהכרח יסטה לקולה ממתחמי הענישה, והרי לא בכדי נוקט </w:t>
      </w:r>
      <w:hyperlink r:id="rId53" w:history="1">
        <w:r w:rsidR="005C5822" w:rsidRPr="005C5822">
          <w:rPr>
            <w:rStyle w:val="Hyperlink"/>
            <w:rtl/>
          </w:rPr>
          <w:t>סעיף 40ד(א)</w:t>
        </w:r>
      </w:hyperlink>
      <w:r w:rsidRPr="008E2DBE">
        <w:rPr>
          <w:rtl/>
        </w:rPr>
        <w:t xml:space="preserve"> </w:t>
      </w:r>
      <w:r w:rsidRPr="008E2DBE">
        <w:rPr>
          <w:u w:val="single"/>
          <w:rtl/>
        </w:rPr>
        <w:t>ל</w:t>
      </w:r>
      <w:hyperlink r:id="rId54" w:history="1">
        <w:r w:rsidR="004F13BA" w:rsidRPr="004F13BA">
          <w:rPr>
            <w:color w:val="0000FF"/>
            <w:u w:val="single"/>
            <w:rtl/>
          </w:rPr>
          <w:t>חוק העונשין</w:t>
        </w:r>
      </w:hyperlink>
      <w:r w:rsidRPr="008E2DBE">
        <w:rPr>
          <w:rtl/>
        </w:rPr>
        <w:t xml:space="preserve"> – בהתייחסו לאפשרות שבית המשפט יורה על סטייה לקולה ממתחם הענישה משיקולי שיקום – בלשון "רשאי" ולא "חייב". </w:t>
      </w:r>
    </w:p>
    <w:p w14:paraId="1953E295" w14:textId="77777777" w:rsidR="00A12046" w:rsidRPr="008E2DBE" w:rsidRDefault="00A12046" w:rsidP="00A12046">
      <w:pPr>
        <w:pStyle w:val="aa"/>
        <w:numPr>
          <w:ilvl w:val="0"/>
          <w:numId w:val="2"/>
        </w:numPr>
        <w:overflowPunct w:val="0"/>
        <w:autoSpaceDE w:val="0"/>
        <w:autoSpaceDN w:val="0"/>
        <w:adjustRightInd w:val="0"/>
        <w:spacing w:after="0"/>
        <w:ind w:left="-199" w:hanging="426"/>
      </w:pPr>
      <w:r w:rsidRPr="008E2DBE">
        <w:rPr>
          <w:rtl/>
        </w:rPr>
        <w:t xml:space="preserve">כידוע, יש לנקוט בזהירות בכל הנוגע לסטייה ממתחמי הענישה בשל נימוקי שיקום ולבחון כל מקרה על נסיבותיו. בעניין זה יש לבחון בין היתר, האם השינוי שעבר הנאשם נותן אותותיו במישורים השונים של חייו, ובפרט בדרך החשיבה המעוותת שהביאה אותו לביצוע המעשים, כמו גם לבחון </w:t>
      </w:r>
      <w:r w:rsidRPr="008E2DBE">
        <w:rPr>
          <w:b/>
          <w:bCs/>
          <w:rtl/>
        </w:rPr>
        <w:t>באיזה שלב של ההליך השיקומי מצוי הנאשם</w:t>
      </w:r>
      <w:r w:rsidRPr="008E2DBE">
        <w:rPr>
          <w:rtl/>
        </w:rPr>
        <w:t>, וכי רק במקרים</w:t>
      </w:r>
      <w:r w:rsidRPr="008E2DBE">
        <w:rPr>
          <w:b/>
          <w:bCs/>
          <w:rtl/>
        </w:rPr>
        <w:t xml:space="preserve"> נדירים</w:t>
      </w:r>
      <w:r w:rsidRPr="008E2DBE">
        <w:rPr>
          <w:rtl/>
        </w:rPr>
        <w:t xml:space="preserve"> שבהם קיימים סיכויי שיקום מובהקים המצדיקים, בבחינת יוצא מן הכלל – לסטות ממתחם העונש ההולם (ראו והשוו, </w:t>
      </w:r>
      <w:hyperlink r:id="rId55" w:history="1">
        <w:r w:rsidR="004F13BA" w:rsidRPr="004F13BA">
          <w:rPr>
            <w:color w:val="0000FF"/>
            <w:u w:val="single"/>
            <w:rtl/>
          </w:rPr>
          <w:t>ע"פ 1229/19</w:t>
        </w:r>
      </w:hyperlink>
      <w:r w:rsidRPr="008E2DBE">
        <w:rPr>
          <w:u w:val="single"/>
          <w:rtl/>
        </w:rPr>
        <w:t xml:space="preserve"> </w:t>
      </w:r>
      <w:r w:rsidRPr="008E2DBE">
        <w:rPr>
          <w:b/>
          <w:bCs/>
          <w:rtl/>
        </w:rPr>
        <w:t>יפתח סלומנסקי נ' מדינת ישראל</w:t>
      </w:r>
      <w:r w:rsidRPr="008E2DBE">
        <w:rPr>
          <w:rtl/>
        </w:rPr>
        <w:t xml:space="preserve">, [פורסם בנבו] 01.07.2019)). )). מה עוד, </w:t>
      </w:r>
      <w:r w:rsidRPr="008E2DBE">
        <w:rPr>
          <w:b/>
          <w:bCs/>
          <w:rtl/>
        </w:rPr>
        <w:t xml:space="preserve">שלא בכל מקרה שבו ההליך הטיפולי מתקדם בכיוון חיובי, יש להפעיל את הסמכות הקבועה בסעיף 40ד </w:t>
      </w:r>
      <w:r w:rsidRPr="008E2DBE">
        <w:rPr>
          <w:b/>
          <w:bCs/>
          <w:u w:val="single"/>
          <w:rtl/>
        </w:rPr>
        <w:t>ל</w:t>
      </w:r>
      <w:hyperlink r:id="rId56" w:history="1">
        <w:r w:rsidR="004F13BA" w:rsidRPr="004F13BA">
          <w:rPr>
            <w:b/>
            <w:bCs/>
            <w:color w:val="0000FF"/>
            <w:u w:val="single"/>
            <w:rtl/>
          </w:rPr>
          <w:t>חוק העונשין</w:t>
        </w:r>
      </w:hyperlink>
      <w:r w:rsidRPr="008E2DBE">
        <w:rPr>
          <w:b/>
          <w:bCs/>
          <w:u w:val="single"/>
          <w:rtl/>
        </w:rPr>
        <w:t>.</w:t>
      </w:r>
      <w:r w:rsidRPr="008E2DBE">
        <w:rPr>
          <w:rtl/>
        </w:rPr>
        <w:t xml:space="preserve"> אחרת, נמצא כי החריג מרוקן מתוכן את הכלל, שלפיו יש לגזור את העונש בתוך מתחם הענישה בהלימה לחומרת המעשה ולמידת האשם של העושה (וראו לעניין זה, </w:t>
      </w:r>
      <w:hyperlink r:id="rId57" w:history="1">
        <w:r w:rsidR="004F13BA" w:rsidRPr="004F13BA">
          <w:rPr>
            <w:color w:val="0000FF"/>
            <w:u w:val="single"/>
            <w:rtl/>
          </w:rPr>
          <w:t>ע"פ 126/22</w:t>
        </w:r>
      </w:hyperlink>
      <w:r w:rsidRPr="008E2DBE">
        <w:rPr>
          <w:rtl/>
        </w:rPr>
        <w:t xml:space="preserve"> </w:t>
      </w:r>
      <w:r w:rsidRPr="008E2DBE">
        <w:rPr>
          <w:b/>
          <w:bCs/>
          <w:rtl/>
        </w:rPr>
        <w:t>מדינת ישראל נ' פלוני</w:t>
      </w:r>
      <w:r w:rsidRPr="008E2DBE">
        <w:rPr>
          <w:rtl/>
        </w:rPr>
        <w:t xml:space="preserve"> [פורסם בנבו] (27.04.2022)). הנה כי כן,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58" w:history="1">
        <w:r w:rsidR="004F13BA" w:rsidRPr="004F13BA">
          <w:rPr>
            <w:color w:val="0000FF"/>
            <w:u w:val="single"/>
            <w:rtl/>
          </w:rPr>
          <w:t>ע"פ 1521/14</w:t>
        </w:r>
      </w:hyperlink>
      <w:r w:rsidRPr="008E2DBE">
        <w:rPr>
          <w:rtl/>
        </w:rPr>
        <w:t xml:space="preserve"> </w:t>
      </w:r>
      <w:r w:rsidRPr="008E2DBE">
        <w:rPr>
          <w:b/>
          <w:bCs/>
          <w:rtl/>
        </w:rPr>
        <w:t>יוסף אלפקיר נ' מדינת ישראל</w:t>
      </w:r>
      <w:r w:rsidRPr="008E2DBE">
        <w:rPr>
          <w:rtl/>
        </w:rPr>
        <w:t xml:space="preserve">, [פורסם בנבו] 16.09.2015); </w:t>
      </w:r>
      <w:r w:rsidRPr="008E2DBE">
        <w:rPr>
          <w:u w:val="single"/>
          <w:rtl/>
        </w:rPr>
        <w:t>ו</w:t>
      </w:r>
      <w:hyperlink r:id="rId59" w:history="1">
        <w:r w:rsidR="004F13BA" w:rsidRPr="004F13BA">
          <w:rPr>
            <w:color w:val="0000FF"/>
            <w:u w:val="single"/>
            <w:rtl/>
          </w:rPr>
          <w:t>רע"פ 4097/16</w:t>
        </w:r>
      </w:hyperlink>
      <w:r w:rsidRPr="008E2DBE">
        <w:rPr>
          <w:rtl/>
        </w:rPr>
        <w:t xml:space="preserve"> </w:t>
      </w:r>
      <w:r w:rsidRPr="008E2DBE">
        <w:rPr>
          <w:b/>
          <w:bCs/>
          <w:rtl/>
        </w:rPr>
        <w:t>מוחמד מחמוד נ' מדינת ישראל</w:t>
      </w:r>
      <w:r w:rsidRPr="008E2DBE">
        <w:rPr>
          <w:rtl/>
        </w:rPr>
        <w:t xml:space="preserve">, [פורסם בנבו] 24.05.2016)). </w:t>
      </w:r>
    </w:p>
    <w:p w14:paraId="42282640" w14:textId="77777777" w:rsidR="00A12046" w:rsidRPr="008E2DBE" w:rsidRDefault="00A12046" w:rsidP="00A12046">
      <w:pPr>
        <w:pStyle w:val="aa"/>
        <w:numPr>
          <w:ilvl w:val="0"/>
          <w:numId w:val="2"/>
        </w:numPr>
        <w:spacing w:after="0"/>
        <w:ind w:left="-199"/>
      </w:pPr>
      <w:r w:rsidRPr="008E2DBE">
        <w:rPr>
          <w:b/>
          <w:bCs/>
          <w:rtl/>
        </w:rPr>
        <w:t>ומן התם אל הכא,</w:t>
      </w:r>
      <w:r w:rsidRPr="008E2DBE">
        <w:rPr>
          <w:rtl/>
        </w:rPr>
        <w:t xml:space="preserve"> כידוע, מלאכת גזירת הדין איננה קלה כלל ועיקר, ובית המשפט אינו מקל ראש בחומרת מעשיו של הנאשם, ומביע מהם סלידה רבתי. אולם, באיזון הראוי בין מכלול השיקולים והנסיבות אשר פורטו לעיל, ובשים לב לכך מחד גיסא, לעברו הפלילי של הנאשם ולכך שהלה לא ניאות להתגייס להליך טיפולי ומאידך גיסא, בשים לב לנסיבותיו האישיות של הנאשם; לגילו; להודאתו במיוחס לו וללקיחת האחריות מצדו; לאורח חייו הפרודוקטיבי והיצרני; לחלוף הזמן; לעובדה שמאז ביצוע העבירה ועד היום לא נפתחו כנגדו תיקים נוספים – נדמה כי יש למקם בזו הפעם את עונשו של הנאשם ברף הנמוך של המתחם אותו קבעתי לעיל.</w:t>
      </w:r>
    </w:p>
    <w:p w14:paraId="195040F7" w14:textId="77777777" w:rsidR="00A12046" w:rsidRPr="008E2DBE" w:rsidRDefault="00A12046" w:rsidP="00A12046">
      <w:pPr>
        <w:pStyle w:val="aa"/>
        <w:numPr>
          <w:ilvl w:val="0"/>
          <w:numId w:val="2"/>
        </w:numPr>
        <w:spacing w:after="0"/>
        <w:ind w:left="-199"/>
      </w:pPr>
      <w:r w:rsidRPr="008E2DBE">
        <w:rPr>
          <w:rtl/>
        </w:rPr>
        <w:t xml:space="preserve">בכל הנוגע לרכיב פסילת רישיון הנהיגה של הנאשם, בשים לב לעובדה שהמדובר בנאשם שמאז ביצוע העבירה לא שב לבצע עבירות ולכך שהוא נדרש לרישיון הנהיגה לצורך עבודתו מצאתי כי ניתן בזו הפעם ללכת לקראתו בפן הזה ולהסתפק בפסילת רישיון מותנית בלבד. בכל הנוגע לרכיב הכלכלי שבענישה, הרי שבית המשפט ישית על הנאשם קנס, אולם לצד חומרת העבירה, בקביעת גובהו יילקחו בחשבון גם מכלול מאפייניו החיוביים של הנאשם, כפי שפורט לעיל, ואף הפגיעה הכלכלית שצפויה להיגרם לו כתוצאה מעונש המאסר לריצוי בעבודות שירות אשר יושת עליו. </w:t>
      </w:r>
    </w:p>
    <w:p w14:paraId="36D903CC" w14:textId="77777777" w:rsidR="00A12046" w:rsidRPr="008E2DBE" w:rsidRDefault="00A12046" w:rsidP="00A12046">
      <w:pPr>
        <w:pStyle w:val="aa"/>
        <w:numPr>
          <w:ilvl w:val="0"/>
          <w:numId w:val="2"/>
        </w:numPr>
        <w:spacing w:after="0"/>
        <w:ind w:left="0"/>
      </w:pPr>
      <w:r w:rsidRPr="008E2DBE">
        <w:rPr>
          <w:b/>
          <w:bCs/>
          <w:rtl/>
        </w:rPr>
        <w:t>לאור כל האמור לעיל, הריני גוזרת על הנאשם את העונשים הבאים:</w:t>
      </w:r>
    </w:p>
    <w:p w14:paraId="3E736833" w14:textId="77777777" w:rsidR="00A12046" w:rsidRPr="008E2DBE" w:rsidRDefault="00A12046" w:rsidP="00A12046">
      <w:pPr>
        <w:pStyle w:val="aa"/>
        <w:numPr>
          <w:ilvl w:val="0"/>
          <w:numId w:val="3"/>
        </w:numPr>
        <w:spacing w:after="0"/>
        <w:rPr>
          <w:b/>
          <w:bCs/>
          <w:rtl/>
        </w:rPr>
      </w:pPr>
      <w:r w:rsidRPr="008E2DBE">
        <w:rPr>
          <w:rFonts w:hint="cs"/>
          <w:b/>
          <w:bCs/>
          <w:rtl/>
        </w:rPr>
        <w:t>60</w:t>
      </w:r>
      <w:r w:rsidRPr="008E2DBE">
        <w:rPr>
          <w:b/>
          <w:bCs/>
          <w:rtl/>
        </w:rPr>
        <w:t xml:space="preserve"> ימים מאסר שירוצו בעבודות שירות. </w:t>
      </w:r>
    </w:p>
    <w:p w14:paraId="6C71441E" w14:textId="77777777" w:rsidR="00A12046" w:rsidRPr="008E2DBE" w:rsidRDefault="00A12046" w:rsidP="00A12046">
      <w:pPr>
        <w:pStyle w:val="aa"/>
        <w:spacing w:after="0"/>
        <w:ind w:firstLine="0"/>
        <w:rPr>
          <w:rtl/>
        </w:rPr>
      </w:pPr>
      <w:r w:rsidRPr="008E2DBE">
        <w:rPr>
          <w:rtl/>
        </w:rPr>
        <w:t>בהתאם לאמור בחוות דעת הממונה על עבודות השירות מיום</w:t>
      </w:r>
      <w:r>
        <w:rPr>
          <w:rFonts w:hint="cs"/>
          <w:rtl/>
        </w:rPr>
        <w:t xml:space="preserve"> </w:t>
      </w:r>
      <w:r w:rsidRPr="008E2DBE">
        <w:rPr>
          <w:rtl/>
        </w:rPr>
        <w:t>07.06.2023, הנאשם יחל בריצוי עבודות השירות ביום 30.08.3023 או בכל מועד אחר אשר יקבע הממונה. העבודות תבוצענה במועצת הפועלים בראשון לציון, במהלך חמשה ימי עבודה בשבוע על</w:t>
      </w:r>
      <w:r>
        <w:rPr>
          <w:rFonts w:hint="cs"/>
          <w:rtl/>
        </w:rPr>
        <w:t xml:space="preserve"> </w:t>
      </w:r>
      <w:r w:rsidRPr="008E2DBE">
        <w:rPr>
          <w:rtl/>
        </w:rPr>
        <w:t>פי טווח השעות המתאפשר ב</w:t>
      </w:r>
      <w:hyperlink r:id="rId60" w:history="1">
        <w:r w:rsidR="004F13BA" w:rsidRPr="004F13BA">
          <w:rPr>
            <w:color w:val="0000FF"/>
            <w:u w:val="single"/>
            <w:rtl/>
          </w:rPr>
          <w:t>חוק העונשין</w:t>
        </w:r>
      </w:hyperlink>
      <w:r w:rsidRPr="008E2DBE">
        <w:rPr>
          <w:rtl/>
        </w:rPr>
        <w:t xml:space="preserve"> - והכול אלא אם הממונה יקבע אחרת. על הנאשם להתייצב לריצוי המאסר במועד הנקוב, בשעה 08:00 ביחידת ברקאי, שלוחץ דרום סמוך לכלא באר שבע, אלא אם כאמור, הממונה על עבודות השירות יודיע לו על מועד תחילה אחר.</w:t>
      </w:r>
    </w:p>
    <w:p w14:paraId="504F19B3" w14:textId="77777777" w:rsidR="00A12046" w:rsidRPr="008E2DBE" w:rsidRDefault="00A12046" w:rsidP="00A12046">
      <w:pPr>
        <w:pStyle w:val="aa"/>
        <w:spacing w:after="0"/>
        <w:ind w:firstLine="0"/>
        <w:rPr>
          <w:b/>
          <w:bCs/>
          <w:rtl/>
        </w:rPr>
      </w:pPr>
      <w:r w:rsidRPr="008E2DBE">
        <w:rPr>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0599C9F6" w14:textId="77777777" w:rsidR="00A12046" w:rsidRPr="008E2DBE" w:rsidRDefault="00A12046" w:rsidP="00A12046">
      <w:pPr>
        <w:pStyle w:val="aa"/>
        <w:spacing w:after="0"/>
        <w:ind w:firstLine="0"/>
        <w:rPr>
          <w:rtl/>
        </w:rPr>
      </w:pPr>
      <w:r w:rsidRPr="008E2DBE">
        <w:rPr>
          <w:rtl/>
        </w:rPr>
        <w:t>העתק ההחלטה ישלח בדחיפות לממונה על עבודות השירות.</w:t>
      </w:r>
    </w:p>
    <w:p w14:paraId="77E5A55A" w14:textId="77777777" w:rsidR="00A12046" w:rsidRPr="008E2DBE" w:rsidRDefault="00A12046" w:rsidP="00A12046">
      <w:pPr>
        <w:pStyle w:val="aa"/>
        <w:numPr>
          <w:ilvl w:val="0"/>
          <w:numId w:val="3"/>
        </w:numPr>
        <w:spacing w:after="0"/>
        <w:rPr>
          <w:b/>
          <w:bCs/>
          <w:rtl/>
        </w:rPr>
      </w:pPr>
      <w:r w:rsidRPr="008E2DBE">
        <w:rPr>
          <w:b/>
          <w:bCs/>
          <w:rtl/>
        </w:rPr>
        <w:t xml:space="preserve">מאסר מותנה למשך 4 חודשים, אשר יופעל אם תוך תקופה של 3 שנים מהיום הנאשם יעבור  כל עבירה מסוג פשע בניגוד </w:t>
      </w:r>
      <w:r w:rsidRPr="008E2DBE">
        <w:rPr>
          <w:b/>
          <w:bCs/>
          <w:u w:val="single"/>
          <w:rtl/>
        </w:rPr>
        <w:t>ל</w:t>
      </w:r>
      <w:hyperlink r:id="rId61" w:history="1">
        <w:r w:rsidR="004F13BA" w:rsidRPr="004F13BA">
          <w:rPr>
            <w:b/>
            <w:bCs/>
            <w:color w:val="0000FF"/>
            <w:u w:val="single"/>
            <w:rtl/>
          </w:rPr>
          <w:t>פקודת הסמים המסוכנים</w:t>
        </w:r>
      </w:hyperlink>
      <w:r w:rsidRPr="008E2DBE">
        <w:rPr>
          <w:b/>
          <w:bCs/>
          <w:u w:val="single"/>
          <w:rtl/>
        </w:rPr>
        <w:t>.</w:t>
      </w:r>
    </w:p>
    <w:p w14:paraId="4005565F" w14:textId="77777777" w:rsidR="00A12046" w:rsidRPr="008E2DBE" w:rsidRDefault="00A12046" w:rsidP="00A12046">
      <w:pPr>
        <w:pStyle w:val="aa"/>
        <w:numPr>
          <w:ilvl w:val="0"/>
          <w:numId w:val="3"/>
        </w:numPr>
        <w:spacing w:after="0"/>
        <w:rPr>
          <w:b/>
          <w:bCs/>
          <w:rtl/>
        </w:rPr>
      </w:pPr>
      <w:r w:rsidRPr="008E2DBE">
        <w:rPr>
          <w:b/>
          <w:bCs/>
          <w:rtl/>
        </w:rPr>
        <w:t xml:space="preserve">מאסר מותנה למשך 2 חודשים, אשר יופעל אם תוך תקופה של שנתיים מהיום הנאשם יעבור כל עבירה מסוג עוון בניגוד </w:t>
      </w:r>
      <w:r w:rsidRPr="008E2DBE">
        <w:rPr>
          <w:b/>
          <w:bCs/>
          <w:u w:val="single"/>
          <w:rtl/>
        </w:rPr>
        <w:t>ל</w:t>
      </w:r>
      <w:hyperlink r:id="rId62" w:history="1">
        <w:r w:rsidR="004F13BA" w:rsidRPr="004F13BA">
          <w:rPr>
            <w:b/>
            <w:bCs/>
            <w:color w:val="0000FF"/>
            <w:u w:val="single"/>
            <w:rtl/>
          </w:rPr>
          <w:t>פקודת הסמים המסוכנים</w:t>
        </w:r>
      </w:hyperlink>
      <w:r w:rsidRPr="008E2DBE">
        <w:rPr>
          <w:b/>
          <w:bCs/>
          <w:u w:val="single"/>
          <w:rtl/>
        </w:rPr>
        <w:t>.</w:t>
      </w:r>
    </w:p>
    <w:p w14:paraId="27CF4AE9" w14:textId="77777777" w:rsidR="00A12046" w:rsidRDefault="00A12046" w:rsidP="00A12046">
      <w:pPr>
        <w:pStyle w:val="aa"/>
        <w:numPr>
          <w:ilvl w:val="0"/>
          <w:numId w:val="3"/>
        </w:numPr>
        <w:spacing w:after="0"/>
        <w:rPr>
          <w:b/>
          <w:bCs/>
        </w:rPr>
      </w:pPr>
      <w:r w:rsidRPr="008E2DBE">
        <w:rPr>
          <w:b/>
          <w:bCs/>
          <w:rtl/>
        </w:rPr>
        <w:t xml:space="preserve">קנס בסך 1,500 ₪ או 15 ימים מאסר תמורתו. </w:t>
      </w:r>
    </w:p>
    <w:p w14:paraId="5679A2A9" w14:textId="77777777" w:rsidR="00A12046" w:rsidRPr="001C606C" w:rsidRDefault="00A12046" w:rsidP="00A12046">
      <w:pPr>
        <w:pStyle w:val="aa"/>
        <w:spacing w:after="0"/>
        <w:ind w:firstLine="0"/>
      </w:pPr>
      <w:r w:rsidRPr="001C606C">
        <w:rPr>
          <w:rtl/>
        </w:rPr>
        <w:t xml:space="preserve">הקנס ישולם </w:t>
      </w:r>
      <w:r w:rsidRPr="001C606C">
        <w:rPr>
          <w:rFonts w:hint="cs"/>
          <w:rtl/>
        </w:rPr>
        <w:t xml:space="preserve">ב- 3 </w:t>
      </w:r>
      <w:r>
        <w:rPr>
          <w:rFonts w:hint="cs"/>
          <w:rtl/>
        </w:rPr>
        <w:t>שיעורים</w:t>
      </w:r>
      <w:r w:rsidRPr="001C606C">
        <w:rPr>
          <w:rFonts w:hint="cs"/>
          <w:rtl/>
        </w:rPr>
        <w:t xml:space="preserve"> חודשיים שווים ורצופים, כשהראשון שבהם בתוך 30 יום מהיום.</w:t>
      </w:r>
    </w:p>
    <w:p w14:paraId="13621B51" w14:textId="77777777" w:rsidR="00A12046" w:rsidRDefault="00A12046" w:rsidP="00A12046">
      <w:pPr>
        <w:pStyle w:val="aa"/>
        <w:ind w:firstLine="0"/>
        <w:rPr>
          <w:rtl/>
        </w:rPr>
      </w:pPr>
      <w:r w:rsidRPr="008E2DBE">
        <w:rPr>
          <w:rFonts w:hint="cs"/>
          <w:rtl/>
        </w:rPr>
        <w:t>תשומת לב הנאשם כי החוב מועבר למרכז לגביית קנסות, אגרות והוצאות ברשות האכיפה והגבייה, בהתאם למועדים והתשלומים שנקבעו בגזר הדין.</w:t>
      </w:r>
    </w:p>
    <w:p w14:paraId="35BEB7CF" w14:textId="77777777" w:rsidR="00A12046" w:rsidRPr="008E2DBE" w:rsidRDefault="00A12046" w:rsidP="00A12046">
      <w:pPr>
        <w:pStyle w:val="aa"/>
        <w:ind w:firstLine="0"/>
        <w:rPr>
          <w:szCs w:val="26"/>
          <w:rtl/>
        </w:rPr>
      </w:pPr>
      <w:r w:rsidRPr="008E2DBE">
        <w:rPr>
          <w:rFonts w:hint="cs"/>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709E61AE" w14:textId="77777777" w:rsidR="00A12046" w:rsidRPr="008E2DBE" w:rsidRDefault="00A12046" w:rsidP="00A12046">
      <w:pPr>
        <w:pStyle w:val="aa"/>
        <w:numPr>
          <w:ilvl w:val="0"/>
          <w:numId w:val="4"/>
        </w:numPr>
        <w:spacing w:after="0"/>
        <w:rPr>
          <w:rFonts w:ascii="Times New Roman" w:hAnsi="Times New Roman"/>
          <w:sz w:val="22"/>
          <w:szCs w:val="22"/>
          <w:rtl/>
        </w:rPr>
      </w:pPr>
      <w:r w:rsidRPr="008E2DBE">
        <w:rPr>
          <w:rFonts w:hint="cs"/>
          <w:sz w:val="22"/>
          <w:szCs w:val="22"/>
          <w:rtl/>
        </w:rPr>
        <w:t xml:space="preserve">בכרטיס אשראי – באתר המקוון של רשות האכיפה והגבייה, </w:t>
      </w:r>
      <w:hyperlink r:id="rId63" w:history="1">
        <w:r w:rsidRPr="008E2DBE">
          <w:rPr>
            <w:rStyle w:val="Hyperlink"/>
            <w:rFonts w:cs="Calibri" w:hint="cs"/>
            <w:sz w:val="22"/>
            <w:szCs w:val="22"/>
          </w:rPr>
          <w:t>www.eca.gov.il</w:t>
        </w:r>
      </w:hyperlink>
      <w:r w:rsidRPr="008E2DBE">
        <w:rPr>
          <w:rFonts w:hint="cs"/>
          <w:sz w:val="22"/>
          <w:szCs w:val="22"/>
        </w:rPr>
        <w:t xml:space="preserve"> </w:t>
      </w:r>
      <w:r w:rsidR="004F13BA">
        <w:rPr>
          <w:rFonts w:hint="cs"/>
          <w:sz w:val="22"/>
          <w:szCs w:val="22"/>
          <w:rtl/>
        </w:rPr>
        <w:t xml:space="preserve"> </w:t>
      </w:r>
    </w:p>
    <w:p w14:paraId="0716361E" w14:textId="77777777" w:rsidR="00A12046" w:rsidRPr="008E2DBE" w:rsidRDefault="00A12046" w:rsidP="00A12046">
      <w:pPr>
        <w:pStyle w:val="aa"/>
        <w:numPr>
          <w:ilvl w:val="0"/>
          <w:numId w:val="4"/>
        </w:numPr>
        <w:spacing w:after="0"/>
        <w:rPr>
          <w:rFonts w:ascii="Times New Roman" w:hAnsi="Times New Roman"/>
          <w:sz w:val="22"/>
          <w:szCs w:val="22"/>
          <w:rtl/>
        </w:rPr>
      </w:pPr>
      <w:r w:rsidRPr="008E2DBE">
        <w:rPr>
          <w:rFonts w:hint="cs"/>
          <w:sz w:val="22"/>
          <w:szCs w:val="22"/>
          <w:rtl/>
        </w:rPr>
        <w:t>במוקד שירות טלפוני בשרות עצמי (מרכז גבייה)</w:t>
      </w:r>
      <w:r w:rsidR="004F13BA">
        <w:rPr>
          <w:rFonts w:hint="cs"/>
          <w:sz w:val="22"/>
          <w:szCs w:val="22"/>
          <w:rtl/>
        </w:rPr>
        <w:t xml:space="preserve"> </w:t>
      </w:r>
      <w:r w:rsidRPr="008E2DBE">
        <w:rPr>
          <w:rFonts w:hint="cs"/>
          <w:sz w:val="22"/>
          <w:szCs w:val="22"/>
          <w:rtl/>
        </w:rPr>
        <w:t xml:space="preserve"> – בטלפון 35592* או בטלפון 073-2055000</w:t>
      </w:r>
    </w:p>
    <w:p w14:paraId="7A26D192" w14:textId="77777777" w:rsidR="00A12046" w:rsidRPr="008E2DBE" w:rsidRDefault="00A12046" w:rsidP="00A12046">
      <w:pPr>
        <w:pStyle w:val="aa"/>
        <w:numPr>
          <w:ilvl w:val="0"/>
          <w:numId w:val="4"/>
        </w:numPr>
        <w:spacing w:after="0"/>
        <w:rPr>
          <w:rFonts w:ascii="Times New Roman" w:hAnsi="Times New Roman"/>
          <w:sz w:val="22"/>
          <w:szCs w:val="22"/>
          <w:rtl/>
        </w:rPr>
      </w:pPr>
      <w:r w:rsidRPr="008E2DBE">
        <w:rPr>
          <w:rFonts w:hint="cs"/>
          <w:sz w:val="22"/>
          <w:szCs w:val="22"/>
          <w:rtl/>
        </w:rPr>
        <w:t>במזומן בכל סניף של בנק הדואר – בהצגת תעודת זהות בלבד (אין צורך בשוברי תשלום).</w:t>
      </w:r>
    </w:p>
    <w:p w14:paraId="3E42C27A" w14:textId="77777777" w:rsidR="00A12046" w:rsidRPr="008E2DBE" w:rsidRDefault="00A12046" w:rsidP="00A12046">
      <w:pPr>
        <w:pStyle w:val="aa"/>
        <w:numPr>
          <w:ilvl w:val="0"/>
          <w:numId w:val="3"/>
        </w:numPr>
        <w:spacing w:after="0"/>
        <w:rPr>
          <w:b/>
          <w:bCs/>
          <w:rtl/>
        </w:rPr>
      </w:pPr>
      <w:r w:rsidRPr="008E2DBE">
        <w:rPr>
          <w:b/>
          <w:bCs/>
          <w:rtl/>
        </w:rPr>
        <w:t xml:space="preserve">הנאשם יצהיר על התחייבות על סך </w:t>
      </w:r>
      <w:r>
        <w:rPr>
          <w:rFonts w:hint="cs"/>
          <w:b/>
          <w:bCs/>
          <w:rtl/>
        </w:rPr>
        <w:t>7</w:t>
      </w:r>
      <w:r w:rsidRPr="008E2DBE">
        <w:rPr>
          <w:b/>
          <w:bCs/>
          <w:rtl/>
        </w:rPr>
        <w:t xml:space="preserve">,000 ₪ להימנע מביצוע כל עבירה בניגוד </w:t>
      </w:r>
      <w:r w:rsidRPr="008E2DBE">
        <w:rPr>
          <w:b/>
          <w:bCs/>
          <w:u w:val="single"/>
          <w:rtl/>
        </w:rPr>
        <w:t>ל</w:t>
      </w:r>
      <w:hyperlink r:id="rId64" w:history="1">
        <w:r w:rsidR="004F13BA" w:rsidRPr="004F13BA">
          <w:rPr>
            <w:b/>
            <w:bCs/>
            <w:color w:val="0000FF"/>
            <w:u w:val="single"/>
            <w:rtl/>
          </w:rPr>
          <w:t>פקודת הסמים המסוכנים</w:t>
        </w:r>
      </w:hyperlink>
      <w:r w:rsidRPr="008E2DBE">
        <w:rPr>
          <w:b/>
          <w:bCs/>
          <w:rtl/>
        </w:rPr>
        <w:t xml:space="preserve"> וזאת לתקופה של שנתיים מהיום. </w:t>
      </w:r>
    </w:p>
    <w:p w14:paraId="222BA6A7" w14:textId="77777777" w:rsidR="00A12046" w:rsidRPr="008E2DBE" w:rsidRDefault="00A12046" w:rsidP="00A12046">
      <w:pPr>
        <w:pStyle w:val="aa"/>
        <w:numPr>
          <w:ilvl w:val="0"/>
          <w:numId w:val="3"/>
        </w:numPr>
        <w:spacing w:after="0"/>
        <w:rPr>
          <w:b/>
          <w:bCs/>
          <w:rtl/>
        </w:rPr>
      </w:pPr>
      <w:r w:rsidRPr="008E2DBE">
        <w:rPr>
          <w:b/>
          <w:bCs/>
          <w:rtl/>
        </w:rPr>
        <w:t xml:space="preserve">הנני פוסלת הנאשם מלקבל ומלהחזיק רישיון נהיגה למשך 6 חודשים בתנאי שלא יעבור כל עבירה בניגוד </w:t>
      </w:r>
      <w:r w:rsidRPr="008E2DBE">
        <w:rPr>
          <w:b/>
          <w:bCs/>
          <w:u w:val="single"/>
          <w:rtl/>
        </w:rPr>
        <w:t>ל</w:t>
      </w:r>
      <w:hyperlink r:id="rId65" w:history="1">
        <w:r w:rsidR="004F13BA" w:rsidRPr="004F13BA">
          <w:rPr>
            <w:b/>
            <w:bCs/>
            <w:color w:val="0000FF"/>
            <w:u w:val="single"/>
            <w:rtl/>
          </w:rPr>
          <w:t>פקודת הסמים המסוכנים</w:t>
        </w:r>
      </w:hyperlink>
      <w:r w:rsidRPr="008E2DBE">
        <w:rPr>
          <w:b/>
          <w:bCs/>
          <w:rtl/>
        </w:rPr>
        <w:t xml:space="preserve"> במשך שנתיים מהיום.</w:t>
      </w:r>
    </w:p>
    <w:p w14:paraId="7FA51075" w14:textId="77777777" w:rsidR="00A12046" w:rsidRDefault="00A12046" w:rsidP="00A12046">
      <w:pPr>
        <w:pStyle w:val="aa"/>
        <w:spacing w:after="0"/>
        <w:ind w:left="0" w:firstLine="0"/>
        <w:rPr>
          <w:b/>
          <w:bCs/>
          <w:rtl/>
        </w:rPr>
      </w:pPr>
    </w:p>
    <w:p w14:paraId="7A7556C1" w14:textId="77777777" w:rsidR="00A12046" w:rsidRPr="008E2DBE" w:rsidRDefault="00A12046" w:rsidP="00A12046">
      <w:pPr>
        <w:pStyle w:val="aa"/>
        <w:spacing w:after="0"/>
        <w:ind w:left="0" w:firstLine="0"/>
        <w:rPr>
          <w:b/>
          <w:bCs/>
          <w:rtl/>
        </w:rPr>
      </w:pPr>
    </w:p>
    <w:p w14:paraId="028E2CDE" w14:textId="77777777" w:rsidR="00A12046" w:rsidRDefault="00A12046" w:rsidP="00A12046">
      <w:pPr>
        <w:pStyle w:val="aa"/>
        <w:spacing w:after="0"/>
        <w:ind w:left="0" w:firstLine="0"/>
        <w:rPr>
          <w:b/>
          <w:bCs/>
          <w:rtl/>
        </w:rPr>
      </w:pPr>
    </w:p>
    <w:p w14:paraId="235BF2C7" w14:textId="77777777" w:rsidR="00A12046" w:rsidRPr="001C606C" w:rsidRDefault="00A12046" w:rsidP="00A12046">
      <w:pPr>
        <w:pStyle w:val="aa"/>
        <w:spacing w:after="0"/>
        <w:ind w:left="0" w:firstLine="0"/>
        <w:rPr>
          <w:rtl/>
        </w:rPr>
      </w:pPr>
      <w:r w:rsidRPr="001C606C">
        <w:rPr>
          <w:rFonts w:hint="cs"/>
          <w:rtl/>
        </w:rPr>
        <w:t xml:space="preserve">ניתן בזאת צו להשמדת המוצג </w:t>
      </w:r>
      <w:r w:rsidRPr="001C606C">
        <w:rPr>
          <w:rtl/>
        </w:rPr>
        <w:t>–</w:t>
      </w:r>
      <w:r w:rsidRPr="001C606C">
        <w:rPr>
          <w:rFonts w:hint="cs"/>
          <w:rtl/>
        </w:rPr>
        <w:t xml:space="preserve"> סמים, בכפוף לחלוף תקופת הערעור.</w:t>
      </w:r>
    </w:p>
    <w:p w14:paraId="197D83A1" w14:textId="77777777" w:rsidR="00A12046" w:rsidRDefault="00A12046" w:rsidP="00A12046">
      <w:pPr>
        <w:pStyle w:val="aa"/>
        <w:spacing w:after="0"/>
        <w:ind w:left="0" w:firstLine="0"/>
        <w:rPr>
          <w:b/>
          <w:bCs/>
          <w:rtl/>
        </w:rPr>
      </w:pPr>
    </w:p>
    <w:p w14:paraId="7F2F7EF7" w14:textId="77777777" w:rsidR="00A12046" w:rsidRPr="001C606C" w:rsidRDefault="00A12046" w:rsidP="00A12046">
      <w:pPr>
        <w:spacing w:line="360" w:lineRule="auto"/>
        <w:jc w:val="both"/>
        <w:rPr>
          <w:szCs w:val="26"/>
        </w:rPr>
      </w:pPr>
      <w:r w:rsidRPr="001C606C">
        <w:rPr>
          <w:rFonts w:hint="cs"/>
          <w:rtl/>
        </w:rPr>
        <w:t>בשל נסיבותיו האישיות של הנאשם ומצבו הכלכלי, הנני פוטרת אותו מתשלום אגרת הסנגוריה הציבורית.</w:t>
      </w:r>
    </w:p>
    <w:p w14:paraId="5C26D4DF" w14:textId="77777777" w:rsidR="00A12046" w:rsidRPr="001C606C" w:rsidRDefault="00A12046" w:rsidP="00A12046">
      <w:pPr>
        <w:spacing w:line="360" w:lineRule="auto"/>
        <w:jc w:val="both"/>
        <w:rPr>
          <w:rtl/>
        </w:rPr>
      </w:pPr>
      <w:r w:rsidRPr="001C606C">
        <w:rPr>
          <w:rFonts w:hint="cs"/>
          <w:rtl/>
        </w:rPr>
        <w:t xml:space="preserve">העתק הפרוטוקול יישלח לסנגוריה הציבורית. </w:t>
      </w:r>
    </w:p>
    <w:p w14:paraId="58C154B0" w14:textId="77777777" w:rsidR="00A12046" w:rsidRDefault="00A12046" w:rsidP="00A12046">
      <w:pPr>
        <w:pStyle w:val="aa"/>
        <w:spacing w:after="0"/>
        <w:ind w:left="0" w:firstLine="0"/>
        <w:rPr>
          <w:b/>
          <w:bCs/>
          <w:rtl/>
        </w:rPr>
      </w:pPr>
    </w:p>
    <w:p w14:paraId="0BDAD070" w14:textId="77777777" w:rsidR="00A12046" w:rsidRPr="008E2DBE" w:rsidRDefault="00A12046" w:rsidP="00A12046">
      <w:pPr>
        <w:pStyle w:val="aa"/>
        <w:spacing w:after="0"/>
        <w:ind w:left="0" w:firstLine="0"/>
        <w:rPr>
          <w:b/>
          <w:bCs/>
          <w:rtl/>
        </w:rPr>
      </w:pPr>
      <w:r w:rsidRPr="008E2DBE">
        <w:rPr>
          <w:b/>
          <w:bCs/>
          <w:rtl/>
        </w:rPr>
        <w:t>זכות ערעור כחוק.</w:t>
      </w:r>
    </w:p>
    <w:p w14:paraId="647B0CC3" w14:textId="77777777" w:rsidR="00A12046" w:rsidRPr="008E2DBE" w:rsidRDefault="00A12046" w:rsidP="00A12046">
      <w:pPr>
        <w:spacing w:line="360" w:lineRule="auto"/>
        <w:jc w:val="both"/>
        <w:rPr>
          <w:rFonts w:ascii="David" w:hAnsi="David"/>
          <w:b/>
          <w:bCs/>
          <w:rtl/>
        </w:rPr>
      </w:pPr>
    </w:p>
    <w:p w14:paraId="5FA577E5" w14:textId="77777777" w:rsidR="00A12046" w:rsidRPr="008E2DBE" w:rsidRDefault="00A12046" w:rsidP="00A12046">
      <w:pPr>
        <w:spacing w:line="360" w:lineRule="auto"/>
        <w:jc w:val="both"/>
        <w:rPr>
          <w:rFonts w:ascii="David" w:hAnsi="David"/>
          <w:b/>
          <w:bCs/>
          <w:rtl/>
        </w:rPr>
      </w:pPr>
      <w:r w:rsidRPr="008E2DBE">
        <w:rPr>
          <w:rFonts w:ascii="David" w:hAnsi="David"/>
          <w:b/>
          <w:bCs/>
          <w:rtl/>
        </w:rPr>
        <w:t>נית</w:t>
      </w:r>
      <w:r w:rsidRPr="008E2DBE">
        <w:rPr>
          <w:rFonts w:ascii="David" w:hAnsi="David" w:hint="cs"/>
          <w:b/>
          <w:bCs/>
          <w:rtl/>
        </w:rPr>
        <w:t>ן</w:t>
      </w:r>
      <w:r w:rsidRPr="008E2DBE">
        <w:rPr>
          <w:rFonts w:ascii="David" w:hAnsi="David"/>
          <w:b/>
          <w:bCs/>
          <w:rtl/>
        </w:rPr>
        <w:t xml:space="preserve"> היום,  </w:t>
      </w:r>
      <w:r>
        <w:rPr>
          <w:rFonts w:ascii="David" w:hAnsi="David"/>
          <w:b/>
          <w:bCs/>
          <w:rtl/>
        </w:rPr>
        <w:t>כ"ג תמוז תשפ"ג</w:t>
      </w:r>
      <w:r w:rsidRPr="008E2DBE">
        <w:rPr>
          <w:rFonts w:ascii="David" w:hAnsi="David"/>
          <w:b/>
          <w:bCs/>
          <w:rtl/>
        </w:rPr>
        <w:t xml:space="preserve">, </w:t>
      </w:r>
      <w:r>
        <w:rPr>
          <w:rFonts w:ascii="David" w:hAnsi="David"/>
          <w:b/>
          <w:bCs/>
          <w:rtl/>
        </w:rPr>
        <w:t>12 יולי 2023</w:t>
      </w:r>
      <w:r w:rsidRPr="008E2DBE">
        <w:rPr>
          <w:rFonts w:ascii="David" w:hAnsi="David"/>
          <w:b/>
          <w:bCs/>
          <w:rtl/>
        </w:rPr>
        <w:t xml:space="preserve">, </w:t>
      </w:r>
      <w:r w:rsidRPr="008E2DBE">
        <w:rPr>
          <w:rFonts w:ascii="David" w:hAnsi="David" w:hint="cs"/>
          <w:b/>
          <w:bCs/>
          <w:rtl/>
        </w:rPr>
        <w:t xml:space="preserve">במעמד </w:t>
      </w:r>
      <w:r w:rsidRPr="008E2DBE">
        <w:rPr>
          <w:rFonts w:ascii="David" w:hAnsi="David"/>
          <w:b/>
          <w:bCs/>
          <w:rtl/>
        </w:rPr>
        <w:t>הצדדים.</w:t>
      </w:r>
    </w:p>
    <w:p w14:paraId="69F56AF9" w14:textId="77777777" w:rsidR="00A12046" w:rsidRPr="008E2DBE" w:rsidRDefault="00A12046" w:rsidP="00A12046">
      <w:pPr>
        <w:spacing w:line="360" w:lineRule="auto"/>
        <w:jc w:val="both"/>
        <w:rPr>
          <w:rFonts w:ascii="David" w:hAnsi="David"/>
          <w:rtl/>
        </w:rPr>
      </w:pPr>
    </w:p>
    <w:p w14:paraId="0715CA0C" w14:textId="77777777" w:rsidR="00A12046" w:rsidRPr="008E2DBE" w:rsidRDefault="00A872E2" w:rsidP="00A12046">
      <w:pPr>
        <w:spacing w:line="360" w:lineRule="auto"/>
        <w:ind w:left="3600" w:firstLine="7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44.75pt;height:62.25pt;visibility:visible">
            <v:imagedata r:id="rId66" o:title=""/>
          </v:shape>
        </w:pict>
      </w:r>
    </w:p>
    <w:p w14:paraId="69F4DDF0" w14:textId="77777777" w:rsidR="00A12046" w:rsidRPr="008E2DBE" w:rsidRDefault="00A12046" w:rsidP="00A12046">
      <w:pPr>
        <w:spacing w:line="360" w:lineRule="auto"/>
        <w:ind w:left="3600" w:firstLine="720"/>
        <w:jc w:val="both"/>
        <w:rPr>
          <w:rFonts w:ascii="David" w:hAnsi="David"/>
          <w:rtl/>
        </w:rPr>
      </w:pPr>
    </w:p>
    <w:p w14:paraId="71F32723" w14:textId="77777777" w:rsidR="00A12046" w:rsidRPr="008E2DBE" w:rsidRDefault="00A12046" w:rsidP="00A12046">
      <w:pPr>
        <w:spacing w:line="360" w:lineRule="auto"/>
        <w:jc w:val="both"/>
        <w:rPr>
          <w:rFonts w:ascii="David" w:hAnsi="David"/>
          <w:rtl/>
        </w:rPr>
      </w:pPr>
    </w:p>
    <w:p w14:paraId="18315996" w14:textId="77777777" w:rsidR="00A12046" w:rsidRPr="008E2DBE" w:rsidRDefault="00A12046" w:rsidP="00A12046">
      <w:pPr>
        <w:spacing w:line="360" w:lineRule="auto"/>
        <w:jc w:val="both"/>
        <w:rPr>
          <w:rFonts w:ascii="David" w:hAnsi="David"/>
          <w:rtl/>
        </w:rPr>
      </w:pPr>
    </w:p>
    <w:p w14:paraId="38468A50" w14:textId="77777777" w:rsidR="00A12046" w:rsidRPr="008E2DBE" w:rsidRDefault="00A12046" w:rsidP="00A12046">
      <w:pPr>
        <w:spacing w:line="360" w:lineRule="auto"/>
        <w:ind w:left="-483"/>
        <w:rPr>
          <w:rFonts w:ascii="David" w:hAnsi="David"/>
          <w:rtl/>
        </w:rPr>
      </w:pPr>
      <w:r w:rsidRPr="008E2DBE">
        <w:rPr>
          <w:rFonts w:ascii="David" w:hAnsi="David"/>
          <w:b/>
          <w:bCs/>
          <w:u w:val="single"/>
          <w:rtl/>
        </w:rPr>
        <w:t>הנאשם:</w:t>
      </w:r>
    </w:p>
    <w:p w14:paraId="0534E918" w14:textId="77777777" w:rsidR="00A12046" w:rsidRPr="008E2DBE" w:rsidRDefault="00A12046" w:rsidP="00A12046">
      <w:pPr>
        <w:spacing w:line="360" w:lineRule="auto"/>
        <w:ind w:left="-483"/>
        <w:rPr>
          <w:rFonts w:ascii="David" w:hAnsi="David"/>
        </w:rPr>
      </w:pPr>
      <w:r w:rsidRPr="008E2DBE">
        <w:rPr>
          <w:rFonts w:ascii="David" w:hAnsi="David"/>
          <w:rtl/>
        </w:rPr>
        <w:t xml:space="preserve">אני מתחייב שלא לעבור כל עבירה בניגוד </w:t>
      </w:r>
      <w:r w:rsidRPr="008E2DBE">
        <w:rPr>
          <w:rFonts w:ascii="David" w:hAnsi="David"/>
          <w:u w:val="single"/>
          <w:rtl/>
        </w:rPr>
        <w:t>ל</w:t>
      </w:r>
      <w:hyperlink r:id="rId67" w:history="1">
        <w:r w:rsidR="004F13BA" w:rsidRPr="004F13BA">
          <w:rPr>
            <w:rFonts w:ascii="David" w:hAnsi="David"/>
            <w:color w:val="0000FF"/>
            <w:u w:val="single"/>
            <w:rtl/>
          </w:rPr>
          <w:t>פקודת הסמים המסוכנים</w:t>
        </w:r>
      </w:hyperlink>
      <w:r w:rsidRPr="008E2DBE">
        <w:rPr>
          <w:rFonts w:ascii="David" w:hAnsi="David"/>
          <w:rtl/>
        </w:rPr>
        <w:t xml:space="preserve"> וזאת למשך שנתיים מהיום.</w:t>
      </w:r>
    </w:p>
    <w:p w14:paraId="59DF02E0" w14:textId="77777777" w:rsidR="00A12046" w:rsidRPr="008E2DBE" w:rsidRDefault="00A12046" w:rsidP="00A12046">
      <w:pPr>
        <w:spacing w:line="360" w:lineRule="auto"/>
        <w:ind w:left="-483"/>
        <w:rPr>
          <w:rFonts w:ascii="David" w:hAnsi="David"/>
          <w:b/>
          <w:bCs/>
          <w:u w:val="single"/>
          <w:rtl/>
        </w:rPr>
      </w:pPr>
      <w:r w:rsidRPr="008E2DBE">
        <w:rPr>
          <w:rFonts w:ascii="David" w:hAnsi="David"/>
          <w:rtl/>
        </w:rPr>
        <w:t xml:space="preserve">הובהר לי, כי ככל שאעבור כל עבירה בניגוד </w:t>
      </w:r>
      <w:r w:rsidRPr="008E2DBE">
        <w:rPr>
          <w:rFonts w:ascii="David" w:hAnsi="David"/>
          <w:u w:val="single"/>
          <w:rtl/>
        </w:rPr>
        <w:t>ל</w:t>
      </w:r>
      <w:hyperlink r:id="rId68" w:history="1">
        <w:r w:rsidR="004F13BA" w:rsidRPr="004F13BA">
          <w:rPr>
            <w:rFonts w:ascii="David" w:hAnsi="David"/>
            <w:color w:val="0000FF"/>
            <w:u w:val="single"/>
            <w:rtl/>
          </w:rPr>
          <w:t>פקודת הסמים המסוכנים</w:t>
        </w:r>
      </w:hyperlink>
      <w:r w:rsidRPr="008E2DBE">
        <w:rPr>
          <w:rFonts w:ascii="David" w:hAnsi="David"/>
          <w:u w:val="single"/>
          <w:rtl/>
        </w:rPr>
        <w:t>,</w:t>
      </w:r>
      <w:r w:rsidRPr="008E2DBE">
        <w:rPr>
          <w:rFonts w:ascii="David" w:hAnsi="David"/>
          <w:rtl/>
        </w:rPr>
        <w:t xml:space="preserve"> במשך שנתיים מהיום, אזי יושת עלי סך של </w:t>
      </w:r>
      <w:r>
        <w:rPr>
          <w:rFonts w:ascii="David" w:hAnsi="David" w:hint="cs"/>
          <w:rtl/>
        </w:rPr>
        <w:t>7</w:t>
      </w:r>
      <w:r w:rsidRPr="008E2DBE">
        <w:rPr>
          <w:rFonts w:ascii="David" w:hAnsi="David"/>
          <w:rtl/>
        </w:rPr>
        <w:t xml:space="preserve">,000 ₪. </w:t>
      </w:r>
    </w:p>
    <w:p w14:paraId="5B7E3E50" w14:textId="77777777" w:rsidR="00A12046" w:rsidRPr="008E2DBE" w:rsidRDefault="00A12046" w:rsidP="00A12046">
      <w:pPr>
        <w:spacing w:line="360" w:lineRule="auto"/>
        <w:ind w:left="-483"/>
        <w:jc w:val="center"/>
        <w:rPr>
          <w:rFonts w:ascii="David" w:hAnsi="David"/>
          <w:rtl/>
        </w:rPr>
      </w:pPr>
      <w:r w:rsidRPr="008E2DBE">
        <w:rPr>
          <w:rFonts w:ascii="David" w:hAnsi="David"/>
          <w:b/>
          <w:bCs/>
          <w:u w:val="single"/>
          <w:rtl/>
        </w:rPr>
        <w:t>החלטה</w:t>
      </w:r>
    </w:p>
    <w:p w14:paraId="15297555" w14:textId="77777777" w:rsidR="00A12046" w:rsidRPr="008E2DBE" w:rsidRDefault="00A12046" w:rsidP="00A12046">
      <w:pPr>
        <w:spacing w:line="360" w:lineRule="auto"/>
        <w:ind w:left="-483"/>
        <w:rPr>
          <w:rFonts w:ascii="David" w:hAnsi="David"/>
          <w:rtl/>
        </w:rPr>
      </w:pPr>
    </w:p>
    <w:p w14:paraId="7286F16D" w14:textId="77777777" w:rsidR="00A12046" w:rsidRPr="008E2DBE" w:rsidRDefault="00A12046" w:rsidP="00A12046">
      <w:pPr>
        <w:spacing w:line="360" w:lineRule="auto"/>
        <w:ind w:left="-483"/>
        <w:rPr>
          <w:sz w:val="6"/>
          <w:szCs w:val="6"/>
          <w:rtl/>
        </w:rPr>
      </w:pPr>
      <w:r w:rsidRPr="008E2DBE">
        <w:rPr>
          <w:rFonts w:ascii="David" w:hAnsi="David"/>
          <w:rtl/>
        </w:rPr>
        <w:t xml:space="preserve">רשמתי לפניי את התחייבות הנאשם להימנע מביצוע העבירות כמפורט בגזר הדין. </w:t>
      </w:r>
    </w:p>
    <w:p w14:paraId="3DE8E19A" w14:textId="77777777" w:rsidR="00A12046" w:rsidRPr="008E2DBE" w:rsidRDefault="00A12046" w:rsidP="00A12046">
      <w:pPr>
        <w:spacing w:line="360" w:lineRule="auto"/>
        <w:ind w:left="-483"/>
        <w:rPr>
          <w:b/>
          <w:bCs/>
          <w:rtl/>
        </w:rPr>
      </w:pPr>
      <w:r w:rsidRPr="008E2DBE">
        <w:rPr>
          <w:rFonts w:hint="cs"/>
          <w:sz w:val="6"/>
          <w:szCs w:val="6"/>
          <w:rtl/>
        </w:rPr>
        <w:t>&lt;#4#&gt;</w:t>
      </w:r>
    </w:p>
    <w:p w14:paraId="2A23A64A" w14:textId="77777777" w:rsidR="00A12046" w:rsidRPr="008E2DBE" w:rsidRDefault="004F13BA" w:rsidP="00A12046">
      <w:pPr>
        <w:spacing w:line="360" w:lineRule="auto"/>
        <w:ind w:left="5040"/>
        <w:jc w:val="center"/>
        <w:rPr>
          <w:rtl/>
        </w:rPr>
      </w:pPr>
      <w:bookmarkStart w:id="8" w:name="Nitan"/>
      <w:r w:rsidRPr="004F13BA">
        <w:rPr>
          <w:b/>
          <w:bCs/>
          <w:color w:val="FFFFFF"/>
          <w:sz w:val="2"/>
          <w:szCs w:val="2"/>
          <w:rtl/>
        </w:rPr>
        <w:t>5129371</w:t>
      </w:r>
      <w:r>
        <w:rPr>
          <w:b/>
          <w:bCs/>
          <w:rtl/>
        </w:rPr>
        <w:t xml:space="preserve">ניתנה והודעה היום כ"ג תמוז תשפ"ג, 12/07/2023 במעמד הנוכחים. </w:t>
      </w:r>
      <w:bookmarkEnd w:id="8"/>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A12046" w:rsidRPr="008E2DBE" w14:paraId="41623840" w14:textId="77777777" w:rsidTr="00A12046">
        <w:trPr>
          <w:trHeight w:val="316"/>
        </w:trPr>
        <w:tc>
          <w:tcPr>
            <w:tcW w:w="3936" w:type="dxa"/>
            <w:tcBorders>
              <w:top w:val="nil"/>
              <w:left w:val="nil"/>
              <w:bottom w:val="single" w:sz="4" w:space="0" w:color="auto"/>
              <w:right w:val="nil"/>
            </w:tcBorders>
            <w:shd w:val="clear" w:color="auto" w:fill="auto"/>
          </w:tcPr>
          <w:p w14:paraId="34AF3A74" w14:textId="77777777" w:rsidR="00A12046" w:rsidRPr="004F13BA" w:rsidRDefault="004F13BA" w:rsidP="00A12046">
            <w:pPr>
              <w:spacing w:line="360" w:lineRule="auto"/>
              <w:jc w:val="center"/>
              <w:rPr>
                <w:color w:val="FFFFFF"/>
                <w:sz w:val="2"/>
                <w:szCs w:val="2"/>
              </w:rPr>
            </w:pPr>
            <w:r w:rsidRPr="004F13BA">
              <w:rPr>
                <w:color w:val="FFFFFF"/>
                <w:sz w:val="2"/>
                <w:szCs w:val="2"/>
                <w:rtl/>
              </w:rPr>
              <w:t>54678313</w:t>
            </w:r>
          </w:p>
        </w:tc>
      </w:tr>
      <w:tr w:rsidR="00A12046" w:rsidRPr="008E2DBE" w14:paraId="3772FEC7" w14:textId="77777777" w:rsidTr="00A12046">
        <w:trPr>
          <w:trHeight w:val="361"/>
        </w:trPr>
        <w:tc>
          <w:tcPr>
            <w:tcW w:w="3936" w:type="dxa"/>
            <w:tcBorders>
              <w:top w:val="single" w:sz="4" w:space="0" w:color="auto"/>
              <w:left w:val="nil"/>
              <w:bottom w:val="nil"/>
              <w:right w:val="nil"/>
            </w:tcBorders>
            <w:shd w:val="clear" w:color="auto" w:fill="auto"/>
          </w:tcPr>
          <w:p w14:paraId="7014CD5B" w14:textId="77777777" w:rsidR="00A12046" w:rsidRPr="00A12046" w:rsidRDefault="00A12046" w:rsidP="00A12046">
            <w:pPr>
              <w:spacing w:line="360" w:lineRule="auto"/>
              <w:jc w:val="center"/>
              <w:rPr>
                <w:b/>
                <w:bCs/>
                <w:rtl/>
              </w:rPr>
            </w:pPr>
            <w:r w:rsidRPr="00A12046">
              <w:rPr>
                <w:rFonts w:hint="cs"/>
                <w:b/>
                <w:bCs/>
                <w:rtl/>
              </w:rPr>
              <w:t xml:space="preserve">נגה שמואלי </w:t>
            </w:r>
            <w:r w:rsidRPr="00A12046">
              <w:rPr>
                <w:rFonts w:hint="cs"/>
                <w:b/>
                <w:bCs/>
                <w:vertAlign w:val="superscript"/>
                <w:rtl/>
              </w:rPr>
              <w:t>–</w:t>
            </w:r>
            <w:r w:rsidRPr="00A12046">
              <w:rPr>
                <w:rFonts w:hint="cs"/>
                <w:b/>
                <w:bCs/>
                <w:rtl/>
              </w:rPr>
              <w:t xml:space="preserve"> מאייר, שופטת </w:t>
            </w:r>
          </w:p>
          <w:p w14:paraId="691721A7" w14:textId="77777777" w:rsidR="00A12046" w:rsidRPr="00A12046" w:rsidRDefault="00A12046" w:rsidP="00A12046">
            <w:pPr>
              <w:spacing w:line="360" w:lineRule="auto"/>
              <w:jc w:val="center"/>
              <w:rPr>
                <w:b/>
                <w:bCs/>
                <w:rtl/>
              </w:rPr>
            </w:pPr>
            <w:r w:rsidRPr="00A12046">
              <w:rPr>
                <w:rFonts w:hint="cs"/>
                <w:b/>
                <w:bCs/>
                <w:rtl/>
              </w:rPr>
              <w:t>סגנית נשיא</w:t>
            </w:r>
          </w:p>
        </w:tc>
      </w:tr>
    </w:tbl>
    <w:p w14:paraId="51A4DC7A" w14:textId="77777777" w:rsidR="00A12046" w:rsidRPr="002A07FE" w:rsidRDefault="00A12046" w:rsidP="00A12046">
      <w:pPr>
        <w:spacing w:line="360" w:lineRule="auto"/>
        <w:rPr>
          <w:i/>
          <w:iCs/>
          <w:sz w:val="20"/>
          <w:szCs w:val="20"/>
          <w:rtl/>
        </w:rPr>
      </w:pPr>
      <w:r w:rsidRPr="002A07FE">
        <w:rPr>
          <w:rFonts w:hint="cs"/>
          <w:i/>
          <w:iCs/>
          <w:sz w:val="20"/>
          <w:szCs w:val="20"/>
          <w:rtl/>
        </w:rPr>
        <w:t>הוקלד ע"י לירז ביטון.</w:t>
      </w:r>
    </w:p>
    <w:p w14:paraId="3CAB1966" w14:textId="77777777" w:rsidR="00A12046" w:rsidRPr="008E2DBE" w:rsidRDefault="00A12046" w:rsidP="00A12046">
      <w:pPr>
        <w:spacing w:line="360" w:lineRule="auto"/>
        <w:jc w:val="center"/>
        <w:rPr>
          <w:rtl/>
        </w:rPr>
      </w:pPr>
    </w:p>
    <w:p w14:paraId="0AFA392C" w14:textId="77777777" w:rsidR="00A12046" w:rsidRPr="005C5822" w:rsidRDefault="005C5822" w:rsidP="00A12046">
      <w:pPr>
        <w:spacing w:line="360" w:lineRule="auto"/>
        <w:rPr>
          <w:rFonts w:ascii="David" w:hAnsi="David"/>
          <w:color w:val="FFFFFF"/>
          <w:sz w:val="2"/>
          <w:szCs w:val="2"/>
          <w:rtl/>
        </w:rPr>
      </w:pPr>
      <w:r w:rsidRPr="005C5822">
        <w:rPr>
          <w:color w:val="FFFFFF"/>
          <w:sz w:val="2"/>
          <w:szCs w:val="2"/>
          <w:rtl/>
        </w:rPr>
        <w:t>5129371</w:t>
      </w:r>
      <w:r w:rsidR="00A12046" w:rsidRPr="005C5822">
        <w:rPr>
          <w:rFonts w:hint="cs"/>
          <w:color w:val="FFFFFF"/>
          <w:sz w:val="2"/>
          <w:szCs w:val="2"/>
          <w:rtl/>
        </w:rPr>
        <w:t xml:space="preserve"> </w:t>
      </w:r>
    </w:p>
    <w:p w14:paraId="3C6FFBAA" w14:textId="77777777" w:rsidR="004F13BA" w:rsidRPr="005C5822" w:rsidRDefault="005C5822" w:rsidP="005C5822">
      <w:pPr>
        <w:keepNext/>
        <w:rPr>
          <w:rFonts w:ascii="David" w:hAnsi="David" w:hint="cs"/>
          <w:color w:val="FFFFFF"/>
          <w:sz w:val="2"/>
          <w:szCs w:val="2"/>
        </w:rPr>
      </w:pPr>
      <w:r w:rsidRPr="005C5822">
        <w:rPr>
          <w:rFonts w:ascii="David" w:hAnsi="David"/>
          <w:color w:val="FFFFFF"/>
          <w:sz w:val="2"/>
          <w:szCs w:val="2"/>
          <w:rtl/>
        </w:rPr>
        <w:t>512937154678313</w:t>
      </w:r>
    </w:p>
    <w:p w14:paraId="2F1688D1" w14:textId="77777777" w:rsidR="004F13BA" w:rsidRPr="005C5822" w:rsidRDefault="005C5822" w:rsidP="004F13BA">
      <w:pPr>
        <w:rPr>
          <w:color w:val="FFFFFF"/>
          <w:sz w:val="2"/>
          <w:szCs w:val="2"/>
          <w:rtl/>
        </w:rPr>
      </w:pPr>
      <w:r w:rsidRPr="005C5822">
        <w:rPr>
          <w:color w:val="FFFFFF"/>
          <w:sz w:val="2"/>
          <w:szCs w:val="2"/>
          <w:rtl/>
        </w:rPr>
        <w:t>54678313</w:t>
      </w:r>
    </w:p>
    <w:p w14:paraId="0E8B8E86" w14:textId="77777777" w:rsidR="004F13BA" w:rsidRDefault="004F13BA" w:rsidP="004F13BA">
      <w:pPr>
        <w:jc w:val="center"/>
        <w:rPr>
          <w:color w:val="0000FF"/>
          <w:u w:val="single"/>
        </w:rPr>
      </w:pPr>
      <w:hyperlink r:id="rId69" w:history="1">
        <w:r>
          <w:rPr>
            <w:color w:val="0000FF"/>
            <w:u w:val="single"/>
            <w:rtl/>
          </w:rPr>
          <w:t>בעניין עריכה ושינויים במסמכי פסיקה, חקיקה ועוד באתר נבו – הקש כאן</w:t>
        </w:r>
      </w:hyperlink>
    </w:p>
    <w:p w14:paraId="1AE760EE" w14:textId="77777777" w:rsidR="005C5822" w:rsidRPr="005C5822" w:rsidRDefault="005C5822" w:rsidP="005C5822">
      <w:pPr>
        <w:keepNext/>
        <w:rPr>
          <w:rFonts w:ascii="David" w:hAnsi="David" w:hint="cs"/>
          <w:color w:val="000000"/>
          <w:sz w:val="22"/>
          <w:szCs w:val="22"/>
          <w:rtl/>
        </w:rPr>
      </w:pPr>
    </w:p>
    <w:p w14:paraId="397E516B" w14:textId="77777777" w:rsidR="005C5822" w:rsidRPr="005C5822" w:rsidRDefault="005C5822" w:rsidP="005C5822">
      <w:pPr>
        <w:keepNext/>
        <w:rPr>
          <w:rFonts w:ascii="David" w:hAnsi="David"/>
          <w:color w:val="000000"/>
          <w:sz w:val="22"/>
          <w:szCs w:val="22"/>
          <w:rtl/>
        </w:rPr>
      </w:pPr>
      <w:r w:rsidRPr="005C5822">
        <w:rPr>
          <w:rFonts w:ascii="David" w:hAnsi="David"/>
          <w:color w:val="000000"/>
          <w:sz w:val="22"/>
          <w:szCs w:val="22"/>
          <w:rtl/>
        </w:rPr>
        <w:t>נגה שמואלי מאייר 54678313-/</w:t>
      </w:r>
    </w:p>
    <w:p w14:paraId="3E06503C" w14:textId="77777777" w:rsidR="005C5822" w:rsidRPr="005C5822" w:rsidRDefault="005C5822" w:rsidP="005C5822">
      <w:pPr>
        <w:keepNext/>
        <w:rPr>
          <w:rFonts w:ascii="David" w:hAnsi="David"/>
          <w:color w:val="000000"/>
          <w:sz w:val="22"/>
          <w:szCs w:val="22"/>
          <w:rtl/>
        </w:rPr>
      </w:pPr>
      <w:r w:rsidRPr="005C5822">
        <w:rPr>
          <w:color w:val="000000"/>
          <w:u w:val="single"/>
          <w:rtl/>
        </w:rPr>
        <w:t>נוסח מסמך זה כפוף לשינויי ניסוח ועריכה</w:t>
      </w:r>
    </w:p>
    <w:p w14:paraId="1340E9E3" w14:textId="77777777" w:rsidR="004F13BA" w:rsidRPr="004F13BA" w:rsidRDefault="004F13BA" w:rsidP="005C5822">
      <w:pPr>
        <w:rPr>
          <w:rFonts w:hint="cs"/>
          <w:color w:val="0000FF"/>
          <w:u w:val="single"/>
        </w:rPr>
      </w:pPr>
    </w:p>
    <w:sectPr w:rsidR="004F13BA" w:rsidRPr="004F13BA" w:rsidSect="005C5822">
      <w:headerReference w:type="even" r:id="rId70"/>
      <w:headerReference w:type="default" r:id="rId71"/>
      <w:footerReference w:type="even" r:id="rId72"/>
      <w:footerReference w:type="default" r:id="rId7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B9BCB" w14:textId="77777777" w:rsidR="0050271C" w:rsidRDefault="0050271C" w:rsidP="00A872E2">
      <w:r>
        <w:separator/>
      </w:r>
    </w:p>
  </w:endnote>
  <w:endnote w:type="continuationSeparator" w:id="0">
    <w:p w14:paraId="6CDBE805" w14:textId="77777777" w:rsidR="0050271C" w:rsidRDefault="0050271C" w:rsidP="00A87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34EA5" w14:textId="77777777" w:rsidR="005C5822" w:rsidRDefault="005C5822" w:rsidP="005C58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608CD94B" w14:textId="77777777" w:rsidR="004F13BA" w:rsidRPr="005C5822" w:rsidRDefault="005C5822" w:rsidP="005C5822">
    <w:pPr>
      <w:pStyle w:val="a5"/>
      <w:pBdr>
        <w:top w:val="single" w:sz="4" w:space="1" w:color="auto"/>
        <w:between w:val="single" w:sz="4" w:space="0" w:color="auto"/>
      </w:pBdr>
      <w:spacing w:after="60"/>
      <w:jc w:val="center"/>
      <w:rPr>
        <w:rFonts w:ascii="FrankRuehl" w:hAnsi="FrankRuehl" w:cs="FrankRuehl"/>
        <w:color w:val="000000"/>
      </w:rPr>
    </w:pPr>
    <w:r w:rsidRPr="005C58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5C2F6" w14:textId="77777777" w:rsidR="005C5822" w:rsidRDefault="005C5822" w:rsidP="005C5822">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B52DB">
      <w:rPr>
        <w:rStyle w:val="a8"/>
        <w:rFonts w:ascii="FrankRuehl" w:hAnsi="FrankRuehl" w:cs="FrankRuehl"/>
        <w:noProof/>
        <w:rtl/>
      </w:rPr>
      <w:t>1</w:t>
    </w:r>
    <w:r>
      <w:rPr>
        <w:rStyle w:val="a8"/>
        <w:rFonts w:ascii="FrankRuehl" w:hAnsi="FrankRuehl" w:cs="FrankRuehl"/>
        <w:rtl/>
      </w:rPr>
      <w:fldChar w:fldCharType="end"/>
    </w:r>
  </w:p>
  <w:p w14:paraId="09D51FE7" w14:textId="77777777" w:rsidR="005E32B5" w:rsidRPr="005C5822" w:rsidRDefault="005C5822" w:rsidP="005C5822">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C5822">
      <w:rPr>
        <w:rStyle w:val="a8"/>
        <w:rFonts w:ascii="FrankRuehl" w:hAnsi="FrankRuehl" w:cs="FrankRuehl" w:hint="cs"/>
        <w:color w:val="000000"/>
      </w:rPr>
      <w:pict w14:anchorId="269B3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B2B93" w14:textId="77777777" w:rsidR="0050271C" w:rsidRDefault="0050271C" w:rsidP="00A872E2">
      <w:r>
        <w:separator/>
      </w:r>
    </w:p>
  </w:footnote>
  <w:footnote w:type="continuationSeparator" w:id="0">
    <w:p w14:paraId="4A3D3CD7" w14:textId="77777777" w:rsidR="0050271C" w:rsidRDefault="0050271C" w:rsidP="00A87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B47CE" w14:textId="77777777" w:rsidR="004F13BA" w:rsidRPr="005C5822" w:rsidRDefault="005C5822" w:rsidP="005C582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44015-11-21</w:t>
    </w:r>
    <w:r>
      <w:rPr>
        <w:rFonts w:ascii="David" w:hAnsi="David"/>
        <w:color w:val="000000"/>
        <w:sz w:val="22"/>
        <w:szCs w:val="22"/>
        <w:rtl/>
      </w:rPr>
      <w:tab/>
      <w:t xml:space="preserve"> מדינת ישראל נ' יקיר נגבקר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4718" w14:textId="77777777" w:rsidR="004F13BA" w:rsidRPr="005C5822" w:rsidRDefault="005C5822" w:rsidP="005C582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44015-11-21</w:t>
    </w:r>
    <w:r>
      <w:rPr>
        <w:rFonts w:ascii="David" w:hAnsi="David"/>
        <w:color w:val="000000"/>
        <w:sz w:val="22"/>
        <w:szCs w:val="22"/>
        <w:rtl/>
      </w:rPr>
      <w:tab/>
      <w:t xml:space="preserve"> מדינת ישראל נ' יקיר נגבקר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56F45C3"/>
    <w:multiLevelType w:val="hybridMultilevel"/>
    <w:tmpl w:val="F3BADA1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77F34"/>
    <w:multiLevelType w:val="hybridMultilevel"/>
    <w:tmpl w:val="0624ECDC"/>
    <w:lvl w:ilvl="0" w:tplc="F782E0DC">
      <w:start w:val="1"/>
      <w:numFmt w:val="decimal"/>
      <w:lvlText w:val="%1."/>
      <w:lvlJc w:val="left"/>
      <w:pPr>
        <w:ind w:left="662" w:hanging="360"/>
      </w:pPr>
      <w:rPr>
        <w:rFonts w:ascii="David" w:hAnsi="David" w:cs="David" w:hint="default"/>
        <w:b w:val="0"/>
        <w:bCs w:val="0"/>
        <w:color w:val="auto"/>
      </w:rPr>
    </w:lvl>
    <w:lvl w:ilvl="1" w:tplc="272AFB96">
      <w:start w:val="1"/>
      <w:numFmt w:val="hebrew1"/>
      <w:lvlText w:val="%2."/>
      <w:lvlJc w:val="left"/>
      <w:pPr>
        <w:ind w:left="1517" w:hanging="495"/>
      </w:pPr>
      <w:rPr>
        <w:b w:val="0"/>
        <w:bCs/>
      </w:r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3" w15:restartNumberingAfterBreak="0">
    <w:nsid w:val="633E1DE5"/>
    <w:multiLevelType w:val="hybridMultilevel"/>
    <w:tmpl w:val="B5D2E48E"/>
    <w:lvl w:ilvl="0" w:tplc="A03ED7C6">
      <w:start w:val="1"/>
      <w:numFmt w:val="hebrew1"/>
      <w:lvlText w:val="%1."/>
      <w:lvlJc w:val="center"/>
      <w:pPr>
        <w:ind w:left="720" w:hanging="360"/>
      </w:pPr>
      <w:rPr>
        <w:sz w:val="32"/>
        <w:szCs w:val="28"/>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94337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92435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0436972">
    <w:abstractNumId w:val="1"/>
  </w:num>
  <w:num w:numId="4" w16cid:durableId="66632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2046"/>
    <w:rsid w:val="00235EE2"/>
    <w:rsid w:val="002B52DB"/>
    <w:rsid w:val="004F13BA"/>
    <w:rsid w:val="0050271C"/>
    <w:rsid w:val="005C5822"/>
    <w:rsid w:val="005E32B5"/>
    <w:rsid w:val="006057D5"/>
    <w:rsid w:val="009A4E4C"/>
    <w:rsid w:val="00A12046"/>
    <w:rsid w:val="00A872E2"/>
    <w:rsid w:val="00B37C40"/>
    <w:rsid w:val="00C16341"/>
    <w:rsid w:val="00C474FC"/>
    <w:rsid w:val="00D07843"/>
    <w:rsid w:val="00E72EFD"/>
    <w:rsid w:val="00F337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9D0FB0"/>
  <w15:chartTrackingRefBased/>
  <w15:docId w15:val="{6A10E743-E60A-409C-8B22-DC4F8CEF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2046"/>
    <w:pPr>
      <w:bidi/>
    </w:pPr>
    <w:rPr>
      <w:rFonts w:ascii="Times New Roman" w:eastAsia="Times New Roman" w:hAnsi="Times New Roman" w:cs="David"/>
      <w:sz w:val="24"/>
      <w:szCs w:val="24"/>
    </w:rPr>
  </w:style>
  <w:style w:type="paragraph" w:styleId="1">
    <w:name w:val="heading 1"/>
    <w:basedOn w:val="a"/>
    <w:next w:val="a"/>
    <w:link w:val="10"/>
    <w:qFormat/>
    <w:rsid w:val="00A12046"/>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12046"/>
    <w:rPr>
      <w:rFonts w:ascii="Calibri Light" w:eastAsia="Times New Roman" w:hAnsi="Calibri Light" w:cs="Times New Roman"/>
      <w:color w:val="2E74B5"/>
      <w:sz w:val="32"/>
      <w:szCs w:val="32"/>
    </w:rPr>
  </w:style>
  <w:style w:type="paragraph" w:styleId="a3">
    <w:name w:val="header"/>
    <w:basedOn w:val="a"/>
    <w:link w:val="a4"/>
    <w:rsid w:val="00A12046"/>
    <w:pPr>
      <w:tabs>
        <w:tab w:val="center" w:pos="4153"/>
        <w:tab w:val="right" w:pos="8306"/>
      </w:tabs>
    </w:pPr>
  </w:style>
  <w:style w:type="character" w:customStyle="1" w:styleId="a4">
    <w:name w:val="כותרת עליונה תו"/>
    <w:link w:val="a3"/>
    <w:rsid w:val="00A12046"/>
    <w:rPr>
      <w:rFonts w:ascii="Times New Roman" w:eastAsia="Times New Roman" w:hAnsi="Times New Roman" w:cs="David"/>
      <w:sz w:val="24"/>
      <w:szCs w:val="24"/>
    </w:rPr>
  </w:style>
  <w:style w:type="paragraph" w:styleId="a5">
    <w:name w:val="footer"/>
    <w:basedOn w:val="a"/>
    <w:link w:val="a6"/>
    <w:rsid w:val="00A12046"/>
    <w:pPr>
      <w:tabs>
        <w:tab w:val="center" w:pos="4153"/>
        <w:tab w:val="right" w:pos="8306"/>
      </w:tabs>
    </w:pPr>
  </w:style>
  <w:style w:type="character" w:customStyle="1" w:styleId="a6">
    <w:name w:val="כותרת תחתונה תו"/>
    <w:link w:val="a5"/>
    <w:rsid w:val="00A12046"/>
    <w:rPr>
      <w:rFonts w:ascii="Times New Roman" w:eastAsia="Times New Roman" w:hAnsi="Times New Roman" w:cs="David"/>
      <w:sz w:val="24"/>
      <w:szCs w:val="24"/>
    </w:rPr>
  </w:style>
  <w:style w:type="table" w:styleId="a7">
    <w:name w:val="Table Grid"/>
    <w:basedOn w:val="a1"/>
    <w:rsid w:val="00A120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2046"/>
    <w:rPr>
      <w:noProof w:val="0"/>
    </w:rPr>
  </w:style>
  <w:style w:type="character" w:styleId="Hyperlink">
    <w:name w:val="Hyperlink"/>
    <w:rsid w:val="00A12046"/>
    <w:rPr>
      <w:noProof w:val="0"/>
      <w:color w:val="0000FF"/>
      <w:u w:val="single"/>
    </w:rPr>
  </w:style>
  <w:style w:type="character" w:customStyle="1" w:styleId="a9">
    <w:name w:val="פיסקת רשימה תו"/>
    <w:link w:val="aa"/>
    <w:locked/>
    <w:rsid w:val="00A12046"/>
    <w:rPr>
      <w:rFonts w:ascii="David" w:hAnsi="David" w:cs="David"/>
      <w:sz w:val="24"/>
      <w:szCs w:val="24"/>
    </w:rPr>
  </w:style>
  <w:style w:type="paragraph" w:styleId="aa">
    <w:name w:val="List Paragraph"/>
    <w:basedOn w:val="a"/>
    <w:link w:val="a9"/>
    <w:qFormat/>
    <w:rsid w:val="00A12046"/>
    <w:pPr>
      <w:spacing w:after="160" w:line="360" w:lineRule="auto"/>
      <w:ind w:left="720" w:hanging="357"/>
      <w:contextualSpacing/>
      <w:jc w:val="both"/>
    </w:pPr>
    <w:rPr>
      <w:rFonts w:ascii="David" w:eastAsia="Calibri" w:hAnsi="David"/>
    </w:rPr>
  </w:style>
  <w:style w:type="character" w:customStyle="1" w:styleId="ListParagraphChar">
    <w:name w:val="List Paragraph Char"/>
    <w:link w:val="11"/>
    <w:locked/>
    <w:rsid w:val="00A12046"/>
    <w:rPr>
      <w:rFonts w:ascii="David" w:hAnsi="David" w:cs="David"/>
      <w:sz w:val="24"/>
      <w:szCs w:val="24"/>
    </w:rPr>
  </w:style>
  <w:style w:type="paragraph" w:customStyle="1" w:styleId="11">
    <w:name w:val="פיסקת רשימה1"/>
    <w:basedOn w:val="a"/>
    <w:link w:val="ListParagraphChar"/>
    <w:rsid w:val="00A12046"/>
    <w:pPr>
      <w:spacing w:after="160" w:line="360" w:lineRule="auto"/>
      <w:ind w:left="720" w:hanging="357"/>
      <w:contextualSpacing/>
      <w:jc w:val="both"/>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8791199" TargetMode="External"/><Relationship Id="rId21" Type="http://schemas.openxmlformats.org/officeDocument/2006/relationships/hyperlink" Target="http://www.nevo.co.il/case/18090623" TargetMode="External"/><Relationship Id="rId42" Type="http://schemas.openxmlformats.org/officeDocument/2006/relationships/hyperlink" Target="http://www.nevo.co.il/case/6032057" TargetMode="External"/><Relationship Id="rId47" Type="http://schemas.openxmlformats.org/officeDocument/2006/relationships/hyperlink" Target="http://www.nevo.co.il/law/70301" TargetMode="External"/><Relationship Id="rId63" Type="http://schemas.openxmlformats.org/officeDocument/2006/relationships/hyperlink" Target="http://www.eca.gov.il" TargetMode="External"/><Relationship Id="rId68"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1013916"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5738608" TargetMode="External"/><Relationship Id="rId32" Type="http://schemas.openxmlformats.org/officeDocument/2006/relationships/hyperlink" Target="http://www.nevo.co.il/case/18185061" TargetMode="External"/><Relationship Id="rId37" Type="http://schemas.openxmlformats.org/officeDocument/2006/relationships/hyperlink" Target="http://www.nevo.co.il/case/25064484" TargetMode="External"/><Relationship Id="rId40" Type="http://schemas.openxmlformats.org/officeDocument/2006/relationships/hyperlink" Target="http://www.nevo.co.il/case/26089042" TargetMode="External"/><Relationship Id="rId45" Type="http://schemas.openxmlformats.org/officeDocument/2006/relationships/hyperlink" Target="http://www.nevo.co.il/case/6824952" TargetMode="External"/><Relationship Id="rId53" Type="http://schemas.openxmlformats.org/officeDocument/2006/relationships/hyperlink" Target="http://www.nevo.co.il/law/70301/40d.a" TargetMode="External"/><Relationship Id="rId58" Type="http://schemas.openxmlformats.org/officeDocument/2006/relationships/hyperlink" Target="http://www.nevo.co.il/case/13015510" TargetMode="External"/><Relationship Id="rId66" Type="http://schemas.openxmlformats.org/officeDocument/2006/relationships/image" Target="media/image1.jpe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case/161892"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4417058" TargetMode="External"/><Relationship Id="rId30" Type="http://schemas.openxmlformats.org/officeDocument/2006/relationships/hyperlink" Target="http://www.nevo.co.il/case/18679901" TargetMode="External"/><Relationship Id="rId35" Type="http://schemas.openxmlformats.org/officeDocument/2006/relationships/hyperlink" Target="http://www.nevo.co.il/case/23591358" TargetMode="External"/><Relationship Id="rId43" Type="http://schemas.openxmlformats.org/officeDocument/2006/relationships/hyperlink" Target="http://www.nevo.co.il/case/17941073" TargetMode="External"/><Relationship Id="rId48" Type="http://schemas.openxmlformats.org/officeDocument/2006/relationships/hyperlink" Target="http://www.nevo.co.il/case/6824952" TargetMode="External"/><Relationship Id="rId56" Type="http://schemas.openxmlformats.org/officeDocument/2006/relationships/hyperlink" Target="http://www.nevo.co.il/law/70301" TargetMode="External"/><Relationship Id="rId64" Type="http://schemas.openxmlformats.org/officeDocument/2006/relationships/hyperlink" Target="http://www.nevo.co.il/law/4216"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7821838"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23127132" TargetMode="External"/><Relationship Id="rId38" Type="http://schemas.openxmlformats.org/officeDocument/2006/relationships/hyperlink" Target="http://www.nevo.co.il/case/25762798" TargetMode="External"/><Relationship Id="rId46" Type="http://schemas.openxmlformats.org/officeDocument/2006/relationships/hyperlink" Target="http://www.nevo.co.il/law/70301/40ja" TargetMode="External"/><Relationship Id="rId59" Type="http://schemas.openxmlformats.org/officeDocument/2006/relationships/hyperlink" Target="http://www.nevo.co.il/case/21474481" TargetMode="External"/><Relationship Id="rId67"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7886851" TargetMode="External"/><Relationship Id="rId54" Type="http://schemas.openxmlformats.org/officeDocument/2006/relationships/hyperlink" Target="http://www.nevo.co.il/law/70301" TargetMode="External"/><Relationship Id="rId62" Type="http://schemas.openxmlformats.org/officeDocument/2006/relationships/hyperlink" Target="http://www.nevo.co.il/law/4216"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7939812" TargetMode="External"/><Relationship Id="rId28" Type="http://schemas.openxmlformats.org/officeDocument/2006/relationships/hyperlink" Target="http://www.nevo.co.il/case/21592697" TargetMode="External"/><Relationship Id="rId36" Type="http://schemas.openxmlformats.org/officeDocument/2006/relationships/hyperlink" Target="http://www.nevo.co.il/case/26490107" TargetMode="External"/><Relationship Id="rId49" Type="http://schemas.openxmlformats.org/officeDocument/2006/relationships/hyperlink" Target="http://www.nevo.co.il/case/10459128" TargetMode="External"/><Relationship Id="rId57" Type="http://schemas.openxmlformats.org/officeDocument/2006/relationships/hyperlink" Target="http://www.nevo.co.il/case/28226828"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0476080" TargetMode="External"/><Relationship Id="rId44" Type="http://schemas.openxmlformats.org/officeDocument/2006/relationships/hyperlink" Target="http://www.nevo.co.il/case/5880417" TargetMode="External"/><Relationship Id="rId52" Type="http://schemas.openxmlformats.org/officeDocument/2006/relationships/hyperlink" Target="http://www.nevo.co.il/case/6848505" TargetMode="External"/><Relationship Id="rId60" Type="http://schemas.openxmlformats.org/officeDocument/2006/relationships/hyperlink" Target="http://www.nevo.co.il/law/70301" TargetMode="External"/><Relationship Id="rId65" Type="http://schemas.openxmlformats.org/officeDocument/2006/relationships/hyperlink" Target="http://www.nevo.co.il/law/4216"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11252981" TargetMode="External"/><Relationship Id="rId34" Type="http://schemas.openxmlformats.org/officeDocument/2006/relationships/hyperlink" Target="http://www.nevo.co.il/case/21771778" TargetMode="External"/><Relationship Id="rId50" Type="http://schemas.openxmlformats.org/officeDocument/2006/relationships/hyperlink" Target="http://www.nevo.co.il/case/12930657" TargetMode="External"/><Relationship Id="rId55" Type="http://schemas.openxmlformats.org/officeDocument/2006/relationships/hyperlink" Target="http://www.nevo.co.il/case/25459244" TargetMode="External"/><Relationship Id="rId7" Type="http://schemas.openxmlformats.org/officeDocument/2006/relationships/hyperlink" Target="http://www.nevo.co.il/law/4216" TargetMode="Externa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3538</Words>
  <Characters>17693</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21189</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8257637</vt:i4>
      </vt:variant>
      <vt:variant>
        <vt:i4>180</vt:i4>
      </vt:variant>
      <vt:variant>
        <vt:i4>0</vt:i4>
      </vt:variant>
      <vt:variant>
        <vt:i4>5</vt:i4>
      </vt:variant>
      <vt:variant>
        <vt:lpwstr>http://www.nevo.co.il/law/4216</vt:lpwstr>
      </vt:variant>
      <vt:variant>
        <vt:lpwstr/>
      </vt:variant>
      <vt:variant>
        <vt:i4>8257637</vt:i4>
      </vt:variant>
      <vt:variant>
        <vt:i4>177</vt:i4>
      </vt:variant>
      <vt:variant>
        <vt:i4>0</vt:i4>
      </vt:variant>
      <vt:variant>
        <vt:i4>5</vt:i4>
      </vt:variant>
      <vt:variant>
        <vt:lpwstr>http://www.nevo.co.il/law/4216</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7864368</vt:i4>
      </vt:variant>
      <vt:variant>
        <vt:i4>168</vt:i4>
      </vt:variant>
      <vt:variant>
        <vt:i4>0</vt:i4>
      </vt:variant>
      <vt:variant>
        <vt:i4>5</vt:i4>
      </vt:variant>
      <vt:variant>
        <vt:lpwstr>http://www.eca.gov.il/</vt:lpwstr>
      </vt:variant>
      <vt:variant>
        <vt:lpwstr/>
      </vt:variant>
      <vt:variant>
        <vt:i4>8257637</vt:i4>
      </vt:variant>
      <vt:variant>
        <vt:i4>165</vt:i4>
      </vt:variant>
      <vt:variant>
        <vt:i4>0</vt:i4>
      </vt:variant>
      <vt:variant>
        <vt:i4>5</vt:i4>
      </vt:variant>
      <vt:variant>
        <vt:lpwstr>http://www.nevo.co.il/law/4216</vt:lpwstr>
      </vt:variant>
      <vt:variant>
        <vt:lpwstr/>
      </vt:variant>
      <vt:variant>
        <vt:i4>8257637</vt:i4>
      </vt:variant>
      <vt:variant>
        <vt:i4>162</vt:i4>
      </vt:variant>
      <vt:variant>
        <vt:i4>0</vt:i4>
      </vt:variant>
      <vt:variant>
        <vt:i4>5</vt:i4>
      </vt:variant>
      <vt:variant>
        <vt:lpwstr>http://www.nevo.co.il/law/4216</vt:lpwstr>
      </vt:variant>
      <vt:variant>
        <vt:lpwstr/>
      </vt:variant>
      <vt:variant>
        <vt:i4>7995492</vt:i4>
      </vt:variant>
      <vt:variant>
        <vt:i4>159</vt:i4>
      </vt:variant>
      <vt:variant>
        <vt:i4>0</vt:i4>
      </vt:variant>
      <vt:variant>
        <vt:i4>5</vt:i4>
      </vt:variant>
      <vt:variant>
        <vt:lpwstr>http://www.nevo.co.il/law/70301</vt:lpwstr>
      </vt:variant>
      <vt:variant>
        <vt:lpwstr/>
      </vt:variant>
      <vt:variant>
        <vt:i4>3801206</vt:i4>
      </vt:variant>
      <vt:variant>
        <vt:i4>156</vt:i4>
      </vt:variant>
      <vt:variant>
        <vt:i4>0</vt:i4>
      </vt:variant>
      <vt:variant>
        <vt:i4>5</vt:i4>
      </vt:variant>
      <vt:variant>
        <vt:lpwstr>http://www.nevo.co.il/case/21474481</vt:lpwstr>
      </vt:variant>
      <vt:variant>
        <vt:lpwstr/>
      </vt:variant>
      <vt:variant>
        <vt:i4>3473523</vt:i4>
      </vt:variant>
      <vt:variant>
        <vt:i4>153</vt:i4>
      </vt:variant>
      <vt:variant>
        <vt:i4>0</vt:i4>
      </vt:variant>
      <vt:variant>
        <vt:i4>5</vt:i4>
      </vt:variant>
      <vt:variant>
        <vt:lpwstr>http://www.nevo.co.il/case/13015510</vt:lpwstr>
      </vt:variant>
      <vt:variant>
        <vt:lpwstr/>
      </vt:variant>
      <vt:variant>
        <vt:i4>3407990</vt:i4>
      </vt:variant>
      <vt:variant>
        <vt:i4>150</vt:i4>
      </vt:variant>
      <vt:variant>
        <vt:i4>0</vt:i4>
      </vt:variant>
      <vt:variant>
        <vt:i4>5</vt:i4>
      </vt:variant>
      <vt:variant>
        <vt:lpwstr>http://www.nevo.co.il/case/28226828</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3866742</vt:i4>
      </vt:variant>
      <vt:variant>
        <vt:i4>144</vt:i4>
      </vt:variant>
      <vt:variant>
        <vt:i4>0</vt:i4>
      </vt:variant>
      <vt:variant>
        <vt:i4>5</vt:i4>
      </vt:variant>
      <vt:variant>
        <vt:lpwstr>http://www.nevo.co.il/case/25459244</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4915205</vt:i4>
      </vt:variant>
      <vt:variant>
        <vt:i4>138</vt:i4>
      </vt:variant>
      <vt:variant>
        <vt:i4>0</vt:i4>
      </vt:variant>
      <vt:variant>
        <vt:i4>5</vt:i4>
      </vt:variant>
      <vt:variant>
        <vt:lpwstr>http://www.nevo.co.il/law/70301/40d.a</vt:lpwstr>
      </vt:variant>
      <vt:variant>
        <vt:lpwstr/>
      </vt:variant>
      <vt:variant>
        <vt:i4>3276916</vt:i4>
      </vt:variant>
      <vt:variant>
        <vt:i4>135</vt:i4>
      </vt:variant>
      <vt:variant>
        <vt:i4>0</vt:i4>
      </vt:variant>
      <vt:variant>
        <vt:i4>5</vt:i4>
      </vt:variant>
      <vt:variant>
        <vt:lpwstr>http://www.nevo.co.il/case/6848505</vt:lpwstr>
      </vt:variant>
      <vt:variant>
        <vt:lpwstr/>
      </vt:variant>
      <vt:variant>
        <vt:i4>3473534</vt:i4>
      </vt:variant>
      <vt:variant>
        <vt:i4>132</vt:i4>
      </vt:variant>
      <vt:variant>
        <vt:i4>0</vt:i4>
      </vt:variant>
      <vt:variant>
        <vt:i4>5</vt:i4>
      </vt:variant>
      <vt:variant>
        <vt:lpwstr>http://www.nevo.co.il/case/7821838</vt:lpwstr>
      </vt:variant>
      <vt:variant>
        <vt:lpwstr/>
      </vt:variant>
      <vt:variant>
        <vt:i4>3997811</vt:i4>
      </vt:variant>
      <vt:variant>
        <vt:i4>129</vt:i4>
      </vt:variant>
      <vt:variant>
        <vt:i4>0</vt:i4>
      </vt:variant>
      <vt:variant>
        <vt:i4>5</vt:i4>
      </vt:variant>
      <vt:variant>
        <vt:lpwstr>http://www.nevo.co.il/case/12930657</vt:lpwstr>
      </vt:variant>
      <vt:variant>
        <vt:lpwstr/>
      </vt:variant>
      <vt:variant>
        <vt:i4>4063344</vt:i4>
      </vt:variant>
      <vt:variant>
        <vt:i4>126</vt:i4>
      </vt:variant>
      <vt:variant>
        <vt:i4>0</vt:i4>
      </vt:variant>
      <vt:variant>
        <vt:i4>5</vt:i4>
      </vt:variant>
      <vt:variant>
        <vt:lpwstr>http://www.nevo.co.il/case/10459128</vt:lpwstr>
      </vt:variant>
      <vt:variant>
        <vt:lpwstr/>
      </vt:variant>
      <vt:variant>
        <vt:i4>4128893</vt:i4>
      </vt:variant>
      <vt:variant>
        <vt:i4>123</vt:i4>
      </vt:variant>
      <vt:variant>
        <vt:i4>0</vt:i4>
      </vt:variant>
      <vt:variant>
        <vt:i4>5</vt:i4>
      </vt:variant>
      <vt:variant>
        <vt:lpwstr>http://www.nevo.co.il/case/6824952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4128893</vt:i4>
      </vt:variant>
      <vt:variant>
        <vt:i4>114</vt:i4>
      </vt:variant>
      <vt:variant>
        <vt:i4>0</vt:i4>
      </vt:variant>
      <vt:variant>
        <vt:i4>5</vt:i4>
      </vt:variant>
      <vt:variant>
        <vt:lpwstr>http://www.nevo.co.il/case/6824952</vt:lpwstr>
      </vt:variant>
      <vt:variant>
        <vt:lpwstr/>
      </vt:variant>
      <vt:variant>
        <vt:i4>4063357</vt:i4>
      </vt:variant>
      <vt:variant>
        <vt:i4>111</vt:i4>
      </vt:variant>
      <vt:variant>
        <vt:i4>0</vt:i4>
      </vt:variant>
      <vt:variant>
        <vt:i4>5</vt:i4>
      </vt:variant>
      <vt:variant>
        <vt:lpwstr>http://www.nevo.co.il/case/5880417</vt:lpwstr>
      </vt:variant>
      <vt:variant>
        <vt:lpwstr/>
      </vt:variant>
      <vt:variant>
        <vt:i4>4063351</vt:i4>
      </vt:variant>
      <vt:variant>
        <vt:i4>108</vt:i4>
      </vt:variant>
      <vt:variant>
        <vt:i4>0</vt:i4>
      </vt:variant>
      <vt:variant>
        <vt:i4>5</vt:i4>
      </vt:variant>
      <vt:variant>
        <vt:lpwstr>http://www.nevo.co.il/case/17941073</vt:lpwstr>
      </vt:variant>
      <vt:variant>
        <vt:lpwstr/>
      </vt:variant>
      <vt:variant>
        <vt:i4>3276915</vt:i4>
      </vt:variant>
      <vt:variant>
        <vt:i4>105</vt:i4>
      </vt:variant>
      <vt:variant>
        <vt:i4>0</vt:i4>
      </vt:variant>
      <vt:variant>
        <vt:i4>5</vt:i4>
      </vt:variant>
      <vt:variant>
        <vt:lpwstr>http://www.nevo.co.il/case/6032057</vt:lpwstr>
      </vt:variant>
      <vt:variant>
        <vt:lpwstr/>
      </vt:variant>
      <vt:variant>
        <vt:i4>3735667</vt:i4>
      </vt:variant>
      <vt:variant>
        <vt:i4>102</vt:i4>
      </vt:variant>
      <vt:variant>
        <vt:i4>0</vt:i4>
      </vt:variant>
      <vt:variant>
        <vt:i4>5</vt:i4>
      </vt:variant>
      <vt:variant>
        <vt:lpwstr>http://www.nevo.co.il/case/27886851</vt:lpwstr>
      </vt:variant>
      <vt:variant>
        <vt:lpwstr/>
      </vt:variant>
      <vt:variant>
        <vt:i4>4128890</vt:i4>
      </vt:variant>
      <vt:variant>
        <vt:i4>99</vt:i4>
      </vt:variant>
      <vt:variant>
        <vt:i4>0</vt:i4>
      </vt:variant>
      <vt:variant>
        <vt:i4>5</vt:i4>
      </vt:variant>
      <vt:variant>
        <vt:lpwstr>http://www.nevo.co.il/case/26089042</vt:lpwstr>
      </vt:variant>
      <vt:variant>
        <vt:lpwstr/>
      </vt:variant>
      <vt:variant>
        <vt:i4>3735673</vt:i4>
      </vt:variant>
      <vt:variant>
        <vt:i4>96</vt:i4>
      </vt:variant>
      <vt:variant>
        <vt:i4>0</vt:i4>
      </vt:variant>
      <vt:variant>
        <vt:i4>5</vt:i4>
      </vt:variant>
      <vt:variant>
        <vt:lpwstr>http://www.nevo.co.il/case/11252981</vt:lpwstr>
      </vt:variant>
      <vt:variant>
        <vt:lpwstr/>
      </vt:variant>
      <vt:variant>
        <vt:i4>4063344</vt:i4>
      </vt:variant>
      <vt:variant>
        <vt:i4>93</vt:i4>
      </vt:variant>
      <vt:variant>
        <vt:i4>0</vt:i4>
      </vt:variant>
      <vt:variant>
        <vt:i4>5</vt:i4>
      </vt:variant>
      <vt:variant>
        <vt:lpwstr>http://www.nevo.co.il/case/25762798</vt:lpwstr>
      </vt:variant>
      <vt:variant>
        <vt:lpwstr/>
      </vt:variant>
      <vt:variant>
        <vt:i4>4063347</vt:i4>
      </vt:variant>
      <vt:variant>
        <vt:i4>90</vt:i4>
      </vt:variant>
      <vt:variant>
        <vt:i4>0</vt:i4>
      </vt:variant>
      <vt:variant>
        <vt:i4>5</vt:i4>
      </vt:variant>
      <vt:variant>
        <vt:lpwstr>http://www.nevo.co.il/case/25064484</vt:lpwstr>
      </vt:variant>
      <vt:variant>
        <vt:lpwstr/>
      </vt:variant>
      <vt:variant>
        <vt:i4>3539066</vt:i4>
      </vt:variant>
      <vt:variant>
        <vt:i4>87</vt:i4>
      </vt:variant>
      <vt:variant>
        <vt:i4>0</vt:i4>
      </vt:variant>
      <vt:variant>
        <vt:i4>5</vt:i4>
      </vt:variant>
      <vt:variant>
        <vt:lpwstr>http://www.nevo.co.il/case/26490107</vt:lpwstr>
      </vt:variant>
      <vt:variant>
        <vt:lpwstr/>
      </vt:variant>
      <vt:variant>
        <vt:i4>3342461</vt:i4>
      </vt:variant>
      <vt:variant>
        <vt:i4>84</vt:i4>
      </vt:variant>
      <vt:variant>
        <vt:i4>0</vt:i4>
      </vt:variant>
      <vt:variant>
        <vt:i4>5</vt:i4>
      </vt:variant>
      <vt:variant>
        <vt:lpwstr>http://www.nevo.co.il/case/23591358</vt:lpwstr>
      </vt:variant>
      <vt:variant>
        <vt:lpwstr/>
      </vt:variant>
      <vt:variant>
        <vt:i4>3342453</vt:i4>
      </vt:variant>
      <vt:variant>
        <vt:i4>81</vt:i4>
      </vt:variant>
      <vt:variant>
        <vt:i4>0</vt:i4>
      </vt:variant>
      <vt:variant>
        <vt:i4>5</vt:i4>
      </vt:variant>
      <vt:variant>
        <vt:lpwstr>http://www.nevo.co.il/case/21771778</vt:lpwstr>
      </vt:variant>
      <vt:variant>
        <vt:lpwstr/>
      </vt:variant>
      <vt:variant>
        <vt:i4>3604596</vt:i4>
      </vt:variant>
      <vt:variant>
        <vt:i4>78</vt:i4>
      </vt:variant>
      <vt:variant>
        <vt:i4>0</vt:i4>
      </vt:variant>
      <vt:variant>
        <vt:i4>5</vt:i4>
      </vt:variant>
      <vt:variant>
        <vt:lpwstr>http://www.nevo.co.il/case/23127132</vt:lpwstr>
      </vt:variant>
      <vt:variant>
        <vt:lpwstr/>
      </vt:variant>
      <vt:variant>
        <vt:i4>3342452</vt:i4>
      </vt:variant>
      <vt:variant>
        <vt:i4>75</vt:i4>
      </vt:variant>
      <vt:variant>
        <vt:i4>0</vt:i4>
      </vt:variant>
      <vt:variant>
        <vt:i4>5</vt:i4>
      </vt:variant>
      <vt:variant>
        <vt:lpwstr>http://www.nevo.co.il/case/18185061</vt:lpwstr>
      </vt:variant>
      <vt:variant>
        <vt:lpwstr/>
      </vt:variant>
      <vt:variant>
        <vt:i4>3670131</vt:i4>
      </vt:variant>
      <vt:variant>
        <vt:i4>72</vt:i4>
      </vt:variant>
      <vt:variant>
        <vt:i4>0</vt:i4>
      </vt:variant>
      <vt:variant>
        <vt:i4>5</vt:i4>
      </vt:variant>
      <vt:variant>
        <vt:lpwstr>http://www.nevo.co.il/case/20476080</vt:lpwstr>
      </vt:variant>
      <vt:variant>
        <vt:lpwstr/>
      </vt:variant>
      <vt:variant>
        <vt:i4>4063346</vt:i4>
      </vt:variant>
      <vt:variant>
        <vt:i4>69</vt:i4>
      </vt:variant>
      <vt:variant>
        <vt:i4>0</vt:i4>
      </vt:variant>
      <vt:variant>
        <vt:i4>5</vt:i4>
      </vt:variant>
      <vt:variant>
        <vt:lpwstr>http://www.nevo.co.il/case/18679901</vt:lpwstr>
      </vt:variant>
      <vt:variant>
        <vt:lpwstr/>
      </vt:variant>
      <vt:variant>
        <vt:i4>3145853</vt:i4>
      </vt:variant>
      <vt:variant>
        <vt:i4>66</vt:i4>
      </vt:variant>
      <vt:variant>
        <vt:i4>0</vt:i4>
      </vt:variant>
      <vt:variant>
        <vt:i4>5</vt:i4>
      </vt:variant>
      <vt:variant>
        <vt:lpwstr>http://www.nevo.co.il/case/21013916</vt:lpwstr>
      </vt:variant>
      <vt:variant>
        <vt:lpwstr/>
      </vt:variant>
      <vt:variant>
        <vt:i4>3932282</vt:i4>
      </vt:variant>
      <vt:variant>
        <vt:i4>63</vt:i4>
      </vt:variant>
      <vt:variant>
        <vt:i4>0</vt:i4>
      </vt:variant>
      <vt:variant>
        <vt:i4>5</vt:i4>
      </vt:variant>
      <vt:variant>
        <vt:lpwstr>http://www.nevo.co.il/case/21592697</vt:lpwstr>
      </vt:variant>
      <vt:variant>
        <vt:lpwstr/>
      </vt:variant>
      <vt:variant>
        <vt:i4>3407985</vt:i4>
      </vt:variant>
      <vt:variant>
        <vt:i4>60</vt:i4>
      </vt:variant>
      <vt:variant>
        <vt:i4>0</vt:i4>
      </vt:variant>
      <vt:variant>
        <vt:i4>5</vt:i4>
      </vt:variant>
      <vt:variant>
        <vt:lpwstr>http://www.nevo.co.il/case/24417058</vt:lpwstr>
      </vt:variant>
      <vt:variant>
        <vt:lpwstr/>
      </vt:variant>
      <vt:variant>
        <vt:i4>4063348</vt:i4>
      </vt:variant>
      <vt:variant>
        <vt:i4>57</vt:i4>
      </vt:variant>
      <vt:variant>
        <vt:i4>0</vt:i4>
      </vt:variant>
      <vt:variant>
        <vt:i4>5</vt:i4>
      </vt:variant>
      <vt:variant>
        <vt:lpwstr>http://www.nevo.co.il/case/18791199</vt:lpwstr>
      </vt:variant>
      <vt:variant>
        <vt:lpwstr/>
      </vt:variant>
      <vt:variant>
        <vt:i4>3997809</vt:i4>
      </vt:variant>
      <vt:variant>
        <vt:i4>54</vt:i4>
      </vt:variant>
      <vt:variant>
        <vt:i4>0</vt:i4>
      </vt:variant>
      <vt:variant>
        <vt:i4>5</vt:i4>
      </vt:variant>
      <vt:variant>
        <vt:lpwstr>http://www.nevo.co.il/case/5583030</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3145848</vt:i4>
      </vt:variant>
      <vt:variant>
        <vt:i4>48</vt:i4>
      </vt:variant>
      <vt:variant>
        <vt:i4>0</vt:i4>
      </vt:variant>
      <vt:variant>
        <vt:i4>5</vt:i4>
      </vt:variant>
      <vt:variant>
        <vt:lpwstr>http://www.nevo.co.il/case/17939812</vt:lpwstr>
      </vt:variant>
      <vt:variant>
        <vt:lpwstr/>
      </vt:variant>
      <vt:variant>
        <vt:i4>8257637</vt:i4>
      </vt:variant>
      <vt:variant>
        <vt:i4>45</vt:i4>
      </vt:variant>
      <vt:variant>
        <vt:i4>0</vt:i4>
      </vt:variant>
      <vt:variant>
        <vt:i4>5</vt:i4>
      </vt:variant>
      <vt:variant>
        <vt:lpwstr>http://www.nevo.co.il/law/4216</vt:lpwstr>
      </vt:variant>
      <vt:variant>
        <vt:lpwstr/>
      </vt:variant>
      <vt:variant>
        <vt:i4>3342451</vt:i4>
      </vt:variant>
      <vt:variant>
        <vt:i4>42</vt:i4>
      </vt:variant>
      <vt:variant>
        <vt:i4>0</vt:i4>
      </vt:variant>
      <vt:variant>
        <vt:i4>5</vt:i4>
      </vt:variant>
      <vt:variant>
        <vt:lpwstr>http://www.nevo.co.il/case/18090623</vt:lpwstr>
      </vt:variant>
      <vt:variant>
        <vt:lpwstr/>
      </vt:variant>
      <vt:variant>
        <vt:i4>7995492</vt:i4>
      </vt:variant>
      <vt:variant>
        <vt:i4>39</vt:i4>
      </vt:variant>
      <vt:variant>
        <vt:i4>0</vt:i4>
      </vt:variant>
      <vt:variant>
        <vt:i4>5</vt:i4>
      </vt:variant>
      <vt:variant>
        <vt:lpwstr>http://www.nevo.co.il/law/70301</vt:lpwstr>
      </vt:variant>
      <vt:variant>
        <vt:lpwstr/>
      </vt:variant>
      <vt:variant>
        <vt:i4>589898</vt:i4>
      </vt:variant>
      <vt:variant>
        <vt:i4>36</vt:i4>
      </vt:variant>
      <vt:variant>
        <vt:i4>0</vt:i4>
      </vt:variant>
      <vt:variant>
        <vt:i4>5</vt:i4>
      </vt:variant>
      <vt:variant>
        <vt:lpwstr>http://www.nevo.co.il/case/161892</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2025-04-23T01:15:00Z</dcterms:created>
  <dcterms:modified xsi:type="dcterms:W3CDTF">2025-04-23T01:15:00Z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44015</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יקיר נגבקר</vt:lpwstr>
  </property>
  <property fmtid="{D5CDD505-2E9C-101B-9397-08002B2CF9AE}" pid="10" name="LAWYER">
    <vt:lpwstr>אורטל ליברזון;אודליה מויאל;יוסי דגה;יורם סגי-זקס</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20230712</vt:lpwstr>
  </property>
  <property fmtid="{D5CDD505-2E9C-101B-9397-08002B2CF9AE}" pid="14" name="TYPE_N_DATE">
    <vt:lpwstr>38020230712</vt:lpwstr>
  </property>
  <property fmtid="{D5CDD505-2E9C-101B-9397-08002B2CF9AE}" pid="15" name="WORDNUMPAGES">
    <vt:lpwstr>8</vt:lpwstr>
  </property>
  <property fmtid="{D5CDD505-2E9C-101B-9397-08002B2CF9AE}" pid="16" name="TYPE_ABS_DATE">
    <vt:lpwstr>380020230712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161892;17939812;5738608;5583030;18791199;24417058;21592697;21013916;18679901;20476080;18185061;23127132;21771778;23591358;26490107;25064484;25762798;11252981;26089042;27886851;6032057;17941073;5880417;6824952:2;10459128;12930657;7821838;6848505;25459244</vt:lpwstr>
  </property>
  <property fmtid="{D5CDD505-2E9C-101B-9397-08002B2CF9AE}" pid="36" name="CASESLISTTMP2">
    <vt:lpwstr>28226828;13015510;21474481</vt:lpwstr>
  </property>
  <property fmtid="{D5CDD505-2E9C-101B-9397-08002B2CF9AE}" pid="37" name="LAWLISTTMP1">
    <vt:lpwstr>4216/007.a;007.c</vt:lpwstr>
  </property>
  <property fmtid="{D5CDD505-2E9C-101B-9397-08002B2CF9AE}" pid="38" name="LAWLISTTMP2">
    <vt:lpwstr>70301/040c.a;40ja;040d.a</vt:lpwstr>
  </property>
</Properties>
</file>