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E0C7C" w:rsidRPr="008E6BE0" w14:paraId="65084DDE" w14:textId="77777777" w:rsidTr="00706654">
        <w:trPr>
          <w:trHeight w:hRule="exact" w:val="418"/>
          <w:jc w:val="center"/>
        </w:trPr>
        <w:tc>
          <w:tcPr>
            <w:tcW w:w="8721" w:type="dxa"/>
            <w:gridSpan w:val="2"/>
          </w:tcPr>
          <w:p w14:paraId="7D9C0211" w14:textId="77777777" w:rsidR="008E0C7C" w:rsidRPr="008E6BE0" w:rsidRDefault="008E0C7C" w:rsidP="00B74853">
            <w:pPr>
              <w:pStyle w:val="a3"/>
              <w:jc w:val="center"/>
              <w:rPr>
                <w:rFonts w:ascii="Tahoma" w:hAnsi="Tahoma" w:cs="Tahoma"/>
                <w:color w:val="000080"/>
                <w:rtl/>
              </w:rPr>
            </w:pPr>
            <w:r w:rsidRPr="008E6BE0">
              <w:rPr>
                <w:rFonts w:ascii="Tahoma" w:hAnsi="Tahoma" w:cs="Tahoma"/>
                <w:b/>
                <w:bCs/>
                <w:color w:val="000080"/>
                <w:rtl/>
              </w:rPr>
              <w:t>בית משפט השלום בקריות</w:t>
            </w:r>
          </w:p>
        </w:tc>
      </w:tr>
      <w:tr w:rsidR="008E0C7C" w:rsidRPr="008E6BE0" w14:paraId="1F273BFE" w14:textId="77777777" w:rsidTr="00706654">
        <w:trPr>
          <w:trHeight w:val="337"/>
          <w:jc w:val="center"/>
        </w:trPr>
        <w:tc>
          <w:tcPr>
            <w:tcW w:w="5054" w:type="dxa"/>
          </w:tcPr>
          <w:p w14:paraId="0AA03C0E" w14:textId="77777777" w:rsidR="008E0C7C" w:rsidRPr="008E6BE0" w:rsidRDefault="008E0C7C" w:rsidP="00B74853">
            <w:pPr>
              <w:rPr>
                <w:rFonts w:cs="FrankRuehl"/>
                <w:sz w:val="28"/>
                <w:szCs w:val="28"/>
                <w:rtl/>
              </w:rPr>
            </w:pPr>
            <w:r w:rsidRPr="008E6BE0">
              <w:rPr>
                <w:rFonts w:cs="FrankRuehl"/>
                <w:sz w:val="28"/>
                <w:szCs w:val="28"/>
                <w:rtl/>
              </w:rPr>
              <w:t>ת"פ</w:t>
            </w:r>
            <w:r w:rsidRPr="008E6BE0">
              <w:rPr>
                <w:rFonts w:cs="FrankRuehl" w:hint="cs"/>
                <w:sz w:val="28"/>
                <w:szCs w:val="28"/>
                <w:rtl/>
              </w:rPr>
              <w:t xml:space="preserve"> </w:t>
            </w:r>
            <w:r w:rsidRPr="008E6BE0">
              <w:rPr>
                <w:rFonts w:cs="FrankRuehl"/>
                <w:sz w:val="28"/>
                <w:szCs w:val="28"/>
                <w:rtl/>
              </w:rPr>
              <w:t>54351-11-21</w:t>
            </w:r>
            <w:r w:rsidRPr="008E6BE0">
              <w:rPr>
                <w:rFonts w:cs="FrankRuehl" w:hint="cs"/>
                <w:sz w:val="28"/>
                <w:szCs w:val="28"/>
                <w:rtl/>
              </w:rPr>
              <w:t xml:space="preserve"> </w:t>
            </w:r>
            <w:r w:rsidRPr="008E6BE0">
              <w:rPr>
                <w:rFonts w:cs="FrankRuehl"/>
                <w:sz w:val="28"/>
                <w:szCs w:val="28"/>
                <w:rtl/>
              </w:rPr>
              <w:t>מדינת ישראל נ' אבסוב</w:t>
            </w:r>
          </w:p>
          <w:p w14:paraId="402CA8F9" w14:textId="77777777" w:rsidR="008E0C7C" w:rsidRPr="008E6BE0" w:rsidRDefault="008E0C7C" w:rsidP="00B74853">
            <w:pPr>
              <w:pStyle w:val="a3"/>
              <w:rPr>
                <w:rFonts w:cs="FrankRuehl"/>
                <w:sz w:val="28"/>
                <w:szCs w:val="28"/>
                <w:rtl/>
              </w:rPr>
            </w:pPr>
          </w:p>
        </w:tc>
        <w:tc>
          <w:tcPr>
            <w:tcW w:w="3667" w:type="dxa"/>
          </w:tcPr>
          <w:p w14:paraId="0C5B21AA" w14:textId="77777777" w:rsidR="008E0C7C" w:rsidRPr="008E6BE0" w:rsidRDefault="008E0C7C" w:rsidP="00B74853">
            <w:pPr>
              <w:pStyle w:val="a3"/>
              <w:jc w:val="right"/>
              <w:rPr>
                <w:rFonts w:cs="FrankRuehl"/>
                <w:sz w:val="28"/>
                <w:szCs w:val="28"/>
                <w:rtl/>
              </w:rPr>
            </w:pPr>
          </w:p>
        </w:tc>
      </w:tr>
    </w:tbl>
    <w:p w14:paraId="3F3552D2" w14:textId="77777777" w:rsidR="008E0C7C" w:rsidRPr="008E6BE0" w:rsidRDefault="008E0C7C" w:rsidP="00706654">
      <w:pPr>
        <w:pStyle w:val="a3"/>
        <w:rPr>
          <w:sz w:val="26"/>
          <w:szCs w:val="26"/>
          <w:rtl/>
        </w:rPr>
      </w:pPr>
      <w:r w:rsidRPr="008E6BE0">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8E0C7C" w:rsidRPr="008E6BE0" w14:paraId="79B35035" w14:textId="77777777" w:rsidTr="008E0C7C">
        <w:trPr>
          <w:trHeight w:val="345"/>
          <w:jc w:val="center"/>
        </w:trPr>
        <w:tc>
          <w:tcPr>
            <w:tcW w:w="957" w:type="dxa"/>
            <w:tcBorders>
              <w:top w:val="nil"/>
              <w:left w:val="nil"/>
              <w:bottom w:val="nil"/>
              <w:right w:val="nil"/>
            </w:tcBorders>
            <w:shd w:val="clear" w:color="auto" w:fill="auto"/>
          </w:tcPr>
          <w:p w14:paraId="7BB70A11" w14:textId="77777777" w:rsidR="008E0C7C" w:rsidRPr="008E6BE0" w:rsidRDefault="008E0C7C" w:rsidP="008E0C7C">
            <w:pPr>
              <w:jc w:val="both"/>
              <w:rPr>
                <w:rFonts w:ascii="David" w:hAnsi="David"/>
                <w:b/>
                <w:bCs/>
              </w:rPr>
            </w:pPr>
            <w:r w:rsidRPr="008E6BE0">
              <w:rPr>
                <w:rFonts w:ascii="David" w:hAnsi="David"/>
                <w:b/>
                <w:bCs/>
                <w:rtl/>
              </w:rPr>
              <w:t xml:space="preserve">בפני </w:t>
            </w:r>
          </w:p>
        </w:tc>
        <w:tc>
          <w:tcPr>
            <w:tcW w:w="8358" w:type="dxa"/>
            <w:gridSpan w:val="2"/>
            <w:tcBorders>
              <w:top w:val="nil"/>
              <w:left w:val="nil"/>
              <w:bottom w:val="nil"/>
              <w:right w:val="nil"/>
            </w:tcBorders>
            <w:shd w:val="clear" w:color="auto" w:fill="auto"/>
          </w:tcPr>
          <w:p w14:paraId="380A2ED4" w14:textId="77777777" w:rsidR="008E0C7C" w:rsidRPr="008E6BE0" w:rsidRDefault="008E0C7C" w:rsidP="00B74853">
            <w:pPr>
              <w:rPr>
                <w:rFonts w:ascii="David" w:hAnsi="David"/>
                <w:b/>
                <w:bCs/>
              </w:rPr>
            </w:pPr>
            <w:r w:rsidRPr="008E6BE0">
              <w:rPr>
                <w:rFonts w:ascii="Arial" w:hAnsi="Arial"/>
                <w:b/>
                <w:bCs/>
                <w:rtl/>
              </w:rPr>
              <w:t>כב' השופט יוסי טורס , סגן הנשיאה</w:t>
            </w:r>
          </w:p>
        </w:tc>
      </w:tr>
      <w:tr w:rsidR="008E0C7C" w:rsidRPr="008E6BE0" w14:paraId="38FE8F62" w14:textId="77777777" w:rsidTr="008E0C7C">
        <w:trPr>
          <w:trHeight w:val="345"/>
          <w:jc w:val="center"/>
        </w:trPr>
        <w:tc>
          <w:tcPr>
            <w:tcW w:w="957" w:type="dxa"/>
            <w:tcBorders>
              <w:top w:val="nil"/>
              <w:left w:val="nil"/>
              <w:bottom w:val="nil"/>
              <w:right w:val="nil"/>
            </w:tcBorders>
            <w:shd w:val="clear" w:color="auto" w:fill="auto"/>
          </w:tcPr>
          <w:p w14:paraId="6F18EF3F" w14:textId="77777777" w:rsidR="008E0C7C" w:rsidRPr="008E6BE0" w:rsidRDefault="008E0C7C" w:rsidP="008E0C7C">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2A9F369B" w14:textId="77777777" w:rsidR="008E0C7C" w:rsidRPr="008E6BE0" w:rsidRDefault="008E0C7C" w:rsidP="00B74853">
            <w:pPr>
              <w:rPr>
                <w:rFonts w:ascii="Arial" w:hAnsi="Arial"/>
                <w:b/>
                <w:bCs/>
                <w:rtl/>
              </w:rPr>
            </w:pPr>
          </w:p>
        </w:tc>
      </w:tr>
      <w:tr w:rsidR="008E0C7C" w:rsidRPr="008E6BE0" w14:paraId="062AAE83" w14:textId="77777777" w:rsidTr="008E0C7C">
        <w:trPr>
          <w:trHeight w:val="415"/>
          <w:jc w:val="center"/>
        </w:trPr>
        <w:tc>
          <w:tcPr>
            <w:tcW w:w="957" w:type="dxa"/>
            <w:tcBorders>
              <w:top w:val="nil"/>
              <w:left w:val="nil"/>
              <w:bottom w:val="nil"/>
              <w:right w:val="nil"/>
            </w:tcBorders>
            <w:shd w:val="clear" w:color="auto" w:fill="auto"/>
          </w:tcPr>
          <w:p w14:paraId="18CF697D" w14:textId="77777777" w:rsidR="008E0C7C" w:rsidRPr="008E6BE0" w:rsidRDefault="008E0C7C" w:rsidP="008E0C7C">
            <w:pPr>
              <w:jc w:val="both"/>
              <w:rPr>
                <w:rFonts w:ascii="David" w:hAnsi="David"/>
                <w:b/>
                <w:bCs/>
              </w:rPr>
            </w:pPr>
            <w:bookmarkStart w:id="1" w:name="FirstAppellant"/>
            <w:r w:rsidRPr="008E6BE0">
              <w:rPr>
                <w:rFonts w:ascii="David" w:hAnsi="David"/>
                <w:b/>
                <w:bCs/>
                <w:rtl/>
              </w:rPr>
              <w:t>בעניין:</w:t>
            </w:r>
          </w:p>
        </w:tc>
        <w:tc>
          <w:tcPr>
            <w:tcW w:w="5095" w:type="dxa"/>
            <w:tcBorders>
              <w:top w:val="nil"/>
              <w:left w:val="nil"/>
              <w:bottom w:val="nil"/>
              <w:right w:val="nil"/>
            </w:tcBorders>
            <w:shd w:val="clear" w:color="auto" w:fill="auto"/>
          </w:tcPr>
          <w:p w14:paraId="680E8D71" w14:textId="77777777" w:rsidR="008E0C7C" w:rsidRPr="008E6BE0" w:rsidRDefault="008E0C7C" w:rsidP="00B74853">
            <w:pPr>
              <w:rPr>
                <w:rFonts w:ascii="David" w:hAnsi="David"/>
                <w:b/>
                <w:bCs/>
              </w:rPr>
            </w:pPr>
            <w:r w:rsidRPr="008E6BE0">
              <w:rPr>
                <w:rFonts w:ascii="David" w:hAnsi="David"/>
                <w:b/>
                <w:bCs/>
                <w:rtl/>
              </w:rPr>
              <w:t>מדינת ישראל</w:t>
            </w:r>
          </w:p>
        </w:tc>
        <w:tc>
          <w:tcPr>
            <w:tcW w:w="3263" w:type="dxa"/>
            <w:tcBorders>
              <w:top w:val="nil"/>
              <w:left w:val="nil"/>
              <w:bottom w:val="nil"/>
              <w:right w:val="nil"/>
            </w:tcBorders>
            <w:shd w:val="clear" w:color="auto" w:fill="auto"/>
          </w:tcPr>
          <w:p w14:paraId="11550843" w14:textId="77777777" w:rsidR="008E0C7C" w:rsidRPr="008E6BE0" w:rsidRDefault="008E0C7C" w:rsidP="008E0C7C">
            <w:pPr>
              <w:jc w:val="both"/>
              <w:rPr>
                <w:rFonts w:ascii="David" w:hAnsi="David"/>
                <w:b/>
                <w:bCs/>
              </w:rPr>
            </w:pPr>
            <w:r w:rsidRPr="008E6BE0">
              <w:rPr>
                <w:rFonts w:ascii="David" w:hAnsi="David"/>
                <w:b/>
                <w:bCs/>
                <w:rtl/>
              </w:rPr>
              <w:t>המאשימה</w:t>
            </w:r>
          </w:p>
        </w:tc>
      </w:tr>
      <w:bookmarkEnd w:id="1"/>
      <w:tr w:rsidR="008E0C7C" w:rsidRPr="008E6BE0" w14:paraId="3C651834" w14:textId="77777777" w:rsidTr="008E0C7C">
        <w:trPr>
          <w:trHeight w:val="415"/>
          <w:jc w:val="center"/>
        </w:trPr>
        <w:tc>
          <w:tcPr>
            <w:tcW w:w="957" w:type="dxa"/>
            <w:tcBorders>
              <w:top w:val="nil"/>
              <w:left w:val="nil"/>
              <w:bottom w:val="nil"/>
              <w:right w:val="nil"/>
            </w:tcBorders>
            <w:shd w:val="clear" w:color="auto" w:fill="auto"/>
          </w:tcPr>
          <w:p w14:paraId="2E758599" w14:textId="77777777" w:rsidR="008E0C7C" w:rsidRPr="008E6BE0" w:rsidRDefault="008E0C7C" w:rsidP="008E0C7C">
            <w:pPr>
              <w:jc w:val="both"/>
              <w:rPr>
                <w:rFonts w:ascii="David" w:hAnsi="David"/>
                <w:b/>
                <w:bCs/>
                <w:rtl/>
              </w:rPr>
            </w:pPr>
          </w:p>
        </w:tc>
        <w:tc>
          <w:tcPr>
            <w:tcW w:w="8358" w:type="dxa"/>
            <w:gridSpan w:val="2"/>
            <w:tcBorders>
              <w:top w:val="nil"/>
              <w:left w:val="nil"/>
              <w:bottom w:val="nil"/>
              <w:right w:val="nil"/>
            </w:tcBorders>
            <w:shd w:val="clear" w:color="auto" w:fill="auto"/>
          </w:tcPr>
          <w:p w14:paraId="6D930649" w14:textId="77777777" w:rsidR="008E0C7C" w:rsidRPr="008E6BE0" w:rsidRDefault="008E0C7C" w:rsidP="00B74853">
            <w:pPr>
              <w:rPr>
                <w:rFonts w:ascii="David" w:hAnsi="David"/>
                <w:b/>
                <w:bCs/>
              </w:rPr>
            </w:pPr>
            <w:r w:rsidRPr="008E6BE0">
              <w:rPr>
                <w:rFonts w:ascii="David" w:hAnsi="David" w:hint="cs"/>
                <w:b/>
                <w:bCs/>
                <w:rtl/>
              </w:rPr>
              <w:t xml:space="preserve">                                                   </w:t>
            </w:r>
            <w:r w:rsidRPr="008E6BE0">
              <w:rPr>
                <w:rFonts w:ascii="David" w:hAnsi="David"/>
                <w:b/>
                <w:bCs/>
                <w:rtl/>
              </w:rPr>
              <w:t>נגד</w:t>
            </w:r>
          </w:p>
        </w:tc>
      </w:tr>
      <w:tr w:rsidR="008E0C7C" w:rsidRPr="008E6BE0" w14:paraId="0FEEEDBC" w14:textId="77777777" w:rsidTr="008E0C7C">
        <w:trPr>
          <w:trHeight w:val="415"/>
          <w:jc w:val="center"/>
        </w:trPr>
        <w:tc>
          <w:tcPr>
            <w:tcW w:w="957" w:type="dxa"/>
            <w:tcBorders>
              <w:top w:val="nil"/>
              <w:left w:val="nil"/>
              <w:bottom w:val="nil"/>
              <w:right w:val="nil"/>
            </w:tcBorders>
            <w:shd w:val="clear" w:color="auto" w:fill="auto"/>
          </w:tcPr>
          <w:p w14:paraId="0D5E5C22" w14:textId="77777777" w:rsidR="008E0C7C" w:rsidRPr="008E6BE0" w:rsidRDefault="008E0C7C" w:rsidP="00B74853">
            <w:pPr>
              <w:rPr>
                <w:rFonts w:ascii="David" w:hAnsi="David"/>
                <w:b/>
                <w:bCs/>
                <w:rtl/>
              </w:rPr>
            </w:pPr>
          </w:p>
        </w:tc>
        <w:tc>
          <w:tcPr>
            <w:tcW w:w="5095" w:type="dxa"/>
            <w:tcBorders>
              <w:top w:val="nil"/>
              <w:left w:val="nil"/>
              <w:bottom w:val="nil"/>
              <w:right w:val="nil"/>
            </w:tcBorders>
            <w:shd w:val="clear" w:color="auto" w:fill="auto"/>
          </w:tcPr>
          <w:p w14:paraId="780144A3" w14:textId="77777777" w:rsidR="008E0C7C" w:rsidRPr="008E6BE0" w:rsidRDefault="008E0C7C" w:rsidP="00B74853">
            <w:pPr>
              <w:rPr>
                <w:rFonts w:ascii="David" w:hAnsi="David"/>
                <w:b/>
                <w:bCs/>
                <w:rtl/>
              </w:rPr>
            </w:pPr>
          </w:p>
          <w:p w14:paraId="63B31B92" w14:textId="77777777" w:rsidR="008E0C7C" w:rsidRPr="008E6BE0" w:rsidRDefault="008E0C7C" w:rsidP="00B74853">
            <w:pPr>
              <w:rPr>
                <w:rFonts w:ascii="David" w:hAnsi="David"/>
                <w:b/>
                <w:bCs/>
                <w:rtl/>
              </w:rPr>
            </w:pPr>
          </w:p>
          <w:p w14:paraId="6935A1B4" w14:textId="77777777" w:rsidR="008E0C7C" w:rsidRPr="008E6BE0" w:rsidRDefault="008E0C7C" w:rsidP="00B74853">
            <w:pPr>
              <w:rPr>
                <w:rFonts w:ascii="David" w:hAnsi="David"/>
                <w:b/>
                <w:bCs/>
                <w:rtl/>
              </w:rPr>
            </w:pPr>
            <w:r w:rsidRPr="008E6BE0">
              <w:rPr>
                <w:rFonts w:ascii="David" w:hAnsi="David"/>
                <w:b/>
                <w:bCs/>
                <w:rtl/>
              </w:rPr>
              <w:t>טרלן אבסוב</w:t>
            </w:r>
          </w:p>
        </w:tc>
        <w:tc>
          <w:tcPr>
            <w:tcW w:w="3263" w:type="dxa"/>
            <w:tcBorders>
              <w:top w:val="nil"/>
              <w:left w:val="nil"/>
              <w:bottom w:val="nil"/>
              <w:right w:val="nil"/>
            </w:tcBorders>
            <w:shd w:val="clear" w:color="auto" w:fill="auto"/>
          </w:tcPr>
          <w:p w14:paraId="49896549" w14:textId="77777777" w:rsidR="008E0C7C" w:rsidRPr="008E6BE0" w:rsidRDefault="008E0C7C" w:rsidP="00B74853">
            <w:pPr>
              <w:rPr>
                <w:rFonts w:ascii="David" w:hAnsi="David"/>
                <w:b/>
                <w:bCs/>
                <w:rtl/>
              </w:rPr>
            </w:pPr>
          </w:p>
          <w:p w14:paraId="36FF74C4" w14:textId="77777777" w:rsidR="008E0C7C" w:rsidRPr="008E6BE0" w:rsidRDefault="008E0C7C" w:rsidP="00B74853">
            <w:pPr>
              <w:rPr>
                <w:rFonts w:ascii="David" w:hAnsi="David"/>
                <w:b/>
                <w:bCs/>
                <w:rtl/>
              </w:rPr>
            </w:pPr>
          </w:p>
          <w:p w14:paraId="012F557B" w14:textId="77777777" w:rsidR="008E0C7C" w:rsidRPr="008E6BE0" w:rsidRDefault="008E0C7C" w:rsidP="00B74853">
            <w:pPr>
              <w:rPr>
                <w:rFonts w:ascii="David" w:hAnsi="David"/>
                <w:b/>
                <w:bCs/>
              </w:rPr>
            </w:pPr>
            <w:r w:rsidRPr="008E6BE0">
              <w:rPr>
                <w:rFonts w:ascii="David" w:hAnsi="David"/>
                <w:b/>
                <w:bCs/>
                <w:rtl/>
              </w:rPr>
              <w:t>הנאש</w:t>
            </w:r>
            <w:r w:rsidRPr="008E6BE0">
              <w:rPr>
                <w:rFonts w:ascii="David" w:hAnsi="David" w:hint="cs"/>
                <w:b/>
                <w:bCs/>
                <w:rtl/>
              </w:rPr>
              <w:t>ם</w:t>
            </w:r>
          </w:p>
        </w:tc>
      </w:tr>
    </w:tbl>
    <w:p w14:paraId="5C22F28E" w14:textId="77777777" w:rsidR="008E0C7C" w:rsidRPr="008E6BE0" w:rsidRDefault="008E0C7C" w:rsidP="008E0C7C">
      <w:pPr>
        <w:rPr>
          <w:sz w:val="26"/>
          <w:szCs w:val="26"/>
        </w:rPr>
      </w:pPr>
    </w:p>
    <w:p w14:paraId="43C00BD6" w14:textId="77777777" w:rsidR="00706654" w:rsidRPr="00706654" w:rsidRDefault="00706654" w:rsidP="00706654">
      <w:pPr>
        <w:spacing w:before="120" w:after="120" w:line="240" w:lineRule="exact"/>
        <w:ind w:left="283" w:hanging="283"/>
        <w:jc w:val="both"/>
        <w:rPr>
          <w:rFonts w:ascii="FrankRuehl" w:hAnsi="FrankRuehl" w:cs="FrankRuehl"/>
          <w:rtl/>
        </w:rPr>
      </w:pPr>
      <w:bookmarkStart w:id="2" w:name="LawTable"/>
      <w:bookmarkEnd w:id="2"/>
    </w:p>
    <w:p w14:paraId="3992F599" w14:textId="77777777" w:rsidR="00706654" w:rsidRPr="00706654" w:rsidRDefault="00706654" w:rsidP="00706654">
      <w:pPr>
        <w:spacing w:before="120" w:after="120" w:line="240" w:lineRule="exact"/>
        <w:ind w:left="283" w:hanging="283"/>
        <w:jc w:val="both"/>
        <w:rPr>
          <w:rFonts w:ascii="FrankRuehl" w:hAnsi="FrankRuehl" w:cs="FrankRuehl"/>
          <w:rtl/>
        </w:rPr>
      </w:pPr>
      <w:r w:rsidRPr="00706654">
        <w:rPr>
          <w:rFonts w:ascii="FrankRuehl" w:hAnsi="FrankRuehl" w:cs="FrankRuehl"/>
          <w:rtl/>
        </w:rPr>
        <w:t xml:space="preserve">חקיקה שאוזכרה: </w:t>
      </w:r>
    </w:p>
    <w:p w14:paraId="55E4B4CA" w14:textId="77777777" w:rsidR="00706654" w:rsidRPr="00706654" w:rsidRDefault="00706654" w:rsidP="00706654">
      <w:pPr>
        <w:spacing w:before="120" w:after="120" w:line="240" w:lineRule="exact"/>
        <w:ind w:left="283" w:hanging="283"/>
        <w:jc w:val="both"/>
        <w:rPr>
          <w:rFonts w:ascii="FrankRuehl" w:hAnsi="FrankRuehl" w:cs="FrankRuehl"/>
          <w:color w:val="0000FF"/>
          <w:rtl/>
        </w:rPr>
      </w:pPr>
      <w:hyperlink r:id="rId7" w:history="1">
        <w:r w:rsidRPr="00706654">
          <w:rPr>
            <w:rStyle w:val="Hyperlink"/>
            <w:rFonts w:ascii="FrankRuehl" w:hAnsi="FrankRuehl" w:cs="FrankRuehl"/>
            <w:u w:val="none"/>
            <w:rtl/>
          </w:rPr>
          <w:t>פקודת הסמים המסוכנים [נוסח חדש], תשל"ג-1973</w:t>
        </w:r>
      </w:hyperlink>
      <w:r w:rsidRPr="00706654">
        <w:rPr>
          <w:rFonts w:ascii="FrankRuehl" w:hAnsi="FrankRuehl" w:cs="FrankRuehl"/>
          <w:color w:val="0000FF"/>
          <w:rtl/>
        </w:rPr>
        <w:t xml:space="preserve">: סע'  </w:t>
      </w:r>
      <w:hyperlink r:id="rId8" w:history="1">
        <w:r w:rsidRPr="00706654">
          <w:rPr>
            <w:rStyle w:val="Hyperlink"/>
            <w:rFonts w:ascii="FrankRuehl" w:hAnsi="FrankRuehl" w:cs="FrankRuehl"/>
            <w:u w:val="none"/>
          </w:rPr>
          <w:t>6</w:t>
        </w:r>
      </w:hyperlink>
      <w:r w:rsidRPr="00706654">
        <w:rPr>
          <w:rFonts w:ascii="FrankRuehl" w:hAnsi="FrankRuehl" w:cs="FrankRuehl"/>
          <w:color w:val="0000FF"/>
          <w:rtl/>
        </w:rPr>
        <w:t xml:space="preserve">, </w:t>
      </w:r>
      <w:hyperlink r:id="rId9" w:history="1">
        <w:r w:rsidRPr="00706654">
          <w:rPr>
            <w:rStyle w:val="Hyperlink"/>
            <w:rFonts w:ascii="FrankRuehl" w:hAnsi="FrankRuehl" w:cs="FrankRuehl"/>
            <w:u w:val="none"/>
          </w:rPr>
          <w:t>7.</w:t>
        </w:r>
        <w:r w:rsidRPr="00706654">
          <w:rPr>
            <w:rStyle w:val="Hyperlink"/>
            <w:rFonts w:ascii="FrankRuehl" w:hAnsi="FrankRuehl" w:cs="FrankRuehl"/>
            <w:u w:val="none"/>
            <w:rtl/>
          </w:rPr>
          <w:t>א</w:t>
        </w:r>
        <w:r w:rsidRPr="00706654">
          <w:rPr>
            <w:rStyle w:val="Hyperlink"/>
            <w:rFonts w:ascii="FrankRuehl" w:hAnsi="FrankRuehl" w:cs="FrankRuehl"/>
            <w:u w:val="none"/>
          </w:rPr>
          <w:t>.</w:t>
        </w:r>
      </w:hyperlink>
      <w:r w:rsidRPr="00706654">
        <w:rPr>
          <w:rFonts w:ascii="FrankRuehl" w:hAnsi="FrankRuehl" w:cs="FrankRuehl"/>
          <w:color w:val="0000FF"/>
          <w:rtl/>
        </w:rPr>
        <w:t xml:space="preserve">, </w:t>
      </w:r>
      <w:hyperlink r:id="rId10" w:history="1">
        <w:r w:rsidRPr="00706654">
          <w:rPr>
            <w:rStyle w:val="Hyperlink"/>
            <w:rFonts w:ascii="FrankRuehl" w:hAnsi="FrankRuehl" w:cs="FrankRuehl"/>
            <w:u w:val="none"/>
          </w:rPr>
          <w:t>7.</w:t>
        </w:r>
        <w:r w:rsidRPr="00706654">
          <w:rPr>
            <w:rStyle w:val="Hyperlink"/>
            <w:rFonts w:ascii="FrankRuehl" w:hAnsi="FrankRuehl" w:cs="FrankRuehl"/>
            <w:u w:val="none"/>
            <w:rtl/>
          </w:rPr>
          <w:t>ג</w:t>
        </w:r>
      </w:hyperlink>
    </w:p>
    <w:p w14:paraId="41F88ACA" w14:textId="77777777" w:rsidR="00706654" w:rsidRPr="00706654" w:rsidRDefault="00706654" w:rsidP="00706654">
      <w:pPr>
        <w:spacing w:before="120" w:after="120" w:line="240" w:lineRule="exact"/>
        <w:ind w:left="283" w:hanging="283"/>
        <w:jc w:val="both"/>
        <w:rPr>
          <w:rFonts w:ascii="FrankRuehl" w:hAnsi="FrankRuehl" w:cs="FrankRuehl"/>
          <w:color w:val="0000FF"/>
          <w:rtl/>
        </w:rPr>
      </w:pPr>
      <w:hyperlink r:id="rId11" w:history="1">
        <w:r w:rsidRPr="00706654">
          <w:rPr>
            <w:rStyle w:val="Hyperlink"/>
            <w:rFonts w:ascii="FrankRuehl" w:hAnsi="FrankRuehl" w:cs="FrankRuehl"/>
            <w:u w:val="none"/>
            <w:rtl/>
          </w:rPr>
          <w:t>פקודת ביטוח רכב מנועי [נוסח חדש], תש"ל-1970</w:t>
        </w:r>
      </w:hyperlink>
      <w:r w:rsidRPr="00706654">
        <w:rPr>
          <w:rFonts w:ascii="FrankRuehl" w:hAnsi="FrankRuehl" w:cs="FrankRuehl"/>
          <w:color w:val="0000FF"/>
          <w:rtl/>
        </w:rPr>
        <w:t xml:space="preserve">: סע'  </w:t>
      </w:r>
      <w:hyperlink r:id="rId12" w:history="1">
        <w:r w:rsidRPr="00706654">
          <w:rPr>
            <w:rStyle w:val="Hyperlink"/>
            <w:rFonts w:ascii="FrankRuehl" w:hAnsi="FrankRuehl" w:cs="FrankRuehl"/>
            <w:u w:val="none"/>
          </w:rPr>
          <w:t>2</w:t>
        </w:r>
        <w:r w:rsidRPr="00706654">
          <w:rPr>
            <w:rStyle w:val="Hyperlink"/>
            <w:rFonts w:ascii="FrankRuehl" w:hAnsi="FrankRuehl" w:cs="FrankRuehl"/>
            <w:u w:val="none"/>
            <w:rtl/>
          </w:rPr>
          <w:t>א</w:t>
        </w:r>
      </w:hyperlink>
    </w:p>
    <w:p w14:paraId="76F14650" w14:textId="77777777" w:rsidR="00706654" w:rsidRPr="00706654" w:rsidRDefault="00706654" w:rsidP="00706654">
      <w:pPr>
        <w:spacing w:before="120" w:after="120" w:line="240" w:lineRule="exact"/>
        <w:ind w:left="283" w:hanging="283"/>
        <w:jc w:val="both"/>
        <w:rPr>
          <w:rFonts w:ascii="FrankRuehl" w:hAnsi="FrankRuehl" w:cs="FrankRuehl"/>
          <w:color w:val="0000FF"/>
          <w:rtl/>
        </w:rPr>
      </w:pPr>
      <w:hyperlink r:id="rId13" w:history="1">
        <w:r w:rsidRPr="00706654">
          <w:rPr>
            <w:rStyle w:val="Hyperlink"/>
            <w:rFonts w:ascii="FrankRuehl" w:hAnsi="FrankRuehl" w:cs="FrankRuehl"/>
            <w:u w:val="none"/>
            <w:rtl/>
          </w:rPr>
          <w:t>פקודת התעבורה [נוסח חדש</w:t>
        </w:r>
        <w:r w:rsidRPr="00706654">
          <w:rPr>
            <w:rStyle w:val="Hyperlink"/>
            <w:rFonts w:ascii="FrankRuehl" w:hAnsi="FrankRuehl" w:cs="FrankRuehl"/>
            <w:u w:val="none"/>
          </w:rPr>
          <w:t>]</w:t>
        </w:r>
      </w:hyperlink>
      <w:r w:rsidRPr="00706654">
        <w:rPr>
          <w:rFonts w:ascii="FrankRuehl" w:hAnsi="FrankRuehl" w:cs="FrankRuehl"/>
          <w:color w:val="0000FF"/>
          <w:rtl/>
        </w:rPr>
        <w:t xml:space="preserve">: סע'  </w:t>
      </w:r>
      <w:hyperlink r:id="rId14" w:history="1">
        <w:r w:rsidRPr="00706654">
          <w:rPr>
            <w:rStyle w:val="Hyperlink"/>
            <w:rFonts w:ascii="FrankRuehl" w:hAnsi="FrankRuehl" w:cs="FrankRuehl"/>
            <w:u w:val="none"/>
          </w:rPr>
          <w:t>2</w:t>
        </w:r>
      </w:hyperlink>
    </w:p>
    <w:p w14:paraId="21237096" w14:textId="77777777" w:rsidR="00706654" w:rsidRPr="00706654" w:rsidRDefault="00706654" w:rsidP="00706654">
      <w:pPr>
        <w:spacing w:before="120" w:after="120" w:line="240" w:lineRule="exact"/>
        <w:ind w:left="283" w:hanging="283"/>
        <w:jc w:val="both"/>
        <w:rPr>
          <w:rFonts w:ascii="FrankRuehl" w:hAnsi="FrankRuehl" w:cs="FrankRuehl"/>
          <w:color w:val="0000FF"/>
          <w:rtl/>
        </w:rPr>
      </w:pPr>
      <w:hyperlink r:id="rId15" w:history="1">
        <w:r w:rsidRPr="00706654">
          <w:rPr>
            <w:rStyle w:val="Hyperlink"/>
            <w:rFonts w:ascii="FrankRuehl" w:hAnsi="FrankRuehl" w:cs="FrankRuehl"/>
            <w:u w:val="none"/>
            <w:rtl/>
          </w:rPr>
          <w:t>חוק העונשין, תשל"ז-1977</w:t>
        </w:r>
      </w:hyperlink>
      <w:r w:rsidRPr="00706654">
        <w:rPr>
          <w:rFonts w:ascii="FrankRuehl" w:hAnsi="FrankRuehl" w:cs="FrankRuehl"/>
          <w:color w:val="0000FF"/>
          <w:rtl/>
        </w:rPr>
        <w:t xml:space="preserve">: סע'  </w:t>
      </w:r>
      <w:hyperlink r:id="rId16" w:history="1">
        <w:r w:rsidRPr="00706654">
          <w:rPr>
            <w:rStyle w:val="Hyperlink"/>
            <w:rFonts w:ascii="FrankRuehl" w:hAnsi="FrankRuehl" w:cs="FrankRuehl"/>
            <w:u w:val="none"/>
          </w:rPr>
          <w:t>40</w:t>
        </w:r>
        <w:r w:rsidRPr="00706654">
          <w:rPr>
            <w:rStyle w:val="Hyperlink"/>
            <w:rFonts w:ascii="FrankRuehl" w:hAnsi="FrankRuehl" w:cs="FrankRuehl"/>
            <w:u w:val="none"/>
            <w:rtl/>
          </w:rPr>
          <w:t>י</w:t>
        </w:r>
      </w:hyperlink>
      <w:r w:rsidRPr="00706654">
        <w:rPr>
          <w:rFonts w:ascii="FrankRuehl" w:hAnsi="FrankRuehl" w:cs="FrankRuehl"/>
          <w:color w:val="0000FF"/>
          <w:rtl/>
        </w:rPr>
        <w:t xml:space="preserve">(ב)(2), </w:t>
      </w:r>
      <w:hyperlink r:id="rId17" w:history="1">
        <w:r w:rsidRPr="00706654">
          <w:rPr>
            <w:rStyle w:val="Hyperlink"/>
            <w:rFonts w:ascii="FrankRuehl" w:hAnsi="FrankRuehl" w:cs="FrankRuehl"/>
            <w:u w:val="none"/>
          </w:rPr>
          <w:t>40</w:t>
        </w:r>
        <w:r w:rsidRPr="00706654">
          <w:rPr>
            <w:rStyle w:val="Hyperlink"/>
            <w:rFonts w:ascii="FrankRuehl" w:hAnsi="FrankRuehl" w:cs="FrankRuehl"/>
            <w:u w:val="none"/>
            <w:rtl/>
          </w:rPr>
          <w:t>יא</w:t>
        </w:r>
        <w:r w:rsidRPr="00706654">
          <w:rPr>
            <w:rStyle w:val="Hyperlink"/>
            <w:rFonts w:ascii="FrankRuehl" w:hAnsi="FrankRuehl" w:cs="FrankRuehl"/>
            <w:u w:val="none"/>
          </w:rPr>
          <w:t>'</w:t>
        </w:r>
      </w:hyperlink>
      <w:r w:rsidRPr="00706654">
        <w:rPr>
          <w:rFonts w:ascii="FrankRuehl" w:hAnsi="FrankRuehl" w:cs="FrankRuehl"/>
          <w:color w:val="0000FF"/>
          <w:rtl/>
        </w:rPr>
        <w:t>(10)</w:t>
      </w:r>
    </w:p>
    <w:p w14:paraId="67A2F857" w14:textId="77777777" w:rsidR="008E0C7C" w:rsidRPr="00706654" w:rsidRDefault="008E0C7C" w:rsidP="00706654">
      <w:pPr>
        <w:rPr>
          <w:rFonts w:ascii="David" w:hAnsi="David"/>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0C7C" w14:paraId="361B98E5" w14:textId="77777777" w:rsidTr="008E0C7C">
        <w:trPr>
          <w:trHeight w:val="355"/>
          <w:jc w:val="center"/>
        </w:trPr>
        <w:tc>
          <w:tcPr>
            <w:tcW w:w="8820" w:type="dxa"/>
            <w:tcBorders>
              <w:top w:val="nil"/>
              <w:left w:val="nil"/>
              <w:bottom w:val="nil"/>
              <w:right w:val="nil"/>
            </w:tcBorders>
            <w:shd w:val="clear" w:color="auto" w:fill="auto"/>
          </w:tcPr>
          <w:p w14:paraId="721E173D" w14:textId="77777777" w:rsidR="008E6BE0" w:rsidRPr="008E6BE0" w:rsidRDefault="008E6BE0" w:rsidP="008E6BE0">
            <w:pPr>
              <w:jc w:val="center"/>
              <w:rPr>
                <w:rFonts w:ascii="David" w:hAnsi="David"/>
                <w:b/>
                <w:bCs/>
                <w:sz w:val="32"/>
                <w:szCs w:val="32"/>
                <w:u w:val="single"/>
                <w:rtl/>
              </w:rPr>
            </w:pPr>
            <w:bookmarkStart w:id="4" w:name="PsakDin" w:colFirst="0" w:colLast="0"/>
            <w:r w:rsidRPr="008E6BE0">
              <w:rPr>
                <w:rFonts w:ascii="David" w:hAnsi="David"/>
                <w:b/>
                <w:bCs/>
                <w:sz w:val="32"/>
                <w:szCs w:val="32"/>
                <w:u w:val="single"/>
                <w:rtl/>
              </w:rPr>
              <w:t>גזר דין</w:t>
            </w:r>
          </w:p>
          <w:p w14:paraId="076E861C" w14:textId="77777777" w:rsidR="008E0C7C" w:rsidRPr="008E6BE0" w:rsidRDefault="008E0C7C" w:rsidP="008E6BE0">
            <w:pPr>
              <w:jc w:val="center"/>
              <w:rPr>
                <w:rFonts w:ascii="David" w:hAnsi="David"/>
                <w:bCs/>
                <w:sz w:val="32"/>
                <w:szCs w:val="32"/>
                <w:u w:val="single"/>
                <w:rtl/>
              </w:rPr>
            </w:pPr>
          </w:p>
        </w:tc>
      </w:tr>
      <w:bookmarkEnd w:id="4"/>
    </w:tbl>
    <w:p w14:paraId="5BC54FEC" w14:textId="77777777" w:rsidR="008E0C7C" w:rsidRPr="002B7D23" w:rsidRDefault="008E0C7C" w:rsidP="008E0C7C">
      <w:pPr>
        <w:rPr>
          <w:rFonts w:ascii="David" w:hAnsi="David"/>
          <w:sz w:val="26"/>
          <w:szCs w:val="26"/>
          <w:rtl/>
        </w:rPr>
      </w:pPr>
    </w:p>
    <w:p w14:paraId="3B97FC8F" w14:textId="77777777" w:rsidR="008E0C7C" w:rsidRDefault="008E0C7C" w:rsidP="008E0C7C">
      <w:pPr>
        <w:spacing w:line="360" w:lineRule="auto"/>
        <w:jc w:val="both"/>
        <w:rPr>
          <w:rFonts w:ascii="David" w:hAnsi="David"/>
          <w:rtl/>
        </w:rPr>
      </w:pPr>
      <w:r>
        <w:rPr>
          <w:rFonts w:ascii="David" w:hAnsi="David" w:hint="cs"/>
          <w:b/>
          <w:bCs/>
          <w:u w:val="single"/>
          <w:rtl/>
        </w:rPr>
        <w:t>כתבי האישום</w:t>
      </w:r>
    </w:p>
    <w:p w14:paraId="50C0BC09" w14:textId="77777777" w:rsidR="008E0C7C" w:rsidRDefault="008E0C7C" w:rsidP="008E0C7C">
      <w:pPr>
        <w:spacing w:line="360" w:lineRule="auto"/>
        <w:jc w:val="both"/>
        <w:rPr>
          <w:rFonts w:ascii="David" w:hAnsi="David"/>
          <w:rtl/>
        </w:rPr>
      </w:pPr>
    </w:p>
    <w:p w14:paraId="0CFA870E" w14:textId="77777777" w:rsidR="008E0C7C" w:rsidRDefault="008E0C7C" w:rsidP="008E0C7C">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שלא כלל הסכמה עונשית בעבירת גידול, יצור והכנת סמים מסוכנים, לפי </w:t>
      </w:r>
      <w:hyperlink r:id="rId18" w:history="1">
        <w:r w:rsidR="00706654" w:rsidRPr="00706654">
          <w:rPr>
            <w:rStyle w:val="Hyperlink"/>
            <w:rFonts w:ascii="David" w:hAnsi="David" w:hint="eastAsia"/>
            <w:color w:val="0000FF"/>
            <w:rtl/>
          </w:rPr>
          <w:t>סעיף</w:t>
        </w:r>
        <w:r w:rsidR="00706654" w:rsidRPr="00706654">
          <w:rPr>
            <w:rStyle w:val="Hyperlink"/>
            <w:rFonts w:ascii="David" w:hAnsi="David"/>
            <w:color w:val="0000FF"/>
            <w:rtl/>
          </w:rPr>
          <w:t xml:space="preserve"> 6</w:t>
        </w:r>
      </w:hyperlink>
      <w:r>
        <w:rPr>
          <w:rFonts w:ascii="David" w:hAnsi="David" w:hint="cs"/>
          <w:rtl/>
        </w:rPr>
        <w:t xml:space="preserve"> ל</w:t>
      </w:r>
      <w:hyperlink r:id="rId19" w:history="1">
        <w:r w:rsidR="008E6BE0" w:rsidRPr="008E6BE0">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C4010D">
        <w:rPr>
          <w:rFonts w:ascii="Miriam" w:hAnsi="Miriam" w:cs="Miriam"/>
          <w:rtl/>
        </w:rPr>
        <w:t>פקודת הסמים</w:t>
      </w:r>
      <w:r>
        <w:rPr>
          <w:rFonts w:ascii="David" w:hAnsi="David" w:hint="cs"/>
          <w:rtl/>
        </w:rPr>
        <w:t xml:space="preserve">) וכן החזקת סמים שלא לצריכה עצמית, לפי </w:t>
      </w:r>
      <w:hyperlink r:id="rId20" w:history="1">
        <w:r w:rsidR="00706654" w:rsidRPr="00706654">
          <w:rPr>
            <w:rStyle w:val="Hyperlink"/>
            <w:rFonts w:ascii="David" w:hAnsi="David" w:hint="eastAsia"/>
            <w:color w:val="0000FF"/>
            <w:rtl/>
          </w:rPr>
          <w:t>סעיף</w:t>
        </w:r>
        <w:r w:rsidR="00706654" w:rsidRPr="00706654">
          <w:rPr>
            <w:rStyle w:val="Hyperlink"/>
            <w:rFonts w:ascii="David" w:hAnsi="David"/>
            <w:color w:val="0000FF"/>
            <w:rtl/>
          </w:rPr>
          <w:t xml:space="preserve"> 7(א)+7(ג)</w:t>
        </w:r>
      </w:hyperlink>
      <w:r>
        <w:rPr>
          <w:rFonts w:ascii="David" w:hAnsi="David" w:hint="cs"/>
          <w:rtl/>
        </w:rPr>
        <w:t xml:space="preserve"> רישא לפקודת הסמים. על פי עובדות כתב האישום המתוקן, עובר ליום 19.12.18 החליט הנאשם לגדל סמים מסוג קנבוס. ביום 10.7.18 שכר הוא דירה בקריית ים והתגורר בה. בהמשך, ייעד את הדירה לצורך גידול סמים, הצטייד במערכת אוורור הכוללת מפוחים, מסנן וחומרי דישון וכן אטם את המעבדה בנייר כסף, הצטייד בתאורה אותה חיבר למערכת החשמל והקים שני אוהלי גידול</w:t>
      </w:r>
      <w:bookmarkStart w:id="6" w:name="ABSTRACT_END"/>
      <w:bookmarkEnd w:id="6"/>
      <w:r>
        <w:rPr>
          <w:rFonts w:ascii="David" w:hAnsi="David" w:hint="cs"/>
          <w:rtl/>
        </w:rPr>
        <w:t xml:space="preserve">. ביום 19.12.18 נתפס הנאשם כשהוא מגדל בדירה כ- 61 שתילים קנבוס במשקל כולל של 6.85 ק"ג וכן החזיק באותו מועד סם מסוכן מסוג קנבוס במשקל כולל של 376.41 גרם נטו (להלן </w:t>
      </w:r>
      <w:r>
        <w:rPr>
          <w:rFonts w:ascii="David" w:hAnsi="David"/>
          <w:rtl/>
        </w:rPr>
        <w:t>–</w:t>
      </w:r>
      <w:r>
        <w:rPr>
          <w:rFonts w:ascii="David" w:hAnsi="David" w:hint="cs"/>
          <w:rtl/>
        </w:rPr>
        <w:t xml:space="preserve"> </w:t>
      </w:r>
      <w:r w:rsidRPr="006A2D38">
        <w:rPr>
          <w:rFonts w:ascii="Miriam" w:hAnsi="Miriam" w:cs="Miriam"/>
          <w:rtl/>
        </w:rPr>
        <w:t>התיק העיקרי</w:t>
      </w:r>
      <w:r>
        <w:rPr>
          <w:rFonts w:ascii="David" w:hAnsi="David" w:hint="cs"/>
          <w:rtl/>
        </w:rPr>
        <w:t xml:space="preserve">). </w:t>
      </w:r>
    </w:p>
    <w:p w14:paraId="021BD924" w14:textId="77777777" w:rsidR="008E0C7C" w:rsidRDefault="008E0C7C" w:rsidP="008E0C7C">
      <w:pPr>
        <w:pStyle w:val="a9"/>
        <w:spacing w:line="360" w:lineRule="auto"/>
        <w:ind w:left="0"/>
        <w:jc w:val="both"/>
        <w:rPr>
          <w:rFonts w:ascii="David" w:hAnsi="David"/>
        </w:rPr>
      </w:pPr>
    </w:p>
    <w:p w14:paraId="0165DE46"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הנאשם צירף תיק נוסף (</w:t>
      </w:r>
      <w:hyperlink r:id="rId21" w:history="1">
        <w:r w:rsidR="008E6BE0" w:rsidRPr="008E6BE0">
          <w:rPr>
            <w:rFonts w:ascii="David" w:hAnsi="David"/>
            <w:color w:val="0000FF"/>
            <w:u w:val="single"/>
            <w:rtl/>
          </w:rPr>
          <w:t>ת"פ 43943-09-22</w:t>
        </w:r>
      </w:hyperlink>
      <w:r>
        <w:rPr>
          <w:rFonts w:ascii="David" w:hAnsi="David" w:hint="cs"/>
          <w:rtl/>
        </w:rPr>
        <w:t xml:space="preserve">) בו הודה והורשע בעבירת החזקת סם שלא לצריכה עצמית, לפי </w:t>
      </w:r>
      <w:hyperlink r:id="rId22" w:history="1">
        <w:r w:rsidR="00706654" w:rsidRPr="00706654">
          <w:rPr>
            <w:rStyle w:val="Hyperlink"/>
            <w:rFonts w:ascii="David" w:hAnsi="David" w:hint="eastAsia"/>
            <w:color w:val="0000FF"/>
            <w:rtl/>
          </w:rPr>
          <w:t>סעיף</w:t>
        </w:r>
        <w:r w:rsidR="00706654" w:rsidRPr="00706654">
          <w:rPr>
            <w:rStyle w:val="Hyperlink"/>
            <w:rFonts w:ascii="David" w:hAnsi="David"/>
            <w:color w:val="0000FF"/>
            <w:rtl/>
          </w:rPr>
          <w:t xml:space="preserve"> 7(א)+7(ג)</w:t>
        </w:r>
      </w:hyperlink>
      <w:r>
        <w:rPr>
          <w:rFonts w:ascii="David" w:hAnsi="David" w:hint="cs"/>
          <w:rtl/>
        </w:rPr>
        <w:t xml:space="preserve"> רישא ל</w:t>
      </w:r>
      <w:hyperlink r:id="rId23" w:history="1">
        <w:r w:rsidR="008E6BE0" w:rsidRPr="008E6BE0">
          <w:rPr>
            <w:rFonts w:ascii="David" w:hAnsi="David"/>
            <w:color w:val="0000FF"/>
            <w:u w:val="single"/>
            <w:rtl/>
          </w:rPr>
          <w:t>פקודת הסמים המסוכנים</w:t>
        </w:r>
      </w:hyperlink>
      <w:r>
        <w:rPr>
          <w:rFonts w:ascii="David" w:hAnsi="David" w:hint="cs"/>
          <w:rtl/>
        </w:rPr>
        <w:t xml:space="preserve">, נהיגה ללא ביטוח, לפי </w:t>
      </w:r>
      <w:hyperlink r:id="rId24" w:history="1">
        <w:r w:rsidR="00706654" w:rsidRPr="00706654">
          <w:rPr>
            <w:rStyle w:val="Hyperlink"/>
            <w:rFonts w:ascii="David" w:hAnsi="David" w:hint="eastAsia"/>
            <w:color w:val="0000FF"/>
            <w:rtl/>
          </w:rPr>
          <w:t>סעיף</w:t>
        </w:r>
        <w:r w:rsidR="00706654" w:rsidRPr="00706654">
          <w:rPr>
            <w:rStyle w:val="Hyperlink"/>
            <w:rFonts w:ascii="David" w:hAnsi="David"/>
            <w:color w:val="0000FF"/>
            <w:rtl/>
          </w:rPr>
          <w:t xml:space="preserve"> 2א</w:t>
        </w:r>
      </w:hyperlink>
      <w:r>
        <w:rPr>
          <w:rFonts w:ascii="David" w:hAnsi="David" w:hint="cs"/>
          <w:rtl/>
        </w:rPr>
        <w:t xml:space="preserve"> ל</w:t>
      </w:r>
      <w:hyperlink r:id="rId25" w:history="1">
        <w:r w:rsidR="008E6BE0" w:rsidRPr="008E6BE0">
          <w:rPr>
            <w:rFonts w:ascii="David" w:hAnsi="David"/>
            <w:color w:val="0000FF"/>
            <w:u w:val="single"/>
            <w:rtl/>
          </w:rPr>
          <w:t>פקודת ביטוח רכב מנועי</w:t>
        </w:r>
      </w:hyperlink>
      <w:r>
        <w:rPr>
          <w:rFonts w:ascii="David" w:hAnsi="David" w:hint="cs"/>
          <w:rtl/>
        </w:rPr>
        <w:t xml:space="preserve"> [נוסח חדש], תש"ל- 1970 ונהיגה כשרישיון הרכב פקע עד 6 חודשים, </w:t>
      </w:r>
      <w:r>
        <w:rPr>
          <w:rFonts w:ascii="David" w:hAnsi="David" w:hint="cs"/>
          <w:rtl/>
        </w:rPr>
        <w:lastRenderedPageBreak/>
        <w:t xml:space="preserve">לפי </w:t>
      </w:r>
      <w:hyperlink r:id="rId26" w:history="1">
        <w:r w:rsidR="00706654" w:rsidRPr="00706654">
          <w:rPr>
            <w:rStyle w:val="Hyperlink"/>
            <w:rFonts w:ascii="David" w:hAnsi="David" w:hint="eastAsia"/>
            <w:color w:val="0000FF"/>
            <w:rtl/>
          </w:rPr>
          <w:t>סעיף</w:t>
        </w:r>
        <w:r w:rsidR="00706654" w:rsidRPr="00706654">
          <w:rPr>
            <w:rStyle w:val="Hyperlink"/>
            <w:rFonts w:ascii="David" w:hAnsi="David"/>
            <w:color w:val="0000FF"/>
            <w:rtl/>
          </w:rPr>
          <w:t xml:space="preserve"> 2</w:t>
        </w:r>
      </w:hyperlink>
      <w:r>
        <w:rPr>
          <w:rFonts w:ascii="David" w:hAnsi="David" w:hint="cs"/>
          <w:rtl/>
        </w:rPr>
        <w:t xml:space="preserve"> ל</w:t>
      </w:r>
      <w:hyperlink r:id="rId27" w:history="1">
        <w:r w:rsidR="008E6BE0" w:rsidRPr="008E6BE0">
          <w:rPr>
            <w:rFonts w:ascii="David" w:hAnsi="David"/>
            <w:color w:val="0000FF"/>
            <w:u w:val="single"/>
            <w:rtl/>
          </w:rPr>
          <w:t>פקודת התעבורה</w:t>
        </w:r>
      </w:hyperlink>
      <w:r>
        <w:rPr>
          <w:rFonts w:ascii="David" w:hAnsi="David" w:hint="cs"/>
          <w:rtl/>
        </w:rPr>
        <w:t xml:space="preserve"> [נוסח חדש], תשכ"א- 1961. על פי עובדות כתב האישום המתוקן, ביום 14.9.22 נהג הנאשם ברכב כשרישיונ</w:t>
      </w:r>
      <w:r>
        <w:rPr>
          <w:rFonts w:ascii="David" w:hAnsi="David" w:hint="eastAsia"/>
          <w:rtl/>
        </w:rPr>
        <w:t>ו</w:t>
      </w:r>
      <w:r>
        <w:rPr>
          <w:rFonts w:ascii="David" w:hAnsi="David" w:hint="cs"/>
          <w:rtl/>
        </w:rPr>
        <w:t xml:space="preserve"> פג בתאריך 6.4.22 וללא פוליסת ביטוח בתוקף. במעמד זה החזיק תיק בתא המטען של הרכב ובו 400 גרם נטו של סם מסוכן מסוג קנבוס ו-5,700 ₪ במזומן. כן צוין שברשות הנאשם היו שני מכשירי טלפון נייד (להלן </w:t>
      </w:r>
      <w:r>
        <w:rPr>
          <w:rFonts w:ascii="David" w:hAnsi="David"/>
          <w:rtl/>
        </w:rPr>
        <w:t>–</w:t>
      </w:r>
      <w:r>
        <w:rPr>
          <w:rFonts w:ascii="David" w:hAnsi="David" w:hint="cs"/>
          <w:rtl/>
        </w:rPr>
        <w:t xml:space="preserve"> </w:t>
      </w:r>
      <w:r w:rsidRPr="006A2D38">
        <w:rPr>
          <w:rFonts w:ascii="Miriam" w:hAnsi="Miriam" w:cs="Miriam"/>
          <w:rtl/>
        </w:rPr>
        <w:t>תיק הצירוף</w:t>
      </w:r>
      <w:r>
        <w:rPr>
          <w:rFonts w:ascii="David" w:hAnsi="David" w:hint="cs"/>
          <w:rtl/>
        </w:rPr>
        <w:t xml:space="preserve">).   </w:t>
      </w:r>
    </w:p>
    <w:p w14:paraId="3C0CCCA5" w14:textId="77777777" w:rsidR="008E0C7C" w:rsidRPr="00DE43B5" w:rsidRDefault="008E0C7C" w:rsidP="008E0C7C">
      <w:pPr>
        <w:pStyle w:val="a9"/>
        <w:rPr>
          <w:rFonts w:ascii="David" w:hAnsi="David"/>
          <w:rtl/>
        </w:rPr>
      </w:pPr>
    </w:p>
    <w:p w14:paraId="52139CAB"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 xml:space="preserve">להשלמת התמונה ייאמר כי במסגרת הסדר הטיעון הוסכם כי הנאשם לא יוכרז כסוחר סמים אך סכום הכסף (5,700 ₪) יחולט. </w:t>
      </w:r>
    </w:p>
    <w:p w14:paraId="556E24D6" w14:textId="77777777" w:rsidR="008E0C7C" w:rsidRPr="008307EA" w:rsidRDefault="008E0C7C" w:rsidP="008E0C7C">
      <w:pPr>
        <w:pStyle w:val="a9"/>
        <w:rPr>
          <w:rFonts w:ascii="David" w:hAnsi="David"/>
          <w:rtl/>
        </w:rPr>
      </w:pPr>
    </w:p>
    <w:p w14:paraId="7D8801FA" w14:textId="77777777" w:rsidR="008E0C7C" w:rsidRDefault="008E0C7C" w:rsidP="008E0C7C">
      <w:pPr>
        <w:pStyle w:val="a9"/>
        <w:spacing w:line="360" w:lineRule="auto"/>
        <w:ind w:left="0"/>
        <w:jc w:val="both"/>
        <w:rPr>
          <w:rFonts w:ascii="David" w:hAnsi="David"/>
          <w:b/>
          <w:bCs/>
          <w:u w:val="single"/>
          <w:rtl/>
        </w:rPr>
      </w:pPr>
    </w:p>
    <w:p w14:paraId="65C0C4A9" w14:textId="77777777" w:rsidR="008E0C7C" w:rsidRDefault="008E0C7C" w:rsidP="008E0C7C">
      <w:pPr>
        <w:pStyle w:val="a9"/>
        <w:spacing w:line="360" w:lineRule="auto"/>
        <w:ind w:left="0"/>
        <w:jc w:val="both"/>
        <w:rPr>
          <w:rFonts w:ascii="David" w:hAnsi="David"/>
          <w:b/>
          <w:bCs/>
          <w:u w:val="single"/>
          <w:rtl/>
        </w:rPr>
      </w:pPr>
    </w:p>
    <w:p w14:paraId="2F457684" w14:textId="77777777" w:rsidR="008E0C7C" w:rsidRPr="008307EA" w:rsidRDefault="008E0C7C" w:rsidP="008E0C7C">
      <w:pPr>
        <w:pStyle w:val="a9"/>
        <w:spacing w:line="360" w:lineRule="auto"/>
        <w:ind w:left="0"/>
        <w:jc w:val="both"/>
        <w:rPr>
          <w:rFonts w:ascii="David" w:hAnsi="David"/>
        </w:rPr>
      </w:pPr>
      <w:r>
        <w:rPr>
          <w:rFonts w:ascii="David" w:hAnsi="David" w:hint="cs"/>
          <w:b/>
          <w:bCs/>
          <w:u w:val="single"/>
          <w:rtl/>
        </w:rPr>
        <w:t>תסקירי שירות המבחן</w:t>
      </w:r>
    </w:p>
    <w:p w14:paraId="16E067BE" w14:textId="77777777" w:rsidR="008E0C7C" w:rsidRPr="008307EA" w:rsidRDefault="008E0C7C" w:rsidP="008E0C7C">
      <w:pPr>
        <w:pStyle w:val="a9"/>
        <w:rPr>
          <w:rFonts w:ascii="David" w:hAnsi="David"/>
          <w:rtl/>
        </w:rPr>
      </w:pPr>
    </w:p>
    <w:p w14:paraId="39F8A9EF" w14:textId="77777777" w:rsidR="008E0C7C" w:rsidRPr="00222D1D" w:rsidRDefault="008E0C7C" w:rsidP="008E0C7C">
      <w:pPr>
        <w:pStyle w:val="a9"/>
        <w:numPr>
          <w:ilvl w:val="0"/>
          <w:numId w:val="1"/>
        </w:numPr>
        <w:spacing w:line="360" w:lineRule="auto"/>
        <w:jc w:val="both"/>
        <w:rPr>
          <w:rFonts w:ascii="David" w:hAnsi="David"/>
        </w:rPr>
      </w:pPr>
      <w:r>
        <w:rPr>
          <w:rFonts w:ascii="David" w:hAnsi="David" w:hint="cs"/>
          <w:rtl/>
        </w:rPr>
        <w:t>שירות המבחן הגיש שני תסקירים בעניינו של הנאשם בהם פורטו בהרחבה נסיבות חייו ומטעמים של צנעת הפרט לא ארחיב. בתמצית ייאמר כי הנאשם רווק כבן 32, מתגורר עם אמו ומתפרנס מעבודות זמניות. הנאשם סיפר על שירות קרבי משמעותי וקשר את מצבו הנפשי לאירועים שחווה בתקופה זו. עם זאת,</w:t>
      </w:r>
      <w:r w:rsidRPr="00222D1D">
        <w:rPr>
          <w:rFonts w:ascii="David" w:hAnsi="David" w:hint="cs"/>
          <w:rtl/>
        </w:rPr>
        <w:t xml:space="preserve"> הנאשם נמנע מלטפל במצבו והוא צורך לטענתו קנבוס ללא רישיון כדרך התמודדות עם מצבו. ביחס לביצוע העבירות התרשמה קצינת המבחן מקבלת אחריות חלקית (בשל ההצדקה שתיאר לצריכת קנביס בשל מצבו הנפשי) וציינה כי הנאשם ממזער מחומרת מעשיו וכי ההליך הפלילי אינו מהווה גורם הרתעתי ומציב גבולות. הוצעו לנאשם מספר אפיקי טיפול, בין היתר במסגרת בית המשפט הקהילתי, אך הוא סרב, לא התייצב למספר בדיקות שתן ובאלו שמסר נמצאו שרידי סם. בצד דברים אלו צוין כי הרושם הכללי הוא שהנאשם אינו בעל דפוסי עבריינות מושרשים אך יש צורך בתוכנית טיפול מקיפה על מנת לתת מענה לצרכיו המרובים בתחום ההתמכרותי, הנפשי, הכלכלי והתעסוקתי. לסיכום, בהיעדר שיתוף פעולה לא ניתנה המלצה טיפולית והומלץ על ענישה הרתעתית ומציבה גבולות.  </w:t>
      </w:r>
    </w:p>
    <w:p w14:paraId="139BFB5C" w14:textId="77777777" w:rsidR="008E0C7C" w:rsidRDefault="008E0C7C" w:rsidP="008E0C7C">
      <w:pPr>
        <w:pStyle w:val="a9"/>
        <w:ind w:left="0"/>
        <w:jc w:val="both"/>
        <w:rPr>
          <w:rFonts w:ascii="David" w:hAnsi="David"/>
          <w:rtl/>
        </w:rPr>
      </w:pPr>
    </w:p>
    <w:p w14:paraId="6206C17A" w14:textId="77777777" w:rsidR="008E0C7C" w:rsidRDefault="008E0C7C" w:rsidP="008E0C7C">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383942FB" w14:textId="77777777" w:rsidR="008E0C7C" w:rsidRPr="006C3609" w:rsidRDefault="008E0C7C" w:rsidP="008E0C7C">
      <w:pPr>
        <w:pStyle w:val="a9"/>
        <w:ind w:left="0"/>
        <w:jc w:val="both"/>
        <w:rPr>
          <w:rFonts w:ascii="David" w:hAnsi="David"/>
          <w:b/>
          <w:bCs/>
          <w:u w:val="single"/>
        </w:rPr>
      </w:pPr>
    </w:p>
    <w:p w14:paraId="07CB72F9"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 xml:space="preserve">ב"כ המאשימה הגישה טיעון כתוב והוסיפה טיעון על פה. הודגשו הערכים המוגנים שנפגעו וכן חומרת העבירות ונטען שיש לקבוע מתחם ענישה נפרד לכל כתב אישום, כך שבתיק העיקרי יועמד המתחם בין 10-24 חודשי מאסר בפועל ובתיק הצירוף בין 6-18 חודשי מאסר בפועל. המאשימה התייחסה לאמור בתסקירי שירות המבחן ועתרה לעונש מאסר למשך 12 חודשים ביחס לתיק העיקרי, ומאסר למשך 10 חודשים בתיק הצירוף ובסה"כ 22 חודשי מאסר. כן עתרה לענישה נלווית לרבות פסילת רישיון וחילוט סך של 5,700 ₪ כמוסכם. </w:t>
      </w:r>
    </w:p>
    <w:p w14:paraId="2306817E" w14:textId="77777777" w:rsidR="008E0C7C" w:rsidRDefault="008E0C7C" w:rsidP="008E0C7C">
      <w:pPr>
        <w:pStyle w:val="a9"/>
        <w:spacing w:line="360" w:lineRule="auto"/>
        <w:ind w:left="0"/>
        <w:jc w:val="both"/>
        <w:rPr>
          <w:rFonts w:ascii="David" w:hAnsi="David"/>
        </w:rPr>
      </w:pPr>
    </w:p>
    <w:p w14:paraId="4BA279BE"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 xml:space="preserve">ב"כ הנאשם הגיש אף הוא טיעון כתוב והשלים טיעון על פה. בטיעוניו עתר הסנגור לקביעת מתחם ענישה אחד לשני כתבי האישום וטען שיש להעמידו בין ענישה צופה פני עתיד לבין מספר חודשי מאסר שיכול וירוצו בעבודות שירות. ביחס לתיק העיקרי הודגש חלוף הזמן וצוין כי הנאשם </w:t>
      </w:r>
      <w:r>
        <w:rPr>
          <w:rFonts w:ascii="David" w:hAnsi="David" w:hint="cs"/>
          <w:rtl/>
        </w:rPr>
        <w:lastRenderedPageBreak/>
        <w:t xml:space="preserve">שכר את הדירה לצורכי מגורים וכי הסמים נועדו לשימושו האישי בשל מצב נפשי רעוע ממנו הוא סובל לאחר שירות צבאי כלוחם. הסנגור הפנה לנסיבות חייו של הנאשם, כפי שפורטו בתסקיר, וכן למצבו הנפשי והבריאותי ועתר לענישה בדרך של מאסר בעבודות שירות. </w:t>
      </w:r>
    </w:p>
    <w:p w14:paraId="332545FE" w14:textId="77777777" w:rsidR="008E0C7C" w:rsidRPr="00DA223D" w:rsidRDefault="008E0C7C" w:rsidP="008E0C7C">
      <w:pPr>
        <w:pStyle w:val="a9"/>
        <w:rPr>
          <w:rFonts w:ascii="David" w:hAnsi="David"/>
          <w:rtl/>
        </w:rPr>
      </w:pPr>
    </w:p>
    <w:p w14:paraId="37FADE31"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 xml:space="preserve">הנאשם בדברו האחרון ציין כי </w:t>
      </w:r>
      <w:r w:rsidRPr="00B56F25">
        <w:rPr>
          <w:rFonts w:ascii="Miriam" w:hAnsi="Miriam" w:cs="Miriam"/>
          <w:rtl/>
        </w:rPr>
        <w:t xml:space="preserve">"אין לי יותר מה להגיד. אני רוצה לסיים את זה כמה שיותר מהר. עשיתי את זה כי לא רציתי להתערבב עם עבריינים..." </w:t>
      </w:r>
      <w:r>
        <w:rPr>
          <w:rFonts w:ascii="David" w:hAnsi="David" w:hint="cs"/>
          <w:rtl/>
        </w:rPr>
        <w:t xml:space="preserve">וביקש להתחשב בימי מעצרו בתיק הצירוף. </w:t>
      </w:r>
    </w:p>
    <w:p w14:paraId="2E2ACB21" w14:textId="77777777" w:rsidR="008E0C7C" w:rsidRPr="00F447D9" w:rsidRDefault="008E0C7C" w:rsidP="008E0C7C">
      <w:pPr>
        <w:pStyle w:val="a9"/>
        <w:rPr>
          <w:rFonts w:ascii="David" w:hAnsi="David"/>
          <w:rtl/>
        </w:rPr>
      </w:pPr>
    </w:p>
    <w:p w14:paraId="3ABF75D9" w14:textId="77777777" w:rsidR="008E0C7C" w:rsidRDefault="008E0C7C" w:rsidP="008E0C7C">
      <w:pPr>
        <w:pStyle w:val="a9"/>
        <w:spacing w:line="360" w:lineRule="auto"/>
        <w:ind w:left="0"/>
        <w:jc w:val="both"/>
        <w:rPr>
          <w:rFonts w:ascii="David" w:hAnsi="David"/>
          <w:b/>
          <w:bCs/>
          <w:u w:val="single"/>
          <w:rtl/>
        </w:rPr>
      </w:pPr>
    </w:p>
    <w:p w14:paraId="5E18DCE6" w14:textId="77777777" w:rsidR="008E0C7C" w:rsidRDefault="008E0C7C" w:rsidP="008E0C7C">
      <w:pPr>
        <w:pStyle w:val="a9"/>
        <w:spacing w:line="360" w:lineRule="auto"/>
        <w:ind w:left="0"/>
        <w:jc w:val="both"/>
        <w:rPr>
          <w:rFonts w:ascii="David" w:hAnsi="David"/>
          <w:b/>
          <w:bCs/>
          <w:u w:val="single"/>
          <w:rtl/>
        </w:rPr>
      </w:pPr>
      <w:r>
        <w:rPr>
          <w:rFonts w:ascii="David" w:hAnsi="David" w:hint="cs"/>
          <w:b/>
          <w:bCs/>
          <w:u w:val="single"/>
          <w:rtl/>
        </w:rPr>
        <w:t>דיון והכרעה</w:t>
      </w:r>
    </w:p>
    <w:p w14:paraId="7ADF3FF0" w14:textId="77777777" w:rsidR="008E0C7C" w:rsidRPr="00F447D9" w:rsidRDefault="008E0C7C" w:rsidP="008E0C7C">
      <w:pPr>
        <w:pStyle w:val="a9"/>
        <w:spacing w:line="360" w:lineRule="auto"/>
        <w:ind w:left="0"/>
        <w:jc w:val="both"/>
        <w:rPr>
          <w:rFonts w:ascii="David" w:hAnsi="David"/>
        </w:rPr>
      </w:pPr>
      <w:r>
        <w:rPr>
          <w:rFonts w:ascii="David" w:hAnsi="David" w:hint="cs"/>
          <w:b/>
          <w:bCs/>
          <w:u w:val="single"/>
          <w:rtl/>
        </w:rPr>
        <w:t>קביעת מתחם הענישה</w:t>
      </w:r>
    </w:p>
    <w:p w14:paraId="61A4D8F7" w14:textId="77777777" w:rsidR="008E0C7C" w:rsidRDefault="008E0C7C" w:rsidP="008E0C7C">
      <w:pPr>
        <w:pStyle w:val="a9"/>
        <w:ind w:left="0"/>
        <w:rPr>
          <w:rFonts w:ascii="David" w:hAnsi="David"/>
          <w:rtl/>
        </w:rPr>
      </w:pPr>
    </w:p>
    <w:p w14:paraId="0C246276" w14:textId="77777777" w:rsidR="008E0C7C" w:rsidRDefault="008E0C7C" w:rsidP="008E0C7C">
      <w:pPr>
        <w:pStyle w:val="a9"/>
        <w:numPr>
          <w:ilvl w:val="0"/>
          <w:numId w:val="1"/>
        </w:numPr>
        <w:spacing w:line="360" w:lineRule="auto"/>
        <w:jc w:val="both"/>
        <w:rPr>
          <w:rFonts w:ascii="David" w:hAnsi="David"/>
        </w:rPr>
      </w:pPr>
      <w:r w:rsidRPr="0071011C">
        <w:rPr>
          <w:rFonts w:ascii="David" w:hAnsi="David"/>
          <w:rtl/>
        </w:rPr>
        <w:t>הצדדים חלוקים בדבר מספר מתחמי הענישה שיש לקבוע במקרה זה.</w:t>
      </w:r>
      <w:r w:rsidRPr="0071011C">
        <w:rPr>
          <w:rFonts w:ascii="David" w:hAnsi="David" w:hint="cs"/>
          <w:rtl/>
        </w:rPr>
        <w:t xml:space="preserve"> </w:t>
      </w:r>
      <w:r w:rsidRPr="0071011C">
        <w:rPr>
          <w:rFonts w:ascii="David" w:hAnsi="David"/>
          <w:rtl/>
        </w:rPr>
        <w:t>המאשימה סבורה שיש לקבוע מתחם ענישה נפרד לכל כתב אישום ואילו ההגנה ביקשה לראות בכל העבירות כאירוע אחד. דעתי כדעת המאשימה.</w:t>
      </w:r>
      <w:r w:rsidRPr="0071011C">
        <w:rPr>
          <w:rFonts w:ascii="David" w:hAnsi="David" w:hint="cs"/>
          <w:rtl/>
        </w:rPr>
        <w:t xml:space="preserve"> אומנם </w:t>
      </w:r>
      <w:r>
        <w:rPr>
          <w:rFonts w:ascii="David" w:hAnsi="David" w:hint="cs"/>
          <w:rtl/>
        </w:rPr>
        <w:t xml:space="preserve">בשני כתבי האישום </w:t>
      </w:r>
      <w:r w:rsidRPr="0071011C">
        <w:rPr>
          <w:rFonts w:ascii="David" w:hAnsi="David" w:hint="cs"/>
          <w:rtl/>
        </w:rPr>
        <w:t>מדובר בעבירות מתחום הסמים, אך בכך מסתכם הקשר ביניה</w:t>
      </w:r>
      <w:r>
        <w:rPr>
          <w:rFonts w:ascii="David" w:hAnsi="David" w:hint="cs"/>
          <w:rtl/>
        </w:rPr>
        <w:t>ן</w:t>
      </w:r>
      <w:r w:rsidRPr="0071011C">
        <w:rPr>
          <w:rFonts w:ascii="David" w:hAnsi="David" w:hint="cs"/>
          <w:rtl/>
        </w:rPr>
        <w:t xml:space="preserve">. </w:t>
      </w:r>
      <w:r>
        <w:rPr>
          <w:rFonts w:ascii="David" w:hAnsi="David" w:hint="cs"/>
          <w:rtl/>
        </w:rPr>
        <w:t>מדובר ב</w:t>
      </w:r>
      <w:r w:rsidRPr="0071011C">
        <w:rPr>
          <w:rFonts w:ascii="David" w:hAnsi="David" w:hint="cs"/>
          <w:rtl/>
        </w:rPr>
        <w:t xml:space="preserve">עבירות </w:t>
      </w:r>
      <w:r>
        <w:rPr>
          <w:rFonts w:ascii="David" w:hAnsi="David" w:hint="cs"/>
          <w:rtl/>
        </w:rPr>
        <w:t>ש</w:t>
      </w:r>
      <w:r w:rsidRPr="0071011C">
        <w:rPr>
          <w:rFonts w:ascii="David" w:hAnsi="David" w:hint="cs"/>
          <w:rtl/>
        </w:rPr>
        <w:t xml:space="preserve">בוצעו בהפרש של כארבע שנים, במקומות שונים ובנסיבות שונות והן אינן מקיימות את מבחן הקשר ההדוק. </w:t>
      </w:r>
      <w:r>
        <w:rPr>
          <w:rFonts w:ascii="David" w:hAnsi="David" w:hint="cs"/>
          <w:rtl/>
        </w:rPr>
        <w:t xml:space="preserve">לאור כך </w:t>
      </w:r>
      <w:r>
        <w:rPr>
          <w:rFonts w:ascii="David" w:hAnsi="David"/>
          <w:rtl/>
        </w:rPr>
        <w:t>יקבעו שני מתחמי</w:t>
      </w:r>
      <w:r>
        <w:rPr>
          <w:rFonts w:ascii="David" w:hAnsi="David" w:hint="cs"/>
          <w:rtl/>
        </w:rPr>
        <w:t xml:space="preserve"> ענישה</w:t>
      </w:r>
      <w:r w:rsidRPr="0071011C">
        <w:rPr>
          <w:rFonts w:ascii="David" w:hAnsi="David"/>
          <w:rtl/>
        </w:rPr>
        <w:t xml:space="preserve"> נפרדים ואולם בסופו של יום יוטל עונש כולל שכן ענישה נפרדת בגין כל אירוע</w:t>
      </w:r>
      <w:r>
        <w:rPr>
          <w:rFonts w:ascii="David" w:hAnsi="David" w:hint="cs"/>
          <w:rtl/>
        </w:rPr>
        <w:t xml:space="preserve"> </w:t>
      </w:r>
      <w:r>
        <w:rPr>
          <w:rFonts w:ascii="David" w:hAnsi="David"/>
          <w:rtl/>
        </w:rPr>
        <w:t>–</w:t>
      </w:r>
      <w:r>
        <w:rPr>
          <w:rFonts w:ascii="David" w:hAnsi="David" w:hint="cs"/>
          <w:rtl/>
        </w:rPr>
        <w:t xml:space="preserve"> כעתירת המאשימה </w:t>
      </w:r>
      <w:r>
        <w:rPr>
          <w:rFonts w:ascii="David" w:hAnsi="David"/>
          <w:rtl/>
        </w:rPr>
        <w:t>–</w:t>
      </w:r>
      <w:r w:rsidRPr="0071011C">
        <w:rPr>
          <w:rFonts w:ascii="David" w:hAnsi="David"/>
          <w:rtl/>
        </w:rPr>
        <w:t xml:space="preserve"> נראית בעיני מלאכותית וראוי להטיל עונש כולל על מכלול האירועים.</w:t>
      </w:r>
    </w:p>
    <w:p w14:paraId="6AE1FD77" w14:textId="77777777" w:rsidR="008E0C7C" w:rsidRPr="00B56F25" w:rsidRDefault="008E0C7C" w:rsidP="008E0C7C">
      <w:pPr>
        <w:pStyle w:val="a9"/>
        <w:ind w:left="0"/>
        <w:jc w:val="both"/>
        <w:rPr>
          <w:rFonts w:ascii="David" w:hAnsi="David"/>
        </w:rPr>
      </w:pPr>
    </w:p>
    <w:p w14:paraId="7AC5ABB3" w14:textId="77777777" w:rsidR="008E0C7C" w:rsidRDefault="008E0C7C" w:rsidP="008E0C7C">
      <w:pPr>
        <w:pStyle w:val="a9"/>
        <w:numPr>
          <w:ilvl w:val="0"/>
          <w:numId w:val="1"/>
        </w:numPr>
        <w:spacing w:line="360" w:lineRule="auto"/>
        <w:jc w:val="both"/>
        <w:rPr>
          <w:rFonts w:ascii="David" w:hAnsi="David"/>
        </w:rPr>
      </w:pPr>
      <w:r w:rsidRPr="008155C3">
        <w:rPr>
          <w:rFonts w:ascii="David" w:hAnsi="David"/>
          <w:rtl/>
        </w:rPr>
        <w:t>במעשיו פגע הנאשם בערכים של בטחון הציבור ושלומו. הסכנות הטמונות בגידול סם</w:t>
      </w:r>
      <w:r>
        <w:rPr>
          <w:rFonts w:ascii="David" w:hAnsi="David" w:hint="cs"/>
          <w:rtl/>
        </w:rPr>
        <w:t xml:space="preserve"> והחזקתו שלא לצריכה עצמית</w:t>
      </w:r>
      <w:r w:rsidRPr="008155C3">
        <w:rPr>
          <w:rFonts w:ascii="David" w:hAnsi="David"/>
          <w:rtl/>
        </w:rPr>
        <w:t xml:space="preserve"> ידועות ופעם אחר פעם נפסק שיש לראות בחומרה את עבירות הסמים אשר הפכו מכת מדינה וכי תוצאותיהן הישירות והעקיפות הרות אסון לשלומה של החברה, לבריאותה ולביטחונה. במקרה זה לאור מספר השתילים, משקל הסם</w:t>
      </w:r>
      <w:r>
        <w:rPr>
          <w:rFonts w:ascii="David" w:hAnsi="David" w:hint="cs"/>
          <w:rtl/>
        </w:rPr>
        <w:t xml:space="preserve"> בשני כתבי האישום</w:t>
      </w:r>
      <w:r w:rsidRPr="008155C3">
        <w:rPr>
          <w:rFonts w:ascii="David" w:hAnsi="David"/>
          <w:rtl/>
        </w:rPr>
        <w:t xml:space="preserve"> ויתר הנסיבות שיפורטו בהמשך, מידת הפגיעה בערכים אינה מבוטלת.</w:t>
      </w:r>
    </w:p>
    <w:p w14:paraId="0C58DA68" w14:textId="77777777" w:rsidR="008E0C7C" w:rsidRPr="008155C3" w:rsidRDefault="008E0C7C" w:rsidP="008E0C7C">
      <w:pPr>
        <w:pStyle w:val="a9"/>
        <w:rPr>
          <w:rFonts w:ascii="David" w:hAnsi="David"/>
          <w:rtl/>
        </w:rPr>
      </w:pPr>
    </w:p>
    <w:p w14:paraId="47BF7C4E" w14:textId="77777777" w:rsidR="008E0C7C" w:rsidRDefault="008E0C7C" w:rsidP="008E0C7C">
      <w:pPr>
        <w:pStyle w:val="a9"/>
        <w:numPr>
          <w:ilvl w:val="0"/>
          <w:numId w:val="1"/>
        </w:numPr>
        <w:spacing w:line="360" w:lineRule="auto"/>
        <w:jc w:val="both"/>
        <w:rPr>
          <w:rFonts w:ascii="David" w:hAnsi="David"/>
        </w:rPr>
      </w:pPr>
      <w:r w:rsidRPr="00EF7511">
        <w:rPr>
          <w:rFonts w:ascii="David" w:hAnsi="David"/>
          <w:color w:val="000000"/>
          <w:rtl/>
        </w:rPr>
        <w:t xml:space="preserve">ביחס לנסיבות ביצוע העבירות </w:t>
      </w:r>
      <w:r w:rsidRPr="00EF7511">
        <w:rPr>
          <w:rFonts w:ascii="David" w:hAnsi="David" w:hint="cs"/>
          <w:color w:val="000000"/>
          <w:rtl/>
        </w:rPr>
        <w:t xml:space="preserve">בתיק העיקרי </w:t>
      </w:r>
      <w:r w:rsidRPr="00EF7511">
        <w:rPr>
          <w:rFonts w:ascii="David" w:hAnsi="David"/>
          <w:color w:val="000000"/>
          <w:rtl/>
        </w:rPr>
        <w:t>אציין שגידול סמים מחייב תכנון מוקדם, לימוד, רכישת ציוד, היערכות והתמדה וכן השקעה כספית לא מבוטלת. במקרה זה שכר הנאשם דירה</w:t>
      </w:r>
      <w:r w:rsidRPr="00EF7511">
        <w:rPr>
          <w:rFonts w:ascii="David" w:hAnsi="David" w:hint="cs"/>
          <w:rtl/>
        </w:rPr>
        <w:t xml:space="preserve"> לצורכי מגורים, ולאחר מספר חודשים החליט לייעד אותה לצורך גידול סמים. כתב האישום המתוקן מפרט בהרחבה כיצד צייד הנאשם את המעבדה וב</w:t>
      </w:r>
      <w:r w:rsidRPr="00EF7511">
        <w:rPr>
          <w:rFonts w:ascii="David" w:hAnsi="David"/>
          <w:rtl/>
        </w:rPr>
        <w:t xml:space="preserve">יחס לכמות הסם, אזי מדובר בכמות לא מבוטלת של שתילים – </w:t>
      </w:r>
      <w:r w:rsidRPr="00EF7511">
        <w:rPr>
          <w:rFonts w:ascii="David" w:hAnsi="David" w:hint="cs"/>
          <w:rtl/>
        </w:rPr>
        <w:t>כ-61</w:t>
      </w:r>
      <w:r w:rsidRPr="00EF7511">
        <w:rPr>
          <w:rFonts w:ascii="David" w:hAnsi="David"/>
          <w:rtl/>
        </w:rPr>
        <w:t xml:space="preserve"> במספר, ששקלו במעמד התפיסה למעלה מ-</w:t>
      </w:r>
      <w:r w:rsidRPr="00EF7511">
        <w:rPr>
          <w:rFonts w:ascii="David" w:hAnsi="David" w:hint="cs"/>
          <w:rtl/>
        </w:rPr>
        <w:t>6</w:t>
      </w:r>
      <w:r w:rsidRPr="00EF7511">
        <w:rPr>
          <w:rFonts w:ascii="David" w:hAnsi="David"/>
          <w:rtl/>
        </w:rPr>
        <w:t xml:space="preserve"> ק"ג. נסיבות אלו מלמדות על חומרה </w:t>
      </w:r>
      <w:r w:rsidRPr="00EF7511">
        <w:rPr>
          <w:rFonts w:ascii="David" w:hAnsi="David" w:hint="cs"/>
          <w:rtl/>
        </w:rPr>
        <w:t>לא מבוטלת</w:t>
      </w:r>
      <w:r w:rsidRPr="00EF7511">
        <w:rPr>
          <w:rFonts w:ascii="David" w:hAnsi="David"/>
          <w:rtl/>
        </w:rPr>
        <w:t>. ביחס לסיבה בגינה בוצעו העבירות אציין שהסנגור טען שהגידול בוצע למטרת שימוש עצמי, וכך גם טען הנאשם</w:t>
      </w:r>
      <w:r w:rsidRPr="00EF7511">
        <w:rPr>
          <w:rFonts w:ascii="David" w:hAnsi="David" w:hint="cs"/>
          <w:rtl/>
        </w:rPr>
        <w:t xml:space="preserve"> בפני שירות המבחן ובדבריו האחרונים.</w:t>
      </w:r>
      <w:r w:rsidRPr="00EF7511">
        <w:rPr>
          <w:rFonts w:ascii="David" w:hAnsi="David"/>
          <w:rtl/>
        </w:rPr>
        <w:t xml:space="preserve"> </w:t>
      </w:r>
      <w:r w:rsidRPr="00EF7511">
        <w:rPr>
          <w:rFonts w:ascii="David" w:hAnsi="David" w:hint="cs"/>
          <w:rtl/>
        </w:rPr>
        <w:t xml:space="preserve">עם זאת, </w:t>
      </w:r>
      <w:r w:rsidRPr="00EF7511">
        <w:rPr>
          <w:rFonts w:ascii="David" w:hAnsi="David"/>
          <w:rtl/>
        </w:rPr>
        <w:t>אין בידי לקבל טענה זו</w:t>
      </w:r>
      <w:r w:rsidRPr="00EF7511">
        <w:rPr>
          <w:rFonts w:ascii="David" w:hAnsi="David" w:hint="cs"/>
          <w:rtl/>
        </w:rPr>
        <w:t xml:space="preserve"> שכן </w:t>
      </w:r>
      <w:r w:rsidRPr="00EF7511">
        <w:rPr>
          <w:rFonts w:ascii="David" w:hAnsi="David"/>
          <w:rtl/>
        </w:rPr>
        <w:t xml:space="preserve">משהודה </w:t>
      </w:r>
      <w:r w:rsidRPr="00EF7511">
        <w:rPr>
          <w:rFonts w:ascii="David" w:hAnsi="David" w:hint="cs"/>
          <w:rtl/>
        </w:rPr>
        <w:t>ה</w:t>
      </w:r>
      <w:r w:rsidRPr="00EF7511">
        <w:rPr>
          <w:rFonts w:ascii="David" w:hAnsi="David"/>
          <w:rtl/>
        </w:rPr>
        <w:t xml:space="preserve">נאשם בכתב אישום מתוקן </w:t>
      </w:r>
      <w:r w:rsidRPr="00EF7511">
        <w:rPr>
          <w:rFonts w:ascii="David" w:hAnsi="David" w:hint="cs"/>
          <w:rtl/>
        </w:rPr>
        <w:t xml:space="preserve">זו המסגרת העובדתית לצורך גזר הדין ולמעט במקרים חריגים העומדים בדרישות </w:t>
      </w:r>
      <w:hyperlink r:id="rId28" w:history="1">
        <w:r w:rsidR="00706654" w:rsidRPr="00706654">
          <w:rPr>
            <w:rStyle w:val="Hyperlink"/>
            <w:rFonts w:ascii="David" w:hAnsi="David" w:hint="eastAsia"/>
            <w:color w:val="0000FF"/>
            <w:rtl/>
          </w:rPr>
          <w:t>סעיף</w:t>
        </w:r>
        <w:r w:rsidR="00706654" w:rsidRPr="00706654">
          <w:rPr>
            <w:rStyle w:val="Hyperlink"/>
            <w:rFonts w:ascii="David" w:hAnsi="David"/>
            <w:color w:val="0000FF"/>
            <w:rtl/>
          </w:rPr>
          <w:t xml:space="preserve"> 40י(ב)(2)</w:t>
        </w:r>
      </w:hyperlink>
      <w:r w:rsidRPr="00EF7511">
        <w:rPr>
          <w:rFonts w:ascii="David" w:hAnsi="David" w:hint="cs"/>
          <w:rtl/>
        </w:rPr>
        <w:t xml:space="preserve"> ל</w:t>
      </w:r>
      <w:hyperlink r:id="rId29" w:history="1">
        <w:r w:rsidR="008E6BE0" w:rsidRPr="008E6BE0">
          <w:rPr>
            <w:rFonts w:ascii="David" w:hAnsi="David"/>
            <w:color w:val="0000FF"/>
            <w:u w:val="single"/>
            <w:rtl/>
          </w:rPr>
          <w:t>חוק העונשין</w:t>
        </w:r>
      </w:hyperlink>
      <w:r w:rsidRPr="00EF7511">
        <w:rPr>
          <w:rFonts w:ascii="David" w:hAnsi="David" w:hint="cs"/>
          <w:rtl/>
        </w:rPr>
        <w:t xml:space="preserve">, </w:t>
      </w:r>
      <w:r w:rsidRPr="00EF7511">
        <w:rPr>
          <w:rFonts w:ascii="David" w:hAnsi="David"/>
          <w:rtl/>
        </w:rPr>
        <w:t xml:space="preserve">ראוי שבית המשפט </w:t>
      </w:r>
      <w:r w:rsidRPr="00EF7511">
        <w:rPr>
          <w:rFonts w:ascii="Miriam" w:hAnsi="Miriam" w:cs="Miriam"/>
          <w:rtl/>
        </w:rPr>
        <w:t>"</w:t>
      </w:r>
      <w:r w:rsidRPr="00EF7511">
        <w:rPr>
          <w:rFonts w:ascii="Miriam" w:hAnsi="Miriam" w:cs="Miriam"/>
          <w:noProof/>
          <w:rtl/>
        </w:rPr>
        <w:t>לא יעשה שימוש בפרטים ועובדות שאינם נכללים במפורש בכתב האישום</w:t>
      </w:r>
      <w:r w:rsidRPr="00EF7511">
        <w:rPr>
          <w:rFonts w:ascii="Miriam" w:hAnsi="Miriam" w:cs="Miriam"/>
          <w:rtl/>
        </w:rPr>
        <w:t>"</w:t>
      </w:r>
      <w:r w:rsidRPr="00EF7511">
        <w:rPr>
          <w:rFonts w:ascii="David" w:hAnsi="David"/>
          <w:rtl/>
        </w:rPr>
        <w:t xml:space="preserve"> (</w:t>
      </w:r>
      <w:hyperlink r:id="rId30" w:history="1">
        <w:r w:rsidR="008E6BE0" w:rsidRPr="008E6BE0">
          <w:rPr>
            <w:rFonts w:ascii="David" w:hAnsi="David"/>
            <w:color w:val="0000FF"/>
            <w:u w:val="single"/>
            <w:rtl/>
          </w:rPr>
          <w:t>ע"פ 677/14</w:t>
        </w:r>
      </w:hyperlink>
      <w:r w:rsidRPr="00EF7511">
        <w:rPr>
          <w:rFonts w:ascii="David" w:hAnsi="David"/>
          <w:rtl/>
        </w:rPr>
        <w:t xml:space="preserve"> </w:t>
      </w:r>
      <w:r w:rsidRPr="00EF7511">
        <w:rPr>
          <w:rFonts w:ascii="David" w:hAnsi="David"/>
          <w:b/>
          <w:bCs/>
          <w:rtl/>
        </w:rPr>
        <w:t>דנקנר נ' מדינת ישראל</w:t>
      </w:r>
      <w:r w:rsidRPr="00EF7511">
        <w:rPr>
          <w:rFonts w:ascii="David" w:hAnsi="David"/>
          <w:rtl/>
        </w:rPr>
        <w:t xml:space="preserve"> (17.7.2014)</w:t>
      </w:r>
      <w:r w:rsidRPr="00EF7511">
        <w:rPr>
          <w:rFonts w:ascii="David" w:hAnsi="David" w:hint="cs"/>
          <w:rtl/>
        </w:rPr>
        <w:t xml:space="preserve">; </w:t>
      </w:r>
      <w:hyperlink r:id="rId31" w:history="1">
        <w:r w:rsidR="008E6BE0" w:rsidRPr="008E6BE0">
          <w:rPr>
            <w:color w:val="0000FF"/>
            <w:u w:val="single"/>
            <w:rtl/>
          </w:rPr>
          <w:t>ע"פ 7349/14</w:t>
        </w:r>
      </w:hyperlink>
      <w:r>
        <w:rPr>
          <w:rtl/>
        </w:rPr>
        <w:t xml:space="preserve"> </w:t>
      </w:r>
      <w:r w:rsidRPr="00EF7511">
        <w:rPr>
          <w:b/>
          <w:bCs/>
          <w:rtl/>
        </w:rPr>
        <w:t xml:space="preserve">מדינת ישראל נ' פלונית </w:t>
      </w:r>
      <w:r>
        <w:rPr>
          <w:rtl/>
        </w:rPr>
        <w:t>(14.5.</w:t>
      </w:r>
      <w:r>
        <w:rPr>
          <w:rFonts w:hint="cs"/>
          <w:rtl/>
        </w:rPr>
        <w:t>20</w:t>
      </w:r>
      <w:r>
        <w:rPr>
          <w:rtl/>
        </w:rPr>
        <w:t>15)</w:t>
      </w:r>
      <w:r w:rsidRPr="00EF7511">
        <w:rPr>
          <w:rFonts w:ascii="David" w:hAnsi="David" w:hint="cs"/>
          <w:rtl/>
        </w:rPr>
        <w:t>).</w:t>
      </w:r>
      <w:r>
        <w:rPr>
          <w:rFonts w:ascii="David" w:hAnsi="David" w:hint="cs"/>
          <w:rtl/>
        </w:rPr>
        <w:t xml:space="preserve"> </w:t>
      </w:r>
      <w:r w:rsidRPr="00EF7511">
        <w:rPr>
          <w:rFonts w:ascii="David" w:hAnsi="David"/>
          <w:rtl/>
        </w:rPr>
        <w:t>יתרה מזו, הנאשם הורשע גם בעבירת</w:t>
      </w:r>
      <w:r w:rsidRPr="00EF7511">
        <w:rPr>
          <w:rFonts w:ascii="David" w:hAnsi="David" w:hint="cs"/>
          <w:rtl/>
        </w:rPr>
        <w:t xml:space="preserve"> החזקת סמים </w:t>
      </w:r>
      <w:r w:rsidRPr="00EF7511">
        <w:rPr>
          <w:rFonts w:ascii="David" w:hAnsi="David" w:hint="cs"/>
          <w:u w:val="single"/>
          <w:rtl/>
        </w:rPr>
        <w:t>שלא</w:t>
      </w:r>
      <w:r w:rsidRPr="00EF7511">
        <w:rPr>
          <w:rFonts w:ascii="David" w:hAnsi="David" w:hint="cs"/>
          <w:rtl/>
        </w:rPr>
        <w:t xml:space="preserve"> לצריכה עצמית </w:t>
      </w:r>
      <w:r w:rsidRPr="00EF7511">
        <w:rPr>
          <w:rFonts w:ascii="David" w:hAnsi="David"/>
          <w:color w:val="000000"/>
          <w:rtl/>
        </w:rPr>
        <w:t>וטיעונו אפוא אף סותר את האמור בכתב האישום</w:t>
      </w:r>
      <w:r w:rsidRPr="00EF7511">
        <w:rPr>
          <w:rFonts w:ascii="David" w:hAnsi="David"/>
          <w:color w:val="000000"/>
        </w:rPr>
        <w:t>.</w:t>
      </w:r>
      <w:r w:rsidRPr="00EF7511">
        <w:rPr>
          <w:rFonts w:ascii="David" w:hAnsi="David" w:hint="cs"/>
          <w:rtl/>
        </w:rPr>
        <w:t xml:space="preserve"> </w:t>
      </w:r>
      <w:r w:rsidRPr="00560A91">
        <w:rPr>
          <w:rFonts w:ascii="David" w:hAnsi="David" w:hint="cs"/>
          <w:rtl/>
        </w:rPr>
        <w:t xml:space="preserve">דברים אלו נכונים גם ביחס לעבירה מושא תיק הצירוף, שכן </w:t>
      </w:r>
      <w:r>
        <w:rPr>
          <w:rFonts w:ascii="David" w:hAnsi="David" w:hint="cs"/>
          <w:rtl/>
        </w:rPr>
        <w:t xml:space="preserve">גם </w:t>
      </w:r>
      <w:r w:rsidRPr="00560A91">
        <w:rPr>
          <w:rFonts w:ascii="David" w:hAnsi="David" w:hint="cs"/>
          <w:rtl/>
        </w:rPr>
        <w:t xml:space="preserve">במקרה זה הודה הנאשם בהחזקה שלא לשימוש עצמי </w:t>
      </w:r>
      <w:r>
        <w:rPr>
          <w:rFonts w:ascii="David" w:hAnsi="David" w:hint="cs"/>
          <w:rtl/>
        </w:rPr>
        <w:t xml:space="preserve">ואף </w:t>
      </w:r>
      <w:r w:rsidRPr="00560A91">
        <w:rPr>
          <w:rFonts w:ascii="David" w:hAnsi="David" w:hint="cs"/>
          <w:rtl/>
        </w:rPr>
        <w:t xml:space="preserve">ביחס לכל הכמות. </w:t>
      </w:r>
      <w:r>
        <w:rPr>
          <w:rFonts w:ascii="David" w:hAnsi="David" w:hint="cs"/>
          <w:rtl/>
        </w:rPr>
        <w:t>עם זאת, מקובל עלי שהנאשם התכוון לעשות שימוש למצער בחלק מהסם וזאת לאור הרגלי הצריכה שלו שהוכחו במידה שדי בה לצורך גזר הדין.</w:t>
      </w:r>
    </w:p>
    <w:p w14:paraId="1810A2D7" w14:textId="77777777" w:rsidR="008E0C7C" w:rsidRDefault="008E0C7C" w:rsidP="008E0C7C">
      <w:pPr>
        <w:pStyle w:val="a9"/>
        <w:ind w:left="0"/>
        <w:jc w:val="both"/>
        <w:rPr>
          <w:rFonts w:ascii="David" w:hAnsi="David"/>
        </w:rPr>
      </w:pPr>
    </w:p>
    <w:p w14:paraId="5143D82A" w14:textId="77777777" w:rsidR="008E0C7C" w:rsidRPr="00560A91" w:rsidRDefault="008E0C7C" w:rsidP="008E0C7C">
      <w:pPr>
        <w:pStyle w:val="a9"/>
        <w:numPr>
          <w:ilvl w:val="0"/>
          <w:numId w:val="1"/>
        </w:numPr>
        <w:spacing w:line="360" w:lineRule="auto"/>
        <w:jc w:val="both"/>
        <w:rPr>
          <w:rFonts w:ascii="David" w:hAnsi="David"/>
        </w:rPr>
      </w:pPr>
      <w:r>
        <w:rPr>
          <w:rFonts w:ascii="David" w:hAnsi="David" w:hint="cs"/>
          <w:rtl/>
        </w:rPr>
        <w:t>ביחס לתיק הצירוף אציין ש</w:t>
      </w:r>
      <w:r w:rsidRPr="00560A91">
        <w:rPr>
          <w:rFonts w:ascii="David" w:hAnsi="David" w:hint="cs"/>
          <w:rtl/>
        </w:rPr>
        <w:t xml:space="preserve">מדובר היה בהחזקת 400 גרם קנבוס שנתפסו בתוך תיק בתא המטען של רכב בו נהג וכי רישיון הרכב פקע לפני למעלה מארבעה חודשים והנאשם אף נהג ללא פוליסת ביטוח. עבירות </w:t>
      </w:r>
      <w:r>
        <w:rPr>
          <w:rFonts w:ascii="David" w:hAnsi="David" w:hint="cs"/>
          <w:rtl/>
        </w:rPr>
        <w:t>התעבורה</w:t>
      </w:r>
      <w:r w:rsidRPr="00560A91">
        <w:rPr>
          <w:rFonts w:ascii="David" w:hAnsi="David" w:hint="cs"/>
          <w:rtl/>
        </w:rPr>
        <w:t xml:space="preserve"> מעידות על זלזול בחוקי התנועה והן עלולות לפגוע בציבור משתמשי הדרך בשל השימוש ברכב שלא נבדק כנדרש על ידי הרשויות. לכך יש להוסיף כי </w:t>
      </w:r>
      <w:r>
        <w:rPr>
          <w:rFonts w:ascii="David" w:hAnsi="David" w:hint="cs"/>
          <w:rtl/>
        </w:rPr>
        <w:t>הנהיגה</w:t>
      </w:r>
      <w:r w:rsidRPr="00560A91">
        <w:rPr>
          <w:rFonts w:ascii="David" w:hAnsi="David"/>
          <w:rtl/>
        </w:rPr>
        <w:t xml:space="preserve"> לא הייתה מבוטחת ומשכך היא מבטאת לא רק זלזול בחוק ויצירת סיכון לגוף, אלא היא גם פוגעת בקופה הציבורית, שכן במקרה של נזק גוף תישא קרנית בפיצוי הנפגע (עם אפשרות חזרה לנהג; </w:t>
      </w:r>
      <w:hyperlink r:id="rId32" w:history="1">
        <w:r w:rsidR="008E6BE0" w:rsidRPr="008E6BE0">
          <w:rPr>
            <w:rFonts w:ascii="David" w:hAnsi="David"/>
            <w:color w:val="0000FF"/>
            <w:u w:val="single"/>
            <w:rtl/>
          </w:rPr>
          <w:t>רע"פ 5635/19</w:t>
        </w:r>
      </w:hyperlink>
      <w:r w:rsidRPr="00560A91">
        <w:rPr>
          <w:rFonts w:ascii="David" w:hAnsi="David"/>
          <w:rtl/>
        </w:rPr>
        <w:t xml:space="preserve"> </w:t>
      </w:r>
      <w:r w:rsidRPr="00560A91">
        <w:rPr>
          <w:rFonts w:ascii="David" w:hAnsi="David"/>
          <w:b/>
          <w:bCs/>
          <w:rtl/>
        </w:rPr>
        <w:t>יעקובוב נ' מדינת ישראל</w:t>
      </w:r>
      <w:r w:rsidRPr="00560A91">
        <w:rPr>
          <w:rFonts w:ascii="David" w:hAnsi="David"/>
          <w:rtl/>
        </w:rPr>
        <w:t xml:space="preserve">, פסקה 12 (4.9.2019); </w:t>
      </w:r>
      <w:hyperlink r:id="rId33" w:history="1">
        <w:r w:rsidR="008E6BE0" w:rsidRPr="008E6BE0">
          <w:rPr>
            <w:rFonts w:ascii="David" w:hAnsi="David"/>
            <w:color w:val="0000FF"/>
            <w:u w:val="single"/>
            <w:rtl/>
          </w:rPr>
          <w:t>רע"פ 2666/12</w:t>
        </w:r>
      </w:hyperlink>
      <w:r w:rsidRPr="00560A91">
        <w:rPr>
          <w:rFonts w:ascii="David" w:hAnsi="David"/>
          <w:rtl/>
        </w:rPr>
        <w:t xml:space="preserve"> </w:t>
      </w:r>
      <w:r w:rsidRPr="00560A91">
        <w:rPr>
          <w:rFonts w:ascii="David" w:hAnsi="David"/>
          <w:b/>
          <w:bCs/>
          <w:rtl/>
        </w:rPr>
        <w:t>אמיר עטאללה נ' מדינת ישראל</w:t>
      </w:r>
      <w:r w:rsidRPr="00560A91">
        <w:rPr>
          <w:rFonts w:ascii="David" w:hAnsi="David"/>
          <w:rtl/>
        </w:rPr>
        <w:t>, פס' ז (23.4.2012)).</w:t>
      </w:r>
    </w:p>
    <w:p w14:paraId="32C896BB" w14:textId="77777777" w:rsidR="008E0C7C" w:rsidRPr="00840CAD" w:rsidRDefault="008E0C7C" w:rsidP="008E0C7C">
      <w:pPr>
        <w:pStyle w:val="a9"/>
        <w:rPr>
          <w:rFonts w:ascii="David" w:hAnsi="David"/>
          <w:rtl/>
        </w:rPr>
      </w:pPr>
    </w:p>
    <w:p w14:paraId="544B44BF"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 xml:space="preserve">הענישה המוטלת בעבירות גידול סמים </w:t>
      </w:r>
      <w:r w:rsidRPr="00840CAD">
        <w:rPr>
          <w:rFonts w:ascii="David" w:hAnsi="David"/>
          <w:rtl/>
        </w:rPr>
        <w:t xml:space="preserve">משתנה ממקרה למקרה והיא תלויה בין היתר בכמות הסם (מספר השתילים והמשקל) ובנסיבותיו של הנאשם (עבר פלילי, שיקום, תסקיר חיובי וכיוצב'). עם זאת נקבע לא אחת כי יש להחמיר עם אלו שמגדלים סמים. ראו למשל </w:t>
      </w:r>
      <w:hyperlink r:id="rId34" w:history="1">
        <w:r w:rsidR="008E6BE0" w:rsidRPr="008E6BE0">
          <w:rPr>
            <w:rFonts w:ascii="David" w:hAnsi="David"/>
            <w:color w:val="0000FF"/>
            <w:u w:val="single"/>
            <w:rtl/>
          </w:rPr>
          <w:t>רע"פ 2917/23</w:t>
        </w:r>
      </w:hyperlink>
      <w:r w:rsidRPr="00840CAD">
        <w:rPr>
          <w:rFonts w:ascii="David" w:hAnsi="David"/>
          <w:rtl/>
        </w:rPr>
        <w:t xml:space="preserve"> </w:t>
      </w:r>
      <w:r w:rsidRPr="00840CAD">
        <w:rPr>
          <w:rFonts w:ascii="David" w:hAnsi="David"/>
          <w:b/>
          <w:bCs/>
          <w:rtl/>
        </w:rPr>
        <w:t>אבי וזאנה נ' מדינת ישראל</w:t>
      </w:r>
      <w:r w:rsidRPr="00840CAD">
        <w:rPr>
          <w:rFonts w:ascii="David" w:hAnsi="David"/>
          <w:rtl/>
        </w:rPr>
        <w:t xml:space="preserve"> (24.5.2023):</w:t>
      </w:r>
    </w:p>
    <w:p w14:paraId="669931CB" w14:textId="77777777" w:rsidR="008E0C7C" w:rsidRPr="00840CAD" w:rsidRDefault="008E0C7C" w:rsidP="008E0C7C">
      <w:pPr>
        <w:pStyle w:val="a9"/>
        <w:rPr>
          <w:rFonts w:ascii="David" w:hAnsi="David"/>
          <w:rtl/>
        </w:rPr>
      </w:pPr>
    </w:p>
    <w:p w14:paraId="1E1833DB" w14:textId="77777777" w:rsidR="008E0C7C" w:rsidRDefault="008E0C7C" w:rsidP="008E0C7C">
      <w:pPr>
        <w:pStyle w:val="a9"/>
        <w:ind w:left="1134" w:right="1134"/>
        <w:jc w:val="both"/>
        <w:rPr>
          <w:rFonts w:ascii="Miriam" w:hAnsi="Miriam" w:cs="Miriam"/>
          <w:rtl/>
        </w:rPr>
      </w:pPr>
      <w:r w:rsidRPr="00840CAD">
        <w:rPr>
          <w:rFonts w:ascii="Miriam" w:hAnsi="Miriam" w:cs="Miriam"/>
          <w:rtl/>
        </w:rPr>
        <w:t>"בית משפט זה הדגיש לא אחת את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w:t>
      </w:r>
      <w:r>
        <w:rPr>
          <w:rFonts w:ascii="Miriam" w:hAnsi="Miriam" w:cs="Miriam" w:hint="cs"/>
          <w:rtl/>
        </w:rPr>
        <w:t>.</w:t>
      </w:r>
    </w:p>
    <w:p w14:paraId="218A1CBF" w14:textId="77777777" w:rsidR="008E0C7C" w:rsidRDefault="008E0C7C" w:rsidP="008E0C7C">
      <w:pPr>
        <w:ind w:right="1134"/>
        <w:rPr>
          <w:rFonts w:ascii="David" w:hAnsi="David"/>
          <w:rtl/>
        </w:rPr>
      </w:pPr>
    </w:p>
    <w:p w14:paraId="4A7D8A1A" w14:textId="77777777" w:rsidR="008E0C7C" w:rsidRPr="004667C6" w:rsidRDefault="008E0C7C" w:rsidP="008E0C7C">
      <w:pPr>
        <w:ind w:right="1134"/>
        <w:rPr>
          <w:rFonts w:ascii="Miriam" w:hAnsi="Miriam" w:cs="Miriam"/>
          <w:rtl/>
        </w:rPr>
      </w:pPr>
      <w:r>
        <w:rPr>
          <w:rFonts w:ascii="David" w:hAnsi="David"/>
          <w:rtl/>
        </w:rPr>
        <w:tab/>
      </w:r>
      <w:r w:rsidRPr="004667C6">
        <w:rPr>
          <w:rFonts w:ascii="David" w:hAnsi="David"/>
          <w:rtl/>
        </w:rPr>
        <w:t xml:space="preserve">וראו גם: </w:t>
      </w:r>
      <w:hyperlink r:id="rId35" w:history="1">
        <w:r w:rsidR="008E6BE0" w:rsidRPr="008E6BE0">
          <w:rPr>
            <w:rFonts w:ascii="David" w:hAnsi="David"/>
            <w:color w:val="0000FF"/>
            <w:u w:val="single"/>
            <w:rtl/>
          </w:rPr>
          <w:t>ע"פ 4387/20</w:t>
        </w:r>
      </w:hyperlink>
      <w:r w:rsidRPr="004667C6">
        <w:rPr>
          <w:rFonts w:ascii="David" w:hAnsi="David"/>
          <w:rtl/>
        </w:rPr>
        <w:t xml:space="preserve"> </w:t>
      </w:r>
      <w:r w:rsidRPr="004667C6">
        <w:rPr>
          <w:rFonts w:ascii="David" w:hAnsi="David"/>
          <w:b/>
          <w:bCs/>
          <w:rtl/>
        </w:rPr>
        <w:t>מדינת ישראל נ' טל דרור</w:t>
      </w:r>
      <w:r w:rsidRPr="004667C6">
        <w:rPr>
          <w:rFonts w:ascii="David" w:hAnsi="David"/>
          <w:rtl/>
        </w:rPr>
        <w:t xml:space="preserve"> (8.2.2021):</w:t>
      </w:r>
    </w:p>
    <w:p w14:paraId="4D27E28F" w14:textId="77777777" w:rsidR="008E0C7C" w:rsidRPr="00840CAD" w:rsidRDefault="008E0C7C" w:rsidP="008E0C7C">
      <w:pPr>
        <w:pStyle w:val="a9"/>
        <w:spacing w:line="360" w:lineRule="auto"/>
        <w:rPr>
          <w:rFonts w:ascii="David" w:hAnsi="David"/>
          <w:rtl/>
        </w:rPr>
      </w:pPr>
    </w:p>
    <w:p w14:paraId="0E2B5CFF" w14:textId="77777777" w:rsidR="008E0C7C" w:rsidRPr="004667C6" w:rsidRDefault="008E0C7C" w:rsidP="008E0C7C">
      <w:pPr>
        <w:pStyle w:val="a9"/>
        <w:ind w:left="1134" w:right="1134"/>
        <w:jc w:val="both"/>
        <w:rPr>
          <w:rFonts w:ascii="Miriam" w:hAnsi="Miriam" w:cs="Miriam"/>
          <w:rtl/>
        </w:rPr>
      </w:pPr>
      <w:r w:rsidRPr="004667C6">
        <w:rPr>
          <w:rFonts w:ascii="Miriam" w:hAnsi="Miriam" w:cs="Miriam"/>
          <w:rtl/>
        </w:rPr>
        <w:t xml:space="preserve"> "בית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p>
    <w:p w14:paraId="309B5C55" w14:textId="77777777" w:rsidR="008E0C7C" w:rsidRPr="00840CAD" w:rsidRDefault="008E0C7C" w:rsidP="008E0C7C">
      <w:pPr>
        <w:pStyle w:val="a9"/>
        <w:spacing w:line="360" w:lineRule="auto"/>
        <w:rPr>
          <w:rFonts w:ascii="David" w:hAnsi="David"/>
          <w:rtl/>
        </w:rPr>
      </w:pPr>
    </w:p>
    <w:p w14:paraId="5331FD79" w14:textId="77777777" w:rsidR="008E0C7C" w:rsidRDefault="008E0C7C" w:rsidP="008E0C7C">
      <w:pPr>
        <w:spacing w:line="360" w:lineRule="auto"/>
        <w:ind w:firstLine="720"/>
        <w:rPr>
          <w:rFonts w:ascii="David" w:hAnsi="David"/>
          <w:rtl/>
        </w:rPr>
      </w:pPr>
      <w:r w:rsidRPr="004667C6">
        <w:rPr>
          <w:rFonts w:ascii="David" w:hAnsi="David"/>
          <w:rtl/>
        </w:rPr>
        <w:t xml:space="preserve">ראו גם </w:t>
      </w:r>
      <w:hyperlink r:id="rId36" w:history="1">
        <w:r w:rsidR="008E6BE0" w:rsidRPr="008E6BE0">
          <w:rPr>
            <w:rFonts w:ascii="David" w:hAnsi="David"/>
            <w:color w:val="0000FF"/>
            <w:u w:val="single"/>
            <w:rtl/>
          </w:rPr>
          <w:t>רע"פ 3287/21</w:t>
        </w:r>
      </w:hyperlink>
      <w:r w:rsidRPr="004667C6">
        <w:rPr>
          <w:rFonts w:ascii="David" w:hAnsi="David"/>
          <w:rtl/>
        </w:rPr>
        <w:t xml:space="preserve"> </w:t>
      </w:r>
      <w:r w:rsidRPr="004667C6">
        <w:rPr>
          <w:rFonts w:ascii="David" w:hAnsi="David"/>
          <w:b/>
          <w:bCs/>
          <w:rtl/>
        </w:rPr>
        <w:t>זארע עתמין נ' מדינת ישראל</w:t>
      </w:r>
      <w:r w:rsidRPr="004667C6">
        <w:rPr>
          <w:rFonts w:ascii="David" w:hAnsi="David"/>
          <w:rtl/>
        </w:rPr>
        <w:t xml:space="preserve"> (15.2.2021); </w:t>
      </w:r>
      <w:hyperlink r:id="rId37" w:history="1">
        <w:r w:rsidR="008E6BE0" w:rsidRPr="008E6BE0">
          <w:rPr>
            <w:rFonts w:ascii="David" w:hAnsi="David"/>
            <w:color w:val="0000FF"/>
            <w:u w:val="single"/>
            <w:rtl/>
          </w:rPr>
          <w:t>ע"פ 8048/19</w:t>
        </w:r>
      </w:hyperlink>
      <w:r w:rsidRPr="004667C6">
        <w:rPr>
          <w:rFonts w:ascii="David" w:hAnsi="David"/>
          <w:rtl/>
        </w:rPr>
        <w:t xml:space="preserve"> </w:t>
      </w:r>
      <w:r w:rsidRPr="004667C6">
        <w:rPr>
          <w:rFonts w:ascii="David" w:hAnsi="David"/>
          <w:b/>
          <w:bCs/>
          <w:rtl/>
        </w:rPr>
        <w:t>פיצ'חדזה נ' מדינת ישראל</w:t>
      </w:r>
      <w:r w:rsidRPr="004667C6">
        <w:rPr>
          <w:rFonts w:ascii="David" w:hAnsi="David"/>
          <w:rtl/>
        </w:rPr>
        <w:t xml:space="preserve"> (4.6.2020).</w:t>
      </w:r>
    </w:p>
    <w:p w14:paraId="3FD5E792" w14:textId="77777777" w:rsidR="008E0C7C" w:rsidRDefault="008E0C7C" w:rsidP="008E0C7C">
      <w:pPr>
        <w:spacing w:line="360" w:lineRule="auto"/>
        <w:jc w:val="both"/>
        <w:rPr>
          <w:rFonts w:ascii="David" w:hAnsi="David"/>
          <w:rtl/>
        </w:rPr>
      </w:pPr>
    </w:p>
    <w:p w14:paraId="0C219300" w14:textId="77777777" w:rsidR="008E0C7C" w:rsidRDefault="008E0C7C" w:rsidP="008E0C7C">
      <w:pPr>
        <w:pStyle w:val="a9"/>
        <w:numPr>
          <w:ilvl w:val="0"/>
          <w:numId w:val="1"/>
        </w:numPr>
        <w:spacing w:line="360" w:lineRule="auto"/>
        <w:jc w:val="both"/>
        <w:rPr>
          <w:rFonts w:ascii="David" w:hAnsi="David"/>
        </w:rPr>
      </w:pPr>
      <w:r w:rsidRPr="004667C6">
        <w:rPr>
          <w:rFonts w:ascii="David" w:hAnsi="David"/>
          <w:rtl/>
        </w:rPr>
        <w:t xml:space="preserve">לצורך בחינת מדיניות הענישה הנוהגת ניתן להפנות לפסקי הדין הבאים, בשינויים המחויבים: </w:t>
      </w:r>
      <w:hyperlink r:id="rId38" w:history="1">
        <w:r w:rsidR="008E6BE0" w:rsidRPr="008E6BE0">
          <w:rPr>
            <w:rFonts w:ascii="David" w:hAnsi="David"/>
            <w:color w:val="0000FF"/>
            <w:u w:val="single"/>
            <w:rtl/>
          </w:rPr>
          <w:t>רע"פ 7166-23</w:t>
        </w:r>
      </w:hyperlink>
      <w:r w:rsidRPr="004667C6">
        <w:rPr>
          <w:rFonts w:ascii="David" w:hAnsi="David"/>
          <w:rtl/>
        </w:rPr>
        <w:t xml:space="preserve"> </w:t>
      </w:r>
      <w:r w:rsidRPr="004667C6">
        <w:rPr>
          <w:rFonts w:ascii="David" w:hAnsi="David"/>
          <w:b/>
          <w:bCs/>
          <w:rtl/>
        </w:rPr>
        <w:t>עופר אמסלם נ' מדינת ישראל</w:t>
      </w:r>
      <w:r w:rsidRPr="004667C6">
        <w:rPr>
          <w:rFonts w:ascii="David" w:hAnsi="David"/>
          <w:rtl/>
        </w:rPr>
        <w:t xml:space="preserve"> (28.9.2023), בו נידון עניינו של נאשם שהורשע בשני כתבי אישום בעבירות גידול סמים, החזקת סמים והחזקת כלים בכך שבשני מועדים נתפס מגדל במעבדות סמים שהקים 98</w:t>
      </w:r>
      <w:r>
        <w:rPr>
          <w:rFonts w:ascii="David" w:hAnsi="David" w:hint="cs"/>
          <w:rtl/>
        </w:rPr>
        <w:t xml:space="preserve"> ו- </w:t>
      </w:r>
      <w:r w:rsidRPr="004667C6">
        <w:rPr>
          <w:rFonts w:ascii="David" w:hAnsi="David"/>
          <w:rtl/>
        </w:rPr>
        <w:t>99 שתילי קנבוס. בית משפט השלום קבע מתחם ענישה לכל כתב האישום הנע בין 10-36 חודשי מאסר בפועל והנאשם נידון לתשעה חודשי מאסר לריצוי בעבודות שירות. ערעור המדינה התקבל ועונשו הוחמר ל-10 חודשי מאסר ובקשת רשות ערעור שהגיש נדחתה</w:t>
      </w:r>
      <w:r>
        <w:rPr>
          <w:rFonts w:ascii="David" w:hAnsi="David" w:hint="cs"/>
          <w:rtl/>
        </w:rPr>
        <w:t xml:space="preserve">; </w:t>
      </w:r>
      <w:hyperlink r:id="rId39" w:history="1">
        <w:r w:rsidR="008E6BE0" w:rsidRPr="008E6BE0">
          <w:rPr>
            <w:rFonts w:ascii="David" w:hAnsi="David"/>
            <w:color w:val="0000FF"/>
            <w:u w:val="single"/>
            <w:rtl/>
          </w:rPr>
          <w:t>רע"פ 513/21</w:t>
        </w:r>
      </w:hyperlink>
      <w:r w:rsidRPr="004667C6">
        <w:rPr>
          <w:rFonts w:ascii="David" w:hAnsi="David"/>
          <w:rtl/>
        </w:rPr>
        <w:t xml:space="preserve"> </w:t>
      </w:r>
      <w:r w:rsidRPr="004667C6">
        <w:rPr>
          <w:rFonts w:ascii="David" w:hAnsi="David"/>
          <w:b/>
          <w:bCs/>
          <w:rtl/>
        </w:rPr>
        <w:t>עידן יהושע נ' מדינת ישראל</w:t>
      </w:r>
      <w:r w:rsidRPr="004667C6">
        <w:rPr>
          <w:rFonts w:ascii="David" w:hAnsi="David"/>
          <w:rtl/>
        </w:rPr>
        <w:t xml:space="preserve"> (4.3.2021), בו נידון נאשם שגידל 60 שתילים במשקל כולל של 10 ק"ג והחזיק כלים המשמשים להכנת סם מסוכן, לעשרה חודשי מאסר בפועל וזאת למרות הליך שיקומי שעבר; </w:t>
      </w:r>
      <w:hyperlink r:id="rId40" w:history="1">
        <w:r w:rsidR="008E6BE0" w:rsidRPr="008E6BE0">
          <w:rPr>
            <w:rFonts w:ascii="David" w:hAnsi="David"/>
            <w:color w:val="0000FF"/>
            <w:u w:val="single"/>
            <w:rtl/>
          </w:rPr>
          <w:t>רע"פ 2151/21</w:t>
        </w:r>
      </w:hyperlink>
      <w:r w:rsidRPr="004667C6">
        <w:rPr>
          <w:rFonts w:ascii="David" w:hAnsi="David"/>
          <w:rtl/>
        </w:rPr>
        <w:t xml:space="preserve"> </w:t>
      </w:r>
      <w:r w:rsidRPr="004667C6">
        <w:rPr>
          <w:rFonts w:ascii="David" w:hAnsi="David"/>
          <w:b/>
          <w:bCs/>
          <w:rtl/>
        </w:rPr>
        <w:t xml:space="preserve">שחף דהן נ' מדינת ישראל </w:t>
      </w:r>
      <w:r w:rsidRPr="004667C6">
        <w:rPr>
          <w:rFonts w:ascii="David" w:hAnsi="David"/>
          <w:rtl/>
        </w:rPr>
        <w:t>(7.4.2021), בו נידון נאשם ל-18 חודשי מאסר בגין גידול 100 שתילי קנבוס במשקל כולל של 23 ק"ג. עברו של הנאשם היה נקי אך התסקיר בעניינו היה שלילי;</w:t>
      </w:r>
      <w:r>
        <w:rPr>
          <w:rFonts w:ascii="David" w:hAnsi="David" w:hint="cs"/>
          <w:rtl/>
        </w:rPr>
        <w:t xml:space="preserve"> </w:t>
      </w:r>
      <w:hyperlink r:id="rId41" w:history="1">
        <w:r w:rsidR="008E6BE0" w:rsidRPr="008E6BE0">
          <w:rPr>
            <w:rFonts w:ascii="David" w:hAnsi="David"/>
            <w:color w:val="0000FF"/>
            <w:u w:val="single"/>
            <w:rtl/>
          </w:rPr>
          <w:t>עפ"ג 32119-08-21</w:t>
        </w:r>
      </w:hyperlink>
      <w:r w:rsidRPr="00F31250">
        <w:rPr>
          <w:rFonts w:ascii="David" w:hAnsi="David"/>
          <w:rtl/>
        </w:rPr>
        <w:t xml:space="preserve"> </w:t>
      </w:r>
      <w:r w:rsidRPr="006C3200">
        <w:rPr>
          <w:rFonts w:ascii="David" w:hAnsi="David"/>
          <w:b/>
          <w:bCs/>
          <w:rtl/>
        </w:rPr>
        <w:t>אדיר יואב נ' מדינת ישראל</w:t>
      </w:r>
      <w:r w:rsidRPr="00F31250">
        <w:rPr>
          <w:rFonts w:ascii="David" w:hAnsi="David"/>
          <w:rtl/>
        </w:rPr>
        <w:t xml:space="preserve"> (28.10.2021), בו נידון נאשם שגידל 68</w:t>
      </w:r>
      <w:r>
        <w:rPr>
          <w:rFonts w:ascii="David" w:hAnsi="David" w:hint="cs"/>
          <w:rtl/>
        </w:rPr>
        <w:t xml:space="preserve"> </w:t>
      </w:r>
      <w:r w:rsidRPr="00F31250">
        <w:rPr>
          <w:rFonts w:ascii="David" w:hAnsi="David"/>
          <w:rtl/>
        </w:rPr>
        <w:t xml:space="preserve">שתילי קנבוס במשקל 7.56 ק"ג נטו לשישה חודשי מאסר בעבודות שירות ועונשים נלווים; </w:t>
      </w:r>
      <w:hyperlink r:id="rId42" w:history="1">
        <w:r w:rsidR="008E6BE0" w:rsidRPr="008E6BE0">
          <w:rPr>
            <w:rFonts w:ascii="David" w:hAnsi="David"/>
            <w:color w:val="0000FF"/>
            <w:u w:val="single"/>
            <w:rtl/>
          </w:rPr>
          <w:t>עפ"ג 54910-04-21</w:t>
        </w:r>
      </w:hyperlink>
      <w:r w:rsidRPr="00F31250">
        <w:rPr>
          <w:rFonts w:ascii="David" w:hAnsi="David"/>
          <w:rtl/>
        </w:rPr>
        <w:t xml:space="preserve"> </w:t>
      </w:r>
      <w:r w:rsidRPr="00F31250">
        <w:rPr>
          <w:rFonts w:ascii="David" w:hAnsi="David"/>
          <w:b/>
          <w:bCs/>
          <w:rtl/>
        </w:rPr>
        <w:t>מדינת ישראל נ' בן עזרי</w:t>
      </w:r>
      <w:r w:rsidRPr="00F31250">
        <w:rPr>
          <w:rFonts w:ascii="David" w:hAnsi="David"/>
          <w:rtl/>
        </w:rPr>
        <w:t xml:space="preserve"> (19.7.2021), בו נידון נאשם שגידל 100 שתילי קנבוס במשקל של כ-17 ק"ג לתשעה חודשי מאסר בעבודות שירות ועונשים נלווים.</w:t>
      </w:r>
    </w:p>
    <w:p w14:paraId="7F111AFF" w14:textId="77777777" w:rsidR="008E0C7C" w:rsidRDefault="008E0C7C" w:rsidP="008E0C7C">
      <w:pPr>
        <w:pStyle w:val="a9"/>
        <w:ind w:left="0"/>
        <w:jc w:val="both"/>
        <w:rPr>
          <w:rFonts w:ascii="David" w:hAnsi="David"/>
        </w:rPr>
      </w:pPr>
    </w:p>
    <w:p w14:paraId="4E45AB16" w14:textId="77777777" w:rsidR="008E0C7C" w:rsidRPr="004667C6" w:rsidRDefault="008E0C7C" w:rsidP="008E0C7C">
      <w:pPr>
        <w:pStyle w:val="a9"/>
        <w:numPr>
          <w:ilvl w:val="0"/>
          <w:numId w:val="1"/>
        </w:numPr>
        <w:spacing w:line="360" w:lineRule="auto"/>
        <w:jc w:val="both"/>
        <w:rPr>
          <w:rFonts w:ascii="David" w:hAnsi="David"/>
          <w:rtl/>
        </w:rPr>
      </w:pPr>
      <w:r>
        <w:rPr>
          <w:rFonts w:ascii="David" w:hAnsi="David" w:hint="cs"/>
          <w:rtl/>
        </w:rPr>
        <w:t xml:space="preserve">ביחס למדיניות הענישה בעבירות החזקת סם מסוג קנבוס שלא לצריכה עצמית אפנה לפסקי הדין הבאים: </w:t>
      </w:r>
      <w:hyperlink r:id="rId43" w:history="1">
        <w:r w:rsidR="008E6BE0" w:rsidRPr="008E6BE0">
          <w:rPr>
            <w:rFonts w:ascii="David" w:hAnsi="David"/>
            <w:color w:val="0000FF"/>
            <w:u w:val="single"/>
            <w:rtl/>
          </w:rPr>
          <w:t>רע"פ 636/21</w:t>
        </w:r>
      </w:hyperlink>
      <w:r w:rsidRPr="00083B5F">
        <w:rPr>
          <w:rFonts w:ascii="David" w:hAnsi="David"/>
          <w:rtl/>
        </w:rPr>
        <w:t xml:space="preserve"> ‏ </w:t>
      </w:r>
      <w:r w:rsidRPr="00083B5F">
        <w:rPr>
          <w:rFonts w:ascii="David" w:hAnsi="David"/>
          <w:b/>
          <w:bCs/>
          <w:rtl/>
        </w:rPr>
        <w:t>ברוך לוי נ' מדינת ישראל</w:t>
      </w:r>
      <w:r w:rsidRPr="00083B5F">
        <w:rPr>
          <w:rFonts w:ascii="David" w:hAnsi="David"/>
          <w:rtl/>
        </w:rPr>
        <w:t xml:space="preserve"> (16.2.2021), בו נידון נאשם שהורשע בהחזקת חשיש במשקל כולל של כ-760 גרם נטו. בית משפט השלום קבע מתחם הנע בין 6 חודשי מאסר לריצוי בדרך של עבודות שירות ועד 12 חודשי מאסר בפועל ועל אף תסקיר חיובי שהמליץ על של"צ הוטל עונש בן 4 חודשי מאסר בעבודות שירות; </w:t>
      </w:r>
      <w:hyperlink r:id="rId44" w:history="1">
        <w:r w:rsidR="008E6BE0" w:rsidRPr="008E6BE0">
          <w:rPr>
            <w:rFonts w:ascii="David" w:hAnsi="David"/>
            <w:color w:val="0000FF"/>
            <w:u w:val="single"/>
            <w:rtl/>
          </w:rPr>
          <w:t>רע"פ 8759/21</w:t>
        </w:r>
      </w:hyperlink>
      <w:r w:rsidRPr="00083B5F">
        <w:rPr>
          <w:rFonts w:ascii="David" w:hAnsi="David"/>
          <w:rtl/>
        </w:rPr>
        <w:t xml:space="preserve"> </w:t>
      </w:r>
      <w:r w:rsidRPr="00083B5F">
        <w:rPr>
          <w:rFonts w:ascii="David" w:hAnsi="David"/>
          <w:b/>
          <w:bCs/>
          <w:rtl/>
        </w:rPr>
        <w:t>אלעד קסלר נ' מדינת ישראל</w:t>
      </w:r>
      <w:r w:rsidRPr="00083B5F">
        <w:rPr>
          <w:rFonts w:ascii="David" w:hAnsi="David"/>
          <w:rtl/>
        </w:rPr>
        <w:t xml:space="preserve"> (23.12.2021), בו הורשע נאשם בהחזקת 229 גרם קנבוס והחזקת סכין והוטלו עליו 30 ימי מאסר בעבודות שירות, צו מבחן ועונשים נלווים</w:t>
      </w:r>
      <w:r>
        <w:rPr>
          <w:rFonts w:ascii="David" w:hAnsi="David" w:hint="cs"/>
          <w:rtl/>
        </w:rPr>
        <w:t xml:space="preserve">; </w:t>
      </w:r>
      <w:hyperlink r:id="rId45" w:history="1">
        <w:r w:rsidR="008E6BE0" w:rsidRPr="008E6BE0">
          <w:rPr>
            <w:rFonts w:ascii="David" w:hAnsi="David"/>
            <w:color w:val="0000FF"/>
            <w:u w:val="single"/>
            <w:rtl/>
          </w:rPr>
          <w:t>ת"פ 22981-12-22</w:t>
        </w:r>
      </w:hyperlink>
      <w:r w:rsidRPr="00083B5F">
        <w:rPr>
          <w:rFonts w:ascii="David" w:hAnsi="David"/>
          <w:rtl/>
        </w:rPr>
        <w:t xml:space="preserve"> </w:t>
      </w:r>
      <w:r w:rsidRPr="00083B5F">
        <w:rPr>
          <w:rFonts w:ascii="David" w:hAnsi="David"/>
          <w:b/>
          <w:bCs/>
          <w:rtl/>
        </w:rPr>
        <w:t>מדינת ישראל נ' רשאד חילף</w:t>
      </w:r>
      <w:r>
        <w:rPr>
          <w:rFonts w:ascii="David" w:hAnsi="David" w:hint="cs"/>
          <w:rtl/>
        </w:rPr>
        <w:t xml:space="preserve"> (26.9.2023), בו נידון עניינו של נאשם שהורשע בהחזקת שישה שתילי קנבוס במשקל כולל של 318 גרם נטו ונקבע כי מתחם הענישה נע </w:t>
      </w:r>
      <w:r>
        <w:rPr>
          <w:rFonts w:ascii="David" w:hAnsi="David"/>
          <w:color w:val="000000"/>
          <w:rtl/>
        </w:rPr>
        <w:t>בין מאסר מותנה ועד 10 חודשי מאסר בפו</w:t>
      </w:r>
      <w:r>
        <w:rPr>
          <w:rFonts w:ascii="David" w:hAnsi="David" w:hint="cs"/>
          <w:color w:val="000000"/>
          <w:rtl/>
        </w:rPr>
        <w:t xml:space="preserve">על (יצוין כי </w:t>
      </w:r>
      <w:r w:rsidRPr="00083B5F">
        <w:rPr>
          <w:rFonts w:ascii="David" w:hAnsi="David"/>
          <w:color w:val="000000"/>
          <w:rtl/>
        </w:rPr>
        <w:t xml:space="preserve">העבירה שיוחסה </w:t>
      </w:r>
      <w:r>
        <w:rPr>
          <w:rFonts w:ascii="David" w:hAnsi="David" w:hint="cs"/>
          <w:color w:val="000000"/>
          <w:rtl/>
        </w:rPr>
        <w:t>לנאשם</w:t>
      </w:r>
      <w:r w:rsidRPr="00083B5F">
        <w:rPr>
          <w:rFonts w:ascii="David" w:hAnsi="David"/>
          <w:color w:val="000000"/>
          <w:rtl/>
        </w:rPr>
        <w:t xml:space="preserve"> היא החזקת סם ולא גידול</w:t>
      </w:r>
      <w:r>
        <w:rPr>
          <w:rFonts w:ascii="David" w:hAnsi="David" w:hint="cs"/>
          <w:rtl/>
        </w:rPr>
        <w:t xml:space="preserve">); </w:t>
      </w:r>
      <w:hyperlink r:id="rId46" w:history="1">
        <w:r w:rsidR="008E6BE0" w:rsidRPr="008E6BE0">
          <w:rPr>
            <w:rFonts w:ascii="David" w:hAnsi="David"/>
            <w:color w:val="0000FF"/>
            <w:u w:val="single"/>
            <w:rtl/>
          </w:rPr>
          <w:t>ת.פ 22981-12-22</w:t>
        </w:r>
      </w:hyperlink>
      <w:r>
        <w:rPr>
          <w:rFonts w:ascii="David" w:hAnsi="David" w:hint="cs"/>
          <w:rtl/>
        </w:rPr>
        <w:t xml:space="preserve"> </w:t>
      </w:r>
      <w:r w:rsidRPr="00FF0462">
        <w:rPr>
          <w:rFonts w:ascii="David" w:hAnsi="David" w:hint="cs"/>
          <w:b/>
          <w:bCs/>
          <w:rtl/>
        </w:rPr>
        <w:t>מדינת ישראל נ' חילף</w:t>
      </w:r>
      <w:r>
        <w:rPr>
          <w:rFonts w:ascii="David" w:hAnsi="David" w:hint="cs"/>
          <w:rtl/>
        </w:rPr>
        <w:t xml:space="preserve"> (26.9.2023) בו נקבע מתחם ענישה הנע בין מאסר מותנה ועד 10 חודשי מאסר בגין החזקת סם מסוג קנביס במשקל 318 גרם שלא לשימוש עצמי.</w:t>
      </w:r>
    </w:p>
    <w:p w14:paraId="61C14DF9" w14:textId="77777777" w:rsidR="008E0C7C" w:rsidRPr="00840CAD" w:rsidRDefault="008E0C7C" w:rsidP="008E0C7C">
      <w:pPr>
        <w:pStyle w:val="a9"/>
        <w:ind w:left="0"/>
        <w:jc w:val="both"/>
        <w:rPr>
          <w:rFonts w:ascii="David" w:hAnsi="David"/>
          <w:rtl/>
        </w:rPr>
      </w:pPr>
    </w:p>
    <w:p w14:paraId="4FD92146" w14:textId="77777777" w:rsidR="008E0C7C" w:rsidRPr="001B6FDD" w:rsidRDefault="008E6BE0" w:rsidP="008E0C7C">
      <w:pPr>
        <w:pStyle w:val="a9"/>
        <w:numPr>
          <w:ilvl w:val="0"/>
          <w:numId w:val="1"/>
        </w:numPr>
        <w:spacing w:line="360" w:lineRule="auto"/>
        <w:jc w:val="both"/>
        <w:rPr>
          <w:rFonts w:ascii="David" w:hAnsi="David"/>
          <w:rtl/>
        </w:rPr>
      </w:pPr>
      <w:r>
        <w:rPr>
          <w:color w:val="000000"/>
          <w:sz w:val="14"/>
          <w:szCs w:val="14"/>
        </w:rPr>
        <w:t xml:space="preserve"> </w:t>
      </w:r>
      <w:r w:rsidR="008E0C7C">
        <w:rPr>
          <w:rFonts w:ascii="David" w:hAnsi="David"/>
          <w:color w:val="000000"/>
          <w:rtl/>
        </w:rPr>
        <w:t xml:space="preserve">לאור כל זאת, אני בדעה כי מתחם הענישה ההולם את העבירות מושא </w:t>
      </w:r>
      <w:r w:rsidR="008E0C7C">
        <w:rPr>
          <w:rFonts w:ascii="David" w:hAnsi="David" w:hint="cs"/>
          <w:color w:val="000000"/>
          <w:rtl/>
        </w:rPr>
        <w:t>התיק העיקרי</w:t>
      </w:r>
      <w:r w:rsidR="008E0C7C">
        <w:rPr>
          <w:rFonts w:ascii="David" w:hAnsi="David"/>
          <w:color w:val="000000"/>
          <w:rtl/>
        </w:rPr>
        <w:t xml:space="preserve">, בנסיבות ביצוען, נע בין </w:t>
      </w:r>
      <w:r w:rsidR="008E0C7C">
        <w:rPr>
          <w:rFonts w:ascii="David" w:hAnsi="David" w:hint="cs"/>
          <w:color w:val="000000"/>
          <w:rtl/>
        </w:rPr>
        <w:t>6</w:t>
      </w:r>
      <w:r w:rsidR="008E0C7C">
        <w:rPr>
          <w:rFonts w:ascii="David" w:hAnsi="David"/>
          <w:color w:val="000000"/>
          <w:rtl/>
        </w:rPr>
        <w:t xml:space="preserve"> חודשי מאסר בפועל ועד </w:t>
      </w:r>
      <w:r w:rsidR="008E0C7C">
        <w:rPr>
          <w:rFonts w:ascii="David" w:hAnsi="David" w:hint="cs"/>
          <w:color w:val="000000"/>
          <w:rtl/>
        </w:rPr>
        <w:t>18</w:t>
      </w:r>
      <w:r w:rsidR="008E0C7C">
        <w:rPr>
          <w:rFonts w:ascii="David" w:hAnsi="David"/>
          <w:color w:val="000000"/>
          <w:rtl/>
        </w:rPr>
        <w:t xml:space="preserve"> חודשי מאסר בפוע</w:t>
      </w:r>
      <w:r w:rsidR="008E0C7C">
        <w:rPr>
          <w:rFonts w:ascii="David" w:hAnsi="David" w:hint="cs"/>
          <w:color w:val="000000"/>
          <w:rtl/>
        </w:rPr>
        <w:t xml:space="preserve">ל; ואילו מתחם הענישה ההולם את העבירות מושא תיק הצירוף נע בין מאסר מותנה ועד 12 חודשי מאסר בפועל. </w:t>
      </w:r>
    </w:p>
    <w:p w14:paraId="57DE4FC6" w14:textId="77777777" w:rsidR="008E0C7C" w:rsidRDefault="008E0C7C" w:rsidP="008E0C7C">
      <w:pPr>
        <w:spacing w:line="360" w:lineRule="auto"/>
        <w:jc w:val="both"/>
        <w:rPr>
          <w:rFonts w:ascii="David" w:hAnsi="David"/>
          <w:rtl/>
        </w:rPr>
      </w:pPr>
    </w:p>
    <w:p w14:paraId="06A73480" w14:textId="77777777" w:rsidR="008E0C7C" w:rsidRDefault="008E0C7C" w:rsidP="008E0C7C">
      <w:pPr>
        <w:spacing w:line="360" w:lineRule="auto"/>
        <w:jc w:val="both"/>
        <w:rPr>
          <w:rFonts w:ascii="David" w:hAnsi="David"/>
          <w:rtl/>
        </w:rPr>
      </w:pPr>
      <w:r>
        <w:rPr>
          <w:rFonts w:ascii="David" w:hAnsi="David"/>
          <w:b/>
          <w:bCs/>
          <w:color w:val="000000"/>
          <w:u w:val="single"/>
          <w:rtl/>
        </w:rPr>
        <w:t>קביעת עונשו של הנאשם</w:t>
      </w:r>
    </w:p>
    <w:p w14:paraId="5795D69C" w14:textId="77777777" w:rsidR="008E0C7C" w:rsidRDefault="008E0C7C" w:rsidP="008E0C7C">
      <w:pPr>
        <w:spacing w:line="360" w:lineRule="auto"/>
        <w:jc w:val="both"/>
        <w:rPr>
          <w:rFonts w:ascii="David" w:hAnsi="David"/>
          <w:rtl/>
        </w:rPr>
      </w:pPr>
    </w:p>
    <w:p w14:paraId="2A56FCC9" w14:textId="77777777" w:rsidR="008E0C7C" w:rsidRDefault="008E6BE0" w:rsidP="008E0C7C">
      <w:pPr>
        <w:pStyle w:val="a9"/>
        <w:numPr>
          <w:ilvl w:val="0"/>
          <w:numId w:val="1"/>
        </w:numPr>
        <w:spacing w:line="360" w:lineRule="auto"/>
        <w:jc w:val="both"/>
        <w:rPr>
          <w:rFonts w:ascii="David" w:hAnsi="David"/>
        </w:rPr>
      </w:pPr>
      <w:r>
        <w:rPr>
          <w:rFonts w:ascii="David" w:hAnsi="David"/>
        </w:rPr>
        <w:t xml:space="preserve"> </w:t>
      </w:r>
      <w:r w:rsidR="008E0C7C" w:rsidRPr="00180917">
        <w:rPr>
          <w:rFonts w:ascii="David" w:hAnsi="David"/>
          <w:rtl/>
        </w:rPr>
        <w:t xml:space="preserve">על רקע תוכנו </w:t>
      </w:r>
      <w:r w:rsidR="008E0C7C">
        <w:rPr>
          <w:rFonts w:ascii="David" w:hAnsi="David" w:hint="cs"/>
          <w:rtl/>
        </w:rPr>
        <w:t>ומסקנותי</w:t>
      </w:r>
      <w:r w:rsidR="008E0C7C">
        <w:rPr>
          <w:rFonts w:ascii="David" w:hAnsi="David" w:hint="eastAsia"/>
          <w:rtl/>
        </w:rPr>
        <w:t>ו</w:t>
      </w:r>
      <w:r w:rsidR="008E0C7C">
        <w:rPr>
          <w:rFonts w:ascii="David" w:hAnsi="David" w:hint="cs"/>
          <w:rtl/>
        </w:rPr>
        <w:t xml:space="preserve"> </w:t>
      </w:r>
      <w:r w:rsidR="008E0C7C" w:rsidRPr="00180917">
        <w:rPr>
          <w:rFonts w:ascii="David" w:hAnsi="David"/>
          <w:rtl/>
        </w:rPr>
        <w:t xml:space="preserve">של תסקיר שירות המבחן, לא טענו הצדדים לחריגה מהמתחם, אלא הדיון התמקד במיקום העונש בגדרי </w:t>
      </w:r>
      <w:r w:rsidR="008E0C7C">
        <w:rPr>
          <w:rFonts w:ascii="David" w:hAnsi="David" w:hint="cs"/>
          <w:rtl/>
        </w:rPr>
        <w:t>המתחם</w:t>
      </w:r>
      <w:r w:rsidR="008E0C7C" w:rsidRPr="00180917">
        <w:rPr>
          <w:rFonts w:ascii="David" w:hAnsi="David"/>
          <w:rtl/>
        </w:rPr>
        <w:t>. אף אני סבור שעניינו של הנאשם אינו מאפשר מסקנה בדבר סיכויי שיקום ממשיים המצדיקים חריגה לקולה</w:t>
      </w:r>
      <w:r w:rsidR="008E0C7C" w:rsidRPr="00180917">
        <w:rPr>
          <w:rFonts w:ascii="David" w:hAnsi="David" w:hint="cs"/>
          <w:rtl/>
        </w:rPr>
        <w:t xml:space="preserve"> ממתחמי הענישה</w:t>
      </w:r>
      <w:r w:rsidR="008E0C7C">
        <w:rPr>
          <w:rFonts w:ascii="David" w:hAnsi="David" w:hint="cs"/>
          <w:rtl/>
        </w:rPr>
        <w:t xml:space="preserve"> שקבעתי. עם זאת, אומר כבר עתה כי על אף חומרת העבירות מצאתי את עתירת המאשימה לעונש מאסר ממושך בכליאה כמחמירה יתר על המידה לצורך השגת תכליות הענישה השונות. אנמק מסקנתי. </w:t>
      </w:r>
    </w:p>
    <w:p w14:paraId="662C63E3" w14:textId="77777777" w:rsidR="008E0C7C" w:rsidRPr="00180917" w:rsidRDefault="008E0C7C" w:rsidP="008E0C7C">
      <w:pPr>
        <w:pStyle w:val="a9"/>
        <w:ind w:left="0"/>
        <w:jc w:val="both"/>
        <w:rPr>
          <w:rFonts w:ascii="David" w:hAnsi="David"/>
        </w:rPr>
      </w:pPr>
    </w:p>
    <w:p w14:paraId="5000F67F" w14:textId="77777777" w:rsidR="008E0C7C" w:rsidRDefault="008E0C7C" w:rsidP="008E0C7C">
      <w:pPr>
        <w:pStyle w:val="a9"/>
        <w:numPr>
          <w:ilvl w:val="0"/>
          <w:numId w:val="1"/>
        </w:numPr>
        <w:spacing w:line="360" w:lineRule="auto"/>
        <w:jc w:val="both"/>
        <w:rPr>
          <w:rFonts w:ascii="David" w:hAnsi="David"/>
        </w:rPr>
      </w:pPr>
      <w:r>
        <w:rPr>
          <w:rFonts w:ascii="David" w:hAnsi="David" w:hint="cs"/>
          <w:rtl/>
        </w:rPr>
        <w:t>הנאשם שלפני צעיר יחסית (כבן 32 כיום וכבן 26 במועד ביצוע העבירות בתיק העיקרי) ועברו הפלילי נקי. הודאתו</w:t>
      </w:r>
      <w:r w:rsidRPr="009B302F">
        <w:rPr>
          <w:rFonts w:ascii="David" w:hAnsi="David"/>
          <w:rtl/>
        </w:rPr>
        <w:t xml:space="preserve"> בהזדמנות הראשונה </w:t>
      </w:r>
      <w:r>
        <w:rPr>
          <w:rFonts w:ascii="David" w:hAnsi="David" w:hint="cs"/>
          <w:rtl/>
        </w:rPr>
        <w:t xml:space="preserve">הביאה לחסכון ממשי בזמן שיפוטי והיא </w:t>
      </w:r>
      <w:r>
        <w:rPr>
          <w:rFonts w:ascii="David" w:hAnsi="David"/>
          <w:rtl/>
        </w:rPr>
        <w:t>ביטא</w:t>
      </w:r>
      <w:r>
        <w:rPr>
          <w:rFonts w:ascii="David" w:hAnsi="David" w:hint="cs"/>
          <w:rtl/>
        </w:rPr>
        <w:t>ה</w:t>
      </w:r>
      <w:r>
        <w:rPr>
          <w:rFonts w:ascii="David" w:hAnsi="David"/>
          <w:rtl/>
        </w:rPr>
        <w:t xml:space="preserve"> </w:t>
      </w:r>
      <w:r>
        <w:rPr>
          <w:rFonts w:ascii="David" w:hAnsi="David" w:hint="cs"/>
          <w:rtl/>
        </w:rPr>
        <w:t>קבלת אחריות (והבאתי בעניין זה בחשבון את התרשמות שירות המבחן בנושא). כן הבאתי בחשבון את נסיבות חייו כפי שפורטו בתסקירי שירות המבחן ואת הקשיים עמם הוא מתמודד. עם זאת, ראוי להדגיש כי על אף טיעוני ההגנה ביחס למצבו הנפשי והבריאותי של הנאשם, לא הוצגו מסמכים כלשהם ולכן לדברים יינתן משקל מוגבל. כן הבאתי בחשבון את תקופת המעצר בה שהה הנאשם בגין תיק הצירוף (5 ימים) והתקופה בה שהה בתנאים מגבילים.</w:t>
      </w:r>
    </w:p>
    <w:p w14:paraId="4FFD49B7" w14:textId="77777777" w:rsidR="008E0C7C" w:rsidRPr="004F4E4F" w:rsidRDefault="008E0C7C" w:rsidP="008E0C7C">
      <w:pPr>
        <w:pStyle w:val="a9"/>
        <w:rPr>
          <w:rFonts w:ascii="David" w:hAnsi="David"/>
          <w:rtl/>
        </w:rPr>
      </w:pPr>
    </w:p>
    <w:p w14:paraId="4301DAAE" w14:textId="77777777" w:rsidR="008E0C7C" w:rsidRPr="00C05B9F" w:rsidRDefault="008E0C7C" w:rsidP="008E0C7C">
      <w:pPr>
        <w:pStyle w:val="a9"/>
        <w:numPr>
          <w:ilvl w:val="0"/>
          <w:numId w:val="1"/>
        </w:numPr>
        <w:spacing w:line="360" w:lineRule="auto"/>
        <w:jc w:val="both"/>
        <w:rPr>
          <w:rFonts w:ascii="David" w:hAnsi="David"/>
        </w:rPr>
      </w:pPr>
      <w:r>
        <w:rPr>
          <w:rFonts w:ascii="David" w:hAnsi="David" w:hint="cs"/>
          <w:rtl/>
        </w:rPr>
        <w:t xml:space="preserve">נקודה נוספת בעלת משמעות לעניין הענישה היא השיהוי המשמעותי שבהגשת כתב האישום בתיק העיקרי. כאמור לעיל, </w:t>
      </w:r>
      <w:r>
        <w:rPr>
          <w:rFonts w:ascii="David" w:hAnsi="David"/>
          <w:rtl/>
        </w:rPr>
        <w:t xml:space="preserve">כתב האישום </w:t>
      </w:r>
      <w:r>
        <w:rPr>
          <w:rFonts w:ascii="David" w:hAnsi="David" w:hint="cs"/>
          <w:rtl/>
        </w:rPr>
        <w:t xml:space="preserve">הוגש שלוש שנים לאחר ביצוע העבירות. </w:t>
      </w:r>
      <w:r w:rsidRPr="00CF5311">
        <w:rPr>
          <w:rFonts w:ascii="David" w:hAnsi="David"/>
          <w:rtl/>
        </w:rPr>
        <w:t xml:space="preserve">המאשימה לא מסרה הסבר מניח את הדעת מדוע נדרשו </w:t>
      </w:r>
      <w:r>
        <w:rPr>
          <w:rFonts w:ascii="David" w:hAnsi="David" w:hint="cs"/>
          <w:rtl/>
        </w:rPr>
        <w:t>שלוש שנים</w:t>
      </w:r>
      <w:r w:rsidRPr="00CF5311">
        <w:rPr>
          <w:rFonts w:ascii="David" w:hAnsi="David"/>
          <w:rtl/>
        </w:rPr>
        <w:t xml:space="preserve"> להגשתו</w:t>
      </w:r>
      <w:r>
        <w:rPr>
          <w:rFonts w:ascii="David" w:hAnsi="David" w:hint="cs"/>
          <w:rtl/>
        </w:rPr>
        <w:t xml:space="preserve"> ובפרט לא הוסבר מדוע התיק הועבר לראשונה לעיון יחידת התביעות לאחר קרוב לשנתיים מיום שנפתח (ראו התגובה מיום 16.9.24). </w:t>
      </w:r>
      <w:r w:rsidRPr="00CF5311">
        <w:rPr>
          <w:rFonts w:ascii="David" w:hAnsi="David"/>
          <w:rtl/>
        </w:rPr>
        <w:t xml:space="preserve">לדבר </w:t>
      </w:r>
      <w:r>
        <w:rPr>
          <w:rFonts w:ascii="David" w:hAnsi="David" w:hint="cs"/>
          <w:rtl/>
        </w:rPr>
        <w:t xml:space="preserve">יש </w:t>
      </w:r>
      <w:r w:rsidRPr="00CF5311">
        <w:rPr>
          <w:rFonts w:ascii="David" w:hAnsi="David"/>
          <w:rtl/>
        </w:rPr>
        <w:t xml:space="preserve">נפקות </w:t>
      </w:r>
      <w:r>
        <w:rPr>
          <w:rFonts w:ascii="David" w:hAnsi="David" w:hint="cs"/>
          <w:rtl/>
        </w:rPr>
        <w:t xml:space="preserve">ממשית בעניין הענישה </w:t>
      </w:r>
      <w:r>
        <w:rPr>
          <w:rFonts w:hint="cs"/>
          <w:rtl/>
        </w:rPr>
        <w:t>(</w:t>
      </w:r>
      <w:hyperlink r:id="rId47" w:history="1">
        <w:r w:rsidR="00706654" w:rsidRPr="00706654">
          <w:rPr>
            <w:rStyle w:val="Hyperlink"/>
            <w:rFonts w:hint="eastAsia"/>
            <w:color w:val="0000FF"/>
            <w:rtl/>
          </w:rPr>
          <w:t>סעיף</w:t>
        </w:r>
        <w:r w:rsidR="00706654" w:rsidRPr="00706654">
          <w:rPr>
            <w:rStyle w:val="Hyperlink"/>
            <w:color w:val="0000FF"/>
            <w:rtl/>
          </w:rPr>
          <w:t xml:space="preserve"> 40יא'(10)</w:t>
        </w:r>
      </w:hyperlink>
      <w:r>
        <w:rPr>
          <w:rFonts w:hint="cs"/>
          <w:rtl/>
        </w:rPr>
        <w:t xml:space="preserve"> ל</w:t>
      </w:r>
      <w:hyperlink r:id="rId48" w:history="1">
        <w:r w:rsidR="008E6BE0" w:rsidRPr="008E6BE0">
          <w:rPr>
            <w:color w:val="0000FF"/>
            <w:u w:val="single"/>
            <w:rtl/>
          </w:rPr>
          <w:t>חוק העונשין</w:t>
        </w:r>
      </w:hyperlink>
      <w:r>
        <w:rPr>
          <w:rFonts w:hint="cs"/>
          <w:rtl/>
        </w:rPr>
        <w:t xml:space="preserve">; </w:t>
      </w:r>
      <w:hyperlink r:id="rId49" w:history="1">
        <w:r w:rsidR="008E6BE0" w:rsidRPr="008E6BE0">
          <w:rPr>
            <w:color w:val="0000FF"/>
            <w:u w:val="single"/>
            <w:rtl/>
          </w:rPr>
          <w:t>רע"פ 1611/16</w:t>
        </w:r>
      </w:hyperlink>
      <w:r>
        <w:rPr>
          <w:rFonts w:hint="cs"/>
          <w:rtl/>
        </w:rPr>
        <w:t xml:space="preserve"> </w:t>
      </w:r>
      <w:r w:rsidRPr="00C05B9F">
        <w:rPr>
          <w:rFonts w:hint="cs"/>
          <w:b/>
          <w:bCs/>
          <w:rtl/>
        </w:rPr>
        <w:t>מדינת ישראל נ' יוסף ורדי</w:t>
      </w:r>
      <w:r>
        <w:rPr>
          <w:rFonts w:hint="cs"/>
          <w:rtl/>
        </w:rPr>
        <w:t xml:space="preserve"> (31.10.2018); פסקה 109 לפסק דינו של המשנה לנשיאה, כב' השופט מלצר) ובפסיקה נקבע ששיהוי משמעותי עשוי להביא במקרים מיוחדים אף להימנעות מהטלת עונש מאסר, מקום בו אפשר והיה מקום להטילו אלמלא השיהוי (</w:t>
      </w:r>
      <w:hyperlink r:id="rId50" w:history="1">
        <w:r w:rsidR="008E6BE0" w:rsidRPr="008E6BE0">
          <w:rPr>
            <w:color w:val="0000FF"/>
            <w:u w:val="single"/>
            <w:rtl/>
          </w:rPr>
          <w:t>ע"פ 8421/12</w:t>
        </w:r>
      </w:hyperlink>
      <w:r>
        <w:rPr>
          <w:rFonts w:hint="cs"/>
          <w:rtl/>
        </w:rPr>
        <w:t xml:space="preserve"> </w:t>
      </w:r>
      <w:r w:rsidRPr="00C05B9F">
        <w:rPr>
          <w:rFonts w:hint="cs"/>
          <w:b/>
          <w:bCs/>
          <w:rtl/>
        </w:rPr>
        <w:t>ינון בן חיים נ' מדינת ישראל</w:t>
      </w:r>
      <w:r>
        <w:rPr>
          <w:rFonts w:hint="cs"/>
          <w:rtl/>
        </w:rPr>
        <w:t xml:space="preserve"> (29.9.2013); </w:t>
      </w:r>
      <w:hyperlink r:id="rId51" w:history="1">
        <w:r w:rsidR="008E6BE0" w:rsidRPr="008E6BE0">
          <w:rPr>
            <w:color w:val="0000FF"/>
            <w:u w:val="single"/>
            <w:rtl/>
          </w:rPr>
          <w:t>ע"פ 5822/08</w:t>
        </w:r>
      </w:hyperlink>
      <w:r>
        <w:rPr>
          <w:rFonts w:hint="cs"/>
          <w:rtl/>
        </w:rPr>
        <w:t xml:space="preserve"> </w:t>
      </w:r>
      <w:r w:rsidRPr="00C05B9F">
        <w:rPr>
          <w:rFonts w:hint="cs"/>
          <w:b/>
          <w:bCs/>
          <w:rtl/>
        </w:rPr>
        <w:t>טרייטל נ' מדינת ישראל</w:t>
      </w:r>
      <w:r>
        <w:rPr>
          <w:rFonts w:hint="cs"/>
          <w:rtl/>
        </w:rPr>
        <w:t xml:space="preserve">, פסקה 37 (12.3.2009)). דעתי היא שהשיהוי במקרה זה בצירוף </w:t>
      </w:r>
      <w:r>
        <w:rPr>
          <w:rFonts w:ascii="David" w:hAnsi="David" w:hint="cs"/>
          <w:rtl/>
        </w:rPr>
        <w:t xml:space="preserve">נתוניו האישיים של הנאשם ובכלל זה עברו הנקי והתרשמות שירות המבחן מכך שהוא אינו בעל מאפייני אישיות עברייניים כמו גם חלוף הזמן מאז הגשת כתב האישום, מצדיקים להימנע מעונש בכליאה והסתפקות בענישה משמעותית שניתן לשאת בעבודות שירות. בדרך זו ניתן יהיה להשיג את מלוא תכליות הענישה במקרה זה מבלי צורך להחמיר עם הנאשם יתר על המידה (למשמעויות הקשות של עונש בכליאה ראו </w:t>
      </w:r>
      <w:r w:rsidRPr="00C05B9F">
        <w:rPr>
          <w:rFonts w:ascii="David" w:hAnsi="David"/>
          <w:rtl/>
        </w:rPr>
        <w:t>דו"ח הועדה הציבורית לבחינת מדיניות הענישה והטיפול בעבריינים, 2015 (המכונה "</w:t>
      </w:r>
      <w:r w:rsidRPr="00C05B9F">
        <w:rPr>
          <w:rFonts w:ascii="David" w:hAnsi="David"/>
          <w:b/>
          <w:bCs/>
          <w:rtl/>
        </w:rPr>
        <w:t>דו"ח ועדת דורנר</w:t>
      </w:r>
      <w:r w:rsidRPr="00C05B9F">
        <w:rPr>
          <w:rFonts w:ascii="David" w:hAnsi="David"/>
          <w:rtl/>
        </w:rPr>
        <w:t>").</w:t>
      </w:r>
      <w:r w:rsidRPr="00C05B9F">
        <w:rPr>
          <w:rFonts w:ascii="David" w:hAnsi="David" w:hint="cs"/>
          <w:rtl/>
        </w:rPr>
        <w:t xml:space="preserve"> </w:t>
      </w:r>
      <w:r>
        <w:rPr>
          <w:rFonts w:ascii="David" w:hAnsi="David" w:hint="cs"/>
          <w:rtl/>
        </w:rPr>
        <w:t>ודוק: לא התעלמתי מכך שהעבירות מושא תיק הצירוף בוצעו לאחר הגשת כתב האישום העיקרי ועדיין סברתי שניתן להימנע במקרה זה מענישה בכליאה ולהשיג את מלוא תכליות הענישה בדרך של עונש בעבודות שירות וענישה נלוות.</w:t>
      </w:r>
    </w:p>
    <w:p w14:paraId="392F1FF3" w14:textId="77777777" w:rsidR="008E0C7C" w:rsidRPr="00C05B9F" w:rsidRDefault="008E0C7C" w:rsidP="008E0C7C">
      <w:pPr>
        <w:pStyle w:val="a9"/>
        <w:rPr>
          <w:rFonts w:ascii="David" w:hAnsi="David"/>
          <w:rtl/>
        </w:rPr>
      </w:pPr>
    </w:p>
    <w:p w14:paraId="5FE985D7" w14:textId="77777777" w:rsidR="008E0C7C" w:rsidRDefault="008E0C7C" w:rsidP="008E0C7C">
      <w:pPr>
        <w:pStyle w:val="a9"/>
        <w:numPr>
          <w:ilvl w:val="0"/>
          <w:numId w:val="1"/>
        </w:numPr>
        <w:spacing w:line="360" w:lineRule="auto"/>
        <w:jc w:val="both"/>
        <w:rPr>
          <w:rFonts w:ascii="David" w:hAnsi="David"/>
        </w:rPr>
      </w:pPr>
      <w:r w:rsidRPr="00790706">
        <w:rPr>
          <w:rFonts w:ascii="David" w:hAnsi="David"/>
          <w:rtl/>
        </w:rPr>
        <w:t>סיכומו של דבר, אני גוזר על הנאשם את העונשים הבאים:</w:t>
      </w:r>
    </w:p>
    <w:p w14:paraId="1CC07DC5" w14:textId="77777777" w:rsidR="008E0C7C" w:rsidRPr="00C40245" w:rsidRDefault="008E0C7C" w:rsidP="008E0C7C">
      <w:pPr>
        <w:pStyle w:val="a9"/>
        <w:rPr>
          <w:rFonts w:ascii="David" w:hAnsi="David"/>
          <w:rtl/>
        </w:rPr>
      </w:pPr>
    </w:p>
    <w:p w14:paraId="1FA5C14A" w14:textId="77777777" w:rsidR="008E0C7C" w:rsidRPr="00E770F3" w:rsidRDefault="008E0C7C" w:rsidP="008E0C7C">
      <w:pPr>
        <w:pStyle w:val="a9"/>
        <w:numPr>
          <w:ilvl w:val="0"/>
          <w:numId w:val="2"/>
        </w:numPr>
        <w:spacing w:line="360" w:lineRule="auto"/>
        <w:jc w:val="both"/>
        <w:rPr>
          <w:rFonts w:ascii="David" w:hAnsi="David"/>
          <w:b/>
          <w:bCs/>
        </w:rPr>
      </w:pPr>
      <w:r>
        <w:rPr>
          <w:rFonts w:ascii="David" w:hAnsi="David" w:hint="cs"/>
          <w:b/>
          <w:bCs/>
          <w:rtl/>
        </w:rPr>
        <w:t>9</w:t>
      </w:r>
      <w:r w:rsidRPr="00C40245">
        <w:rPr>
          <w:rFonts w:ascii="David" w:hAnsi="David" w:hint="cs"/>
          <w:b/>
          <w:bCs/>
          <w:rtl/>
        </w:rPr>
        <w:t xml:space="preserve"> חודשי מאסר.</w:t>
      </w:r>
      <w:r>
        <w:rPr>
          <w:rFonts w:ascii="David" w:hAnsi="David" w:hint="cs"/>
          <w:rtl/>
        </w:rPr>
        <w:t xml:space="preserve"> </w:t>
      </w:r>
      <w:r w:rsidRPr="00C40245">
        <w:rPr>
          <w:rFonts w:ascii="David" w:hAnsi="David"/>
          <w:rtl/>
        </w:rPr>
        <w:t xml:space="preserve">הנאשם יישא עונש זה בעבודות שירות בהתאם לחוות דעת הממונה ויתייצב לריצוי עונשו ביום </w:t>
      </w:r>
      <w:r>
        <w:rPr>
          <w:rFonts w:ascii="David" w:hAnsi="David" w:hint="cs"/>
          <w:rtl/>
        </w:rPr>
        <w:t>20.1.25</w:t>
      </w:r>
      <w:r w:rsidRPr="00C40245">
        <w:rPr>
          <w:rFonts w:ascii="David" w:hAnsi="David"/>
          <w:rtl/>
        </w:rPr>
        <w:t xml:space="preserve"> במתחם כלא מגידו. </w:t>
      </w:r>
      <w:r w:rsidRPr="00E770F3">
        <w:rPr>
          <w:rFonts w:ascii="David" w:hAnsi="David"/>
          <w:b/>
          <w:bCs/>
          <w:rtl/>
        </w:rPr>
        <w:t>מובהר לנאשם שעליו לבצע את העבודות בהתאם להנחיות הממונה וכי אם לא יעשה כן ניתן יהיה להפקיע את העבודות מנהלית והוא יאלץ לשאת ביתרת התקופה בבית מאסר.</w:t>
      </w:r>
    </w:p>
    <w:p w14:paraId="34F4FBBD" w14:textId="77777777" w:rsidR="008E0C7C" w:rsidRDefault="008E0C7C" w:rsidP="008E0C7C">
      <w:pPr>
        <w:pStyle w:val="a9"/>
        <w:numPr>
          <w:ilvl w:val="0"/>
          <w:numId w:val="2"/>
        </w:numPr>
        <w:spacing w:line="360" w:lineRule="auto"/>
        <w:jc w:val="both"/>
        <w:rPr>
          <w:rFonts w:ascii="David" w:hAnsi="David"/>
        </w:rPr>
      </w:pPr>
      <w:r w:rsidRPr="005622EC">
        <w:rPr>
          <w:rFonts w:ascii="David" w:hAnsi="David"/>
          <w:rtl/>
        </w:rPr>
        <w:t xml:space="preserve">מאסר על תנאי לתקופה בת </w:t>
      </w:r>
      <w:r>
        <w:rPr>
          <w:rFonts w:ascii="David" w:hAnsi="David" w:hint="cs"/>
          <w:rtl/>
        </w:rPr>
        <w:t>6</w:t>
      </w:r>
      <w:r w:rsidRPr="005622EC">
        <w:rPr>
          <w:rFonts w:ascii="David" w:hAnsi="David"/>
          <w:rtl/>
        </w:rPr>
        <w:t xml:space="preserve"> חודשים והתנאי הוא שלא יעבור במשך שנתיים כל עבירה על פקודת הסמים שהיא פשע</w:t>
      </w:r>
      <w:r w:rsidRPr="005622EC">
        <w:rPr>
          <w:rFonts w:ascii="David" w:hAnsi="David"/>
        </w:rPr>
        <w:t>.</w:t>
      </w:r>
    </w:p>
    <w:p w14:paraId="356A62EB" w14:textId="77777777" w:rsidR="008E0C7C" w:rsidRDefault="008E0C7C" w:rsidP="008E0C7C">
      <w:pPr>
        <w:pStyle w:val="a9"/>
        <w:numPr>
          <w:ilvl w:val="0"/>
          <w:numId w:val="2"/>
        </w:numPr>
        <w:spacing w:line="360" w:lineRule="auto"/>
        <w:jc w:val="both"/>
        <w:rPr>
          <w:rFonts w:ascii="David" w:hAnsi="David"/>
        </w:rPr>
      </w:pPr>
      <w:r w:rsidRPr="00B143A7">
        <w:rPr>
          <w:rFonts w:ascii="David" w:hAnsi="David"/>
          <w:rtl/>
        </w:rPr>
        <w:t xml:space="preserve">אני פוסל את הנאשם מלקבל או להחזיק רישיון נהיגה לתקופה של </w:t>
      </w:r>
      <w:r>
        <w:rPr>
          <w:rFonts w:ascii="David" w:hAnsi="David" w:hint="cs"/>
          <w:rtl/>
        </w:rPr>
        <w:t>4</w:t>
      </w:r>
      <w:r w:rsidRPr="00B143A7">
        <w:rPr>
          <w:rFonts w:ascii="David" w:hAnsi="David"/>
          <w:rtl/>
        </w:rPr>
        <w:t xml:space="preserve"> חודשים וזאת במצטבר לכל פסילה אחרת אותה </w:t>
      </w:r>
      <w:r>
        <w:rPr>
          <w:rFonts w:ascii="David" w:hAnsi="David" w:hint="cs"/>
          <w:rtl/>
        </w:rPr>
        <w:t xml:space="preserve">הוא </w:t>
      </w:r>
      <w:r w:rsidRPr="00B143A7">
        <w:rPr>
          <w:rFonts w:ascii="David" w:hAnsi="David"/>
          <w:rtl/>
        </w:rPr>
        <w:t>מרצה. מובהר לנאשם כי עליו להפקיד את רישיון הנהיגה שלו (או תחליף) על מנת שמניין הפסילה יחל, אך תוקף הפסילה אינו קשור לשאלת ההפקדה.</w:t>
      </w:r>
      <w:r>
        <w:rPr>
          <w:rFonts w:ascii="David" w:hAnsi="David" w:hint="cs"/>
          <w:rtl/>
        </w:rPr>
        <w:t xml:space="preserve"> </w:t>
      </w:r>
    </w:p>
    <w:p w14:paraId="4D61A25E" w14:textId="77777777" w:rsidR="008E0C7C" w:rsidRPr="00FB67A4" w:rsidRDefault="008E0C7C" w:rsidP="008E0C7C">
      <w:pPr>
        <w:pStyle w:val="a9"/>
        <w:numPr>
          <w:ilvl w:val="0"/>
          <w:numId w:val="2"/>
        </w:numPr>
        <w:spacing w:line="360" w:lineRule="auto"/>
        <w:jc w:val="both"/>
        <w:rPr>
          <w:rFonts w:ascii="David" w:hAnsi="David"/>
          <w:rtl/>
        </w:rPr>
      </w:pPr>
      <w:r>
        <w:rPr>
          <w:rFonts w:ascii="David" w:hAnsi="David"/>
          <w:color w:val="FFFFFF"/>
          <w:sz w:val="2"/>
          <w:szCs w:val="2"/>
        </w:rPr>
        <w:t>512937</w:t>
      </w:r>
      <w:r>
        <w:rPr>
          <w:rFonts w:ascii="David" w:hAnsi="David"/>
          <w:color w:val="000000"/>
          <w:rtl/>
        </w:rPr>
        <w:t>בהתאם להסכמת הצדדים אני מורה על חילוט</w:t>
      </w:r>
      <w:r>
        <w:rPr>
          <w:rFonts w:ascii="David" w:hAnsi="David" w:hint="cs"/>
          <w:color w:val="000000"/>
          <w:rtl/>
        </w:rPr>
        <w:t xml:space="preserve"> סך של 5,700 ₪ שנתפסו במסגרת תיק הצירוף. </w:t>
      </w:r>
      <w:r w:rsidRPr="00E719A8">
        <w:rPr>
          <w:rFonts w:ascii="David" w:hAnsi="David"/>
          <w:rtl/>
        </w:rPr>
        <w:t>לאור סכום החילוט ותקופת המאסר, אני נמנע מהטלת קנס</w:t>
      </w:r>
      <w:r w:rsidRPr="00E719A8">
        <w:rPr>
          <w:rFonts w:ascii="David" w:hAnsi="David"/>
        </w:rPr>
        <w:t>.</w:t>
      </w:r>
    </w:p>
    <w:p w14:paraId="359ED78D" w14:textId="77777777" w:rsidR="008E0C7C" w:rsidRDefault="008E0C7C" w:rsidP="008E0C7C">
      <w:pPr>
        <w:spacing w:line="360" w:lineRule="auto"/>
        <w:jc w:val="both"/>
        <w:rPr>
          <w:rFonts w:ascii="David" w:hAnsi="David"/>
          <w:rtl/>
        </w:rPr>
      </w:pPr>
    </w:p>
    <w:p w14:paraId="29C0092D" w14:textId="77777777" w:rsidR="008E0C7C" w:rsidRDefault="008E0C7C" w:rsidP="008E0C7C">
      <w:pPr>
        <w:spacing w:line="360" w:lineRule="auto"/>
        <w:jc w:val="both"/>
        <w:rPr>
          <w:rFonts w:ascii="David" w:hAnsi="David"/>
          <w:b/>
          <w:bCs/>
          <w:u w:val="single"/>
          <w:rtl/>
        </w:rPr>
      </w:pPr>
      <w:r>
        <w:rPr>
          <w:rFonts w:ascii="David" w:hAnsi="David" w:hint="cs"/>
          <w:b/>
          <w:bCs/>
          <w:u w:val="single"/>
          <w:rtl/>
        </w:rPr>
        <w:t>מוצגים:</w:t>
      </w:r>
      <w:r w:rsidRPr="00530013">
        <w:rPr>
          <w:rFonts w:ascii="David" w:hAnsi="David" w:hint="cs"/>
          <w:b/>
          <w:bCs/>
          <w:u w:val="single"/>
          <w:rtl/>
        </w:rPr>
        <w:t xml:space="preserve"> </w:t>
      </w:r>
    </w:p>
    <w:p w14:paraId="472CCBBA" w14:textId="77777777" w:rsidR="008E0C7C" w:rsidRPr="00530013" w:rsidRDefault="008E0C7C" w:rsidP="008E0C7C">
      <w:pPr>
        <w:spacing w:line="360" w:lineRule="auto"/>
        <w:jc w:val="both"/>
        <w:rPr>
          <w:rFonts w:ascii="David" w:hAnsi="David"/>
          <w:b/>
          <w:bCs/>
          <w:u w:val="single"/>
          <w:rtl/>
        </w:rPr>
      </w:pPr>
      <w:r w:rsidRPr="00530013">
        <w:rPr>
          <w:rFonts w:ascii="David" w:hAnsi="David" w:hint="cs"/>
          <w:b/>
          <w:bCs/>
          <w:u w:val="single"/>
          <w:rtl/>
        </w:rPr>
        <w:t xml:space="preserve">סמים </w:t>
      </w:r>
      <w:r>
        <w:rPr>
          <w:rFonts w:ascii="David" w:hAnsi="David" w:hint="cs"/>
          <w:b/>
          <w:bCs/>
          <w:u w:val="single"/>
          <w:rtl/>
        </w:rPr>
        <w:t xml:space="preserve">- </w:t>
      </w:r>
      <w:r w:rsidRPr="00530013">
        <w:rPr>
          <w:rFonts w:ascii="David" w:hAnsi="David" w:hint="cs"/>
          <w:b/>
          <w:bCs/>
          <w:u w:val="single"/>
          <w:rtl/>
        </w:rPr>
        <w:t>להשמיד</w:t>
      </w:r>
      <w:r>
        <w:rPr>
          <w:rFonts w:ascii="David" w:hAnsi="David" w:hint="cs"/>
          <w:b/>
          <w:bCs/>
          <w:u w:val="single"/>
          <w:rtl/>
        </w:rPr>
        <w:t xml:space="preserve"> בחלוף תקופת הערעור</w:t>
      </w:r>
      <w:r w:rsidRPr="00530013">
        <w:rPr>
          <w:rFonts w:ascii="David" w:hAnsi="David" w:hint="cs"/>
          <w:b/>
          <w:bCs/>
          <w:u w:val="single"/>
          <w:rtl/>
        </w:rPr>
        <w:t xml:space="preserve">. </w:t>
      </w:r>
      <w:r>
        <w:rPr>
          <w:rFonts w:ascii="David" w:hAnsi="David" w:hint="cs"/>
          <w:b/>
          <w:bCs/>
          <w:u w:val="single"/>
          <w:rtl/>
        </w:rPr>
        <w:t xml:space="preserve">כלים </w:t>
      </w:r>
      <w:r>
        <w:rPr>
          <w:rFonts w:ascii="David" w:hAnsi="David"/>
          <w:b/>
          <w:bCs/>
          <w:u w:val="single"/>
          <w:rtl/>
        </w:rPr>
        <w:t>–</w:t>
      </w:r>
      <w:r>
        <w:rPr>
          <w:rFonts w:ascii="David" w:hAnsi="David" w:hint="cs"/>
          <w:b/>
          <w:bCs/>
          <w:u w:val="single"/>
          <w:rtl/>
        </w:rPr>
        <w:t xml:space="preserve"> לחלט.</w:t>
      </w:r>
    </w:p>
    <w:p w14:paraId="1C908A3F" w14:textId="77777777" w:rsidR="008E0C7C" w:rsidRDefault="008E0C7C" w:rsidP="008E0C7C">
      <w:pPr>
        <w:spacing w:line="360" w:lineRule="auto"/>
        <w:rPr>
          <w:rFonts w:ascii="David" w:hAnsi="David"/>
          <w:b/>
          <w:bCs/>
          <w:u w:val="single"/>
          <w:rtl/>
        </w:rPr>
      </w:pPr>
    </w:p>
    <w:p w14:paraId="70144709" w14:textId="77777777" w:rsidR="008E0C7C" w:rsidRPr="005622EC" w:rsidRDefault="008E0C7C" w:rsidP="008E0C7C">
      <w:pPr>
        <w:spacing w:line="360" w:lineRule="auto"/>
        <w:rPr>
          <w:rFonts w:ascii="David" w:hAnsi="David"/>
          <w:b/>
          <w:bCs/>
          <w:u w:val="single"/>
          <w:rtl/>
        </w:rPr>
      </w:pPr>
      <w:r w:rsidRPr="005622EC">
        <w:rPr>
          <w:rFonts w:ascii="David" w:hAnsi="David"/>
          <w:b/>
          <w:bCs/>
          <w:u w:val="single"/>
          <w:rtl/>
        </w:rPr>
        <w:t>זכות ערעור לבית המשפט המחוזי בתוך 45 ימים.</w:t>
      </w:r>
    </w:p>
    <w:p w14:paraId="54F60E4B" w14:textId="77777777" w:rsidR="008E0C7C" w:rsidRPr="005622EC" w:rsidRDefault="008E6BE0" w:rsidP="008E0C7C">
      <w:pPr>
        <w:spacing w:line="360" w:lineRule="auto"/>
        <w:jc w:val="both"/>
        <w:rPr>
          <w:rFonts w:ascii="David" w:hAnsi="David"/>
          <w:b/>
          <w:bCs/>
          <w:u w:val="single"/>
          <w:rtl/>
        </w:rPr>
      </w:pPr>
      <w:r w:rsidRPr="008E6BE0">
        <w:rPr>
          <w:rFonts w:ascii="David" w:hAnsi="David"/>
          <w:b/>
          <w:bCs/>
          <w:color w:val="FFFFFF"/>
          <w:sz w:val="2"/>
          <w:szCs w:val="2"/>
          <w:u w:val="single"/>
          <w:rtl/>
        </w:rPr>
        <w:t>5129371</w:t>
      </w:r>
      <w:r w:rsidR="008E0C7C" w:rsidRPr="005622EC">
        <w:rPr>
          <w:rFonts w:ascii="David" w:hAnsi="David"/>
          <w:b/>
          <w:bCs/>
          <w:u w:val="single"/>
          <w:rtl/>
        </w:rPr>
        <w:t>המזכירות תשלח את גזר הדין לממונה למעקב.</w:t>
      </w:r>
    </w:p>
    <w:p w14:paraId="7E8F2DFB" w14:textId="77777777" w:rsidR="008E0C7C" w:rsidRPr="008E6BE0" w:rsidRDefault="008E6BE0" w:rsidP="008E0C7C">
      <w:pPr>
        <w:spacing w:line="360" w:lineRule="auto"/>
        <w:jc w:val="both"/>
        <w:rPr>
          <w:rFonts w:ascii="David" w:hAnsi="David"/>
          <w:color w:val="FFFFFF"/>
          <w:sz w:val="2"/>
          <w:szCs w:val="2"/>
          <w:rtl/>
        </w:rPr>
      </w:pPr>
      <w:r w:rsidRPr="008E6BE0">
        <w:rPr>
          <w:rFonts w:ascii="David" w:hAnsi="David"/>
          <w:color w:val="FFFFFF"/>
          <w:sz w:val="2"/>
          <w:szCs w:val="2"/>
          <w:rtl/>
        </w:rPr>
        <w:t>54678313</w:t>
      </w:r>
    </w:p>
    <w:p w14:paraId="55E3F51C" w14:textId="77777777" w:rsidR="008E0C7C" w:rsidRPr="001B6FDD" w:rsidRDefault="008E0C7C" w:rsidP="008E0C7C">
      <w:pPr>
        <w:rPr>
          <w:rFonts w:ascii="David" w:hAnsi="David"/>
          <w:rtl/>
        </w:rPr>
      </w:pPr>
    </w:p>
    <w:p w14:paraId="253F27FD" w14:textId="77777777" w:rsidR="008E0C7C" w:rsidRPr="001B6FDD" w:rsidRDefault="008E6BE0" w:rsidP="008E0C7C">
      <w:pPr>
        <w:rPr>
          <w:rFonts w:ascii="David" w:hAnsi="David"/>
          <w:rtl/>
        </w:rPr>
      </w:pPr>
      <w:bookmarkStart w:id="7" w:name="Nitan"/>
      <w:r>
        <w:rPr>
          <w:rFonts w:ascii="David" w:hAnsi="David"/>
          <w:rtl/>
        </w:rPr>
        <w:t xml:space="preserve">ניתן היום,  ה' טבת תשפ"ה, 05 ינואר 2025, במעמד הצדדים. </w:t>
      </w:r>
      <w:bookmarkEnd w:id="7"/>
    </w:p>
    <w:p w14:paraId="02EDCF35" w14:textId="77777777" w:rsidR="008E0C7C" w:rsidRPr="001B6FDD" w:rsidRDefault="008E0C7C" w:rsidP="008E6BE0">
      <w:pPr>
        <w:jc w:val="center"/>
      </w:pPr>
      <w:r w:rsidRPr="001B6FDD">
        <w:rPr>
          <w:rFonts w:ascii="David" w:hAnsi="David"/>
          <w:rtl/>
        </w:rPr>
        <w:t xml:space="preserve">   </w:t>
      </w:r>
      <w:r w:rsidRPr="001B6FDD">
        <w:rPr>
          <w:rFonts w:ascii="David" w:hAnsi="David"/>
          <w:rtl/>
        </w:rPr>
        <w:tab/>
      </w:r>
      <w:r w:rsidRPr="001B6FDD">
        <w:rPr>
          <w:rFonts w:ascii="David" w:hAnsi="David"/>
          <w:rtl/>
        </w:rPr>
        <w:tab/>
      </w:r>
      <w:r w:rsidRPr="001B6FDD">
        <w:rPr>
          <w:rFonts w:ascii="David" w:hAnsi="David"/>
          <w:rtl/>
        </w:rPr>
        <w:tab/>
      </w:r>
      <w:r w:rsidRPr="001B6FDD">
        <w:rPr>
          <w:rFonts w:ascii="David" w:hAnsi="David"/>
          <w:rtl/>
        </w:rPr>
        <w:tab/>
      </w:r>
      <w:r w:rsidRPr="001B6FDD">
        <w:rPr>
          <w:rFonts w:ascii="David" w:hAnsi="David"/>
          <w:rtl/>
        </w:rPr>
        <w:tab/>
      </w:r>
    </w:p>
    <w:p w14:paraId="7832E3DD" w14:textId="77777777" w:rsidR="008E0C7C" w:rsidRPr="00706654" w:rsidRDefault="00706654" w:rsidP="008E0C7C">
      <w:pPr>
        <w:jc w:val="center"/>
        <w:rPr>
          <w:rFonts w:ascii="David" w:hAnsi="David"/>
          <w:color w:val="FFFFFF"/>
          <w:sz w:val="2"/>
          <w:szCs w:val="2"/>
          <w:rtl/>
        </w:rPr>
      </w:pPr>
      <w:r w:rsidRPr="00706654">
        <w:rPr>
          <w:rFonts w:ascii="David" w:hAnsi="David"/>
          <w:color w:val="FFFFFF"/>
          <w:sz w:val="2"/>
          <w:szCs w:val="2"/>
          <w:rtl/>
        </w:rPr>
        <w:t>5129371</w:t>
      </w:r>
    </w:p>
    <w:p w14:paraId="535C9DA8" w14:textId="77777777" w:rsidR="00103A57" w:rsidRPr="00706654" w:rsidRDefault="00706654" w:rsidP="008E6BE0">
      <w:pPr>
        <w:keepNext/>
        <w:rPr>
          <w:rFonts w:ascii="David" w:hAnsi="David"/>
          <w:color w:val="FFFFFF"/>
          <w:sz w:val="2"/>
          <w:szCs w:val="2"/>
          <w:rtl/>
        </w:rPr>
      </w:pPr>
      <w:r w:rsidRPr="00706654">
        <w:rPr>
          <w:rFonts w:ascii="David" w:hAnsi="David"/>
          <w:color w:val="FFFFFF"/>
          <w:sz w:val="2"/>
          <w:szCs w:val="2"/>
          <w:rtl/>
        </w:rPr>
        <w:t>54678313</w:t>
      </w:r>
    </w:p>
    <w:p w14:paraId="23191711" w14:textId="77777777" w:rsidR="008E6BE0" w:rsidRDefault="008E6BE0" w:rsidP="008E6BE0">
      <w:pPr>
        <w:rPr>
          <w:rtl/>
        </w:rPr>
      </w:pPr>
    </w:p>
    <w:p w14:paraId="1496A345" w14:textId="77777777" w:rsidR="008E6BE0" w:rsidRDefault="008E6BE0" w:rsidP="008E6BE0">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2025B77" w14:textId="77777777" w:rsidR="00706654" w:rsidRPr="00706654" w:rsidRDefault="00706654" w:rsidP="00706654">
      <w:pPr>
        <w:keepNext/>
        <w:rPr>
          <w:rFonts w:ascii="David" w:hAnsi="David"/>
          <w:color w:val="000000"/>
          <w:sz w:val="22"/>
          <w:szCs w:val="22"/>
          <w:rtl/>
        </w:rPr>
      </w:pPr>
    </w:p>
    <w:p w14:paraId="5F7BD66B" w14:textId="77777777" w:rsidR="00706654" w:rsidRPr="00706654" w:rsidRDefault="00706654" w:rsidP="00706654">
      <w:pPr>
        <w:keepNext/>
        <w:rPr>
          <w:rFonts w:ascii="David" w:hAnsi="David"/>
          <w:color w:val="000000"/>
          <w:sz w:val="22"/>
          <w:szCs w:val="22"/>
          <w:rtl/>
        </w:rPr>
      </w:pPr>
      <w:r w:rsidRPr="00706654">
        <w:rPr>
          <w:rFonts w:ascii="David" w:hAnsi="David"/>
          <w:color w:val="000000"/>
          <w:sz w:val="22"/>
          <w:szCs w:val="22"/>
          <w:rtl/>
        </w:rPr>
        <w:t>יוסי טורס 54678313</w:t>
      </w:r>
    </w:p>
    <w:p w14:paraId="2CDDC02E" w14:textId="77777777" w:rsidR="008E6BE0" w:rsidRPr="008E6BE0" w:rsidRDefault="00706654" w:rsidP="00706654">
      <w:pPr>
        <w:rPr>
          <w:color w:val="0000FF"/>
          <w:u w:val="single"/>
        </w:rPr>
      </w:pPr>
      <w:r w:rsidRPr="00706654">
        <w:rPr>
          <w:color w:val="000000"/>
          <w:u w:val="single"/>
          <w:rtl/>
        </w:rPr>
        <w:t>נוסח מסמך זה כפוף לשינויי ניסוח ועריכה</w:t>
      </w:r>
    </w:p>
    <w:sectPr w:rsidR="008E6BE0" w:rsidRPr="008E6BE0" w:rsidSect="00706654">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4DAE5" w14:textId="77777777" w:rsidR="001C6156" w:rsidRDefault="001C6156" w:rsidP="00701A08">
      <w:r>
        <w:separator/>
      </w:r>
    </w:p>
  </w:endnote>
  <w:endnote w:type="continuationSeparator" w:id="0">
    <w:p w14:paraId="06B569FA" w14:textId="77777777" w:rsidR="001C6156" w:rsidRDefault="001C6156" w:rsidP="0070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8E11" w14:textId="77777777" w:rsidR="00706654" w:rsidRDefault="00706654" w:rsidP="007066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D2FFA71" w14:textId="77777777" w:rsidR="00B74853" w:rsidRPr="00706654" w:rsidRDefault="00706654" w:rsidP="00706654">
    <w:pPr>
      <w:pStyle w:val="a5"/>
      <w:pBdr>
        <w:top w:val="single" w:sz="4" w:space="1" w:color="auto"/>
        <w:between w:val="single" w:sz="4" w:space="0" w:color="auto"/>
      </w:pBdr>
      <w:spacing w:after="60"/>
      <w:jc w:val="center"/>
      <w:rPr>
        <w:rFonts w:ascii="FrankRuehl" w:hAnsi="FrankRuehl" w:cs="FrankRuehl"/>
        <w:color w:val="000000"/>
      </w:rPr>
    </w:pPr>
    <w:r w:rsidRPr="007066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5B04F" w14:textId="77777777" w:rsidR="00706654" w:rsidRDefault="00706654" w:rsidP="007066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407B">
      <w:rPr>
        <w:rFonts w:ascii="FrankRuehl" w:hAnsi="FrankRuehl" w:cs="FrankRuehl"/>
        <w:noProof/>
        <w:rtl/>
      </w:rPr>
      <w:t>1</w:t>
    </w:r>
    <w:r>
      <w:rPr>
        <w:rFonts w:ascii="FrankRuehl" w:hAnsi="FrankRuehl" w:cs="FrankRuehl"/>
        <w:rtl/>
      </w:rPr>
      <w:fldChar w:fldCharType="end"/>
    </w:r>
  </w:p>
  <w:p w14:paraId="5709B36B" w14:textId="77777777" w:rsidR="00B74853" w:rsidRPr="00706654" w:rsidRDefault="00706654" w:rsidP="00706654">
    <w:pPr>
      <w:pStyle w:val="a5"/>
      <w:pBdr>
        <w:top w:val="single" w:sz="4" w:space="1" w:color="auto"/>
        <w:between w:val="single" w:sz="4" w:space="0" w:color="auto"/>
      </w:pBdr>
      <w:spacing w:after="60"/>
      <w:jc w:val="center"/>
      <w:rPr>
        <w:rFonts w:ascii="FrankRuehl" w:hAnsi="FrankRuehl" w:cs="FrankRuehl"/>
        <w:color w:val="000000"/>
      </w:rPr>
    </w:pPr>
    <w:r w:rsidRPr="00706654">
      <w:rPr>
        <w:rFonts w:ascii="FrankRuehl" w:hAnsi="FrankRuehl" w:cs="FrankRuehl"/>
        <w:color w:val="000000"/>
      </w:rPr>
      <w:pict w14:anchorId="17A62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DD3DB" w14:textId="77777777" w:rsidR="001C6156" w:rsidRDefault="001C6156" w:rsidP="00701A08">
      <w:r>
        <w:separator/>
      </w:r>
    </w:p>
  </w:footnote>
  <w:footnote w:type="continuationSeparator" w:id="0">
    <w:p w14:paraId="4E8F1443" w14:textId="77777777" w:rsidR="001C6156" w:rsidRDefault="001C6156" w:rsidP="00701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4FE10" w14:textId="77777777" w:rsidR="008E6BE0" w:rsidRPr="00706654" w:rsidRDefault="00706654" w:rsidP="0070665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54351-11-21</w:t>
    </w:r>
    <w:r>
      <w:rPr>
        <w:rFonts w:ascii="David" w:hAnsi="David"/>
        <w:color w:val="000000"/>
        <w:sz w:val="22"/>
        <w:szCs w:val="22"/>
        <w:rtl/>
      </w:rPr>
      <w:tab/>
      <w:t xml:space="preserve"> מדינת ישראל נ' טרלן אבסוב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0C80D" w14:textId="77777777" w:rsidR="008E6BE0" w:rsidRPr="00706654" w:rsidRDefault="00706654" w:rsidP="0070665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54351-11-21</w:t>
    </w:r>
    <w:r>
      <w:rPr>
        <w:rFonts w:ascii="David" w:hAnsi="David"/>
        <w:color w:val="000000"/>
        <w:sz w:val="22"/>
        <w:szCs w:val="22"/>
        <w:rtl/>
      </w:rPr>
      <w:tab/>
      <w:t xml:space="preserve"> מדינת ישראל נ' טרלן אבסוב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E20D7"/>
    <w:multiLevelType w:val="hybridMultilevel"/>
    <w:tmpl w:val="99CE2284"/>
    <w:lvl w:ilvl="0" w:tplc="373443E8">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415A"/>
    <w:multiLevelType w:val="hybridMultilevel"/>
    <w:tmpl w:val="CFCEC610"/>
    <w:lvl w:ilvl="0" w:tplc="0DE2EDD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89846">
    <w:abstractNumId w:val="0"/>
  </w:num>
  <w:num w:numId="2" w16cid:durableId="38884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0C7C"/>
    <w:rsid w:val="00053D8D"/>
    <w:rsid w:val="00103A57"/>
    <w:rsid w:val="001B5A3B"/>
    <w:rsid w:val="001C6156"/>
    <w:rsid w:val="00701A08"/>
    <w:rsid w:val="00706654"/>
    <w:rsid w:val="007B407B"/>
    <w:rsid w:val="008E0C7C"/>
    <w:rsid w:val="008E6BE0"/>
    <w:rsid w:val="00B748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A0C92F"/>
  <w15:chartTrackingRefBased/>
  <w15:docId w15:val="{4B16570A-4D13-46A1-A917-74790A34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0C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0C7C"/>
    <w:pPr>
      <w:tabs>
        <w:tab w:val="center" w:pos="4153"/>
        <w:tab w:val="right" w:pos="8306"/>
      </w:tabs>
    </w:pPr>
  </w:style>
  <w:style w:type="character" w:customStyle="1" w:styleId="a4">
    <w:name w:val="כותרת עליונה תו"/>
    <w:link w:val="a3"/>
    <w:rsid w:val="008E0C7C"/>
    <w:rPr>
      <w:rFonts w:ascii="Times New Roman" w:eastAsia="Times New Roman" w:hAnsi="Times New Roman" w:cs="David"/>
      <w:sz w:val="24"/>
      <w:szCs w:val="24"/>
    </w:rPr>
  </w:style>
  <w:style w:type="paragraph" w:styleId="a5">
    <w:name w:val="footer"/>
    <w:basedOn w:val="a"/>
    <w:link w:val="a6"/>
    <w:rsid w:val="008E0C7C"/>
    <w:pPr>
      <w:tabs>
        <w:tab w:val="center" w:pos="4153"/>
        <w:tab w:val="right" w:pos="8306"/>
      </w:tabs>
    </w:pPr>
  </w:style>
  <w:style w:type="character" w:customStyle="1" w:styleId="a6">
    <w:name w:val="כותרת תחתונה תו"/>
    <w:link w:val="a5"/>
    <w:rsid w:val="008E0C7C"/>
    <w:rPr>
      <w:rFonts w:ascii="Times New Roman" w:eastAsia="Times New Roman" w:hAnsi="Times New Roman" w:cs="David"/>
      <w:sz w:val="24"/>
      <w:szCs w:val="24"/>
    </w:rPr>
  </w:style>
  <w:style w:type="table" w:styleId="a7">
    <w:name w:val="Table Grid"/>
    <w:basedOn w:val="a1"/>
    <w:rsid w:val="008E0C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0C7C"/>
  </w:style>
  <w:style w:type="paragraph" w:styleId="a9">
    <w:name w:val="List Paragraph"/>
    <w:basedOn w:val="a"/>
    <w:link w:val="aa"/>
    <w:qFormat/>
    <w:rsid w:val="008E0C7C"/>
    <w:pPr>
      <w:ind w:left="720"/>
      <w:contextualSpacing/>
    </w:pPr>
  </w:style>
  <w:style w:type="character" w:customStyle="1" w:styleId="aa">
    <w:name w:val="פיסקת רשימה תו"/>
    <w:link w:val="a9"/>
    <w:locked/>
    <w:rsid w:val="008E0C7C"/>
    <w:rPr>
      <w:rFonts w:ascii="Times New Roman" w:eastAsia="Times New Roman" w:hAnsi="Times New Roman" w:cs="David"/>
      <w:sz w:val="24"/>
      <w:szCs w:val="24"/>
    </w:rPr>
  </w:style>
  <w:style w:type="character" w:styleId="Hyperlink">
    <w:name w:val="Hyperlink"/>
    <w:rsid w:val="008E6B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4216/6" TargetMode="External"/><Relationship Id="rId26" Type="http://schemas.openxmlformats.org/officeDocument/2006/relationships/hyperlink" Target="http://www.nevo.co.il/law/5227/2" TargetMode="External"/><Relationship Id="rId39" Type="http://schemas.openxmlformats.org/officeDocument/2006/relationships/hyperlink" Target="http://www.nevo.co.il/case/27347635" TargetMode="External"/><Relationship Id="rId21" Type="http://schemas.openxmlformats.org/officeDocument/2006/relationships/hyperlink" Target="http://www.nevo.co.il/case/28957481" TargetMode="External"/><Relationship Id="rId34" Type="http://schemas.openxmlformats.org/officeDocument/2006/relationships/hyperlink" Target="http://www.nevo.co.il/case/29570295" TargetMode="External"/><Relationship Id="rId42" Type="http://schemas.openxmlformats.org/officeDocument/2006/relationships/hyperlink" Target="http://www.nevo.co.il/case/27573801" TargetMode="External"/><Relationship Id="rId47" Type="http://schemas.openxmlformats.org/officeDocument/2006/relationships/hyperlink" Target="http://www.nevo.co.il/law/70301/40ja.10" TargetMode="External"/><Relationship Id="rId50" Type="http://schemas.openxmlformats.org/officeDocument/2006/relationships/hyperlink" Target="http://www.nevo.co.il/case/5607845"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b.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4501" TargetMode="External"/><Relationship Id="rId24" Type="http://schemas.openxmlformats.org/officeDocument/2006/relationships/hyperlink" Target="http://www.nevo.co.il/law/74501/2a" TargetMode="External"/><Relationship Id="rId32" Type="http://schemas.openxmlformats.org/officeDocument/2006/relationships/hyperlink" Target="http://www.nevo.co.il/case/25998961"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7502816" TargetMode="External"/><Relationship Id="rId45" Type="http://schemas.openxmlformats.org/officeDocument/2006/relationships/hyperlink" Target="http://www.nevo.co.il/case/29209593"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5227/2"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5227" TargetMode="External"/><Relationship Id="rId30" Type="http://schemas.openxmlformats.org/officeDocument/2006/relationships/hyperlink" Target="http://www.nevo.co.il/case/11273152" TargetMode="External"/><Relationship Id="rId35" Type="http://schemas.openxmlformats.org/officeDocument/2006/relationships/hyperlink" Target="http://www.nevo.co.il/case/26797877" TargetMode="External"/><Relationship Id="rId43" Type="http://schemas.openxmlformats.org/officeDocument/2006/relationships/hyperlink" Target="http://www.nevo.co.il/case/27361147"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case/6034646" TargetMode="External"/><Relationship Id="rId3" Type="http://schemas.openxmlformats.org/officeDocument/2006/relationships/settings" Target="settings.xml"/><Relationship Id="rId12" Type="http://schemas.openxmlformats.org/officeDocument/2006/relationships/hyperlink" Target="http://www.nevo.co.il/law/74501/2a" TargetMode="External"/><Relationship Id="rId17" Type="http://schemas.openxmlformats.org/officeDocument/2006/relationships/hyperlink" Target="http://www.nevo.co.il/law/70301/40ja.10" TargetMode="External"/><Relationship Id="rId25" Type="http://schemas.openxmlformats.org/officeDocument/2006/relationships/hyperlink" Target="http://www.nevo.co.il/law/74501" TargetMode="External"/><Relationship Id="rId33" Type="http://schemas.openxmlformats.org/officeDocument/2006/relationships/hyperlink" Target="http://www.nevo.co.il/case/5581072" TargetMode="External"/><Relationship Id="rId38" Type="http://schemas.openxmlformats.org/officeDocument/2006/relationships/hyperlink" Target="http://www.nevo.co.il/case/30055845" TargetMode="External"/><Relationship Id="rId46" Type="http://schemas.openxmlformats.org/officeDocument/2006/relationships/hyperlink" Target="http://www.nevo.co.il/case/29209593"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7862619"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j.b.2" TargetMode="External"/><Relationship Id="rId36" Type="http://schemas.openxmlformats.org/officeDocument/2006/relationships/hyperlink" Target="http://www.nevo.co.il/case/27615803" TargetMode="External"/><Relationship Id="rId49" Type="http://schemas.openxmlformats.org/officeDocument/2006/relationships/hyperlink" Target="http://www.nevo.co.il/case/21024461" TargetMode="External"/><Relationship Id="rId57" Type="http://schemas.openxmlformats.org/officeDocument/2006/relationships/fontTable" Target="fontTable.xml"/><Relationship Id="rId10" Type="http://schemas.openxmlformats.org/officeDocument/2006/relationships/hyperlink" Target="http://www.nevo.co.il/law/4216/7.c" TargetMode="External"/><Relationship Id="rId31" Type="http://schemas.openxmlformats.org/officeDocument/2006/relationships/hyperlink" Target="http://www.nevo.co.il/case/18131336" TargetMode="External"/><Relationship Id="rId44" Type="http://schemas.openxmlformats.org/officeDocument/2006/relationships/hyperlink" Target="http://www.nevo.co.il/case/28190928"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2702</Words>
  <Characters>13511</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16181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3473524</vt:i4>
      </vt:variant>
      <vt:variant>
        <vt:i4>132</vt:i4>
      </vt:variant>
      <vt:variant>
        <vt:i4>0</vt:i4>
      </vt:variant>
      <vt:variant>
        <vt:i4>5</vt:i4>
      </vt:variant>
      <vt:variant>
        <vt:lpwstr>http://www.nevo.co.il/case/6034646</vt:lpwstr>
      </vt:variant>
      <vt:variant>
        <vt:lpwstr/>
      </vt:variant>
      <vt:variant>
        <vt:i4>3670129</vt:i4>
      </vt:variant>
      <vt:variant>
        <vt:i4>129</vt:i4>
      </vt:variant>
      <vt:variant>
        <vt:i4>0</vt:i4>
      </vt:variant>
      <vt:variant>
        <vt:i4>5</vt:i4>
      </vt:variant>
      <vt:variant>
        <vt:lpwstr>http://www.nevo.co.il/case/5607845</vt:lpwstr>
      </vt:variant>
      <vt:variant>
        <vt:lpwstr/>
      </vt:variant>
      <vt:variant>
        <vt:i4>3145843</vt:i4>
      </vt:variant>
      <vt:variant>
        <vt:i4>126</vt:i4>
      </vt:variant>
      <vt:variant>
        <vt:i4>0</vt:i4>
      </vt:variant>
      <vt:variant>
        <vt:i4>5</vt:i4>
      </vt:variant>
      <vt:variant>
        <vt:lpwstr>http://www.nevo.co.il/case/21024461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3473445</vt:i4>
      </vt:variant>
      <vt:variant>
        <vt:i4>120</vt:i4>
      </vt:variant>
      <vt:variant>
        <vt:i4>0</vt:i4>
      </vt:variant>
      <vt:variant>
        <vt:i4>5</vt:i4>
      </vt:variant>
      <vt:variant>
        <vt:lpwstr>http://www.nevo.co.il/law/70301/40ja.10</vt:lpwstr>
      </vt:variant>
      <vt:variant>
        <vt:lpwstr/>
      </vt:variant>
      <vt:variant>
        <vt:i4>3145848</vt:i4>
      </vt:variant>
      <vt:variant>
        <vt:i4>117</vt:i4>
      </vt:variant>
      <vt:variant>
        <vt:i4>0</vt:i4>
      </vt:variant>
      <vt:variant>
        <vt:i4>5</vt:i4>
      </vt:variant>
      <vt:variant>
        <vt:lpwstr>http://www.nevo.co.il/case/29209593</vt:lpwstr>
      </vt:variant>
      <vt:variant>
        <vt:lpwstr/>
      </vt:variant>
      <vt:variant>
        <vt:i4>3145848</vt:i4>
      </vt:variant>
      <vt:variant>
        <vt:i4>114</vt:i4>
      </vt:variant>
      <vt:variant>
        <vt:i4>0</vt:i4>
      </vt:variant>
      <vt:variant>
        <vt:i4>5</vt:i4>
      </vt:variant>
      <vt:variant>
        <vt:lpwstr>http://www.nevo.co.il/case/29209593</vt:lpwstr>
      </vt:variant>
      <vt:variant>
        <vt:lpwstr/>
      </vt:variant>
      <vt:variant>
        <vt:i4>3211388</vt:i4>
      </vt:variant>
      <vt:variant>
        <vt:i4>111</vt:i4>
      </vt:variant>
      <vt:variant>
        <vt:i4>0</vt:i4>
      </vt:variant>
      <vt:variant>
        <vt:i4>5</vt:i4>
      </vt:variant>
      <vt:variant>
        <vt:lpwstr>http://www.nevo.co.il/case/28190928</vt:lpwstr>
      </vt:variant>
      <vt:variant>
        <vt:lpwstr/>
      </vt:variant>
      <vt:variant>
        <vt:i4>3407988</vt:i4>
      </vt:variant>
      <vt:variant>
        <vt:i4>108</vt:i4>
      </vt:variant>
      <vt:variant>
        <vt:i4>0</vt:i4>
      </vt:variant>
      <vt:variant>
        <vt:i4>5</vt:i4>
      </vt:variant>
      <vt:variant>
        <vt:lpwstr>http://www.nevo.co.il/case/27361147</vt:lpwstr>
      </vt:variant>
      <vt:variant>
        <vt:lpwstr/>
      </vt:variant>
      <vt:variant>
        <vt:i4>3407996</vt:i4>
      </vt:variant>
      <vt:variant>
        <vt:i4>105</vt:i4>
      </vt:variant>
      <vt:variant>
        <vt:i4>0</vt:i4>
      </vt:variant>
      <vt:variant>
        <vt:i4>5</vt:i4>
      </vt:variant>
      <vt:variant>
        <vt:lpwstr>http://www.nevo.co.il/case/27573801</vt:lpwstr>
      </vt:variant>
      <vt:variant>
        <vt:lpwstr/>
      </vt:variant>
      <vt:variant>
        <vt:i4>3735667</vt:i4>
      </vt:variant>
      <vt:variant>
        <vt:i4>102</vt:i4>
      </vt:variant>
      <vt:variant>
        <vt:i4>0</vt:i4>
      </vt:variant>
      <vt:variant>
        <vt:i4>5</vt:i4>
      </vt:variant>
      <vt:variant>
        <vt:lpwstr>http://www.nevo.co.il/case/27862619</vt:lpwstr>
      </vt:variant>
      <vt:variant>
        <vt:lpwstr/>
      </vt:variant>
      <vt:variant>
        <vt:i4>3407995</vt:i4>
      </vt:variant>
      <vt:variant>
        <vt:i4>99</vt:i4>
      </vt:variant>
      <vt:variant>
        <vt:i4>0</vt:i4>
      </vt:variant>
      <vt:variant>
        <vt:i4>5</vt:i4>
      </vt:variant>
      <vt:variant>
        <vt:lpwstr>http://www.nevo.co.il/case/27502816</vt:lpwstr>
      </vt:variant>
      <vt:variant>
        <vt:lpwstr/>
      </vt:variant>
      <vt:variant>
        <vt:i4>3473521</vt:i4>
      </vt:variant>
      <vt:variant>
        <vt:i4>96</vt:i4>
      </vt:variant>
      <vt:variant>
        <vt:i4>0</vt:i4>
      </vt:variant>
      <vt:variant>
        <vt:i4>5</vt:i4>
      </vt:variant>
      <vt:variant>
        <vt:lpwstr>http://www.nevo.co.il/case/27347635</vt:lpwstr>
      </vt:variant>
      <vt:variant>
        <vt:lpwstr/>
      </vt:variant>
      <vt:variant>
        <vt:i4>3276921</vt:i4>
      </vt:variant>
      <vt:variant>
        <vt:i4>93</vt:i4>
      </vt:variant>
      <vt:variant>
        <vt:i4>0</vt:i4>
      </vt:variant>
      <vt:variant>
        <vt:i4>5</vt:i4>
      </vt:variant>
      <vt:variant>
        <vt:lpwstr>http://www.nevo.co.il/case/30055845</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3211386</vt:i4>
      </vt:variant>
      <vt:variant>
        <vt:i4>87</vt:i4>
      </vt:variant>
      <vt:variant>
        <vt:i4>0</vt:i4>
      </vt:variant>
      <vt:variant>
        <vt:i4>5</vt:i4>
      </vt:variant>
      <vt:variant>
        <vt:lpwstr>http://www.nevo.co.il/case/27615803</vt:lpwstr>
      </vt:variant>
      <vt:variant>
        <vt:lpwstr/>
      </vt:variant>
      <vt:variant>
        <vt:i4>3473523</vt:i4>
      </vt:variant>
      <vt:variant>
        <vt:i4>84</vt:i4>
      </vt:variant>
      <vt:variant>
        <vt:i4>0</vt:i4>
      </vt:variant>
      <vt:variant>
        <vt:i4>5</vt:i4>
      </vt:variant>
      <vt:variant>
        <vt:lpwstr>http://www.nevo.co.il/case/26797877</vt:lpwstr>
      </vt:variant>
      <vt:variant>
        <vt:lpwstr/>
      </vt:variant>
      <vt:variant>
        <vt:i4>4063352</vt:i4>
      </vt:variant>
      <vt:variant>
        <vt:i4>81</vt:i4>
      </vt:variant>
      <vt:variant>
        <vt:i4>0</vt:i4>
      </vt:variant>
      <vt:variant>
        <vt:i4>5</vt:i4>
      </vt:variant>
      <vt:variant>
        <vt:lpwstr>http://www.nevo.co.il/case/29570295</vt:lpwstr>
      </vt:variant>
      <vt:variant>
        <vt:lpwstr/>
      </vt:variant>
      <vt:variant>
        <vt:i4>4128887</vt:i4>
      </vt:variant>
      <vt:variant>
        <vt:i4>78</vt:i4>
      </vt:variant>
      <vt:variant>
        <vt:i4>0</vt:i4>
      </vt:variant>
      <vt:variant>
        <vt:i4>5</vt:i4>
      </vt:variant>
      <vt:variant>
        <vt:lpwstr>http://www.nevo.co.il/case/5581072</vt:lpwstr>
      </vt:variant>
      <vt:variant>
        <vt:lpwstr/>
      </vt:variant>
      <vt:variant>
        <vt:i4>3473521</vt:i4>
      </vt:variant>
      <vt:variant>
        <vt:i4>75</vt:i4>
      </vt:variant>
      <vt:variant>
        <vt:i4>0</vt:i4>
      </vt:variant>
      <vt:variant>
        <vt:i4>5</vt:i4>
      </vt:variant>
      <vt:variant>
        <vt:lpwstr>http://www.nevo.co.il/case/25998961</vt:lpwstr>
      </vt:variant>
      <vt:variant>
        <vt:lpwstr/>
      </vt:variant>
      <vt:variant>
        <vt:i4>3276924</vt:i4>
      </vt:variant>
      <vt:variant>
        <vt:i4>72</vt:i4>
      </vt:variant>
      <vt:variant>
        <vt:i4>0</vt:i4>
      </vt:variant>
      <vt:variant>
        <vt:i4>5</vt:i4>
      </vt:variant>
      <vt:variant>
        <vt:lpwstr>http://www.nevo.co.il/case/18131336</vt:lpwstr>
      </vt:variant>
      <vt:variant>
        <vt:lpwstr/>
      </vt:variant>
      <vt:variant>
        <vt:i4>3473523</vt:i4>
      </vt:variant>
      <vt:variant>
        <vt:i4>69</vt:i4>
      </vt:variant>
      <vt:variant>
        <vt:i4>0</vt:i4>
      </vt:variant>
      <vt:variant>
        <vt:i4>5</vt:i4>
      </vt:variant>
      <vt:variant>
        <vt:lpwstr>http://www.nevo.co.il/case/11273152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6619241</vt:i4>
      </vt:variant>
      <vt:variant>
        <vt:i4>63</vt:i4>
      </vt:variant>
      <vt:variant>
        <vt:i4>0</vt:i4>
      </vt:variant>
      <vt:variant>
        <vt:i4>5</vt:i4>
      </vt:variant>
      <vt:variant>
        <vt:lpwstr>http://www.nevo.co.il/law/70301/40j.b.2</vt:lpwstr>
      </vt:variant>
      <vt:variant>
        <vt:lpwstr/>
      </vt:variant>
      <vt:variant>
        <vt:i4>8323175</vt:i4>
      </vt:variant>
      <vt:variant>
        <vt:i4>60</vt:i4>
      </vt:variant>
      <vt:variant>
        <vt:i4>0</vt:i4>
      </vt:variant>
      <vt:variant>
        <vt:i4>5</vt:i4>
      </vt:variant>
      <vt:variant>
        <vt:lpwstr>http://www.nevo.co.il/law/5227</vt:lpwstr>
      </vt:variant>
      <vt:variant>
        <vt:lpwstr/>
      </vt:variant>
      <vt:variant>
        <vt:i4>5046344</vt:i4>
      </vt:variant>
      <vt:variant>
        <vt:i4>57</vt:i4>
      </vt:variant>
      <vt:variant>
        <vt:i4>0</vt:i4>
      </vt:variant>
      <vt:variant>
        <vt:i4>5</vt:i4>
      </vt:variant>
      <vt:variant>
        <vt:lpwstr>http://www.nevo.co.il/law/5227/2</vt:lpwstr>
      </vt:variant>
      <vt:variant>
        <vt:lpwstr/>
      </vt:variant>
      <vt:variant>
        <vt:i4>8257634</vt:i4>
      </vt:variant>
      <vt:variant>
        <vt:i4>54</vt:i4>
      </vt:variant>
      <vt:variant>
        <vt:i4>0</vt:i4>
      </vt:variant>
      <vt:variant>
        <vt:i4>5</vt:i4>
      </vt:variant>
      <vt:variant>
        <vt:lpwstr>http://www.nevo.co.il/law/74501</vt:lpwstr>
      </vt:variant>
      <vt:variant>
        <vt:lpwstr/>
      </vt:variant>
      <vt:variant>
        <vt:i4>3145825</vt:i4>
      </vt:variant>
      <vt:variant>
        <vt:i4>51</vt:i4>
      </vt:variant>
      <vt:variant>
        <vt:i4>0</vt:i4>
      </vt:variant>
      <vt:variant>
        <vt:i4>5</vt:i4>
      </vt:variant>
      <vt:variant>
        <vt:lpwstr>http://www.nevo.co.il/law/74501/2a</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3407997</vt:i4>
      </vt:variant>
      <vt:variant>
        <vt:i4>42</vt:i4>
      </vt:variant>
      <vt:variant>
        <vt:i4>0</vt:i4>
      </vt:variant>
      <vt:variant>
        <vt:i4>5</vt:i4>
      </vt:variant>
      <vt:variant>
        <vt:lpwstr>http://www.nevo.co.il/case/28957481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3473445</vt:i4>
      </vt:variant>
      <vt:variant>
        <vt:i4>30</vt:i4>
      </vt:variant>
      <vt:variant>
        <vt:i4>0</vt:i4>
      </vt:variant>
      <vt:variant>
        <vt:i4>5</vt:i4>
      </vt:variant>
      <vt:variant>
        <vt:lpwstr>http://www.nevo.co.il/law/70301/40ja.10</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5046344</vt:i4>
      </vt:variant>
      <vt:variant>
        <vt:i4>21</vt:i4>
      </vt:variant>
      <vt:variant>
        <vt:i4>0</vt:i4>
      </vt:variant>
      <vt:variant>
        <vt:i4>5</vt:i4>
      </vt:variant>
      <vt:variant>
        <vt:lpwstr>http://www.nevo.co.il/law/5227/2</vt:lpwstr>
      </vt:variant>
      <vt:variant>
        <vt:lpwstr/>
      </vt:variant>
      <vt:variant>
        <vt:i4>8323175</vt:i4>
      </vt:variant>
      <vt:variant>
        <vt:i4>18</vt:i4>
      </vt:variant>
      <vt:variant>
        <vt:i4>0</vt:i4>
      </vt:variant>
      <vt:variant>
        <vt:i4>5</vt:i4>
      </vt:variant>
      <vt:variant>
        <vt:lpwstr>http://www.nevo.co.il/law/5227</vt:lpwstr>
      </vt:variant>
      <vt:variant>
        <vt:lpwstr/>
      </vt:variant>
      <vt:variant>
        <vt:i4>3145825</vt:i4>
      </vt:variant>
      <vt:variant>
        <vt:i4>15</vt:i4>
      </vt:variant>
      <vt:variant>
        <vt:i4>0</vt:i4>
      </vt:variant>
      <vt:variant>
        <vt:i4>5</vt:i4>
      </vt:variant>
      <vt:variant>
        <vt:lpwstr>http://www.nevo.co.il/law/74501/2a</vt:lpwstr>
      </vt:variant>
      <vt:variant>
        <vt:lpwstr/>
      </vt:variant>
      <vt:variant>
        <vt:i4>8257634</vt:i4>
      </vt:variant>
      <vt:variant>
        <vt:i4>12</vt:i4>
      </vt:variant>
      <vt:variant>
        <vt:i4>0</vt:i4>
      </vt:variant>
      <vt:variant>
        <vt:i4>5</vt:i4>
      </vt:variant>
      <vt:variant>
        <vt:lpwstr>http://www.nevo.co.il/law/74501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2025-04-23T01:16:00Z</dcterms:created>
  <dcterms:modified xsi:type="dcterms:W3CDTF">2025-04-23T01:16:00Z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54351</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טרלן אבסוב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20250105</vt:lpwstr>
  </property>
  <property fmtid="{D5CDD505-2E9C-101B-9397-08002B2CF9AE}" pid="13" name="TYPE_N_DATE">
    <vt:lpwstr>38020250105</vt:lpwstr>
  </property>
  <property fmtid="{D5CDD505-2E9C-101B-9397-08002B2CF9AE}" pid="14" name="CASESLISTTMP1">
    <vt:lpwstr>28957481;11273152;18131336;25998961;5581072;29570295;26797877;27615803;26246488;30055845;27347635;27502816;27862619;27573801;27361147;28190928;29209593:2;21024461;5607845;6034646</vt:lpwstr>
  </property>
  <property fmtid="{D5CDD505-2E9C-101B-9397-08002B2CF9AE}" pid="15" name="WORDNUMPAGES">
    <vt:lpwstr>7</vt:lpwstr>
  </property>
  <property fmtid="{D5CDD505-2E9C-101B-9397-08002B2CF9AE}" pid="16" name="TYPE_ABS_DATE">
    <vt:lpwstr>380020250105</vt:lpwstr>
  </property>
  <property fmtid="{D5CDD505-2E9C-101B-9397-08002B2CF9AE}" pid="17" name="LAWLISTTMP1">
    <vt:lpwstr>4216/006;007.a:2;007.c:2</vt:lpwstr>
  </property>
  <property fmtid="{D5CDD505-2E9C-101B-9397-08002B2CF9AE}" pid="18" name="LAWLISTTMP2">
    <vt:lpwstr>74501/002a</vt:lpwstr>
  </property>
  <property fmtid="{D5CDD505-2E9C-101B-9397-08002B2CF9AE}" pid="19" name="LAWLISTTMP3">
    <vt:lpwstr>5227/002</vt:lpwstr>
  </property>
  <property fmtid="{D5CDD505-2E9C-101B-9397-08002B2CF9AE}" pid="20" name="LAWLISTTMP4">
    <vt:lpwstr>70301/040j.b.2;40ja.10</vt:lpwstr>
  </property>
  <property fmtid="{D5CDD505-2E9C-101B-9397-08002B2CF9AE}" pid="21" name="ISABSTRACT">
    <vt:lpwstr>Y</vt:lpwstr>
  </property>
</Properties>
</file>