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C61F4" w:rsidRPr="00E673DF" w14:paraId="679B905D" w14:textId="77777777" w:rsidTr="00E673DF">
        <w:trPr>
          <w:gridAfter w:val="1"/>
          <w:wAfter w:w="99" w:type="dxa"/>
          <w:trHeight w:hRule="exact" w:val="418"/>
          <w:jc w:val="center"/>
        </w:trPr>
        <w:tc>
          <w:tcPr>
            <w:tcW w:w="8721" w:type="dxa"/>
            <w:gridSpan w:val="4"/>
          </w:tcPr>
          <w:p w14:paraId="10960DC9" w14:textId="77777777" w:rsidR="006C61F4" w:rsidRPr="00E673DF" w:rsidRDefault="006C61F4" w:rsidP="00B951F0">
            <w:pPr>
              <w:pStyle w:val="a3"/>
              <w:jc w:val="center"/>
              <w:rPr>
                <w:rFonts w:ascii="Tahoma" w:hAnsi="Tahoma"/>
                <w:color w:val="000080"/>
                <w:rtl/>
              </w:rPr>
            </w:pPr>
            <w:bookmarkStart w:id="0" w:name="LastJudge"/>
            <w:r w:rsidRPr="00E673DF">
              <w:rPr>
                <w:rFonts w:ascii="Tahoma" w:hAnsi="Tahoma"/>
                <w:b/>
                <w:bCs/>
                <w:color w:val="000080"/>
                <w:rtl/>
              </w:rPr>
              <w:t>בית משפט השלום בבאר שבע</w:t>
            </w:r>
          </w:p>
        </w:tc>
      </w:tr>
      <w:tr w:rsidR="006C61F4" w:rsidRPr="00E673DF" w14:paraId="11A7F95F" w14:textId="77777777" w:rsidTr="00E673DF">
        <w:trPr>
          <w:gridAfter w:val="1"/>
          <w:wAfter w:w="99" w:type="dxa"/>
          <w:trHeight w:val="337"/>
          <w:jc w:val="center"/>
        </w:trPr>
        <w:tc>
          <w:tcPr>
            <w:tcW w:w="5054" w:type="dxa"/>
            <w:gridSpan w:val="3"/>
          </w:tcPr>
          <w:p w14:paraId="55FE3067" w14:textId="77777777" w:rsidR="006C61F4" w:rsidRPr="00E673DF" w:rsidRDefault="006C61F4" w:rsidP="00B951F0">
            <w:pPr>
              <w:rPr>
                <w:sz w:val="28"/>
                <w:szCs w:val="28"/>
                <w:rtl/>
              </w:rPr>
            </w:pPr>
            <w:r w:rsidRPr="00E673DF">
              <w:rPr>
                <w:sz w:val="28"/>
                <w:szCs w:val="28"/>
                <w:rtl/>
              </w:rPr>
              <w:t>ת"פ</w:t>
            </w:r>
            <w:r w:rsidRPr="00E673DF">
              <w:rPr>
                <w:rFonts w:hint="cs"/>
                <w:sz w:val="28"/>
                <w:szCs w:val="28"/>
                <w:rtl/>
              </w:rPr>
              <w:t xml:space="preserve"> </w:t>
            </w:r>
            <w:r w:rsidRPr="00E673DF">
              <w:rPr>
                <w:sz w:val="28"/>
                <w:szCs w:val="28"/>
                <w:rtl/>
              </w:rPr>
              <w:t>9225-11-21</w:t>
            </w:r>
            <w:r w:rsidRPr="00E673DF">
              <w:rPr>
                <w:rFonts w:hint="cs"/>
                <w:sz w:val="28"/>
                <w:szCs w:val="28"/>
                <w:rtl/>
              </w:rPr>
              <w:t xml:space="preserve"> </w:t>
            </w:r>
            <w:r w:rsidRPr="00E673DF">
              <w:rPr>
                <w:sz w:val="28"/>
                <w:szCs w:val="28"/>
                <w:rtl/>
              </w:rPr>
              <w:t>מדינת ישראל נ' אבו כף</w:t>
            </w:r>
          </w:p>
          <w:p w14:paraId="1393B97C" w14:textId="77777777" w:rsidR="006C61F4" w:rsidRPr="00E673DF" w:rsidRDefault="006C61F4" w:rsidP="00B951F0">
            <w:pPr>
              <w:pStyle w:val="a3"/>
              <w:rPr>
                <w:sz w:val="28"/>
                <w:szCs w:val="28"/>
                <w:rtl/>
              </w:rPr>
            </w:pPr>
          </w:p>
        </w:tc>
        <w:tc>
          <w:tcPr>
            <w:tcW w:w="3667" w:type="dxa"/>
          </w:tcPr>
          <w:p w14:paraId="253F8A43" w14:textId="77777777" w:rsidR="006C61F4" w:rsidRPr="00E673DF" w:rsidRDefault="006C61F4" w:rsidP="00B951F0">
            <w:pPr>
              <w:pStyle w:val="a3"/>
              <w:jc w:val="right"/>
              <w:rPr>
                <w:sz w:val="28"/>
                <w:szCs w:val="28"/>
                <w:rtl/>
              </w:rPr>
            </w:pPr>
          </w:p>
        </w:tc>
      </w:tr>
      <w:tr w:rsidR="006C61F4" w:rsidRPr="00E673DF" w14:paraId="7BF59884" w14:textId="77777777" w:rsidTr="00E673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4165A7F" w14:textId="77777777" w:rsidR="006C61F4" w:rsidRPr="00E673DF" w:rsidRDefault="006C61F4" w:rsidP="006C61F4">
            <w:pPr>
              <w:jc w:val="both"/>
              <w:rPr>
                <w:rFonts w:ascii="David" w:hAnsi="David"/>
                <w:sz w:val="26"/>
                <w:szCs w:val="26"/>
              </w:rPr>
            </w:pPr>
            <w:r w:rsidRPr="00E673DF">
              <w:rPr>
                <w:rFonts w:hint="cs"/>
                <w:rtl/>
              </w:rPr>
              <w:t xml:space="preserve"> </w:t>
            </w:r>
            <w:r w:rsidRPr="00E673DF">
              <w:rPr>
                <w:rFonts w:ascii="David" w:hAnsi="David" w:hint="cs"/>
                <w:sz w:val="26"/>
                <w:szCs w:val="26"/>
                <w:rtl/>
              </w:rPr>
              <w:t>ל</w:t>
            </w:r>
            <w:r w:rsidRPr="00E673D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89AA1B1" w14:textId="77777777" w:rsidR="006C61F4" w:rsidRPr="00E673DF" w:rsidRDefault="006C61F4" w:rsidP="00B951F0">
            <w:pPr>
              <w:rPr>
                <w:rFonts w:ascii="David" w:hAnsi="David"/>
                <w:b/>
                <w:bCs/>
                <w:sz w:val="22"/>
                <w:szCs w:val="22"/>
                <w:rtl/>
              </w:rPr>
            </w:pPr>
            <w:r w:rsidRPr="00E673DF">
              <w:rPr>
                <w:rFonts w:ascii="David" w:hAnsi="David"/>
                <w:b/>
                <w:bCs/>
                <w:sz w:val="22"/>
                <w:szCs w:val="22"/>
                <w:rtl/>
              </w:rPr>
              <w:t>כבוד השופט  אריה דורני-דורון</w:t>
            </w:r>
          </w:p>
          <w:p w14:paraId="7F39B7F9" w14:textId="77777777" w:rsidR="006C61F4" w:rsidRPr="00E673DF" w:rsidRDefault="006C61F4" w:rsidP="00B951F0">
            <w:pPr>
              <w:rPr>
                <w:rFonts w:ascii="David" w:hAnsi="David"/>
                <w:sz w:val="22"/>
                <w:szCs w:val="22"/>
                <w:rtl/>
              </w:rPr>
            </w:pPr>
          </w:p>
          <w:p w14:paraId="6453BFE5" w14:textId="77777777" w:rsidR="006C61F4" w:rsidRPr="00E673DF" w:rsidRDefault="006C61F4" w:rsidP="006C61F4">
            <w:pPr>
              <w:jc w:val="both"/>
              <w:rPr>
                <w:rFonts w:ascii="David" w:hAnsi="David"/>
                <w:sz w:val="22"/>
                <w:szCs w:val="22"/>
              </w:rPr>
            </w:pPr>
          </w:p>
        </w:tc>
      </w:tr>
      <w:tr w:rsidR="006C61F4" w:rsidRPr="00E673DF" w14:paraId="3548631C" w14:textId="77777777" w:rsidTr="00E673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E9087A" w14:textId="77777777" w:rsidR="006C61F4" w:rsidRPr="00E673DF" w:rsidRDefault="006C61F4" w:rsidP="006C61F4">
            <w:pPr>
              <w:jc w:val="both"/>
              <w:rPr>
                <w:rFonts w:ascii="David" w:hAnsi="David"/>
                <w:sz w:val="26"/>
                <w:szCs w:val="26"/>
              </w:rPr>
            </w:pPr>
            <w:bookmarkStart w:id="1" w:name="FirstAppellant"/>
            <w:bookmarkStart w:id="2" w:name="FirstLawyer"/>
            <w:r w:rsidRPr="00E673DF">
              <w:rPr>
                <w:rFonts w:ascii="David" w:hAnsi="David"/>
                <w:sz w:val="26"/>
                <w:szCs w:val="26"/>
                <w:rtl/>
              </w:rPr>
              <w:t>בעניין:</w:t>
            </w:r>
          </w:p>
        </w:tc>
        <w:tc>
          <w:tcPr>
            <w:tcW w:w="3219" w:type="dxa"/>
            <w:tcBorders>
              <w:top w:val="nil"/>
              <w:left w:val="nil"/>
              <w:bottom w:val="nil"/>
              <w:right w:val="nil"/>
            </w:tcBorders>
            <w:shd w:val="clear" w:color="auto" w:fill="auto"/>
          </w:tcPr>
          <w:p w14:paraId="61F6E1FF" w14:textId="77777777" w:rsidR="006C61F4" w:rsidRPr="00E673DF" w:rsidRDefault="006C61F4" w:rsidP="006C61F4">
            <w:pPr>
              <w:suppressLineNumbers/>
              <w:rPr>
                <w:sz w:val="22"/>
                <w:szCs w:val="22"/>
              </w:rPr>
            </w:pPr>
            <w:r w:rsidRPr="00E673DF">
              <w:rPr>
                <w:rFonts w:ascii="Arial" w:hAnsi="Arial" w:hint="cs"/>
                <w:b/>
                <w:bCs/>
                <w:sz w:val="22"/>
                <w:szCs w:val="22"/>
                <w:rtl/>
              </w:rPr>
              <w:t>ה</w:t>
            </w:r>
            <w:r w:rsidRPr="00E673DF">
              <w:rPr>
                <w:rFonts w:ascii="Arial" w:hAnsi="Arial"/>
                <w:b/>
                <w:bCs/>
                <w:sz w:val="22"/>
                <w:szCs w:val="22"/>
                <w:rtl/>
              </w:rPr>
              <w:t>מאשימה</w:t>
            </w:r>
          </w:p>
          <w:p w14:paraId="5748DDE2" w14:textId="77777777" w:rsidR="006C61F4" w:rsidRPr="00E673DF" w:rsidRDefault="006C61F4" w:rsidP="00B951F0">
            <w:pPr>
              <w:rPr>
                <w:rFonts w:ascii="David" w:hAnsi="David"/>
                <w:sz w:val="22"/>
                <w:szCs w:val="22"/>
              </w:rPr>
            </w:pPr>
          </w:p>
        </w:tc>
        <w:tc>
          <w:tcPr>
            <w:tcW w:w="4678" w:type="dxa"/>
            <w:gridSpan w:val="3"/>
            <w:tcBorders>
              <w:top w:val="nil"/>
              <w:left w:val="nil"/>
              <w:bottom w:val="nil"/>
              <w:right w:val="nil"/>
            </w:tcBorders>
            <w:shd w:val="clear" w:color="auto" w:fill="auto"/>
            <w:vAlign w:val="center"/>
          </w:tcPr>
          <w:p w14:paraId="217516AC" w14:textId="77777777" w:rsidR="006C61F4" w:rsidRPr="00E673DF" w:rsidRDefault="006C61F4" w:rsidP="006C61F4">
            <w:pPr>
              <w:suppressLineNumbers/>
              <w:rPr>
                <w:rFonts w:ascii="Arial" w:hAnsi="Arial"/>
                <w:b/>
                <w:bCs/>
                <w:sz w:val="22"/>
                <w:szCs w:val="22"/>
                <w:rtl/>
              </w:rPr>
            </w:pPr>
            <w:r w:rsidRPr="00E673DF">
              <w:rPr>
                <w:rFonts w:ascii="Arial" w:hAnsi="Arial"/>
                <w:b/>
                <w:bCs/>
                <w:sz w:val="22"/>
                <w:szCs w:val="22"/>
                <w:rtl/>
              </w:rPr>
              <w:t>מדינת ישראל</w:t>
            </w:r>
            <w:r w:rsidRPr="00E673DF">
              <w:rPr>
                <w:rFonts w:ascii="Arial" w:hAnsi="Arial" w:hint="cs"/>
                <w:b/>
                <w:bCs/>
                <w:sz w:val="22"/>
                <w:szCs w:val="22"/>
                <w:rtl/>
              </w:rPr>
              <w:t xml:space="preserve"> </w:t>
            </w:r>
            <w:r w:rsidRPr="00E673DF">
              <w:rPr>
                <w:rFonts w:ascii="Arial" w:hAnsi="Arial"/>
                <w:b/>
                <w:bCs/>
                <w:sz w:val="22"/>
                <w:szCs w:val="22"/>
                <w:rtl/>
              </w:rPr>
              <w:t xml:space="preserve">ע"י </w:t>
            </w:r>
          </w:p>
          <w:p w14:paraId="23F389B8" w14:textId="77777777" w:rsidR="006C61F4" w:rsidRPr="00E673DF" w:rsidRDefault="006C61F4" w:rsidP="006C61F4">
            <w:pPr>
              <w:suppressLineNumbers/>
              <w:rPr>
                <w:sz w:val="22"/>
                <w:szCs w:val="22"/>
              </w:rPr>
            </w:pPr>
            <w:r w:rsidRPr="00E673DF">
              <w:rPr>
                <w:rFonts w:ascii="Arial" w:hAnsi="Arial"/>
                <w:b/>
                <w:bCs/>
                <w:sz w:val="22"/>
                <w:szCs w:val="22"/>
                <w:rtl/>
              </w:rPr>
              <w:t>ב"כ עוה"ד</w:t>
            </w:r>
            <w:r w:rsidRPr="00E673DF">
              <w:rPr>
                <w:rFonts w:hint="cs"/>
                <w:sz w:val="22"/>
                <w:szCs w:val="22"/>
                <w:rtl/>
              </w:rPr>
              <w:t xml:space="preserve"> </w:t>
            </w:r>
            <w:r w:rsidRPr="00E673DF">
              <w:rPr>
                <w:rFonts w:hint="cs"/>
                <w:b/>
                <w:bCs/>
                <w:sz w:val="22"/>
                <w:szCs w:val="22"/>
                <w:rtl/>
              </w:rPr>
              <w:t>גל גבאי</w:t>
            </w:r>
            <w:r w:rsidRPr="00E673DF">
              <w:rPr>
                <w:rFonts w:hint="cs"/>
                <w:sz w:val="22"/>
                <w:szCs w:val="22"/>
                <w:rtl/>
              </w:rPr>
              <w:t xml:space="preserve"> </w:t>
            </w:r>
          </w:p>
          <w:p w14:paraId="50F72B63" w14:textId="77777777" w:rsidR="006C61F4" w:rsidRPr="00E673DF" w:rsidRDefault="006C61F4" w:rsidP="00B951F0">
            <w:pPr>
              <w:rPr>
                <w:rFonts w:ascii="David" w:hAnsi="David"/>
                <w:sz w:val="22"/>
                <w:szCs w:val="22"/>
              </w:rPr>
            </w:pPr>
          </w:p>
        </w:tc>
      </w:tr>
      <w:bookmarkEnd w:id="1"/>
      <w:bookmarkEnd w:id="2"/>
      <w:tr w:rsidR="006C61F4" w:rsidRPr="00E673DF" w14:paraId="4D710583" w14:textId="77777777" w:rsidTr="00E673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0F0376" w14:textId="77777777" w:rsidR="006C61F4" w:rsidRPr="00E673DF" w:rsidRDefault="006C61F4" w:rsidP="006C61F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C049AFD" w14:textId="77777777" w:rsidR="006C61F4" w:rsidRPr="00E673DF" w:rsidRDefault="006C61F4" w:rsidP="006C61F4">
            <w:pPr>
              <w:jc w:val="center"/>
              <w:rPr>
                <w:rFonts w:ascii="David" w:hAnsi="David"/>
                <w:b/>
                <w:bCs/>
                <w:sz w:val="22"/>
                <w:szCs w:val="22"/>
                <w:rtl/>
              </w:rPr>
            </w:pPr>
          </w:p>
          <w:p w14:paraId="77BA9C92" w14:textId="77777777" w:rsidR="006C61F4" w:rsidRPr="00E673DF" w:rsidRDefault="006C61F4" w:rsidP="006C61F4">
            <w:pPr>
              <w:jc w:val="center"/>
              <w:rPr>
                <w:rFonts w:ascii="David" w:hAnsi="David"/>
                <w:b/>
                <w:bCs/>
                <w:sz w:val="22"/>
                <w:szCs w:val="22"/>
                <w:rtl/>
              </w:rPr>
            </w:pPr>
            <w:r w:rsidRPr="00E673DF">
              <w:rPr>
                <w:rFonts w:ascii="David" w:hAnsi="David"/>
                <w:b/>
                <w:bCs/>
                <w:sz w:val="22"/>
                <w:szCs w:val="22"/>
                <w:rtl/>
              </w:rPr>
              <w:t>נגד</w:t>
            </w:r>
          </w:p>
          <w:p w14:paraId="4D1583E0" w14:textId="77777777" w:rsidR="006C61F4" w:rsidRPr="00E673DF" w:rsidRDefault="006C61F4" w:rsidP="006C61F4">
            <w:pPr>
              <w:jc w:val="both"/>
              <w:rPr>
                <w:rFonts w:ascii="David" w:hAnsi="David"/>
                <w:sz w:val="22"/>
                <w:szCs w:val="22"/>
              </w:rPr>
            </w:pPr>
          </w:p>
        </w:tc>
      </w:tr>
      <w:tr w:rsidR="006C61F4" w:rsidRPr="00E673DF" w14:paraId="2FCCF690" w14:textId="77777777" w:rsidTr="00E673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3ED43F7" w14:textId="77777777" w:rsidR="006C61F4" w:rsidRPr="00E673DF" w:rsidRDefault="006C61F4" w:rsidP="00B951F0">
            <w:pPr>
              <w:rPr>
                <w:rFonts w:ascii="David" w:hAnsi="David"/>
                <w:sz w:val="26"/>
                <w:szCs w:val="26"/>
                <w:rtl/>
              </w:rPr>
            </w:pPr>
          </w:p>
        </w:tc>
        <w:tc>
          <w:tcPr>
            <w:tcW w:w="3219" w:type="dxa"/>
            <w:tcBorders>
              <w:top w:val="nil"/>
              <w:left w:val="nil"/>
              <w:bottom w:val="nil"/>
              <w:right w:val="nil"/>
            </w:tcBorders>
            <w:shd w:val="clear" w:color="auto" w:fill="auto"/>
          </w:tcPr>
          <w:p w14:paraId="4055183F" w14:textId="77777777" w:rsidR="006C61F4" w:rsidRPr="00E673DF" w:rsidRDefault="006C61F4" w:rsidP="00B951F0">
            <w:pPr>
              <w:rPr>
                <w:rFonts w:ascii="Arial" w:hAnsi="Arial"/>
                <w:b/>
                <w:bCs/>
                <w:sz w:val="22"/>
                <w:szCs w:val="22"/>
                <w:rtl/>
              </w:rPr>
            </w:pPr>
            <w:r w:rsidRPr="00E673DF">
              <w:rPr>
                <w:rFonts w:ascii="Arial" w:hAnsi="Arial"/>
                <w:b/>
                <w:bCs/>
                <w:sz w:val="22"/>
                <w:szCs w:val="22"/>
                <w:rtl/>
              </w:rPr>
              <w:t>הנאש</w:t>
            </w:r>
            <w:r w:rsidRPr="00E673DF">
              <w:rPr>
                <w:rFonts w:ascii="Arial" w:hAnsi="Arial" w:hint="cs"/>
                <w:b/>
                <w:bCs/>
                <w:sz w:val="22"/>
                <w:szCs w:val="22"/>
                <w:rtl/>
              </w:rPr>
              <w:t xml:space="preserve">ם </w:t>
            </w:r>
          </w:p>
        </w:tc>
        <w:tc>
          <w:tcPr>
            <w:tcW w:w="4678" w:type="dxa"/>
            <w:gridSpan w:val="3"/>
            <w:tcBorders>
              <w:top w:val="nil"/>
              <w:left w:val="nil"/>
              <w:bottom w:val="nil"/>
              <w:right w:val="nil"/>
            </w:tcBorders>
            <w:shd w:val="clear" w:color="auto" w:fill="auto"/>
            <w:vAlign w:val="center"/>
          </w:tcPr>
          <w:p w14:paraId="1B900799" w14:textId="77777777" w:rsidR="006C61F4" w:rsidRPr="00E673DF" w:rsidRDefault="006C61F4" w:rsidP="006C61F4">
            <w:pPr>
              <w:suppressLineNumbers/>
              <w:rPr>
                <w:rFonts w:ascii="Arial" w:hAnsi="Arial"/>
                <w:b/>
                <w:bCs/>
                <w:sz w:val="22"/>
                <w:szCs w:val="22"/>
                <w:rtl/>
              </w:rPr>
            </w:pPr>
            <w:r w:rsidRPr="00E673DF">
              <w:rPr>
                <w:rFonts w:ascii="Arial" w:hAnsi="Arial"/>
                <w:b/>
                <w:bCs/>
                <w:sz w:val="22"/>
                <w:szCs w:val="22"/>
                <w:rtl/>
              </w:rPr>
              <w:t>עאטף אבו כף</w:t>
            </w:r>
            <w:r w:rsidRPr="00E673DF">
              <w:rPr>
                <w:rFonts w:ascii="Arial" w:hAnsi="Arial" w:hint="cs"/>
                <w:b/>
                <w:bCs/>
                <w:sz w:val="22"/>
                <w:szCs w:val="22"/>
                <w:rtl/>
              </w:rPr>
              <w:t xml:space="preserve"> </w:t>
            </w:r>
          </w:p>
          <w:p w14:paraId="7F8042D5" w14:textId="77777777" w:rsidR="006C61F4" w:rsidRPr="00E673DF" w:rsidRDefault="006C61F4" w:rsidP="006C61F4">
            <w:pPr>
              <w:suppressLineNumbers/>
              <w:rPr>
                <w:rFonts w:ascii="Arial" w:hAnsi="Arial"/>
                <w:b/>
                <w:bCs/>
                <w:sz w:val="22"/>
                <w:szCs w:val="22"/>
              </w:rPr>
            </w:pPr>
            <w:r w:rsidRPr="00E673DF">
              <w:rPr>
                <w:rFonts w:ascii="Arial" w:hAnsi="Arial"/>
                <w:b/>
                <w:bCs/>
                <w:sz w:val="22"/>
                <w:szCs w:val="22"/>
                <w:rtl/>
              </w:rPr>
              <w:t>ע"י</w:t>
            </w:r>
            <w:r w:rsidRPr="00E673DF">
              <w:rPr>
                <w:rFonts w:ascii="Arial" w:hAnsi="Arial" w:hint="cs"/>
                <w:b/>
                <w:bCs/>
                <w:sz w:val="22"/>
                <w:szCs w:val="22"/>
                <w:rtl/>
              </w:rPr>
              <w:t xml:space="preserve"> </w:t>
            </w:r>
            <w:r w:rsidRPr="00E673DF">
              <w:rPr>
                <w:rFonts w:ascii="Arial" w:hAnsi="Arial"/>
                <w:b/>
                <w:bCs/>
                <w:sz w:val="22"/>
                <w:szCs w:val="22"/>
                <w:rtl/>
              </w:rPr>
              <w:t>ב"כ עוה"ד</w:t>
            </w:r>
            <w:r w:rsidRPr="00E673DF">
              <w:rPr>
                <w:rFonts w:hint="cs"/>
                <w:sz w:val="22"/>
                <w:szCs w:val="22"/>
                <w:rtl/>
              </w:rPr>
              <w:t xml:space="preserve"> </w:t>
            </w:r>
            <w:r w:rsidRPr="00E673DF">
              <w:rPr>
                <w:rFonts w:hint="cs"/>
                <w:b/>
                <w:bCs/>
                <w:sz w:val="22"/>
                <w:szCs w:val="22"/>
                <w:rtl/>
              </w:rPr>
              <w:t>אחמד ותד</w:t>
            </w:r>
            <w:r w:rsidRPr="00E673DF">
              <w:rPr>
                <w:rFonts w:hint="cs"/>
                <w:sz w:val="22"/>
                <w:szCs w:val="22"/>
                <w:rtl/>
              </w:rPr>
              <w:t xml:space="preserve"> </w:t>
            </w:r>
          </w:p>
          <w:p w14:paraId="7690E5CE" w14:textId="77777777" w:rsidR="006C61F4" w:rsidRPr="00E673DF" w:rsidRDefault="006C61F4" w:rsidP="00B951F0">
            <w:pPr>
              <w:rPr>
                <w:rFonts w:ascii="David" w:hAnsi="David"/>
                <w:sz w:val="22"/>
                <w:szCs w:val="22"/>
              </w:rPr>
            </w:pPr>
          </w:p>
        </w:tc>
      </w:tr>
    </w:tbl>
    <w:p w14:paraId="651BCD59" w14:textId="77777777" w:rsidR="00D009C4" w:rsidRPr="00E673DF" w:rsidRDefault="00D009C4" w:rsidP="00D009C4">
      <w:pPr>
        <w:spacing w:before="120" w:after="120" w:line="240" w:lineRule="exact"/>
        <w:ind w:left="283" w:hanging="283"/>
        <w:jc w:val="both"/>
        <w:rPr>
          <w:rFonts w:ascii="FrankRuehl" w:hAnsi="FrankRuehl"/>
          <w:rtl/>
        </w:rPr>
      </w:pPr>
    </w:p>
    <w:p w14:paraId="76A1C3C5" w14:textId="77777777" w:rsidR="00D009C4" w:rsidRPr="00E673DF" w:rsidRDefault="00D009C4" w:rsidP="00D009C4">
      <w:pPr>
        <w:rPr>
          <w:sz w:val="26"/>
          <w:szCs w:val="26"/>
          <w:rtl/>
        </w:rPr>
      </w:pPr>
    </w:p>
    <w:p w14:paraId="36E040BF" w14:textId="77777777" w:rsidR="00E673DF" w:rsidRPr="00E673DF" w:rsidRDefault="00E673DF" w:rsidP="00E673DF">
      <w:pPr>
        <w:spacing w:before="120" w:after="120" w:line="240" w:lineRule="exact"/>
        <w:ind w:left="283" w:hanging="283"/>
        <w:jc w:val="both"/>
        <w:rPr>
          <w:rFonts w:ascii="FrankRuehl" w:hAnsi="FrankRuehl" w:cs="FrankRuehl"/>
          <w:rtl/>
        </w:rPr>
      </w:pPr>
    </w:p>
    <w:p w14:paraId="5420B3AE" w14:textId="77777777" w:rsidR="005B793D" w:rsidRPr="005B793D" w:rsidRDefault="005B793D" w:rsidP="005B793D">
      <w:pPr>
        <w:spacing w:before="120" w:after="120" w:line="240" w:lineRule="exact"/>
        <w:ind w:left="283" w:hanging="283"/>
        <w:jc w:val="both"/>
        <w:rPr>
          <w:rFonts w:ascii="FrankRuehl" w:hAnsi="FrankRuehl" w:cs="FrankRuehl"/>
          <w:rtl/>
        </w:rPr>
      </w:pPr>
    </w:p>
    <w:p w14:paraId="059A0151" w14:textId="77777777" w:rsidR="00A30D37" w:rsidRDefault="00A30D37" w:rsidP="00A30D37">
      <w:pPr>
        <w:rPr>
          <w:sz w:val="26"/>
          <w:szCs w:val="26"/>
          <w:rtl/>
        </w:rPr>
      </w:pPr>
      <w:bookmarkStart w:id="3" w:name="LawTable"/>
      <w:bookmarkEnd w:id="3"/>
    </w:p>
    <w:p w14:paraId="00313182" w14:textId="77777777" w:rsidR="00A30D37" w:rsidRPr="00A30D37" w:rsidRDefault="00A30D37" w:rsidP="00A30D37">
      <w:pPr>
        <w:spacing w:before="120" w:after="120" w:line="240" w:lineRule="exact"/>
        <w:ind w:left="283" w:hanging="283"/>
        <w:jc w:val="both"/>
        <w:rPr>
          <w:rFonts w:ascii="FrankRuehl" w:hAnsi="FrankRuehl" w:cs="FrankRuehl"/>
          <w:rtl/>
        </w:rPr>
      </w:pPr>
    </w:p>
    <w:p w14:paraId="7A44FABA" w14:textId="77777777" w:rsidR="00A30D37" w:rsidRPr="00A30D37" w:rsidRDefault="00A30D37" w:rsidP="00A30D37">
      <w:pPr>
        <w:spacing w:before="120" w:after="120" w:line="240" w:lineRule="exact"/>
        <w:ind w:left="283" w:hanging="283"/>
        <w:jc w:val="both"/>
        <w:rPr>
          <w:rFonts w:ascii="FrankRuehl" w:hAnsi="FrankRuehl" w:cs="FrankRuehl"/>
          <w:rtl/>
        </w:rPr>
      </w:pPr>
    </w:p>
    <w:p w14:paraId="43539BBF" w14:textId="77777777" w:rsidR="00A30D37" w:rsidRPr="00A30D37" w:rsidRDefault="00A30D37" w:rsidP="00A30D37">
      <w:pPr>
        <w:spacing w:before="120" w:after="120" w:line="240" w:lineRule="exact"/>
        <w:ind w:left="283" w:hanging="283"/>
        <w:jc w:val="both"/>
        <w:rPr>
          <w:rFonts w:ascii="FrankRuehl" w:hAnsi="FrankRuehl" w:cs="FrankRuehl"/>
          <w:rtl/>
        </w:rPr>
      </w:pPr>
      <w:r w:rsidRPr="00A30D37">
        <w:rPr>
          <w:rFonts w:ascii="FrankRuehl" w:hAnsi="FrankRuehl" w:cs="FrankRuehl"/>
          <w:rtl/>
        </w:rPr>
        <w:t xml:space="preserve">חקיקה שאוזכרה: </w:t>
      </w:r>
    </w:p>
    <w:p w14:paraId="798ABF15" w14:textId="77777777" w:rsidR="00A30D37" w:rsidRPr="00A30D37" w:rsidRDefault="00A30D37" w:rsidP="00A30D37">
      <w:pPr>
        <w:spacing w:before="120" w:after="120" w:line="240" w:lineRule="exact"/>
        <w:ind w:left="283" w:hanging="283"/>
        <w:jc w:val="both"/>
        <w:rPr>
          <w:rFonts w:ascii="FrankRuehl" w:hAnsi="FrankRuehl" w:cs="FrankRuehl"/>
          <w:rtl/>
        </w:rPr>
      </w:pPr>
      <w:hyperlink r:id="rId7" w:history="1">
        <w:r w:rsidRPr="00A30D37">
          <w:rPr>
            <w:rFonts w:ascii="FrankRuehl" w:hAnsi="FrankRuehl" w:cs="FrankRuehl"/>
            <w:color w:val="0000FF"/>
            <w:rtl/>
          </w:rPr>
          <w:t>פקודת הסמים המסוכנים [נוסח חדש], תשל"ג-1973</w:t>
        </w:r>
      </w:hyperlink>
      <w:r w:rsidRPr="00A30D37">
        <w:rPr>
          <w:rFonts w:ascii="FrankRuehl" w:hAnsi="FrankRuehl" w:cs="FrankRuehl"/>
          <w:rtl/>
        </w:rPr>
        <w:t xml:space="preserve">: סע'  </w:t>
      </w:r>
      <w:hyperlink r:id="rId8" w:history="1">
        <w:r w:rsidRPr="00A30D37">
          <w:rPr>
            <w:rFonts w:ascii="FrankRuehl" w:hAnsi="FrankRuehl" w:cs="FrankRuehl"/>
            <w:color w:val="0000FF"/>
            <w:rtl/>
          </w:rPr>
          <w:t>7 ( א )</w:t>
        </w:r>
      </w:hyperlink>
      <w:r w:rsidRPr="00A30D37">
        <w:rPr>
          <w:rFonts w:ascii="FrankRuehl" w:hAnsi="FrankRuehl" w:cs="FrankRuehl"/>
          <w:rtl/>
        </w:rPr>
        <w:t xml:space="preserve">, </w:t>
      </w:r>
      <w:hyperlink r:id="rId9" w:history="1">
        <w:r w:rsidRPr="00A30D37">
          <w:rPr>
            <w:rFonts w:ascii="FrankRuehl" w:hAnsi="FrankRuehl" w:cs="FrankRuehl"/>
            <w:color w:val="0000FF"/>
            <w:rtl/>
          </w:rPr>
          <w:t>7  ( ג )</w:t>
        </w:r>
      </w:hyperlink>
      <w:r w:rsidRPr="00A30D37">
        <w:rPr>
          <w:rFonts w:ascii="FrankRuehl" w:hAnsi="FrankRuehl" w:cs="FrankRuehl"/>
          <w:rtl/>
        </w:rPr>
        <w:t xml:space="preserve">, </w:t>
      </w:r>
      <w:hyperlink r:id="rId10" w:history="1">
        <w:r w:rsidRPr="00A30D37">
          <w:rPr>
            <w:rFonts w:ascii="FrankRuehl" w:hAnsi="FrankRuehl" w:cs="FrankRuehl"/>
            <w:color w:val="0000FF"/>
            <w:rtl/>
          </w:rPr>
          <w:t>37</w:t>
        </w:r>
      </w:hyperlink>
    </w:p>
    <w:p w14:paraId="5AD17A85" w14:textId="77777777" w:rsidR="00A30D37" w:rsidRPr="00A30D37" w:rsidRDefault="00A30D37" w:rsidP="00A30D37">
      <w:pPr>
        <w:spacing w:before="120" w:after="120" w:line="240" w:lineRule="exact"/>
        <w:ind w:left="283" w:hanging="283"/>
        <w:jc w:val="both"/>
        <w:rPr>
          <w:rFonts w:ascii="FrankRuehl" w:hAnsi="FrankRuehl" w:cs="FrankRuehl"/>
          <w:rtl/>
        </w:rPr>
      </w:pPr>
      <w:hyperlink r:id="rId11" w:history="1">
        <w:r w:rsidRPr="00A30D37">
          <w:rPr>
            <w:rFonts w:ascii="FrankRuehl" w:hAnsi="FrankRuehl" w:cs="FrankRuehl"/>
            <w:color w:val="0000FF"/>
            <w:rtl/>
          </w:rPr>
          <w:t>חוק העונשין, תשל"ז-1977</w:t>
        </w:r>
      </w:hyperlink>
      <w:r w:rsidRPr="00A30D37">
        <w:rPr>
          <w:rFonts w:ascii="FrankRuehl" w:hAnsi="FrankRuehl" w:cs="FrankRuehl"/>
          <w:rtl/>
        </w:rPr>
        <w:t xml:space="preserve">: סע'  </w:t>
      </w:r>
      <w:hyperlink r:id="rId12" w:history="1">
        <w:r w:rsidRPr="00A30D37">
          <w:rPr>
            <w:rFonts w:ascii="FrankRuehl" w:hAnsi="FrankRuehl" w:cs="FrankRuehl"/>
            <w:color w:val="0000FF"/>
            <w:rtl/>
          </w:rPr>
          <w:t>40ד'</w:t>
        </w:r>
      </w:hyperlink>
    </w:p>
    <w:p w14:paraId="31561DC1" w14:textId="77777777" w:rsidR="00A30D37" w:rsidRPr="00A30D37" w:rsidRDefault="00A30D37" w:rsidP="00A30D37">
      <w:pPr>
        <w:rPr>
          <w:sz w:val="26"/>
          <w:szCs w:val="26"/>
          <w:rtl/>
        </w:rPr>
      </w:pPr>
      <w:bookmarkStart w:id="4" w:name="LawTable_End"/>
      <w:bookmarkEnd w:id="4"/>
    </w:p>
    <w:p w14:paraId="4FC03BFF" w14:textId="77777777" w:rsidR="006C61F4" w:rsidRPr="005B793D" w:rsidRDefault="006C61F4" w:rsidP="005B793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61F4" w:rsidRPr="00E673DF" w14:paraId="634E2310" w14:textId="77777777" w:rsidTr="006C61F4">
        <w:trPr>
          <w:trHeight w:val="355"/>
          <w:jc w:val="center"/>
        </w:trPr>
        <w:tc>
          <w:tcPr>
            <w:tcW w:w="8820" w:type="dxa"/>
            <w:tcBorders>
              <w:top w:val="nil"/>
              <w:left w:val="nil"/>
              <w:bottom w:val="nil"/>
              <w:right w:val="nil"/>
            </w:tcBorders>
            <w:shd w:val="clear" w:color="auto" w:fill="auto"/>
          </w:tcPr>
          <w:p w14:paraId="1CCA7909" w14:textId="77777777" w:rsidR="00D009C4" w:rsidRPr="00E673DF" w:rsidRDefault="00D009C4" w:rsidP="00D009C4">
            <w:pPr>
              <w:jc w:val="center"/>
              <w:rPr>
                <w:rFonts w:ascii="David" w:hAnsi="David"/>
                <w:b/>
                <w:bCs/>
                <w:sz w:val="28"/>
                <w:szCs w:val="28"/>
                <w:u w:val="single"/>
                <w:rtl/>
              </w:rPr>
            </w:pPr>
            <w:bookmarkStart w:id="5" w:name="PsakDin" w:colFirst="0" w:colLast="0"/>
            <w:bookmarkEnd w:id="0"/>
            <w:r w:rsidRPr="00E673DF">
              <w:rPr>
                <w:rFonts w:ascii="David" w:hAnsi="David"/>
                <w:b/>
                <w:bCs/>
                <w:sz w:val="28"/>
                <w:szCs w:val="28"/>
                <w:u w:val="single"/>
                <w:rtl/>
              </w:rPr>
              <w:t>גזר דין</w:t>
            </w:r>
          </w:p>
          <w:p w14:paraId="1E92081E" w14:textId="77777777" w:rsidR="006C61F4" w:rsidRPr="00E673DF" w:rsidRDefault="006C61F4" w:rsidP="00D009C4">
            <w:pPr>
              <w:jc w:val="center"/>
              <w:rPr>
                <w:rFonts w:ascii="David" w:hAnsi="David"/>
                <w:bCs/>
                <w:sz w:val="28"/>
                <w:szCs w:val="28"/>
                <w:u w:val="single"/>
                <w:rtl/>
              </w:rPr>
            </w:pPr>
          </w:p>
        </w:tc>
      </w:tr>
      <w:bookmarkEnd w:id="5"/>
    </w:tbl>
    <w:p w14:paraId="47A4178B" w14:textId="77777777" w:rsidR="006C61F4" w:rsidRPr="00E673DF" w:rsidRDefault="006C61F4" w:rsidP="006C61F4">
      <w:pPr>
        <w:rPr>
          <w:rFonts w:ascii="Arial" w:hAnsi="Arial"/>
          <w:b/>
          <w:bCs/>
          <w:sz w:val="26"/>
          <w:szCs w:val="26"/>
          <w:rtl/>
        </w:rPr>
      </w:pPr>
    </w:p>
    <w:p w14:paraId="7D281D90" w14:textId="77777777" w:rsidR="006C61F4" w:rsidRPr="00E673DF" w:rsidRDefault="006C61F4" w:rsidP="006C61F4">
      <w:pPr>
        <w:pStyle w:val="a9"/>
        <w:numPr>
          <w:ilvl w:val="0"/>
          <w:numId w:val="2"/>
        </w:numPr>
        <w:spacing w:line="360" w:lineRule="auto"/>
        <w:jc w:val="both"/>
        <w:rPr>
          <w:rFonts w:ascii="David" w:hAnsi="David" w:cs="David"/>
          <w:rtl/>
        </w:rPr>
      </w:pPr>
      <w:bookmarkStart w:id="6" w:name="ABSTRACT_START"/>
      <w:bookmarkEnd w:id="6"/>
      <w:r w:rsidRPr="00E673DF">
        <w:rPr>
          <w:rFonts w:ascii="David" w:hAnsi="David" w:cs="David"/>
          <w:rtl/>
        </w:rPr>
        <w:t xml:space="preserve">הנאשם הורשע על פי הודאתו בעבירה של החזקת סם שלא לצריכה עצמית בהתאם לסעיפים </w:t>
      </w:r>
      <w:hyperlink r:id="rId13" w:history="1">
        <w:r w:rsidR="00E673DF" w:rsidRPr="00E673DF">
          <w:rPr>
            <w:rStyle w:val="Hyperlink"/>
            <w:rFonts w:ascii="David" w:hAnsi="David" w:cs="David"/>
            <w:rtl/>
          </w:rPr>
          <w:t>7 ( א )</w:t>
        </w:r>
      </w:hyperlink>
      <w:r w:rsidRPr="00E673DF">
        <w:rPr>
          <w:rFonts w:ascii="David" w:hAnsi="David" w:cs="David"/>
          <w:rtl/>
        </w:rPr>
        <w:t xml:space="preserve"> </w:t>
      </w:r>
      <w:hyperlink r:id="rId14" w:history="1">
        <w:r w:rsidR="00E673DF" w:rsidRPr="00E673DF">
          <w:rPr>
            <w:rStyle w:val="Hyperlink"/>
            <w:rFonts w:ascii="David" w:hAnsi="David" w:cs="David"/>
            <w:rtl/>
          </w:rPr>
          <w:t>7  ( ג )</w:t>
        </w:r>
      </w:hyperlink>
      <w:r w:rsidRPr="00E673DF">
        <w:rPr>
          <w:rFonts w:ascii="David" w:hAnsi="David" w:cs="David"/>
          <w:rtl/>
        </w:rPr>
        <w:t xml:space="preserve"> ל</w:t>
      </w:r>
      <w:hyperlink r:id="rId15" w:history="1">
        <w:r w:rsidR="00D009C4" w:rsidRPr="00E673DF">
          <w:rPr>
            <w:rFonts w:ascii="David" w:hAnsi="David" w:cs="David"/>
            <w:color w:val="0000FF"/>
            <w:u w:val="single"/>
            <w:rtl/>
          </w:rPr>
          <w:t>פקודת הסמים המסוכנים</w:t>
        </w:r>
      </w:hyperlink>
      <w:r w:rsidRPr="00E673DF">
        <w:rPr>
          <w:rFonts w:ascii="David" w:hAnsi="David" w:cs="David"/>
          <w:rtl/>
        </w:rPr>
        <w:t xml:space="preserve"> ( נוסח חדש) תשל"ג- 1973, בכך שביום 11.8.20 בפזורת אבו סלב החזיק בביתו , סם מסוג קנבוס במשקל נטו של 150 גרם. הכול כאמור בכתב האישום המתוקן . </w:t>
      </w:r>
    </w:p>
    <w:p w14:paraId="07031700" w14:textId="77777777" w:rsidR="006C61F4" w:rsidRPr="00E673DF" w:rsidRDefault="006C61F4" w:rsidP="006C61F4">
      <w:pPr>
        <w:spacing w:line="360" w:lineRule="auto"/>
        <w:jc w:val="both"/>
        <w:rPr>
          <w:rFonts w:ascii="David" w:hAnsi="David"/>
          <w:sz w:val="22"/>
          <w:szCs w:val="22"/>
          <w:rtl/>
        </w:rPr>
      </w:pPr>
    </w:p>
    <w:p w14:paraId="1C960DE1" w14:textId="77777777" w:rsidR="006C61F4" w:rsidRPr="00E673DF" w:rsidRDefault="006C61F4" w:rsidP="006C61F4">
      <w:pPr>
        <w:pStyle w:val="a9"/>
        <w:spacing w:line="360" w:lineRule="auto"/>
        <w:jc w:val="both"/>
        <w:rPr>
          <w:rFonts w:ascii="David" w:hAnsi="David" w:cs="David"/>
          <w:b/>
          <w:bCs/>
          <w:rtl/>
        </w:rPr>
      </w:pPr>
      <w:bookmarkStart w:id="7" w:name="ABSTRACT_END"/>
      <w:bookmarkEnd w:id="7"/>
      <w:r w:rsidRPr="00E673DF">
        <w:rPr>
          <w:rFonts w:ascii="David" w:hAnsi="David" w:cs="David"/>
          <w:b/>
          <w:bCs/>
          <w:rtl/>
        </w:rPr>
        <w:t>תסקיר שירות המבחן :</w:t>
      </w:r>
    </w:p>
    <w:p w14:paraId="439F3107" w14:textId="77777777" w:rsidR="006C61F4" w:rsidRPr="00E673DF" w:rsidRDefault="006C61F4" w:rsidP="006C61F4">
      <w:pPr>
        <w:spacing w:line="360" w:lineRule="auto"/>
        <w:jc w:val="both"/>
        <w:rPr>
          <w:rFonts w:ascii="David" w:hAnsi="David"/>
          <w:b/>
          <w:bCs/>
          <w:sz w:val="22"/>
          <w:szCs w:val="22"/>
          <w:rtl/>
        </w:rPr>
      </w:pPr>
    </w:p>
    <w:p w14:paraId="4D28AD89"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בתסקירי שירות המבחן ובאחרון שבהם מ11.12.23  עלו העובדות הבאות לפיהן: מדובר במי שלו עבר פלילי בתחום הסמים שלא היווה גורם מרתיע להישנות העבירה, מאז האירוע מושא כתב האישום לא נפתחו כנגדו תיקים נוספים, ערך שינוי בחייו, תעסוקתו יציבה , עבר תהליך טיפולי שיקומי המשפיע על חייו על דימויו וכוחותיו וקיימת מוטיבציה גבוהה להמשך התהליך הטיפולי בו מצוי כיום, הליכי משפט זה, היוו גורם מציב גבולות ומרתיע, בדיקות השתן נמצאו נקיות, הנאשם </w:t>
      </w:r>
      <w:r w:rsidRPr="00E673DF">
        <w:rPr>
          <w:rFonts w:ascii="David" w:hAnsi="David" w:cs="David"/>
          <w:rtl/>
        </w:rPr>
        <w:lastRenderedPageBreak/>
        <w:t xml:space="preserve">מתייחס לקבוצה הטיפולית באחריות ורצינות, ומיישם תכניה, זאת מלבד שהיא מציינת את מחלתו  פולינוירופתיה סנסומוטורית המגבילה תנועה ובמהלך הזמן עלולה להביא לשיתוק, ולפיכך, המלצת שירות המבחן הינה, שלא לפגוע במאמציו, ולגזור עונשו לצו של"צ ל380 שעות. </w:t>
      </w:r>
    </w:p>
    <w:p w14:paraId="2C96525D" w14:textId="77777777" w:rsidR="006C61F4" w:rsidRPr="00E673DF" w:rsidRDefault="006C61F4" w:rsidP="006C61F4">
      <w:pPr>
        <w:spacing w:line="360" w:lineRule="auto"/>
        <w:jc w:val="both"/>
        <w:rPr>
          <w:rFonts w:ascii="David" w:hAnsi="David"/>
          <w:b/>
          <w:bCs/>
          <w:sz w:val="22"/>
          <w:szCs w:val="22"/>
          <w:rtl/>
        </w:rPr>
      </w:pPr>
    </w:p>
    <w:p w14:paraId="1DE27B5A" w14:textId="77777777" w:rsidR="006C61F4" w:rsidRPr="00E673DF" w:rsidRDefault="006C61F4" w:rsidP="006C61F4">
      <w:pPr>
        <w:pStyle w:val="a9"/>
        <w:spacing w:line="360" w:lineRule="auto"/>
        <w:jc w:val="both"/>
        <w:rPr>
          <w:rFonts w:ascii="David" w:hAnsi="David" w:cs="David"/>
          <w:b/>
          <w:bCs/>
          <w:rtl/>
        </w:rPr>
      </w:pPr>
      <w:r w:rsidRPr="00E673DF">
        <w:rPr>
          <w:rFonts w:ascii="David" w:hAnsi="David" w:cs="David"/>
          <w:b/>
          <w:bCs/>
          <w:rtl/>
        </w:rPr>
        <w:t xml:space="preserve">טענות המאשימה: </w:t>
      </w:r>
    </w:p>
    <w:p w14:paraId="14A2DCB4" w14:textId="77777777" w:rsidR="006C61F4" w:rsidRPr="00E673DF" w:rsidRDefault="006C61F4" w:rsidP="006C61F4">
      <w:pPr>
        <w:spacing w:line="360" w:lineRule="auto"/>
        <w:jc w:val="both"/>
        <w:rPr>
          <w:rFonts w:ascii="David" w:hAnsi="David"/>
          <w:b/>
          <w:bCs/>
          <w:sz w:val="22"/>
          <w:szCs w:val="22"/>
          <w:rtl/>
        </w:rPr>
      </w:pPr>
    </w:p>
    <w:p w14:paraId="46F990ED"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הנאשם פגע בערכים המוגנים של נגע הסמים, הגנה על שלום הציבור פיזית ונפשית , לרבות נזקי הסמים הנגרמים מעבירה זו הנגזרות הימנה. הכמות 150 גרם נטו הינה פי 10 מזו המוגדרת לצריכה עצמית. טענה למתחם עונש הנע בין 4 חודשי מאסר שניתן לבצעם בעבודות שירות ועד 12 חודשי מאסר בפועל,  כשהיא גוזרת מתחם זה ממתחם גבוה יותר בעבור 407 גרם בפסיקת בית המשפט העליון בהילכת ג'אנח 322/15 בה נקבע מתחם שבין 7-18 חודשי מאסר, ומציינת את </w:t>
      </w:r>
      <w:hyperlink r:id="rId16" w:history="1">
        <w:r w:rsidR="00D009C4" w:rsidRPr="00E673DF">
          <w:rPr>
            <w:rFonts w:ascii="David" w:hAnsi="David" w:cs="David"/>
            <w:color w:val="0000FF"/>
            <w:u w:val="single"/>
            <w:rtl/>
          </w:rPr>
          <w:t>עפ"ג 41634-10-14</w:t>
        </w:r>
      </w:hyperlink>
      <w:r w:rsidRPr="00E673DF">
        <w:rPr>
          <w:rFonts w:ascii="David" w:hAnsi="David" w:cs="David"/>
          <w:rtl/>
        </w:rPr>
        <w:t xml:space="preserve"> מחוזי באר שבע – בו אושר עונש של 5 חודשי מאסר לריצוי בפועל בשל כמות של 220 גרם, וכן ציינה את </w:t>
      </w:r>
      <w:hyperlink r:id="rId17" w:history="1">
        <w:r w:rsidR="00D009C4" w:rsidRPr="00E673DF">
          <w:rPr>
            <w:rFonts w:ascii="David" w:hAnsi="David" w:cs="David"/>
            <w:color w:val="0000FF"/>
            <w:u w:val="single"/>
            <w:rtl/>
          </w:rPr>
          <w:t>ע"פ 39557-01-14</w:t>
        </w:r>
      </w:hyperlink>
      <w:r w:rsidRPr="00E673DF">
        <w:rPr>
          <w:rFonts w:ascii="David" w:hAnsi="David" w:cs="David"/>
          <w:rtl/>
        </w:rPr>
        <w:t xml:space="preserve"> בו נקבע בגין השלכת 340 גרם חשיש – מתחם עונשי שבין 6 חודשי מאסר ל18 חודשי מאסר, וכן ציינה את גזר הדין </w:t>
      </w:r>
      <w:hyperlink r:id="rId18" w:history="1">
        <w:r w:rsidR="00D009C4" w:rsidRPr="00E673DF">
          <w:rPr>
            <w:rFonts w:ascii="David" w:hAnsi="David" w:cs="David"/>
            <w:color w:val="0000FF"/>
            <w:u w:val="single"/>
            <w:rtl/>
          </w:rPr>
          <w:t>ת"פ 20767-09-16</w:t>
        </w:r>
      </w:hyperlink>
      <w:r w:rsidRPr="00E673DF">
        <w:rPr>
          <w:rFonts w:ascii="David" w:hAnsi="David" w:cs="David"/>
          <w:rtl/>
        </w:rPr>
        <w:t xml:space="preserve"> בו נגזרו על הנאשם שהחזיק 93 גרם חשיש – 6 חודשי מאסר.  לסיום המאשימה הציגה פסיקה לפיה נגזרו גם בעבור כמות דומה גדולה במעט או קטנה מזו מושא כתב האישום דנן, בין  5-6 חודשי מאסר בעבודות שירות. </w:t>
      </w:r>
    </w:p>
    <w:p w14:paraId="6F399C07" w14:textId="77777777" w:rsidR="006C61F4" w:rsidRPr="00E673DF" w:rsidRDefault="006C61F4" w:rsidP="006C61F4">
      <w:pPr>
        <w:spacing w:line="360" w:lineRule="auto"/>
        <w:jc w:val="both"/>
        <w:rPr>
          <w:rFonts w:ascii="David" w:hAnsi="David"/>
          <w:sz w:val="22"/>
          <w:szCs w:val="22"/>
          <w:rtl/>
        </w:rPr>
      </w:pPr>
    </w:p>
    <w:p w14:paraId="1023A0C5"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המאשימה ציינה את עברו של הנאשם ואת הסיכון להישנות העבירות בשל 4 הרשעות קודמות מתוכן 3 בתחום הסמים, אך גם ביטאה את התהליך השיקומי טיפולי אותו עובר הנאשם הנתמך בהערכת שירות המבחן, בהצבת העונש לו היא עותרת בתחתית המתחם דהיינו 4 חודשי מאסר שיכול וירוצו בעבודות שירות. זאת לצד עונשים נלווים של מאסר מותנה, קנס בשל ההיבט הכלכלי שבעבירות הסמים, התחייבות, פסילה בפועל ועל תנאי בהתאם להוראות </w:t>
      </w:r>
      <w:hyperlink r:id="rId19" w:history="1">
        <w:r w:rsidR="00E673DF" w:rsidRPr="00E673DF">
          <w:rPr>
            <w:rStyle w:val="Hyperlink"/>
            <w:rFonts w:ascii="David" w:hAnsi="David" w:cs="David"/>
            <w:rtl/>
          </w:rPr>
          <w:t>סעיף 37</w:t>
        </w:r>
      </w:hyperlink>
      <w:r w:rsidRPr="00E673DF">
        <w:rPr>
          <w:rFonts w:ascii="David" w:hAnsi="David" w:cs="David"/>
          <w:rtl/>
        </w:rPr>
        <w:t xml:space="preserve"> ל</w:t>
      </w:r>
      <w:hyperlink r:id="rId20" w:history="1">
        <w:r w:rsidR="00D009C4" w:rsidRPr="00E673DF">
          <w:rPr>
            <w:rFonts w:ascii="David" w:hAnsi="David" w:cs="David"/>
            <w:color w:val="0000FF"/>
            <w:u w:val="single"/>
            <w:rtl/>
          </w:rPr>
          <w:t>פקודת הסמים המסוכנים</w:t>
        </w:r>
      </w:hyperlink>
      <w:r w:rsidRPr="00E673DF">
        <w:rPr>
          <w:rFonts w:ascii="David" w:hAnsi="David" w:cs="David"/>
          <w:rtl/>
        </w:rPr>
        <w:t xml:space="preserve"> ( נוסח חדש) תשל"ג- 1973. </w:t>
      </w:r>
    </w:p>
    <w:p w14:paraId="41DB7285" w14:textId="77777777" w:rsidR="006C61F4" w:rsidRPr="00E673DF" w:rsidRDefault="006C61F4" w:rsidP="006C61F4">
      <w:pPr>
        <w:spacing w:line="360" w:lineRule="auto"/>
        <w:jc w:val="both"/>
        <w:rPr>
          <w:rFonts w:ascii="David" w:hAnsi="David"/>
          <w:b/>
          <w:bCs/>
          <w:sz w:val="22"/>
          <w:szCs w:val="22"/>
          <w:rtl/>
        </w:rPr>
      </w:pPr>
    </w:p>
    <w:p w14:paraId="1AC520B3" w14:textId="77777777" w:rsidR="006C61F4" w:rsidRPr="00E673DF" w:rsidRDefault="006C61F4" w:rsidP="006C61F4">
      <w:pPr>
        <w:pStyle w:val="a9"/>
        <w:spacing w:line="360" w:lineRule="auto"/>
        <w:jc w:val="both"/>
        <w:rPr>
          <w:rFonts w:ascii="David" w:hAnsi="David" w:cs="David"/>
          <w:b/>
          <w:bCs/>
          <w:rtl/>
        </w:rPr>
      </w:pPr>
      <w:r w:rsidRPr="00E673DF">
        <w:rPr>
          <w:rFonts w:ascii="David" w:hAnsi="David" w:cs="David"/>
          <w:b/>
          <w:bCs/>
          <w:rtl/>
        </w:rPr>
        <w:t xml:space="preserve">טענות ההגנה : </w:t>
      </w:r>
    </w:p>
    <w:p w14:paraId="17843857" w14:textId="77777777" w:rsidR="006C61F4" w:rsidRPr="00E673DF" w:rsidRDefault="006C61F4" w:rsidP="006C61F4">
      <w:pPr>
        <w:spacing w:line="360" w:lineRule="auto"/>
        <w:jc w:val="both"/>
        <w:rPr>
          <w:rFonts w:ascii="David" w:hAnsi="David"/>
          <w:b/>
          <w:bCs/>
          <w:sz w:val="22"/>
          <w:szCs w:val="22"/>
          <w:rtl/>
        </w:rPr>
      </w:pPr>
    </w:p>
    <w:p w14:paraId="467215C1"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הנאשם חולה במחלת ניוון שרירים שבסופו של יום יהיה משותק ממנה, התסקיר חיובי בכל הנוגע להליך הטיפולי ובמסגרתו גם התשובה לסיכון להישנות העבירה בדמות צו מבחן, הפסיקה מ2016 שהובאה על ידי המאשימה נוגעת למקרה חמור בו בדיקות השתן נמצאו עם שרידי סם, והנאשם לא שיתף פעולה עם ההליך ונדרש לצווי הבאה במובחן מהמקרה דנן בו הנאשם מגלה רצינות ועקביות בהליך השיקומי טיפולי. הודה קיבל על עצמו את הדין ומאז 2020 האירוע דנן לא נפתחו נגדו תיקים פליליים. </w:t>
      </w:r>
    </w:p>
    <w:p w14:paraId="21B97724" w14:textId="77777777" w:rsidR="006C61F4" w:rsidRPr="00E673DF" w:rsidRDefault="006C61F4" w:rsidP="006C61F4">
      <w:pPr>
        <w:spacing w:line="360" w:lineRule="auto"/>
        <w:jc w:val="both"/>
        <w:rPr>
          <w:rFonts w:ascii="David" w:hAnsi="David"/>
          <w:b/>
          <w:bCs/>
          <w:sz w:val="22"/>
          <w:szCs w:val="22"/>
          <w:rtl/>
        </w:rPr>
      </w:pPr>
    </w:p>
    <w:p w14:paraId="631C5460" w14:textId="77777777" w:rsidR="006C61F4" w:rsidRPr="00E673DF" w:rsidRDefault="006C61F4" w:rsidP="006C61F4">
      <w:pPr>
        <w:pStyle w:val="a9"/>
        <w:spacing w:line="360" w:lineRule="auto"/>
        <w:jc w:val="both"/>
        <w:rPr>
          <w:rFonts w:ascii="David" w:hAnsi="David" w:cs="David"/>
          <w:b/>
          <w:bCs/>
          <w:rtl/>
        </w:rPr>
      </w:pPr>
      <w:r w:rsidRPr="00E673DF">
        <w:rPr>
          <w:rFonts w:ascii="David" w:hAnsi="David" w:cs="David"/>
          <w:b/>
          <w:bCs/>
          <w:rtl/>
        </w:rPr>
        <w:t xml:space="preserve">הערכים המוגנים : </w:t>
      </w:r>
    </w:p>
    <w:p w14:paraId="50DDDED6" w14:textId="77777777" w:rsidR="006C61F4" w:rsidRPr="00E673DF" w:rsidRDefault="006C61F4" w:rsidP="006C61F4">
      <w:pPr>
        <w:spacing w:line="360" w:lineRule="auto"/>
        <w:jc w:val="both"/>
        <w:rPr>
          <w:rFonts w:ascii="David" w:hAnsi="David"/>
          <w:b/>
          <w:bCs/>
          <w:sz w:val="22"/>
          <w:szCs w:val="22"/>
          <w:rtl/>
        </w:rPr>
      </w:pPr>
    </w:p>
    <w:p w14:paraId="6ABA8A29" w14:textId="77777777" w:rsidR="006C61F4" w:rsidRPr="00E673DF" w:rsidRDefault="006C61F4" w:rsidP="006C61F4">
      <w:pPr>
        <w:pStyle w:val="a9"/>
        <w:spacing w:line="360" w:lineRule="auto"/>
        <w:ind w:left="1440"/>
        <w:jc w:val="both"/>
        <w:rPr>
          <w:rFonts w:ascii="David" w:eastAsia="Times New Roman" w:hAnsi="David" w:cs="David"/>
          <w:lang w:eastAsia="he-IL"/>
        </w:rPr>
      </w:pPr>
      <w:r w:rsidRPr="00E673DF">
        <w:rPr>
          <w:rFonts w:ascii="David" w:eastAsia="Times New Roman" w:hAnsi="David" w:cs="David"/>
          <w:rtl/>
          <w:lang w:eastAsia="he-IL"/>
        </w:rPr>
        <w:lastRenderedPageBreak/>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11533F9B" w14:textId="77777777" w:rsidR="006C61F4" w:rsidRPr="00E673DF" w:rsidRDefault="006C61F4" w:rsidP="006C61F4">
      <w:pPr>
        <w:pStyle w:val="a9"/>
        <w:spacing w:line="360" w:lineRule="auto"/>
        <w:rPr>
          <w:rFonts w:ascii="David" w:eastAsia="Times New Roman" w:hAnsi="David" w:cs="David"/>
          <w:rtl/>
          <w:lang w:eastAsia="he-IL"/>
        </w:rPr>
      </w:pPr>
    </w:p>
    <w:p w14:paraId="41BBE8B0" w14:textId="77777777" w:rsidR="006C61F4" w:rsidRPr="00E673DF" w:rsidRDefault="006C61F4" w:rsidP="006C61F4">
      <w:pPr>
        <w:pStyle w:val="a9"/>
        <w:spacing w:line="360" w:lineRule="auto"/>
        <w:ind w:left="1440"/>
        <w:jc w:val="both"/>
        <w:rPr>
          <w:rFonts w:ascii="David" w:eastAsia="Times New Roman" w:hAnsi="David" w:cs="David"/>
          <w:lang w:eastAsia="he-IL"/>
        </w:rPr>
      </w:pPr>
      <w:r w:rsidRPr="00E673DF">
        <w:rPr>
          <w:rFonts w:ascii="David" w:eastAsia="Times New Roman" w:hAnsi="David" w:cs="David"/>
          <w:rtl/>
          <w:lang w:eastAsia="he-IL"/>
        </w:rPr>
        <w:t xml:space="preserve">נגזרות עבירה זו חולשות על תחומי החיים כולם, כמו גם המאבק והמלחמה מחויבת המציאות בנגע זה. ועדות כנסת, חקיקה לאורך השנים, ופוטנציאל האלימות בשל הכסף הקל הנקשר לעבירה זו מחייבים באותה מידה הגנה של ממש של החברה מפני עבירה זו והשלכותיה. </w:t>
      </w:r>
    </w:p>
    <w:p w14:paraId="60DA776F" w14:textId="77777777" w:rsidR="006C61F4" w:rsidRPr="00E673DF" w:rsidRDefault="006C61F4" w:rsidP="006C61F4">
      <w:pPr>
        <w:pStyle w:val="a9"/>
        <w:spacing w:line="360" w:lineRule="auto"/>
        <w:jc w:val="both"/>
        <w:rPr>
          <w:rFonts w:ascii="David" w:eastAsia="Times New Roman" w:hAnsi="David" w:cs="David"/>
          <w:highlight w:val="yellow"/>
          <w:rtl/>
          <w:lang w:eastAsia="he-IL"/>
        </w:rPr>
      </w:pPr>
    </w:p>
    <w:p w14:paraId="3824D2D0" w14:textId="77777777" w:rsidR="006C61F4" w:rsidRPr="00E673DF" w:rsidRDefault="006C61F4" w:rsidP="006C61F4">
      <w:pPr>
        <w:pStyle w:val="a9"/>
        <w:spacing w:line="360" w:lineRule="auto"/>
        <w:ind w:left="1440"/>
        <w:jc w:val="both"/>
        <w:rPr>
          <w:rFonts w:ascii="David" w:eastAsia="Times New Roman" w:hAnsi="David" w:cs="David"/>
        </w:rPr>
      </w:pPr>
      <w:r w:rsidRPr="00E673DF">
        <w:rPr>
          <w:rFonts w:ascii="David" w:eastAsia="Times New Roman" w:hAnsi="David" w:cs="David"/>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77B84835" w14:textId="77777777" w:rsidR="006C61F4" w:rsidRPr="00E673DF" w:rsidRDefault="006C61F4" w:rsidP="006C61F4">
      <w:pPr>
        <w:pStyle w:val="a9"/>
        <w:rPr>
          <w:rFonts w:ascii="David" w:eastAsia="Times New Roman" w:hAnsi="David" w:cs="David"/>
          <w:rtl/>
        </w:rPr>
      </w:pPr>
    </w:p>
    <w:p w14:paraId="73B70081" w14:textId="77777777" w:rsidR="006C61F4" w:rsidRPr="00E673DF" w:rsidRDefault="006C61F4" w:rsidP="006C61F4">
      <w:pPr>
        <w:pStyle w:val="a9"/>
        <w:spacing w:line="360" w:lineRule="auto"/>
        <w:ind w:left="1440"/>
        <w:jc w:val="both"/>
        <w:rPr>
          <w:rFonts w:ascii="David" w:eastAsia="Times New Roman" w:hAnsi="David" w:cs="David"/>
        </w:rPr>
      </w:pPr>
    </w:p>
    <w:p w14:paraId="4E9B3A64" w14:textId="77777777" w:rsidR="006C61F4" w:rsidRPr="00E673DF" w:rsidRDefault="006C61F4" w:rsidP="006C61F4">
      <w:pPr>
        <w:pStyle w:val="a9"/>
        <w:numPr>
          <w:ilvl w:val="0"/>
          <w:numId w:val="2"/>
        </w:numPr>
        <w:spacing w:after="200" w:line="360" w:lineRule="auto"/>
        <w:jc w:val="both"/>
        <w:rPr>
          <w:rFonts w:ascii="David" w:hAnsi="David" w:cs="David"/>
          <w:rtl/>
        </w:rPr>
      </w:pPr>
      <w:r w:rsidRPr="00E673DF">
        <w:rPr>
          <w:rFonts w:ascii="David" w:hAnsi="David" w:cs="David"/>
          <w:rtl/>
        </w:rPr>
        <w:t xml:space="preserve">לעניין זה ראו </w:t>
      </w:r>
      <w:hyperlink r:id="rId21" w:history="1">
        <w:r w:rsidR="00D009C4" w:rsidRPr="00E673DF">
          <w:rPr>
            <w:rFonts w:ascii="David" w:hAnsi="David" w:cs="David"/>
            <w:color w:val="0000FF"/>
            <w:u w:val="single"/>
            <w:rtl/>
          </w:rPr>
          <w:t>ע"פ 972/11</w:t>
        </w:r>
      </w:hyperlink>
      <w:r w:rsidRPr="00E673DF">
        <w:rPr>
          <w:rFonts w:ascii="David" w:hAnsi="David" w:cs="David"/>
          <w:rtl/>
        </w:rPr>
        <w:t xml:space="preserve"> </w:t>
      </w:r>
      <w:r w:rsidRPr="00E673DF">
        <w:rPr>
          <w:rFonts w:ascii="David" w:hAnsi="David" w:cs="David"/>
          <w:b/>
          <w:bCs/>
          <w:rtl/>
        </w:rPr>
        <w:t xml:space="preserve">מדינת ישראל נגד יניב יונה </w:t>
      </w:r>
      <w:r w:rsidRPr="00E673DF">
        <w:rPr>
          <w:rFonts w:ascii="David" w:hAnsi="David" w:cs="David"/>
          <w:rtl/>
        </w:rPr>
        <w:t>[פורסם במאגרים] (4.7.12) :</w:t>
      </w:r>
    </w:p>
    <w:p w14:paraId="341BECF7" w14:textId="77777777" w:rsidR="006C61F4" w:rsidRPr="00E673DF" w:rsidRDefault="006C61F4" w:rsidP="006C61F4">
      <w:pPr>
        <w:pStyle w:val="a9"/>
        <w:spacing w:after="0" w:line="360" w:lineRule="auto"/>
        <w:ind w:left="3600" w:right="851"/>
        <w:jc w:val="both"/>
        <w:rPr>
          <w:rFonts w:ascii="David" w:eastAsia="Times New Roman" w:hAnsi="David" w:cs="David"/>
          <w:rtl/>
        </w:rPr>
      </w:pPr>
    </w:p>
    <w:p w14:paraId="2E5E8304" w14:textId="77777777" w:rsidR="006C61F4" w:rsidRPr="00E673DF" w:rsidRDefault="006C61F4" w:rsidP="006C61F4">
      <w:pPr>
        <w:pStyle w:val="a9"/>
        <w:spacing w:after="0" w:line="360" w:lineRule="auto"/>
        <w:ind w:left="3600" w:right="851"/>
        <w:jc w:val="both"/>
        <w:rPr>
          <w:rFonts w:ascii="David" w:eastAsia="Times New Roman" w:hAnsi="David" w:cs="David"/>
          <w:rtl/>
        </w:rPr>
      </w:pPr>
      <w:r w:rsidRPr="00E673DF">
        <w:rPr>
          <w:rFonts w:ascii="David" w:eastAsia="Times New Roman" w:hAnsi="David" w:cs="David"/>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7AD50EA2" w14:textId="77777777" w:rsidR="006C61F4" w:rsidRPr="00E673DF" w:rsidRDefault="006C61F4" w:rsidP="006C61F4">
      <w:pPr>
        <w:spacing w:line="360" w:lineRule="auto"/>
        <w:ind w:left="1440" w:right="851"/>
        <w:jc w:val="both"/>
        <w:rPr>
          <w:rFonts w:ascii="David" w:hAnsi="David"/>
          <w:b/>
          <w:bCs/>
          <w:sz w:val="22"/>
          <w:szCs w:val="22"/>
          <w:rtl/>
        </w:rPr>
      </w:pPr>
    </w:p>
    <w:p w14:paraId="5A9F696A" w14:textId="77777777" w:rsidR="006C61F4" w:rsidRPr="00E673DF" w:rsidRDefault="006C61F4" w:rsidP="006C61F4">
      <w:pPr>
        <w:spacing w:line="360" w:lineRule="auto"/>
        <w:jc w:val="both"/>
        <w:rPr>
          <w:rFonts w:ascii="David" w:eastAsia="Calibri" w:hAnsi="David"/>
          <w:sz w:val="22"/>
          <w:szCs w:val="22"/>
          <w:rtl/>
        </w:rPr>
      </w:pPr>
    </w:p>
    <w:p w14:paraId="309BFE6C" w14:textId="77777777" w:rsidR="006C61F4" w:rsidRPr="00E673DF" w:rsidRDefault="006C61F4" w:rsidP="006C61F4">
      <w:pPr>
        <w:pStyle w:val="a9"/>
        <w:numPr>
          <w:ilvl w:val="0"/>
          <w:numId w:val="2"/>
        </w:numPr>
        <w:spacing w:line="360" w:lineRule="auto"/>
        <w:jc w:val="both"/>
        <w:rPr>
          <w:rFonts w:ascii="David" w:eastAsia="Times New Roman" w:hAnsi="David" w:cs="David"/>
          <w:rtl/>
        </w:rPr>
      </w:pPr>
      <w:r w:rsidRPr="00E673DF">
        <w:rPr>
          <w:rFonts w:ascii="David" w:hAnsi="David" w:cs="David"/>
          <w:rtl/>
        </w:rPr>
        <w:t>ב</w:t>
      </w:r>
      <w:hyperlink r:id="rId22" w:history="1">
        <w:r w:rsidR="00D009C4" w:rsidRPr="00E673DF">
          <w:rPr>
            <w:rFonts w:ascii="David" w:hAnsi="David" w:cs="David"/>
            <w:color w:val="0000FF"/>
            <w:u w:val="single"/>
            <w:rtl/>
          </w:rPr>
          <w:t>רע"פ 10423/09</w:t>
        </w:r>
      </w:hyperlink>
      <w:r w:rsidRPr="00E673DF">
        <w:rPr>
          <w:rFonts w:ascii="David" w:hAnsi="David" w:cs="David"/>
          <w:rtl/>
        </w:rPr>
        <w:t xml:space="preserve"> </w:t>
      </w:r>
      <w:r w:rsidRPr="00E673DF">
        <w:rPr>
          <w:rFonts w:ascii="David" w:hAnsi="David" w:cs="David"/>
          <w:b/>
          <w:bCs/>
          <w:rtl/>
        </w:rPr>
        <w:t>שורר נגד מדינת ישראל</w:t>
      </w:r>
      <w:r w:rsidRPr="00E673DF">
        <w:rPr>
          <w:rFonts w:ascii="David" w:hAnsi="David" w:cs="David"/>
          <w:rtl/>
        </w:rPr>
        <w:t xml:space="preserve"> (26.4.10): בית-משפט השלום הרשיע את הנאשם, לפי הודאתו, בעבירה של החזקת סם שלא לצריכה עצמית, בכך שהחזיק בביתו סם מסוג קנבוס במשקל של 574.75 גרם נטו. בית-משפט השלום גזר על הנאשם מאסר לתקופה של 6 חודשים, בדרך של עבודות שירות, לצד ענישה נלווית. בית-המשפט המחוזי דחה את ערעורו של הנאשם. בקשת רשות ערעור נדחתה.</w:t>
      </w:r>
    </w:p>
    <w:p w14:paraId="6B7C32D3" w14:textId="77777777" w:rsidR="006C61F4" w:rsidRPr="00E673DF" w:rsidRDefault="006C61F4" w:rsidP="006C61F4">
      <w:pPr>
        <w:spacing w:line="360" w:lineRule="auto"/>
        <w:jc w:val="both"/>
        <w:rPr>
          <w:rFonts w:ascii="David" w:eastAsia="Calibri" w:hAnsi="David"/>
          <w:sz w:val="22"/>
          <w:szCs w:val="22"/>
          <w:rtl/>
        </w:rPr>
      </w:pPr>
    </w:p>
    <w:p w14:paraId="16B6AE55" w14:textId="77777777" w:rsidR="006C61F4" w:rsidRPr="00E673DF" w:rsidRDefault="006C61F4" w:rsidP="006C61F4">
      <w:pPr>
        <w:pStyle w:val="a9"/>
        <w:numPr>
          <w:ilvl w:val="0"/>
          <w:numId w:val="2"/>
        </w:numPr>
        <w:spacing w:line="360" w:lineRule="auto"/>
        <w:jc w:val="both"/>
        <w:rPr>
          <w:rFonts w:ascii="David" w:hAnsi="David" w:cs="David"/>
          <w:b/>
          <w:bCs/>
          <w:rtl/>
        </w:rPr>
      </w:pPr>
      <w:r w:rsidRPr="00E673DF">
        <w:rPr>
          <w:rFonts w:ascii="David" w:hAnsi="David" w:cs="David"/>
          <w:rtl/>
        </w:rPr>
        <w:t>ב</w:t>
      </w:r>
      <w:hyperlink r:id="rId23" w:history="1">
        <w:r w:rsidR="00D009C4" w:rsidRPr="00E673DF">
          <w:rPr>
            <w:rFonts w:ascii="David" w:hAnsi="David" w:cs="David"/>
            <w:color w:val="0000FF"/>
            <w:u w:val="single"/>
            <w:rtl/>
          </w:rPr>
          <w:t>עפ"ג (ב"ש) 41634-10-14</w:t>
        </w:r>
      </w:hyperlink>
      <w:r w:rsidRPr="00E673DF">
        <w:rPr>
          <w:rFonts w:ascii="David" w:hAnsi="David" w:cs="David"/>
          <w:rtl/>
        </w:rPr>
        <w:t xml:space="preserve"> לסרי ואח' נגד מדינת ישראל (18.3.15), הנאשמים הורשעו בעבירה של החזקת סם שלא לצריכה עצמית, בכך שהחזיקו סם מסוג קנבוס במשקל של 230 גרם נטו. בית-משפט השלום הטיל על הנאשמים מאסר לתקופה של 5 חודשים בדרך של עבודות שירות, מאסרים על תנאי, פסילת רישיון על תנאי וקנס. בית-המשפט המחוזי דחה ערעור הנאשמים.</w:t>
      </w:r>
    </w:p>
    <w:p w14:paraId="794AB915" w14:textId="77777777" w:rsidR="006C61F4" w:rsidRPr="00E673DF" w:rsidRDefault="006C61F4" w:rsidP="006C61F4">
      <w:pPr>
        <w:spacing w:line="360" w:lineRule="auto"/>
        <w:jc w:val="both"/>
        <w:rPr>
          <w:rFonts w:ascii="David" w:hAnsi="David"/>
          <w:sz w:val="22"/>
          <w:szCs w:val="22"/>
          <w:rtl/>
        </w:rPr>
      </w:pPr>
    </w:p>
    <w:p w14:paraId="42AB6266" w14:textId="77777777" w:rsidR="006C61F4" w:rsidRPr="00E673DF" w:rsidRDefault="006C61F4" w:rsidP="006C61F4">
      <w:pPr>
        <w:pStyle w:val="a9"/>
        <w:numPr>
          <w:ilvl w:val="0"/>
          <w:numId w:val="2"/>
        </w:numPr>
        <w:spacing w:line="360" w:lineRule="auto"/>
        <w:jc w:val="both"/>
        <w:rPr>
          <w:rFonts w:ascii="David" w:hAnsi="David" w:cs="David"/>
          <w:u w:val="single"/>
        </w:rPr>
      </w:pPr>
      <w:r w:rsidRPr="00E673DF">
        <w:rPr>
          <w:rFonts w:ascii="David" w:hAnsi="David" w:cs="David"/>
          <w:rtl/>
        </w:rPr>
        <w:t>ב</w:t>
      </w:r>
      <w:hyperlink r:id="rId24" w:history="1">
        <w:r w:rsidR="00D009C4" w:rsidRPr="00E673DF">
          <w:rPr>
            <w:rFonts w:ascii="David" w:hAnsi="David" w:cs="David"/>
            <w:color w:val="0000FF"/>
            <w:u w:val="single"/>
            <w:rtl/>
          </w:rPr>
          <w:t>ת"פ (חיפה) 26918-01-17</w:t>
        </w:r>
      </w:hyperlink>
      <w:r w:rsidRPr="00E673DF">
        <w:rPr>
          <w:rFonts w:ascii="David" w:hAnsi="David" w:cs="David"/>
          <w:rtl/>
        </w:rPr>
        <w:t xml:space="preserve"> </w:t>
      </w:r>
      <w:r w:rsidRPr="00E673DF">
        <w:rPr>
          <w:rFonts w:ascii="David" w:hAnsi="David" w:cs="David"/>
          <w:b/>
          <w:bCs/>
          <w:rtl/>
        </w:rPr>
        <w:t>מדינת ישראל נ' כרמל</w:t>
      </w:r>
      <w:r w:rsidRPr="00E673DF">
        <w:rPr>
          <w:rFonts w:ascii="David" w:hAnsi="David" w:cs="David"/>
          <w:rtl/>
        </w:rPr>
        <w:t xml:space="preserve"> (21.1.18), הנאשם הורשע בעבירה של אחזקת סם שלא לצריכה עצמית, בכך שהחזיק סם מסוג חשיש במשקל של 600 גרם. בית המשפט קבע כי מתחם העונש ההולם נע בין מאסר מותנה ועד למאסר קצר בפועל. הרשעת הנאשם בוטלה לנוכח גילו הצעיר והעדר עברו הפלילי ונגזר עליו צו פיקוח למשך 12 חודשים, צו של"צ בהיקף של 200 שעות והתחייבות.</w:t>
      </w:r>
    </w:p>
    <w:p w14:paraId="43EAC1FD" w14:textId="77777777" w:rsidR="006C61F4" w:rsidRPr="00E673DF" w:rsidRDefault="006C61F4" w:rsidP="006C61F4">
      <w:pPr>
        <w:spacing w:line="360" w:lineRule="auto"/>
        <w:jc w:val="both"/>
        <w:rPr>
          <w:rFonts w:ascii="David" w:eastAsia="Calibri" w:hAnsi="David"/>
          <w:sz w:val="22"/>
          <w:szCs w:val="22"/>
          <w:u w:val="single"/>
          <w:rtl/>
        </w:rPr>
      </w:pPr>
    </w:p>
    <w:p w14:paraId="2020E612" w14:textId="77777777" w:rsidR="006C61F4" w:rsidRPr="00E673DF" w:rsidRDefault="006C61F4" w:rsidP="006C61F4">
      <w:pPr>
        <w:pStyle w:val="a9"/>
        <w:numPr>
          <w:ilvl w:val="0"/>
          <w:numId w:val="2"/>
        </w:numPr>
        <w:spacing w:line="360" w:lineRule="auto"/>
        <w:jc w:val="both"/>
        <w:rPr>
          <w:rFonts w:ascii="David" w:hAnsi="David" w:cs="David"/>
          <w:u w:val="single"/>
        </w:rPr>
      </w:pPr>
      <w:r w:rsidRPr="00E673DF">
        <w:rPr>
          <w:rFonts w:ascii="David" w:hAnsi="David" w:cs="David"/>
          <w:rtl/>
        </w:rPr>
        <w:t>ב</w:t>
      </w:r>
      <w:hyperlink r:id="rId25" w:history="1">
        <w:r w:rsidR="00D009C4" w:rsidRPr="00E673DF">
          <w:rPr>
            <w:rFonts w:ascii="David" w:hAnsi="David" w:cs="David"/>
            <w:color w:val="0000FF"/>
            <w:u w:val="single"/>
            <w:rtl/>
          </w:rPr>
          <w:t>ת"פ (קריות) 20685-11-16</w:t>
        </w:r>
      </w:hyperlink>
      <w:r w:rsidRPr="00E673DF">
        <w:rPr>
          <w:rFonts w:ascii="David" w:hAnsi="David" w:cs="David"/>
          <w:rtl/>
        </w:rPr>
        <w:t xml:space="preserve"> </w:t>
      </w:r>
      <w:r w:rsidRPr="00E673DF">
        <w:rPr>
          <w:rFonts w:ascii="David" w:hAnsi="David" w:cs="David"/>
          <w:b/>
          <w:bCs/>
          <w:rtl/>
        </w:rPr>
        <w:t>מדינת ישראל נ' לאופר</w:t>
      </w:r>
      <w:r w:rsidRPr="00E673DF">
        <w:rPr>
          <w:rFonts w:ascii="David" w:hAnsi="David" w:cs="David"/>
          <w:rtl/>
        </w:rPr>
        <w:t xml:space="preserve"> (24.6.18), הנאשם הורשע בעבירה של החזקת סמים שלא לצריכה עצמית ובהחזקת כלים להכנת סם, בכך שהחזיק סם מסוג קנבוס במשקל של כ-300 גרם ומשקל אלקטרוני. בית המשפט קבע מתחם ענישה הנע בין מספר חודשי מאסר בעבודות שירות ועד 18 חודשי מאסר בפועל וגזר על הנאשם 3 חודשי מאסר בפועל, הפעלת מאסר מותנה, כל שהנאשם ירצה 6 חודשי מאסר בפועל, מאסר מותנה, קנס ופסילת רישיון נהיגה</w:t>
      </w:r>
      <w:r w:rsidRPr="00E673DF">
        <w:rPr>
          <w:rFonts w:ascii="David" w:hAnsi="David" w:cs="David"/>
          <w:u w:val="single"/>
          <w:rtl/>
        </w:rPr>
        <w:t xml:space="preserve">. </w:t>
      </w:r>
    </w:p>
    <w:p w14:paraId="29270E3E" w14:textId="77777777" w:rsidR="006C61F4" w:rsidRPr="00E673DF" w:rsidRDefault="006C61F4" w:rsidP="006C61F4">
      <w:pPr>
        <w:spacing w:line="360" w:lineRule="auto"/>
        <w:jc w:val="both"/>
        <w:rPr>
          <w:rFonts w:ascii="David" w:hAnsi="David"/>
          <w:b/>
          <w:bCs/>
          <w:sz w:val="22"/>
          <w:szCs w:val="22"/>
          <w:rtl/>
        </w:rPr>
      </w:pPr>
    </w:p>
    <w:p w14:paraId="5A5A21DC" w14:textId="77777777" w:rsidR="006C61F4" w:rsidRPr="00E673DF" w:rsidRDefault="006C61F4" w:rsidP="006C61F4">
      <w:pPr>
        <w:spacing w:line="360" w:lineRule="auto"/>
        <w:jc w:val="both"/>
        <w:rPr>
          <w:rFonts w:ascii="David" w:hAnsi="David"/>
          <w:b/>
          <w:bCs/>
          <w:sz w:val="22"/>
          <w:szCs w:val="22"/>
          <w:rtl/>
        </w:rPr>
      </w:pPr>
    </w:p>
    <w:p w14:paraId="4ED1DDBF" w14:textId="77777777" w:rsidR="006C61F4" w:rsidRPr="00E673DF" w:rsidRDefault="006C61F4" w:rsidP="006C61F4">
      <w:pPr>
        <w:pStyle w:val="a9"/>
        <w:spacing w:line="360" w:lineRule="auto"/>
        <w:jc w:val="both"/>
        <w:rPr>
          <w:rFonts w:ascii="David" w:hAnsi="David" w:cs="David"/>
          <w:b/>
          <w:bCs/>
          <w:rtl/>
        </w:rPr>
      </w:pPr>
      <w:r w:rsidRPr="00E673DF">
        <w:rPr>
          <w:rFonts w:ascii="David" w:hAnsi="David" w:cs="David"/>
          <w:b/>
          <w:bCs/>
          <w:rtl/>
        </w:rPr>
        <w:t xml:space="preserve">נסיבות הקשורות בביצוע העבירה: </w:t>
      </w:r>
    </w:p>
    <w:p w14:paraId="6434C6A5" w14:textId="77777777" w:rsidR="006C61F4" w:rsidRPr="00E673DF" w:rsidRDefault="006C61F4" w:rsidP="006C61F4">
      <w:pPr>
        <w:spacing w:line="360" w:lineRule="auto"/>
        <w:jc w:val="both"/>
        <w:rPr>
          <w:rFonts w:ascii="David" w:eastAsia="Calibri" w:hAnsi="David"/>
          <w:sz w:val="22"/>
          <w:szCs w:val="22"/>
          <w:rtl/>
        </w:rPr>
      </w:pPr>
    </w:p>
    <w:p w14:paraId="57B5951C"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מדובר בסם מסוג קנבוס שנמצא בביתו של הנאשם. הכמות הינה 150 גרם נטו, עדיין פי 10 מכמות שהוגדרה לשימוש עצמי אך גם לא מהגבוהות בחומרתן , סוגו אינו מן החמורים שיש, ויש בכך כדי להשפיע על מתחם הענישה. </w:t>
      </w:r>
    </w:p>
    <w:p w14:paraId="6C2645F6"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מנגד, אין מדובר בנאשם שנקלע לאירוע חברתי ונסחף אלא במי שמודע היטב לעבירה מושא האישום, ההחזקה היא בביתו בכמות שחורגת מהשימוש העצמי. </w:t>
      </w:r>
    </w:p>
    <w:p w14:paraId="1356D2B3" w14:textId="77777777" w:rsidR="006C61F4" w:rsidRPr="00E673DF" w:rsidRDefault="006C61F4" w:rsidP="006C61F4">
      <w:pPr>
        <w:spacing w:line="360" w:lineRule="auto"/>
        <w:jc w:val="both"/>
        <w:rPr>
          <w:rFonts w:ascii="David" w:eastAsia="Calibri" w:hAnsi="David"/>
          <w:sz w:val="22"/>
          <w:szCs w:val="22"/>
          <w:rtl/>
        </w:rPr>
      </w:pPr>
    </w:p>
    <w:p w14:paraId="04DDD8E6"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לאור האמור, ובהתייחס לפסיקה המנחה בבית משפט המחוזי בבאר שבע, מתחם הענישה ההולם לעבירה שביצע הנאשם בנסיבות המתוארות נע בין מספר חודשי מאסר קצר שיכול וירוצו בעבודות שירות לבין 18 חודשי מאסר ברף העליון בנסיבות מחמירות לרבות הנוגעות לטיב הסם, כמותו העולה, עזרים נלווים המלמדים על פוטנציאל ההפצה, כשכל שינוי לחומרה מציב את העושה במיקום גבוה על רצף המתחם, זאת לצד מאסר על תנאי ורכיבי ענישה נוספים . במקרה זה הנאשם מצוי ברף הנמוך של מתחם העבירה. </w:t>
      </w:r>
    </w:p>
    <w:p w14:paraId="4DD6A80D" w14:textId="77777777" w:rsidR="006C61F4" w:rsidRPr="00E673DF" w:rsidRDefault="006C61F4" w:rsidP="006C61F4">
      <w:pPr>
        <w:spacing w:line="360" w:lineRule="auto"/>
        <w:jc w:val="both"/>
        <w:rPr>
          <w:rFonts w:ascii="David" w:hAnsi="David"/>
          <w:sz w:val="22"/>
          <w:szCs w:val="22"/>
          <w:rtl/>
        </w:rPr>
      </w:pPr>
    </w:p>
    <w:p w14:paraId="3EF9D2EA" w14:textId="77777777" w:rsidR="006C61F4" w:rsidRPr="00E673DF" w:rsidRDefault="006C61F4" w:rsidP="006C61F4">
      <w:pPr>
        <w:pStyle w:val="a9"/>
        <w:spacing w:line="360" w:lineRule="auto"/>
        <w:jc w:val="both"/>
        <w:rPr>
          <w:rFonts w:ascii="David" w:hAnsi="David" w:cs="David"/>
          <w:b/>
          <w:bCs/>
          <w:rtl/>
        </w:rPr>
      </w:pPr>
      <w:r w:rsidRPr="00E673DF">
        <w:rPr>
          <w:rFonts w:ascii="David" w:hAnsi="David" w:cs="David"/>
          <w:b/>
          <w:bCs/>
          <w:rtl/>
        </w:rPr>
        <w:t xml:space="preserve">נסיבות שאינן קשורות לעבירה : </w:t>
      </w:r>
    </w:p>
    <w:p w14:paraId="111D2CD5" w14:textId="77777777" w:rsidR="006C61F4" w:rsidRPr="00E673DF" w:rsidRDefault="006C61F4" w:rsidP="006C61F4">
      <w:pPr>
        <w:spacing w:line="360" w:lineRule="auto"/>
        <w:jc w:val="both"/>
        <w:rPr>
          <w:rFonts w:ascii="David" w:hAnsi="David"/>
          <w:b/>
          <w:bCs/>
          <w:sz w:val="22"/>
          <w:szCs w:val="22"/>
          <w:rtl/>
        </w:rPr>
      </w:pPr>
    </w:p>
    <w:p w14:paraId="274DA858"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לנאשם עבר פלילי הכולל עבירות </w:t>
      </w:r>
      <w:r w:rsidRPr="00E673DF">
        <w:rPr>
          <w:rFonts w:ascii="David" w:hAnsi="David" w:cs="David" w:hint="cs"/>
          <w:rtl/>
        </w:rPr>
        <w:t xml:space="preserve">בתחום הסחר בסמים. הימצאות סמים בביתו בכמות העולה פי 10 על הכמות המוגדרת לשימוש העצמי בעלת פוטנציאל הפצה במיוחד ביחס למי שכבר הורשע בכך.  </w:t>
      </w:r>
    </w:p>
    <w:p w14:paraId="693FFDF3"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הנאשם הודה קיבל על עצמו את הדין וחסך משאבי הציבור לבירור אשמו. </w:t>
      </w:r>
    </w:p>
    <w:p w14:paraId="56FE4624"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הנאשם עובר הליך טיפולי ושיקומי ותסקיר המבחן חיובי לגביו</w:t>
      </w:r>
      <w:r w:rsidRPr="00E673DF">
        <w:rPr>
          <w:rFonts w:ascii="David" w:hAnsi="David" w:cs="David" w:hint="cs"/>
          <w:rtl/>
        </w:rPr>
        <w:t>,</w:t>
      </w:r>
      <w:r w:rsidRPr="00E673DF">
        <w:rPr>
          <w:rFonts w:ascii="David" w:hAnsi="David" w:cs="David"/>
          <w:rtl/>
        </w:rPr>
        <w:t xml:space="preserve"> הגם שמציין הסיכון שבהישנות עבירות ביחס למי שהורשע מספר פעמים ושב לסורו.</w:t>
      </w:r>
      <w:r w:rsidRPr="00E673DF">
        <w:rPr>
          <w:rFonts w:ascii="David" w:hAnsi="David" w:cs="David" w:hint="cs"/>
          <w:rtl/>
        </w:rPr>
        <w:t xml:space="preserve"> ובית המשפט סבור כי צו המבחן אינו מספיק כדי מתן מענה במסגרת האינטרס הציבורי הכולל. </w:t>
      </w:r>
      <w:r w:rsidRPr="00E673DF">
        <w:rPr>
          <w:rFonts w:ascii="David" w:hAnsi="David" w:cs="David"/>
          <w:rtl/>
        </w:rPr>
        <w:t xml:space="preserve"> </w:t>
      </w:r>
    </w:p>
    <w:p w14:paraId="73D5BE5F"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חלפו כ4 שנים ממועד ביצוע העבירה, הגם שחלק מהזמן שניתן לנאשם בניהול ההליך היה בקשות והמלצות שירות המבחן לתן בידו האפשרות להתחיל הליך שיקומי וטיפולי. </w:t>
      </w:r>
      <w:r w:rsidRPr="00E673DF">
        <w:rPr>
          <w:rFonts w:ascii="David" w:hAnsi="David" w:cs="David" w:hint="cs"/>
          <w:rtl/>
        </w:rPr>
        <w:t xml:space="preserve">במסגרת תקופה זו לא נפתחו תיקים פליליים חדשים. </w:t>
      </w:r>
      <w:r w:rsidRPr="00E673DF">
        <w:rPr>
          <w:rFonts w:ascii="David" w:hAnsi="David" w:cs="David" w:hint="cs"/>
          <w:b/>
          <w:bCs/>
          <w:rtl/>
        </w:rPr>
        <w:t xml:space="preserve">ב2021 נגזר עונשו של הנאשם בתיק סמים אחר, למאסר בפועל וכן למאסר על תנאי שיחל  מיום שחרורו. המאסר המותנה לא יכול היה להיות מופעל בתיק זה בעבירה מ2020 .   </w:t>
      </w:r>
    </w:p>
    <w:p w14:paraId="69F546E8" w14:textId="77777777" w:rsidR="006C61F4" w:rsidRPr="00E673DF" w:rsidRDefault="006C61F4" w:rsidP="006C61F4">
      <w:pPr>
        <w:spacing w:line="360" w:lineRule="auto"/>
        <w:jc w:val="both"/>
        <w:rPr>
          <w:rFonts w:ascii="David" w:hAnsi="David"/>
          <w:sz w:val="22"/>
          <w:szCs w:val="22"/>
          <w:rtl/>
        </w:rPr>
      </w:pPr>
    </w:p>
    <w:p w14:paraId="01AE30FD"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הנאשם חולה במחלה המשליכה על מגבלות בתנועתו, אין כל אינדיקציה רפואית או כל חוות דעת בדבר חומרתה והתקדמותה של זו אצל הנאשם. בחוות דעת הממונה על עבודות השירות צוינה מגבלה זו ובכל זאת הומלץ לעבודות השירות ב"צער בעלי חיים" בבדיקת רופא מטעמו של הממונה על עבודות השירות וככל שהייתה סכנה לחייו או להחמרה בשל עבודה זו או אחרת היה הממונה מציין זאת במפורש,</w:t>
      </w:r>
      <w:r w:rsidRPr="00E673DF">
        <w:rPr>
          <w:rFonts w:ascii="David" w:hAnsi="David" w:cs="David" w:hint="cs"/>
          <w:rtl/>
        </w:rPr>
        <w:t xml:space="preserve"> </w:t>
      </w:r>
      <w:r w:rsidRPr="00E673DF">
        <w:rPr>
          <w:rFonts w:ascii="David" w:hAnsi="David" w:cs="David"/>
          <w:rtl/>
        </w:rPr>
        <w:t>ואף נמנע מלקבלו</w:t>
      </w:r>
      <w:r w:rsidRPr="00E673DF">
        <w:rPr>
          <w:rFonts w:ascii="David" w:hAnsi="David" w:cs="David" w:hint="cs"/>
          <w:rtl/>
        </w:rPr>
        <w:t xml:space="preserve"> </w:t>
      </w:r>
      <w:r w:rsidRPr="00E673DF">
        <w:rPr>
          <w:rFonts w:ascii="David" w:hAnsi="David" w:cs="David"/>
          <w:rtl/>
        </w:rPr>
        <w:t xml:space="preserve">. </w:t>
      </w:r>
    </w:p>
    <w:p w14:paraId="129A134F"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כמו כן צוין  בחוות דעת הממונה הצורך 1 לשבוע להשתתף בקבוצה טיפולית מטעם שירות המבחן בין השעות 17:00 ל18:30 . </w:t>
      </w:r>
    </w:p>
    <w:p w14:paraId="3BE3766C" w14:textId="77777777" w:rsidR="006C61F4" w:rsidRPr="00E673DF" w:rsidRDefault="006C61F4" w:rsidP="006C61F4">
      <w:pPr>
        <w:spacing w:line="360" w:lineRule="auto"/>
        <w:jc w:val="both"/>
        <w:rPr>
          <w:rFonts w:ascii="David" w:hAnsi="David"/>
          <w:sz w:val="22"/>
          <w:szCs w:val="22"/>
          <w:rtl/>
        </w:rPr>
      </w:pPr>
    </w:p>
    <w:p w14:paraId="2042EAF9" w14:textId="77777777" w:rsidR="006C61F4" w:rsidRPr="00E673DF" w:rsidRDefault="006C61F4" w:rsidP="006C61F4">
      <w:pPr>
        <w:pStyle w:val="a9"/>
        <w:spacing w:line="360" w:lineRule="auto"/>
        <w:jc w:val="both"/>
        <w:rPr>
          <w:rFonts w:ascii="David" w:hAnsi="David" w:cs="David"/>
          <w:b/>
          <w:bCs/>
          <w:rtl/>
        </w:rPr>
      </w:pPr>
      <w:r w:rsidRPr="00E673DF">
        <w:rPr>
          <w:rFonts w:ascii="David" w:hAnsi="David" w:cs="David"/>
          <w:b/>
          <w:bCs/>
          <w:rtl/>
        </w:rPr>
        <w:t xml:space="preserve">דיון והכרעה : </w:t>
      </w:r>
    </w:p>
    <w:p w14:paraId="423D0ED9" w14:textId="77777777" w:rsidR="006C61F4" w:rsidRPr="00E673DF" w:rsidRDefault="006C61F4" w:rsidP="006C61F4">
      <w:pPr>
        <w:spacing w:line="360" w:lineRule="auto"/>
        <w:jc w:val="both"/>
        <w:rPr>
          <w:rFonts w:ascii="David" w:hAnsi="David"/>
          <w:b/>
          <w:bCs/>
          <w:sz w:val="22"/>
          <w:szCs w:val="22"/>
          <w:rtl/>
        </w:rPr>
      </w:pPr>
    </w:p>
    <w:p w14:paraId="3B6F841B" w14:textId="77777777" w:rsidR="006C61F4" w:rsidRPr="00E673DF" w:rsidRDefault="006C61F4" w:rsidP="006C61F4">
      <w:pPr>
        <w:pStyle w:val="a9"/>
        <w:numPr>
          <w:ilvl w:val="0"/>
          <w:numId w:val="2"/>
        </w:numPr>
        <w:spacing w:line="360" w:lineRule="auto"/>
        <w:jc w:val="both"/>
        <w:rPr>
          <w:rFonts w:ascii="David" w:hAnsi="David" w:cs="David"/>
          <w:b/>
          <w:bCs/>
        </w:rPr>
      </w:pPr>
      <w:r w:rsidRPr="00E673DF">
        <w:rPr>
          <w:rFonts w:ascii="David" w:hAnsi="David" w:cs="David"/>
          <w:b/>
          <w:bCs/>
          <w:rtl/>
        </w:rPr>
        <w:t xml:space="preserve">לנאשם עבר פלילי מכביד  ובכלל זה גם בתחום הסמים והסחר בסמים: </w:t>
      </w:r>
    </w:p>
    <w:p w14:paraId="402BE184" w14:textId="77777777" w:rsidR="006C61F4" w:rsidRPr="00E673DF" w:rsidRDefault="006C61F4" w:rsidP="006C61F4">
      <w:pPr>
        <w:pStyle w:val="a9"/>
        <w:spacing w:line="360" w:lineRule="auto"/>
        <w:jc w:val="both"/>
        <w:rPr>
          <w:rFonts w:ascii="David" w:hAnsi="David" w:cs="David"/>
          <w:b/>
          <w:bCs/>
          <w:rtl/>
        </w:rPr>
      </w:pPr>
    </w:p>
    <w:p w14:paraId="6E775965" w14:textId="77777777" w:rsidR="006C61F4" w:rsidRPr="00E673DF" w:rsidRDefault="006C61F4" w:rsidP="006C61F4">
      <w:pPr>
        <w:pStyle w:val="a9"/>
        <w:numPr>
          <w:ilvl w:val="2"/>
          <w:numId w:val="2"/>
        </w:numPr>
        <w:spacing w:line="360" w:lineRule="auto"/>
        <w:jc w:val="both"/>
        <w:rPr>
          <w:rFonts w:ascii="David" w:hAnsi="David" w:cs="David"/>
          <w:b/>
          <w:bCs/>
          <w:rtl/>
        </w:rPr>
      </w:pPr>
      <w:r w:rsidRPr="00E673DF">
        <w:rPr>
          <w:rFonts w:ascii="David" w:hAnsi="David" w:cs="David"/>
          <w:b/>
          <w:bCs/>
          <w:rtl/>
        </w:rPr>
        <w:t>הרשעה וגזר דין עבירות של סיוע להחזקת סמים ב2021 במסגרתם  הושתו עליו 8 חודשי מאסר לריצוי בפועל, ומאסר מותנה של 10 חודשים מיום השחרור ממאסר, לרבות קנס כספי בסך : 15,000 ₪ .</w:t>
      </w:r>
    </w:p>
    <w:p w14:paraId="73AD6CBA" w14:textId="77777777" w:rsidR="006C61F4" w:rsidRPr="00E673DF" w:rsidRDefault="006C61F4" w:rsidP="006C61F4">
      <w:pPr>
        <w:pStyle w:val="a9"/>
        <w:numPr>
          <w:ilvl w:val="2"/>
          <w:numId w:val="2"/>
        </w:numPr>
        <w:spacing w:line="360" w:lineRule="auto"/>
        <w:jc w:val="both"/>
        <w:rPr>
          <w:rFonts w:ascii="David" w:hAnsi="David" w:cs="David"/>
          <w:b/>
          <w:bCs/>
          <w:rtl/>
        </w:rPr>
      </w:pPr>
      <w:r w:rsidRPr="00E673DF">
        <w:rPr>
          <w:rFonts w:ascii="David" w:hAnsi="David" w:cs="David"/>
          <w:b/>
          <w:bCs/>
          <w:rtl/>
        </w:rPr>
        <w:t>הרשעה וגזר דין מ2017 בגין עבירות של סחר בסמים, במסגרתו נגזרו עליו 22 חודשי מאסר בפועל מאסר מותנה וכן קנס כספי בסך : 10,000 ₪.</w:t>
      </w:r>
    </w:p>
    <w:p w14:paraId="5F311148" w14:textId="77777777" w:rsidR="006C61F4" w:rsidRPr="00E673DF" w:rsidRDefault="006C61F4" w:rsidP="006C61F4">
      <w:pPr>
        <w:pStyle w:val="a9"/>
        <w:numPr>
          <w:ilvl w:val="2"/>
          <w:numId w:val="2"/>
        </w:numPr>
        <w:spacing w:line="360" w:lineRule="auto"/>
        <w:jc w:val="both"/>
        <w:rPr>
          <w:rFonts w:ascii="David" w:hAnsi="David" w:cs="David"/>
          <w:b/>
          <w:bCs/>
          <w:rtl/>
        </w:rPr>
      </w:pPr>
      <w:r w:rsidRPr="00E673DF">
        <w:rPr>
          <w:rFonts w:ascii="David" w:hAnsi="David" w:cs="David"/>
          <w:b/>
          <w:bCs/>
          <w:rtl/>
        </w:rPr>
        <w:t xml:space="preserve">הרשעה וגזר דין מיום 2012 בסחר בסמים, ניסיון לגניבה, הפרעה לשוטר במילוי תפקידו, היזק לרכוש במזיד, קשירת קשר  לביצוע עבירות פשע ועוון  במסגרתו הושתו על הנאשם:  22 חודשי מאסר לריצוי בפועל, ועונשים נלווים. </w:t>
      </w:r>
    </w:p>
    <w:p w14:paraId="7870DEC7" w14:textId="77777777" w:rsidR="006C61F4" w:rsidRPr="00E673DF" w:rsidRDefault="006C61F4" w:rsidP="006C61F4">
      <w:pPr>
        <w:pStyle w:val="a9"/>
        <w:numPr>
          <w:ilvl w:val="2"/>
          <w:numId w:val="2"/>
        </w:numPr>
        <w:spacing w:line="360" w:lineRule="auto"/>
        <w:jc w:val="both"/>
        <w:rPr>
          <w:rFonts w:ascii="David" w:hAnsi="David" w:cs="David"/>
          <w:b/>
          <w:bCs/>
          <w:rtl/>
        </w:rPr>
      </w:pPr>
      <w:r w:rsidRPr="00E673DF">
        <w:rPr>
          <w:rFonts w:ascii="David" w:hAnsi="David" w:cs="David"/>
          <w:b/>
          <w:bCs/>
          <w:rtl/>
        </w:rPr>
        <w:t xml:space="preserve">לנאשם גם הרשעה וגזר דין מ2009 בעבירה של סחר בסמים בבית המשפט לנוער. </w:t>
      </w:r>
    </w:p>
    <w:p w14:paraId="1D1F8084" w14:textId="77777777" w:rsidR="006C61F4" w:rsidRPr="00E673DF" w:rsidRDefault="006C61F4" w:rsidP="006C61F4">
      <w:pPr>
        <w:spacing w:line="360" w:lineRule="auto"/>
        <w:jc w:val="both"/>
        <w:rPr>
          <w:rFonts w:ascii="David" w:hAnsi="David"/>
          <w:b/>
          <w:bCs/>
          <w:sz w:val="22"/>
          <w:szCs w:val="22"/>
          <w:rtl/>
        </w:rPr>
      </w:pPr>
    </w:p>
    <w:p w14:paraId="5C92041E" w14:textId="77777777" w:rsidR="006C61F4" w:rsidRPr="00E673DF" w:rsidRDefault="006C61F4" w:rsidP="006C61F4">
      <w:pPr>
        <w:pStyle w:val="a9"/>
        <w:numPr>
          <w:ilvl w:val="0"/>
          <w:numId w:val="2"/>
        </w:numPr>
        <w:spacing w:line="360" w:lineRule="auto"/>
        <w:jc w:val="both"/>
        <w:rPr>
          <w:rFonts w:ascii="David" w:hAnsi="David" w:cs="David"/>
        </w:rPr>
      </w:pPr>
      <w:r w:rsidRPr="00E673DF">
        <w:rPr>
          <w:rFonts w:ascii="David" w:hAnsi="David" w:cs="David" w:hint="cs"/>
          <w:rtl/>
        </w:rPr>
        <w:t xml:space="preserve">מנגד ראיתי לפניי, ההליך השיקומי, הודאתו, המלצות שירות המבחן, טעמיו של הסנגור ומחלתו המגבילה תנועתו. </w:t>
      </w:r>
    </w:p>
    <w:p w14:paraId="68B4EDA1" w14:textId="77777777" w:rsidR="006C61F4" w:rsidRPr="00E673DF" w:rsidRDefault="006C61F4" w:rsidP="006C61F4">
      <w:pPr>
        <w:pStyle w:val="a9"/>
        <w:spacing w:line="360" w:lineRule="auto"/>
        <w:jc w:val="both"/>
        <w:rPr>
          <w:rFonts w:ascii="David" w:hAnsi="David" w:cs="David"/>
        </w:rPr>
      </w:pPr>
    </w:p>
    <w:p w14:paraId="000D2790" w14:textId="77777777" w:rsidR="006C61F4" w:rsidRPr="00E673DF" w:rsidRDefault="006C61F4" w:rsidP="006C61F4">
      <w:pPr>
        <w:pStyle w:val="a9"/>
        <w:numPr>
          <w:ilvl w:val="0"/>
          <w:numId w:val="2"/>
        </w:numPr>
        <w:spacing w:line="360" w:lineRule="auto"/>
        <w:jc w:val="both"/>
        <w:rPr>
          <w:rFonts w:ascii="David" w:hAnsi="David" w:cs="David"/>
        </w:rPr>
      </w:pPr>
      <w:r w:rsidRPr="00E673DF">
        <w:rPr>
          <w:rFonts w:ascii="David" w:hAnsi="David" w:cs="David"/>
          <w:rtl/>
        </w:rPr>
        <w:t xml:space="preserve">לא ראיתי לנכון  לקבל את טענת ב"כ הנאשם להימנע מהשתת מאסר בפועל בגין תיק זה  .הסמכות הנתונה לבית המשפט לסטות ממתחם הענישה וממיקומו בה מחייבים שיקול דעת  זהיר, בין אם מטעמי שיקום ובין אם מטעמי צדק תוך ראייתו של כל מקרה במכלול השיקולים הרחב ובכללם  ההלימה והאינטרס הציבורי. </w:t>
      </w:r>
      <w:r w:rsidRPr="00E673DF">
        <w:rPr>
          <w:rFonts w:ascii="David" w:hAnsi="David" w:cs="David" w:hint="cs"/>
          <w:rtl/>
        </w:rPr>
        <w:t xml:space="preserve">גם המחוקק לא העדיף את שיקולי השיקום על פני ההלימה ואינטרס הציבור במשקלם, </w:t>
      </w:r>
      <w:r w:rsidRPr="00E673DF">
        <w:rPr>
          <w:rFonts w:ascii="David" w:hAnsi="David" w:cs="David"/>
          <w:rtl/>
        </w:rPr>
        <w:t xml:space="preserve">יצויין גם  </w:t>
      </w:r>
      <w:hyperlink r:id="rId26" w:history="1">
        <w:r w:rsidR="00D009C4" w:rsidRPr="00E673DF">
          <w:rPr>
            <w:rFonts w:ascii="David" w:hAnsi="David" w:cs="David"/>
            <w:color w:val="0000FF"/>
            <w:u w:val="single"/>
            <w:rtl/>
          </w:rPr>
          <w:t>ע"פ 8500/22</w:t>
        </w:r>
      </w:hyperlink>
      <w:r w:rsidRPr="00E673DF">
        <w:rPr>
          <w:rFonts w:ascii="David" w:hAnsi="David" w:cs="David"/>
          <w:rtl/>
        </w:rPr>
        <w:t xml:space="preserve"> </w:t>
      </w:r>
      <w:r w:rsidRPr="00E673DF">
        <w:rPr>
          <w:rFonts w:ascii="David" w:hAnsi="David" w:cs="David"/>
          <w:b/>
          <w:bCs/>
          <w:rtl/>
        </w:rPr>
        <w:t>אביטבול נ' מדינת ישראל</w:t>
      </w:r>
      <w:r w:rsidRPr="00E673DF">
        <w:rPr>
          <w:rFonts w:ascii="David" w:hAnsi="David" w:cs="David"/>
          <w:rtl/>
        </w:rPr>
        <w:t xml:space="preserve"> [פורסם בנבו] (19.6.23).</w:t>
      </w:r>
    </w:p>
    <w:p w14:paraId="13B36C46" w14:textId="77777777" w:rsidR="006C61F4" w:rsidRPr="00E673DF" w:rsidRDefault="006C61F4" w:rsidP="006C61F4">
      <w:pPr>
        <w:pStyle w:val="a9"/>
        <w:rPr>
          <w:rFonts w:ascii="David" w:hAnsi="David" w:cs="David"/>
          <w:rtl/>
        </w:rPr>
      </w:pPr>
    </w:p>
    <w:p w14:paraId="654D6C4E" w14:textId="77777777" w:rsidR="006C61F4" w:rsidRPr="00E673DF" w:rsidRDefault="006C61F4" w:rsidP="006C61F4">
      <w:pPr>
        <w:pStyle w:val="a9"/>
        <w:numPr>
          <w:ilvl w:val="0"/>
          <w:numId w:val="2"/>
        </w:numPr>
        <w:spacing w:line="360" w:lineRule="auto"/>
        <w:jc w:val="both"/>
        <w:rPr>
          <w:rFonts w:ascii="David" w:hAnsi="David" w:cs="David"/>
        </w:rPr>
      </w:pPr>
      <w:r w:rsidRPr="00E673DF">
        <w:rPr>
          <w:rFonts w:ascii="David" w:hAnsi="David" w:cs="David" w:hint="cs"/>
          <w:rtl/>
        </w:rPr>
        <w:t>ב</w:t>
      </w:r>
      <w:hyperlink r:id="rId27" w:history="1">
        <w:r w:rsidR="00D009C4" w:rsidRPr="00E673DF">
          <w:rPr>
            <w:rFonts w:ascii="David" w:hAnsi="David" w:cs="David"/>
            <w:color w:val="0000FF"/>
            <w:u w:val="single"/>
            <w:rtl/>
          </w:rPr>
          <w:t>עפ"ג (חי') 59808-06-13</w:t>
        </w:r>
      </w:hyperlink>
      <w:r w:rsidRPr="00E673DF">
        <w:rPr>
          <w:rFonts w:ascii="David" w:hAnsi="David" w:cs="David" w:hint="cs"/>
          <w:rtl/>
        </w:rPr>
        <w:t xml:space="preserve"> </w:t>
      </w:r>
      <w:r w:rsidRPr="00E673DF">
        <w:rPr>
          <w:rFonts w:ascii="David" w:hAnsi="David" w:cs="David" w:hint="cs"/>
          <w:b/>
          <w:bCs/>
          <w:rtl/>
        </w:rPr>
        <w:t xml:space="preserve">מדינת ישראל נ' אלפאר </w:t>
      </w:r>
      <w:r w:rsidRPr="00E673DF">
        <w:rPr>
          <w:rFonts w:ascii="David" w:hAnsi="David" w:cs="David" w:hint="cs"/>
          <w:rtl/>
        </w:rPr>
        <w:t xml:space="preserve">(לא פורסם, 07.08.2013) פסק בית המשפט המחוזי: </w:t>
      </w:r>
    </w:p>
    <w:p w14:paraId="6640E0A4" w14:textId="77777777" w:rsidR="006C61F4" w:rsidRPr="00E673DF" w:rsidRDefault="006C61F4" w:rsidP="006C61F4">
      <w:pPr>
        <w:pStyle w:val="a9"/>
        <w:rPr>
          <w:rFonts w:ascii="David" w:hAnsi="David" w:cs="David"/>
          <w:b/>
          <w:bCs/>
          <w:rtl/>
        </w:rPr>
      </w:pPr>
    </w:p>
    <w:p w14:paraId="61F6E851" w14:textId="77777777" w:rsidR="006C61F4" w:rsidRPr="00E673DF" w:rsidRDefault="006C61F4" w:rsidP="006C61F4">
      <w:pPr>
        <w:pStyle w:val="a9"/>
        <w:spacing w:line="360" w:lineRule="auto"/>
        <w:jc w:val="both"/>
        <w:rPr>
          <w:rFonts w:ascii="David" w:hAnsi="David" w:cs="David"/>
          <w:rtl/>
        </w:rPr>
      </w:pPr>
      <w:r w:rsidRPr="00E673DF">
        <w:rPr>
          <w:rFonts w:ascii="David" w:hAnsi="David" w:cs="David" w:hint="cs"/>
          <w:b/>
          <w:bCs/>
          <w:rtl/>
        </w:rPr>
        <w:t>"בניגוד לנטען, פעמים רבות, בימים אלה, תיקון 113 לא העניק עדיפות לשיקולי שיקום. העיקרון המנחה בתיקון 113 הוא עיקרון ההלימה והכלל הוא גזירת הדין בתוך מתחם העונש ההולם</w:t>
      </w:r>
      <w:r w:rsidRPr="00E673DF">
        <w:rPr>
          <w:rFonts w:ascii="David" w:hAnsi="David" w:cs="David" w:hint="cs"/>
          <w:b/>
          <w:bCs/>
        </w:rPr>
        <w:t xml:space="preserve"> </w:t>
      </w:r>
      <w:r w:rsidRPr="00E673DF">
        <w:rPr>
          <w:rFonts w:ascii="David" w:hAnsi="David" w:cs="David" w:hint="cs"/>
          <w:b/>
          <w:bCs/>
          <w:rtl/>
        </w:rPr>
        <w:t>. חריגה מהמתחם ההולם, הן לחומרא והן לקולא, מצויה בשיקול דעתו של ביהמ"ש, אולם היא מותנית בקיומם של התנאים הספציפיים שנקבעו בסעיפים 40ד' עד 40ז'."</w:t>
      </w:r>
    </w:p>
    <w:p w14:paraId="583B451D" w14:textId="77777777" w:rsidR="006C61F4" w:rsidRPr="00E673DF" w:rsidRDefault="006C61F4" w:rsidP="006C61F4">
      <w:pPr>
        <w:pStyle w:val="a9"/>
        <w:spacing w:line="360" w:lineRule="auto"/>
        <w:jc w:val="both"/>
        <w:rPr>
          <w:rFonts w:ascii="David" w:hAnsi="David" w:cs="David"/>
          <w:rtl/>
        </w:rPr>
      </w:pPr>
    </w:p>
    <w:p w14:paraId="74D753A1" w14:textId="77777777" w:rsidR="006C61F4" w:rsidRPr="00E673DF" w:rsidRDefault="006C61F4" w:rsidP="006C61F4">
      <w:pPr>
        <w:pStyle w:val="a9"/>
        <w:spacing w:line="360" w:lineRule="auto"/>
        <w:jc w:val="both"/>
        <w:rPr>
          <w:rFonts w:ascii="David" w:hAnsi="David" w:cs="David"/>
          <w:b/>
          <w:bCs/>
          <w:rtl/>
        </w:rPr>
      </w:pPr>
      <w:r w:rsidRPr="00E673DF">
        <w:rPr>
          <w:rFonts w:ascii="David" w:hAnsi="David" w:cs="David" w:hint="cs"/>
          <w:rtl/>
        </w:rPr>
        <w:t>ביהמ"ש העליון קבע ב</w:t>
      </w:r>
      <w:hyperlink r:id="rId28" w:history="1">
        <w:r w:rsidR="00D009C4" w:rsidRPr="00E673DF">
          <w:rPr>
            <w:rFonts w:ascii="David" w:hAnsi="David" w:cs="David"/>
            <w:color w:val="0000FF"/>
            <w:u w:val="single"/>
            <w:rtl/>
          </w:rPr>
          <w:t>רע"פ 7572/12</w:t>
        </w:r>
      </w:hyperlink>
      <w:r w:rsidRPr="00E673DF">
        <w:rPr>
          <w:rFonts w:ascii="David" w:hAnsi="David" w:cs="David" w:hint="cs"/>
          <w:rtl/>
        </w:rPr>
        <w:t xml:space="preserve"> קמאל הזייל נ' מדינת ישראל [פורסם בנבו] (23.10.2012), כי </w:t>
      </w:r>
      <w:hyperlink r:id="rId29" w:history="1">
        <w:r w:rsidR="00E673DF" w:rsidRPr="00E673DF">
          <w:rPr>
            <w:rStyle w:val="Hyperlink"/>
            <w:rFonts w:ascii="David" w:hAnsi="David" w:cs="David" w:hint="eastAsia"/>
            <w:rtl/>
          </w:rPr>
          <w:t>סעיף</w:t>
        </w:r>
        <w:r w:rsidR="00E673DF" w:rsidRPr="00E673DF">
          <w:rPr>
            <w:rStyle w:val="Hyperlink"/>
            <w:rFonts w:ascii="David" w:hAnsi="David" w:cs="David"/>
            <w:rtl/>
          </w:rPr>
          <w:t xml:space="preserve"> 40ד'</w:t>
        </w:r>
      </w:hyperlink>
      <w:r w:rsidRPr="00E673DF">
        <w:rPr>
          <w:rFonts w:ascii="David" w:hAnsi="David" w:cs="David" w:hint="cs"/>
          <w:rtl/>
        </w:rPr>
        <w:t xml:space="preserve">, אשר בתיקון 113 </w:t>
      </w:r>
      <w:r w:rsidRPr="00E673DF">
        <w:rPr>
          <w:rFonts w:ascii="David" w:hAnsi="David" w:cs="David" w:hint="cs"/>
          <w:b/>
          <w:bCs/>
          <w:rtl/>
        </w:rPr>
        <w:t xml:space="preserve">"אינו עומד לבדו, שכן, מיד לאחריו מגיעים סעיפים 40ה ו-40ו, אשר דנים בחריגה ממתחם העונש ההולם, לחומרא, לשם הגנה על שלום הציבור או לשם הרתעה אישית של הנאשם. כלומר, בניגוד לטענת באת-כוח המבקש, המחוקק אינו מעניק עדיפות ברורה לשיקולי שיקום על-פני שיקולים אחרים..." וחזר על כך בהחלטה שניתנה לפני ימים ספורים, ברע"פ </w:t>
      </w:r>
      <w:hyperlink r:id="rId30" w:history="1">
        <w:r w:rsidR="005B793D" w:rsidRPr="005B793D">
          <w:rPr>
            <w:rFonts w:ascii="David" w:hAnsi="David" w:cs="David"/>
            <w:b/>
            <w:bCs/>
            <w:color w:val="0000FF"/>
            <w:u w:val="single"/>
            <w:rtl/>
          </w:rPr>
          <w:t xml:space="preserve">7311/13 </w:t>
        </w:r>
      </w:hyperlink>
      <w:r w:rsidRPr="00E673DF">
        <w:rPr>
          <w:rFonts w:ascii="David" w:hAnsi="David" w:cs="David" w:hint="cs"/>
          <w:b/>
          <w:bCs/>
          <w:rtl/>
        </w:rPr>
        <w:t xml:space="preserve"> ניסים הושיאר נגד מדינת ישראל [פורסם בנבו](16.07.2013)".</w:t>
      </w:r>
    </w:p>
    <w:p w14:paraId="03B04F7D" w14:textId="77777777" w:rsidR="006C61F4" w:rsidRPr="00E673DF" w:rsidRDefault="006C61F4" w:rsidP="006C61F4">
      <w:pPr>
        <w:spacing w:line="360" w:lineRule="auto"/>
        <w:jc w:val="both"/>
        <w:rPr>
          <w:rFonts w:ascii="David" w:hAnsi="David"/>
          <w:sz w:val="22"/>
          <w:szCs w:val="22"/>
          <w:rtl/>
        </w:rPr>
      </w:pPr>
    </w:p>
    <w:p w14:paraId="1DE6159A"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נוכח האמור ומשראיתי לנגד עיני עברו הפלילי של הנאשם ומנגד הליך השיקום ומחלתו, ואלמלא אלו, ובמיוחד נוכח עברו המכביד של הנאשם, היה עומד תיק זה ברף הבינוני בכל הנוגע לחודשי המאסר ואופן ריצויים ודי לעיין בגיליון ההרשעות גזרי הדין וטיבם, שקלתי משקלם, והנאשם יבוא בגדרי המתחם שלא הוגדר בדיכוטומיה מתמטית, ברף הנמוך, ואף בסטייה כדי לא להכביד על הליך השיקום והטיפול , ואף על ביצוע המאסר בעבודות השירות במקום הייחודי שנבחר,  בכל הנוגע לחלק מרכיבי הענישה הנלווים .</w:t>
      </w:r>
    </w:p>
    <w:p w14:paraId="1ED76859" w14:textId="77777777" w:rsidR="006C61F4" w:rsidRPr="00E673DF" w:rsidRDefault="006C61F4" w:rsidP="006C61F4">
      <w:pPr>
        <w:spacing w:line="360" w:lineRule="auto"/>
        <w:jc w:val="both"/>
        <w:rPr>
          <w:rFonts w:ascii="David" w:hAnsi="David"/>
          <w:sz w:val="22"/>
          <w:szCs w:val="22"/>
          <w:rtl/>
        </w:rPr>
      </w:pPr>
    </w:p>
    <w:p w14:paraId="48CAE909"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איני סבור כי ריצוי בדרך של עבודות שירות שונה בהשלכותיו על מחלתו של הנאשם ככל עובד, ויושם אל לב כי כל צורך של הנאשם בהמשך ההליך בהתאם להוראות שירות המבחן, לא ייפגע בשל ריצוי המאסר בעבודות שירות . </w:t>
      </w:r>
    </w:p>
    <w:p w14:paraId="2B5ADBC8" w14:textId="77777777" w:rsidR="006C61F4" w:rsidRPr="00E673DF" w:rsidRDefault="006C61F4" w:rsidP="006C61F4">
      <w:pPr>
        <w:spacing w:line="360" w:lineRule="auto"/>
        <w:jc w:val="both"/>
        <w:rPr>
          <w:rFonts w:ascii="David" w:hAnsi="David"/>
          <w:sz w:val="22"/>
          <w:szCs w:val="22"/>
          <w:rtl/>
        </w:rPr>
      </w:pPr>
    </w:p>
    <w:p w14:paraId="57AE5581"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האינטרס הציבורי במיגור עבירות הסמים מחייבים היגדים ברורים, ענישה מרתיעה. אך מנגד אינטרס ציבורי זה, מבקש איזון מקום שהנאשם מצוי בהליך שיקומי טיפולי, שכן התרחקותו בעבירות ההתמכרות מדפוס התנהגות המביא לביצוען ההולך ונשנה, חייב למצוא ביטויו ברף הענישה ובקביעת מספר חודשי המאסר לריצוי בעבודות השירות. </w:t>
      </w:r>
    </w:p>
    <w:p w14:paraId="56132B80" w14:textId="77777777" w:rsidR="006C61F4" w:rsidRPr="00E673DF" w:rsidRDefault="006C61F4" w:rsidP="006C61F4">
      <w:pPr>
        <w:spacing w:after="160" w:line="360" w:lineRule="auto"/>
        <w:contextualSpacing/>
        <w:jc w:val="both"/>
        <w:rPr>
          <w:rFonts w:ascii="David" w:eastAsia="Calibri" w:hAnsi="David"/>
          <w:sz w:val="22"/>
          <w:szCs w:val="22"/>
          <w:rtl/>
        </w:rPr>
      </w:pPr>
    </w:p>
    <w:p w14:paraId="3878AE15" w14:textId="77777777" w:rsidR="006C61F4" w:rsidRPr="00E673DF" w:rsidRDefault="006C61F4" w:rsidP="006C61F4">
      <w:pPr>
        <w:pStyle w:val="a9"/>
        <w:numPr>
          <w:ilvl w:val="0"/>
          <w:numId w:val="2"/>
        </w:numPr>
        <w:spacing w:line="360" w:lineRule="auto"/>
        <w:jc w:val="both"/>
        <w:rPr>
          <w:rFonts w:ascii="David" w:hAnsi="David" w:cs="David"/>
          <w:rtl/>
        </w:rPr>
      </w:pPr>
      <w:r w:rsidRPr="00E673DF">
        <w:rPr>
          <w:rFonts w:ascii="David" w:hAnsi="David" w:cs="David"/>
          <w:rtl/>
        </w:rPr>
        <w:t xml:space="preserve">הנאשם ריצה 3 מאסרים בפועל בגין 3 עבירות בתחום הסמים והרכוש. בית המשפט מעניק היום בשל כברת הדרך אותה עושה הנאשם כפי שתיאר הסנגור המלומד ותסקיר המבחן, את השילוב שבין דרך ריצוי עונשו ברף הנמוך </w:t>
      </w:r>
      <w:r w:rsidRPr="00E673DF">
        <w:rPr>
          <w:rFonts w:ascii="David" w:hAnsi="David" w:cs="David" w:hint="cs"/>
          <w:rtl/>
        </w:rPr>
        <w:t xml:space="preserve">בדרך של עבודות שירות לאחר התאמתו להן, </w:t>
      </w:r>
      <w:r w:rsidRPr="00E673DF">
        <w:rPr>
          <w:rFonts w:ascii="David" w:hAnsi="David" w:cs="David"/>
          <w:rtl/>
        </w:rPr>
        <w:t xml:space="preserve">ואף בסטייה מהנוהג במקרים דומים למי שהוא בעל עבר פלילי מכביד , לבין המשך התנהלותו במסלול החיובי ובהליך בו הוא מצוי טיפולית שיקומית . </w:t>
      </w:r>
    </w:p>
    <w:p w14:paraId="08BB3AA4" w14:textId="77777777" w:rsidR="006C61F4" w:rsidRPr="00E673DF" w:rsidRDefault="006C61F4" w:rsidP="006C61F4">
      <w:pPr>
        <w:spacing w:after="160" w:line="360" w:lineRule="auto"/>
        <w:contextualSpacing/>
        <w:jc w:val="both"/>
        <w:rPr>
          <w:rFonts w:ascii="David" w:eastAsia="Calibri" w:hAnsi="David"/>
          <w:sz w:val="22"/>
          <w:szCs w:val="22"/>
          <w:rtl/>
        </w:rPr>
      </w:pPr>
    </w:p>
    <w:p w14:paraId="11C56558" w14:textId="77777777" w:rsidR="006C61F4" w:rsidRPr="00E673DF" w:rsidRDefault="006C61F4" w:rsidP="006C61F4">
      <w:pPr>
        <w:spacing w:after="160" w:line="360" w:lineRule="auto"/>
        <w:ind w:firstLine="150"/>
        <w:contextualSpacing/>
        <w:jc w:val="both"/>
        <w:rPr>
          <w:rFonts w:ascii="David" w:eastAsia="Calibri" w:hAnsi="David"/>
          <w:sz w:val="22"/>
          <w:szCs w:val="22"/>
        </w:rPr>
      </w:pPr>
    </w:p>
    <w:p w14:paraId="5CCDAA8C" w14:textId="77777777" w:rsidR="006C61F4" w:rsidRPr="00E673DF" w:rsidRDefault="006C61F4" w:rsidP="006C61F4">
      <w:pPr>
        <w:pStyle w:val="a9"/>
        <w:numPr>
          <w:ilvl w:val="0"/>
          <w:numId w:val="2"/>
        </w:numPr>
        <w:spacing w:line="360" w:lineRule="auto"/>
        <w:jc w:val="both"/>
        <w:rPr>
          <w:rFonts w:ascii="David" w:hAnsi="David" w:cs="David"/>
          <w:b/>
          <w:bCs/>
          <w:rtl/>
        </w:rPr>
      </w:pPr>
      <w:r w:rsidRPr="00E673DF">
        <w:rPr>
          <w:rFonts w:ascii="David" w:hAnsi="David" w:cs="David"/>
          <w:b/>
          <w:bCs/>
          <w:rtl/>
        </w:rPr>
        <w:t>לאחר ששקלתי את מכלול השיקולים, לחומרה ולקולא, גוזר אני על הנאשם את העונשים הבאים:</w:t>
      </w:r>
    </w:p>
    <w:p w14:paraId="5914A4EF" w14:textId="77777777" w:rsidR="006C61F4" w:rsidRPr="00E673DF" w:rsidRDefault="006C61F4" w:rsidP="006C61F4">
      <w:pPr>
        <w:spacing w:line="360" w:lineRule="auto"/>
        <w:jc w:val="both"/>
        <w:rPr>
          <w:sz w:val="22"/>
          <w:szCs w:val="22"/>
        </w:rPr>
      </w:pPr>
    </w:p>
    <w:p w14:paraId="08084A22"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4 חודשי מאסר שירוצו בדרך של עבודות שירות ב׳צער בעלי חיים בבאר-שבע׳, ברח׳ יהושע הצורף 13 בעיר, זאת במשך חמישה ימים בשבוע, על פי הקבוע בחוק ועל פי הנחיית הממונה על עבודות השירות. </w:t>
      </w:r>
    </w:p>
    <w:p w14:paraId="41109DA5" w14:textId="77777777" w:rsidR="006C61F4" w:rsidRPr="00E673DF" w:rsidRDefault="006C61F4" w:rsidP="006C61F4">
      <w:pPr>
        <w:pStyle w:val="a9"/>
        <w:spacing w:line="360" w:lineRule="auto"/>
        <w:ind w:left="1440"/>
        <w:jc w:val="both"/>
        <w:rPr>
          <w:rFonts w:cs="David"/>
          <w:b/>
          <w:bCs/>
        </w:rPr>
      </w:pPr>
    </w:p>
    <w:p w14:paraId="357C8B9F"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אני מורה כי על הנאשם להתייצב לריצוי עונשו ביום 2.4.24 עד השעה 08:00 במשרדי הממונה על עבודות השירות, מפקדת מחוז דרום, בסמוך לכלא אשל. מובהר, כי אם לא ניתן לשבץ הנאשם לריצוי עונשו במקום הקבוע בסעיף א׳ לעיל, יוכל הממונה על עבודות השירות לשבצו בכל מקום אחר לפי שיקול דעתו. </w:t>
      </w:r>
    </w:p>
    <w:p w14:paraId="060533F3" w14:textId="77777777" w:rsidR="006C61F4" w:rsidRPr="00E673DF" w:rsidRDefault="006C61F4" w:rsidP="006C61F4">
      <w:pPr>
        <w:pStyle w:val="a9"/>
        <w:spacing w:line="360" w:lineRule="auto"/>
        <w:ind w:left="1440"/>
        <w:jc w:val="both"/>
        <w:rPr>
          <w:rFonts w:cs="David"/>
          <w:b/>
          <w:bCs/>
        </w:rPr>
      </w:pPr>
    </w:p>
    <w:p w14:paraId="10A694F2"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עוד הובהר לנאשם, כי אם לא ימלא אחר כל ההנחיות שיקבל מהממונה על עבודות השירות, ותוגש בקשה להפקעת עונש זה, יוכל בית המשפט לשקול כי הנאשם ירצה יתרת העונש מאחורי סורג ובריח. </w:t>
      </w:r>
    </w:p>
    <w:p w14:paraId="61ACCD12" w14:textId="77777777" w:rsidR="006C61F4" w:rsidRPr="00E673DF" w:rsidRDefault="006C61F4" w:rsidP="006C61F4">
      <w:pPr>
        <w:pStyle w:val="a9"/>
        <w:spacing w:line="360" w:lineRule="auto"/>
        <w:ind w:left="1440"/>
        <w:jc w:val="both"/>
        <w:rPr>
          <w:rFonts w:cs="David"/>
          <w:b/>
          <w:bCs/>
        </w:rPr>
      </w:pPr>
    </w:p>
    <w:p w14:paraId="3D441E7B"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12 חודשי מאסר מותנה למשך שלוש שנים והתנאי שהנאשם לא יעבור עבירת פשע לפי  </w:t>
      </w:r>
      <w:hyperlink r:id="rId31" w:history="1">
        <w:r w:rsidR="00D009C4" w:rsidRPr="00E673DF">
          <w:rPr>
            <w:rFonts w:cs="David" w:hint="cs"/>
            <w:b/>
            <w:bCs/>
            <w:color w:val="0000FF"/>
            <w:u w:val="single"/>
            <w:rtl/>
          </w:rPr>
          <w:t>פקודת</w:t>
        </w:r>
        <w:r w:rsidR="00D009C4" w:rsidRPr="00E673DF">
          <w:rPr>
            <w:rFonts w:cs="David"/>
            <w:b/>
            <w:bCs/>
            <w:color w:val="0000FF"/>
            <w:u w:val="single"/>
            <w:rtl/>
          </w:rPr>
          <w:t xml:space="preserve"> </w:t>
        </w:r>
        <w:r w:rsidR="00D009C4" w:rsidRPr="00E673DF">
          <w:rPr>
            <w:rFonts w:cs="David" w:hint="cs"/>
            <w:b/>
            <w:bCs/>
            <w:color w:val="0000FF"/>
            <w:u w:val="single"/>
            <w:rtl/>
          </w:rPr>
          <w:t>הסמים</w:t>
        </w:r>
        <w:r w:rsidR="00D009C4" w:rsidRPr="00E673DF">
          <w:rPr>
            <w:rFonts w:cs="David"/>
            <w:b/>
            <w:bCs/>
            <w:color w:val="0000FF"/>
            <w:u w:val="single"/>
            <w:rtl/>
          </w:rPr>
          <w:t xml:space="preserve"> </w:t>
        </w:r>
        <w:r w:rsidR="00D009C4" w:rsidRPr="00E673DF">
          <w:rPr>
            <w:rFonts w:cs="David" w:hint="cs"/>
            <w:b/>
            <w:bCs/>
            <w:color w:val="0000FF"/>
            <w:u w:val="single"/>
            <w:rtl/>
          </w:rPr>
          <w:t>המסוכנים</w:t>
        </w:r>
      </w:hyperlink>
      <w:r w:rsidRPr="00E673DF">
        <w:rPr>
          <w:rFonts w:cs="David" w:hint="cs"/>
          <w:b/>
          <w:bCs/>
          <w:rtl/>
        </w:rPr>
        <w:t xml:space="preserve"> </w:t>
      </w:r>
      <w:r w:rsidRPr="00E673DF">
        <w:rPr>
          <w:rFonts w:cs="David"/>
          <w:b/>
          <w:bCs/>
          <w:rtl/>
        </w:rPr>
        <w:t>( נוסח חדש) תשל"ג- 1973</w:t>
      </w:r>
      <w:r w:rsidRPr="00E673DF">
        <w:rPr>
          <w:rFonts w:cs="David" w:hint="cs"/>
          <w:b/>
          <w:bCs/>
          <w:rtl/>
        </w:rPr>
        <w:t xml:space="preserve">. </w:t>
      </w:r>
    </w:p>
    <w:p w14:paraId="79522095" w14:textId="77777777" w:rsidR="006C61F4" w:rsidRPr="00E673DF" w:rsidRDefault="006C61F4" w:rsidP="006C61F4">
      <w:pPr>
        <w:pStyle w:val="a9"/>
        <w:spacing w:line="360" w:lineRule="auto"/>
        <w:ind w:left="1440"/>
        <w:jc w:val="both"/>
        <w:rPr>
          <w:rFonts w:cs="David"/>
          <w:b/>
          <w:bCs/>
        </w:rPr>
      </w:pPr>
    </w:p>
    <w:p w14:paraId="5EB8F468"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6  חודשי מאסר מותנה למשך שלוש שנים והתנאי שהנאשם לא יעבור עבירת עוון לפי  </w:t>
      </w:r>
      <w:hyperlink r:id="rId32" w:history="1">
        <w:r w:rsidR="00D009C4" w:rsidRPr="00E673DF">
          <w:rPr>
            <w:rFonts w:cs="David" w:hint="cs"/>
            <w:b/>
            <w:bCs/>
            <w:color w:val="0000FF"/>
            <w:u w:val="single"/>
            <w:rtl/>
          </w:rPr>
          <w:t>פקודת</w:t>
        </w:r>
        <w:r w:rsidR="00D009C4" w:rsidRPr="00E673DF">
          <w:rPr>
            <w:rFonts w:cs="David"/>
            <w:b/>
            <w:bCs/>
            <w:color w:val="0000FF"/>
            <w:u w:val="single"/>
            <w:rtl/>
          </w:rPr>
          <w:t xml:space="preserve"> </w:t>
        </w:r>
        <w:r w:rsidR="00D009C4" w:rsidRPr="00E673DF">
          <w:rPr>
            <w:rFonts w:cs="David" w:hint="cs"/>
            <w:b/>
            <w:bCs/>
            <w:color w:val="0000FF"/>
            <w:u w:val="single"/>
            <w:rtl/>
          </w:rPr>
          <w:t>הסמים</w:t>
        </w:r>
        <w:r w:rsidR="00D009C4" w:rsidRPr="00E673DF">
          <w:rPr>
            <w:rFonts w:cs="David"/>
            <w:b/>
            <w:bCs/>
            <w:color w:val="0000FF"/>
            <w:u w:val="single"/>
            <w:rtl/>
          </w:rPr>
          <w:t xml:space="preserve"> </w:t>
        </w:r>
        <w:r w:rsidR="00D009C4" w:rsidRPr="00E673DF">
          <w:rPr>
            <w:rFonts w:cs="David" w:hint="cs"/>
            <w:b/>
            <w:bCs/>
            <w:color w:val="0000FF"/>
            <w:u w:val="single"/>
            <w:rtl/>
          </w:rPr>
          <w:t>המסוכנים</w:t>
        </w:r>
      </w:hyperlink>
      <w:r w:rsidRPr="00E673DF">
        <w:rPr>
          <w:rFonts w:cs="David" w:hint="cs"/>
          <w:b/>
          <w:bCs/>
          <w:rtl/>
        </w:rPr>
        <w:t xml:space="preserve"> </w:t>
      </w:r>
      <w:r w:rsidRPr="00E673DF">
        <w:rPr>
          <w:rFonts w:cs="David"/>
          <w:b/>
          <w:bCs/>
          <w:rtl/>
        </w:rPr>
        <w:t>( נוסח חדש) תשל"ג- 1973</w:t>
      </w:r>
      <w:r w:rsidRPr="00E673DF">
        <w:rPr>
          <w:rFonts w:cs="David" w:hint="cs"/>
          <w:b/>
          <w:bCs/>
          <w:rtl/>
        </w:rPr>
        <w:t xml:space="preserve">. </w:t>
      </w:r>
    </w:p>
    <w:p w14:paraId="7885126B" w14:textId="77777777" w:rsidR="006C61F4" w:rsidRPr="00E673DF" w:rsidRDefault="006C61F4" w:rsidP="006C61F4">
      <w:pPr>
        <w:pStyle w:val="a9"/>
        <w:spacing w:line="360" w:lineRule="auto"/>
        <w:ind w:left="1440"/>
        <w:jc w:val="both"/>
        <w:rPr>
          <w:rFonts w:cs="David"/>
          <w:b/>
          <w:bCs/>
        </w:rPr>
      </w:pPr>
    </w:p>
    <w:p w14:paraId="24208E81"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קנס כספי בסך של 4,000 ש״ח. הקנס ישולם ב10 תשלומים שווים ורצופים, החל ביום 10.10.24  ובכל אחד בחודש לאחריו. לא ישולם תשלום במועד, תועמד יתרת הקנס לפירעון מידי. </w:t>
      </w:r>
    </w:p>
    <w:p w14:paraId="1007B99E"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את ההקלה המשמעותית בהתייחס לכך שהסם נמצא בביתו של הנאשם, אך מנגד יזדקק לרכבו כדי להתנהל בעבודתו, לריצוי מאסרו בעבודות השירות, בהמשך מימוש כל תוכנית שיקומית טיפולית, כמו גם כל צורך בבדיקות רפואיות וטיפול ככל שיידרש בהקשר למחלתו, אקיים גם בדרך של הימנעותי מפסילת רישיונו בפועל של הנאשם. </w:t>
      </w:r>
    </w:p>
    <w:p w14:paraId="13689235" w14:textId="77777777" w:rsidR="006C61F4" w:rsidRPr="00E673DF" w:rsidRDefault="006C61F4" w:rsidP="006C61F4">
      <w:pPr>
        <w:pStyle w:val="a9"/>
        <w:spacing w:line="360" w:lineRule="auto"/>
        <w:ind w:left="1440"/>
        <w:jc w:val="both"/>
        <w:rPr>
          <w:rFonts w:cs="David"/>
          <w:b/>
          <w:bCs/>
        </w:rPr>
      </w:pPr>
    </w:p>
    <w:p w14:paraId="2DBDAA63"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התחייבות בסך של 5,000 ₪ שלא יעבור הנאשם עבירה על פי </w:t>
      </w:r>
      <w:hyperlink r:id="rId33" w:history="1">
        <w:r w:rsidR="00D009C4" w:rsidRPr="00E673DF">
          <w:rPr>
            <w:rFonts w:cs="David" w:hint="cs"/>
            <w:b/>
            <w:bCs/>
            <w:color w:val="0000FF"/>
            <w:u w:val="single"/>
            <w:rtl/>
          </w:rPr>
          <w:t>פקודת</w:t>
        </w:r>
        <w:r w:rsidR="00D009C4" w:rsidRPr="00E673DF">
          <w:rPr>
            <w:rFonts w:cs="David"/>
            <w:b/>
            <w:bCs/>
            <w:color w:val="0000FF"/>
            <w:u w:val="single"/>
            <w:rtl/>
          </w:rPr>
          <w:t xml:space="preserve"> </w:t>
        </w:r>
        <w:r w:rsidR="00D009C4" w:rsidRPr="00E673DF">
          <w:rPr>
            <w:rFonts w:cs="David" w:hint="cs"/>
            <w:b/>
            <w:bCs/>
            <w:color w:val="0000FF"/>
            <w:u w:val="single"/>
            <w:rtl/>
          </w:rPr>
          <w:t>הסמים</w:t>
        </w:r>
        <w:r w:rsidR="00D009C4" w:rsidRPr="00E673DF">
          <w:rPr>
            <w:rFonts w:cs="David"/>
            <w:b/>
            <w:bCs/>
            <w:color w:val="0000FF"/>
            <w:u w:val="single"/>
            <w:rtl/>
          </w:rPr>
          <w:t xml:space="preserve"> </w:t>
        </w:r>
        <w:r w:rsidR="00D009C4" w:rsidRPr="00E673DF">
          <w:rPr>
            <w:rFonts w:cs="David" w:hint="cs"/>
            <w:b/>
            <w:bCs/>
            <w:color w:val="0000FF"/>
            <w:u w:val="single"/>
            <w:rtl/>
          </w:rPr>
          <w:t>המסוכנים</w:t>
        </w:r>
      </w:hyperlink>
      <w:r w:rsidRPr="00E673DF">
        <w:rPr>
          <w:rFonts w:cs="David" w:hint="cs"/>
          <w:b/>
          <w:bCs/>
          <w:rtl/>
        </w:rPr>
        <w:t xml:space="preserve">  </w:t>
      </w:r>
      <w:r w:rsidRPr="00E673DF">
        <w:rPr>
          <w:rFonts w:cs="David"/>
          <w:b/>
          <w:bCs/>
          <w:rtl/>
        </w:rPr>
        <w:t>( נוסח חדש) תשל"ג- 1973</w:t>
      </w:r>
      <w:r w:rsidRPr="00E673DF">
        <w:rPr>
          <w:rFonts w:cs="David" w:hint="cs"/>
          <w:b/>
          <w:bCs/>
          <w:rtl/>
        </w:rPr>
        <w:t xml:space="preserve"> במשך 3 שנים מהיום.  </w:t>
      </w:r>
    </w:p>
    <w:p w14:paraId="603E551B" w14:textId="77777777" w:rsidR="006C61F4" w:rsidRPr="00E673DF" w:rsidRDefault="006C61F4" w:rsidP="006C61F4">
      <w:pPr>
        <w:pStyle w:val="a9"/>
        <w:spacing w:line="360" w:lineRule="auto"/>
        <w:ind w:left="1440"/>
        <w:jc w:val="both"/>
        <w:rPr>
          <w:rFonts w:cs="David"/>
          <w:b/>
          <w:bCs/>
        </w:rPr>
      </w:pPr>
    </w:p>
    <w:p w14:paraId="5253CF0A"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אני מורה על שלילת רישיון הנהיגה של הנאשם, שלילה בת 6 חודשים על תנאי, וזאת למשך תקופה של 3 שנים מהיום, והתנאי שלא יעבור במשך תקופת התנאי כל עבירה על </w:t>
      </w:r>
      <w:hyperlink r:id="rId34" w:history="1">
        <w:r w:rsidR="00D009C4" w:rsidRPr="00E673DF">
          <w:rPr>
            <w:rFonts w:cs="David" w:hint="cs"/>
            <w:b/>
            <w:bCs/>
            <w:color w:val="0000FF"/>
            <w:u w:val="single"/>
            <w:rtl/>
          </w:rPr>
          <w:t>פקודת</w:t>
        </w:r>
        <w:r w:rsidR="00D009C4" w:rsidRPr="00E673DF">
          <w:rPr>
            <w:rFonts w:cs="David"/>
            <w:b/>
            <w:bCs/>
            <w:color w:val="0000FF"/>
            <w:u w:val="single"/>
            <w:rtl/>
          </w:rPr>
          <w:t xml:space="preserve"> </w:t>
        </w:r>
        <w:r w:rsidR="00D009C4" w:rsidRPr="00E673DF">
          <w:rPr>
            <w:rFonts w:cs="David" w:hint="cs"/>
            <w:b/>
            <w:bCs/>
            <w:color w:val="0000FF"/>
            <w:u w:val="single"/>
            <w:rtl/>
          </w:rPr>
          <w:t>הסמים</w:t>
        </w:r>
        <w:r w:rsidR="00D009C4" w:rsidRPr="00E673DF">
          <w:rPr>
            <w:rFonts w:cs="David"/>
            <w:b/>
            <w:bCs/>
            <w:color w:val="0000FF"/>
            <w:u w:val="single"/>
            <w:rtl/>
          </w:rPr>
          <w:t xml:space="preserve"> </w:t>
        </w:r>
        <w:r w:rsidR="00D009C4" w:rsidRPr="00E673DF">
          <w:rPr>
            <w:rFonts w:cs="David" w:hint="cs"/>
            <w:b/>
            <w:bCs/>
            <w:color w:val="0000FF"/>
            <w:u w:val="single"/>
            <w:rtl/>
          </w:rPr>
          <w:t>המסוכנים</w:t>
        </w:r>
      </w:hyperlink>
      <w:r w:rsidRPr="00E673DF">
        <w:rPr>
          <w:rFonts w:cs="David" w:hint="cs"/>
          <w:b/>
          <w:bCs/>
          <w:rtl/>
        </w:rPr>
        <w:t xml:space="preserve"> </w:t>
      </w:r>
      <w:r w:rsidRPr="00E673DF">
        <w:rPr>
          <w:rFonts w:cs="David"/>
          <w:b/>
          <w:bCs/>
          <w:rtl/>
        </w:rPr>
        <w:t>( נוסח חדש) תשל"ג- 1973</w:t>
      </w:r>
      <w:r w:rsidRPr="00E673DF">
        <w:rPr>
          <w:rFonts w:cs="David" w:hint="cs"/>
          <w:b/>
          <w:bCs/>
          <w:rtl/>
        </w:rPr>
        <w:t xml:space="preserve">. </w:t>
      </w:r>
    </w:p>
    <w:p w14:paraId="743A917D" w14:textId="77777777" w:rsidR="006C61F4" w:rsidRPr="00E673DF" w:rsidRDefault="006C61F4" w:rsidP="006C61F4">
      <w:pPr>
        <w:pStyle w:val="a9"/>
        <w:rPr>
          <w:rFonts w:cs="David"/>
          <w:b/>
          <w:bCs/>
          <w:rtl/>
        </w:rPr>
      </w:pPr>
    </w:p>
    <w:p w14:paraId="05EC66F8" w14:textId="77777777" w:rsidR="006C61F4" w:rsidRPr="00E673DF" w:rsidRDefault="006C61F4" w:rsidP="006C61F4">
      <w:pPr>
        <w:pStyle w:val="a9"/>
        <w:numPr>
          <w:ilvl w:val="0"/>
          <w:numId w:val="1"/>
        </w:numPr>
        <w:spacing w:line="360" w:lineRule="auto"/>
        <w:jc w:val="both"/>
        <w:rPr>
          <w:rFonts w:cs="David"/>
          <w:b/>
          <w:bCs/>
        </w:rPr>
      </w:pPr>
      <w:r w:rsidRPr="00E673DF">
        <w:rPr>
          <w:rFonts w:cs="David" w:hint="cs"/>
          <w:b/>
          <w:bCs/>
          <w:rtl/>
        </w:rPr>
        <w:t xml:space="preserve">הסם נושא תיק זה, יושמד לפי שיקול דעת קצין החקירות. ככל שקיימים מוצגים כגון טלפון וכסף יושבו אלה לידי הנאשם על ידי הקצין הממונה על החקירה. </w:t>
      </w:r>
    </w:p>
    <w:p w14:paraId="5936E3A0" w14:textId="77777777" w:rsidR="006C61F4" w:rsidRPr="00E673DF" w:rsidRDefault="006C61F4" w:rsidP="006C61F4">
      <w:pPr>
        <w:pStyle w:val="a9"/>
        <w:rPr>
          <w:rFonts w:cs="David"/>
          <w:b/>
          <w:bCs/>
          <w:rtl/>
        </w:rPr>
      </w:pPr>
    </w:p>
    <w:p w14:paraId="29C75F6C" w14:textId="77777777" w:rsidR="006C61F4" w:rsidRPr="00E673DF" w:rsidRDefault="006C61F4" w:rsidP="006C61F4">
      <w:pPr>
        <w:pStyle w:val="a9"/>
        <w:spacing w:line="360" w:lineRule="auto"/>
        <w:ind w:left="1440"/>
        <w:jc w:val="both"/>
        <w:rPr>
          <w:rFonts w:cs="David"/>
          <w:b/>
          <w:bCs/>
        </w:rPr>
      </w:pPr>
    </w:p>
    <w:p w14:paraId="60A47418" w14:textId="77777777" w:rsidR="006C61F4" w:rsidRPr="00E673DF" w:rsidRDefault="006C61F4" w:rsidP="006C61F4">
      <w:pPr>
        <w:spacing w:line="360" w:lineRule="auto"/>
        <w:ind w:left="720"/>
        <w:jc w:val="both"/>
        <w:rPr>
          <w:sz w:val="22"/>
          <w:szCs w:val="22"/>
          <w:rtl/>
        </w:rPr>
      </w:pPr>
      <w:r w:rsidRPr="00E673DF">
        <w:rPr>
          <w:rFonts w:hint="cs"/>
          <w:sz w:val="22"/>
          <w:szCs w:val="22"/>
          <w:rtl/>
        </w:rPr>
        <w:t>גזר הדין יועבר על ידי המזכירות לממונה על עבודות השירות .</w:t>
      </w:r>
    </w:p>
    <w:p w14:paraId="2006AFF6" w14:textId="77777777" w:rsidR="006C61F4" w:rsidRPr="00E673DF" w:rsidRDefault="006C61F4" w:rsidP="006C61F4">
      <w:pPr>
        <w:spacing w:line="360" w:lineRule="auto"/>
        <w:ind w:left="720"/>
        <w:jc w:val="both"/>
        <w:rPr>
          <w:sz w:val="22"/>
          <w:szCs w:val="22"/>
          <w:rtl/>
        </w:rPr>
      </w:pPr>
    </w:p>
    <w:p w14:paraId="3B9931C8" w14:textId="77777777" w:rsidR="006C61F4" w:rsidRPr="00E673DF" w:rsidRDefault="006C61F4" w:rsidP="006C61F4">
      <w:pPr>
        <w:spacing w:line="360" w:lineRule="auto"/>
        <w:ind w:left="720"/>
        <w:jc w:val="both"/>
        <w:rPr>
          <w:sz w:val="22"/>
          <w:szCs w:val="22"/>
          <w:rtl/>
        </w:rPr>
      </w:pPr>
      <w:r w:rsidRPr="00E673DF">
        <w:rPr>
          <w:rFonts w:hint="cs"/>
          <w:sz w:val="22"/>
          <w:szCs w:val="22"/>
          <w:rtl/>
        </w:rPr>
        <w:t xml:space="preserve">גזר הדין יועבר על ידי המזכירות לידי שירות המבחן . </w:t>
      </w:r>
    </w:p>
    <w:p w14:paraId="7F178F15" w14:textId="77777777" w:rsidR="006C61F4" w:rsidRPr="00E673DF" w:rsidRDefault="006C61F4" w:rsidP="006C61F4">
      <w:pPr>
        <w:spacing w:line="360" w:lineRule="auto"/>
        <w:jc w:val="both"/>
        <w:rPr>
          <w:sz w:val="22"/>
          <w:szCs w:val="22"/>
          <w:rtl/>
        </w:rPr>
      </w:pPr>
    </w:p>
    <w:p w14:paraId="45D91922" w14:textId="77777777" w:rsidR="006C61F4" w:rsidRPr="00E673DF" w:rsidRDefault="006C61F4" w:rsidP="006C61F4">
      <w:pPr>
        <w:spacing w:line="360" w:lineRule="auto"/>
        <w:ind w:left="720"/>
        <w:jc w:val="both"/>
        <w:rPr>
          <w:sz w:val="22"/>
          <w:szCs w:val="22"/>
          <w:rtl/>
        </w:rPr>
      </w:pPr>
      <w:r w:rsidRPr="00E673DF">
        <w:rPr>
          <w:rFonts w:hint="cs"/>
          <w:sz w:val="22"/>
          <w:szCs w:val="22"/>
          <w:rtl/>
        </w:rPr>
        <w:t xml:space="preserve">גם בא כוח הנאשם המלומד באדיבותו, יוודא עדכון הגורמים הציבוריים הרלוונטיים הנ"ל בגזר הדין. </w:t>
      </w:r>
    </w:p>
    <w:p w14:paraId="34A5F49C" w14:textId="77777777" w:rsidR="006C61F4" w:rsidRPr="00E673DF" w:rsidRDefault="00D009C4" w:rsidP="006C61F4">
      <w:pPr>
        <w:spacing w:line="360" w:lineRule="auto"/>
        <w:ind w:left="720"/>
        <w:jc w:val="both"/>
        <w:rPr>
          <w:color w:val="FFFFFF"/>
          <w:sz w:val="2"/>
          <w:szCs w:val="2"/>
        </w:rPr>
      </w:pPr>
      <w:r w:rsidRPr="00E673DF">
        <w:rPr>
          <w:color w:val="FFFFFF"/>
          <w:sz w:val="2"/>
          <w:szCs w:val="2"/>
          <w:rtl/>
        </w:rPr>
        <w:t>5129371</w:t>
      </w:r>
    </w:p>
    <w:p w14:paraId="5DA5D48B" w14:textId="77777777" w:rsidR="006C61F4" w:rsidRPr="00E673DF" w:rsidRDefault="00D009C4" w:rsidP="006C61F4">
      <w:pPr>
        <w:spacing w:line="360" w:lineRule="auto"/>
        <w:rPr>
          <w:rFonts w:ascii="Arial" w:hAnsi="Arial"/>
          <w:sz w:val="22"/>
          <w:szCs w:val="22"/>
          <w:rtl/>
        </w:rPr>
      </w:pPr>
      <w:r w:rsidRPr="00E673DF">
        <w:rPr>
          <w:rFonts w:ascii="Arial" w:hAnsi="Arial"/>
          <w:color w:val="FFFFFF"/>
          <w:sz w:val="2"/>
          <w:szCs w:val="2"/>
          <w:rtl/>
        </w:rPr>
        <w:t>54678313</w:t>
      </w:r>
      <w:r w:rsidR="006C61F4" w:rsidRPr="00E673DF">
        <w:rPr>
          <w:rFonts w:ascii="Arial" w:hAnsi="Arial" w:hint="cs"/>
          <w:sz w:val="22"/>
          <w:szCs w:val="22"/>
          <w:rtl/>
        </w:rPr>
        <w:t>זכות ערעור כחוק</w:t>
      </w:r>
    </w:p>
    <w:p w14:paraId="3DD7CA76" w14:textId="77777777" w:rsidR="006C61F4" w:rsidRPr="00E673DF" w:rsidRDefault="006C61F4" w:rsidP="006C61F4">
      <w:pPr>
        <w:spacing w:line="360" w:lineRule="auto"/>
        <w:rPr>
          <w:rFonts w:ascii="Arial" w:hAnsi="Arial"/>
          <w:b/>
          <w:bCs/>
          <w:sz w:val="22"/>
          <w:szCs w:val="22"/>
          <w:rtl/>
        </w:rPr>
      </w:pPr>
    </w:p>
    <w:p w14:paraId="1A7EF546" w14:textId="77777777" w:rsidR="006C61F4" w:rsidRPr="00E673DF" w:rsidRDefault="00D009C4" w:rsidP="006C61F4">
      <w:pPr>
        <w:spacing w:line="360" w:lineRule="auto"/>
        <w:jc w:val="both"/>
        <w:rPr>
          <w:rFonts w:ascii="Arial" w:hAnsi="Arial"/>
          <w:b/>
          <w:bCs/>
          <w:sz w:val="22"/>
          <w:szCs w:val="22"/>
          <w:rtl/>
        </w:rPr>
      </w:pPr>
      <w:bookmarkStart w:id="8" w:name="Nitan"/>
      <w:r w:rsidRPr="00E673DF">
        <w:rPr>
          <w:rFonts w:ascii="Arial" w:hAnsi="Arial"/>
          <w:b/>
          <w:bCs/>
          <w:sz w:val="22"/>
          <w:szCs w:val="22"/>
          <w:rtl/>
        </w:rPr>
        <w:t xml:space="preserve">ניתן היום,  ב' אדר א' תשפ"ד, 11 פברואר 2024, בהעדר הצדדים. </w:t>
      </w:r>
      <w:bookmarkEnd w:id="8"/>
      <w:r w:rsidR="006C61F4" w:rsidRPr="00E673DF">
        <w:rPr>
          <w:rFonts w:ascii="Arial" w:hAnsi="Arial"/>
          <w:b/>
          <w:bCs/>
          <w:sz w:val="22"/>
          <w:szCs w:val="22"/>
          <w:rtl/>
        </w:rPr>
        <w:tab/>
      </w:r>
      <w:r w:rsidR="006C61F4" w:rsidRPr="00E673DF">
        <w:rPr>
          <w:rFonts w:ascii="Arial" w:hAnsi="Arial"/>
          <w:b/>
          <w:bCs/>
          <w:sz w:val="22"/>
          <w:szCs w:val="22"/>
          <w:rtl/>
        </w:rPr>
        <w:tab/>
      </w:r>
      <w:r w:rsidR="006C61F4" w:rsidRPr="00E673DF">
        <w:rPr>
          <w:rFonts w:ascii="Arial" w:hAnsi="Arial"/>
          <w:b/>
          <w:bCs/>
          <w:sz w:val="22"/>
          <w:szCs w:val="22"/>
          <w:rtl/>
        </w:rPr>
        <w:tab/>
      </w:r>
      <w:r w:rsidR="006C61F4" w:rsidRPr="00E673DF">
        <w:rPr>
          <w:rFonts w:ascii="Arial" w:hAnsi="Arial"/>
          <w:b/>
          <w:bCs/>
          <w:sz w:val="22"/>
          <w:szCs w:val="22"/>
          <w:rtl/>
        </w:rPr>
        <w:tab/>
      </w:r>
      <w:r w:rsidR="006C61F4" w:rsidRPr="00E673DF">
        <w:rPr>
          <w:rFonts w:ascii="Arial" w:hAnsi="Arial"/>
          <w:b/>
          <w:bCs/>
          <w:sz w:val="22"/>
          <w:szCs w:val="22"/>
          <w:rtl/>
        </w:rPr>
        <w:tab/>
      </w:r>
      <w:r w:rsidR="006C61F4" w:rsidRPr="00E673DF">
        <w:rPr>
          <w:rFonts w:ascii="Arial" w:hAnsi="Arial"/>
          <w:b/>
          <w:bCs/>
          <w:sz w:val="22"/>
          <w:szCs w:val="22"/>
          <w:rtl/>
        </w:rPr>
        <w:tab/>
      </w:r>
      <w:r w:rsidR="006C61F4" w:rsidRPr="00E673DF">
        <w:rPr>
          <w:rFonts w:ascii="Arial" w:hAnsi="Arial"/>
          <w:b/>
          <w:bCs/>
          <w:sz w:val="22"/>
          <w:szCs w:val="22"/>
          <w:rtl/>
        </w:rPr>
        <w:tab/>
      </w:r>
      <w:r w:rsidR="006C61F4" w:rsidRPr="00E673DF">
        <w:rPr>
          <w:rFonts w:ascii="Arial" w:hAnsi="Arial" w:hint="cs"/>
          <w:b/>
          <w:bCs/>
          <w:sz w:val="22"/>
          <w:szCs w:val="22"/>
          <w:rtl/>
        </w:rPr>
        <w:t xml:space="preserve">         </w:t>
      </w:r>
    </w:p>
    <w:p w14:paraId="13944132" w14:textId="77777777" w:rsidR="006C61F4" w:rsidRPr="00E673DF" w:rsidRDefault="006C61F4" w:rsidP="00D009C4">
      <w:pPr>
        <w:spacing w:line="360" w:lineRule="auto"/>
        <w:jc w:val="center"/>
      </w:pPr>
      <w:r w:rsidRPr="00E673DF">
        <w:rPr>
          <w:rFonts w:ascii="Arial" w:hAnsi="Arial"/>
          <w:b/>
          <w:bCs/>
          <w:sz w:val="22"/>
          <w:szCs w:val="22"/>
          <w:rtl/>
        </w:rPr>
        <w:t xml:space="preserve">   </w:t>
      </w:r>
      <w:r w:rsidRPr="00E673DF">
        <w:rPr>
          <w:rFonts w:ascii="Arial" w:hAnsi="Arial"/>
          <w:b/>
          <w:bCs/>
          <w:sz w:val="22"/>
          <w:szCs w:val="22"/>
          <w:rtl/>
        </w:rPr>
        <w:tab/>
      </w:r>
      <w:r w:rsidRPr="00E673DF">
        <w:rPr>
          <w:rFonts w:ascii="Arial" w:hAnsi="Arial"/>
          <w:b/>
          <w:bCs/>
          <w:sz w:val="22"/>
          <w:szCs w:val="22"/>
          <w:rtl/>
        </w:rPr>
        <w:tab/>
      </w:r>
      <w:r w:rsidRPr="00E673DF">
        <w:rPr>
          <w:rFonts w:ascii="Arial" w:hAnsi="Arial"/>
          <w:b/>
          <w:bCs/>
          <w:sz w:val="22"/>
          <w:szCs w:val="22"/>
          <w:rtl/>
        </w:rPr>
        <w:tab/>
      </w:r>
      <w:r w:rsidRPr="00E673DF">
        <w:rPr>
          <w:rFonts w:ascii="Arial" w:hAnsi="Arial"/>
          <w:b/>
          <w:bCs/>
          <w:sz w:val="22"/>
          <w:szCs w:val="22"/>
          <w:rtl/>
        </w:rPr>
        <w:tab/>
      </w:r>
      <w:r w:rsidRPr="00E673DF">
        <w:rPr>
          <w:rFonts w:ascii="Arial" w:hAnsi="Arial"/>
          <w:b/>
          <w:bCs/>
          <w:sz w:val="22"/>
          <w:szCs w:val="22"/>
          <w:rtl/>
        </w:rPr>
        <w:tab/>
      </w:r>
    </w:p>
    <w:p w14:paraId="3995C892" w14:textId="77777777" w:rsidR="006C61F4" w:rsidRPr="00E673DF" w:rsidRDefault="006C61F4" w:rsidP="006C61F4">
      <w:pPr>
        <w:spacing w:line="360" w:lineRule="auto"/>
        <w:jc w:val="center"/>
        <w:rPr>
          <w:rFonts w:ascii="Arial" w:hAnsi="Arial"/>
          <w:b/>
          <w:bCs/>
          <w:sz w:val="22"/>
          <w:szCs w:val="22"/>
          <w:rtl/>
        </w:rPr>
      </w:pPr>
    </w:p>
    <w:p w14:paraId="423C65BA" w14:textId="77777777" w:rsidR="00113E92" w:rsidRPr="00E673DF" w:rsidRDefault="00113E92" w:rsidP="00D009C4">
      <w:pPr>
        <w:keepNext/>
        <w:rPr>
          <w:rFonts w:ascii="David" w:hAnsi="David"/>
          <w:color w:val="000000"/>
          <w:sz w:val="22"/>
          <w:szCs w:val="22"/>
          <w:rtl/>
        </w:rPr>
      </w:pPr>
    </w:p>
    <w:p w14:paraId="22175E7F" w14:textId="77777777" w:rsidR="00D009C4" w:rsidRPr="00E673DF" w:rsidRDefault="00D009C4" w:rsidP="00D009C4">
      <w:pPr>
        <w:keepNext/>
        <w:rPr>
          <w:rFonts w:ascii="David" w:hAnsi="David"/>
          <w:color w:val="000000"/>
          <w:sz w:val="22"/>
          <w:szCs w:val="22"/>
          <w:rtl/>
        </w:rPr>
      </w:pPr>
      <w:r w:rsidRPr="00E673DF">
        <w:rPr>
          <w:rFonts w:ascii="David" w:hAnsi="David"/>
          <w:color w:val="000000"/>
          <w:sz w:val="22"/>
          <w:szCs w:val="22"/>
          <w:rtl/>
        </w:rPr>
        <w:t>אריה דורני דורון 54678313</w:t>
      </w:r>
    </w:p>
    <w:p w14:paraId="75910460" w14:textId="77777777" w:rsidR="00D009C4" w:rsidRPr="00E673DF" w:rsidRDefault="00D009C4" w:rsidP="00D009C4">
      <w:r w:rsidRPr="00E673DF">
        <w:rPr>
          <w:color w:val="000000"/>
          <w:rtl/>
        </w:rPr>
        <w:t>נוסח מסמך זה כפוף לשינויי ניסוח ועריכה</w:t>
      </w:r>
    </w:p>
    <w:p w14:paraId="5761D9B3" w14:textId="77777777" w:rsidR="00D009C4" w:rsidRPr="00E673DF" w:rsidRDefault="00D009C4" w:rsidP="00D009C4">
      <w:pPr>
        <w:rPr>
          <w:rtl/>
        </w:rPr>
      </w:pPr>
    </w:p>
    <w:p w14:paraId="5FE9878F" w14:textId="77777777" w:rsidR="00D009C4" w:rsidRPr="00E673DF" w:rsidRDefault="00D009C4" w:rsidP="00D009C4">
      <w:pPr>
        <w:jc w:val="center"/>
        <w:rPr>
          <w:color w:val="0000FF"/>
          <w:u w:val="single"/>
        </w:rPr>
      </w:pPr>
      <w:hyperlink r:id="rId35" w:history="1">
        <w:r w:rsidRPr="00E673DF">
          <w:rPr>
            <w:color w:val="0000FF"/>
            <w:u w:val="single"/>
            <w:rtl/>
          </w:rPr>
          <w:t>בעניין עריכה ושינויים במסמכי פסיקה, חקיקה ועוד באתר נבו – הקש כאן</w:t>
        </w:r>
      </w:hyperlink>
    </w:p>
    <w:p w14:paraId="1D02697E" w14:textId="77777777" w:rsidR="00D009C4" w:rsidRPr="00E673DF" w:rsidRDefault="00D009C4" w:rsidP="00D009C4">
      <w:pPr>
        <w:jc w:val="center"/>
        <w:rPr>
          <w:color w:val="0000FF"/>
          <w:u w:val="single"/>
        </w:rPr>
      </w:pPr>
    </w:p>
    <w:sectPr w:rsidR="00D009C4" w:rsidRPr="00E673DF" w:rsidSect="00D009C4">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9BB0E" w14:textId="77777777" w:rsidR="00373021" w:rsidRDefault="00373021" w:rsidP="005374DE">
      <w:r>
        <w:separator/>
      </w:r>
    </w:p>
  </w:endnote>
  <w:endnote w:type="continuationSeparator" w:id="0">
    <w:p w14:paraId="6E543D3E" w14:textId="77777777" w:rsidR="00373021" w:rsidRDefault="00373021" w:rsidP="00537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2213" w14:textId="77777777" w:rsidR="00D009C4" w:rsidRDefault="00D009C4" w:rsidP="00D009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321CDB" w14:textId="77777777" w:rsidR="00B951F0" w:rsidRPr="00D009C4" w:rsidRDefault="00D009C4" w:rsidP="00D009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DC28B" w14:textId="77777777" w:rsidR="00D009C4" w:rsidRDefault="00D009C4" w:rsidP="00D009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6A98">
      <w:rPr>
        <w:rFonts w:ascii="FrankRuehl" w:hAnsi="FrankRuehl" w:cs="FrankRuehl"/>
        <w:noProof/>
        <w:rtl/>
      </w:rPr>
      <w:t>1</w:t>
    </w:r>
    <w:r>
      <w:rPr>
        <w:rFonts w:ascii="FrankRuehl" w:hAnsi="FrankRuehl" w:cs="FrankRuehl"/>
        <w:rtl/>
      </w:rPr>
      <w:fldChar w:fldCharType="end"/>
    </w:r>
  </w:p>
  <w:p w14:paraId="78CD46E7" w14:textId="77777777" w:rsidR="00B951F0" w:rsidRPr="00D009C4" w:rsidRDefault="00D009C4" w:rsidP="00D009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39C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40459" w14:textId="77777777" w:rsidR="00373021" w:rsidRDefault="00373021" w:rsidP="005374DE">
      <w:r>
        <w:separator/>
      </w:r>
    </w:p>
  </w:footnote>
  <w:footnote w:type="continuationSeparator" w:id="0">
    <w:p w14:paraId="45281FEB" w14:textId="77777777" w:rsidR="00373021" w:rsidRDefault="00373021" w:rsidP="00537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16CCF" w14:textId="77777777" w:rsidR="00D009C4" w:rsidRPr="00D009C4" w:rsidRDefault="00D009C4" w:rsidP="00D009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9225-11-21</w:t>
    </w:r>
    <w:r>
      <w:rPr>
        <w:rFonts w:ascii="David" w:hAnsi="David"/>
        <w:color w:val="000000"/>
        <w:sz w:val="22"/>
        <w:szCs w:val="22"/>
        <w:rtl/>
      </w:rPr>
      <w:tab/>
      <w:t xml:space="preserve"> מדינת ישראל נ' עאטף אבו כף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6FDFF" w14:textId="77777777" w:rsidR="00D009C4" w:rsidRPr="00D009C4" w:rsidRDefault="00D009C4" w:rsidP="00D009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9225-11-21</w:t>
    </w:r>
    <w:r>
      <w:rPr>
        <w:rFonts w:ascii="David" w:hAnsi="David"/>
        <w:color w:val="000000"/>
        <w:sz w:val="22"/>
        <w:szCs w:val="22"/>
        <w:rtl/>
      </w:rPr>
      <w:tab/>
      <w:t xml:space="preserve"> מדינת ישראל נ' עאטף אבו כף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B15E6"/>
    <w:multiLevelType w:val="hybridMultilevel"/>
    <w:tmpl w:val="2F80D284"/>
    <w:lvl w:ilvl="0" w:tplc="CBC491C4">
      <w:start w:val="1"/>
      <w:numFmt w:val="hebrew1"/>
      <w:lvlText w:val="%1."/>
      <w:lvlJc w:val="left"/>
      <w:pPr>
        <w:ind w:left="1440" w:hanging="360"/>
      </w:pPr>
      <w:rPr>
        <w:rFonts w:hint="default"/>
      </w:rPr>
    </w:lvl>
    <w:lvl w:ilvl="1" w:tplc="8BEE9374">
      <w:start w:val="1"/>
      <w:numFmt w:val="lowerLetter"/>
      <w:lvlText w:val="%2."/>
      <w:lvlJc w:val="left"/>
      <w:pPr>
        <w:ind w:left="2160" w:hanging="360"/>
      </w:pPr>
    </w:lvl>
    <w:lvl w:ilvl="2" w:tplc="457C1D1C" w:tentative="1">
      <w:start w:val="1"/>
      <w:numFmt w:val="lowerRoman"/>
      <w:lvlText w:val="%3."/>
      <w:lvlJc w:val="right"/>
      <w:pPr>
        <w:ind w:left="2880" w:hanging="180"/>
      </w:pPr>
    </w:lvl>
    <w:lvl w:ilvl="3" w:tplc="2918CD36" w:tentative="1">
      <w:start w:val="1"/>
      <w:numFmt w:val="decimal"/>
      <w:lvlText w:val="%4."/>
      <w:lvlJc w:val="left"/>
      <w:pPr>
        <w:ind w:left="3600" w:hanging="360"/>
      </w:pPr>
    </w:lvl>
    <w:lvl w:ilvl="4" w:tplc="3E04946A" w:tentative="1">
      <w:start w:val="1"/>
      <w:numFmt w:val="lowerLetter"/>
      <w:lvlText w:val="%5."/>
      <w:lvlJc w:val="left"/>
      <w:pPr>
        <w:ind w:left="4320" w:hanging="360"/>
      </w:pPr>
    </w:lvl>
    <w:lvl w:ilvl="5" w:tplc="162AD292" w:tentative="1">
      <w:start w:val="1"/>
      <w:numFmt w:val="lowerRoman"/>
      <w:lvlText w:val="%6."/>
      <w:lvlJc w:val="right"/>
      <w:pPr>
        <w:ind w:left="5040" w:hanging="180"/>
      </w:pPr>
    </w:lvl>
    <w:lvl w:ilvl="6" w:tplc="DA9C233C" w:tentative="1">
      <w:start w:val="1"/>
      <w:numFmt w:val="decimal"/>
      <w:lvlText w:val="%7."/>
      <w:lvlJc w:val="left"/>
      <w:pPr>
        <w:ind w:left="5760" w:hanging="360"/>
      </w:pPr>
    </w:lvl>
    <w:lvl w:ilvl="7" w:tplc="287A30E0" w:tentative="1">
      <w:start w:val="1"/>
      <w:numFmt w:val="lowerLetter"/>
      <w:lvlText w:val="%8."/>
      <w:lvlJc w:val="left"/>
      <w:pPr>
        <w:ind w:left="6480" w:hanging="360"/>
      </w:pPr>
    </w:lvl>
    <w:lvl w:ilvl="8" w:tplc="79A8B376" w:tentative="1">
      <w:start w:val="1"/>
      <w:numFmt w:val="lowerRoman"/>
      <w:lvlText w:val="%9."/>
      <w:lvlJc w:val="right"/>
      <w:pPr>
        <w:ind w:left="7200" w:hanging="180"/>
      </w:pPr>
    </w:lvl>
  </w:abstractNum>
  <w:abstractNum w:abstractNumId="1" w15:restartNumberingAfterBreak="0">
    <w:nsid w:val="55706B98"/>
    <w:multiLevelType w:val="hybridMultilevel"/>
    <w:tmpl w:val="E07EB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011368">
    <w:abstractNumId w:val="0"/>
  </w:num>
  <w:num w:numId="2" w16cid:durableId="1923903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61F4"/>
    <w:rsid w:val="00113E92"/>
    <w:rsid w:val="001B5A3B"/>
    <w:rsid w:val="00373021"/>
    <w:rsid w:val="005374DE"/>
    <w:rsid w:val="005B793D"/>
    <w:rsid w:val="006A6A98"/>
    <w:rsid w:val="006C61F4"/>
    <w:rsid w:val="006F010F"/>
    <w:rsid w:val="008E46D6"/>
    <w:rsid w:val="00A30D37"/>
    <w:rsid w:val="00B951F0"/>
    <w:rsid w:val="00D009C4"/>
    <w:rsid w:val="00DF0D69"/>
    <w:rsid w:val="00E673DF"/>
    <w:rsid w:val="00F520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3720BF"/>
  <w15:chartTrackingRefBased/>
  <w15:docId w15:val="{CE1D63DA-0130-4457-82D5-56428F2E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61F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61F4"/>
    <w:pPr>
      <w:tabs>
        <w:tab w:val="center" w:pos="4153"/>
        <w:tab w:val="right" w:pos="8306"/>
      </w:tabs>
    </w:pPr>
  </w:style>
  <w:style w:type="character" w:customStyle="1" w:styleId="a4">
    <w:name w:val="כותרת עליונה תו"/>
    <w:link w:val="a3"/>
    <w:rsid w:val="006C61F4"/>
    <w:rPr>
      <w:rFonts w:ascii="Times New Roman" w:eastAsia="Times New Roman" w:hAnsi="Times New Roman" w:cs="David"/>
      <w:sz w:val="24"/>
      <w:szCs w:val="24"/>
    </w:rPr>
  </w:style>
  <w:style w:type="paragraph" w:styleId="a5">
    <w:name w:val="footer"/>
    <w:basedOn w:val="a"/>
    <w:link w:val="a6"/>
    <w:rsid w:val="006C61F4"/>
    <w:pPr>
      <w:tabs>
        <w:tab w:val="center" w:pos="4153"/>
        <w:tab w:val="right" w:pos="8306"/>
      </w:tabs>
    </w:pPr>
  </w:style>
  <w:style w:type="character" w:customStyle="1" w:styleId="a6">
    <w:name w:val="כותרת תחתונה תו"/>
    <w:link w:val="a5"/>
    <w:rsid w:val="006C61F4"/>
    <w:rPr>
      <w:rFonts w:ascii="Times New Roman" w:eastAsia="Times New Roman" w:hAnsi="Times New Roman" w:cs="David"/>
      <w:sz w:val="24"/>
      <w:szCs w:val="24"/>
    </w:rPr>
  </w:style>
  <w:style w:type="table" w:styleId="a7">
    <w:name w:val="Table Grid"/>
    <w:basedOn w:val="a1"/>
    <w:rsid w:val="006C61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61F4"/>
  </w:style>
  <w:style w:type="paragraph" w:styleId="a9">
    <w:name w:val="List Paragraph"/>
    <w:basedOn w:val="a"/>
    <w:link w:val="aa"/>
    <w:qFormat/>
    <w:rsid w:val="006C61F4"/>
    <w:pPr>
      <w:spacing w:after="160" w:line="259" w:lineRule="auto"/>
      <w:ind w:left="720"/>
      <w:contextualSpacing/>
    </w:pPr>
    <w:rPr>
      <w:rFonts w:ascii="Calibri" w:eastAsia="Calibri" w:hAnsi="Calibri" w:cs="Arial"/>
      <w:sz w:val="22"/>
      <w:szCs w:val="22"/>
    </w:rPr>
  </w:style>
  <w:style w:type="character" w:customStyle="1" w:styleId="aa">
    <w:name w:val="פיסקת רשימה תו"/>
    <w:link w:val="a9"/>
    <w:locked/>
    <w:rsid w:val="006C61F4"/>
    <w:rPr>
      <w:rFonts w:ascii="Calibri" w:eastAsia="Calibri" w:hAnsi="Calibri" w:cs="Arial"/>
    </w:rPr>
  </w:style>
  <w:style w:type="character" w:styleId="Hyperlink">
    <w:name w:val="Hyperlink"/>
    <w:rsid w:val="00D00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1924102" TargetMode="External"/><Relationship Id="rId26" Type="http://schemas.openxmlformats.org/officeDocument/2006/relationships/hyperlink" Target="http://www.nevo.co.il/case/29209115" TargetMode="External"/><Relationship Id="rId39" Type="http://schemas.openxmlformats.org/officeDocument/2006/relationships/footer" Target="footer2.xml"/><Relationship Id="rId21" Type="http://schemas.openxmlformats.org/officeDocument/2006/relationships/hyperlink" Target="http://www.nevo.co.il/case/5738608"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8118326"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40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2128021"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8118326" TargetMode="External"/><Relationship Id="rId28" Type="http://schemas.openxmlformats.org/officeDocument/2006/relationships/hyperlink" Target="http://www.nevo.co.il/case/5601732" TargetMode="External"/><Relationship Id="rId36" Type="http://schemas.openxmlformats.org/officeDocument/2006/relationships/header" Target="header1.xml"/><Relationship Id="rId10" Type="http://schemas.openxmlformats.org/officeDocument/2006/relationships/hyperlink" Target="http://www.nevo.co.il/law/4216/37" TargetMode="External"/><Relationship Id="rId19" Type="http://schemas.openxmlformats.org/officeDocument/2006/relationships/hyperlink" Target="http://www.nevo.co.il/law/4216/37"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6169989" TargetMode="External"/><Relationship Id="rId27" Type="http://schemas.openxmlformats.org/officeDocument/2006/relationships/hyperlink" Target="http://www.nevo.co.il/case/7709308" TargetMode="External"/><Relationship Id="rId30" Type="http://schemas.openxmlformats.org/officeDocument/2006/relationships/hyperlink" Target="http://www.nevo.co.il/case/1700094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case/11259435" TargetMode="External"/><Relationship Id="rId25" Type="http://schemas.openxmlformats.org/officeDocument/2006/relationships/hyperlink" Target="http://www.nevo.co.il/case/21592697"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2469</Words>
  <Characters>12349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14789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3473530</vt:i4>
      </vt:variant>
      <vt:variant>
        <vt:i4>69</vt:i4>
      </vt:variant>
      <vt:variant>
        <vt:i4>0</vt:i4>
      </vt:variant>
      <vt:variant>
        <vt:i4>5</vt:i4>
      </vt:variant>
      <vt:variant>
        <vt:lpwstr>http://www.nevo.co.il/case/17000947</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3145840</vt:i4>
      </vt:variant>
      <vt:variant>
        <vt:i4>63</vt:i4>
      </vt:variant>
      <vt:variant>
        <vt:i4>0</vt:i4>
      </vt:variant>
      <vt:variant>
        <vt:i4>5</vt:i4>
      </vt:variant>
      <vt:variant>
        <vt:lpwstr>http://www.nevo.co.il/case/5601732</vt:lpwstr>
      </vt:variant>
      <vt:variant>
        <vt:lpwstr/>
      </vt:variant>
      <vt:variant>
        <vt:i4>3932282</vt:i4>
      </vt:variant>
      <vt:variant>
        <vt:i4>60</vt:i4>
      </vt:variant>
      <vt:variant>
        <vt:i4>0</vt:i4>
      </vt:variant>
      <vt:variant>
        <vt:i4>5</vt:i4>
      </vt:variant>
      <vt:variant>
        <vt:lpwstr>http://www.nevo.co.il/case/7709308</vt:lpwstr>
      </vt:variant>
      <vt:variant>
        <vt:lpwstr/>
      </vt:variant>
      <vt:variant>
        <vt:i4>3670140</vt:i4>
      </vt:variant>
      <vt:variant>
        <vt:i4>57</vt:i4>
      </vt:variant>
      <vt:variant>
        <vt:i4>0</vt:i4>
      </vt:variant>
      <vt:variant>
        <vt:i4>5</vt:i4>
      </vt:variant>
      <vt:variant>
        <vt:lpwstr>http://www.nevo.co.il/case/29209115</vt:lpwstr>
      </vt:variant>
      <vt:variant>
        <vt:lpwstr/>
      </vt:variant>
      <vt:variant>
        <vt:i4>3932282</vt:i4>
      </vt:variant>
      <vt:variant>
        <vt:i4>54</vt:i4>
      </vt:variant>
      <vt:variant>
        <vt:i4>0</vt:i4>
      </vt:variant>
      <vt:variant>
        <vt:i4>5</vt:i4>
      </vt:variant>
      <vt:variant>
        <vt:lpwstr>http://www.nevo.co.il/case/21592697</vt:lpwstr>
      </vt:variant>
      <vt:variant>
        <vt:lpwstr/>
      </vt:variant>
      <vt:variant>
        <vt:i4>3735668</vt:i4>
      </vt:variant>
      <vt:variant>
        <vt:i4>51</vt:i4>
      </vt:variant>
      <vt:variant>
        <vt:i4>0</vt:i4>
      </vt:variant>
      <vt:variant>
        <vt:i4>5</vt:i4>
      </vt:variant>
      <vt:variant>
        <vt:lpwstr>http://www.nevo.co.il/case/22128021</vt:lpwstr>
      </vt:variant>
      <vt:variant>
        <vt:lpwstr/>
      </vt:variant>
      <vt:variant>
        <vt:i4>3801214</vt:i4>
      </vt:variant>
      <vt:variant>
        <vt:i4>48</vt:i4>
      </vt:variant>
      <vt:variant>
        <vt:i4>0</vt:i4>
      </vt:variant>
      <vt:variant>
        <vt:i4>5</vt:i4>
      </vt:variant>
      <vt:variant>
        <vt:lpwstr>http://www.nevo.co.il/case/18118326</vt:lpwstr>
      </vt:variant>
      <vt:variant>
        <vt:lpwstr/>
      </vt:variant>
      <vt:variant>
        <vt:i4>3145844</vt:i4>
      </vt:variant>
      <vt:variant>
        <vt:i4>45</vt:i4>
      </vt:variant>
      <vt:variant>
        <vt:i4>0</vt:i4>
      </vt:variant>
      <vt:variant>
        <vt:i4>5</vt:i4>
      </vt:variant>
      <vt:variant>
        <vt:lpwstr>http://www.nevo.co.il/case/6169989</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8257637</vt:i4>
      </vt:variant>
      <vt:variant>
        <vt:i4>39</vt:i4>
      </vt:variant>
      <vt:variant>
        <vt:i4>0</vt:i4>
      </vt:variant>
      <vt:variant>
        <vt:i4>5</vt:i4>
      </vt:variant>
      <vt:variant>
        <vt:lpwstr>http://www.nevo.co.il/law/4216</vt:lpwstr>
      </vt:variant>
      <vt:variant>
        <vt:lpwstr/>
      </vt:variant>
      <vt:variant>
        <vt:i4>5046346</vt:i4>
      </vt:variant>
      <vt:variant>
        <vt:i4>36</vt:i4>
      </vt:variant>
      <vt:variant>
        <vt:i4>0</vt:i4>
      </vt:variant>
      <vt:variant>
        <vt:i4>5</vt:i4>
      </vt:variant>
      <vt:variant>
        <vt:lpwstr>http://www.nevo.co.il/law/4216/37</vt:lpwstr>
      </vt:variant>
      <vt:variant>
        <vt:lpwstr/>
      </vt:variant>
      <vt:variant>
        <vt:i4>4128886</vt:i4>
      </vt:variant>
      <vt:variant>
        <vt:i4>33</vt:i4>
      </vt:variant>
      <vt:variant>
        <vt:i4>0</vt:i4>
      </vt:variant>
      <vt:variant>
        <vt:i4>5</vt:i4>
      </vt:variant>
      <vt:variant>
        <vt:lpwstr>http://www.nevo.co.il/case/21924102</vt:lpwstr>
      </vt:variant>
      <vt:variant>
        <vt:lpwstr/>
      </vt:variant>
      <vt:variant>
        <vt:i4>3735668</vt:i4>
      </vt:variant>
      <vt:variant>
        <vt:i4>30</vt:i4>
      </vt:variant>
      <vt:variant>
        <vt:i4>0</vt:i4>
      </vt:variant>
      <vt:variant>
        <vt:i4>5</vt:i4>
      </vt:variant>
      <vt:variant>
        <vt:lpwstr>http://www.nevo.co.il/case/11259435</vt:lpwstr>
      </vt:variant>
      <vt:variant>
        <vt:lpwstr/>
      </vt:variant>
      <vt:variant>
        <vt:i4>3801214</vt:i4>
      </vt:variant>
      <vt:variant>
        <vt:i4>27</vt:i4>
      </vt:variant>
      <vt:variant>
        <vt:i4>0</vt:i4>
      </vt:variant>
      <vt:variant>
        <vt:i4>5</vt:i4>
      </vt:variant>
      <vt:variant>
        <vt:lpwstr>http://www.nevo.co.il/case/18118326</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5046346</vt:i4>
      </vt:variant>
      <vt:variant>
        <vt:i4>9</vt:i4>
      </vt:variant>
      <vt:variant>
        <vt:i4>0</vt:i4>
      </vt:variant>
      <vt:variant>
        <vt:i4>5</vt:i4>
      </vt:variant>
      <vt:variant>
        <vt:lpwstr>http://www.nevo.co.il/law/4216/37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2025-04-23T01:17:00Z</dcterms:created>
  <dcterms:modified xsi:type="dcterms:W3CDTF">2025-04-23T01:17:00Z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9225</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עאטף אבו כף</vt:lpwstr>
  </property>
  <property fmtid="{D5CDD505-2E9C-101B-9397-08002B2CF9AE}" pid="10" name="LAWYER">
    <vt:lpwstr>גל גבאי;אחמד ותד</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20240211</vt:lpwstr>
  </property>
  <property fmtid="{D5CDD505-2E9C-101B-9397-08002B2CF9AE}" pid="14" name="TYPE_N_DATE">
    <vt:lpwstr>38020240211</vt:lpwstr>
  </property>
  <property fmtid="{D5CDD505-2E9C-101B-9397-08002B2CF9AE}" pid="15" name="WORDNUMPAGES">
    <vt:lpwstr>8</vt:lpwstr>
  </property>
  <property fmtid="{D5CDD505-2E9C-101B-9397-08002B2CF9AE}" pid="16" name="TYPE_ABS_DATE">
    <vt:lpwstr>380020240211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18118326:2;11259435;21924102;5738608;6169989;22128021;21592697;29209115;7709308;5601732;17000947</vt:lpwstr>
  </property>
  <property fmtid="{D5CDD505-2E9C-101B-9397-08002B2CF9AE}" pid="36" name="LAWLISTTMP1">
    <vt:lpwstr>4216/007.a;007.c;037</vt:lpwstr>
  </property>
  <property fmtid="{D5CDD505-2E9C-101B-9397-08002B2CF9AE}" pid="37" name="LAWLISTTMP2">
    <vt:lpwstr>70301/040d</vt:lpwstr>
  </property>
</Properties>
</file>