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CellMar>
          <w:left w:w="0" w:type="dxa"/>
          <w:right w:w="0" w:type="dxa"/>
        </w:tblCellMar>
        <w:tblLook w:val="00A0" w:firstRow="1" w:lastRow="0" w:firstColumn="1" w:lastColumn="0" w:noHBand="0" w:noVBand="0"/>
      </w:tblPr>
      <w:tblGrid>
        <w:gridCol w:w="5953"/>
        <w:gridCol w:w="2551"/>
      </w:tblGrid>
      <w:tr w:rsidR="00AD4D58" w:rsidRPr="00AD4D58" w14:paraId="11FEF007" w14:textId="77777777" w:rsidTr="005E3E55">
        <w:trPr>
          <w:trHeight w:val="418"/>
          <w:jc w:val="center"/>
        </w:trPr>
        <w:tc>
          <w:tcPr>
            <w:tcW w:w="8504" w:type="dxa"/>
            <w:gridSpan w:val="2"/>
            <w:tcMar>
              <w:top w:w="0" w:type="dxa"/>
              <w:left w:w="108" w:type="dxa"/>
              <w:bottom w:w="0" w:type="dxa"/>
              <w:right w:w="108" w:type="dxa"/>
            </w:tcMar>
          </w:tcPr>
          <w:p w14:paraId="744B90CD" w14:textId="77777777" w:rsidR="00AD4D58" w:rsidRPr="00AD4D58" w:rsidRDefault="00AD4D58" w:rsidP="005E3E55">
            <w:pPr>
              <w:pStyle w:val="a5"/>
              <w:jc w:val="center"/>
              <w:rPr>
                <w:b/>
                <w:bCs/>
                <w:color w:val="000080"/>
                <w:sz w:val="32"/>
                <w:szCs w:val="32"/>
              </w:rPr>
            </w:pPr>
            <w:bookmarkStart w:id="0" w:name="LastJudge"/>
            <w:r w:rsidRPr="00AD4D58">
              <w:rPr>
                <w:b/>
                <w:bCs/>
                <w:noProof w:val="0"/>
                <w:color w:val="000080"/>
                <w:sz w:val="32"/>
                <w:szCs w:val="32"/>
                <w:rtl/>
              </w:rPr>
              <w:t>בית משפט השלום בקריית גת</w:t>
            </w:r>
          </w:p>
        </w:tc>
      </w:tr>
      <w:tr w:rsidR="00AD4D58" w:rsidRPr="00AD4D58" w14:paraId="6214BF6B" w14:textId="77777777" w:rsidTr="005E3E55">
        <w:trPr>
          <w:gridAfter w:val="1"/>
          <w:wAfter w:w="2551" w:type="dxa"/>
          <w:trHeight w:val="571"/>
          <w:jc w:val="center"/>
        </w:trPr>
        <w:tc>
          <w:tcPr>
            <w:tcW w:w="5953" w:type="dxa"/>
            <w:tcMar>
              <w:top w:w="0" w:type="dxa"/>
              <w:left w:w="108" w:type="dxa"/>
              <w:bottom w:w="0" w:type="dxa"/>
              <w:right w:w="108" w:type="dxa"/>
            </w:tcMar>
          </w:tcPr>
          <w:p w14:paraId="7C4AF137" w14:textId="77777777" w:rsidR="00AD4D58" w:rsidRPr="00AD4D58" w:rsidRDefault="00AD4D58" w:rsidP="005E3E55">
            <w:pPr>
              <w:rPr>
                <w:rFonts w:ascii="Calibri" w:hAnsi="Calibri" w:cs="Calibri"/>
                <w:b/>
                <w:bCs/>
                <w:sz w:val="28"/>
                <w:szCs w:val="28"/>
              </w:rPr>
            </w:pPr>
            <w:r w:rsidRPr="00AD4D58">
              <w:rPr>
                <w:b/>
                <w:bCs/>
                <w:sz w:val="28"/>
                <w:szCs w:val="28"/>
                <w:rtl/>
              </w:rPr>
              <w:t xml:space="preserve">ת"פ  14611-12-21 מדינת ישראל נ' מושקביץ'    </w:t>
            </w:r>
          </w:p>
        </w:tc>
      </w:tr>
      <w:tr w:rsidR="00AD4D58" w:rsidRPr="00AD4D58" w14:paraId="141196B0" w14:textId="77777777" w:rsidTr="005E3E55">
        <w:trPr>
          <w:gridAfter w:val="1"/>
          <w:wAfter w:w="2551" w:type="dxa"/>
          <w:trHeight w:val="442"/>
          <w:jc w:val="center"/>
        </w:trPr>
        <w:tc>
          <w:tcPr>
            <w:tcW w:w="5953" w:type="dxa"/>
            <w:tcMar>
              <w:top w:w="0" w:type="dxa"/>
              <w:left w:w="108" w:type="dxa"/>
              <w:bottom w:w="0" w:type="dxa"/>
              <w:right w:w="108" w:type="dxa"/>
            </w:tcMar>
          </w:tcPr>
          <w:p w14:paraId="51005033" w14:textId="77777777" w:rsidR="00AD4D58" w:rsidRPr="00AD4D58" w:rsidRDefault="00AD4D58" w:rsidP="005E3E55">
            <w:pPr>
              <w:rPr>
                <w:rFonts w:ascii="Calibri" w:hAnsi="Calibri" w:cs="Calibri"/>
                <w:b/>
                <w:bCs/>
                <w:sz w:val="28"/>
                <w:szCs w:val="28"/>
              </w:rPr>
            </w:pPr>
            <w:r w:rsidRPr="00AD4D58">
              <w:rPr>
                <w:b/>
                <w:bCs/>
                <w:sz w:val="28"/>
                <w:szCs w:val="28"/>
                <w:rtl/>
              </w:rPr>
              <w:t xml:space="preserve">לפני: כב' השופטת </w:t>
            </w:r>
            <w:r w:rsidRPr="00AD4D58">
              <w:rPr>
                <w:b/>
                <w:bCs/>
                <w:sz w:val="28"/>
                <w:szCs w:val="28"/>
              </w:rPr>
              <w:t xml:space="preserve"> </w:t>
            </w:r>
            <w:r w:rsidRPr="00AD4D58">
              <w:rPr>
                <w:b/>
                <w:bCs/>
                <w:sz w:val="28"/>
                <w:szCs w:val="28"/>
                <w:rtl/>
              </w:rPr>
              <w:t xml:space="preserve">הבכירה, נגה שמואלי-מאייר </w:t>
            </w:r>
          </w:p>
        </w:tc>
      </w:tr>
    </w:tbl>
    <w:p w14:paraId="01CE8F78" w14:textId="77777777" w:rsidR="00AD4D58" w:rsidRPr="00AD4D58" w:rsidRDefault="00AD4D58"/>
    <w:p w14:paraId="6C62A48A" w14:textId="77777777" w:rsidR="00AD4D58" w:rsidRPr="00AD4D58" w:rsidRDefault="00AD4D58" w:rsidP="00E7761C">
      <w:pPr>
        <w:rPr>
          <w:sz w:val="6"/>
          <w:szCs w:val="6"/>
          <w:rtl/>
        </w:rPr>
      </w:pPr>
    </w:p>
    <w:tbl>
      <w:tblPr>
        <w:bidiVisual/>
        <w:tblW w:w="8802" w:type="dxa"/>
        <w:tblInd w:w="-28" w:type="dxa"/>
        <w:tblLook w:val="01E0" w:firstRow="1" w:lastRow="1" w:firstColumn="1" w:lastColumn="1" w:noHBand="0" w:noVBand="0"/>
      </w:tblPr>
      <w:tblGrid>
        <w:gridCol w:w="1609"/>
        <w:gridCol w:w="4151"/>
        <w:gridCol w:w="8"/>
        <w:gridCol w:w="2928"/>
        <w:gridCol w:w="106"/>
      </w:tblGrid>
      <w:tr w:rsidR="00AD4D58" w:rsidRPr="00AD4D58" w14:paraId="607C9D00" w14:textId="77777777" w:rsidTr="005E3E55">
        <w:tc>
          <w:tcPr>
            <w:tcW w:w="1609" w:type="dxa"/>
          </w:tcPr>
          <w:p w14:paraId="1F4F39F3" w14:textId="77777777" w:rsidR="00AD4D58" w:rsidRPr="00AD4D58" w:rsidRDefault="00AD4D58" w:rsidP="005E3E55">
            <w:pPr>
              <w:rPr>
                <w:b/>
                <w:bCs/>
              </w:rPr>
            </w:pPr>
            <w:bookmarkStart w:id="1" w:name="FirstAppellant"/>
            <w:r w:rsidRPr="00AD4D58">
              <w:rPr>
                <w:b/>
                <w:bCs/>
                <w:rtl/>
              </w:rPr>
              <w:t>בעניין:</w:t>
            </w:r>
          </w:p>
        </w:tc>
        <w:tc>
          <w:tcPr>
            <w:tcW w:w="4151" w:type="dxa"/>
          </w:tcPr>
          <w:p w14:paraId="3D6ED467" w14:textId="77777777" w:rsidR="00AD4D58" w:rsidRPr="00AD4D58" w:rsidRDefault="00AD4D58" w:rsidP="005E3E55">
            <w:pPr>
              <w:jc w:val="left"/>
              <w:rPr>
                <w:b/>
                <w:bCs/>
                <w:rtl/>
              </w:rPr>
            </w:pPr>
            <w:r w:rsidRPr="00AD4D58">
              <w:rPr>
                <w:b/>
                <w:bCs/>
                <w:rtl/>
              </w:rPr>
              <w:t xml:space="preserve">מדינת ישראל </w:t>
            </w:r>
          </w:p>
        </w:tc>
        <w:tc>
          <w:tcPr>
            <w:tcW w:w="3042" w:type="dxa"/>
            <w:gridSpan w:val="3"/>
          </w:tcPr>
          <w:p w14:paraId="5FD744F0" w14:textId="77777777" w:rsidR="00AD4D58" w:rsidRPr="00AD4D58" w:rsidRDefault="00AD4D58" w:rsidP="005E3E55">
            <w:pPr>
              <w:jc w:val="left"/>
              <w:rPr>
                <w:b/>
                <w:bCs/>
              </w:rPr>
            </w:pPr>
          </w:p>
        </w:tc>
      </w:tr>
      <w:bookmarkEnd w:id="1"/>
      <w:tr w:rsidR="00AD4D58" w:rsidRPr="00AD4D58" w14:paraId="14EFF07F" w14:textId="77777777" w:rsidTr="005E3E55">
        <w:trPr>
          <w:gridAfter w:val="1"/>
          <w:wAfter w:w="106" w:type="dxa"/>
        </w:trPr>
        <w:tc>
          <w:tcPr>
            <w:tcW w:w="1609" w:type="dxa"/>
          </w:tcPr>
          <w:p w14:paraId="27A005D5" w14:textId="77777777" w:rsidR="00AD4D58" w:rsidRPr="00AD4D58" w:rsidRDefault="00AD4D58" w:rsidP="005E3E55">
            <w:pPr>
              <w:ind w:left="26"/>
              <w:jc w:val="left"/>
              <w:rPr>
                <w:b/>
                <w:bCs/>
                <w:rtl/>
              </w:rPr>
            </w:pPr>
          </w:p>
        </w:tc>
        <w:tc>
          <w:tcPr>
            <w:tcW w:w="4159" w:type="dxa"/>
            <w:gridSpan w:val="2"/>
          </w:tcPr>
          <w:p w14:paraId="410C8762" w14:textId="77777777" w:rsidR="00AD4D58" w:rsidRPr="00AD4D58" w:rsidRDefault="00AD4D58" w:rsidP="005E3E55">
            <w:pPr>
              <w:jc w:val="left"/>
              <w:rPr>
                <w:b/>
                <w:bCs/>
                <w:rtl/>
              </w:rPr>
            </w:pPr>
          </w:p>
        </w:tc>
        <w:tc>
          <w:tcPr>
            <w:tcW w:w="2928" w:type="dxa"/>
          </w:tcPr>
          <w:p w14:paraId="18B28DA0" w14:textId="77777777" w:rsidR="00AD4D58" w:rsidRPr="00AD4D58" w:rsidRDefault="00AD4D58" w:rsidP="005E3E55">
            <w:pPr>
              <w:ind w:left="26"/>
              <w:jc w:val="left"/>
              <w:rPr>
                <w:b/>
                <w:bCs/>
                <w:rtl/>
              </w:rPr>
            </w:pPr>
            <w:r w:rsidRPr="00AD4D58">
              <w:rPr>
                <w:b/>
                <w:bCs/>
                <w:rtl/>
              </w:rPr>
              <w:t>המאשימה</w:t>
            </w:r>
          </w:p>
        </w:tc>
      </w:tr>
      <w:tr w:rsidR="00AD4D58" w:rsidRPr="00AD4D58" w14:paraId="4EA4E75B" w14:textId="77777777" w:rsidTr="005E3E55">
        <w:trPr>
          <w:gridAfter w:val="1"/>
          <w:wAfter w:w="106" w:type="dxa"/>
        </w:trPr>
        <w:tc>
          <w:tcPr>
            <w:tcW w:w="8696" w:type="dxa"/>
            <w:gridSpan w:val="4"/>
          </w:tcPr>
          <w:p w14:paraId="53E9E28C" w14:textId="77777777" w:rsidR="00AD4D58" w:rsidRPr="00AD4D58" w:rsidRDefault="00AD4D58" w:rsidP="005E3E55">
            <w:pPr>
              <w:jc w:val="center"/>
              <w:rPr>
                <w:rFonts w:ascii="Arial" w:hAnsi="Arial"/>
                <w:b/>
                <w:bCs/>
                <w:rtl/>
              </w:rPr>
            </w:pPr>
            <w:r w:rsidRPr="00AD4D58">
              <w:rPr>
                <w:rFonts w:ascii="Arial" w:hAnsi="Arial"/>
                <w:b/>
                <w:bCs/>
                <w:rtl/>
              </w:rPr>
              <w:t>נ ג ד</w:t>
            </w:r>
          </w:p>
        </w:tc>
      </w:tr>
      <w:tr w:rsidR="00AD4D58" w:rsidRPr="00AD4D58" w14:paraId="1F52C1AD" w14:textId="77777777" w:rsidTr="005E3E55">
        <w:trPr>
          <w:gridAfter w:val="1"/>
          <w:wAfter w:w="106" w:type="dxa"/>
        </w:trPr>
        <w:tc>
          <w:tcPr>
            <w:tcW w:w="1609" w:type="dxa"/>
          </w:tcPr>
          <w:p w14:paraId="274C6760" w14:textId="77777777" w:rsidR="00AD4D58" w:rsidRPr="00AD4D58" w:rsidRDefault="00AD4D58" w:rsidP="005E3E55">
            <w:pPr>
              <w:ind w:left="26"/>
              <w:rPr>
                <w:rFonts w:ascii="Times New Roman" w:hAnsi="Times New Roman"/>
                <w:b/>
                <w:bCs/>
                <w:rtl/>
              </w:rPr>
            </w:pPr>
          </w:p>
        </w:tc>
        <w:tc>
          <w:tcPr>
            <w:tcW w:w="4159" w:type="dxa"/>
            <w:gridSpan w:val="2"/>
          </w:tcPr>
          <w:p w14:paraId="39269522" w14:textId="77777777" w:rsidR="00AD4D58" w:rsidRPr="00AD4D58" w:rsidRDefault="00AD4D58" w:rsidP="005E3E55">
            <w:pPr>
              <w:jc w:val="left"/>
              <w:rPr>
                <w:b/>
                <w:bCs/>
                <w:rtl/>
              </w:rPr>
            </w:pPr>
            <w:r w:rsidRPr="00AD4D58">
              <w:rPr>
                <w:b/>
                <w:bCs/>
                <w:rtl/>
              </w:rPr>
              <w:t xml:space="preserve">שי מושקביץ' ת"ז </w:t>
            </w:r>
            <w:r>
              <w:rPr>
                <w:b/>
                <w:bCs/>
              </w:rPr>
              <w:t>xxxxxxxxx</w:t>
            </w:r>
          </w:p>
        </w:tc>
        <w:tc>
          <w:tcPr>
            <w:tcW w:w="2928" w:type="dxa"/>
          </w:tcPr>
          <w:p w14:paraId="1834093A" w14:textId="77777777" w:rsidR="00AD4D58" w:rsidRPr="00AD4D58" w:rsidRDefault="00AD4D58" w:rsidP="005E3E55">
            <w:pPr>
              <w:rPr>
                <w:rFonts w:ascii="Times New Roman" w:hAnsi="Times New Roman"/>
                <w:b/>
                <w:bCs/>
                <w:rtl/>
              </w:rPr>
            </w:pPr>
          </w:p>
        </w:tc>
      </w:tr>
      <w:tr w:rsidR="00AD4D58" w:rsidRPr="00AD4D58" w14:paraId="62D6F2CF" w14:textId="77777777" w:rsidTr="005E3E55">
        <w:trPr>
          <w:gridAfter w:val="1"/>
          <w:wAfter w:w="106" w:type="dxa"/>
        </w:trPr>
        <w:tc>
          <w:tcPr>
            <w:tcW w:w="1609" w:type="dxa"/>
          </w:tcPr>
          <w:p w14:paraId="44DCC7E3" w14:textId="77777777" w:rsidR="00AD4D58" w:rsidRPr="00AD4D58" w:rsidRDefault="00AD4D58" w:rsidP="005E3E55">
            <w:pPr>
              <w:ind w:left="26"/>
              <w:jc w:val="left"/>
              <w:rPr>
                <w:rFonts w:ascii="Times New Roman" w:hAnsi="Times New Roman"/>
                <w:b/>
                <w:bCs/>
                <w:rtl/>
              </w:rPr>
            </w:pPr>
          </w:p>
        </w:tc>
        <w:tc>
          <w:tcPr>
            <w:tcW w:w="4159" w:type="dxa"/>
            <w:gridSpan w:val="2"/>
          </w:tcPr>
          <w:p w14:paraId="64ED3896" w14:textId="77777777" w:rsidR="00AD4D58" w:rsidRPr="00AD4D58" w:rsidRDefault="00AD4D58" w:rsidP="005E3E55">
            <w:pPr>
              <w:jc w:val="left"/>
              <w:rPr>
                <w:b/>
                <w:bCs/>
                <w:rtl/>
              </w:rPr>
            </w:pPr>
          </w:p>
        </w:tc>
        <w:tc>
          <w:tcPr>
            <w:tcW w:w="2928" w:type="dxa"/>
          </w:tcPr>
          <w:p w14:paraId="7BA0CC9F" w14:textId="77777777" w:rsidR="00AD4D58" w:rsidRPr="00AD4D58" w:rsidRDefault="00AD4D58" w:rsidP="005E3E55">
            <w:pPr>
              <w:jc w:val="left"/>
              <w:rPr>
                <w:b/>
                <w:bCs/>
                <w:rtl/>
              </w:rPr>
            </w:pPr>
            <w:r w:rsidRPr="00AD4D58">
              <w:rPr>
                <w:b/>
                <w:bCs/>
                <w:rtl/>
              </w:rPr>
              <w:t>הנאשם</w:t>
            </w:r>
          </w:p>
        </w:tc>
      </w:tr>
    </w:tbl>
    <w:p w14:paraId="6B2DE38F" w14:textId="77777777" w:rsidR="00E7053E" w:rsidRPr="00AD4D58" w:rsidRDefault="00E7053E" w:rsidP="00E7761C">
      <w:pPr>
        <w:rPr>
          <w:sz w:val="6"/>
          <w:szCs w:val="6"/>
          <w:rtl/>
        </w:rPr>
      </w:pPr>
      <w:r w:rsidRPr="00AD4D58">
        <w:rPr>
          <w:sz w:val="6"/>
          <w:szCs w:val="6"/>
          <w:rtl/>
        </w:rPr>
        <w:t>&lt;#2#&gt;</w:t>
      </w:r>
    </w:p>
    <w:p w14:paraId="5A7FE886" w14:textId="77777777" w:rsidR="00E7053E" w:rsidRPr="00AD4D58" w:rsidRDefault="00E7053E" w:rsidP="00E7761C">
      <w:pPr>
        <w:pStyle w:val="12"/>
        <w:spacing w:line="360" w:lineRule="auto"/>
        <w:rPr>
          <w:u w:val="none"/>
          <w:rtl/>
        </w:rPr>
      </w:pPr>
      <w:r w:rsidRPr="00AD4D58">
        <w:rPr>
          <w:u w:val="none"/>
          <w:rtl/>
        </w:rPr>
        <w:t>נוכחים:</w:t>
      </w:r>
    </w:p>
    <w:p w14:paraId="78083504" w14:textId="77777777" w:rsidR="00E7053E" w:rsidRPr="00AD4D58" w:rsidRDefault="00E7053E" w:rsidP="00E7761C">
      <w:pPr>
        <w:pStyle w:val="12"/>
        <w:spacing w:line="360" w:lineRule="auto"/>
        <w:rPr>
          <w:u w:val="none"/>
          <w:rtl/>
        </w:rPr>
      </w:pPr>
      <w:r w:rsidRPr="00AD4D58">
        <w:rPr>
          <w:u w:val="none"/>
          <w:rtl/>
        </w:rPr>
        <w:t>באת כח המאשימה – עוה"ד אביטל זגורי-גיל.</w:t>
      </w:r>
    </w:p>
    <w:p w14:paraId="6DE6E093" w14:textId="77777777" w:rsidR="00E7053E" w:rsidRPr="00AD4D58" w:rsidRDefault="00E7053E" w:rsidP="00E7761C">
      <w:pPr>
        <w:pStyle w:val="12"/>
        <w:spacing w:line="360" w:lineRule="auto"/>
        <w:rPr>
          <w:u w:val="none"/>
          <w:rtl/>
        </w:rPr>
      </w:pPr>
      <w:r w:rsidRPr="00AD4D58">
        <w:rPr>
          <w:u w:val="none"/>
          <w:rtl/>
        </w:rPr>
        <w:t>הנאשם ובאת כוחו – עוה"ד יפעת זינר.</w:t>
      </w:r>
    </w:p>
    <w:p w14:paraId="4D4246A3" w14:textId="77777777" w:rsidR="00E7053E" w:rsidRPr="00AD4D58" w:rsidRDefault="00E7053E" w:rsidP="00E7761C">
      <w:pPr>
        <w:rPr>
          <w:rtl/>
        </w:rPr>
      </w:pPr>
    </w:p>
    <w:p w14:paraId="029CAFF6" w14:textId="77777777" w:rsidR="003316FF" w:rsidRPr="003316FF" w:rsidRDefault="003316FF" w:rsidP="003316FF">
      <w:pPr>
        <w:spacing w:before="120" w:after="120" w:line="240" w:lineRule="exact"/>
        <w:ind w:left="283" w:hanging="283"/>
        <w:rPr>
          <w:rFonts w:ascii="FrankRuehl" w:hAnsi="FrankRuehl" w:cs="FrankRuehl"/>
          <w:rtl/>
        </w:rPr>
      </w:pPr>
      <w:bookmarkStart w:id="2" w:name="LawTable"/>
      <w:bookmarkEnd w:id="2"/>
      <w:r w:rsidRPr="003316FF">
        <w:rPr>
          <w:rFonts w:ascii="FrankRuehl" w:hAnsi="FrankRuehl" w:cs="FrankRuehl"/>
          <w:rtl/>
        </w:rPr>
        <w:t xml:space="preserve">חקיקה שאוזכרה: </w:t>
      </w:r>
    </w:p>
    <w:p w14:paraId="5017348D" w14:textId="77777777" w:rsidR="003316FF" w:rsidRPr="003316FF" w:rsidRDefault="003316FF" w:rsidP="003316FF">
      <w:pPr>
        <w:spacing w:before="120" w:after="120" w:line="240" w:lineRule="exact"/>
        <w:ind w:left="283" w:hanging="283"/>
        <w:rPr>
          <w:rFonts w:ascii="FrankRuehl" w:hAnsi="FrankRuehl" w:cs="FrankRuehl"/>
          <w:color w:val="0000FF"/>
          <w:rtl/>
        </w:rPr>
      </w:pPr>
      <w:hyperlink r:id="rId7" w:history="1">
        <w:r w:rsidRPr="003316FF">
          <w:rPr>
            <w:rStyle w:val="Hyperlink"/>
            <w:rFonts w:ascii="FrankRuehl" w:hAnsi="FrankRuehl" w:cs="FrankRuehl"/>
            <w:u w:val="none"/>
            <w:rtl/>
          </w:rPr>
          <w:t>פקודת הסמים המסוכנים [נוסח חדש], תשל"ג-1973</w:t>
        </w:r>
      </w:hyperlink>
      <w:r w:rsidRPr="003316FF">
        <w:rPr>
          <w:rFonts w:ascii="FrankRuehl" w:hAnsi="FrankRuehl" w:cs="FrankRuehl"/>
          <w:color w:val="0000FF"/>
          <w:rtl/>
        </w:rPr>
        <w:t xml:space="preserve">: סע'  </w:t>
      </w:r>
      <w:hyperlink r:id="rId8" w:history="1">
        <w:r w:rsidRPr="003316FF">
          <w:rPr>
            <w:rStyle w:val="Hyperlink"/>
            <w:rFonts w:ascii="FrankRuehl" w:hAnsi="FrankRuehl" w:cs="FrankRuehl"/>
            <w:u w:val="none"/>
          </w:rPr>
          <w:t>7.</w:t>
        </w:r>
        <w:r w:rsidRPr="003316FF">
          <w:rPr>
            <w:rStyle w:val="Hyperlink"/>
            <w:rFonts w:ascii="FrankRuehl" w:hAnsi="FrankRuehl" w:cs="FrankRuehl"/>
            <w:u w:val="none"/>
            <w:rtl/>
          </w:rPr>
          <w:t>א</w:t>
        </w:r>
        <w:r w:rsidRPr="003316FF">
          <w:rPr>
            <w:rStyle w:val="Hyperlink"/>
            <w:rFonts w:ascii="FrankRuehl" w:hAnsi="FrankRuehl" w:cs="FrankRuehl"/>
            <w:u w:val="none"/>
          </w:rPr>
          <w:t>.</w:t>
        </w:r>
      </w:hyperlink>
      <w:r w:rsidRPr="003316FF">
        <w:rPr>
          <w:rFonts w:ascii="FrankRuehl" w:hAnsi="FrankRuehl" w:cs="FrankRuehl"/>
          <w:color w:val="0000FF"/>
          <w:rtl/>
        </w:rPr>
        <w:t xml:space="preserve">, </w:t>
      </w:r>
      <w:hyperlink r:id="rId9" w:history="1">
        <w:r w:rsidRPr="003316FF">
          <w:rPr>
            <w:rStyle w:val="Hyperlink"/>
            <w:rFonts w:ascii="FrankRuehl" w:hAnsi="FrankRuehl" w:cs="FrankRuehl"/>
            <w:u w:val="none"/>
          </w:rPr>
          <w:t>7.</w:t>
        </w:r>
        <w:r w:rsidRPr="003316FF">
          <w:rPr>
            <w:rStyle w:val="Hyperlink"/>
            <w:rFonts w:ascii="FrankRuehl" w:hAnsi="FrankRuehl" w:cs="FrankRuehl"/>
            <w:u w:val="none"/>
            <w:rtl/>
          </w:rPr>
          <w:t>ג</w:t>
        </w:r>
      </w:hyperlink>
    </w:p>
    <w:p w14:paraId="2547EA4E" w14:textId="77777777" w:rsidR="003316FF" w:rsidRPr="003316FF" w:rsidRDefault="003316FF" w:rsidP="003316FF">
      <w:pPr>
        <w:spacing w:before="120" w:after="120" w:line="240" w:lineRule="exact"/>
        <w:ind w:left="283" w:hanging="283"/>
        <w:rPr>
          <w:rFonts w:ascii="FrankRuehl" w:hAnsi="FrankRuehl" w:cs="FrankRuehl"/>
          <w:color w:val="0000FF"/>
          <w:rtl/>
        </w:rPr>
      </w:pPr>
      <w:hyperlink r:id="rId10" w:history="1">
        <w:r w:rsidRPr="003316FF">
          <w:rPr>
            <w:rStyle w:val="Hyperlink"/>
            <w:rFonts w:ascii="FrankRuehl" w:hAnsi="FrankRuehl" w:cs="FrankRuehl"/>
            <w:u w:val="none"/>
            <w:rtl/>
          </w:rPr>
          <w:t>חוק העונשין, תשל"ז-1977</w:t>
        </w:r>
      </w:hyperlink>
      <w:r w:rsidRPr="003316FF">
        <w:rPr>
          <w:rFonts w:ascii="FrankRuehl" w:hAnsi="FrankRuehl" w:cs="FrankRuehl"/>
          <w:color w:val="0000FF"/>
          <w:rtl/>
        </w:rPr>
        <w:t xml:space="preserve">: סע'  </w:t>
      </w:r>
      <w:hyperlink r:id="rId11" w:history="1">
        <w:r w:rsidRPr="003316FF">
          <w:rPr>
            <w:rStyle w:val="Hyperlink"/>
            <w:rFonts w:ascii="FrankRuehl" w:hAnsi="FrankRuehl" w:cs="FrankRuehl"/>
            <w:u w:val="none"/>
          </w:rPr>
          <w:t>40</w:t>
        </w:r>
        <w:r w:rsidRPr="003316FF">
          <w:rPr>
            <w:rStyle w:val="Hyperlink"/>
            <w:rFonts w:ascii="FrankRuehl" w:hAnsi="FrankRuehl" w:cs="FrankRuehl"/>
            <w:u w:val="none"/>
            <w:rtl/>
          </w:rPr>
          <w:t>ג</w:t>
        </w:r>
      </w:hyperlink>
      <w:r w:rsidRPr="003316FF">
        <w:rPr>
          <w:rFonts w:ascii="FrankRuehl" w:hAnsi="FrankRuehl" w:cs="FrankRuehl"/>
          <w:color w:val="0000FF"/>
          <w:rtl/>
        </w:rPr>
        <w:t xml:space="preserve">(א), </w:t>
      </w:r>
      <w:hyperlink r:id="rId12" w:history="1">
        <w:r w:rsidRPr="003316FF">
          <w:rPr>
            <w:rStyle w:val="Hyperlink"/>
            <w:rFonts w:ascii="FrankRuehl" w:hAnsi="FrankRuehl" w:cs="FrankRuehl"/>
            <w:u w:val="none"/>
          </w:rPr>
          <w:t>40</w:t>
        </w:r>
        <w:r w:rsidRPr="003316FF">
          <w:rPr>
            <w:rStyle w:val="Hyperlink"/>
            <w:rFonts w:ascii="FrankRuehl" w:hAnsi="FrankRuehl" w:cs="FrankRuehl"/>
            <w:u w:val="none"/>
            <w:rtl/>
          </w:rPr>
          <w:t>ד</w:t>
        </w:r>
      </w:hyperlink>
      <w:r w:rsidRPr="003316FF">
        <w:rPr>
          <w:rFonts w:ascii="FrankRuehl" w:hAnsi="FrankRuehl" w:cs="FrankRuehl"/>
          <w:color w:val="0000FF"/>
          <w:rtl/>
        </w:rPr>
        <w:t xml:space="preserve">, </w:t>
      </w:r>
      <w:hyperlink r:id="rId13" w:history="1">
        <w:r w:rsidRPr="003316FF">
          <w:rPr>
            <w:rStyle w:val="Hyperlink"/>
            <w:rFonts w:ascii="FrankRuehl" w:hAnsi="FrankRuehl" w:cs="FrankRuehl"/>
            <w:u w:val="none"/>
          </w:rPr>
          <w:t>40</w:t>
        </w:r>
        <w:r w:rsidRPr="003316FF">
          <w:rPr>
            <w:rStyle w:val="Hyperlink"/>
            <w:rFonts w:ascii="FrankRuehl" w:hAnsi="FrankRuehl" w:cs="FrankRuehl"/>
            <w:u w:val="none"/>
            <w:rtl/>
          </w:rPr>
          <w:t>ד</w:t>
        </w:r>
      </w:hyperlink>
      <w:r w:rsidRPr="003316FF">
        <w:rPr>
          <w:rFonts w:ascii="FrankRuehl" w:hAnsi="FrankRuehl" w:cs="FrankRuehl"/>
          <w:color w:val="0000FF"/>
          <w:rtl/>
        </w:rPr>
        <w:t xml:space="preserve">(א), </w:t>
      </w:r>
      <w:hyperlink r:id="rId14" w:history="1">
        <w:r w:rsidRPr="003316FF">
          <w:rPr>
            <w:rStyle w:val="Hyperlink"/>
            <w:rFonts w:ascii="FrankRuehl" w:hAnsi="FrankRuehl" w:cs="FrankRuehl"/>
            <w:u w:val="none"/>
          </w:rPr>
          <w:t>40</w:t>
        </w:r>
        <w:r w:rsidRPr="003316FF">
          <w:rPr>
            <w:rStyle w:val="Hyperlink"/>
            <w:rFonts w:ascii="FrankRuehl" w:hAnsi="FrankRuehl" w:cs="FrankRuehl"/>
            <w:u w:val="none"/>
            <w:rtl/>
          </w:rPr>
          <w:t>יא</w:t>
        </w:r>
      </w:hyperlink>
    </w:p>
    <w:p w14:paraId="52F47E16" w14:textId="77777777" w:rsidR="00AD4D58" w:rsidRPr="003316FF" w:rsidRDefault="00AD4D58" w:rsidP="003316FF">
      <w:pPr>
        <w:jc w:val="center"/>
        <w:rPr>
          <w:rFonts w:ascii="Arial" w:hAnsi="Arial"/>
          <w:sz w:val="36"/>
          <w:szCs w:val="36"/>
          <w:rtl/>
        </w:rPr>
      </w:pPr>
      <w:bookmarkStart w:id="3" w:name="LawTable_End"/>
      <w:bookmarkEnd w:id="3"/>
    </w:p>
    <w:p w14:paraId="08960456" w14:textId="77777777" w:rsidR="00AD4D58" w:rsidRPr="00AD4D58" w:rsidRDefault="00AD4D58" w:rsidP="003316FF">
      <w:pPr>
        <w:pStyle w:val="1"/>
        <w:keepLines/>
        <w:spacing w:before="0" w:after="0"/>
        <w:jc w:val="center"/>
        <w:rPr>
          <w:rFonts w:eastAsia="Times New Roman"/>
          <w:kern w:val="0"/>
          <w:sz w:val="36"/>
          <w:szCs w:val="36"/>
          <w:u w:val="single"/>
          <w:rtl/>
        </w:rPr>
      </w:pPr>
      <w:bookmarkStart w:id="4" w:name="PsakDin"/>
      <w:bookmarkEnd w:id="0"/>
      <w:r w:rsidRPr="00AD4D58">
        <w:rPr>
          <w:rFonts w:eastAsia="Times New Roman"/>
          <w:kern w:val="0"/>
          <w:sz w:val="36"/>
          <w:szCs w:val="36"/>
          <w:u w:val="single"/>
          <w:rtl/>
        </w:rPr>
        <w:t>גזר דין</w:t>
      </w:r>
    </w:p>
    <w:bookmarkEnd w:id="4"/>
    <w:p w14:paraId="7E3111C2" w14:textId="77777777" w:rsidR="00E7053E" w:rsidRDefault="00E7053E" w:rsidP="00E7761C">
      <w:pPr>
        <w:pStyle w:val="1"/>
        <w:keepLines/>
        <w:numPr>
          <w:ilvl w:val="0"/>
          <w:numId w:val="1"/>
        </w:numPr>
        <w:spacing w:before="0" w:after="0"/>
        <w:ind w:left="425" w:hanging="425"/>
        <w:rPr>
          <w:b w:val="0"/>
          <w:szCs w:val="28"/>
          <w:u w:val="single"/>
          <w:rtl/>
        </w:rPr>
      </w:pPr>
      <w:r>
        <w:rPr>
          <w:u w:val="single"/>
          <w:rtl/>
        </w:rPr>
        <w:t>רקע עובדתי</w:t>
      </w:r>
    </w:p>
    <w:p w14:paraId="3B833A5C" w14:textId="77777777" w:rsidR="00E7053E" w:rsidRDefault="00E7053E" w:rsidP="00E7761C">
      <w:pPr>
        <w:pStyle w:val="ListParagraph"/>
        <w:numPr>
          <w:ilvl w:val="0"/>
          <w:numId w:val="2"/>
        </w:numPr>
        <w:ind w:left="-58" w:hanging="283"/>
        <w:rPr>
          <w:rtl/>
        </w:rPr>
      </w:pPr>
      <w:bookmarkStart w:id="5" w:name="ABSTRACT_START"/>
      <w:bookmarkEnd w:id="5"/>
      <w:r>
        <w:rPr>
          <w:rtl/>
        </w:rPr>
        <w:t xml:space="preserve">כפי הנטען </w:t>
      </w:r>
      <w:r>
        <w:rPr>
          <w:b/>
          <w:bCs/>
          <w:rtl/>
        </w:rPr>
        <w:t xml:space="preserve">בעובדות כתב האישום המתוקן, </w:t>
      </w:r>
      <w:r>
        <w:rPr>
          <w:rtl/>
        </w:rPr>
        <w:t xml:space="preserve">ביום 26.04.2020 סמוך לשעה 01:00, במחסן, בכתובת: דוד רמז 12, החזיק הנאשם יחד עם אחר שזהותה ידועה למאשימה בסם מסוכן מסוג קנבוס במשקל כולל של 350 גר' נטו שלא לצריכתו העצמית, ללא היתר או רישיון מהמנהל ובניגוד לדין. </w:t>
      </w:r>
    </w:p>
    <w:p w14:paraId="3462B111" w14:textId="77777777" w:rsidR="00E7053E" w:rsidRDefault="00E7053E" w:rsidP="00E7761C">
      <w:pPr>
        <w:pStyle w:val="11"/>
        <w:numPr>
          <w:ilvl w:val="0"/>
          <w:numId w:val="2"/>
        </w:numPr>
        <w:spacing w:after="0"/>
        <w:ind w:left="-58" w:hanging="283"/>
        <w:rPr>
          <w:rtl/>
        </w:rPr>
      </w:pPr>
      <w:bookmarkStart w:id="6" w:name="ABSTRACT_END"/>
      <w:bookmarkEnd w:id="6"/>
      <w:r>
        <w:rPr>
          <w:rtl/>
        </w:rPr>
        <w:t xml:space="preserve">הנאשם הודה במיוחס לו לעיל, ועל יסוד הודאתו זו הורשע בעבירת  </w:t>
      </w:r>
      <w:r>
        <w:rPr>
          <w:b/>
          <w:bCs/>
          <w:rtl/>
        </w:rPr>
        <w:t>החזקת סם שלא לצריכה עצמית</w:t>
      </w:r>
      <w:r>
        <w:rPr>
          <w:rtl/>
        </w:rPr>
        <w:t xml:space="preserve"> לפי </w:t>
      </w:r>
      <w:hyperlink r:id="rId15" w:history="1">
        <w:r w:rsidR="003316FF" w:rsidRPr="003316FF">
          <w:rPr>
            <w:rStyle w:val="Hyperlink"/>
            <w:color w:val="0000FF"/>
            <w:rtl/>
          </w:rPr>
          <w:t>סעיפים 7(א)+7(ג)</w:t>
        </w:r>
      </w:hyperlink>
      <w:r>
        <w:rPr>
          <w:rtl/>
        </w:rPr>
        <w:t xml:space="preserve"> רישא </w:t>
      </w:r>
      <w:r>
        <w:rPr>
          <w:u w:val="single"/>
          <w:rtl/>
        </w:rPr>
        <w:t>ל</w:t>
      </w:r>
      <w:hyperlink r:id="rId16" w:history="1">
        <w:r w:rsidR="00AD4D58" w:rsidRPr="00AD4D58">
          <w:rPr>
            <w:rStyle w:val="Hyperlink"/>
            <w:rFonts w:hint="eastAsia"/>
            <w:color w:val="0000FF"/>
            <w:rtl/>
          </w:rPr>
          <w:t>פקודת</w:t>
        </w:r>
        <w:r w:rsidR="00AD4D58" w:rsidRPr="00AD4D58">
          <w:rPr>
            <w:rStyle w:val="Hyperlink"/>
            <w:color w:val="0000FF"/>
            <w:rtl/>
          </w:rPr>
          <w:t xml:space="preserve"> </w:t>
        </w:r>
        <w:r w:rsidR="00AD4D58" w:rsidRPr="00AD4D58">
          <w:rPr>
            <w:rStyle w:val="Hyperlink"/>
            <w:rFonts w:hint="eastAsia"/>
            <w:color w:val="0000FF"/>
            <w:rtl/>
          </w:rPr>
          <w:t>הסמים</w:t>
        </w:r>
        <w:r w:rsidR="00AD4D58" w:rsidRPr="00AD4D58">
          <w:rPr>
            <w:rStyle w:val="Hyperlink"/>
            <w:color w:val="0000FF"/>
            <w:rtl/>
          </w:rPr>
          <w:t xml:space="preserve"> </w:t>
        </w:r>
        <w:r w:rsidR="00AD4D58" w:rsidRPr="00AD4D58">
          <w:rPr>
            <w:rStyle w:val="Hyperlink"/>
            <w:rFonts w:hint="eastAsia"/>
            <w:color w:val="0000FF"/>
            <w:rtl/>
          </w:rPr>
          <w:t>המסוכנים</w:t>
        </w:r>
      </w:hyperlink>
      <w:r>
        <w:rPr>
          <w:u w:val="single"/>
          <w:rtl/>
        </w:rPr>
        <w:t xml:space="preserve"> (נוסח חדש) התשל"ג – 1973</w:t>
      </w:r>
      <w:r>
        <w:rPr>
          <w:rtl/>
        </w:rPr>
        <w:t xml:space="preserve"> (להלן: "</w:t>
      </w:r>
      <w:r>
        <w:rPr>
          <w:b/>
          <w:bCs/>
          <w:rtl/>
        </w:rPr>
        <w:t>הפקודה"; "פקודת הסמים המסוכנים"</w:t>
      </w:r>
      <w:r>
        <w:rPr>
          <w:rtl/>
        </w:rPr>
        <w:t xml:space="preserve">). </w:t>
      </w:r>
    </w:p>
    <w:p w14:paraId="492FA441" w14:textId="77777777" w:rsidR="00E7053E" w:rsidRDefault="00E7053E" w:rsidP="00E7761C">
      <w:pPr>
        <w:pStyle w:val="ListParagraph"/>
        <w:numPr>
          <w:ilvl w:val="0"/>
          <w:numId w:val="2"/>
        </w:numPr>
        <w:ind w:left="-58" w:hanging="283"/>
      </w:pPr>
      <w:r>
        <w:rPr>
          <w:rtl/>
        </w:rPr>
        <w:t xml:space="preserve">הצדדים לא הגיעו להסכמות בעניין העונש, אך הוסכם כי הנאשם יישלח לשירות המבחן על מנת שיתקבל תסקיר בעניינו וכי הצדדים ישובו להידבר לאחר קבלת תסקיר. </w:t>
      </w:r>
    </w:p>
    <w:p w14:paraId="43BD2B9A" w14:textId="77777777" w:rsidR="00E7053E" w:rsidRDefault="00E7053E" w:rsidP="00E7761C">
      <w:pPr>
        <w:pStyle w:val="ListParagraph"/>
        <w:numPr>
          <w:ilvl w:val="0"/>
          <w:numId w:val="2"/>
        </w:numPr>
        <w:ind w:left="-58" w:hanging="283"/>
      </w:pPr>
      <w:r>
        <w:rPr>
          <w:rtl/>
        </w:rPr>
        <w:t xml:space="preserve">בעניינו של </w:t>
      </w:r>
      <w:r>
        <w:rPr>
          <w:b/>
          <w:bCs/>
          <w:rtl/>
        </w:rPr>
        <w:t>הנאשם התקבלו 3 תסקירים מאת שירות המבחן</w:t>
      </w:r>
      <w:r>
        <w:rPr>
          <w:rtl/>
        </w:rPr>
        <w:t xml:space="preserve">, ובסופם </w:t>
      </w:r>
      <w:r>
        <w:rPr>
          <w:b/>
          <w:bCs/>
          <w:rtl/>
        </w:rPr>
        <w:t>לא</w:t>
      </w:r>
      <w:r>
        <w:rPr>
          <w:rtl/>
        </w:rPr>
        <w:t xml:space="preserve"> בא שירות המבחן בהמלצה עונשית בעניינו של הנאשם משהלה לא שולב במסגרת היחידה להתמכרויות באשקלון  (ועוד ארחיב על כך בהמשך הדברים). בתסקירים האמורים עומד שירות המבחן על קורות חייו וחיי משפחתו של הנאשם, על מאפייניו האישיותיים, יחסו לעבירה, ועוד. </w:t>
      </w:r>
      <w:r>
        <w:rPr>
          <w:rtl/>
        </w:rPr>
        <w:lastRenderedPageBreak/>
        <w:t xml:space="preserve">מטעמים של צנעת הפרט לא אעלה עלי גזר הדין את כל המפורט בתסקירים האמורים, מלבד אותם נתונים הרלוונטיים לשאלת העונש. </w:t>
      </w:r>
    </w:p>
    <w:p w14:paraId="4B3E928E" w14:textId="77777777" w:rsidR="00E7053E" w:rsidRDefault="00E7053E" w:rsidP="00E7761C">
      <w:pPr>
        <w:pStyle w:val="ListParagraph"/>
        <w:numPr>
          <w:ilvl w:val="0"/>
          <w:numId w:val="2"/>
        </w:numPr>
        <w:ind w:left="-58" w:hanging="283"/>
      </w:pPr>
      <w:r>
        <w:rPr>
          <w:b/>
          <w:bCs/>
          <w:rtl/>
        </w:rPr>
        <w:t xml:space="preserve">על פי האמור בחוות דעת הממונה על עבודות השירות שהוגשו בעניינו של הנאשם (כשהאחרונה שבהן מיום 02.02.2025), </w:t>
      </w:r>
      <w:r>
        <w:rPr>
          <w:rtl/>
        </w:rPr>
        <w:t xml:space="preserve">הרי שחרף העובדה כי הנאשם זומן שלוש פעמים לריאיון בפני הממונה, הנאשם לא התייצב בפעם הראשונה בטענה כי לא איתר את משרדי הממונה; בפעם השנייה הלה התנהג בהתנהגות שאינה הולמת ולכן לא נבדקה שאלת התאמתו להשתלב במערך עבודות השירות; ובפעם השלישית הנאשם טען כי לא התייצב בפני הממונה בשל מחלה אך נמנע מלצרף אישור רפואי התומך בטענתו זו (ועוד ארחיב על כך בהמשך הדברים). </w:t>
      </w:r>
    </w:p>
    <w:p w14:paraId="3A8922BC" w14:textId="77777777" w:rsidR="00E7053E" w:rsidRDefault="00E7053E" w:rsidP="00E7761C">
      <w:pPr>
        <w:pStyle w:val="ListParagraph"/>
        <w:ind w:left="-58"/>
      </w:pPr>
    </w:p>
    <w:p w14:paraId="3A065546" w14:textId="77777777" w:rsidR="00E7053E" w:rsidRDefault="00E7053E" w:rsidP="00E7761C">
      <w:pPr>
        <w:pStyle w:val="1"/>
        <w:keepLines/>
        <w:numPr>
          <w:ilvl w:val="0"/>
          <w:numId w:val="1"/>
        </w:numPr>
        <w:spacing w:before="0" w:after="0"/>
        <w:ind w:left="360"/>
        <w:rPr>
          <w:u w:val="single"/>
        </w:rPr>
      </w:pPr>
      <w:r>
        <w:rPr>
          <w:u w:val="single"/>
          <w:rtl/>
        </w:rPr>
        <w:t>טיעוני הצדדים (עיקרי הדברים)</w:t>
      </w:r>
    </w:p>
    <w:p w14:paraId="20022324" w14:textId="77777777" w:rsidR="00E7053E" w:rsidRDefault="00E7053E" w:rsidP="00E7761C">
      <w:pPr>
        <w:pStyle w:val="11"/>
        <w:numPr>
          <w:ilvl w:val="0"/>
          <w:numId w:val="2"/>
        </w:numPr>
        <w:spacing w:after="0"/>
        <w:ind w:left="-58" w:hanging="283"/>
        <w:rPr>
          <w:b/>
          <w:bCs/>
        </w:rPr>
      </w:pPr>
      <w:r>
        <w:rPr>
          <w:b/>
          <w:bCs/>
          <w:rtl/>
        </w:rPr>
        <w:t>המאשימה,</w:t>
      </w:r>
      <w:r>
        <w:rPr>
          <w:rtl/>
        </w:rPr>
        <w:t xml:space="preserve"> עמדה על הערכים המוגנים שנפגעו כתוצאה ממעשיו של הנאשם, על חומרת מעשיו בדגש על כמות הסם שנתפסה בחזקתו יחד עם האחר, ועתרה לקבוע מתחם עונש הולם הנע בין כמה חודשים מאסר שיכול וירוצו בעבודות שירות לבין-12 חודשים מאסר בפועל. בתוך המתחם סברה המאשימה כי יש לתת משקל לכך שהנאשם אוחז בהרשעה תעבורתית בעבירת נהיגה תחת השפעת סמים ומשקאות משכרים (</w:t>
      </w:r>
      <w:r>
        <w:rPr>
          <w:b/>
          <w:bCs/>
          <w:rtl/>
        </w:rPr>
        <w:t>ת/2</w:t>
      </w:r>
      <w:r>
        <w:rPr>
          <w:rtl/>
        </w:rPr>
        <w:t xml:space="preserve">); וכי חרף היותו של הנאשם חף מהרשעות פליליות קודמות, הלה נמנע מלשתף פעולה עם שירות המבחן ולא עבר כל הליך טיפולי. בשעה שלא קיימים בעניינו טעמים המצדיקים סטייה לקולה מהמתחם משיקולי שיקום – הטעימה המאשימה כי יש מקום להשית על הנאשם עונש המצוי ברף הבינוני למתחם בדמות </w:t>
      </w:r>
      <w:r>
        <w:rPr>
          <w:b/>
          <w:bCs/>
          <w:rtl/>
        </w:rPr>
        <w:t xml:space="preserve">מאסר בן כמה חודשים שיכול וירוצה בעבודות שירות, מאסר מותנה, קנס, התחייבות, פסילה בפועל ופסילה מותנית. </w:t>
      </w:r>
    </w:p>
    <w:p w14:paraId="0D0AE536" w14:textId="77777777" w:rsidR="00E7053E" w:rsidRDefault="00E7053E" w:rsidP="00E7761C">
      <w:pPr>
        <w:pStyle w:val="ListParagraph"/>
        <w:numPr>
          <w:ilvl w:val="0"/>
          <w:numId w:val="2"/>
        </w:numPr>
        <w:ind w:left="-58" w:hanging="283"/>
        <w:rPr>
          <w:rtl/>
        </w:rPr>
      </w:pPr>
      <w:r>
        <w:rPr>
          <w:b/>
          <w:bCs/>
          <w:rtl/>
        </w:rPr>
        <w:t>מנגד,</w:t>
      </w:r>
      <w:r>
        <w:rPr>
          <w:rtl/>
        </w:rPr>
        <w:t xml:space="preserve"> באת כוח הנאשם חלקה על מתחם העונש לו עתרה המאשימה (ואולם משיקוליה שלה, הלה נמנעה מלציין מהו מתחם העונש הראוי לשיטתה) וטענה כי יש מקום לתת משקל לשינוי שחל ביחס לעבירה של החזקת סם מסוג קנבוס מצד המחוקק. בכל הנוגע לנסיבות הקשורות לביצוע העבירה, הפנתה ההגנה לרף החומרה הנמוך הטמון במעשיו של הנאשם ולכך שהסמים הוחזקו במחסן. בכל הנוגע לנסיבות שאינן קשורות לביצוע העבירה, הפנתה הסנגורית לנסיבותיו האישיות של הנאשם, ובכלל זה להיותו אדם נורמטיבי ויצרני, ללקיחת האחריות מצדו על מעשיו, להיותו נעדר עבר פלילי, לחלוף הזמן, ולבדיקת הסם שנערכה לו המעידה על היותו נקי מסמים. עוד עמדה ההגנה על קשייו של הנאשם לשתף פעולה עם ההליך הטיפולי בשל סגירת היחידה להתמכרויות תחילה בשל התפרצות נגיף הקורונה ובהמשך בשל המצב הביטחוני ופינוי הנאשם ובני משפחתו מחוץ לביתם בשל הפגיעה בביתם כפועל יוצא ממלחמת "חרבות ברזל". מכל האמור עתרה הסנגורית להסתפק בעניינו </w:t>
      </w:r>
      <w:r>
        <w:rPr>
          <w:rtl/>
        </w:rPr>
        <w:lastRenderedPageBreak/>
        <w:t xml:space="preserve">של הנאשם בענישה צופה פני עתיד ולחילופין להסתפק בחודש מאסר לריצוי בעבודות שירות, לכל היותר. </w:t>
      </w:r>
    </w:p>
    <w:p w14:paraId="760806E1" w14:textId="77777777" w:rsidR="00E7053E" w:rsidRDefault="00E7053E" w:rsidP="00E7761C">
      <w:pPr>
        <w:pStyle w:val="ListParagraph"/>
        <w:numPr>
          <w:ilvl w:val="0"/>
          <w:numId w:val="2"/>
        </w:numPr>
        <w:ind w:left="-58" w:hanging="283"/>
        <w:rPr>
          <w:rtl/>
        </w:rPr>
      </w:pPr>
      <w:r>
        <w:rPr>
          <w:b/>
          <w:bCs/>
          <w:rtl/>
        </w:rPr>
        <w:t xml:space="preserve">למען שלמות התמונה יצוין כי ביום 24.02.2025 ומשהנאשם, חרף ההזדמנויות שניתנו לו לא התייצב לראיון השלישי שאליו זומן </w:t>
      </w:r>
      <w:r>
        <w:rPr>
          <w:rtl/>
        </w:rPr>
        <w:t xml:space="preserve">על ידי הממונה על עבודות השירות, השלימו הצדדים את טיעוניהם לעונש. במסגרת זו, המאשימה, הטעימה  כי יש להשית על הנאשם ענישה בדמות מאסר בפועל ואילו ההגנה עתרה להתחשב בנאשם לעניין העונש בשל נסיבותיו האישיות </w:t>
      </w:r>
    </w:p>
    <w:p w14:paraId="2CFCE3C5" w14:textId="77777777" w:rsidR="00E7053E" w:rsidRDefault="00E7053E" w:rsidP="00E7761C">
      <w:pPr>
        <w:pStyle w:val="ListParagraph"/>
        <w:numPr>
          <w:ilvl w:val="0"/>
          <w:numId w:val="2"/>
        </w:numPr>
        <w:ind w:left="-58"/>
      </w:pPr>
      <w:r>
        <w:rPr>
          <w:rtl/>
        </w:rPr>
        <w:t xml:space="preserve">הנאשם אשר קיבל את "זכות המילה האחרונה", הביע חרטה על מעשיו וביקש כי בית המשפט יתחשב בו לעניין העונש. </w:t>
      </w:r>
    </w:p>
    <w:p w14:paraId="7CBAC41F" w14:textId="77777777" w:rsidR="00E7053E" w:rsidRDefault="00E7053E" w:rsidP="00E7761C">
      <w:pPr>
        <w:pStyle w:val="ListParagraph"/>
        <w:numPr>
          <w:ilvl w:val="0"/>
          <w:numId w:val="2"/>
        </w:numPr>
        <w:ind w:left="-58"/>
      </w:pPr>
      <w:r>
        <w:rPr>
          <w:rtl/>
        </w:rPr>
        <w:t xml:space="preserve">לאור אלה, ובהתאם למתווה גזירת הדין שאומץ בתיקון 113 </w:t>
      </w:r>
      <w:r>
        <w:rPr>
          <w:u w:val="single"/>
          <w:rtl/>
        </w:rPr>
        <w:t>ל</w:t>
      </w:r>
      <w:hyperlink r:id="rId17" w:history="1">
        <w:r w:rsidR="00AD4D58" w:rsidRPr="00AD4D58">
          <w:rPr>
            <w:rStyle w:val="Hyperlink"/>
            <w:rFonts w:hint="eastAsia"/>
            <w:color w:val="0000FF"/>
            <w:rtl/>
          </w:rPr>
          <w:t>חוק</w:t>
        </w:r>
        <w:r w:rsidR="00AD4D58" w:rsidRPr="00AD4D58">
          <w:rPr>
            <w:rStyle w:val="Hyperlink"/>
            <w:color w:val="0000FF"/>
            <w:rtl/>
          </w:rPr>
          <w:t xml:space="preserve"> </w:t>
        </w:r>
        <w:r w:rsidR="00AD4D58" w:rsidRPr="00AD4D58">
          <w:rPr>
            <w:rStyle w:val="Hyperlink"/>
            <w:rFonts w:hint="eastAsia"/>
            <w:color w:val="0000FF"/>
            <w:rtl/>
          </w:rPr>
          <w:t>העונשין</w:t>
        </w:r>
      </w:hyperlink>
      <w:r>
        <w:rPr>
          <w:rtl/>
        </w:rPr>
        <w:t xml:space="preserve"> בית המשפט יקבע תחילה את מתחם העונש ההולם; ולאחר מכן יגזור את העונש המתאים לנאשם, תוך בחינה שמא יש מקום במקרה הנדון לסטות לקולה או לחומרה מהמתחם שייקבע.</w:t>
      </w:r>
    </w:p>
    <w:p w14:paraId="2402C503" w14:textId="77777777" w:rsidR="00E7053E" w:rsidRDefault="00E7053E" w:rsidP="00E7761C">
      <w:pPr>
        <w:pStyle w:val="ListParagraph"/>
        <w:ind w:left="-58"/>
      </w:pPr>
    </w:p>
    <w:p w14:paraId="194CBF5C" w14:textId="77777777" w:rsidR="00E7053E" w:rsidRDefault="00E7053E" w:rsidP="00E7761C">
      <w:pPr>
        <w:pStyle w:val="1"/>
        <w:spacing w:before="0" w:after="0"/>
        <w:jc w:val="center"/>
        <w:rPr>
          <w:u w:val="single"/>
        </w:rPr>
      </w:pPr>
      <w:r>
        <w:rPr>
          <w:u w:val="single"/>
          <w:rtl/>
        </w:rPr>
        <w:t>דיון והכרעה</w:t>
      </w:r>
    </w:p>
    <w:p w14:paraId="3055F9E6" w14:textId="77777777" w:rsidR="00E7053E" w:rsidRDefault="00E7053E" w:rsidP="00E7761C">
      <w:pPr>
        <w:pStyle w:val="1"/>
        <w:spacing w:before="0" w:after="0"/>
        <w:ind w:left="643" w:hanging="283"/>
        <w:rPr>
          <w:sz w:val="28"/>
          <w:szCs w:val="24"/>
          <w:u w:val="single"/>
          <w:rtl/>
        </w:rPr>
      </w:pPr>
      <w:r>
        <w:rPr>
          <w:rtl/>
        </w:rPr>
        <w:t xml:space="preserve">ד.  </w:t>
      </w:r>
      <w:r>
        <w:rPr>
          <w:sz w:val="28"/>
          <w:szCs w:val="28"/>
          <w:u w:val="single"/>
          <w:rtl/>
        </w:rPr>
        <w:t>קביעת מתחם העונש ההולם</w:t>
      </w:r>
    </w:p>
    <w:p w14:paraId="6D60BF59" w14:textId="77777777" w:rsidR="00E7053E" w:rsidRDefault="00E7053E" w:rsidP="00E7761C">
      <w:pPr>
        <w:pStyle w:val="ListParagraph"/>
        <w:numPr>
          <w:ilvl w:val="0"/>
          <w:numId w:val="2"/>
        </w:numPr>
        <w:ind w:left="-58" w:hanging="425"/>
        <w:rPr>
          <w:rtl/>
        </w:rPr>
      </w:pPr>
      <w:r>
        <w:rPr>
          <w:rtl/>
        </w:rPr>
        <w:t xml:space="preserve">כאמור </w:t>
      </w:r>
      <w:hyperlink r:id="rId18" w:history="1">
        <w:r w:rsidR="003316FF" w:rsidRPr="003316FF">
          <w:rPr>
            <w:rStyle w:val="Hyperlink"/>
            <w:color w:val="0000FF"/>
            <w:rtl/>
          </w:rPr>
          <w:t>בסעיף 40ג(א)</w:t>
        </w:r>
      </w:hyperlink>
      <w:r>
        <w:rPr>
          <w:rtl/>
        </w:rPr>
        <w:t xml:space="preserve"> </w:t>
      </w:r>
      <w:r>
        <w:rPr>
          <w:u w:val="single"/>
          <w:rtl/>
        </w:rPr>
        <w:t>ל</w:t>
      </w:r>
      <w:hyperlink r:id="rId19" w:history="1">
        <w:r w:rsidR="00AD4D58" w:rsidRPr="00AD4D58">
          <w:rPr>
            <w:rStyle w:val="Hyperlink"/>
            <w:rFonts w:hint="eastAsia"/>
            <w:color w:val="0000FF"/>
            <w:rtl/>
          </w:rPr>
          <w:t>חוק</w:t>
        </w:r>
        <w:r w:rsidR="00AD4D58" w:rsidRPr="00AD4D58">
          <w:rPr>
            <w:rStyle w:val="Hyperlink"/>
            <w:color w:val="0000FF"/>
            <w:rtl/>
          </w:rPr>
          <w:t xml:space="preserve"> </w:t>
        </w:r>
        <w:r w:rsidR="00AD4D58" w:rsidRPr="00AD4D58">
          <w:rPr>
            <w:rStyle w:val="Hyperlink"/>
            <w:rFonts w:hint="eastAsia"/>
            <w:color w:val="0000FF"/>
            <w:rtl/>
          </w:rPr>
          <w:t>העונשין</w:t>
        </w:r>
      </w:hyperlink>
      <w:r>
        <w:rPr>
          <w:u w:val="single"/>
          <w:rtl/>
        </w:rPr>
        <w:t>,</w:t>
      </w:r>
      <w:r>
        <w:rPr>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 </w:t>
      </w:r>
    </w:p>
    <w:p w14:paraId="3399AE85" w14:textId="77777777" w:rsidR="00E7053E" w:rsidRDefault="00E7053E" w:rsidP="00E7761C">
      <w:pPr>
        <w:pStyle w:val="ListParagraph"/>
        <w:numPr>
          <w:ilvl w:val="0"/>
          <w:numId w:val="2"/>
        </w:numPr>
        <w:ind w:left="-58" w:hanging="425"/>
      </w:pPr>
      <w:r>
        <w:rPr>
          <w:rtl/>
        </w:rPr>
        <w:t xml:space="preserve">בכל הנוגע לעבירת </w:t>
      </w:r>
      <w:r>
        <w:rPr>
          <w:b/>
          <w:bCs/>
          <w:rtl/>
        </w:rPr>
        <w:t>החזקת הסם שלא לצריכה עצמית</w:t>
      </w:r>
      <w:r>
        <w:rPr>
          <w:rtl/>
        </w:rPr>
        <w:t xml:space="preserve"> אותה עבר הנאשם, נדמה כי אין צורך להכביר מילים על אודות החומרה הרבה הכרוכה בעבירות אלה. </w:t>
      </w:r>
      <w:hyperlink r:id="rId20" w:history="1">
        <w:r w:rsidR="00AD4D58" w:rsidRPr="00AD4D58">
          <w:rPr>
            <w:rStyle w:val="Hyperlink"/>
            <w:rFonts w:hint="eastAsia"/>
            <w:color w:val="0000FF"/>
            <w:rtl/>
          </w:rPr>
          <w:t>פקודת</w:t>
        </w:r>
        <w:r w:rsidR="00AD4D58" w:rsidRPr="00AD4D58">
          <w:rPr>
            <w:rStyle w:val="Hyperlink"/>
            <w:color w:val="0000FF"/>
            <w:rtl/>
          </w:rPr>
          <w:t xml:space="preserve"> </w:t>
        </w:r>
        <w:r w:rsidR="00AD4D58" w:rsidRPr="00AD4D58">
          <w:rPr>
            <w:rStyle w:val="Hyperlink"/>
            <w:rFonts w:hint="eastAsia"/>
            <w:color w:val="0000FF"/>
            <w:rtl/>
          </w:rPr>
          <w:t>הסמים</w:t>
        </w:r>
        <w:r w:rsidR="00AD4D58" w:rsidRPr="00AD4D58">
          <w:rPr>
            <w:rStyle w:val="Hyperlink"/>
            <w:color w:val="0000FF"/>
            <w:rtl/>
          </w:rPr>
          <w:t xml:space="preserve"> </w:t>
        </w:r>
        <w:r w:rsidR="00AD4D58" w:rsidRPr="00AD4D58">
          <w:rPr>
            <w:rStyle w:val="Hyperlink"/>
            <w:rFonts w:hint="eastAsia"/>
            <w:color w:val="0000FF"/>
            <w:rtl/>
          </w:rPr>
          <w:t>המסוכנים</w:t>
        </w:r>
      </w:hyperlink>
      <w:r>
        <w:rPr>
          <w:rtl/>
        </w:rPr>
        <w:t xml:space="preserve"> נחקקה על מנת להגן על ערכים חברתיים מרכזיים ובראשם החובה להגן על שלומו של הציבור, בריאותו, על בטחונו האישי ועל רכושו. </w:t>
      </w:r>
    </w:p>
    <w:p w14:paraId="29C90174" w14:textId="77777777" w:rsidR="00E7053E" w:rsidRDefault="00E7053E" w:rsidP="00E7761C">
      <w:pPr>
        <w:pStyle w:val="ListParagraph"/>
        <w:numPr>
          <w:ilvl w:val="0"/>
          <w:numId w:val="2"/>
        </w:numPr>
        <w:ind w:left="-58" w:hanging="425"/>
      </w:pPr>
      <w:r>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1"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575/88</w:t>
        </w:r>
      </w:hyperlink>
      <w:r>
        <w:rPr>
          <w:rtl/>
        </w:rPr>
        <w:t xml:space="preserve"> </w:t>
      </w:r>
      <w:r>
        <w:rPr>
          <w:b/>
          <w:bCs/>
          <w:rtl/>
        </w:rPr>
        <w:t>עודה נגד מדינת ישראל</w:t>
      </w:r>
      <w:r>
        <w:rPr>
          <w:rtl/>
        </w:rPr>
        <w:t xml:space="preserve"> [פורסם בנבו] (11.12.1988);</w:t>
      </w:r>
      <w:r>
        <w:rPr>
          <w:u w:val="single"/>
          <w:rtl/>
        </w:rPr>
        <w:t xml:space="preserve"> </w:t>
      </w:r>
      <w:hyperlink r:id="rId22"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972/11</w:t>
        </w:r>
      </w:hyperlink>
      <w:r>
        <w:rPr>
          <w:rtl/>
        </w:rPr>
        <w:t xml:space="preserve"> </w:t>
      </w:r>
      <w:r>
        <w:rPr>
          <w:b/>
          <w:bCs/>
          <w:rtl/>
        </w:rPr>
        <w:t>מדינת ישראל נגד יניב יונה</w:t>
      </w:r>
      <w:r>
        <w:rPr>
          <w:rtl/>
        </w:rPr>
        <w:t xml:space="preserve"> [פורסם בנבו] (04.07.2012); </w:t>
      </w:r>
      <w:hyperlink r:id="rId23"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3117/12</w:t>
        </w:r>
      </w:hyperlink>
      <w:r>
        <w:rPr>
          <w:u w:val="single"/>
          <w:rtl/>
        </w:rPr>
        <w:t xml:space="preserve"> </w:t>
      </w:r>
      <w:r>
        <w:rPr>
          <w:b/>
          <w:bCs/>
          <w:rtl/>
        </w:rPr>
        <w:t>ארביב נ' מדינת ישראל</w:t>
      </w:r>
      <w:r>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1F499084" w14:textId="77777777" w:rsidR="00E7053E" w:rsidRDefault="00E7053E" w:rsidP="00E7761C">
      <w:pPr>
        <w:pStyle w:val="ListParagraph"/>
        <w:numPr>
          <w:ilvl w:val="0"/>
          <w:numId w:val="2"/>
        </w:numPr>
        <w:ind w:left="-58" w:hanging="425"/>
      </w:pPr>
      <w:r>
        <w:rPr>
          <w:rtl/>
        </w:rPr>
        <w:t xml:space="preserve">אם לא די באלה, הרי שעל חומרתה היתרה של העבירה אותה עבר הנאשם יכולה להעיד גם הענישה אשר נקבעה בצדה. וכך, העונש המרבי בגין ביצוע עבירת החזקת הסם שלא לצריכה עצמית הוא 20 שנות מאסר. </w:t>
      </w:r>
    </w:p>
    <w:p w14:paraId="6439D578" w14:textId="77777777" w:rsidR="00E7053E" w:rsidRDefault="00E7053E" w:rsidP="00E7761C">
      <w:pPr>
        <w:pStyle w:val="ListParagraph"/>
        <w:numPr>
          <w:ilvl w:val="0"/>
          <w:numId w:val="2"/>
        </w:numPr>
        <w:ind w:left="-58" w:hanging="425"/>
        <w:rPr>
          <w:b/>
          <w:bCs/>
        </w:rPr>
      </w:pPr>
      <w:r>
        <w:rPr>
          <w:rtl/>
        </w:rPr>
        <w:t xml:space="preserve">בשים לב לכמות הסם אותה החזיק הנאשם שלא לצריכתו העצמית, ולאור יתר הנסיבות הקשורות בביצוע העבירה, כפי שיפורט בהמשך הדברים, נדמה כי </w:t>
      </w:r>
      <w:r>
        <w:rPr>
          <w:b/>
          <w:bCs/>
          <w:rtl/>
        </w:rPr>
        <w:t>מידת הפגיעה בערכים המוגנים במקרה הנדון מצויה ברף שאיננו נמוך כלל ועיקר</w:t>
      </w:r>
      <w:r>
        <w:rPr>
          <w:rtl/>
        </w:rPr>
        <w:t xml:space="preserve">. </w:t>
      </w:r>
    </w:p>
    <w:p w14:paraId="19BF3B4E" w14:textId="77777777" w:rsidR="00E7053E" w:rsidRDefault="00E7053E" w:rsidP="00E7761C">
      <w:pPr>
        <w:pStyle w:val="ListParagraph"/>
        <w:numPr>
          <w:ilvl w:val="0"/>
          <w:numId w:val="2"/>
        </w:numPr>
        <w:ind w:left="-58" w:hanging="426"/>
      </w:pPr>
      <w:r>
        <w:rPr>
          <w:rtl/>
        </w:rPr>
        <w:t xml:space="preserve">בבחינת </w:t>
      </w:r>
      <w:r>
        <w:rPr>
          <w:b/>
          <w:bCs/>
          <w:rtl/>
        </w:rPr>
        <w:t>הנסיבות הקשורות העבירה</w:t>
      </w:r>
      <w:r>
        <w:rPr>
          <w:rtl/>
        </w:rPr>
        <w:t xml:space="preserve">, מבלי להתעלם מכך שעסקינן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סמים 'קלים' אלה עלולים להסב לנאשם ולסביבתו), הרי שבשיקולים לחומרה, נתתי דעתי לכמות הסם במשקל כולל של 350 גר' מסוג קנבוס אשר נתפסה ברשותו של הנאשם. ברי כי כמות זו אינה מבוטלת כלל ועיקר והגבוהה פי כמה וכמה מ"חזקת הצריכה העצמית" הקבועה בפקודה. עוד ולחומרה, נתתי דעתי לכך שהנאשם החזיק את כמות הסם הנכבדת יחד עם אחר. </w:t>
      </w:r>
    </w:p>
    <w:p w14:paraId="5852E997" w14:textId="77777777" w:rsidR="00E7053E" w:rsidRDefault="00E7053E" w:rsidP="00E7761C">
      <w:pPr>
        <w:pStyle w:val="ListParagraph"/>
        <w:numPr>
          <w:ilvl w:val="0"/>
          <w:numId w:val="2"/>
        </w:numPr>
        <w:ind w:left="-58"/>
      </w:pPr>
      <w:r>
        <w:rPr>
          <w:b/>
          <w:bCs/>
          <w:rtl/>
        </w:rPr>
        <w:t>אשר לסיבות שהביאו את הנאשם לבצע את העבירה,</w:t>
      </w:r>
      <w:r>
        <w:rPr>
          <w:rtl/>
        </w:rPr>
        <w:t xml:space="preserve"> כפי העולה מתסקירי שירות המבחן, הנאשם מסר כי החזקת הסם נועדה לשימושו האישי ולא לצורכי מסחר וכי בהחלטה משותפת עם חברו הוא החליט לגדל צמח קנבוס בעציץ במחסן הסמוך לבית מגוריו על מנת לחסוך בעלויות הקנייה של הסם. כמובן שאין בכך כדי להצדיק במאומה את ביצוע העבירה, אך ברי כי אין דינו של אדם אשר מחזיק סמים כדי לסחור ולהפיץ אותם לציבור, כדין אדם אשר מחזיק סם מסוג קנבוס (בכמות גבוהה מזו הקבועה בחוק ככזו המיועדת לשימוש עצמי) אך כדי לספק את התמכרותו.</w:t>
      </w:r>
    </w:p>
    <w:p w14:paraId="7FD81FEA" w14:textId="77777777" w:rsidR="00E7053E" w:rsidRDefault="00E7053E" w:rsidP="00E7761C">
      <w:pPr>
        <w:pStyle w:val="ListParagraph"/>
        <w:numPr>
          <w:ilvl w:val="0"/>
          <w:numId w:val="2"/>
        </w:numPr>
        <w:ind w:left="-58"/>
      </w:pPr>
      <w:r>
        <w:rPr>
          <w:rtl/>
        </w:rPr>
        <w:t xml:space="preserve">ברוח הדברים האמורים יצוין, כי כמות הסם אותה החזיק הנאשם במקרה הנדון, מהווה חזקה לכך שהסמים לא הוחזקו לצריכתו העצמית של הנאשם גרידא. מה עוד, שחיזוק לכך ניתן למצוא בכך שהנאשם הודה בכך בעבירה של החזקת סם </w:t>
      </w:r>
      <w:r>
        <w:rPr>
          <w:b/>
          <w:bCs/>
          <w:rtl/>
        </w:rPr>
        <w:t xml:space="preserve">שלא </w:t>
      </w:r>
      <w:r>
        <w:rPr>
          <w:rtl/>
        </w:rPr>
        <w:t>לצריכה עצמית, אולם, ועל אף שהמחוקק קבע כי בכמות זו שהחזיק הנאשם יש לראות כהחזקה שלא לצריכה עצמית אזי, אין הדבר מצביע בהכרח כי המדובר בהחזקה שמטרתה הייתה להפיץ את הסם. וכך נוסח העניין בקפידה ב</w:t>
      </w:r>
      <w:hyperlink r:id="rId24"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שלום</w:t>
        </w:r>
        <w:r w:rsidR="00AD4D58" w:rsidRPr="00AD4D58">
          <w:rPr>
            <w:rStyle w:val="Hyperlink"/>
            <w:color w:val="0000FF"/>
            <w:rtl/>
          </w:rPr>
          <w:t xml:space="preserve"> </w:t>
        </w:r>
        <w:r w:rsidR="00AD4D58" w:rsidRPr="00AD4D58">
          <w:rPr>
            <w:rStyle w:val="Hyperlink"/>
            <w:rFonts w:hint="eastAsia"/>
            <w:color w:val="0000FF"/>
            <w:rtl/>
          </w:rPr>
          <w:t>י</w:t>
        </w:r>
        <w:r w:rsidR="00AD4D58" w:rsidRPr="00AD4D58">
          <w:rPr>
            <w:rStyle w:val="Hyperlink"/>
            <w:color w:val="0000FF"/>
            <w:rtl/>
          </w:rPr>
          <w:t>-</w:t>
        </w:r>
        <w:r w:rsidR="00AD4D58" w:rsidRPr="00AD4D58">
          <w:rPr>
            <w:rStyle w:val="Hyperlink"/>
            <w:rFonts w:hint="eastAsia"/>
            <w:color w:val="0000FF"/>
            <w:rtl/>
          </w:rPr>
          <w:t>ם</w:t>
        </w:r>
        <w:r w:rsidR="00AD4D58" w:rsidRPr="00AD4D58">
          <w:rPr>
            <w:rStyle w:val="Hyperlink"/>
            <w:color w:val="0000FF"/>
            <w:rtl/>
          </w:rPr>
          <w:t>) 7414-01-15</w:t>
        </w:r>
      </w:hyperlink>
      <w:r>
        <w:rPr>
          <w:rtl/>
        </w:rPr>
        <w:t xml:space="preserve"> </w:t>
      </w:r>
      <w:r>
        <w:rPr>
          <w:b/>
          <w:bCs/>
          <w:rtl/>
        </w:rPr>
        <w:t>מדינת ישראל נ' ניסים שגב</w:t>
      </w:r>
      <w:r>
        <w:rPr>
          <w:rtl/>
        </w:rPr>
        <w:t xml:space="preserve"> [פורסם בנבו] (26.02.2017): ".... </w:t>
      </w:r>
      <w:r>
        <w:rPr>
          <w:b/>
          <w:bCs/>
          <w:rtl/>
        </w:rPr>
        <w:t>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r>
        <w:rPr>
          <w:rtl/>
        </w:rPr>
        <w:t>".</w:t>
      </w:r>
    </w:p>
    <w:p w14:paraId="214D60F3" w14:textId="77777777" w:rsidR="00E7053E" w:rsidRDefault="00E7053E" w:rsidP="00E7761C">
      <w:pPr>
        <w:pStyle w:val="ListParagraph"/>
        <w:numPr>
          <w:ilvl w:val="0"/>
          <w:numId w:val="2"/>
        </w:numPr>
        <w:ind w:left="-58"/>
      </w:pPr>
      <w:r>
        <w:rPr>
          <w:rtl/>
        </w:rPr>
        <w:t xml:space="preserve">בסיכומה של נקודה זה ייאמר, כי אין לו לדיין אלא מה שעיניו רואות </w:t>
      </w:r>
      <w:r>
        <w:rPr>
          <w:b/>
          <w:bCs/>
          <w:rtl/>
        </w:rPr>
        <w:t xml:space="preserve">– </w:t>
      </w:r>
      <w:r>
        <w:rPr>
          <w:rtl/>
        </w:rPr>
        <w:t xml:space="preserve">ומבלי להתעלם מהחזקה החוקית ומרמת האשמה ה'רישמית' שהיא יוצרת, הרי שיש להניח לטובתו של הנאשם כי רמת האשמה המוטלת לפתחו היא נמוכה, עת לא הוכח לפניי כי הלה החזיק את הסם במטרה להפיצו או לסחור בו. </w:t>
      </w:r>
    </w:p>
    <w:p w14:paraId="308D1761" w14:textId="77777777" w:rsidR="00E7053E" w:rsidRDefault="00E7053E" w:rsidP="00E7761C">
      <w:pPr>
        <w:pStyle w:val="ListParagraph"/>
        <w:numPr>
          <w:ilvl w:val="0"/>
          <w:numId w:val="2"/>
        </w:numPr>
        <w:ind w:left="-58"/>
      </w:pPr>
      <w:r>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2FC6BA8F" w14:textId="77777777" w:rsidR="00E7053E" w:rsidRDefault="00E7053E" w:rsidP="00E7761C">
      <w:pPr>
        <w:pStyle w:val="ListParagraph"/>
        <w:numPr>
          <w:ilvl w:val="0"/>
          <w:numId w:val="2"/>
        </w:numPr>
        <w:ind w:left="-58"/>
        <w:rPr>
          <w:rFonts w:ascii="David" w:hAnsi="David"/>
        </w:rPr>
      </w:pPr>
      <w:r>
        <w:rPr>
          <w:rtl/>
        </w:rPr>
        <w:t xml:space="preserve">באשר </w:t>
      </w:r>
      <w:r>
        <w:rPr>
          <w:b/>
          <w:bCs/>
          <w:rtl/>
        </w:rPr>
        <w:t>למדיניות הענישה הנוהגת</w:t>
      </w:r>
      <w:r>
        <w:rPr>
          <w:rtl/>
        </w:rPr>
        <w:t xml:space="preserve">, סקירת הפסיקה מלמדת כי בעבירה של החזקת סם הקנבוס (או החשיש), שלא לצריכה עצמית </w:t>
      </w:r>
      <w:r>
        <w:rPr>
          <w:b/>
          <w:bCs/>
          <w:rtl/>
        </w:rPr>
        <w:t>בכמויות דומות לאלו שבעניינינו</w:t>
      </w:r>
      <w:r>
        <w:rPr>
          <w:rtl/>
        </w:rPr>
        <w:t xml:space="preserve">, קיים מנעד רחב של עונשים, הכול בהתאם לכמות הסם ונסיבות החזקתו, ואולם, </w:t>
      </w:r>
      <w:r>
        <w:rPr>
          <w:b/>
          <w:bCs/>
          <w:rtl/>
        </w:rPr>
        <w:t>בדרך כלל,</w:t>
      </w:r>
      <w:r>
        <w:rPr>
          <w:rtl/>
        </w:rPr>
        <w:t xml:space="preserve"> העונש הדומיננטי הוא, עונש הנע בין כמה חודשים מאסר שיכול להיות מרוצה בעבודות שירות ועד לתקופה ארוכה יותר המרוצה מאחורי סורג ובריח (ראו למשל,</w:t>
      </w:r>
      <w:r>
        <w:rPr>
          <w:shd w:val="clear" w:color="auto" w:fill="FAFAFA"/>
          <w:rtl/>
        </w:rPr>
        <w:t xml:space="preserve"> </w:t>
      </w:r>
      <w:hyperlink r:id="rId25" w:history="1">
        <w:r w:rsidR="00AD4D58" w:rsidRPr="00AD4D58">
          <w:rPr>
            <w:rStyle w:val="Hyperlink"/>
            <w:rFonts w:hint="eastAsia"/>
            <w:color w:val="0000FF"/>
            <w:rtl/>
          </w:rPr>
          <w:t>רע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1267/23</w:t>
        </w:r>
      </w:hyperlink>
      <w:r>
        <w:rPr>
          <w:rtl/>
        </w:rPr>
        <w:t xml:space="preserve"> </w:t>
      </w:r>
      <w:r>
        <w:rPr>
          <w:b/>
          <w:bCs/>
          <w:rtl/>
        </w:rPr>
        <w:t>בלקר</w:t>
      </w:r>
      <w:r w:rsidR="00AD4D58">
        <w:rPr>
          <w:b/>
          <w:bCs/>
          <w:rtl/>
        </w:rPr>
        <w:t xml:space="preserve"> </w:t>
      </w:r>
      <w:r>
        <w:rPr>
          <w:b/>
          <w:bCs/>
          <w:rtl/>
        </w:rPr>
        <w:t xml:space="preserve">נ' מדינת ישראל </w:t>
      </w:r>
      <w:r>
        <w:rPr>
          <w:rtl/>
        </w:rPr>
        <w:t>[פורסם בנבו]</w:t>
      </w:r>
      <w:r w:rsidR="00AD4D58">
        <w:rPr>
          <w:rtl/>
        </w:rPr>
        <w:t xml:space="preserve"> </w:t>
      </w:r>
      <w:r>
        <w:t>(06.03.2023)</w:t>
      </w:r>
      <w:r>
        <w:rPr>
          <w:rtl/>
        </w:rPr>
        <w:t xml:space="preserve">; </w:t>
      </w:r>
      <w:hyperlink r:id="rId26" w:history="1">
        <w:r w:rsidR="00AD4D58" w:rsidRPr="00AD4D58">
          <w:rPr>
            <w:rStyle w:val="Hyperlink"/>
            <w:rFonts w:hint="eastAsia"/>
            <w:color w:val="0000FF"/>
            <w:rtl/>
          </w:rPr>
          <w:t>רע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322/15</w:t>
        </w:r>
      </w:hyperlink>
      <w:r>
        <w:rPr>
          <w:u w:val="single"/>
          <w:rtl/>
        </w:rPr>
        <w:t xml:space="preserve"> </w:t>
      </w:r>
      <w:r>
        <w:rPr>
          <w:b/>
          <w:bCs/>
          <w:rtl/>
        </w:rPr>
        <w:t>ג'אנח נ' מדינת ישראל</w:t>
      </w:r>
      <w:r>
        <w:rPr>
          <w:rtl/>
        </w:rPr>
        <w:t xml:space="preserve"> [פורסם בנבו] (22.01.2015);</w:t>
      </w:r>
      <w:r>
        <w:rPr>
          <w:shd w:val="clear" w:color="auto" w:fill="FAFAFA"/>
          <w:rtl/>
        </w:rPr>
        <w:t xml:space="preserve"> </w:t>
      </w:r>
      <w:hyperlink r:id="rId27" w:history="1">
        <w:r w:rsidR="00AD4D58" w:rsidRPr="00AD4D58">
          <w:rPr>
            <w:rStyle w:val="Hyperlink"/>
            <w:rFonts w:hint="eastAsia"/>
            <w:color w:val="0000FF"/>
            <w:shd w:val="clear" w:color="auto" w:fill="FAFAFA"/>
            <w:rtl/>
          </w:rPr>
          <w:t>עפ</w:t>
        </w:r>
        <w:r w:rsidR="00AD4D58" w:rsidRPr="00AD4D58">
          <w:rPr>
            <w:rStyle w:val="Hyperlink"/>
            <w:color w:val="0000FF"/>
            <w:shd w:val="clear" w:color="auto" w:fill="FAFAFA"/>
            <w:rtl/>
          </w:rPr>
          <w:t>"</w:t>
        </w:r>
        <w:r w:rsidR="00AD4D58" w:rsidRPr="00AD4D58">
          <w:rPr>
            <w:rStyle w:val="Hyperlink"/>
            <w:rFonts w:hint="eastAsia"/>
            <w:color w:val="0000FF"/>
            <w:shd w:val="clear" w:color="auto" w:fill="FAFAFA"/>
            <w:rtl/>
          </w:rPr>
          <w:t>ג</w:t>
        </w:r>
        <w:r w:rsidR="00AD4D58" w:rsidRPr="00AD4D58">
          <w:rPr>
            <w:rStyle w:val="Hyperlink"/>
            <w:color w:val="0000FF"/>
            <w:shd w:val="clear" w:color="auto" w:fill="FAFAFA"/>
            <w:rtl/>
          </w:rPr>
          <w:t xml:space="preserve"> (</w:t>
        </w:r>
        <w:r w:rsidR="00AD4D58" w:rsidRPr="00AD4D58">
          <w:rPr>
            <w:rStyle w:val="Hyperlink"/>
            <w:rFonts w:hint="eastAsia"/>
            <w:color w:val="0000FF"/>
            <w:shd w:val="clear" w:color="auto" w:fill="FAFAFA"/>
            <w:rtl/>
          </w:rPr>
          <w:t>מחוזי</w:t>
        </w:r>
        <w:r w:rsidR="00AD4D58" w:rsidRPr="00AD4D58">
          <w:rPr>
            <w:rStyle w:val="Hyperlink"/>
            <w:color w:val="0000FF"/>
            <w:shd w:val="clear" w:color="auto" w:fill="FAFAFA"/>
            <w:rtl/>
          </w:rPr>
          <w:t xml:space="preserve"> – </w:t>
        </w:r>
        <w:r w:rsidR="00AD4D58" w:rsidRPr="00AD4D58">
          <w:rPr>
            <w:rStyle w:val="Hyperlink"/>
            <w:rFonts w:hint="eastAsia"/>
            <w:color w:val="0000FF"/>
            <w:shd w:val="clear" w:color="auto" w:fill="FAFAFA"/>
            <w:rtl/>
          </w:rPr>
          <w:t>מרכז</w:t>
        </w:r>
        <w:r w:rsidR="00AD4D58" w:rsidRPr="00AD4D58">
          <w:rPr>
            <w:rStyle w:val="Hyperlink"/>
            <w:color w:val="0000FF"/>
            <w:shd w:val="clear" w:color="auto" w:fill="FAFAFA"/>
            <w:rtl/>
          </w:rPr>
          <w:t>) 61313-02-20</w:t>
        </w:r>
      </w:hyperlink>
      <w:r>
        <w:rPr>
          <w:shd w:val="clear" w:color="auto" w:fill="FAFAFA"/>
          <w:rtl/>
        </w:rPr>
        <w:t xml:space="preserve"> </w:t>
      </w:r>
      <w:r>
        <w:rPr>
          <w:b/>
          <w:bCs/>
          <w:shd w:val="clear" w:color="auto" w:fill="FAFAFA"/>
          <w:rtl/>
        </w:rPr>
        <w:t>פצו'לקין נגד מדינת ישראל</w:t>
      </w:r>
      <w:r>
        <w:rPr>
          <w:shd w:val="clear" w:color="auto" w:fill="FAFAFA"/>
          <w:rtl/>
        </w:rPr>
        <w:t xml:space="preserve"> [לא פורסם] (08.09.2020);</w:t>
      </w:r>
      <w:r>
        <w:rPr>
          <w:rtl/>
        </w:rPr>
        <w:t xml:space="preserve"> </w:t>
      </w:r>
      <w:hyperlink r:id="rId28"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שלום</w:t>
        </w:r>
        <w:r w:rsidR="00AD4D58" w:rsidRPr="00AD4D58">
          <w:rPr>
            <w:rStyle w:val="Hyperlink"/>
            <w:color w:val="0000FF"/>
            <w:rtl/>
          </w:rPr>
          <w:t xml:space="preserve"> </w:t>
        </w:r>
        <w:r w:rsidR="00AD4D58" w:rsidRPr="00AD4D58">
          <w:rPr>
            <w:rStyle w:val="Hyperlink"/>
            <w:rFonts w:hint="eastAsia"/>
            <w:color w:val="0000FF"/>
            <w:rtl/>
          </w:rPr>
          <w:t>ב</w:t>
        </w:r>
        <w:r w:rsidR="00AD4D58" w:rsidRPr="00AD4D58">
          <w:rPr>
            <w:rStyle w:val="Hyperlink"/>
            <w:color w:val="0000FF"/>
            <w:rtl/>
          </w:rPr>
          <w:t>"</w:t>
        </w:r>
        <w:r w:rsidR="00AD4D58" w:rsidRPr="00AD4D58">
          <w:rPr>
            <w:rStyle w:val="Hyperlink"/>
            <w:rFonts w:hint="eastAsia"/>
            <w:color w:val="0000FF"/>
            <w:rtl/>
          </w:rPr>
          <w:t>ש</w:t>
        </w:r>
        <w:r w:rsidR="00AD4D58" w:rsidRPr="00AD4D58">
          <w:rPr>
            <w:rStyle w:val="Hyperlink"/>
            <w:color w:val="0000FF"/>
            <w:rtl/>
          </w:rPr>
          <w:t>) 14656-12-20</w:t>
        </w:r>
      </w:hyperlink>
      <w:r>
        <w:rPr>
          <w:rtl/>
        </w:rPr>
        <w:t xml:space="preserve"> </w:t>
      </w:r>
      <w:r>
        <w:rPr>
          <w:b/>
          <w:bCs/>
          <w:rtl/>
        </w:rPr>
        <w:t>מדינת ישראל נ' פאדי</w:t>
      </w:r>
      <w:r>
        <w:rPr>
          <w:rtl/>
        </w:rPr>
        <w:t xml:space="preserve"> [פורסם בנבו] (10.3.2021); </w:t>
      </w:r>
      <w:r w:rsidR="00AD4D58">
        <w:rPr>
          <w:rtl/>
        </w:rPr>
        <w:t xml:space="preserve"> </w:t>
      </w:r>
      <w:hyperlink r:id="rId29"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שלום</w:t>
        </w:r>
        <w:r w:rsidR="00AD4D58" w:rsidRPr="00AD4D58">
          <w:rPr>
            <w:rStyle w:val="Hyperlink"/>
            <w:color w:val="0000FF"/>
            <w:rtl/>
          </w:rPr>
          <w:t xml:space="preserve"> </w:t>
        </w:r>
        <w:r w:rsidR="00AD4D58" w:rsidRPr="00AD4D58">
          <w:rPr>
            <w:rStyle w:val="Hyperlink"/>
            <w:rFonts w:hint="eastAsia"/>
            <w:color w:val="0000FF"/>
            <w:rtl/>
          </w:rPr>
          <w:t>ק</w:t>
        </w:r>
        <w:r w:rsidR="00AD4D58" w:rsidRPr="00AD4D58">
          <w:rPr>
            <w:rStyle w:val="Hyperlink"/>
            <w:color w:val="0000FF"/>
            <w:rtl/>
          </w:rPr>
          <w:t>"</w:t>
        </w:r>
        <w:r w:rsidR="00AD4D58" w:rsidRPr="00AD4D58">
          <w:rPr>
            <w:rStyle w:val="Hyperlink"/>
            <w:rFonts w:hint="eastAsia"/>
            <w:color w:val="0000FF"/>
            <w:rtl/>
          </w:rPr>
          <w:t>ג</w:t>
        </w:r>
        <w:r w:rsidR="00AD4D58" w:rsidRPr="00AD4D58">
          <w:rPr>
            <w:rStyle w:val="Hyperlink"/>
            <w:color w:val="0000FF"/>
            <w:rtl/>
          </w:rPr>
          <w:t>) 15091-06-21</w:t>
        </w:r>
      </w:hyperlink>
      <w:r>
        <w:rPr>
          <w:rtl/>
        </w:rPr>
        <w:t xml:space="preserve">  </w:t>
      </w:r>
      <w:r>
        <w:rPr>
          <w:b/>
          <w:bCs/>
          <w:rtl/>
        </w:rPr>
        <w:t>מדינת ישראל נ' אידו</w:t>
      </w:r>
      <w:r>
        <w:rPr>
          <w:rtl/>
        </w:rPr>
        <w:t xml:space="preserve"> [פורסם בנבו] (</w:t>
      </w:r>
      <w:r>
        <w:t>11.04.2022</w:t>
      </w:r>
      <w:r>
        <w:rPr>
          <w:rtl/>
        </w:rPr>
        <w:t xml:space="preserve">); </w:t>
      </w:r>
      <w:hyperlink r:id="rId30" w:history="1">
        <w:r w:rsidR="00AD4D58" w:rsidRPr="00AD4D58">
          <w:rPr>
            <w:rStyle w:val="Hyperlink"/>
            <w:rFonts w:hint="eastAsia"/>
            <w:color w:val="0000FF"/>
            <w:shd w:val="clear" w:color="auto" w:fill="FAFAFA"/>
            <w:rtl/>
          </w:rPr>
          <w:t>ת</w:t>
        </w:r>
        <w:r w:rsidR="00AD4D58" w:rsidRPr="00AD4D58">
          <w:rPr>
            <w:rStyle w:val="Hyperlink"/>
            <w:color w:val="0000FF"/>
            <w:shd w:val="clear" w:color="auto" w:fill="FAFAFA"/>
            <w:rtl/>
          </w:rPr>
          <w:t>"</w:t>
        </w:r>
        <w:r w:rsidR="00AD4D58" w:rsidRPr="00AD4D58">
          <w:rPr>
            <w:rStyle w:val="Hyperlink"/>
            <w:rFonts w:hint="eastAsia"/>
            <w:color w:val="0000FF"/>
            <w:shd w:val="clear" w:color="auto" w:fill="FAFAFA"/>
            <w:rtl/>
          </w:rPr>
          <w:t>פ</w:t>
        </w:r>
        <w:r w:rsidR="00AD4D58" w:rsidRPr="00AD4D58">
          <w:rPr>
            <w:rStyle w:val="Hyperlink"/>
            <w:color w:val="0000FF"/>
            <w:shd w:val="clear" w:color="auto" w:fill="FAFAFA"/>
            <w:rtl/>
          </w:rPr>
          <w:t xml:space="preserve"> (</w:t>
        </w:r>
        <w:r w:rsidR="00AD4D58" w:rsidRPr="00AD4D58">
          <w:rPr>
            <w:rStyle w:val="Hyperlink"/>
            <w:rFonts w:hint="eastAsia"/>
            <w:color w:val="0000FF"/>
            <w:shd w:val="clear" w:color="auto" w:fill="FAFAFA"/>
            <w:rtl/>
          </w:rPr>
          <w:t>שלום</w:t>
        </w:r>
        <w:r w:rsidR="00AD4D58" w:rsidRPr="00AD4D58">
          <w:rPr>
            <w:rStyle w:val="Hyperlink"/>
            <w:color w:val="0000FF"/>
            <w:shd w:val="clear" w:color="auto" w:fill="FAFAFA"/>
            <w:rtl/>
          </w:rPr>
          <w:t xml:space="preserve"> </w:t>
        </w:r>
        <w:r w:rsidR="00AD4D58" w:rsidRPr="00AD4D58">
          <w:rPr>
            <w:rStyle w:val="Hyperlink"/>
            <w:rFonts w:hint="eastAsia"/>
            <w:color w:val="0000FF"/>
            <w:shd w:val="clear" w:color="auto" w:fill="FAFAFA"/>
            <w:rtl/>
          </w:rPr>
          <w:t>ק</w:t>
        </w:r>
        <w:r w:rsidR="00AD4D58" w:rsidRPr="00AD4D58">
          <w:rPr>
            <w:rStyle w:val="Hyperlink"/>
            <w:color w:val="0000FF"/>
            <w:shd w:val="clear" w:color="auto" w:fill="FAFAFA"/>
            <w:rtl/>
          </w:rPr>
          <w:t>"</w:t>
        </w:r>
        <w:r w:rsidR="00AD4D58" w:rsidRPr="00AD4D58">
          <w:rPr>
            <w:rStyle w:val="Hyperlink"/>
            <w:rFonts w:hint="eastAsia"/>
            <w:color w:val="0000FF"/>
            <w:shd w:val="clear" w:color="auto" w:fill="FAFAFA"/>
            <w:rtl/>
          </w:rPr>
          <w:t>ג</w:t>
        </w:r>
        <w:r w:rsidR="00AD4D58" w:rsidRPr="00AD4D58">
          <w:rPr>
            <w:rStyle w:val="Hyperlink"/>
            <w:color w:val="0000FF"/>
            <w:shd w:val="clear" w:color="auto" w:fill="FAFAFA"/>
            <w:rtl/>
          </w:rPr>
          <w:t>) 10215-10-19</w:t>
        </w:r>
      </w:hyperlink>
      <w:r w:rsidR="00AD4D58">
        <w:rPr>
          <w:shd w:val="clear" w:color="auto" w:fill="FAFAFA"/>
          <w:rtl/>
        </w:rPr>
        <w:t xml:space="preserve"> </w:t>
      </w:r>
      <w:r>
        <w:rPr>
          <w:b/>
          <w:bCs/>
          <w:shd w:val="clear" w:color="auto" w:fill="FAFAFA"/>
          <w:rtl/>
        </w:rPr>
        <w:t>מדינת ישראל נ' עמר</w:t>
      </w:r>
      <w:r w:rsidR="00AD4D58">
        <w:rPr>
          <w:rFonts w:ascii="Arimo" w:hAnsi="Arimo"/>
          <w:shd w:val="clear" w:color="auto" w:fill="FAFAFA"/>
          <w:rtl/>
        </w:rPr>
        <w:t xml:space="preserve"> </w:t>
      </w:r>
      <w:r>
        <w:rPr>
          <w:shd w:val="clear" w:color="auto" w:fill="FAFAFA"/>
          <w:rtl/>
        </w:rPr>
        <w:t>[פורסם בנבו] (</w:t>
      </w:r>
      <w:r>
        <w:rPr>
          <w:rFonts w:ascii="Arimo" w:hAnsi="Arimo"/>
          <w:shd w:val="clear" w:color="auto" w:fill="FAFAFA"/>
          <w:rtl/>
        </w:rPr>
        <w:t>14.07.2021)</w:t>
      </w:r>
      <w:r>
        <w:rPr>
          <w:rtl/>
        </w:rPr>
        <w:t xml:space="preserve"> – ויוער כי הערעור שהוגש על ידי הנאשם במסגרת </w:t>
      </w:r>
      <w:hyperlink r:id="rId31" w:history="1">
        <w:r w:rsidR="00AD4D58" w:rsidRPr="00AD4D58">
          <w:rPr>
            <w:rStyle w:val="Hyperlink"/>
            <w:rFonts w:hint="eastAsia"/>
            <w:color w:val="0000FF"/>
            <w:rtl/>
          </w:rPr>
          <w:t>עפ</w:t>
        </w:r>
        <w:r w:rsidR="00AD4D58" w:rsidRPr="00AD4D58">
          <w:rPr>
            <w:rStyle w:val="Hyperlink"/>
            <w:color w:val="0000FF"/>
            <w:rtl/>
          </w:rPr>
          <w:t>"</w:t>
        </w:r>
        <w:r w:rsidR="00AD4D58" w:rsidRPr="00AD4D58">
          <w:rPr>
            <w:rStyle w:val="Hyperlink"/>
            <w:rFonts w:hint="eastAsia"/>
            <w:color w:val="0000FF"/>
            <w:rtl/>
          </w:rPr>
          <w:t>ג</w:t>
        </w:r>
        <w:r w:rsidR="00AD4D58" w:rsidRPr="00AD4D58">
          <w:rPr>
            <w:rStyle w:val="Hyperlink"/>
            <w:color w:val="0000FF"/>
            <w:rtl/>
          </w:rPr>
          <w:t xml:space="preserve"> (</w:t>
        </w:r>
        <w:r w:rsidR="00AD4D58" w:rsidRPr="00AD4D58">
          <w:rPr>
            <w:rStyle w:val="Hyperlink"/>
            <w:rFonts w:hint="eastAsia"/>
            <w:color w:val="0000FF"/>
            <w:rtl/>
          </w:rPr>
          <w:t>מחוזי</w:t>
        </w:r>
        <w:r w:rsidR="00AD4D58" w:rsidRPr="00AD4D58">
          <w:rPr>
            <w:rStyle w:val="Hyperlink"/>
            <w:color w:val="0000FF"/>
            <w:rtl/>
          </w:rPr>
          <w:t xml:space="preserve"> </w:t>
        </w:r>
        <w:r w:rsidR="00AD4D58" w:rsidRPr="00AD4D58">
          <w:rPr>
            <w:rStyle w:val="Hyperlink"/>
            <w:rFonts w:hint="eastAsia"/>
            <w:color w:val="0000FF"/>
            <w:rtl/>
          </w:rPr>
          <w:t>ב</w:t>
        </w:r>
        <w:r w:rsidR="00AD4D58" w:rsidRPr="00AD4D58">
          <w:rPr>
            <w:rStyle w:val="Hyperlink"/>
            <w:color w:val="0000FF"/>
            <w:rtl/>
          </w:rPr>
          <w:t>"</w:t>
        </w:r>
        <w:r w:rsidR="00AD4D58" w:rsidRPr="00AD4D58">
          <w:rPr>
            <w:rStyle w:val="Hyperlink"/>
            <w:rFonts w:hint="eastAsia"/>
            <w:color w:val="0000FF"/>
            <w:rtl/>
          </w:rPr>
          <w:t>ש</w:t>
        </w:r>
        <w:r w:rsidR="00AD4D58" w:rsidRPr="00AD4D58">
          <w:rPr>
            <w:rStyle w:val="Hyperlink"/>
            <w:color w:val="0000FF"/>
            <w:rtl/>
          </w:rPr>
          <w:t>) 51992-08-21</w:t>
        </w:r>
      </w:hyperlink>
      <w:r>
        <w:rPr>
          <w:rtl/>
        </w:rPr>
        <w:t xml:space="preserve"> </w:t>
      </w:r>
      <w:r>
        <w:rPr>
          <w:b/>
          <w:bCs/>
          <w:rtl/>
        </w:rPr>
        <w:t>עמר נגד מדינת ישראל</w:t>
      </w:r>
      <w:r>
        <w:rPr>
          <w:rtl/>
        </w:rPr>
        <w:t xml:space="preserve"> [לא פורסם] (12.01.2022), נמחק בהסכמתו);</w:t>
      </w:r>
      <w:r>
        <w:rPr>
          <w:b/>
          <w:bCs/>
          <w:rtl/>
        </w:rPr>
        <w:t xml:space="preserve"> </w:t>
      </w:r>
      <w:hyperlink r:id="rId32"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מחוזי</w:t>
        </w:r>
        <w:r w:rsidR="00AD4D58" w:rsidRPr="00AD4D58">
          <w:rPr>
            <w:rStyle w:val="Hyperlink"/>
            <w:color w:val="0000FF"/>
            <w:rtl/>
          </w:rPr>
          <w:t xml:space="preserve"> </w:t>
        </w:r>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א</w:t>
        </w:r>
        <w:r w:rsidR="00AD4D58" w:rsidRPr="00AD4D58">
          <w:rPr>
            <w:rStyle w:val="Hyperlink"/>
            <w:color w:val="0000FF"/>
            <w:rtl/>
          </w:rPr>
          <w:t>) 20903-09-19</w:t>
        </w:r>
      </w:hyperlink>
      <w:r w:rsidR="00AD4D58">
        <w:rPr>
          <w:b/>
          <w:bCs/>
          <w:rtl/>
        </w:rPr>
        <w:t xml:space="preserve"> </w:t>
      </w:r>
      <w:r>
        <w:rPr>
          <w:b/>
          <w:bCs/>
          <w:rtl/>
        </w:rPr>
        <w:t>ברבי נ' מדינת ישראל</w:t>
      </w:r>
      <w:r w:rsidR="00AD4D58">
        <w:rPr>
          <w:b/>
          <w:bCs/>
          <w:rtl/>
        </w:rPr>
        <w:t xml:space="preserve"> </w:t>
      </w:r>
      <w:r>
        <w:rPr>
          <w:rtl/>
        </w:rPr>
        <w:t>[טרם פורסם במאגרים במשפטיים] (</w:t>
      </w:r>
      <w:r>
        <w:t>(11.12.2019</w:t>
      </w:r>
      <w:r>
        <w:rPr>
          <w:rtl/>
        </w:rPr>
        <w:t xml:space="preserve">; </w:t>
      </w:r>
      <w:hyperlink r:id="rId33"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שלום</w:t>
        </w:r>
        <w:r w:rsidR="00AD4D58" w:rsidRPr="00AD4D58">
          <w:rPr>
            <w:rStyle w:val="Hyperlink"/>
            <w:color w:val="0000FF"/>
            <w:rtl/>
          </w:rPr>
          <w:t xml:space="preserve"> </w:t>
        </w:r>
        <w:r w:rsidR="00AD4D58" w:rsidRPr="00AD4D58">
          <w:rPr>
            <w:rStyle w:val="Hyperlink"/>
            <w:rFonts w:hint="eastAsia"/>
            <w:color w:val="0000FF"/>
            <w:rtl/>
          </w:rPr>
          <w:t>ק</w:t>
        </w:r>
        <w:r w:rsidR="00AD4D58" w:rsidRPr="00AD4D58">
          <w:rPr>
            <w:rStyle w:val="Hyperlink"/>
            <w:color w:val="0000FF"/>
            <w:rtl/>
          </w:rPr>
          <w:t>"</w:t>
        </w:r>
        <w:r w:rsidR="00AD4D58" w:rsidRPr="00AD4D58">
          <w:rPr>
            <w:rStyle w:val="Hyperlink"/>
            <w:rFonts w:hint="eastAsia"/>
            <w:color w:val="0000FF"/>
            <w:rtl/>
          </w:rPr>
          <w:t>ג</w:t>
        </w:r>
        <w:r w:rsidR="00AD4D58" w:rsidRPr="00AD4D58">
          <w:rPr>
            <w:rStyle w:val="Hyperlink"/>
            <w:color w:val="0000FF"/>
            <w:rtl/>
          </w:rPr>
          <w:t>) 44015-11-21</w:t>
        </w:r>
      </w:hyperlink>
      <w:r>
        <w:rPr>
          <w:u w:val="single"/>
          <w:rtl/>
        </w:rPr>
        <w:t xml:space="preserve"> </w:t>
      </w:r>
      <w:r>
        <w:rPr>
          <w:b/>
          <w:bCs/>
          <w:rtl/>
        </w:rPr>
        <w:t xml:space="preserve">מדינת ישראל נ' נגבקר </w:t>
      </w:r>
      <w:r>
        <w:rPr>
          <w:rtl/>
        </w:rPr>
        <w:t xml:space="preserve">[פורסם בנבו] (12.07.2023); </w:t>
      </w:r>
      <w:hyperlink r:id="rId34"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שלום</w:t>
        </w:r>
        <w:r w:rsidR="00AD4D58" w:rsidRPr="00AD4D58">
          <w:rPr>
            <w:rStyle w:val="Hyperlink"/>
            <w:color w:val="0000FF"/>
            <w:rtl/>
          </w:rPr>
          <w:t xml:space="preserve"> </w:t>
        </w:r>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א</w:t>
        </w:r>
        <w:r w:rsidR="00AD4D58" w:rsidRPr="00AD4D58">
          <w:rPr>
            <w:rStyle w:val="Hyperlink"/>
            <w:color w:val="0000FF"/>
            <w:rtl/>
          </w:rPr>
          <w:t>) 43383-08-18</w:t>
        </w:r>
      </w:hyperlink>
      <w:r>
        <w:rPr>
          <w:rtl/>
        </w:rPr>
        <w:t xml:space="preserve"> </w:t>
      </w:r>
      <w:r>
        <w:rPr>
          <w:b/>
          <w:bCs/>
          <w:rtl/>
        </w:rPr>
        <w:t xml:space="preserve">מדינת ישראל נ' אביתבול </w:t>
      </w:r>
      <w:r>
        <w:rPr>
          <w:rtl/>
        </w:rPr>
        <w:t xml:space="preserve">[טרם פורסם במאגרים המשפטיים]  (11.02.2020); </w:t>
      </w:r>
      <w:r w:rsidR="00AD4D58">
        <w:t xml:space="preserve"> </w:t>
      </w:r>
      <w:hyperlink r:id="rId35"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שלום</w:t>
        </w:r>
        <w:r w:rsidR="00AD4D58" w:rsidRPr="00AD4D58">
          <w:rPr>
            <w:rStyle w:val="Hyperlink"/>
            <w:color w:val="0000FF"/>
            <w:rtl/>
          </w:rPr>
          <w:t xml:space="preserve"> </w:t>
        </w:r>
        <w:r w:rsidR="00AD4D58" w:rsidRPr="00AD4D58">
          <w:rPr>
            <w:rStyle w:val="Hyperlink"/>
            <w:rFonts w:hint="eastAsia"/>
            <w:color w:val="0000FF"/>
            <w:rtl/>
          </w:rPr>
          <w:t>ב</w:t>
        </w:r>
        <w:r w:rsidR="00AD4D58" w:rsidRPr="00AD4D58">
          <w:rPr>
            <w:rStyle w:val="Hyperlink"/>
            <w:color w:val="0000FF"/>
            <w:rtl/>
          </w:rPr>
          <w:t>"</w:t>
        </w:r>
        <w:r w:rsidR="00AD4D58" w:rsidRPr="00AD4D58">
          <w:rPr>
            <w:rStyle w:val="Hyperlink"/>
            <w:rFonts w:hint="eastAsia"/>
            <w:color w:val="0000FF"/>
            <w:rtl/>
          </w:rPr>
          <w:t>ש</w:t>
        </w:r>
        <w:r w:rsidR="00AD4D58" w:rsidRPr="00AD4D58">
          <w:rPr>
            <w:rStyle w:val="Hyperlink"/>
            <w:color w:val="0000FF"/>
            <w:rtl/>
          </w:rPr>
          <w:t>) 39829-08-21</w:t>
        </w:r>
      </w:hyperlink>
      <w:r w:rsidR="00AD4D58">
        <w:t xml:space="preserve"> </w:t>
      </w:r>
      <w:r>
        <w:rPr>
          <w:b/>
          <w:bCs/>
          <w:rtl/>
        </w:rPr>
        <w:t>מדינת ישראל נ' אלקשחר</w:t>
      </w:r>
      <w:r>
        <w:rPr>
          <w:rtl/>
        </w:rPr>
        <w:t xml:space="preserve"> [פורסם בנבו]</w:t>
      </w:r>
      <w:r w:rsidR="00AD4D58">
        <w:rPr>
          <w:rtl/>
        </w:rPr>
        <w:t xml:space="preserve"> </w:t>
      </w:r>
      <w:r>
        <w:t>(26.03.2023)</w:t>
      </w:r>
      <w:r>
        <w:rPr>
          <w:rtl/>
        </w:rPr>
        <w:t>; ו</w:t>
      </w:r>
      <w:hyperlink r:id="rId36"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שלום</w:t>
        </w:r>
        <w:r w:rsidR="00AD4D58" w:rsidRPr="00AD4D58">
          <w:rPr>
            <w:rStyle w:val="Hyperlink"/>
            <w:color w:val="0000FF"/>
            <w:rtl/>
          </w:rPr>
          <w:t xml:space="preserve"> </w:t>
        </w:r>
        <w:r w:rsidR="00AD4D58" w:rsidRPr="00AD4D58">
          <w:rPr>
            <w:rStyle w:val="Hyperlink"/>
            <w:rFonts w:hint="eastAsia"/>
            <w:color w:val="0000FF"/>
            <w:rtl/>
          </w:rPr>
          <w:t>ב</w:t>
        </w:r>
        <w:r w:rsidR="00AD4D58" w:rsidRPr="00AD4D58">
          <w:rPr>
            <w:rStyle w:val="Hyperlink"/>
            <w:color w:val="0000FF"/>
            <w:rtl/>
          </w:rPr>
          <w:t>"</w:t>
        </w:r>
        <w:r w:rsidR="00AD4D58" w:rsidRPr="00AD4D58">
          <w:rPr>
            <w:rStyle w:val="Hyperlink"/>
            <w:rFonts w:hint="eastAsia"/>
            <w:color w:val="0000FF"/>
            <w:rtl/>
          </w:rPr>
          <w:t>ש</w:t>
        </w:r>
        <w:r w:rsidR="00AD4D58" w:rsidRPr="00AD4D58">
          <w:rPr>
            <w:rStyle w:val="Hyperlink"/>
            <w:color w:val="0000FF"/>
            <w:rtl/>
          </w:rPr>
          <w:t>) 14656-12-20</w:t>
        </w:r>
      </w:hyperlink>
      <w:r w:rsidR="00AD4D58">
        <w:t xml:space="preserve"> </w:t>
      </w:r>
      <w:r>
        <w:rPr>
          <w:b/>
          <w:bCs/>
          <w:rtl/>
        </w:rPr>
        <w:t>מדינת ישראל נ' אל עלאווין</w:t>
      </w:r>
      <w:r>
        <w:rPr>
          <w:rtl/>
        </w:rPr>
        <w:t xml:space="preserve"> [טרם פורסם במאגרים המשפטיים]</w:t>
      </w:r>
      <w:r>
        <w:t>(10.03.2021)</w:t>
      </w:r>
      <w:r w:rsidR="00AD4D58">
        <w:t xml:space="preserve"> </w:t>
      </w:r>
      <w:r>
        <w:rPr>
          <w:rtl/>
        </w:rPr>
        <w:t>.</w:t>
      </w:r>
    </w:p>
    <w:p w14:paraId="75EFBD03" w14:textId="77777777" w:rsidR="00E7053E" w:rsidRDefault="00E7053E" w:rsidP="00E7761C">
      <w:pPr>
        <w:pStyle w:val="ListParagraph"/>
        <w:numPr>
          <w:ilvl w:val="0"/>
          <w:numId w:val="2"/>
        </w:numPr>
        <w:ind w:left="-58"/>
        <w:rPr>
          <w:b/>
          <w:bCs/>
        </w:rPr>
      </w:pPr>
      <w:r>
        <w:rPr>
          <w:rtl/>
        </w:rPr>
        <w:t xml:space="preserve">כאן אציין, כי אף לא התעלמתי מהפסיקה אליה הפנו הצדדים, אולם הדבר נעשה תוך ביצוע האבחנות המתבקשות. כך </w:t>
      </w:r>
      <w:r>
        <w:rPr>
          <w:shd w:val="clear" w:color="auto" w:fill="FAFAFA"/>
          <w:rtl/>
        </w:rPr>
        <w:t xml:space="preserve">למשל, </w:t>
      </w:r>
      <w:r>
        <w:rPr>
          <w:rtl/>
        </w:rPr>
        <w:t xml:space="preserve">ובכל הנוגע לפסיקה שאליה הפנתה המאשימה, הרי </w:t>
      </w:r>
      <w:r>
        <w:rPr>
          <w:u w:val="single"/>
          <w:rtl/>
        </w:rPr>
        <w:t>שב</w:t>
      </w:r>
      <w:hyperlink r:id="rId37"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ק</w:t>
        </w:r>
        <w:r w:rsidR="00AD4D58" w:rsidRPr="00AD4D58">
          <w:rPr>
            <w:rStyle w:val="Hyperlink"/>
            <w:color w:val="0000FF"/>
            <w:rtl/>
          </w:rPr>
          <w:t>"</w:t>
        </w:r>
        <w:r w:rsidR="00AD4D58" w:rsidRPr="00AD4D58">
          <w:rPr>
            <w:rStyle w:val="Hyperlink"/>
            <w:rFonts w:hint="eastAsia"/>
            <w:color w:val="0000FF"/>
            <w:rtl/>
          </w:rPr>
          <w:t>ג</w:t>
        </w:r>
        <w:r w:rsidR="00AD4D58" w:rsidRPr="00AD4D58">
          <w:rPr>
            <w:rStyle w:val="Hyperlink"/>
            <w:color w:val="0000FF"/>
            <w:rtl/>
          </w:rPr>
          <w:t>) 10215-10-19</w:t>
        </w:r>
      </w:hyperlink>
      <w:r>
        <w:rPr>
          <w:u w:val="single"/>
          <w:rtl/>
        </w:rPr>
        <w:t xml:space="preserve"> </w:t>
      </w:r>
      <w:r>
        <w:rPr>
          <w:b/>
          <w:bCs/>
          <w:rtl/>
        </w:rPr>
        <w:t xml:space="preserve">מדינת ישראל נ' עמר </w:t>
      </w:r>
      <w:r>
        <w:rPr>
          <w:rtl/>
        </w:rPr>
        <w:t xml:space="preserve"> [פורסם בנבו] (14.07.2021), המדובר בנאשם שהורשע בהחזקת סם מסוג קנבוס שלא לצריכה עצמית בכמות של 200.6 גר' נטו ובעבירת איומים. בית המשפט קבע מתחם לעבירת החזקת הסם, שנע בין כמה חודשים לריצוי בעבודות שירות לבין 12 חודשים מאסר בפועל. על הנאשם הושתו 7 חודשים מאסר לריצוי בעבודות שירות. הגם שכמות הסם מסוג קנבוס הינה דומה, ברי כי אין המדובר בעבירות זהות ואף מדובר בנאשם שנסיבותיו שונות בהיותו אוחז בעבר פלילי מכביד, בשונה מענייננו, כך שיקשה על בית המשפט לגזור תובנות מפסיקה זו למקרה המונח לפתחי. </w:t>
      </w:r>
    </w:p>
    <w:p w14:paraId="09331DB8" w14:textId="77777777" w:rsidR="00E7053E" w:rsidRDefault="00E7053E" w:rsidP="00E7761C">
      <w:pPr>
        <w:pStyle w:val="ListParagraph"/>
        <w:numPr>
          <w:ilvl w:val="0"/>
          <w:numId w:val="2"/>
        </w:numPr>
        <w:ind w:left="-58"/>
      </w:pPr>
      <w:r>
        <w:rPr>
          <w:rtl/>
        </w:rPr>
        <w:t>וכך, ובכל הנוגע לפסיקה שאליה הפנתה ההגנה, הרי ש</w:t>
      </w:r>
      <w:r>
        <w:rPr>
          <w:u w:val="single"/>
          <w:rtl/>
        </w:rPr>
        <w:t>ב</w:t>
      </w:r>
      <w:hyperlink r:id="rId38"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חד</w:t>
        </w:r>
        <w:r w:rsidR="00AD4D58" w:rsidRPr="00AD4D58">
          <w:rPr>
            <w:rStyle w:val="Hyperlink"/>
            <w:color w:val="0000FF"/>
            <w:rtl/>
          </w:rPr>
          <w:t>') 1551-08-20</w:t>
        </w:r>
      </w:hyperlink>
      <w:r>
        <w:rPr>
          <w:u w:val="single"/>
          <w:rtl/>
        </w:rPr>
        <w:t xml:space="preserve"> </w:t>
      </w:r>
      <w:r>
        <w:rPr>
          <w:b/>
          <w:bCs/>
          <w:rtl/>
        </w:rPr>
        <w:t xml:space="preserve">מדינת ישראל נ' אומנסקי </w:t>
      </w:r>
      <w:r>
        <w:rPr>
          <w:rtl/>
        </w:rPr>
        <w:t xml:space="preserve">[טרם פורסם במאגרים המשפטיים] (14.04.2022), הנאשם הורשע בבית משפט השלום בעבירה של גידול סמים מסוכנים, בכך שגידל במעבדה 32 שתילי קנבוס במשקל כולל של 10.9 ק"ג, עם ציוד נלווה. בית המשפט </w:t>
      </w:r>
      <w:r>
        <w:rPr>
          <w:noProof/>
          <w:rtl/>
        </w:rPr>
        <w:t xml:space="preserve">קבע מתחם עונש הולם אשר נע בין 8 חודשים מאסר שיכול וירוצו בעבודות שירות ועד ל- 18 חודשים מאסר בפועל </w:t>
      </w:r>
      <w:r>
        <w:rPr>
          <w:rtl/>
        </w:rPr>
        <w:t xml:space="preserve">ומצא להסתפק באותו מקרה בהשתת ענישה בדמות מאסר מותנה. מעבר לעובדה שמדובר בעבירה השונה מזו שבעניינו, הרי שאף נסיבותיו של הנאשם שונות מאלו של הנאשם שלפניי, שכן הנאשם שם היה חף מהרשעות קודמות גם בתחום התעבורתי. בנוסף לאלו, המדובר היה בנאשם שקיבל נכון למועד מתן גזר הדין היתר לשימוש בקנבוס רפואי בשל מצבו הרפואי, כך שיקשה על בית המשפט אף כאן לגזור תובנות מפסיקה זו למקרה שלפניי; ואילו </w:t>
      </w:r>
      <w:r>
        <w:rPr>
          <w:u w:val="single"/>
          <w:rtl/>
        </w:rPr>
        <w:t>ב</w:t>
      </w:r>
      <w:hyperlink r:id="rId39" w:history="1">
        <w:r w:rsidR="00AD4D58" w:rsidRPr="00AD4D58">
          <w:rPr>
            <w:rStyle w:val="Hyperlink"/>
            <w:rFonts w:hint="eastAsia"/>
            <w:color w:val="0000FF"/>
            <w:rtl/>
          </w:rPr>
          <w:t>ת</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w:t>
        </w:r>
        <w:r w:rsidR="00AD4D58" w:rsidRPr="00AD4D58">
          <w:rPr>
            <w:rStyle w:val="Hyperlink"/>
            <w:rFonts w:hint="eastAsia"/>
            <w:color w:val="0000FF"/>
            <w:rtl/>
          </w:rPr>
          <w:t>אילת</w:t>
        </w:r>
        <w:r w:rsidR="00AD4D58" w:rsidRPr="00AD4D58">
          <w:rPr>
            <w:rStyle w:val="Hyperlink"/>
            <w:color w:val="0000FF"/>
            <w:rtl/>
          </w:rPr>
          <w:t>) 63248-12-17</w:t>
        </w:r>
      </w:hyperlink>
      <w:r>
        <w:rPr>
          <w:rtl/>
        </w:rPr>
        <w:t xml:space="preserve"> </w:t>
      </w:r>
      <w:r>
        <w:rPr>
          <w:b/>
          <w:bCs/>
          <w:rtl/>
        </w:rPr>
        <w:t xml:space="preserve">מדינת ישראל גורגא ואח' </w:t>
      </w:r>
      <w:r>
        <w:rPr>
          <w:rtl/>
        </w:rPr>
        <w:t xml:space="preserve">[טרם פורסם במאגרים המשפטיים] (14.04.2022), שם הורשע הנאשם יחד עם אחר בהחזקת סם מסוג קנבוס במשקל של 351.8615 גר' נטו שלא לצריכתם העצמית ואף בעבירה של סחר שיוחסה לנאשם 1 ועבירה של קשירת קשר לפשע, שיוחסה לנאשם 2. על הנאשם 1 הושתו עונשים בדמות מאסר בפועל לתקופה של חודשיים על דרך של עבודות שירות וענישה נלווית, ואילו על נאשם 2 נגזרו 250 שעות של"צ וצו מבחן לשנה. הנה כי כן, מדובר בעבירות שונות מעניינו כך שיקשה אף מפסיקה זו להקיש תובנות למקרה שלפנינו. עם זאת, פסיקה זו, אכן מלמדת, כי בהינתן נסיבות חריגות, יכול ובתי המשפט יסטו ממתחמי הענישה מטעמי שיקום. </w:t>
      </w:r>
    </w:p>
    <w:p w14:paraId="0907D89D" w14:textId="77777777" w:rsidR="00E7053E" w:rsidRDefault="00E7053E" w:rsidP="00E7761C">
      <w:pPr>
        <w:pStyle w:val="ListParagraph"/>
        <w:numPr>
          <w:ilvl w:val="0"/>
          <w:numId w:val="2"/>
        </w:numPr>
        <w:ind w:left="-58"/>
      </w:pPr>
      <w:r>
        <w:rPr>
          <w:rtl/>
        </w:rPr>
        <w:t xml:space="preserve">ברי,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Pr>
          <w:b/>
          <w:bCs/>
          <w:rtl/>
        </w:rPr>
        <w:t>ו"אין עסקינן בשיטת ניקוד, או באריתמטיקה. ענישה היא מלאכת מחשבת – ולא מלאכת מחשב"</w:t>
      </w:r>
      <w:r>
        <w:rPr>
          <w:rtl/>
        </w:rPr>
        <w:t xml:space="preserve"> (ראו לעניין זה, </w:t>
      </w:r>
      <w:hyperlink r:id="rId40"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5768/10</w:t>
        </w:r>
      </w:hyperlink>
      <w:r>
        <w:rPr>
          <w:rtl/>
        </w:rPr>
        <w:t xml:space="preserve"> </w:t>
      </w:r>
      <w:r>
        <w:rPr>
          <w:b/>
          <w:bCs/>
          <w:rtl/>
        </w:rPr>
        <w:t>פלוני נ' מדינת ישראל</w:t>
      </w:r>
      <w:r>
        <w:rPr>
          <w:rtl/>
        </w:rPr>
        <w:t xml:space="preserve">, </w:t>
      </w:r>
      <w:r>
        <w:rPr>
          <w:shd w:val="clear" w:color="auto" w:fill="FAFAFA"/>
          <w:rtl/>
        </w:rPr>
        <w:t>[פורסם בנבו] (</w:t>
      </w:r>
      <w:r>
        <w:rPr>
          <w:rtl/>
        </w:rPr>
        <w:t xml:space="preserve">08.06.2015)). לעולם אין לגזור עונשו של נאשם על סמך כותרות העבירות שבהן הוא הורשע ויש להתחשב במכלול הנסיבות בכל מקרה לגופו (ראו והשוו, </w:t>
      </w:r>
      <w:hyperlink r:id="rId41"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433/89</w:t>
        </w:r>
      </w:hyperlink>
      <w:r>
        <w:rPr>
          <w:rtl/>
        </w:rPr>
        <w:t xml:space="preserve"> </w:t>
      </w:r>
      <w:r>
        <w:rPr>
          <w:b/>
          <w:bCs/>
          <w:rtl/>
        </w:rPr>
        <w:t>ג'ורג' אטיאס נ' מדינת ישראל</w:t>
      </w:r>
      <w:r>
        <w:rPr>
          <w:rtl/>
        </w:rPr>
        <w:t xml:space="preserve">, פ"ד מג(4) 170, (1989); </w:t>
      </w:r>
      <w:r>
        <w:rPr>
          <w:u w:val="single"/>
          <w:rtl/>
        </w:rPr>
        <w:t>ו</w:t>
      </w:r>
      <w:hyperlink r:id="rId42" w:history="1">
        <w:r w:rsidR="00AD4D58" w:rsidRPr="00AD4D58">
          <w:rPr>
            <w:rStyle w:val="Hyperlink"/>
            <w:rFonts w:hint="eastAsia"/>
            <w:color w:val="0000FF"/>
            <w:rtl/>
          </w:rPr>
          <w:t>רע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3173/09</w:t>
        </w:r>
      </w:hyperlink>
      <w:r>
        <w:rPr>
          <w:rtl/>
        </w:rPr>
        <w:t xml:space="preserve"> </w:t>
      </w:r>
      <w:r>
        <w:rPr>
          <w:b/>
          <w:bCs/>
          <w:rtl/>
        </w:rPr>
        <w:t>פראגין נ' מדינת ישראל</w:t>
      </w:r>
      <w:r>
        <w:rPr>
          <w:rtl/>
        </w:rPr>
        <w:t xml:space="preserve">, </w:t>
      </w:r>
      <w:r>
        <w:rPr>
          <w:shd w:val="clear" w:color="auto" w:fill="FAFAFA"/>
          <w:rtl/>
        </w:rPr>
        <w:t>[פורסם בנבו] (</w:t>
      </w:r>
      <w:r>
        <w:rPr>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3"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1903/13</w:t>
        </w:r>
      </w:hyperlink>
      <w:r>
        <w:rPr>
          <w:rtl/>
        </w:rPr>
        <w:t xml:space="preserve"> </w:t>
      </w:r>
      <w:r>
        <w:rPr>
          <w:b/>
          <w:bCs/>
          <w:rtl/>
        </w:rPr>
        <w:t>חמודה עיאשה נ' מדינת ישראל</w:t>
      </w:r>
      <w:r>
        <w:rPr>
          <w:rtl/>
        </w:rPr>
        <w:t xml:space="preserve">, </w:t>
      </w:r>
      <w:r>
        <w:rPr>
          <w:shd w:val="clear" w:color="auto" w:fill="FAFAFA"/>
          <w:rtl/>
        </w:rPr>
        <w:t>[פורסם בנבו] (</w:t>
      </w:r>
      <w:r>
        <w:rPr>
          <w:rtl/>
        </w:rPr>
        <w:t>25.06.2013)).</w:t>
      </w:r>
    </w:p>
    <w:p w14:paraId="0D0DBE6E" w14:textId="77777777" w:rsidR="00E7053E" w:rsidRDefault="00E7053E" w:rsidP="00E7761C">
      <w:pPr>
        <w:pStyle w:val="ListParagraph"/>
        <w:numPr>
          <w:ilvl w:val="0"/>
          <w:numId w:val="2"/>
        </w:numPr>
        <w:ind w:left="-58"/>
        <w:rPr>
          <w:rtl/>
        </w:rPr>
      </w:pPr>
      <w:r>
        <w:rPr>
          <w:rtl/>
        </w:rPr>
        <w:t>בכל הנוגע לטענת הסנגורית, לפיה מתחמי הענישה בעבירת החזקת הסם מסוג קנבוס שלא לצריכה עצמית השתנו מאז שהמחוקק קבע כעבירה מנהלית את עבירת החזקת הקנבוס לצריכה עצמית, יצוין כי  אמנם  לא ניתן להתעלם מכך כי ביום 26.07.2018, פורסם ברשומות</w:t>
      </w:r>
      <w:r w:rsidR="00AD4D58">
        <w:rPr>
          <w:rtl/>
        </w:rPr>
        <w:t xml:space="preserve"> </w:t>
      </w:r>
      <w:r>
        <w:rPr>
          <w:u w:val="single"/>
          <w:rtl/>
        </w:rPr>
        <w:t>חוק הסמים המסוכנים (עבירת קנס מיוחדת – הוראת שעה), התשע"ח–2018</w:t>
      </w:r>
      <w:r w:rsidR="00AD4D58">
        <w:rPr>
          <w:rtl/>
        </w:rPr>
        <w:t xml:space="preserve"> </w:t>
      </w:r>
      <w:r>
        <w:rPr>
          <w:rtl/>
        </w:rPr>
        <w:t xml:space="preserve">(החוק נכנס לתוקף ביום 01.04.2019 – נ.ש.מ), ובו שונתה מדיניות הענישה בעבירה של צריכת סם מסוג קנבוס לשימוש עצמי. </w:t>
      </w:r>
    </w:p>
    <w:p w14:paraId="634F28B2" w14:textId="77777777" w:rsidR="00E7053E" w:rsidRDefault="00E7053E" w:rsidP="00E7761C">
      <w:pPr>
        <w:pStyle w:val="ListParagraph"/>
        <w:numPr>
          <w:ilvl w:val="0"/>
          <w:numId w:val="2"/>
        </w:numPr>
        <w:ind w:left="-58"/>
      </w:pPr>
      <w:r>
        <w:rPr>
          <w:rtl/>
        </w:rPr>
        <w:t>עם זאת, ב</w:t>
      </w:r>
      <w:hyperlink r:id="rId44" w:history="1">
        <w:r w:rsidR="00AD4D58" w:rsidRPr="00AD4D58">
          <w:rPr>
            <w:rStyle w:val="Hyperlink"/>
            <w:rFonts w:hint="eastAsia"/>
            <w:color w:val="0000FF"/>
            <w:rtl/>
          </w:rPr>
          <w:t>רע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2557/12</w:t>
        </w:r>
      </w:hyperlink>
      <w:r w:rsidR="00AD4D58">
        <w:rPr>
          <w:rtl/>
        </w:rPr>
        <w:t xml:space="preserve"> </w:t>
      </w:r>
      <w:r>
        <w:rPr>
          <w:b/>
          <w:bCs/>
          <w:rtl/>
        </w:rPr>
        <w:t xml:space="preserve">פרדי נ' מדינת ישראל </w:t>
      </w:r>
      <w:r>
        <w:rPr>
          <w:rtl/>
        </w:rPr>
        <w:t>[פורסם בנבו]</w:t>
      </w:r>
      <w:r w:rsidR="00AD4D58">
        <w:rPr>
          <w:rtl/>
        </w:rPr>
        <w:t xml:space="preserve"> </w:t>
      </w:r>
      <w:r>
        <w:rPr>
          <w:rtl/>
        </w:rPr>
        <w:t>(02.04.2012), עמד בית המשפט העליון על הקשר שבין עבירת החזקת הסם שלא לצריכה עצמית לעבירות הפצת הסם והסחר בסמים מסוכנים בקובעו כי:</w:t>
      </w:r>
      <w:r w:rsidR="00AD4D58">
        <w:rPr>
          <w:rtl/>
        </w:rPr>
        <w:t xml:space="preserve"> </w:t>
      </w:r>
      <w:r>
        <w:rPr>
          <w:b/>
          <w:bCs/>
          <w:rtl/>
        </w:rPr>
        <w:t xml:space="preserve">"החזקת סמים שלא לצריכה עצמית על פי העונש שקבע המחוקק, היא אחותה, ניתן לומר – תאומתה, של עבירת הסחר בסמים" </w:t>
      </w:r>
      <w:r>
        <w:rPr>
          <w:rtl/>
        </w:rPr>
        <w:t xml:space="preserve">(ראו עוד בעניין זה, </w:t>
      </w:r>
      <w:r>
        <w:rPr>
          <w:u w:val="single"/>
          <w:rtl/>
        </w:rPr>
        <w:t>ע"פ 4203/14</w:t>
      </w:r>
      <w:r w:rsidR="00AD4D58">
        <w:rPr>
          <w:rtl/>
        </w:rPr>
        <w:t xml:space="preserve"> </w:t>
      </w:r>
      <w:r>
        <w:rPr>
          <w:b/>
          <w:bCs/>
          <w:rtl/>
        </w:rPr>
        <w:t>אליהו כהן נ' מדינת ישראל</w:t>
      </w:r>
      <w:r>
        <w:rPr>
          <w:rtl/>
        </w:rPr>
        <w:t xml:space="preserve"> [פורסם בנבו]</w:t>
      </w:r>
      <w:r w:rsidR="00AD4D58">
        <w:rPr>
          <w:rtl/>
        </w:rPr>
        <w:t xml:space="preserve"> </w:t>
      </w:r>
      <w:r>
        <w:rPr>
          <w:rtl/>
        </w:rPr>
        <w:t>(14.05.2015)) (ראו גם לעניין זה,</w:t>
      </w:r>
      <w:r>
        <w:rPr>
          <w:u w:val="single"/>
          <w:rtl/>
        </w:rPr>
        <w:t xml:space="preserve"> </w:t>
      </w:r>
      <w:hyperlink r:id="rId45" w:history="1">
        <w:r w:rsidR="00AD4D58" w:rsidRPr="00AD4D58">
          <w:rPr>
            <w:rStyle w:val="Hyperlink"/>
            <w:rFonts w:hint="eastAsia"/>
            <w:color w:val="0000FF"/>
            <w:rtl/>
          </w:rPr>
          <w:t>עפ</w:t>
        </w:r>
        <w:r w:rsidR="00AD4D58" w:rsidRPr="00AD4D58">
          <w:rPr>
            <w:rStyle w:val="Hyperlink"/>
            <w:color w:val="0000FF"/>
            <w:rtl/>
          </w:rPr>
          <w:t>"</w:t>
        </w:r>
        <w:r w:rsidR="00AD4D58" w:rsidRPr="00AD4D58">
          <w:rPr>
            <w:rStyle w:val="Hyperlink"/>
            <w:rFonts w:hint="eastAsia"/>
            <w:color w:val="0000FF"/>
            <w:rtl/>
          </w:rPr>
          <w:t>ג</w:t>
        </w:r>
        <w:r w:rsidR="00AD4D58" w:rsidRPr="00AD4D58">
          <w:rPr>
            <w:rStyle w:val="Hyperlink"/>
            <w:color w:val="0000FF"/>
            <w:rtl/>
          </w:rPr>
          <w:t xml:space="preserve"> (</w:t>
        </w:r>
        <w:r w:rsidR="00AD4D58" w:rsidRPr="00AD4D58">
          <w:rPr>
            <w:rStyle w:val="Hyperlink"/>
            <w:rFonts w:hint="eastAsia"/>
            <w:color w:val="0000FF"/>
            <w:rtl/>
          </w:rPr>
          <w:t>מחוזי</w:t>
        </w:r>
        <w:r w:rsidR="00AD4D58" w:rsidRPr="00AD4D58">
          <w:rPr>
            <w:rStyle w:val="Hyperlink"/>
            <w:color w:val="0000FF"/>
            <w:rtl/>
          </w:rPr>
          <w:t xml:space="preserve"> </w:t>
        </w:r>
        <w:r w:rsidR="00AD4D58" w:rsidRPr="00AD4D58">
          <w:rPr>
            <w:rStyle w:val="Hyperlink"/>
            <w:rFonts w:hint="eastAsia"/>
            <w:color w:val="0000FF"/>
            <w:rtl/>
          </w:rPr>
          <w:t>ב</w:t>
        </w:r>
        <w:r w:rsidR="00AD4D58" w:rsidRPr="00AD4D58">
          <w:rPr>
            <w:rStyle w:val="Hyperlink"/>
            <w:color w:val="0000FF"/>
            <w:rtl/>
          </w:rPr>
          <w:t>"</w:t>
        </w:r>
        <w:r w:rsidR="00AD4D58" w:rsidRPr="00AD4D58">
          <w:rPr>
            <w:rStyle w:val="Hyperlink"/>
            <w:rFonts w:hint="eastAsia"/>
            <w:color w:val="0000FF"/>
            <w:rtl/>
          </w:rPr>
          <w:t>ש</w:t>
        </w:r>
        <w:r w:rsidR="00AD4D58" w:rsidRPr="00AD4D58">
          <w:rPr>
            <w:rStyle w:val="Hyperlink"/>
            <w:color w:val="0000FF"/>
            <w:rtl/>
          </w:rPr>
          <w:t>) 38423-01-23</w:t>
        </w:r>
      </w:hyperlink>
      <w:r w:rsidR="00AD4D58">
        <w:rPr>
          <w:u w:val="single"/>
          <w:rtl/>
        </w:rPr>
        <w:t xml:space="preserve"> </w:t>
      </w:r>
      <w:r>
        <w:rPr>
          <w:u w:val="single"/>
          <w:rtl/>
        </w:rPr>
        <w:t xml:space="preserve"> </w:t>
      </w:r>
      <w:r>
        <w:rPr>
          <w:b/>
          <w:bCs/>
          <w:rtl/>
        </w:rPr>
        <w:t>מדינת ישראל נ' אביאל בן סימון</w:t>
      </w:r>
      <w:r>
        <w:rPr>
          <w:rtl/>
        </w:rPr>
        <w:t xml:space="preserve"> [פורסם בנבו] (14.06.2023) שם ציין בית המשפט כי:</w:t>
      </w:r>
      <w:r>
        <w:rPr>
          <w:b/>
          <w:bCs/>
          <w:rtl/>
        </w:rPr>
        <w:t xml:space="preserve"> "המאבק בנגע הסמים מתייחס לכל סוגי הסמים המסוכנים, ולא אחת נקבע כי הצורך בענישה מחמירה ומרתיעה הינה לכל הסוגים, תוך הדגשה כי התייחסות לסמים מסוג זה כסמים קלים הינה</w:t>
      </w:r>
      <w:r w:rsidR="00AD4D58">
        <w:rPr>
          <w:b/>
          <w:bCs/>
          <w:rtl/>
        </w:rPr>
        <w:t xml:space="preserve"> </w:t>
      </w:r>
      <w:r>
        <w:rPr>
          <w:b/>
          <w:bCs/>
          <w:rtl/>
        </w:rPr>
        <w:t>"תפיסה שגויה""</w:t>
      </w:r>
      <w:r>
        <w:rPr>
          <w:rtl/>
        </w:rPr>
        <w:t xml:space="preserve">). </w:t>
      </w:r>
    </w:p>
    <w:p w14:paraId="6ED93158" w14:textId="77777777" w:rsidR="00E7053E" w:rsidRDefault="00E7053E" w:rsidP="00E7761C">
      <w:pPr>
        <w:pStyle w:val="ListParagraph"/>
        <w:numPr>
          <w:ilvl w:val="0"/>
          <w:numId w:val="2"/>
        </w:numPr>
        <w:ind w:left="-58"/>
      </w:pPr>
      <w:r>
        <w:rPr>
          <w:rtl/>
        </w:rPr>
        <w:t xml:space="preserve">ברוח זו נקבע </w:t>
      </w:r>
      <w:r>
        <w:rPr>
          <w:spacing w:val="10"/>
          <w:u w:val="single"/>
          <w:rtl/>
        </w:rPr>
        <w:t>ב</w:t>
      </w:r>
      <w:hyperlink r:id="rId46" w:history="1">
        <w:r w:rsidR="00AD4D58" w:rsidRPr="00AD4D58">
          <w:rPr>
            <w:rStyle w:val="Hyperlink"/>
            <w:rFonts w:hint="eastAsia"/>
            <w:color w:val="0000FF"/>
            <w:spacing w:val="10"/>
            <w:rtl/>
          </w:rPr>
          <w:t>ע</w:t>
        </w:r>
        <w:r w:rsidR="00AD4D58" w:rsidRPr="00AD4D58">
          <w:rPr>
            <w:rStyle w:val="Hyperlink"/>
            <w:color w:val="0000FF"/>
            <w:spacing w:val="10"/>
            <w:rtl/>
          </w:rPr>
          <w:t>"</w:t>
        </w:r>
        <w:r w:rsidR="00AD4D58" w:rsidRPr="00AD4D58">
          <w:rPr>
            <w:rStyle w:val="Hyperlink"/>
            <w:rFonts w:hint="eastAsia"/>
            <w:color w:val="0000FF"/>
            <w:spacing w:val="10"/>
            <w:rtl/>
          </w:rPr>
          <w:t>פ</w:t>
        </w:r>
        <w:r w:rsidR="00AD4D58" w:rsidRPr="00AD4D58">
          <w:rPr>
            <w:rStyle w:val="Hyperlink"/>
            <w:color w:val="0000FF"/>
            <w:spacing w:val="10"/>
            <w:rtl/>
          </w:rPr>
          <w:t xml:space="preserve"> 6299/20</w:t>
        </w:r>
      </w:hyperlink>
      <w:r w:rsidR="00AD4D58">
        <w:rPr>
          <w:spacing w:val="10"/>
          <w:rtl/>
        </w:rPr>
        <w:t xml:space="preserve"> </w:t>
      </w:r>
      <w:r>
        <w:rPr>
          <w:b/>
          <w:bCs/>
          <w:spacing w:val="10"/>
          <w:rtl/>
        </w:rPr>
        <w:t>חן נ' מדינת ישראל</w:t>
      </w:r>
      <w:r>
        <w:rPr>
          <w:spacing w:val="10"/>
          <w:rtl/>
        </w:rPr>
        <w:t xml:space="preserve"> [פורסם בנבו] (04.02.2021) כי חרף שינוי המדיניות </w:t>
      </w:r>
      <w:r>
        <w:rPr>
          <w:rtl/>
        </w:rPr>
        <w:t xml:space="preserve">באשר להחזקת סם מסוכן מסוג קנבוס לצריכה עצמית, אזי מדיניות הענישה לא השתנתה באשר לביצוען של עבירות סמים מסוכנים, גם סמים "קלים", שאינן מיועדות לצריכה עצמית תוך הטלת ענישה משמעותית ומרתיעה על מבצעיהן.  </w:t>
      </w:r>
    </w:p>
    <w:p w14:paraId="1D46E067" w14:textId="77777777" w:rsidR="00E7053E" w:rsidRDefault="00E7053E" w:rsidP="00E7761C">
      <w:pPr>
        <w:pStyle w:val="ListParagraph"/>
        <w:numPr>
          <w:ilvl w:val="0"/>
          <w:numId w:val="2"/>
        </w:numPr>
        <w:ind w:left="-58" w:hanging="425"/>
      </w:pPr>
      <w:r>
        <w:rPr>
          <w:rtl/>
        </w:rPr>
        <w:t xml:space="preserve">הנה כי כן, לא מצאתי לקבוע כי מדיניות הענישה באשר להחזקת סם מסוג קנבוס שלא לצריכה עצמית השתנתה בעקבות </w:t>
      </w:r>
      <w:r>
        <w:rPr>
          <w:u w:val="single"/>
          <w:rtl/>
        </w:rPr>
        <w:t>חוק הסמים המסוכנים (עבירת קנס מיוחדת – הוראת שעה), התשע"ח–2018</w:t>
      </w:r>
      <w:r>
        <w:rPr>
          <w:rtl/>
        </w:rPr>
        <w:t xml:space="preserve">. </w:t>
      </w:r>
    </w:p>
    <w:p w14:paraId="431B8464" w14:textId="77777777" w:rsidR="00E7053E" w:rsidRDefault="00E7053E" w:rsidP="00E7761C">
      <w:pPr>
        <w:pStyle w:val="ListParagraph"/>
        <w:numPr>
          <w:ilvl w:val="0"/>
          <w:numId w:val="2"/>
        </w:numPr>
        <w:ind w:left="-58"/>
      </w:pPr>
      <w:r>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כפי שפורט בהרחבה לעיל, ובשים לב לסוגם של הסמים, כמותם ונסיבות החזקתם, הריני לקבוע כי </w:t>
      </w:r>
      <w:r>
        <w:rPr>
          <w:b/>
          <w:bCs/>
          <w:rtl/>
        </w:rPr>
        <w:t>על מתחם העונש ההולם במקרה הנדון לנוע בין מאסר קצר (שניתן לרצותו בעבודות שירות) לבין 12 חודשים מאסר בפועל.</w:t>
      </w:r>
    </w:p>
    <w:p w14:paraId="11B2DA48" w14:textId="77777777" w:rsidR="00E7053E" w:rsidRDefault="00E7053E" w:rsidP="00E7761C">
      <w:pPr>
        <w:keepNext/>
        <w:keepLines/>
        <w:tabs>
          <w:tab w:val="right" w:pos="7371"/>
        </w:tabs>
        <w:ind w:right="-625"/>
        <w:jc w:val="center"/>
        <w:outlineLvl w:val="0"/>
        <w:rPr>
          <w:rFonts w:ascii="Calibri" w:hAnsi="Calibri"/>
          <w:b/>
          <w:bCs/>
          <w:sz w:val="32"/>
          <w:szCs w:val="32"/>
          <w:u w:val="single"/>
        </w:rPr>
      </w:pPr>
      <w:r>
        <w:rPr>
          <w:rFonts w:ascii="Calibri" w:hAnsi="Calibri"/>
          <w:b/>
          <w:bCs/>
          <w:sz w:val="32"/>
          <w:szCs w:val="32"/>
          <w:u w:val="single"/>
          <w:rtl/>
        </w:rPr>
        <w:t>גזירת הדין</w:t>
      </w:r>
    </w:p>
    <w:p w14:paraId="156CA97E" w14:textId="77777777" w:rsidR="00E7053E" w:rsidRDefault="00E7053E" w:rsidP="00E7761C">
      <w:pPr>
        <w:keepNext/>
        <w:keepLines/>
        <w:ind w:left="559" w:hanging="559"/>
        <w:outlineLvl w:val="0"/>
        <w:rPr>
          <w:b/>
          <w:bCs/>
          <w:sz w:val="28"/>
          <w:szCs w:val="28"/>
          <w:u w:val="single"/>
        </w:rPr>
      </w:pPr>
      <w:r>
        <w:rPr>
          <w:rFonts w:ascii="Calibri" w:hAnsi="Calibri"/>
          <w:b/>
          <w:bCs/>
          <w:sz w:val="28"/>
          <w:szCs w:val="28"/>
          <w:rtl/>
        </w:rPr>
        <w:t>ה.</w:t>
      </w:r>
      <w:r>
        <w:rPr>
          <w:rFonts w:ascii="Calibri" w:hAnsi="Calibri"/>
          <w:sz w:val="28"/>
          <w:szCs w:val="28"/>
          <w:rtl/>
        </w:rPr>
        <w:t xml:space="preserve"> </w:t>
      </w:r>
      <w:r>
        <w:rPr>
          <w:rFonts w:ascii="Calibri" w:hAnsi="Calibri"/>
          <w:b/>
          <w:bCs/>
          <w:sz w:val="28"/>
          <w:szCs w:val="28"/>
          <w:u w:val="single"/>
          <w:rtl/>
        </w:rPr>
        <w:t>גזירת העונש המתאים לנאשם</w:t>
      </w:r>
    </w:p>
    <w:p w14:paraId="04AEF622" w14:textId="77777777" w:rsidR="00E7053E" w:rsidRDefault="00E7053E" w:rsidP="003316FF">
      <w:pPr>
        <w:numPr>
          <w:ilvl w:val="0"/>
          <w:numId w:val="2"/>
        </w:numPr>
        <w:ind w:left="-58"/>
        <w:contextualSpacing/>
        <w:rPr>
          <w:rtl/>
        </w:rPr>
      </w:pPr>
      <w:r>
        <w:rPr>
          <w:rtl/>
        </w:rPr>
        <w:t xml:space="preserve">כעת נותר לגזור את עונשו של הנאשם, ולצורך כך, כמצוות המחוקק </w:t>
      </w:r>
      <w:hyperlink r:id="rId47" w:history="1">
        <w:r w:rsidR="003316FF" w:rsidRPr="003316FF">
          <w:rPr>
            <w:rStyle w:val="Hyperlink"/>
            <w:color w:val="0000FF"/>
            <w:rtl/>
          </w:rPr>
          <w:t>בסעיף 40יא</w:t>
        </w:r>
      </w:hyperlink>
      <w:r>
        <w:rPr>
          <w:rtl/>
        </w:rPr>
        <w:t xml:space="preserve"> </w:t>
      </w:r>
      <w:r>
        <w:rPr>
          <w:u w:val="single"/>
          <w:rtl/>
        </w:rPr>
        <w:t>ל</w:t>
      </w:r>
      <w:hyperlink r:id="rId48" w:history="1">
        <w:r w:rsidR="00AD4D58" w:rsidRPr="00AD4D58">
          <w:rPr>
            <w:rStyle w:val="Hyperlink"/>
            <w:color w:val="0000FF"/>
            <w:rtl/>
          </w:rPr>
          <w:t>חוק העונשין</w:t>
        </w:r>
      </w:hyperlink>
      <w:r>
        <w:rPr>
          <w:rtl/>
        </w:rPr>
        <w:t xml:space="preserve">, יש להתחשב בנסיבות שאינן קשורות בביצוע העבירה. </w:t>
      </w:r>
    </w:p>
    <w:p w14:paraId="47252209" w14:textId="77777777" w:rsidR="00E7053E" w:rsidRDefault="00E7053E" w:rsidP="00E7761C">
      <w:pPr>
        <w:pStyle w:val="ListParagraph"/>
        <w:numPr>
          <w:ilvl w:val="0"/>
          <w:numId w:val="2"/>
        </w:numPr>
        <w:ind w:left="-58"/>
      </w:pPr>
      <w:r>
        <w:rPr>
          <w:rtl/>
        </w:rPr>
        <w:t>בעניין זה, בראש ובראשונה נתתי דעתי להיותו של הנאשם חף מהרשעות קודמות (לצד זאת לא התעלמתי מעברו התעבורתי של הנאשם הכולל הרשעה אחת משנת 2022 בעבירת נהיגה תחת השפעת סמים ומשקאות משכרים, בגינה הושתו על הנאשם עונשים בדמות פסילת רישיון נהיגה בפועל; פסילת רישיון נהיגה מותנית; קנס; והתחייבות (</w:t>
      </w:r>
      <w:r>
        <w:rPr>
          <w:b/>
          <w:bCs/>
          <w:rtl/>
        </w:rPr>
        <w:t>ת/2</w:t>
      </w:r>
      <w:r>
        <w:rPr>
          <w:rtl/>
        </w:rPr>
        <w:t xml:space="preserve">). כן נתתי דעתי לפגיעה שעלולה להיגרם לנאשם ככל ויושת עליו עונש מאסר, וזאת בשים לב לפגיעה הכלכלית הטמונה בכך ומכך שהלה לא ריצה עונשי מאסר בעברו. </w:t>
      </w:r>
    </w:p>
    <w:p w14:paraId="76978922" w14:textId="77777777" w:rsidR="00E7053E" w:rsidRDefault="00E7053E" w:rsidP="00E7761C">
      <w:pPr>
        <w:numPr>
          <w:ilvl w:val="0"/>
          <w:numId w:val="2"/>
        </w:numPr>
        <w:shd w:val="clear" w:color="auto" w:fill="FAFAFA"/>
        <w:ind w:left="-118" w:hanging="365"/>
        <w:contextualSpacing/>
      </w:pPr>
      <w:r>
        <w:rPr>
          <w:rtl/>
        </w:rPr>
        <w:t xml:space="preserve">בנוסף לאלה, בית המשפט זוקף לזכותו של הנאשם את העובדה שהוא הביע חרטה על מעשיו והודה במיוחס לו, מה שהביא לחיסכון בזמן שיפוטי יקר ואף ייתר את הצורך בשמיעת העדים. </w:t>
      </w:r>
    </w:p>
    <w:p w14:paraId="2E74E3B3" w14:textId="77777777" w:rsidR="00E7053E" w:rsidRDefault="00E7053E" w:rsidP="00E7761C">
      <w:pPr>
        <w:pStyle w:val="ListParagraph"/>
        <w:numPr>
          <w:ilvl w:val="0"/>
          <w:numId w:val="2"/>
        </w:numPr>
        <w:tabs>
          <w:tab w:val="left" w:pos="8306"/>
        </w:tabs>
        <w:ind w:left="-58" w:hanging="501"/>
      </w:pPr>
      <w:r>
        <w:rPr>
          <w:rtl/>
        </w:rPr>
        <w:t>עוד לא נעלם מעיניי שהעבירה שבמוקד כתב האישום המתוקן בוצעה לפני</w:t>
      </w:r>
      <w:r>
        <w:rPr>
          <w:b/>
          <w:bCs/>
          <w:rtl/>
        </w:rPr>
        <w:t xml:space="preserve"> למעלה מארבע שנים</w:t>
      </w:r>
      <w:r>
        <w:rPr>
          <w:rtl/>
        </w:rPr>
        <w:t xml:space="preserve">. אם כי, את מירב המשקל בנקודה זו יש להעניק לא לאותה ספירת זמן "טכנית" –אלא לכך שבפרק הזמן שחלף מאז, הנאשם נמנע מלהסתבך עוד בפלילים. </w:t>
      </w:r>
    </w:p>
    <w:p w14:paraId="555017BA" w14:textId="77777777" w:rsidR="00E7053E" w:rsidRDefault="00E7053E" w:rsidP="00E7761C">
      <w:pPr>
        <w:pStyle w:val="ListParagraph"/>
        <w:numPr>
          <w:ilvl w:val="0"/>
          <w:numId w:val="2"/>
        </w:numPr>
        <w:ind w:left="-58" w:hanging="425"/>
      </w:pPr>
      <w:r>
        <w:rPr>
          <w:rtl/>
        </w:rPr>
        <w:t xml:space="preserve">עוד נתתי דעתי לאמור </w:t>
      </w:r>
      <w:r>
        <w:rPr>
          <w:b/>
          <w:bCs/>
          <w:rtl/>
        </w:rPr>
        <w:t>בתסקירי שירות המבחן שהוגשו בעניינו של הנאשם</w:t>
      </w:r>
      <w:r>
        <w:rPr>
          <w:rtl/>
        </w:rPr>
        <w:t xml:space="preserve">. כך, כעולה </w:t>
      </w:r>
      <w:r>
        <w:rPr>
          <w:u w:val="single"/>
          <w:rtl/>
        </w:rPr>
        <w:t>מתסקיר שירות המבחן שהוגש בעניינו של הנאשם ביום 05.07.2023</w:t>
      </w:r>
      <w:r>
        <w:rPr>
          <w:rtl/>
        </w:rPr>
        <w:t xml:space="preserve">, התרשם שירות המבחן כי בעניינו של הנאשם קיימת </w:t>
      </w:r>
      <w:r>
        <w:rPr>
          <w:b/>
          <w:bCs/>
          <w:rtl/>
        </w:rPr>
        <w:t>נזקקות טיפולית</w:t>
      </w:r>
      <w:r>
        <w:rPr>
          <w:rtl/>
        </w:rPr>
        <w:t xml:space="preserve"> וחשיבות לשלבו בתוכנית טיפולית בהתאם למצבו. להתרשמותו זו הגיע השירות תוך שהביא בין מכלול שיקוליו את </w:t>
      </w:r>
      <w:r>
        <w:rPr>
          <w:b/>
          <w:bCs/>
          <w:rtl/>
        </w:rPr>
        <w:t>גורמי הסיכון</w:t>
      </w:r>
      <w:r>
        <w:rPr>
          <w:rtl/>
        </w:rPr>
        <w:t xml:space="preserve"> הקמים בעניינו של הנאשם ובכלל זה, מסכת חייו המורכבת והקשיים שהלה ספג לאורך השנים; העובדה כי כבר מגיל צעיר הנאשם התקשה להתמיד במסגרות חייו השונות; העדר גורמי תמיכה משמעותיים וקשייו של הנאשם לגלות אמון וקשר בטוח בסובבים אותו, שהשפיעו על דימויו העצמי הנמוך; התמונה החסרה באשר למצבו הנפשי; השימוש האינטנסיבי שהנאשם עשה בסם לאורך השנים והעובדה כי הלה לא עבר כל הליך גמילה משמעותי; והקושי של הנאשם להציב לעצמו גבולות פנימיים להתנהלותו ולקבל את גבולות וסמכות החוק. </w:t>
      </w:r>
    </w:p>
    <w:p w14:paraId="7CAB2245" w14:textId="77777777" w:rsidR="00E7053E" w:rsidRDefault="00E7053E" w:rsidP="00E7761C">
      <w:pPr>
        <w:pStyle w:val="ListParagraph"/>
        <w:numPr>
          <w:ilvl w:val="0"/>
          <w:numId w:val="2"/>
        </w:numPr>
        <w:ind w:left="-58" w:hanging="425"/>
        <w:rPr>
          <w:rFonts w:ascii="David" w:hAnsi="David"/>
        </w:rPr>
      </w:pPr>
      <w:r>
        <w:rPr>
          <w:rtl/>
        </w:rPr>
        <w:t xml:space="preserve">לצד זאת התרשם שירות המבחן </w:t>
      </w:r>
      <w:r>
        <w:rPr>
          <w:b/>
          <w:bCs/>
          <w:rtl/>
        </w:rPr>
        <w:t>מגורמי הסיכוי</w:t>
      </w:r>
      <w:r>
        <w:rPr>
          <w:rtl/>
        </w:rPr>
        <w:t xml:space="preserve"> הקיימים בעניינו של הנאשם ובכלל זה, התמיכה המשפחתית שלה זוכה הנאשם; הצהרותיו של הנאשם באשר לשינוי שהוא ערך בחייו בשנים האחרונות והבעת הרצון שהלה הביע לניהול אורח חיים נורמטיבי ותקין; הצהרותיו לפיהן הוא חדל לעשות שימוש בסם; ואת הודאתו של הנאשם בביצוע העבירה ולקיחת האחריות מצדו על ביצועה. </w:t>
      </w:r>
    </w:p>
    <w:p w14:paraId="4C4E99E4" w14:textId="77777777" w:rsidR="00E7053E" w:rsidRDefault="00E7053E" w:rsidP="00E7761C">
      <w:pPr>
        <w:pStyle w:val="ListParagraph"/>
        <w:numPr>
          <w:ilvl w:val="0"/>
          <w:numId w:val="2"/>
        </w:numPr>
        <w:ind w:left="-58" w:hanging="425"/>
      </w:pPr>
      <w:r>
        <w:rPr>
          <w:rtl/>
        </w:rPr>
        <w:t xml:space="preserve">בסופו של תסקיר, ובשל מאפייני אישיותו והצורך בקבלת תמונה מלאה באשר לצריכת הסמים מצדו של הנאשם, ביקש השירות להרחיב את האבחון בעניינו ולבחון עבורו אפיקי שיקום וטיפול. משהנאשם הביע את הסכמתו הראשונית להשתלב בתקופת ניסיון בהליך אבחון וטיפול במסגרת היחידה להתמכרויות באשקלון, עתר שירות המבחן לדחייה. </w:t>
      </w:r>
    </w:p>
    <w:p w14:paraId="7E729E29" w14:textId="77777777" w:rsidR="00E7053E" w:rsidRDefault="00E7053E" w:rsidP="00E7761C">
      <w:pPr>
        <w:pStyle w:val="ListParagraph"/>
        <w:numPr>
          <w:ilvl w:val="0"/>
          <w:numId w:val="2"/>
        </w:numPr>
        <w:ind w:left="-58" w:hanging="425"/>
      </w:pPr>
      <w:r>
        <w:rPr>
          <w:u w:val="single"/>
          <w:rtl/>
        </w:rPr>
        <w:t>כך, כעולה מתסקיר שירות המבחן שהוגש בעניינו של הנאשם ביום 24.12.2023,</w:t>
      </w:r>
      <w:r>
        <w:rPr>
          <w:rtl/>
        </w:rPr>
        <w:t xml:space="preserve"> עדכן השירות כי במהלך תקופת הדחייה, בדיקת השתן שנערכה לנאשם נמצאה נקייה משרידי סם וכי בשל המצב הביטחוני, הנאשם טרם החל בהליך טיפולי ביחידה להתמכרויות. </w:t>
      </w:r>
    </w:p>
    <w:p w14:paraId="0E2A7F09" w14:textId="77777777" w:rsidR="00E7053E" w:rsidRDefault="00E7053E" w:rsidP="00E7761C">
      <w:pPr>
        <w:pStyle w:val="ListParagraph"/>
        <w:numPr>
          <w:ilvl w:val="0"/>
          <w:numId w:val="2"/>
        </w:numPr>
        <w:ind w:left="-58" w:hanging="425"/>
      </w:pPr>
      <w:r>
        <w:rPr>
          <w:u w:val="single"/>
          <w:rtl/>
        </w:rPr>
        <w:t>וכך, כעולה מתסקיר שירות המבחן שהוגש בעניינו של הנאשם ביום 24.01.2024,</w:t>
      </w:r>
      <w:r>
        <w:rPr>
          <w:rtl/>
        </w:rPr>
        <w:t xml:space="preserve"> עדכן שירות המבחן כי ניסיונות השירות והיחידה להתמכרויות ליצור קשר עם הנאשם לא צלחו, תוך שצוין ככל שהנאשם יביע נכונות במעמד הדיון להשתלב בהליך טיפולי, אזי תתבקש דחייה בת ארבעה חודשים. </w:t>
      </w:r>
    </w:p>
    <w:p w14:paraId="0F5844BA" w14:textId="77777777" w:rsidR="00E7053E" w:rsidRDefault="00E7053E" w:rsidP="00E7761C">
      <w:pPr>
        <w:pStyle w:val="ListParagraph"/>
        <w:numPr>
          <w:ilvl w:val="0"/>
          <w:numId w:val="2"/>
        </w:numPr>
        <w:ind w:left="-58"/>
      </w:pPr>
      <w:r>
        <w:rPr>
          <w:rtl/>
        </w:rPr>
        <w:t xml:space="preserve">בסיכומה של נקודה זו ייאמר, כי בסופו של יום הנאשם נמנע מליטול חלק בהליכים שיקומיים במסגרת שירות המבחן, כך שאותו מוקד בעייתי, קווי אישיותו, ותפיסת עולמו שעמדו ברקע לביצוע העבירה לא אוינו. למרבה הצער, יוצא כי חרף הנזקקות הטיפולית שעלתה בעניינו, הדף הנאשם ברגל גסה את היד שהושטה לו על ידי שירות המבחן. משכך, ובהיעדר הליך טיפולי או שיקומי, הרי עודנו מקנן החשש שמא הלה יחזור לעבור עבירות מתחום הסמים, מה שבתורו עלול להוביל לביצוע עבירות נוספות מצדו. </w:t>
      </w:r>
    </w:p>
    <w:p w14:paraId="48515FD9" w14:textId="77777777" w:rsidR="00E7053E" w:rsidRDefault="00E7053E" w:rsidP="00E7761C">
      <w:pPr>
        <w:pStyle w:val="ListParagraph"/>
        <w:numPr>
          <w:ilvl w:val="0"/>
          <w:numId w:val="2"/>
        </w:numPr>
        <w:ind w:left="-58" w:hanging="425"/>
      </w:pPr>
      <w:r>
        <w:rPr>
          <w:b/>
          <w:bCs/>
          <w:rtl/>
        </w:rPr>
        <w:t xml:space="preserve">משהנאשם לא השכיל לנצל את ההליך הטיפולי במסגרת שירות המבחן  והיחידה להתמכרויות, הרי שלא ניתן לומר כי שיקומו, יצדיק סטייה ממתחם העונש שקבעתי לעיל. </w:t>
      </w:r>
      <w:r>
        <w:rPr>
          <w:rtl/>
        </w:rPr>
        <w:t xml:space="preserve">כן יצוין, כי אף אם הייתי קובעת שהנאשם השתקם בצורה מלאה או שקיים סיכוי ממשי לכך (ואינני קובעת זאת), עדיין אין זה אומר כי בית המשפט בהכרח יסטה לקולה ממתחם הענישה, והרי לא בכדי נוקט </w:t>
      </w:r>
      <w:hyperlink r:id="rId49" w:history="1">
        <w:r w:rsidR="003316FF" w:rsidRPr="003316FF">
          <w:rPr>
            <w:rStyle w:val="Hyperlink"/>
            <w:color w:val="0000FF"/>
            <w:rtl/>
          </w:rPr>
          <w:t>סעיף 40ד(א)</w:t>
        </w:r>
      </w:hyperlink>
      <w:r>
        <w:rPr>
          <w:rtl/>
        </w:rPr>
        <w:t xml:space="preserve"> </w:t>
      </w:r>
      <w:r>
        <w:rPr>
          <w:u w:val="single"/>
          <w:rtl/>
        </w:rPr>
        <w:t>ל</w:t>
      </w:r>
      <w:hyperlink r:id="rId50" w:history="1">
        <w:r w:rsidR="00AD4D58" w:rsidRPr="00AD4D58">
          <w:rPr>
            <w:rStyle w:val="Hyperlink"/>
            <w:rFonts w:hint="eastAsia"/>
            <w:color w:val="0000FF"/>
            <w:rtl/>
          </w:rPr>
          <w:t>חוק</w:t>
        </w:r>
        <w:r w:rsidR="00AD4D58" w:rsidRPr="00AD4D58">
          <w:rPr>
            <w:rStyle w:val="Hyperlink"/>
            <w:color w:val="0000FF"/>
            <w:rtl/>
          </w:rPr>
          <w:t xml:space="preserve"> </w:t>
        </w:r>
        <w:r w:rsidR="00AD4D58" w:rsidRPr="00AD4D58">
          <w:rPr>
            <w:rStyle w:val="Hyperlink"/>
            <w:rFonts w:hint="eastAsia"/>
            <w:color w:val="0000FF"/>
            <w:rtl/>
          </w:rPr>
          <w:t>העונשין</w:t>
        </w:r>
      </w:hyperlink>
      <w:r>
        <w:rPr>
          <w:rtl/>
        </w:rPr>
        <w:t xml:space="preserve"> – בהתייחסו לאפשרות שבית המשפט יורה על סטייה לקולה ממתחם הענישה משיקולי שיקום – בלשון "רשאי" ולא "חייב". כידוע, יש לנקוט בזהירות בכל הנוגע לסטייה ממתחמי הענישה בשל נימוקי שיקום ולבחון כל מקרה על נסיבותיו. בעניין זה יש לבחון בין היתר, האם השינוי שעבר הנאשם נותן אותותיו במישורים השונים של חייו, ובפרט בדרך החשיבה המעוותת שהביאה אותו לביצוע המעשים, כמו גם לבחון באיזה שלב של ההליך השיקומי מצוי הנאשם, וכי רק </w:t>
      </w:r>
      <w:r>
        <w:rPr>
          <w:b/>
          <w:bCs/>
          <w:rtl/>
        </w:rPr>
        <w:t>במקרים נדירים</w:t>
      </w:r>
      <w:r>
        <w:rPr>
          <w:rtl/>
        </w:rPr>
        <w:t xml:space="preserve"> שבהם קיימים סיכויי שיקום מובהקים המצדיקים, בבחינת יוצא מן הכלל – לסטות ממתחם העונש ההולם (ראו והשוו, </w:t>
      </w:r>
      <w:hyperlink r:id="rId51"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1229/19</w:t>
        </w:r>
      </w:hyperlink>
      <w:r>
        <w:rPr>
          <w:u w:val="single"/>
          <w:rtl/>
        </w:rPr>
        <w:t xml:space="preserve"> </w:t>
      </w:r>
      <w:r>
        <w:rPr>
          <w:b/>
          <w:bCs/>
          <w:rtl/>
        </w:rPr>
        <w:t>סלומנסקי נ' מדינת ישראל</w:t>
      </w:r>
      <w:r>
        <w:rPr>
          <w:rtl/>
        </w:rPr>
        <w:t xml:space="preserve">, [פורסם בנבו] (01.07.2019). מה עוד, </w:t>
      </w:r>
      <w:r>
        <w:rPr>
          <w:b/>
          <w:bCs/>
          <w:rtl/>
        </w:rPr>
        <w:t xml:space="preserve">שלא בכל מקרה שבו ההליך הטיפולי מתקדם בכיוון חיובי, יש להפעיל את הסמכות הקבועה </w:t>
      </w:r>
      <w:hyperlink r:id="rId52" w:history="1">
        <w:r w:rsidR="003316FF" w:rsidRPr="003316FF">
          <w:rPr>
            <w:rStyle w:val="Hyperlink"/>
            <w:b/>
            <w:bCs/>
            <w:color w:val="0000FF"/>
            <w:rtl/>
          </w:rPr>
          <w:t>בסעיף 40ד</w:t>
        </w:r>
      </w:hyperlink>
      <w:r>
        <w:rPr>
          <w:b/>
          <w:bCs/>
          <w:rtl/>
        </w:rPr>
        <w:t xml:space="preserve"> </w:t>
      </w:r>
      <w:r>
        <w:rPr>
          <w:b/>
          <w:bCs/>
          <w:u w:val="single"/>
          <w:rtl/>
        </w:rPr>
        <w:t>ל</w:t>
      </w:r>
      <w:hyperlink r:id="rId53" w:history="1">
        <w:r w:rsidR="00AD4D58" w:rsidRPr="00AD4D58">
          <w:rPr>
            <w:rStyle w:val="Hyperlink"/>
            <w:rFonts w:hint="eastAsia"/>
            <w:b/>
            <w:bCs/>
            <w:color w:val="0000FF"/>
            <w:rtl/>
          </w:rPr>
          <w:t>חוק</w:t>
        </w:r>
        <w:r w:rsidR="00AD4D58" w:rsidRPr="00AD4D58">
          <w:rPr>
            <w:rStyle w:val="Hyperlink"/>
            <w:b/>
            <w:bCs/>
            <w:color w:val="0000FF"/>
            <w:rtl/>
          </w:rPr>
          <w:t xml:space="preserve"> </w:t>
        </w:r>
        <w:r w:rsidR="00AD4D58" w:rsidRPr="00AD4D58">
          <w:rPr>
            <w:rStyle w:val="Hyperlink"/>
            <w:rFonts w:hint="eastAsia"/>
            <w:b/>
            <w:bCs/>
            <w:color w:val="0000FF"/>
            <w:rtl/>
          </w:rPr>
          <w:t>העונשין</w:t>
        </w:r>
      </w:hyperlink>
      <w:r>
        <w:rPr>
          <w:b/>
          <w:bCs/>
          <w:u w:val="single"/>
          <w:rtl/>
        </w:rPr>
        <w:t>.</w:t>
      </w:r>
      <w:r>
        <w:rPr>
          <w:rtl/>
        </w:rPr>
        <w:t xml:space="preserve"> אחרת, נמצא כי החריג מרוקן מתוכן את הכלל, שלפיו יש לגזור את העונש בתוך מתחם הענישה בהלימה לחומרת המעשה ולמידת האשם של העושה (וראו לעניין זה, </w:t>
      </w:r>
      <w:hyperlink r:id="rId54"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126/22</w:t>
        </w:r>
      </w:hyperlink>
      <w:r>
        <w:rPr>
          <w:rtl/>
        </w:rPr>
        <w:t xml:space="preserve"> </w:t>
      </w:r>
      <w:r>
        <w:rPr>
          <w:b/>
          <w:bCs/>
          <w:rtl/>
        </w:rPr>
        <w:t>מדינת ישראל נ' פלוני</w:t>
      </w:r>
      <w:r>
        <w:rPr>
          <w:rtl/>
        </w:rPr>
        <w:t xml:space="preserve"> [פורסם בנבו] (27.04.2022)). </w:t>
      </w:r>
    </w:p>
    <w:p w14:paraId="74D6DE39" w14:textId="77777777" w:rsidR="00E7053E" w:rsidRDefault="00E7053E" w:rsidP="00E7761C">
      <w:pPr>
        <w:pStyle w:val="ListParagraph"/>
        <w:numPr>
          <w:ilvl w:val="0"/>
          <w:numId w:val="2"/>
        </w:numPr>
        <w:ind w:left="-58"/>
      </w:pPr>
      <w:r>
        <w:rPr>
          <w:rtl/>
        </w:rPr>
        <w:t xml:space="preserve">הנה כי כן,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55" w:history="1">
        <w:r w:rsidR="00AD4D58" w:rsidRPr="00AD4D58">
          <w:rPr>
            <w:rStyle w:val="Hyperlink"/>
            <w:rFonts w:hint="eastAsia"/>
            <w:color w:val="0000FF"/>
            <w:rtl/>
          </w:rPr>
          <w:t>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1521/14</w:t>
        </w:r>
      </w:hyperlink>
      <w:r>
        <w:rPr>
          <w:rtl/>
        </w:rPr>
        <w:t xml:space="preserve"> </w:t>
      </w:r>
      <w:r>
        <w:rPr>
          <w:b/>
          <w:bCs/>
          <w:rtl/>
        </w:rPr>
        <w:t>יוסף אלפקיר נ' מדינת ישראל</w:t>
      </w:r>
      <w:r>
        <w:rPr>
          <w:rtl/>
        </w:rPr>
        <w:t xml:space="preserve">, [פורסם בנבו] (16.09.2015); </w:t>
      </w:r>
      <w:r>
        <w:rPr>
          <w:u w:val="single"/>
          <w:rtl/>
        </w:rPr>
        <w:t>ו</w:t>
      </w:r>
      <w:hyperlink r:id="rId56" w:history="1">
        <w:r w:rsidR="00AD4D58" w:rsidRPr="00AD4D58">
          <w:rPr>
            <w:rStyle w:val="Hyperlink"/>
            <w:rFonts w:hint="eastAsia"/>
            <w:color w:val="0000FF"/>
            <w:rtl/>
          </w:rPr>
          <w:t>רע</w:t>
        </w:r>
        <w:r w:rsidR="00AD4D58" w:rsidRPr="00AD4D58">
          <w:rPr>
            <w:rStyle w:val="Hyperlink"/>
            <w:color w:val="0000FF"/>
            <w:rtl/>
          </w:rPr>
          <w:t>"</w:t>
        </w:r>
        <w:r w:rsidR="00AD4D58" w:rsidRPr="00AD4D58">
          <w:rPr>
            <w:rStyle w:val="Hyperlink"/>
            <w:rFonts w:hint="eastAsia"/>
            <w:color w:val="0000FF"/>
            <w:rtl/>
          </w:rPr>
          <w:t>פ</w:t>
        </w:r>
        <w:r w:rsidR="00AD4D58" w:rsidRPr="00AD4D58">
          <w:rPr>
            <w:rStyle w:val="Hyperlink"/>
            <w:color w:val="0000FF"/>
            <w:rtl/>
          </w:rPr>
          <w:t xml:space="preserve"> 4097/16</w:t>
        </w:r>
      </w:hyperlink>
      <w:r>
        <w:rPr>
          <w:rtl/>
        </w:rPr>
        <w:t xml:space="preserve"> </w:t>
      </w:r>
      <w:r>
        <w:rPr>
          <w:b/>
          <w:bCs/>
          <w:rtl/>
        </w:rPr>
        <w:t>מוחמד מחמוד נ' מדינת ישראל</w:t>
      </w:r>
      <w:r>
        <w:rPr>
          <w:rtl/>
        </w:rPr>
        <w:t xml:space="preserve">, ([פורסם בנבו] 24.05.2016)). </w:t>
      </w:r>
    </w:p>
    <w:p w14:paraId="72181B1A" w14:textId="77777777" w:rsidR="00E7053E" w:rsidRDefault="00E7053E" w:rsidP="00E7761C">
      <w:pPr>
        <w:pStyle w:val="ListParagraph"/>
        <w:numPr>
          <w:ilvl w:val="0"/>
          <w:numId w:val="2"/>
        </w:numPr>
        <w:ind w:left="-58" w:hanging="425"/>
        <w:rPr>
          <w:rFonts w:ascii="David" w:hAnsi="David"/>
        </w:rPr>
      </w:pPr>
      <w:r>
        <w:rPr>
          <w:b/>
          <w:bCs/>
          <w:rtl/>
        </w:rPr>
        <w:t xml:space="preserve">ומן התם אל הכא, </w:t>
      </w:r>
      <w:r>
        <w:rPr>
          <w:rtl/>
        </w:rPr>
        <w:t xml:space="preserve">אכן, מלאכת גזירת הדין איננה קלה כלל ועיקר, ובית המשפט אינו מקל ראש בחומרת מעשיו של הנאשם ומביע מהם סלידה רבתי. ואולם, לאחר ששקלתי את מכלול השיקולים שפורטו בגזר דין, מצאתי כי באיזון הראוי בין שיקולי הענישה השונים, ובייחוד בשים לב להודאת הנאשם ולחסכון בזמן השיפוטי; לנסיבות חייו המורכבות; לגילו; להיותו חף מהרשעות קודמות; ולחלוף הזמן – מצד אחד, ולהדיפתו של הנאשם כל הליך טיפולי – מצד שני, וליתר הנסיבות שאינן קשורות בביצוע העבירה – ניתן בזו הפעם להשית על הנאשם ענישה המצויה ברף הנמוך (אם כי לא התחתון) של המתחם אשר נקבע על ידי בדמות כמה חודשים מאסר. </w:t>
      </w:r>
    </w:p>
    <w:p w14:paraId="21D4B1F4" w14:textId="77777777" w:rsidR="00E7053E" w:rsidRDefault="00E7053E" w:rsidP="00E7761C">
      <w:pPr>
        <w:pStyle w:val="ListParagraph"/>
        <w:numPr>
          <w:ilvl w:val="0"/>
          <w:numId w:val="2"/>
        </w:numPr>
        <w:ind w:left="-58"/>
        <w:rPr>
          <w:b/>
          <w:bCs/>
        </w:rPr>
      </w:pPr>
      <w:r>
        <w:rPr>
          <w:b/>
          <w:bCs/>
          <w:rtl/>
        </w:rPr>
        <w:t xml:space="preserve">באשר לאופן ריצוי המאסר, יצוין, כי חרף ההזדמנויות שניתנו לנאשם להתייצב בפני הממונה על מנת שתתקבל חוות דעת בעניינו לבחינת כשירותו להשתלב במערך עבודות השירות - הלה הדף ברגל גסה את היד שהושטה לו ולא התייצב בפני הממונה כנדרש, כאשר באמתחתו אמתלות שונות ומשונות. </w:t>
      </w:r>
    </w:p>
    <w:p w14:paraId="77BB9AB4" w14:textId="77777777" w:rsidR="00E7053E" w:rsidRDefault="00E7053E" w:rsidP="00E7761C">
      <w:pPr>
        <w:pStyle w:val="ListParagraph"/>
        <w:numPr>
          <w:ilvl w:val="0"/>
          <w:numId w:val="2"/>
        </w:numPr>
        <w:ind w:left="-58"/>
      </w:pPr>
      <w:r>
        <w:rPr>
          <w:rtl/>
        </w:rPr>
        <w:t xml:space="preserve">כך, </w:t>
      </w:r>
      <w:r>
        <w:rPr>
          <w:u w:val="single"/>
          <w:rtl/>
        </w:rPr>
        <w:t>ביום 10.06.2024,</w:t>
      </w:r>
      <w:r>
        <w:rPr>
          <w:rtl/>
        </w:rPr>
        <w:t xml:space="preserve"> עדכן הממונה על עבודות השירות את ביהמ"ש כי הנאשם זומן לראיון התאמה ביום 09.06.2024, אך לא התייצב. בתגובת ב"כ הנאשם, כפי שנתקבלה </w:t>
      </w:r>
      <w:r>
        <w:rPr>
          <w:u w:val="single"/>
          <w:rtl/>
        </w:rPr>
        <w:t>ביום 13.06.2024,</w:t>
      </w:r>
      <w:r>
        <w:rPr>
          <w:rtl/>
        </w:rPr>
        <w:t xml:space="preserve"> נטען כי הנאשם לא מצא את משרדי הממונה במתחם הכלא ומשכך, התבקש ביהמ"ש להורות לממונה לזמן את הלה בשנית לריאיון משרדיו. </w:t>
      </w:r>
    </w:p>
    <w:p w14:paraId="732AED04" w14:textId="77777777" w:rsidR="00E7053E" w:rsidRDefault="00E7053E" w:rsidP="00E7761C">
      <w:pPr>
        <w:pStyle w:val="ListParagraph"/>
        <w:numPr>
          <w:ilvl w:val="0"/>
          <w:numId w:val="2"/>
        </w:numPr>
        <w:ind w:left="-58"/>
        <w:rPr>
          <w:rtl/>
        </w:rPr>
      </w:pPr>
      <w:r>
        <w:rPr>
          <w:rtl/>
        </w:rPr>
        <w:t xml:space="preserve">כך, </w:t>
      </w:r>
      <w:r>
        <w:rPr>
          <w:u w:val="single"/>
          <w:rtl/>
        </w:rPr>
        <w:t>ביום 14.07.2024,</w:t>
      </w:r>
      <w:r>
        <w:rPr>
          <w:rtl/>
        </w:rPr>
        <w:t xml:space="preserve"> התקבלה הודעה מטעם הממונה הנושאת את הכותרת " הודעה על התייצבות בפני הממונה בהתנהגות שאינה הולמת", תוך שנמסר על ידי הממונה על עבודות השירות כי הנאשם הופיע לראיון ואולם הנאשם התבטא בצורה חריגה, התלהם ודיבר בצורה לא נאותה כלפי הרשמת אשר קיבלה את פניו וניסתה לתת לו שירות, ומשכך, הלה התבקש לעזוב את המקום.</w:t>
      </w:r>
    </w:p>
    <w:p w14:paraId="50D39595" w14:textId="77777777" w:rsidR="00E7053E" w:rsidRDefault="00E7053E" w:rsidP="00E7761C">
      <w:pPr>
        <w:pStyle w:val="ListParagraph"/>
        <w:numPr>
          <w:ilvl w:val="0"/>
          <w:numId w:val="2"/>
        </w:numPr>
        <w:ind w:left="-58"/>
      </w:pPr>
      <w:r>
        <w:rPr>
          <w:rtl/>
        </w:rPr>
        <w:t xml:space="preserve">בדיון שהתקיים </w:t>
      </w:r>
      <w:r>
        <w:rPr>
          <w:u w:val="single"/>
          <w:rtl/>
        </w:rPr>
        <w:t xml:space="preserve">ביום 20.11.2024, </w:t>
      </w:r>
      <w:r>
        <w:rPr>
          <w:rtl/>
        </w:rPr>
        <w:t>הנאשם התנצל על התנהגותו וביקש ליתן לו הזדמנות נוספת להתייצב בפני הממונה. נוכח התנצלותו של הנאשם על התנהגותו ובהסכמת ב"כ המאשימה, התבקש הממונה לזמן הנאשם פעם נוספת לראיון התאמה.</w:t>
      </w:r>
    </w:p>
    <w:p w14:paraId="601E5AF4" w14:textId="77777777" w:rsidR="00E7053E" w:rsidRDefault="00E7053E" w:rsidP="00E7761C">
      <w:pPr>
        <w:pStyle w:val="ListParagraph"/>
        <w:numPr>
          <w:ilvl w:val="0"/>
          <w:numId w:val="2"/>
        </w:numPr>
        <w:ind w:left="-58"/>
      </w:pPr>
      <w:r>
        <w:rPr>
          <w:rtl/>
        </w:rPr>
        <w:t xml:space="preserve">וכך, </w:t>
      </w:r>
      <w:r>
        <w:rPr>
          <w:u w:val="single"/>
          <w:rtl/>
        </w:rPr>
        <w:t>ביום 02.02.2024,</w:t>
      </w:r>
      <w:r>
        <w:rPr>
          <w:rtl/>
        </w:rPr>
        <w:t xml:space="preserve"> עדכן הממונה על עבודות השירות כי הנאשם לא הופיע לראיון אליו זומן במועד זה. </w:t>
      </w:r>
      <w:r>
        <w:rPr>
          <w:u w:val="single"/>
          <w:rtl/>
        </w:rPr>
        <w:t>ביום 11.02.2025</w:t>
      </w:r>
      <w:r>
        <w:rPr>
          <w:rtl/>
        </w:rPr>
        <w:t>, התקבלה תגובת הסנגוריה הציבורית ולפיה נבצר מהנאשם להתייצב שכן הלה לא חש בטוב, אם כי לתגובה זו לא צורפה כל רשומה רפואית.</w:t>
      </w:r>
    </w:p>
    <w:p w14:paraId="07943D14" w14:textId="77777777" w:rsidR="00E7053E" w:rsidRDefault="00E7053E" w:rsidP="00E7761C">
      <w:pPr>
        <w:pStyle w:val="ListParagraph"/>
        <w:numPr>
          <w:ilvl w:val="0"/>
          <w:numId w:val="2"/>
        </w:numPr>
        <w:ind w:left="-58"/>
      </w:pPr>
      <w:r>
        <w:rPr>
          <w:rtl/>
        </w:rPr>
        <w:t xml:space="preserve">כידוע, ביצוע מאסר בדרך של עבודות שירות הינה פריבילגיה הניתנת לנאשם (ראו לעניין זה, </w:t>
      </w:r>
      <w:hyperlink r:id="rId57" w:history="1">
        <w:r w:rsidR="00AD4D58" w:rsidRPr="00AD4D58">
          <w:rPr>
            <w:rStyle w:val="Hyperlink"/>
            <w:rFonts w:hint="eastAsia"/>
            <w:color w:val="0000FF"/>
            <w:rtl/>
          </w:rPr>
          <w:t>רע</w:t>
        </w:r>
        <w:r w:rsidR="00AD4D58" w:rsidRPr="00AD4D58">
          <w:rPr>
            <w:rStyle w:val="Hyperlink"/>
            <w:color w:val="0000FF"/>
            <w:rtl/>
          </w:rPr>
          <w:t>"</w:t>
        </w:r>
        <w:r w:rsidR="00AD4D58" w:rsidRPr="00AD4D58">
          <w:rPr>
            <w:rStyle w:val="Hyperlink"/>
            <w:rFonts w:hint="eastAsia"/>
            <w:color w:val="0000FF"/>
            <w:rtl/>
          </w:rPr>
          <w:t>ב</w:t>
        </w:r>
        <w:r w:rsidR="00AD4D58" w:rsidRPr="00AD4D58">
          <w:rPr>
            <w:rStyle w:val="Hyperlink"/>
            <w:color w:val="0000FF"/>
            <w:rtl/>
          </w:rPr>
          <w:t xml:space="preserve"> 4352/10</w:t>
        </w:r>
      </w:hyperlink>
      <w:r>
        <w:rPr>
          <w:rtl/>
        </w:rPr>
        <w:t xml:space="preserve"> </w:t>
      </w:r>
      <w:r>
        <w:rPr>
          <w:b/>
          <w:bCs/>
          <w:rtl/>
        </w:rPr>
        <w:t>ראמי חאג יחיא נ' מדינת ישראל</w:t>
      </w:r>
      <w:r>
        <w:rPr>
          <w:rtl/>
        </w:rPr>
        <w:t xml:space="preserve"> [פורסם בנבו] (04.07.2010), וככל שהוא מוכיח בהתנהגותו שהוא אינו זכאי לכך, היא תישלל ממנו (ראו לעניין זה גם, </w:t>
      </w:r>
      <w:hyperlink r:id="rId58" w:history="1">
        <w:r w:rsidR="00AD4D58" w:rsidRPr="00AD4D58">
          <w:rPr>
            <w:rStyle w:val="Hyperlink"/>
            <w:rFonts w:hint="eastAsia"/>
            <w:color w:val="0000FF"/>
            <w:rtl/>
          </w:rPr>
          <w:t>רע</w:t>
        </w:r>
        <w:r w:rsidR="00AD4D58" w:rsidRPr="00AD4D58">
          <w:rPr>
            <w:rStyle w:val="Hyperlink"/>
            <w:color w:val="0000FF"/>
            <w:rtl/>
          </w:rPr>
          <w:t>"</w:t>
        </w:r>
        <w:r w:rsidR="00AD4D58" w:rsidRPr="00AD4D58">
          <w:rPr>
            <w:rStyle w:val="Hyperlink"/>
            <w:rFonts w:hint="eastAsia"/>
            <w:color w:val="0000FF"/>
            <w:rtl/>
          </w:rPr>
          <w:t>ב</w:t>
        </w:r>
        <w:r w:rsidR="00AD4D58" w:rsidRPr="00AD4D58">
          <w:rPr>
            <w:rStyle w:val="Hyperlink"/>
            <w:color w:val="0000FF"/>
            <w:rtl/>
          </w:rPr>
          <w:t xml:space="preserve"> 7242/19</w:t>
        </w:r>
      </w:hyperlink>
      <w:r>
        <w:rPr>
          <w:u w:val="single"/>
          <w:rtl/>
        </w:rPr>
        <w:t xml:space="preserve"> </w:t>
      </w:r>
      <w:r>
        <w:rPr>
          <w:b/>
          <w:bCs/>
          <w:rtl/>
        </w:rPr>
        <w:t>יעקב פרץ נגד מדינת ישראל</w:t>
      </w:r>
      <w:r>
        <w:rPr>
          <w:rtl/>
        </w:rPr>
        <w:t xml:space="preserve"> [פורסם בנבו] (04.11.2019). בנסיבות אלו, ומשהנאשם בסופו של יום, לא ניצל את ההזדמנות שניתנה לו, נמנע מלהתייצב בפני הממונה ומלהציג אישור רפואי כנדרש, הרי שהנאשם הוכיח בהתנהגותו כי הוא איננו זכאי לפריבילגיה בדמות ביצוע המאסר בעבודות שירות. משכך, אין מנוס מלקבל את עתירתה העונשית של המאשימה ולקבוע כי עונש המאסר שיושת על הנאשם ירוצה מאחורי סורג ובריח.</w:t>
      </w:r>
    </w:p>
    <w:p w14:paraId="5CF7D419" w14:textId="77777777" w:rsidR="00E7053E" w:rsidRDefault="00E7053E" w:rsidP="00E7761C">
      <w:pPr>
        <w:pStyle w:val="ListParagraph"/>
        <w:numPr>
          <w:ilvl w:val="0"/>
          <w:numId w:val="2"/>
        </w:numPr>
        <w:ind w:left="-58" w:hanging="425"/>
      </w:pPr>
      <w:r>
        <w:rPr>
          <w:b/>
          <w:bCs/>
          <w:rtl/>
        </w:rPr>
        <w:t>מכל המקובץ לעיל, הנני גוזרת על הנאשם את העונשים הבאים:</w:t>
      </w:r>
    </w:p>
    <w:p w14:paraId="2A90A6E3" w14:textId="77777777" w:rsidR="00E7053E" w:rsidRDefault="00E7053E" w:rsidP="00E7761C">
      <w:pPr>
        <w:pStyle w:val="ListParagraph"/>
        <w:numPr>
          <w:ilvl w:val="0"/>
          <w:numId w:val="3"/>
        </w:numPr>
        <w:rPr>
          <w:b/>
          <w:bCs/>
        </w:rPr>
      </w:pPr>
      <w:r>
        <w:rPr>
          <w:b/>
          <w:bCs/>
          <w:rtl/>
        </w:rPr>
        <w:t>2 חודשים מאסר בפועל.</w:t>
      </w:r>
    </w:p>
    <w:p w14:paraId="0A5F2A36" w14:textId="77777777" w:rsidR="00E7053E" w:rsidRDefault="00E7053E" w:rsidP="00E7761C">
      <w:pPr>
        <w:pStyle w:val="ListParagraph"/>
        <w:ind w:left="237"/>
        <w:rPr>
          <w:b/>
          <w:bCs/>
          <w:rtl/>
        </w:rPr>
      </w:pPr>
      <w:r>
        <w:rPr>
          <w:rtl/>
        </w:rPr>
        <w:t>בהעדר החלטה אחרת, הנאשם יתייצב לתחילת ריצוי עונשו, ביום 07.04.2025 עד לשעה: 10:00 בבית הסוהר "דקל", או על פי החלטת שב"ס, כשברשותו תעודת זהות. על הנאשם לתאם את הכניסה למאסר, כולל אפשרות למיון מוקדם, עם ענף אבחון ומיון של שב"ס, בטלפון שמספרו: 08-9787336</w:t>
      </w:r>
      <w:r>
        <w:t>.</w:t>
      </w:r>
    </w:p>
    <w:p w14:paraId="7FE301A0" w14:textId="77777777" w:rsidR="00E7053E" w:rsidRDefault="00E7053E" w:rsidP="00E7761C">
      <w:pPr>
        <w:pStyle w:val="ListParagraph"/>
        <w:numPr>
          <w:ilvl w:val="0"/>
          <w:numId w:val="3"/>
        </w:numPr>
        <w:rPr>
          <w:b/>
          <w:bCs/>
          <w:rtl/>
        </w:rPr>
      </w:pPr>
      <w:r>
        <w:rPr>
          <w:b/>
          <w:bCs/>
          <w:rtl/>
        </w:rPr>
        <w:t xml:space="preserve">מאסר מותנה למשך 8 חודשים, אשר יופעל אם תוך תקופה של שנתיים מהיום הנאשם יעבור  כל עבירה מסוג פשע בניגוד </w:t>
      </w:r>
      <w:r>
        <w:rPr>
          <w:b/>
          <w:bCs/>
          <w:u w:val="single"/>
          <w:rtl/>
        </w:rPr>
        <w:t>ל</w:t>
      </w:r>
      <w:hyperlink r:id="rId59" w:history="1">
        <w:r w:rsidR="00AD4D58" w:rsidRPr="00AD4D58">
          <w:rPr>
            <w:rStyle w:val="Hyperlink"/>
            <w:rFonts w:hint="eastAsia"/>
            <w:b/>
            <w:bCs/>
            <w:color w:val="0000FF"/>
            <w:rtl/>
          </w:rPr>
          <w:t>פקודת</w:t>
        </w:r>
        <w:r w:rsidR="00AD4D58" w:rsidRPr="00AD4D58">
          <w:rPr>
            <w:rStyle w:val="Hyperlink"/>
            <w:b/>
            <w:bCs/>
            <w:color w:val="0000FF"/>
            <w:rtl/>
          </w:rPr>
          <w:t xml:space="preserve"> </w:t>
        </w:r>
        <w:r w:rsidR="00AD4D58" w:rsidRPr="00AD4D58">
          <w:rPr>
            <w:rStyle w:val="Hyperlink"/>
            <w:rFonts w:hint="eastAsia"/>
            <w:b/>
            <w:bCs/>
            <w:color w:val="0000FF"/>
            <w:rtl/>
          </w:rPr>
          <w:t>הסמים</w:t>
        </w:r>
        <w:r w:rsidR="00AD4D58" w:rsidRPr="00AD4D58">
          <w:rPr>
            <w:rStyle w:val="Hyperlink"/>
            <w:b/>
            <w:bCs/>
            <w:color w:val="0000FF"/>
            <w:rtl/>
          </w:rPr>
          <w:t xml:space="preserve"> </w:t>
        </w:r>
        <w:r w:rsidR="00AD4D58" w:rsidRPr="00AD4D58">
          <w:rPr>
            <w:rStyle w:val="Hyperlink"/>
            <w:rFonts w:hint="eastAsia"/>
            <w:b/>
            <w:bCs/>
            <w:color w:val="0000FF"/>
            <w:rtl/>
          </w:rPr>
          <w:t>המסוכנים</w:t>
        </w:r>
      </w:hyperlink>
      <w:r>
        <w:rPr>
          <w:b/>
          <w:bCs/>
          <w:u w:val="single"/>
          <w:rtl/>
        </w:rPr>
        <w:t>.</w:t>
      </w:r>
    </w:p>
    <w:p w14:paraId="42C2572D" w14:textId="77777777" w:rsidR="00E7053E" w:rsidRDefault="00E7053E" w:rsidP="00E7761C">
      <w:pPr>
        <w:pStyle w:val="ListParagraph"/>
        <w:numPr>
          <w:ilvl w:val="0"/>
          <w:numId w:val="3"/>
        </w:numPr>
        <w:rPr>
          <w:b/>
          <w:bCs/>
          <w:rtl/>
        </w:rPr>
      </w:pPr>
      <w:r>
        <w:rPr>
          <w:b/>
          <w:bCs/>
          <w:rtl/>
        </w:rPr>
        <w:t xml:space="preserve">מאסר מותנה למשך 4 חודשים, אשר יופעל אם תוך תקופה של שנתיים מהיום הנאשם יעבור כל עבירה מסוג עוון בניגוד </w:t>
      </w:r>
      <w:r>
        <w:rPr>
          <w:b/>
          <w:bCs/>
          <w:u w:val="single"/>
          <w:rtl/>
        </w:rPr>
        <w:t>ל</w:t>
      </w:r>
      <w:hyperlink r:id="rId60" w:history="1">
        <w:r w:rsidR="00AD4D58" w:rsidRPr="00AD4D58">
          <w:rPr>
            <w:rStyle w:val="Hyperlink"/>
            <w:rFonts w:hint="eastAsia"/>
            <w:b/>
            <w:bCs/>
            <w:color w:val="0000FF"/>
            <w:rtl/>
          </w:rPr>
          <w:t>פקודת</w:t>
        </w:r>
        <w:r w:rsidR="00AD4D58" w:rsidRPr="00AD4D58">
          <w:rPr>
            <w:rStyle w:val="Hyperlink"/>
            <w:b/>
            <w:bCs/>
            <w:color w:val="0000FF"/>
            <w:rtl/>
          </w:rPr>
          <w:t xml:space="preserve"> </w:t>
        </w:r>
        <w:r w:rsidR="00AD4D58" w:rsidRPr="00AD4D58">
          <w:rPr>
            <w:rStyle w:val="Hyperlink"/>
            <w:rFonts w:hint="eastAsia"/>
            <w:b/>
            <w:bCs/>
            <w:color w:val="0000FF"/>
            <w:rtl/>
          </w:rPr>
          <w:t>הסמים</w:t>
        </w:r>
        <w:r w:rsidR="00AD4D58" w:rsidRPr="00AD4D58">
          <w:rPr>
            <w:rStyle w:val="Hyperlink"/>
            <w:b/>
            <w:bCs/>
            <w:color w:val="0000FF"/>
            <w:rtl/>
          </w:rPr>
          <w:t xml:space="preserve"> </w:t>
        </w:r>
        <w:r w:rsidR="00AD4D58" w:rsidRPr="00AD4D58">
          <w:rPr>
            <w:rStyle w:val="Hyperlink"/>
            <w:rFonts w:hint="eastAsia"/>
            <w:b/>
            <w:bCs/>
            <w:color w:val="0000FF"/>
            <w:rtl/>
          </w:rPr>
          <w:t>המסוכנים</w:t>
        </w:r>
      </w:hyperlink>
      <w:r>
        <w:rPr>
          <w:b/>
          <w:bCs/>
          <w:u w:val="single"/>
          <w:rtl/>
        </w:rPr>
        <w:t>.</w:t>
      </w:r>
    </w:p>
    <w:p w14:paraId="34974386" w14:textId="77777777" w:rsidR="00E7053E" w:rsidRDefault="00E7053E" w:rsidP="00E7761C">
      <w:pPr>
        <w:pStyle w:val="ListParagraph"/>
        <w:numPr>
          <w:ilvl w:val="0"/>
          <w:numId w:val="3"/>
        </w:numPr>
        <w:rPr>
          <w:b/>
          <w:bCs/>
          <w:rtl/>
        </w:rPr>
      </w:pPr>
      <w:r>
        <w:rPr>
          <w:b/>
          <w:bCs/>
          <w:rtl/>
        </w:rPr>
        <w:t xml:space="preserve">קנס בסך 1,500 ₪ או 15 ימים מאסר תמורתו. </w:t>
      </w:r>
    </w:p>
    <w:p w14:paraId="2A062DEB" w14:textId="77777777" w:rsidR="00E7053E" w:rsidRDefault="00E7053E" w:rsidP="00E7761C">
      <w:pPr>
        <w:pStyle w:val="ListParagraph"/>
        <w:ind w:left="237"/>
      </w:pPr>
      <w:r>
        <w:rPr>
          <w:rtl/>
        </w:rPr>
        <w:t>הקנס ישולם ב- 5 שיעורים, כשהראשון שבהם ביום 3.6.25.</w:t>
      </w:r>
    </w:p>
    <w:p w14:paraId="4A1C59BA" w14:textId="77777777" w:rsidR="00E7053E" w:rsidRDefault="00E7053E" w:rsidP="00E7761C">
      <w:pPr>
        <w:pStyle w:val="ListParagraph"/>
        <w:ind w:left="237"/>
        <w:rPr>
          <w:sz w:val="22"/>
          <w:szCs w:val="22"/>
        </w:rPr>
      </w:pPr>
      <w:r>
        <w:rPr>
          <w:rtl/>
        </w:rPr>
        <w:t>תשומת לב הנאשם כי החוב מועבר למרכז לגביית קנסות, אגרות והוצאות ברשות האכיפה והגבייה, בהתאם למועדים והתשלומים שנקבעו בגזר הדין.</w:t>
      </w:r>
    </w:p>
    <w:p w14:paraId="3CAB07BE" w14:textId="77777777" w:rsidR="00E7053E" w:rsidRDefault="00E7053E" w:rsidP="00E7761C">
      <w:pPr>
        <w:pStyle w:val="ListParagraph"/>
        <w:ind w:left="237"/>
        <w:rPr>
          <w:szCs w:val="26"/>
        </w:rPr>
      </w:pPr>
      <w:r>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0854CF55" w14:textId="77777777" w:rsidR="00E7053E" w:rsidRDefault="00E7053E" w:rsidP="00E7761C">
      <w:pPr>
        <w:pStyle w:val="ListParagraph"/>
        <w:ind w:left="237"/>
        <w:rPr>
          <w:sz w:val="22"/>
        </w:rPr>
      </w:pPr>
      <w:r>
        <w:rPr>
          <w:sz w:val="22"/>
          <w:szCs w:val="22"/>
          <w:rtl/>
        </w:rPr>
        <w:t xml:space="preserve">בכרטיס אשראי – באתר המקוון של רשות האכיפה והגבייה, </w:t>
      </w:r>
      <w:hyperlink r:id="rId61" w:history="1">
        <w:r>
          <w:rPr>
            <w:rStyle w:val="Hyperlink"/>
            <w:sz w:val="22"/>
            <w:szCs w:val="22"/>
          </w:rPr>
          <w:t>www.eca.gov.il</w:t>
        </w:r>
      </w:hyperlink>
      <w:r>
        <w:rPr>
          <w:sz w:val="22"/>
          <w:szCs w:val="22"/>
        </w:rPr>
        <w:t xml:space="preserve"> </w:t>
      </w:r>
      <w:r>
        <w:rPr>
          <w:sz w:val="22"/>
          <w:szCs w:val="22"/>
          <w:rtl/>
        </w:rPr>
        <w:t>.</w:t>
      </w:r>
      <w:r w:rsidR="00AD4D58">
        <w:rPr>
          <w:sz w:val="22"/>
          <w:szCs w:val="22"/>
          <w:rtl/>
        </w:rPr>
        <w:t xml:space="preserve"> </w:t>
      </w:r>
    </w:p>
    <w:p w14:paraId="38A2920C" w14:textId="77777777" w:rsidR="00E7053E" w:rsidRDefault="00E7053E" w:rsidP="00E7761C">
      <w:pPr>
        <w:pStyle w:val="ListParagraph"/>
        <w:ind w:left="237"/>
        <w:rPr>
          <w:sz w:val="22"/>
          <w:szCs w:val="22"/>
        </w:rPr>
      </w:pPr>
      <w:r>
        <w:rPr>
          <w:sz w:val="22"/>
          <w:szCs w:val="22"/>
          <w:rtl/>
        </w:rPr>
        <w:t>במוקד שירות טלפוני בשרות עצמי (מרכז גבייה)</w:t>
      </w:r>
      <w:r w:rsidR="00AD4D58">
        <w:rPr>
          <w:sz w:val="22"/>
          <w:szCs w:val="22"/>
          <w:rtl/>
        </w:rPr>
        <w:t xml:space="preserve"> </w:t>
      </w:r>
      <w:r>
        <w:rPr>
          <w:sz w:val="22"/>
          <w:szCs w:val="22"/>
          <w:rtl/>
        </w:rPr>
        <w:t xml:space="preserve"> – בטלפון 35592* או בטלפון 073-2055000.</w:t>
      </w:r>
    </w:p>
    <w:p w14:paraId="4FC9A99B" w14:textId="77777777" w:rsidR="00E7053E" w:rsidRDefault="00E7053E" w:rsidP="00E7761C">
      <w:pPr>
        <w:pStyle w:val="ListParagraph"/>
        <w:ind w:left="237"/>
        <w:rPr>
          <w:sz w:val="22"/>
          <w:szCs w:val="22"/>
          <w:rtl/>
        </w:rPr>
      </w:pPr>
      <w:r>
        <w:rPr>
          <w:sz w:val="22"/>
          <w:szCs w:val="22"/>
          <w:rtl/>
        </w:rPr>
        <w:t>במזומן בכל סניף של בנק הדואר – בהצגת תעודת זהות בלבד (אין צורך בשוברי תשלום).</w:t>
      </w:r>
    </w:p>
    <w:p w14:paraId="067C7195" w14:textId="77777777" w:rsidR="00E7053E" w:rsidRDefault="00E7053E" w:rsidP="00E7761C">
      <w:pPr>
        <w:pStyle w:val="ListParagraph"/>
        <w:numPr>
          <w:ilvl w:val="0"/>
          <w:numId w:val="3"/>
        </w:numPr>
        <w:rPr>
          <w:b/>
          <w:bCs/>
        </w:rPr>
      </w:pPr>
      <w:r>
        <w:rPr>
          <w:b/>
          <w:bCs/>
          <w:rtl/>
        </w:rPr>
        <w:t xml:space="preserve">הנאשם יצהיר על התחייבות על סך 5,000 ₪ שלא לעבור כל עבירה בניגוד </w:t>
      </w:r>
      <w:r>
        <w:rPr>
          <w:b/>
          <w:bCs/>
          <w:u w:val="single"/>
          <w:rtl/>
        </w:rPr>
        <w:t>ל</w:t>
      </w:r>
      <w:hyperlink r:id="rId62" w:history="1">
        <w:r w:rsidR="00AD4D58" w:rsidRPr="00AD4D58">
          <w:rPr>
            <w:rStyle w:val="Hyperlink"/>
            <w:rFonts w:hint="eastAsia"/>
            <w:b/>
            <w:bCs/>
            <w:color w:val="0000FF"/>
            <w:rtl/>
          </w:rPr>
          <w:t>פקודת</w:t>
        </w:r>
        <w:r w:rsidR="00AD4D58" w:rsidRPr="00AD4D58">
          <w:rPr>
            <w:rStyle w:val="Hyperlink"/>
            <w:b/>
            <w:bCs/>
            <w:color w:val="0000FF"/>
            <w:rtl/>
          </w:rPr>
          <w:t xml:space="preserve"> </w:t>
        </w:r>
        <w:r w:rsidR="00AD4D58" w:rsidRPr="00AD4D58">
          <w:rPr>
            <w:rStyle w:val="Hyperlink"/>
            <w:rFonts w:hint="eastAsia"/>
            <w:b/>
            <w:bCs/>
            <w:color w:val="0000FF"/>
            <w:rtl/>
          </w:rPr>
          <w:t>הסמים</w:t>
        </w:r>
        <w:r w:rsidR="00AD4D58" w:rsidRPr="00AD4D58">
          <w:rPr>
            <w:rStyle w:val="Hyperlink"/>
            <w:b/>
            <w:bCs/>
            <w:color w:val="0000FF"/>
            <w:rtl/>
          </w:rPr>
          <w:t xml:space="preserve"> </w:t>
        </w:r>
        <w:r w:rsidR="00AD4D58" w:rsidRPr="00AD4D58">
          <w:rPr>
            <w:rStyle w:val="Hyperlink"/>
            <w:rFonts w:hint="eastAsia"/>
            <w:b/>
            <w:bCs/>
            <w:color w:val="0000FF"/>
            <w:rtl/>
          </w:rPr>
          <w:t>המסוכנים</w:t>
        </w:r>
      </w:hyperlink>
      <w:r>
        <w:rPr>
          <w:b/>
          <w:bCs/>
          <w:rtl/>
        </w:rPr>
        <w:t xml:space="preserve"> לתקופה של שנתיים מהיום. </w:t>
      </w:r>
    </w:p>
    <w:p w14:paraId="6F1E2589" w14:textId="77777777" w:rsidR="00E7053E" w:rsidRDefault="00E7053E" w:rsidP="00E7761C">
      <w:pPr>
        <w:pStyle w:val="ListParagraph"/>
        <w:numPr>
          <w:ilvl w:val="0"/>
          <w:numId w:val="3"/>
        </w:numPr>
        <w:rPr>
          <w:b/>
          <w:bCs/>
          <w:rtl/>
        </w:rPr>
      </w:pPr>
      <w:r>
        <w:rPr>
          <w:b/>
          <w:bCs/>
          <w:rtl/>
        </w:rPr>
        <w:t xml:space="preserve">הנני פוסלת הנאשם מלקבל ומלהחזיק רישיון נהיגה למשך 6 חודשים בתנאי שלא יעבור כל עבירה בניגוד </w:t>
      </w:r>
      <w:r>
        <w:rPr>
          <w:b/>
          <w:bCs/>
          <w:u w:val="single"/>
          <w:rtl/>
        </w:rPr>
        <w:t>ל</w:t>
      </w:r>
      <w:hyperlink r:id="rId63" w:history="1">
        <w:r w:rsidR="00AD4D58" w:rsidRPr="00AD4D58">
          <w:rPr>
            <w:rStyle w:val="Hyperlink"/>
            <w:rFonts w:hint="eastAsia"/>
            <w:b/>
            <w:bCs/>
            <w:color w:val="0000FF"/>
            <w:rtl/>
          </w:rPr>
          <w:t>פקודת</w:t>
        </w:r>
        <w:r w:rsidR="00AD4D58" w:rsidRPr="00AD4D58">
          <w:rPr>
            <w:rStyle w:val="Hyperlink"/>
            <w:b/>
            <w:bCs/>
            <w:color w:val="0000FF"/>
            <w:rtl/>
          </w:rPr>
          <w:t xml:space="preserve"> </w:t>
        </w:r>
        <w:r w:rsidR="00AD4D58" w:rsidRPr="00AD4D58">
          <w:rPr>
            <w:rStyle w:val="Hyperlink"/>
            <w:rFonts w:hint="eastAsia"/>
            <w:b/>
            <w:bCs/>
            <w:color w:val="0000FF"/>
            <w:rtl/>
          </w:rPr>
          <w:t>הסמים</w:t>
        </w:r>
        <w:r w:rsidR="00AD4D58" w:rsidRPr="00AD4D58">
          <w:rPr>
            <w:rStyle w:val="Hyperlink"/>
            <w:b/>
            <w:bCs/>
            <w:color w:val="0000FF"/>
            <w:rtl/>
          </w:rPr>
          <w:t xml:space="preserve"> </w:t>
        </w:r>
        <w:r w:rsidR="00AD4D58" w:rsidRPr="00AD4D58">
          <w:rPr>
            <w:rStyle w:val="Hyperlink"/>
            <w:rFonts w:hint="eastAsia"/>
            <w:b/>
            <w:bCs/>
            <w:color w:val="0000FF"/>
            <w:rtl/>
          </w:rPr>
          <w:t>המסוכנים</w:t>
        </w:r>
      </w:hyperlink>
      <w:r>
        <w:rPr>
          <w:b/>
          <w:bCs/>
          <w:rtl/>
        </w:rPr>
        <w:t xml:space="preserve"> במשך שנתיים מהיום.</w:t>
      </w:r>
    </w:p>
    <w:p w14:paraId="7292F2C0" w14:textId="77777777" w:rsidR="00E7053E" w:rsidRDefault="00E7053E" w:rsidP="00E7761C">
      <w:pPr>
        <w:ind w:left="-483"/>
        <w:rPr>
          <w:b/>
          <w:bCs/>
          <w:rtl/>
        </w:rPr>
      </w:pPr>
    </w:p>
    <w:p w14:paraId="0A77A4DE" w14:textId="77777777" w:rsidR="00E7053E" w:rsidRDefault="00E7053E" w:rsidP="00E7761C">
      <w:pPr>
        <w:ind w:left="-483"/>
        <w:rPr>
          <w:sz w:val="6"/>
          <w:szCs w:val="6"/>
          <w:rtl/>
        </w:rPr>
      </w:pPr>
      <w:r>
        <w:rPr>
          <w:b/>
          <w:bCs/>
          <w:rtl/>
        </w:rPr>
        <w:t>זכות ערעור כחוק.</w:t>
      </w:r>
    </w:p>
    <w:p w14:paraId="2AFC8887" w14:textId="77777777" w:rsidR="00E7053E" w:rsidRDefault="00E7053E" w:rsidP="00E7761C">
      <w:pPr>
        <w:ind w:left="-483"/>
        <w:rPr>
          <w:sz w:val="6"/>
          <w:szCs w:val="6"/>
          <w:rtl/>
        </w:rPr>
      </w:pPr>
      <w:r>
        <w:rPr>
          <w:sz w:val="6"/>
          <w:szCs w:val="6"/>
          <w:rtl/>
        </w:rPr>
        <w:t>&lt;#4#&gt;</w:t>
      </w:r>
    </w:p>
    <w:p w14:paraId="350E7F81" w14:textId="77777777" w:rsidR="00E7053E" w:rsidRDefault="00E7053E" w:rsidP="00E7761C">
      <w:pPr>
        <w:ind w:left="-483"/>
        <w:rPr>
          <w:sz w:val="6"/>
          <w:szCs w:val="6"/>
          <w:rtl/>
        </w:rPr>
      </w:pPr>
      <w:r>
        <w:rPr>
          <w:b/>
          <w:bCs/>
          <w:rtl/>
        </w:rPr>
        <w:t xml:space="preserve">ניתן והודע היום כ"ו שבט תשפ"ה, </w:t>
      </w:r>
      <w:r>
        <w:rPr>
          <w:b/>
          <w:bCs/>
        </w:rPr>
        <w:t>24/02/2025</w:t>
      </w:r>
      <w:r>
        <w:rPr>
          <w:b/>
          <w:bCs/>
          <w:rtl/>
        </w:rPr>
        <w:t xml:space="preserve"> במעמד הנוכחים.</w:t>
      </w:r>
    </w:p>
    <w:p w14:paraId="083E5740" w14:textId="77777777" w:rsidR="00E7053E" w:rsidRDefault="00E7053E" w:rsidP="00E7761C">
      <w:pPr>
        <w:jc w:val="center"/>
        <w:rPr>
          <w:rtl/>
        </w:rPr>
      </w:pP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E7053E" w14:paraId="2ABB331D" w14:textId="77777777" w:rsidTr="00940B2E">
        <w:trPr>
          <w:trHeight w:val="316"/>
        </w:trPr>
        <w:tc>
          <w:tcPr>
            <w:tcW w:w="3936" w:type="dxa"/>
            <w:tcBorders>
              <w:top w:val="nil"/>
              <w:left w:val="nil"/>
              <w:right w:val="nil"/>
            </w:tcBorders>
          </w:tcPr>
          <w:p w14:paraId="5AA5EE7E" w14:textId="77777777" w:rsidR="00E7053E" w:rsidRDefault="00E7053E" w:rsidP="00940B2E">
            <w:pPr>
              <w:jc w:val="center"/>
              <w:rPr>
                <w:rtl/>
              </w:rPr>
            </w:pPr>
          </w:p>
        </w:tc>
      </w:tr>
      <w:tr w:rsidR="00E7053E" w14:paraId="4912AFF5" w14:textId="77777777" w:rsidTr="00940B2E">
        <w:trPr>
          <w:trHeight w:val="361"/>
        </w:trPr>
        <w:tc>
          <w:tcPr>
            <w:tcW w:w="3936" w:type="dxa"/>
            <w:tcBorders>
              <w:left w:val="nil"/>
              <w:bottom w:val="nil"/>
              <w:right w:val="nil"/>
            </w:tcBorders>
          </w:tcPr>
          <w:p w14:paraId="6AA4A31E" w14:textId="77777777" w:rsidR="00E7053E" w:rsidRPr="00940B2E" w:rsidRDefault="00E7053E" w:rsidP="00940B2E">
            <w:pPr>
              <w:jc w:val="center"/>
              <w:rPr>
                <w:b/>
                <w:bCs/>
                <w:rtl/>
              </w:rPr>
            </w:pPr>
            <w:r w:rsidRPr="00940B2E">
              <w:rPr>
                <w:b/>
                <w:bCs/>
                <w:rtl/>
              </w:rPr>
              <w:t xml:space="preserve">נגה שמואלי </w:t>
            </w:r>
            <w:r w:rsidRPr="00940B2E">
              <w:rPr>
                <w:b/>
                <w:bCs/>
                <w:vertAlign w:val="superscript"/>
                <w:rtl/>
              </w:rPr>
              <w:t>–</w:t>
            </w:r>
            <w:r w:rsidRPr="00940B2E">
              <w:rPr>
                <w:b/>
                <w:bCs/>
                <w:rtl/>
              </w:rPr>
              <w:t xml:space="preserve"> מאייר, שופטת בכירה</w:t>
            </w:r>
          </w:p>
        </w:tc>
      </w:tr>
    </w:tbl>
    <w:p w14:paraId="6CF51FB8" w14:textId="77777777" w:rsidR="00E7053E" w:rsidRDefault="00E7053E" w:rsidP="00E7761C">
      <w:pPr>
        <w:ind w:left="-483"/>
        <w:rPr>
          <w:b/>
          <w:bCs/>
          <w:u w:val="single"/>
          <w:rtl/>
        </w:rPr>
      </w:pPr>
      <w:r>
        <w:rPr>
          <w:b/>
          <w:bCs/>
          <w:u w:val="single"/>
          <w:rtl/>
        </w:rPr>
        <w:t>הנאשם:</w:t>
      </w:r>
    </w:p>
    <w:p w14:paraId="12CECE42" w14:textId="77777777" w:rsidR="00E7053E" w:rsidRDefault="00E7053E" w:rsidP="00E7761C">
      <w:pPr>
        <w:ind w:left="-483"/>
        <w:rPr>
          <w:rtl/>
        </w:rPr>
      </w:pPr>
      <w:r>
        <w:rPr>
          <w:rtl/>
        </w:rPr>
        <w:t>אני מתחייב שלא לעבור כל עבירה בניגוד ל</w:t>
      </w:r>
      <w:hyperlink r:id="rId64" w:history="1">
        <w:r w:rsidR="00AD4D58" w:rsidRPr="00AD4D58">
          <w:rPr>
            <w:rStyle w:val="Hyperlink"/>
            <w:color w:val="0000FF"/>
            <w:rtl/>
          </w:rPr>
          <w:t>פקודת הסמים המסוכנים</w:t>
        </w:r>
      </w:hyperlink>
      <w:r>
        <w:rPr>
          <w:rtl/>
        </w:rPr>
        <w:t xml:space="preserve"> וזאת למשך שנתיים מהיום.</w:t>
      </w:r>
    </w:p>
    <w:p w14:paraId="22CB698F" w14:textId="77777777" w:rsidR="00E7053E" w:rsidRDefault="00E7053E" w:rsidP="00E7761C">
      <w:pPr>
        <w:ind w:left="-483"/>
      </w:pPr>
      <w:r>
        <w:rPr>
          <w:rtl/>
        </w:rPr>
        <w:t>הובהר לי, כי ככל שאעבור כל עבירה בניגוד ל</w:t>
      </w:r>
      <w:hyperlink r:id="rId65" w:history="1">
        <w:r w:rsidR="00AD4D58" w:rsidRPr="00AD4D58">
          <w:rPr>
            <w:rStyle w:val="Hyperlink"/>
            <w:color w:val="0000FF"/>
            <w:rtl/>
          </w:rPr>
          <w:t>פקודת הסמים המסוכנים</w:t>
        </w:r>
      </w:hyperlink>
      <w:r>
        <w:rPr>
          <w:rtl/>
        </w:rPr>
        <w:t xml:space="preserve"> במשך שנתיים מהיום, אזי יושת עלי סך של 5,000 ₪.</w:t>
      </w:r>
    </w:p>
    <w:p w14:paraId="709D5389" w14:textId="77777777" w:rsidR="00E7053E" w:rsidRDefault="00E7053E" w:rsidP="00E7761C">
      <w:pPr>
        <w:ind w:left="-483"/>
        <w:rPr>
          <w:b/>
          <w:bCs/>
          <w:rtl/>
        </w:rPr>
      </w:pPr>
    </w:p>
    <w:p w14:paraId="5E9A9EA3" w14:textId="77777777" w:rsidR="00E7053E" w:rsidRDefault="00E7053E" w:rsidP="00E7761C">
      <w:pPr>
        <w:ind w:left="-483"/>
        <w:rPr>
          <w:b/>
          <w:bCs/>
          <w:sz w:val="6"/>
          <w:szCs w:val="6"/>
          <w:rtl/>
        </w:rPr>
      </w:pPr>
      <w:r>
        <w:rPr>
          <w:b/>
          <w:bCs/>
          <w:sz w:val="6"/>
          <w:szCs w:val="6"/>
          <w:rtl/>
        </w:rPr>
        <w:t>&lt;#9#&gt;</w:t>
      </w:r>
    </w:p>
    <w:p w14:paraId="6CC4B465" w14:textId="77777777" w:rsidR="00E7053E" w:rsidRDefault="00E7053E" w:rsidP="00E7761C">
      <w:pPr>
        <w:jc w:val="center"/>
        <w:rPr>
          <w:rFonts w:ascii="Arial" w:hAnsi="Arial"/>
          <w:b/>
          <w:bCs/>
          <w:sz w:val="28"/>
          <w:szCs w:val="28"/>
          <w:u w:val="single"/>
          <w:rtl/>
        </w:rPr>
      </w:pPr>
      <w:r>
        <w:rPr>
          <w:rFonts w:ascii="Arial" w:hAnsi="Arial"/>
          <w:b/>
          <w:bCs/>
          <w:sz w:val="28"/>
          <w:szCs w:val="28"/>
          <w:u w:val="single"/>
          <w:rtl/>
        </w:rPr>
        <w:t>החלטה</w:t>
      </w:r>
    </w:p>
    <w:p w14:paraId="51497715" w14:textId="77777777" w:rsidR="00E7053E" w:rsidRDefault="00E7053E" w:rsidP="00E7761C">
      <w:pPr>
        <w:ind w:left="-483"/>
        <w:rPr>
          <w:rtl/>
        </w:rPr>
      </w:pPr>
    </w:p>
    <w:p w14:paraId="0A6A4C28" w14:textId="77777777" w:rsidR="00E7053E" w:rsidRDefault="00E7053E" w:rsidP="00E7761C">
      <w:pPr>
        <w:ind w:left="-483"/>
        <w:rPr>
          <w:b/>
          <w:bCs/>
          <w:rtl/>
        </w:rPr>
      </w:pPr>
      <w:r>
        <w:rPr>
          <w:rtl/>
        </w:rPr>
        <w:t xml:space="preserve">רשמתי לפניי את התחייבות הנאשם להימנע מביצוע העבירות כמפורט בגזר הדין. </w:t>
      </w:r>
    </w:p>
    <w:p w14:paraId="2AF840BF" w14:textId="77777777" w:rsidR="00E7053E" w:rsidRDefault="00E7053E" w:rsidP="00E7761C">
      <w:pPr>
        <w:ind w:left="-483"/>
        <w:rPr>
          <w:b/>
          <w:bCs/>
          <w:sz w:val="6"/>
          <w:szCs w:val="6"/>
          <w:rtl/>
        </w:rPr>
      </w:pPr>
      <w:r>
        <w:rPr>
          <w:b/>
          <w:bCs/>
          <w:sz w:val="6"/>
          <w:szCs w:val="6"/>
          <w:rtl/>
        </w:rPr>
        <w:t>&lt;#10#&gt;</w:t>
      </w:r>
    </w:p>
    <w:p w14:paraId="10D8AB4B" w14:textId="77777777" w:rsidR="00E7053E" w:rsidRDefault="00AD4D58" w:rsidP="00E7761C">
      <w:pPr>
        <w:jc w:val="center"/>
        <w:rPr>
          <w:rtl/>
        </w:rPr>
      </w:pPr>
      <w:bookmarkStart w:id="7" w:name="Nitan"/>
      <w:r w:rsidRPr="00AD4D58">
        <w:rPr>
          <w:b/>
          <w:bCs/>
          <w:color w:val="FFFFFF"/>
          <w:sz w:val="2"/>
          <w:szCs w:val="2"/>
          <w:rtl/>
        </w:rPr>
        <w:t>5129371</w:t>
      </w:r>
      <w:r>
        <w:rPr>
          <w:b/>
          <w:bCs/>
          <w:rtl/>
        </w:rPr>
        <w:t xml:space="preserve">ניתנה והודעה היום כ"ו שבט תשפ"ה, 24/02/2025 במעמד הנוכחים. </w:t>
      </w:r>
      <w:bookmarkEnd w:id="7"/>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E7053E" w14:paraId="45DADDC0" w14:textId="77777777" w:rsidTr="00940B2E">
        <w:trPr>
          <w:trHeight w:val="316"/>
        </w:trPr>
        <w:tc>
          <w:tcPr>
            <w:tcW w:w="3936" w:type="dxa"/>
            <w:tcBorders>
              <w:top w:val="nil"/>
              <w:left w:val="nil"/>
              <w:right w:val="nil"/>
            </w:tcBorders>
          </w:tcPr>
          <w:p w14:paraId="63300FCC" w14:textId="77777777" w:rsidR="00E7053E" w:rsidRPr="00AD4D58" w:rsidRDefault="00AD4D58" w:rsidP="00940B2E">
            <w:pPr>
              <w:jc w:val="center"/>
              <w:rPr>
                <w:color w:val="FFFFFF"/>
                <w:sz w:val="2"/>
                <w:szCs w:val="2"/>
                <w:rtl/>
              </w:rPr>
            </w:pPr>
            <w:r w:rsidRPr="00AD4D58">
              <w:rPr>
                <w:color w:val="FFFFFF"/>
                <w:sz w:val="2"/>
                <w:szCs w:val="2"/>
                <w:rtl/>
              </w:rPr>
              <w:t>54678313</w:t>
            </w:r>
          </w:p>
        </w:tc>
      </w:tr>
      <w:tr w:rsidR="00E7053E" w14:paraId="772D626A" w14:textId="77777777" w:rsidTr="00940B2E">
        <w:trPr>
          <w:trHeight w:val="361"/>
        </w:trPr>
        <w:tc>
          <w:tcPr>
            <w:tcW w:w="3936" w:type="dxa"/>
            <w:tcBorders>
              <w:left w:val="nil"/>
              <w:bottom w:val="nil"/>
              <w:right w:val="nil"/>
            </w:tcBorders>
          </w:tcPr>
          <w:p w14:paraId="7879E404" w14:textId="77777777" w:rsidR="00E7053E" w:rsidRPr="00940B2E" w:rsidRDefault="00E7053E" w:rsidP="00940B2E">
            <w:pPr>
              <w:jc w:val="center"/>
              <w:rPr>
                <w:b/>
                <w:bCs/>
                <w:rtl/>
              </w:rPr>
            </w:pPr>
            <w:r w:rsidRPr="00940B2E">
              <w:rPr>
                <w:b/>
                <w:bCs/>
                <w:rtl/>
              </w:rPr>
              <w:t xml:space="preserve">נגה שמואלי </w:t>
            </w:r>
            <w:r w:rsidRPr="00940B2E">
              <w:rPr>
                <w:b/>
                <w:bCs/>
                <w:vertAlign w:val="superscript"/>
                <w:rtl/>
              </w:rPr>
              <w:t>–</w:t>
            </w:r>
            <w:r w:rsidRPr="00940B2E">
              <w:rPr>
                <w:b/>
                <w:bCs/>
                <w:rtl/>
              </w:rPr>
              <w:t xml:space="preserve"> מאייר, שופטת בכירה</w:t>
            </w:r>
          </w:p>
        </w:tc>
      </w:tr>
    </w:tbl>
    <w:p w14:paraId="23256B2E" w14:textId="77777777" w:rsidR="00E7053E" w:rsidRDefault="00E7053E" w:rsidP="00E7761C">
      <w:pPr>
        <w:rPr>
          <w:i/>
          <w:iCs/>
          <w:sz w:val="18"/>
          <w:szCs w:val="18"/>
          <w:rtl/>
        </w:rPr>
      </w:pPr>
      <w:r>
        <w:rPr>
          <w:i/>
          <w:iCs/>
          <w:sz w:val="18"/>
          <w:szCs w:val="18"/>
          <w:rtl/>
        </w:rPr>
        <w:t>הוקלד ע"י לירז ביטון.</w:t>
      </w:r>
    </w:p>
    <w:p w14:paraId="6D8D8220" w14:textId="77777777" w:rsidR="00E7053E" w:rsidRDefault="00E7053E" w:rsidP="00E7761C">
      <w:pPr>
        <w:rPr>
          <w:rtl/>
        </w:rPr>
      </w:pPr>
      <w:r>
        <w:rPr>
          <w:rtl/>
        </w:rPr>
        <w:t>הוקלד</w:t>
      </w:r>
      <w:r>
        <w:t xml:space="preserve"> </w:t>
      </w:r>
      <w:r>
        <w:rPr>
          <w:rtl/>
        </w:rPr>
        <w:t>על</w:t>
      </w:r>
      <w:r>
        <w:t xml:space="preserve"> </w:t>
      </w:r>
      <w:r>
        <w:rPr>
          <w:rtl/>
        </w:rPr>
        <w:t>ידי</w:t>
      </w:r>
      <w:r>
        <w:t xml:space="preserve"> </w:t>
      </w:r>
      <w:r>
        <w:rPr>
          <w:rtl/>
        </w:rPr>
        <w:t>לירז</w:t>
      </w:r>
      <w:r>
        <w:t xml:space="preserve"> </w:t>
      </w:r>
      <w:r>
        <w:rPr>
          <w:rtl/>
        </w:rPr>
        <w:t>ביטון</w:t>
      </w:r>
    </w:p>
    <w:p w14:paraId="68C5EB3A" w14:textId="77777777" w:rsidR="00E7053E" w:rsidRPr="00AD4D58" w:rsidRDefault="00E7053E" w:rsidP="00AD4D58">
      <w:pPr>
        <w:keepNext/>
        <w:jc w:val="left"/>
        <w:rPr>
          <w:color w:val="000000"/>
          <w:sz w:val="22"/>
          <w:szCs w:val="22"/>
          <w:rtl/>
        </w:rPr>
      </w:pPr>
    </w:p>
    <w:p w14:paraId="0BDDF59A" w14:textId="77777777" w:rsidR="00AD4D58" w:rsidRPr="00AD4D58" w:rsidRDefault="00AD4D58" w:rsidP="00AD4D58">
      <w:pPr>
        <w:keepNext/>
        <w:jc w:val="left"/>
        <w:rPr>
          <w:color w:val="000000"/>
          <w:sz w:val="22"/>
          <w:szCs w:val="22"/>
          <w:rtl/>
        </w:rPr>
      </w:pPr>
      <w:r w:rsidRPr="00AD4D58">
        <w:rPr>
          <w:color w:val="000000"/>
          <w:sz w:val="22"/>
          <w:szCs w:val="22"/>
          <w:rtl/>
        </w:rPr>
        <w:t>נגה שמואלי מאייר 54678313</w:t>
      </w:r>
    </w:p>
    <w:p w14:paraId="5D23CD24" w14:textId="77777777" w:rsidR="00AD4D58" w:rsidRDefault="00AD4D58" w:rsidP="00AD4D58">
      <w:pPr>
        <w:jc w:val="left"/>
      </w:pPr>
      <w:r w:rsidRPr="00AD4D58">
        <w:rPr>
          <w:color w:val="000000"/>
          <w:rtl/>
        </w:rPr>
        <w:t>נוסח מסמך זה כפוף לשינויי ניסוח ועריכה</w:t>
      </w:r>
    </w:p>
    <w:p w14:paraId="4181C0C2" w14:textId="77777777" w:rsidR="00AD4D58" w:rsidRDefault="00AD4D58" w:rsidP="00AD4D58">
      <w:pPr>
        <w:jc w:val="left"/>
        <w:rPr>
          <w:rtl/>
        </w:rPr>
      </w:pPr>
    </w:p>
    <w:p w14:paraId="29CCB4C9" w14:textId="77777777" w:rsidR="00AD4D58" w:rsidRDefault="00AD4D58" w:rsidP="00AD4D58">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2D40427C" w14:textId="77777777" w:rsidR="00AD4D58" w:rsidRPr="00AD4D58" w:rsidRDefault="00AD4D58" w:rsidP="00AD4D58">
      <w:pPr>
        <w:jc w:val="center"/>
        <w:rPr>
          <w:color w:val="0000FF"/>
          <w:u w:val="single"/>
        </w:rPr>
      </w:pPr>
    </w:p>
    <w:sectPr w:rsidR="00AD4D58" w:rsidRPr="00AD4D58" w:rsidSect="00AD4D58">
      <w:headerReference w:type="even" r:id="rId67"/>
      <w:headerReference w:type="default" r:id="rId68"/>
      <w:footerReference w:type="even" r:id="rId69"/>
      <w:footerReference w:type="default" r:id="rId70"/>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2A35D" w14:textId="77777777" w:rsidR="00137020" w:rsidRDefault="00137020" w:rsidP="00AD4D58">
      <w:pPr>
        <w:spacing w:line="240" w:lineRule="auto"/>
      </w:pPr>
      <w:r>
        <w:separator/>
      </w:r>
    </w:p>
  </w:endnote>
  <w:endnote w:type="continuationSeparator" w:id="0">
    <w:p w14:paraId="1EA1B1D2" w14:textId="77777777" w:rsidR="00137020" w:rsidRDefault="00137020" w:rsidP="00AD4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B0323" w14:textId="77777777" w:rsidR="00AD4D58" w:rsidRDefault="00AD4D58" w:rsidP="00AD4D5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14407C" w14:textId="77777777" w:rsidR="00AD4D58" w:rsidRPr="00AD4D58" w:rsidRDefault="00AD4D58" w:rsidP="00AD4D58">
    <w:pPr>
      <w:pStyle w:val="a6"/>
      <w:pBdr>
        <w:top w:val="single" w:sz="4" w:space="1" w:color="auto"/>
        <w:between w:val="single" w:sz="4" w:space="0" w:color="auto"/>
      </w:pBdr>
      <w:spacing w:after="60" w:line="240" w:lineRule="auto"/>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534A8" w14:textId="77777777" w:rsidR="00AD4D58" w:rsidRDefault="00AD4D58" w:rsidP="00AD4D5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522B">
      <w:rPr>
        <w:rFonts w:ascii="FrankRuehl" w:hAnsi="FrankRuehl" w:cs="FrankRuehl"/>
        <w:noProof/>
        <w:rtl/>
      </w:rPr>
      <w:t>1</w:t>
    </w:r>
    <w:r>
      <w:rPr>
        <w:rFonts w:ascii="FrankRuehl" w:hAnsi="FrankRuehl" w:cs="FrankRuehl"/>
        <w:rtl/>
      </w:rPr>
      <w:fldChar w:fldCharType="end"/>
    </w:r>
  </w:p>
  <w:p w14:paraId="0F21E734" w14:textId="77777777" w:rsidR="00AD4D58" w:rsidRPr="00AD4D58" w:rsidRDefault="00AD4D58" w:rsidP="00AD4D58">
    <w:pPr>
      <w:pStyle w:val="a6"/>
      <w:pBdr>
        <w:top w:val="single" w:sz="4" w:space="1" w:color="auto"/>
        <w:between w:val="single" w:sz="4" w:space="0" w:color="auto"/>
      </w:pBdr>
      <w:spacing w:after="60" w:line="240" w:lineRule="auto"/>
      <w:jc w:val="center"/>
      <w:rPr>
        <w:rFonts w:ascii="FrankRuehl" w:hAnsi="FrankRuehl" w:cs="FrankRuehl"/>
        <w:color w:val="000000"/>
      </w:rPr>
    </w:pPr>
    <w:r>
      <w:rPr>
        <w:rFonts w:ascii="FrankRuehl" w:hAnsi="FrankRuehl" w:cs="FrankRuehl"/>
        <w:color w:val="000000"/>
      </w:rPr>
      <w:pict w14:anchorId="0986B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E4818" w14:textId="77777777" w:rsidR="00137020" w:rsidRDefault="00137020" w:rsidP="00AD4D58">
      <w:pPr>
        <w:spacing w:line="240" w:lineRule="auto"/>
      </w:pPr>
      <w:r>
        <w:separator/>
      </w:r>
    </w:p>
  </w:footnote>
  <w:footnote w:type="continuationSeparator" w:id="0">
    <w:p w14:paraId="0394806D" w14:textId="77777777" w:rsidR="00137020" w:rsidRDefault="00137020" w:rsidP="00AD4D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0231E" w14:textId="77777777" w:rsidR="00AD4D58" w:rsidRPr="00AD4D58" w:rsidRDefault="00AD4D58" w:rsidP="00AD4D58">
    <w:pPr>
      <w:pStyle w:val="a5"/>
      <w:pBdr>
        <w:bottom w:val="single" w:sz="4" w:space="1" w:color="auto"/>
      </w:pBdr>
      <w:tabs>
        <w:tab w:val="right" w:pos="8311"/>
      </w:tabs>
      <w:spacing w:line="220" w:lineRule="auto"/>
      <w:jc w:val="left"/>
      <w:rPr>
        <w:rFonts w:cs="David"/>
        <w:color w:val="000000"/>
        <w:sz w:val="22"/>
        <w:szCs w:val="22"/>
        <w:rtl/>
      </w:rPr>
    </w:pPr>
    <w:r>
      <w:rPr>
        <w:rFonts w:cs="David"/>
        <w:color w:val="000000"/>
        <w:sz w:val="22"/>
        <w:szCs w:val="22"/>
        <w:rtl/>
      </w:rPr>
      <w:t>תפ (ק"ג) 14611-12-21</w:t>
    </w:r>
    <w:r>
      <w:rPr>
        <w:rFonts w:cs="David"/>
        <w:color w:val="000000"/>
        <w:sz w:val="22"/>
        <w:szCs w:val="22"/>
        <w:rtl/>
      </w:rPr>
      <w:tab/>
      <w:t xml:space="preserve"> מדינת ישראל נ' שי מושקביץ'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B32A4" w14:textId="77777777" w:rsidR="00AD4D58" w:rsidRPr="00AD4D58" w:rsidRDefault="00AD4D58" w:rsidP="00AD4D58">
    <w:pPr>
      <w:pStyle w:val="a5"/>
      <w:pBdr>
        <w:bottom w:val="single" w:sz="4" w:space="1" w:color="auto"/>
      </w:pBdr>
      <w:tabs>
        <w:tab w:val="right" w:pos="8311"/>
      </w:tabs>
      <w:spacing w:line="220" w:lineRule="auto"/>
      <w:jc w:val="left"/>
      <w:rPr>
        <w:rFonts w:cs="David"/>
        <w:color w:val="000000"/>
        <w:sz w:val="22"/>
        <w:szCs w:val="22"/>
        <w:rtl/>
      </w:rPr>
    </w:pPr>
    <w:r>
      <w:rPr>
        <w:rFonts w:cs="David"/>
        <w:color w:val="000000"/>
        <w:sz w:val="22"/>
        <w:szCs w:val="22"/>
        <w:rtl/>
      </w:rPr>
      <w:t>תפ (ק"ג) 14611-12-21</w:t>
    </w:r>
    <w:r>
      <w:rPr>
        <w:rFonts w:cs="David"/>
        <w:color w:val="000000"/>
        <w:sz w:val="22"/>
        <w:szCs w:val="22"/>
        <w:rtl/>
      </w:rPr>
      <w:tab/>
      <w:t xml:space="preserve"> מדינת ישראל נ' שי מושקביץ'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B0528"/>
    <w:multiLevelType w:val="hybridMultilevel"/>
    <w:tmpl w:val="F3ACD662"/>
    <w:lvl w:ilvl="0" w:tplc="04090013">
      <w:start w:val="1"/>
      <w:numFmt w:val="hebrew1"/>
      <w:lvlText w:val="%1."/>
      <w:lvlJc w:val="center"/>
      <w:pPr>
        <w:ind w:left="237" w:hanging="360"/>
      </w:pPr>
      <w:rPr>
        <w:rFonts w:cs="Times New Roman"/>
        <w:sz w:val="2"/>
        <w:szCs w:val="24"/>
      </w:rPr>
    </w:lvl>
    <w:lvl w:ilvl="1" w:tplc="04090019">
      <w:start w:val="1"/>
      <w:numFmt w:val="lowerLetter"/>
      <w:lvlText w:val="%2."/>
      <w:lvlJc w:val="left"/>
      <w:pPr>
        <w:ind w:left="957" w:hanging="360"/>
      </w:pPr>
      <w:rPr>
        <w:rFonts w:cs="Times New Roman"/>
      </w:rPr>
    </w:lvl>
    <w:lvl w:ilvl="2" w:tplc="0409001B">
      <w:start w:val="1"/>
      <w:numFmt w:val="lowerRoman"/>
      <w:lvlText w:val="%3."/>
      <w:lvlJc w:val="right"/>
      <w:pPr>
        <w:ind w:left="1677" w:hanging="180"/>
      </w:pPr>
      <w:rPr>
        <w:rFonts w:cs="Times New Roman"/>
      </w:rPr>
    </w:lvl>
    <w:lvl w:ilvl="3" w:tplc="0409000F">
      <w:start w:val="1"/>
      <w:numFmt w:val="decimal"/>
      <w:lvlText w:val="%4."/>
      <w:lvlJc w:val="left"/>
      <w:pPr>
        <w:ind w:left="2397" w:hanging="360"/>
      </w:pPr>
      <w:rPr>
        <w:rFonts w:cs="Times New Roman"/>
      </w:rPr>
    </w:lvl>
    <w:lvl w:ilvl="4" w:tplc="04090019">
      <w:start w:val="1"/>
      <w:numFmt w:val="lowerLetter"/>
      <w:lvlText w:val="%5."/>
      <w:lvlJc w:val="left"/>
      <w:pPr>
        <w:ind w:left="3117" w:hanging="360"/>
      </w:pPr>
      <w:rPr>
        <w:rFonts w:cs="Times New Roman"/>
      </w:rPr>
    </w:lvl>
    <w:lvl w:ilvl="5" w:tplc="0409001B">
      <w:start w:val="1"/>
      <w:numFmt w:val="lowerRoman"/>
      <w:lvlText w:val="%6."/>
      <w:lvlJc w:val="right"/>
      <w:pPr>
        <w:ind w:left="3837" w:hanging="180"/>
      </w:pPr>
      <w:rPr>
        <w:rFonts w:cs="Times New Roman"/>
      </w:rPr>
    </w:lvl>
    <w:lvl w:ilvl="6" w:tplc="0409000F">
      <w:start w:val="1"/>
      <w:numFmt w:val="decimal"/>
      <w:lvlText w:val="%7."/>
      <w:lvlJc w:val="left"/>
      <w:pPr>
        <w:ind w:left="4557" w:hanging="360"/>
      </w:pPr>
      <w:rPr>
        <w:rFonts w:cs="Times New Roman"/>
      </w:rPr>
    </w:lvl>
    <w:lvl w:ilvl="7" w:tplc="04090019">
      <w:start w:val="1"/>
      <w:numFmt w:val="lowerLetter"/>
      <w:lvlText w:val="%8."/>
      <w:lvlJc w:val="left"/>
      <w:pPr>
        <w:ind w:left="5277" w:hanging="360"/>
      </w:pPr>
      <w:rPr>
        <w:rFonts w:cs="Times New Roman"/>
      </w:rPr>
    </w:lvl>
    <w:lvl w:ilvl="8" w:tplc="0409001B">
      <w:start w:val="1"/>
      <w:numFmt w:val="lowerRoman"/>
      <w:lvlText w:val="%9."/>
      <w:lvlJc w:val="right"/>
      <w:pPr>
        <w:ind w:left="5997" w:hanging="180"/>
      </w:pPr>
      <w:rPr>
        <w:rFonts w:cs="Times New Roman"/>
      </w:rPr>
    </w:lvl>
  </w:abstractNum>
  <w:abstractNum w:abstractNumId="1" w15:restartNumberingAfterBreak="0">
    <w:nsid w:val="2D277F34"/>
    <w:multiLevelType w:val="hybridMultilevel"/>
    <w:tmpl w:val="0624ECDC"/>
    <w:lvl w:ilvl="0" w:tplc="C056385A">
      <w:start w:val="1"/>
      <w:numFmt w:val="decimal"/>
      <w:lvlText w:val="%1."/>
      <w:lvlJc w:val="left"/>
      <w:pPr>
        <w:ind w:left="662" w:hanging="360"/>
      </w:pPr>
      <w:rPr>
        <w:rFonts w:ascii="David" w:hAnsi="David" w:cs="David" w:hint="default"/>
        <w:b w:val="0"/>
        <w:bCs w:val="0"/>
        <w:color w:val="auto"/>
      </w:rPr>
    </w:lvl>
    <w:lvl w:ilvl="1" w:tplc="4B42B5CC">
      <w:start w:val="1"/>
      <w:numFmt w:val="hebrew1"/>
      <w:lvlText w:val="%2."/>
      <w:lvlJc w:val="left"/>
      <w:pPr>
        <w:ind w:left="1517" w:hanging="495"/>
      </w:pPr>
      <w:rPr>
        <w:rFonts w:cs="Times New Roman"/>
        <w:b w:val="0"/>
        <w:bCs/>
        <w:sz w:val="2"/>
        <w:szCs w:val="24"/>
      </w:rPr>
    </w:lvl>
    <w:lvl w:ilvl="2" w:tplc="EFFA0B0E">
      <w:start w:val="1"/>
      <w:numFmt w:val="lowerRoman"/>
      <w:lvlText w:val="%3."/>
      <w:lvlJc w:val="right"/>
      <w:pPr>
        <w:ind w:left="2102" w:hanging="180"/>
      </w:pPr>
      <w:rPr>
        <w:rFonts w:cs="Times New Roman"/>
      </w:rPr>
    </w:lvl>
    <w:lvl w:ilvl="3" w:tplc="73D2B9B6">
      <w:start w:val="1"/>
      <w:numFmt w:val="decimal"/>
      <w:lvlText w:val="%4."/>
      <w:lvlJc w:val="left"/>
      <w:pPr>
        <w:ind w:left="2822" w:hanging="360"/>
      </w:pPr>
      <w:rPr>
        <w:rFonts w:cs="Times New Roman"/>
      </w:rPr>
    </w:lvl>
    <w:lvl w:ilvl="4" w:tplc="20F48510">
      <w:start w:val="1"/>
      <w:numFmt w:val="lowerLetter"/>
      <w:lvlText w:val="%5."/>
      <w:lvlJc w:val="left"/>
      <w:pPr>
        <w:ind w:left="3542" w:hanging="360"/>
      </w:pPr>
      <w:rPr>
        <w:rFonts w:cs="Times New Roman"/>
      </w:rPr>
    </w:lvl>
    <w:lvl w:ilvl="5" w:tplc="394CA95C">
      <w:start w:val="1"/>
      <w:numFmt w:val="lowerRoman"/>
      <w:lvlText w:val="%6."/>
      <w:lvlJc w:val="right"/>
      <w:pPr>
        <w:ind w:left="4262" w:hanging="180"/>
      </w:pPr>
      <w:rPr>
        <w:rFonts w:cs="Times New Roman"/>
      </w:rPr>
    </w:lvl>
    <w:lvl w:ilvl="6" w:tplc="D8EE9D42">
      <w:start w:val="1"/>
      <w:numFmt w:val="decimal"/>
      <w:lvlText w:val="%7."/>
      <w:lvlJc w:val="left"/>
      <w:pPr>
        <w:ind w:left="4982" w:hanging="360"/>
      </w:pPr>
      <w:rPr>
        <w:rFonts w:cs="Times New Roman"/>
      </w:rPr>
    </w:lvl>
    <w:lvl w:ilvl="7" w:tplc="952C2832">
      <w:start w:val="1"/>
      <w:numFmt w:val="lowerLetter"/>
      <w:lvlText w:val="%8."/>
      <w:lvlJc w:val="left"/>
      <w:pPr>
        <w:ind w:left="5702" w:hanging="360"/>
      </w:pPr>
      <w:rPr>
        <w:rFonts w:cs="Times New Roman"/>
      </w:rPr>
    </w:lvl>
    <w:lvl w:ilvl="8" w:tplc="5A609A5A">
      <w:start w:val="1"/>
      <w:numFmt w:val="lowerRoman"/>
      <w:lvlText w:val="%9."/>
      <w:lvlJc w:val="right"/>
      <w:pPr>
        <w:ind w:left="6422" w:hanging="180"/>
      </w:pPr>
      <w:rPr>
        <w:rFonts w:cs="Times New Roman"/>
      </w:rPr>
    </w:lvl>
  </w:abstractNum>
  <w:abstractNum w:abstractNumId="2" w15:restartNumberingAfterBreak="0">
    <w:nsid w:val="633E1DE5"/>
    <w:multiLevelType w:val="hybridMultilevel"/>
    <w:tmpl w:val="4ACE219C"/>
    <w:lvl w:ilvl="0" w:tplc="60F045FC">
      <w:start w:val="1"/>
      <w:numFmt w:val="hebrew1"/>
      <w:lvlText w:val="%1."/>
      <w:lvlJc w:val="center"/>
      <w:pPr>
        <w:ind w:left="720" w:hanging="360"/>
      </w:pPr>
      <w:rPr>
        <w:rFonts w:cs="Times New Roman"/>
        <w:sz w:val="2"/>
        <w:szCs w:val="24"/>
      </w:rPr>
    </w:lvl>
    <w:lvl w:ilvl="1" w:tplc="640A642C">
      <w:start w:val="1"/>
      <w:numFmt w:val="lowerLetter"/>
      <w:lvlText w:val="%2."/>
      <w:lvlJc w:val="left"/>
      <w:pPr>
        <w:ind w:left="1440" w:hanging="360"/>
      </w:pPr>
      <w:rPr>
        <w:rFonts w:cs="Times New Roman"/>
      </w:rPr>
    </w:lvl>
    <w:lvl w:ilvl="2" w:tplc="6E089174">
      <w:start w:val="1"/>
      <w:numFmt w:val="lowerRoman"/>
      <w:lvlText w:val="%3."/>
      <w:lvlJc w:val="right"/>
      <w:pPr>
        <w:ind w:left="2160" w:hanging="180"/>
      </w:pPr>
      <w:rPr>
        <w:rFonts w:cs="Times New Roman"/>
      </w:rPr>
    </w:lvl>
    <w:lvl w:ilvl="3" w:tplc="97E80572">
      <w:start w:val="1"/>
      <w:numFmt w:val="decimal"/>
      <w:lvlText w:val="%4."/>
      <w:lvlJc w:val="left"/>
      <w:pPr>
        <w:ind w:left="2880" w:hanging="360"/>
      </w:pPr>
      <w:rPr>
        <w:rFonts w:cs="Times New Roman"/>
      </w:rPr>
    </w:lvl>
    <w:lvl w:ilvl="4" w:tplc="44CE031C">
      <w:start w:val="1"/>
      <w:numFmt w:val="lowerLetter"/>
      <w:lvlText w:val="%5."/>
      <w:lvlJc w:val="left"/>
      <w:pPr>
        <w:ind w:left="3600" w:hanging="360"/>
      </w:pPr>
      <w:rPr>
        <w:rFonts w:cs="Times New Roman"/>
      </w:rPr>
    </w:lvl>
    <w:lvl w:ilvl="5" w:tplc="C032EF78">
      <w:start w:val="1"/>
      <w:numFmt w:val="lowerRoman"/>
      <w:lvlText w:val="%6."/>
      <w:lvlJc w:val="right"/>
      <w:pPr>
        <w:ind w:left="4320" w:hanging="180"/>
      </w:pPr>
      <w:rPr>
        <w:rFonts w:cs="Times New Roman"/>
      </w:rPr>
    </w:lvl>
    <w:lvl w:ilvl="6" w:tplc="86BE996C">
      <w:start w:val="1"/>
      <w:numFmt w:val="decimal"/>
      <w:lvlText w:val="%7."/>
      <w:lvlJc w:val="left"/>
      <w:pPr>
        <w:ind w:left="5040" w:hanging="360"/>
      </w:pPr>
      <w:rPr>
        <w:rFonts w:cs="Times New Roman"/>
      </w:rPr>
    </w:lvl>
    <w:lvl w:ilvl="7" w:tplc="3AAC5636">
      <w:start w:val="1"/>
      <w:numFmt w:val="lowerLetter"/>
      <w:lvlText w:val="%8."/>
      <w:lvlJc w:val="left"/>
      <w:pPr>
        <w:ind w:left="5760" w:hanging="360"/>
      </w:pPr>
      <w:rPr>
        <w:rFonts w:cs="Times New Roman"/>
      </w:rPr>
    </w:lvl>
    <w:lvl w:ilvl="8" w:tplc="DCA8CB2E">
      <w:start w:val="1"/>
      <w:numFmt w:val="lowerRoman"/>
      <w:lvlText w:val="%9."/>
      <w:lvlJc w:val="right"/>
      <w:pPr>
        <w:ind w:left="6480" w:hanging="180"/>
      </w:pPr>
      <w:rPr>
        <w:rFonts w:cs="Times New Roman"/>
      </w:rPr>
    </w:lvl>
  </w:abstractNum>
  <w:num w:numId="1" w16cid:durableId="1593470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871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4460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761C"/>
    <w:rsid w:val="0008522B"/>
    <w:rsid w:val="001004B2"/>
    <w:rsid w:val="00137020"/>
    <w:rsid w:val="003316FF"/>
    <w:rsid w:val="005D7978"/>
    <w:rsid w:val="005E3E55"/>
    <w:rsid w:val="007D1FED"/>
    <w:rsid w:val="008A32FE"/>
    <w:rsid w:val="00917261"/>
    <w:rsid w:val="00940B2E"/>
    <w:rsid w:val="009927C5"/>
    <w:rsid w:val="00AC1DEB"/>
    <w:rsid w:val="00AD4D58"/>
    <w:rsid w:val="00DA5399"/>
    <w:rsid w:val="00E3719B"/>
    <w:rsid w:val="00E7053E"/>
    <w:rsid w:val="00E7761C"/>
    <w:rsid w:val="00E872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3D5B0A"/>
  <w15:chartTrackingRefBased/>
  <w15:docId w15:val="{8A06F322-497A-4188-9344-ED14479A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761C"/>
    <w:pPr>
      <w:bidi/>
      <w:spacing w:line="360" w:lineRule="auto"/>
      <w:jc w:val="both"/>
    </w:pPr>
    <w:rPr>
      <w:rFonts w:ascii="David" w:eastAsia="Times New Roman" w:hAnsi="David" w:cs="David"/>
      <w:sz w:val="24"/>
      <w:szCs w:val="24"/>
    </w:rPr>
  </w:style>
  <w:style w:type="paragraph" w:styleId="1">
    <w:name w:val="heading 1"/>
    <w:basedOn w:val="a"/>
    <w:next w:val="a"/>
    <w:link w:val="10"/>
    <w:qFormat/>
    <w:rsid w:val="00E7761C"/>
    <w:pPr>
      <w:keepNext/>
      <w:spacing w:before="240" w:after="60"/>
      <w:outlineLvl w:val="0"/>
    </w:pPr>
    <w:rPr>
      <w:rFonts w:ascii="Arial" w:eastAsia="Calibri" w:hAnsi="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locked/>
    <w:rsid w:val="00E7761C"/>
    <w:rPr>
      <w:rFonts w:ascii="Arial" w:hAnsi="Arial"/>
      <w:b/>
      <w:kern w:val="32"/>
      <w:sz w:val="32"/>
    </w:rPr>
  </w:style>
  <w:style w:type="character" w:styleId="Hyperlink">
    <w:name w:val="Hyperlink"/>
    <w:semiHidden/>
    <w:rsid w:val="00E7761C"/>
    <w:rPr>
      <w:color w:val="0563C1"/>
      <w:u w:val="single"/>
    </w:rPr>
  </w:style>
  <w:style w:type="character" w:customStyle="1" w:styleId="ListParagraphChar1">
    <w:name w:val="List Paragraph Char1"/>
    <w:link w:val="ListParagraph"/>
    <w:locked/>
    <w:rsid w:val="00E7761C"/>
    <w:rPr>
      <w:sz w:val="24"/>
    </w:rPr>
  </w:style>
  <w:style w:type="paragraph" w:customStyle="1" w:styleId="ListParagraph">
    <w:name w:val="List Paragraph"/>
    <w:basedOn w:val="a"/>
    <w:link w:val="ListParagraphChar1"/>
    <w:qFormat/>
    <w:rsid w:val="00E7761C"/>
    <w:pPr>
      <w:ind w:left="720"/>
      <w:contextualSpacing/>
    </w:pPr>
    <w:rPr>
      <w:rFonts w:ascii="Calibri" w:hAnsi="Calibri" w:cs="Arial"/>
    </w:rPr>
  </w:style>
  <w:style w:type="paragraph" w:customStyle="1" w:styleId="12">
    <w:name w:val="רגיל + ‏12 נק'"/>
    <w:aliases w:val="מיושר לשני הצדדים,מרווח בין שורות:  שורה וחצי"/>
    <w:basedOn w:val="a"/>
    <w:rsid w:val="00E7761C"/>
    <w:pPr>
      <w:spacing w:line="240" w:lineRule="auto"/>
      <w:jc w:val="left"/>
    </w:pPr>
    <w:rPr>
      <w:rFonts w:ascii="Times New Roman" w:eastAsia="Calibri" w:hAnsi="Times New Roman"/>
      <w:b/>
      <w:bCs/>
      <w:u w:val="single"/>
    </w:rPr>
  </w:style>
  <w:style w:type="character" w:customStyle="1" w:styleId="ListParagraphChar">
    <w:name w:val="List Paragraph Char"/>
    <w:link w:val="11"/>
    <w:locked/>
    <w:rsid w:val="00E7761C"/>
    <w:rPr>
      <w:sz w:val="24"/>
    </w:rPr>
  </w:style>
  <w:style w:type="paragraph" w:customStyle="1" w:styleId="11">
    <w:name w:val="פיסקת רשימה1"/>
    <w:basedOn w:val="a"/>
    <w:link w:val="ListParagraphChar"/>
    <w:rsid w:val="00E7761C"/>
    <w:pPr>
      <w:spacing w:after="160"/>
      <w:ind w:left="720" w:hanging="357"/>
      <w:contextualSpacing/>
    </w:pPr>
    <w:rPr>
      <w:rFonts w:ascii="Calibri" w:hAnsi="Calibri" w:cs="Arial"/>
    </w:rPr>
  </w:style>
  <w:style w:type="table" w:styleId="a3">
    <w:name w:val="Table Grid"/>
    <w:basedOn w:val="a1"/>
    <w:rsid w:val="00E7761C"/>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כותרת עליונה תו"/>
    <w:link w:val="a5"/>
    <w:semiHidden/>
    <w:locked/>
    <w:rsid w:val="00AC1DEB"/>
    <w:rPr>
      <w:rFonts w:ascii="David" w:hAnsi="David"/>
      <w:sz w:val="24"/>
    </w:rPr>
  </w:style>
  <w:style w:type="paragraph" w:styleId="a5">
    <w:name w:val="header"/>
    <w:basedOn w:val="a"/>
    <w:link w:val="a4"/>
    <w:semiHidden/>
    <w:locked/>
    <w:rsid w:val="00AC1DEB"/>
    <w:rPr>
      <w:rFonts w:eastAsia="Calibri" w:cs="Times New Roman"/>
      <w:noProof/>
    </w:rPr>
  </w:style>
  <w:style w:type="character" w:customStyle="1" w:styleId="HeaderChar1">
    <w:name w:val="Header Char1"/>
    <w:semiHidden/>
    <w:rPr>
      <w:rFonts w:ascii="David" w:hAnsi="David"/>
      <w:sz w:val="24"/>
    </w:rPr>
  </w:style>
  <w:style w:type="paragraph" w:styleId="a6">
    <w:name w:val="footer"/>
    <w:basedOn w:val="a"/>
    <w:link w:val="a7"/>
    <w:locked/>
    <w:rsid w:val="00AD4D58"/>
    <w:pPr>
      <w:tabs>
        <w:tab w:val="center" w:pos="4153"/>
        <w:tab w:val="right" w:pos="8306"/>
      </w:tabs>
    </w:pPr>
  </w:style>
  <w:style w:type="character" w:customStyle="1" w:styleId="a7">
    <w:name w:val="כותרת תחתונה תו"/>
    <w:link w:val="a6"/>
    <w:rsid w:val="00AD4D58"/>
    <w:rPr>
      <w:rFonts w:ascii="David" w:eastAsia="Times New Roman" w:hAnsi="David" w:cs="David"/>
      <w:sz w:val="24"/>
      <w:szCs w:val="24"/>
    </w:rPr>
  </w:style>
  <w:style w:type="character" w:styleId="a8">
    <w:name w:val="page number"/>
    <w:locked/>
    <w:rsid w:val="00AD4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9999565" TargetMode="External"/><Relationship Id="rId21" Type="http://schemas.openxmlformats.org/officeDocument/2006/relationships/hyperlink" Target="http://www.nevo.co.il/case/17939812" TargetMode="External"/><Relationship Id="rId42" Type="http://schemas.openxmlformats.org/officeDocument/2006/relationships/hyperlink" Target="http://www.nevo.co.il/case/5880417" TargetMode="External"/><Relationship Id="rId47" Type="http://schemas.openxmlformats.org/officeDocument/2006/relationships/hyperlink" Target="http://www.nevo.co.il/law/70301/40ja" TargetMode="External"/><Relationship Id="rId63" Type="http://schemas.openxmlformats.org/officeDocument/2006/relationships/hyperlink" Target="http://www.nevo.co.il/law/4216" TargetMode="External"/><Relationship Id="rId68"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7684323"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18791199" TargetMode="External"/><Relationship Id="rId32" Type="http://schemas.openxmlformats.org/officeDocument/2006/relationships/hyperlink" Target="http://www.nevo.co.il/case/26022441" TargetMode="External"/><Relationship Id="rId37" Type="http://schemas.openxmlformats.org/officeDocument/2006/relationships/hyperlink" Target="http://www.nevo.co.il/case/26089042" TargetMode="External"/><Relationship Id="rId40" Type="http://schemas.openxmlformats.org/officeDocument/2006/relationships/hyperlink" Target="http://www.nevo.co.il/case/6032057" TargetMode="External"/><Relationship Id="rId45" Type="http://schemas.openxmlformats.org/officeDocument/2006/relationships/hyperlink" Target="http://www.nevo.co.il/case/29311859"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6146798"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eca.gov.il"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6490107" TargetMode="External"/><Relationship Id="rId30" Type="http://schemas.openxmlformats.org/officeDocument/2006/relationships/hyperlink" Target="http://www.nevo.co.il/case/26089042" TargetMode="External"/><Relationship Id="rId35" Type="http://schemas.openxmlformats.org/officeDocument/2006/relationships/hyperlink" Target="http://www.nevo.co.il/case/27871630" TargetMode="External"/><Relationship Id="rId43" Type="http://schemas.openxmlformats.org/officeDocument/2006/relationships/hyperlink" Target="http://www.nevo.co.il/case/6824952"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1474481" TargetMode="External"/><Relationship Id="rId64" Type="http://schemas.openxmlformats.org/officeDocument/2006/relationships/hyperlink" Target="http://www.nevo.co.il/law/4216" TargetMode="External"/><Relationship Id="rId69"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25459244"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9396498" TargetMode="External"/><Relationship Id="rId33" Type="http://schemas.openxmlformats.org/officeDocument/2006/relationships/hyperlink" Target="http://www.nevo.co.il/case/28105689" TargetMode="External"/><Relationship Id="rId38" Type="http://schemas.openxmlformats.org/officeDocument/2006/relationships/hyperlink" Target="http://www.nevo.co.il/case/26890899" TargetMode="External"/><Relationship Id="rId46" Type="http://schemas.openxmlformats.org/officeDocument/2006/relationships/hyperlink" Target="http://www.nevo.co.il/case/26991436" TargetMode="External"/><Relationship Id="rId59" Type="http://schemas.openxmlformats.org/officeDocument/2006/relationships/hyperlink" Target="http://www.nevo.co.il/law/4216" TargetMode="External"/><Relationship Id="rId67" Type="http://schemas.openxmlformats.org/officeDocument/2006/relationships/header" Target="header1.xml"/><Relationship Id="rId20" Type="http://schemas.openxmlformats.org/officeDocument/2006/relationships/hyperlink" Target="http://www.nevo.co.il/law/4216" TargetMode="External"/><Relationship Id="rId41" Type="http://schemas.openxmlformats.org/officeDocument/2006/relationships/hyperlink" Target="http://www.nevo.co.il/case/17941073" TargetMode="External"/><Relationship Id="rId54" Type="http://schemas.openxmlformats.org/officeDocument/2006/relationships/hyperlink" Target="http://www.nevo.co.il/case/28226828" TargetMode="External"/><Relationship Id="rId62" Type="http://schemas.openxmlformats.org/officeDocument/2006/relationships/hyperlink" Target="http://www.nevo.co.il/law/4216"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5583030" TargetMode="External"/><Relationship Id="rId28" Type="http://schemas.openxmlformats.org/officeDocument/2006/relationships/hyperlink" Target="http://www.nevo.co.il/case/27217205" TargetMode="External"/><Relationship Id="rId36" Type="http://schemas.openxmlformats.org/officeDocument/2006/relationships/hyperlink" Target="http://www.nevo.co.il/case/27217205" TargetMode="External"/><Relationship Id="rId49" Type="http://schemas.openxmlformats.org/officeDocument/2006/relationships/hyperlink" Target="http://www.nevo.co.il/law/70301/40d.a" TargetMode="External"/><Relationship Id="rId57" Type="http://schemas.openxmlformats.org/officeDocument/2006/relationships/hyperlink" Target="http://www.nevo.co.il/case/5951925"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7886851" TargetMode="External"/><Relationship Id="rId44" Type="http://schemas.openxmlformats.org/officeDocument/2006/relationships/hyperlink" Target="http://www.nevo.co.il/case/5580841" TargetMode="External"/><Relationship Id="rId52" Type="http://schemas.openxmlformats.org/officeDocument/2006/relationships/hyperlink" Target="http://www.nevo.co.il/law/70301/40d" TargetMode="External"/><Relationship Id="rId60" Type="http://schemas.openxmlformats.org/officeDocument/2006/relationships/hyperlink" Target="http://www.nevo.co.il/law/4216" TargetMode="External"/><Relationship Id="rId65"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d.a" TargetMode="External"/><Relationship Id="rId18" Type="http://schemas.openxmlformats.org/officeDocument/2006/relationships/hyperlink" Target="http://www.nevo.co.il/law/70301/40c.a" TargetMode="External"/><Relationship Id="rId39" Type="http://schemas.openxmlformats.org/officeDocument/2006/relationships/hyperlink" Target="http://www.nevo.co.il/case/23446225" TargetMode="External"/><Relationship Id="rId34" Type="http://schemas.openxmlformats.org/officeDocument/2006/relationships/hyperlink" Target="http://www.nevo.co.il/case/24934713"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130155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4553</Words>
  <Characters>22768</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27267</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8257637</vt:i4>
      </vt:variant>
      <vt:variant>
        <vt:i4>168</vt:i4>
      </vt:variant>
      <vt:variant>
        <vt:i4>0</vt:i4>
      </vt:variant>
      <vt:variant>
        <vt:i4>5</vt:i4>
      </vt:variant>
      <vt:variant>
        <vt:lpwstr>http://www.nevo.co.il/law/4216</vt:lpwstr>
      </vt:variant>
      <vt:variant>
        <vt:lpwstr/>
      </vt:variant>
      <vt:variant>
        <vt:i4>8257637</vt:i4>
      </vt:variant>
      <vt:variant>
        <vt:i4>165</vt:i4>
      </vt:variant>
      <vt:variant>
        <vt:i4>0</vt:i4>
      </vt:variant>
      <vt:variant>
        <vt:i4>5</vt:i4>
      </vt:variant>
      <vt:variant>
        <vt:lpwstr>http://www.nevo.co.il/law/4216</vt:lpwstr>
      </vt:variant>
      <vt:variant>
        <vt:lpwstr/>
      </vt:variant>
      <vt:variant>
        <vt:i4>7864368</vt:i4>
      </vt:variant>
      <vt:variant>
        <vt:i4>162</vt:i4>
      </vt:variant>
      <vt:variant>
        <vt:i4>0</vt:i4>
      </vt:variant>
      <vt:variant>
        <vt:i4>5</vt:i4>
      </vt:variant>
      <vt:variant>
        <vt:lpwstr>http://www.eca.gov.il/</vt:lpwstr>
      </vt:variant>
      <vt:variant>
        <vt:lpwstr/>
      </vt:variant>
      <vt:variant>
        <vt:i4>8257637</vt:i4>
      </vt:variant>
      <vt:variant>
        <vt:i4>159</vt:i4>
      </vt:variant>
      <vt:variant>
        <vt:i4>0</vt:i4>
      </vt:variant>
      <vt:variant>
        <vt:i4>5</vt:i4>
      </vt:variant>
      <vt:variant>
        <vt:lpwstr>http://www.nevo.co.il/law/4216</vt:lpwstr>
      </vt:variant>
      <vt:variant>
        <vt:lpwstr/>
      </vt:variant>
      <vt:variant>
        <vt:i4>8257637</vt:i4>
      </vt:variant>
      <vt:variant>
        <vt:i4>156</vt:i4>
      </vt:variant>
      <vt:variant>
        <vt:i4>0</vt:i4>
      </vt:variant>
      <vt:variant>
        <vt:i4>5</vt:i4>
      </vt:variant>
      <vt:variant>
        <vt:lpwstr>http://www.nevo.co.il/law/4216</vt:lpwstr>
      </vt:variant>
      <vt:variant>
        <vt:lpwstr/>
      </vt:variant>
      <vt:variant>
        <vt:i4>3932273</vt:i4>
      </vt:variant>
      <vt:variant>
        <vt:i4>153</vt:i4>
      </vt:variant>
      <vt:variant>
        <vt:i4>0</vt:i4>
      </vt:variant>
      <vt:variant>
        <vt:i4>5</vt:i4>
      </vt:variant>
      <vt:variant>
        <vt:lpwstr>http://www.nevo.co.il/case/26146798</vt:lpwstr>
      </vt:variant>
      <vt:variant>
        <vt:lpwstr/>
      </vt:variant>
      <vt:variant>
        <vt:i4>3932286</vt:i4>
      </vt:variant>
      <vt:variant>
        <vt:i4>150</vt:i4>
      </vt:variant>
      <vt:variant>
        <vt:i4>0</vt:i4>
      </vt:variant>
      <vt:variant>
        <vt:i4>5</vt:i4>
      </vt:variant>
      <vt:variant>
        <vt:lpwstr>http://www.nevo.co.il/case/5951925</vt:lpwstr>
      </vt:variant>
      <vt:variant>
        <vt:lpwstr/>
      </vt:variant>
      <vt:variant>
        <vt:i4>3801206</vt:i4>
      </vt:variant>
      <vt:variant>
        <vt:i4>147</vt:i4>
      </vt:variant>
      <vt:variant>
        <vt:i4>0</vt:i4>
      </vt:variant>
      <vt:variant>
        <vt:i4>5</vt:i4>
      </vt:variant>
      <vt:variant>
        <vt:lpwstr>http://www.nevo.co.il/case/21474481</vt:lpwstr>
      </vt:variant>
      <vt:variant>
        <vt:lpwstr/>
      </vt:variant>
      <vt:variant>
        <vt:i4>3473523</vt:i4>
      </vt:variant>
      <vt:variant>
        <vt:i4>144</vt:i4>
      </vt:variant>
      <vt:variant>
        <vt:i4>0</vt:i4>
      </vt:variant>
      <vt:variant>
        <vt:i4>5</vt:i4>
      </vt:variant>
      <vt:variant>
        <vt:lpwstr>http://www.nevo.co.il/case/13015510</vt:lpwstr>
      </vt:variant>
      <vt:variant>
        <vt:lpwstr/>
      </vt:variant>
      <vt:variant>
        <vt:i4>3407990</vt:i4>
      </vt:variant>
      <vt:variant>
        <vt:i4>141</vt:i4>
      </vt:variant>
      <vt:variant>
        <vt:i4>0</vt:i4>
      </vt:variant>
      <vt:variant>
        <vt:i4>5</vt:i4>
      </vt:variant>
      <vt:variant>
        <vt:lpwstr>http://www.nevo.co.il/case/28226828</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http://www.nevo.co.il/law/70301/40d</vt:lpwstr>
      </vt:variant>
      <vt:variant>
        <vt:lpwstr/>
      </vt:variant>
      <vt:variant>
        <vt:i4>3866742</vt:i4>
      </vt:variant>
      <vt:variant>
        <vt:i4>132</vt:i4>
      </vt:variant>
      <vt:variant>
        <vt:i4>0</vt:i4>
      </vt:variant>
      <vt:variant>
        <vt:i4>5</vt:i4>
      </vt:variant>
      <vt:variant>
        <vt:lpwstr>http://www.nevo.co.il/case/25459244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4915205</vt:i4>
      </vt:variant>
      <vt:variant>
        <vt:i4>126</vt:i4>
      </vt:variant>
      <vt:variant>
        <vt:i4>0</vt:i4>
      </vt:variant>
      <vt:variant>
        <vt:i4>5</vt:i4>
      </vt:variant>
      <vt:variant>
        <vt:lpwstr>http://www.nevo.co.il/law/70301/40d.a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3735679</vt:i4>
      </vt:variant>
      <vt:variant>
        <vt:i4>117</vt:i4>
      </vt:variant>
      <vt:variant>
        <vt:i4>0</vt:i4>
      </vt:variant>
      <vt:variant>
        <vt:i4>5</vt:i4>
      </vt:variant>
      <vt:variant>
        <vt:lpwstr>http://www.nevo.co.il/case/26991436</vt:lpwstr>
      </vt:variant>
      <vt:variant>
        <vt:lpwstr/>
      </vt:variant>
      <vt:variant>
        <vt:i4>3473524</vt:i4>
      </vt:variant>
      <vt:variant>
        <vt:i4>114</vt:i4>
      </vt:variant>
      <vt:variant>
        <vt:i4>0</vt:i4>
      </vt:variant>
      <vt:variant>
        <vt:i4>5</vt:i4>
      </vt:variant>
      <vt:variant>
        <vt:lpwstr>http://www.nevo.co.il/case/29311859</vt:lpwstr>
      </vt:variant>
      <vt:variant>
        <vt:lpwstr/>
      </vt:variant>
      <vt:variant>
        <vt:i4>3407989</vt:i4>
      </vt:variant>
      <vt:variant>
        <vt:i4>111</vt:i4>
      </vt:variant>
      <vt:variant>
        <vt:i4>0</vt:i4>
      </vt:variant>
      <vt:variant>
        <vt:i4>5</vt:i4>
      </vt:variant>
      <vt:variant>
        <vt:lpwstr>http://www.nevo.co.il/case/5580841</vt:lpwstr>
      </vt:variant>
      <vt:variant>
        <vt:lpwstr/>
      </vt:variant>
      <vt:variant>
        <vt:i4>4128893</vt:i4>
      </vt:variant>
      <vt:variant>
        <vt:i4>108</vt:i4>
      </vt:variant>
      <vt:variant>
        <vt:i4>0</vt:i4>
      </vt:variant>
      <vt:variant>
        <vt:i4>5</vt:i4>
      </vt:variant>
      <vt:variant>
        <vt:lpwstr>http://www.nevo.co.il/case/6824952</vt:lpwstr>
      </vt:variant>
      <vt:variant>
        <vt:lpwstr/>
      </vt:variant>
      <vt:variant>
        <vt:i4>4063357</vt:i4>
      </vt:variant>
      <vt:variant>
        <vt:i4>105</vt:i4>
      </vt:variant>
      <vt:variant>
        <vt:i4>0</vt:i4>
      </vt:variant>
      <vt:variant>
        <vt:i4>5</vt:i4>
      </vt:variant>
      <vt:variant>
        <vt:lpwstr>http://www.nevo.co.il/case/5880417</vt:lpwstr>
      </vt:variant>
      <vt:variant>
        <vt:lpwstr/>
      </vt:variant>
      <vt:variant>
        <vt:i4>4063351</vt:i4>
      </vt:variant>
      <vt:variant>
        <vt:i4>102</vt:i4>
      </vt:variant>
      <vt:variant>
        <vt:i4>0</vt:i4>
      </vt:variant>
      <vt:variant>
        <vt:i4>5</vt:i4>
      </vt:variant>
      <vt:variant>
        <vt:lpwstr>http://www.nevo.co.il/case/17941073</vt:lpwstr>
      </vt:variant>
      <vt:variant>
        <vt:lpwstr/>
      </vt:variant>
      <vt:variant>
        <vt:i4>3276915</vt:i4>
      </vt:variant>
      <vt:variant>
        <vt:i4>99</vt:i4>
      </vt:variant>
      <vt:variant>
        <vt:i4>0</vt:i4>
      </vt:variant>
      <vt:variant>
        <vt:i4>5</vt:i4>
      </vt:variant>
      <vt:variant>
        <vt:lpwstr>http://www.nevo.co.il/case/6032057</vt:lpwstr>
      </vt:variant>
      <vt:variant>
        <vt:lpwstr/>
      </vt:variant>
      <vt:variant>
        <vt:i4>3276913</vt:i4>
      </vt:variant>
      <vt:variant>
        <vt:i4>96</vt:i4>
      </vt:variant>
      <vt:variant>
        <vt:i4>0</vt:i4>
      </vt:variant>
      <vt:variant>
        <vt:i4>5</vt:i4>
      </vt:variant>
      <vt:variant>
        <vt:lpwstr>http://www.nevo.co.il/case/23446225</vt:lpwstr>
      </vt:variant>
      <vt:variant>
        <vt:lpwstr/>
      </vt:variant>
      <vt:variant>
        <vt:i4>3342451</vt:i4>
      </vt:variant>
      <vt:variant>
        <vt:i4>93</vt:i4>
      </vt:variant>
      <vt:variant>
        <vt:i4>0</vt:i4>
      </vt:variant>
      <vt:variant>
        <vt:i4>5</vt:i4>
      </vt:variant>
      <vt:variant>
        <vt:lpwstr>http://www.nevo.co.il/case/26890899</vt:lpwstr>
      </vt:variant>
      <vt:variant>
        <vt:lpwstr/>
      </vt:variant>
      <vt:variant>
        <vt:i4>4128890</vt:i4>
      </vt:variant>
      <vt:variant>
        <vt:i4>90</vt:i4>
      </vt:variant>
      <vt:variant>
        <vt:i4>0</vt:i4>
      </vt:variant>
      <vt:variant>
        <vt:i4>5</vt:i4>
      </vt:variant>
      <vt:variant>
        <vt:lpwstr>http://www.nevo.co.il/case/26089042</vt:lpwstr>
      </vt:variant>
      <vt:variant>
        <vt:lpwstr/>
      </vt:variant>
      <vt:variant>
        <vt:i4>3604592</vt:i4>
      </vt:variant>
      <vt:variant>
        <vt:i4>87</vt:i4>
      </vt:variant>
      <vt:variant>
        <vt:i4>0</vt:i4>
      </vt:variant>
      <vt:variant>
        <vt:i4>5</vt:i4>
      </vt:variant>
      <vt:variant>
        <vt:lpwstr>http://www.nevo.co.il/case/27217205</vt:lpwstr>
      </vt:variant>
      <vt:variant>
        <vt:lpwstr/>
      </vt:variant>
      <vt:variant>
        <vt:i4>3670130</vt:i4>
      </vt:variant>
      <vt:variant>
        <vt:i4>84</vt:i4>
      </vt:variant>
      <vt:variant>
        <vt:i4>0</vt:i4>
      </vt:variant>
      <vt:variant>
        <vt:i4>5</vt:i4>
      </vt:variant>
      <vt:variant>
        <vt:lpwstr>http://www.nevo.co.il/case/27871630</vt:lpwstr>
      </vt:variant>
      <vt:variant>
        <vt:lpwstr/>
      </vt:variant>
      <vt:variant>
        <vt:i4>4063348</vt:i4>
      </vt:variant>
      <vt:variant>
        <vt:i4>81</vt:i4>
      </vt:variant>
      <vt:variant>
        <vt:i4>0</vt:i4>
      </vt:variant>
      <vt:variant>
        <vt:i4>5</vt:i4>
      </vt:variant>
      <vt:variant>
        <vt:lpwstr>http://www.nevo.co.il/case/24934713</vt:lpwstr>
      </vt:variant>
      <vt:variant>
        <vt:lpwstr/>
      </vt:variant>
      <vt:variant>
        <vt:i4>4063354</vt:i4>
      </vt:variant>
      <vt:variant>
        <vt:i4>78</vt:i4>
      </vt:variant>
      <vt:variant>
        <vt:i4>0</vt:i4>
      </vt:variant>
      <vt:variant>
        <vt:i4>5</vt:i4>
      </vt:variant>
      <vt:variant>
        <vt:lpwstr>http://www.nevo.co.il/case/28105689</vt:lpwstr>
      </vt:variant>
      <vt:variant>
        <vt:lpwstr/>
      </vt:variant>
      <vt:variant>
        <vt:i4>3407988</vt:i4>
      </vt:variant>
      <vt:variant>
        <vt:i4>75</vt:i4>
      </vt:variant>
      <vt:variant>
        <vt:i4>0</vt:i4>
      </vt:variant>
      <vt:variant>
        <vt:i4>5</vt:i4>
      </vt:variant>
      <vt:variant>
        <vt:lpwstr>http://www.nevo.co.il/case/26022441</vt:lpwstr>
      </vt:variant>
      <vt:variant>
        <vt:lpwstr/>
      </vt:variant>
      <vt:variant>
        <vt:i4>3735667</vt:i4>
      </vt:variant>
      <vt:variant>
        <vt:i4>72</vt:i4>
      </vt:variant>
      <vt:variant>
        <vt:i4>0</vt:i4>
      </vt:variant>
      <vt:variant>
        <vt:i4>5</vt:i4>
      </vt:variant>
      <vt:variant>
        <vt:lpwstr>http://www.nevo.co.il/case/27886851</vt:lpwstr>
      </vt:variant>
      <vt:variant>
        <vt:lpwstr/>
      </vt:variant>
      <vt:variant>
        <vt:i4>4128890</vt:i4>
      </vt:variant>
      <vt:variant>
        <vt:i4>69</vt:i4>
      </vt:variant>
      <vt:variant>
        <vt:i4>0</vt:i4>
      </vt:variant>
      <vt:variant>
        <vt:i4>5</vt:i4>
      </vt:variant>
      <vt:variant>
        <vt:lpwstr>http://www.nevo.co.il/case/26089042</vt:lpwstr>
      </vt:variant>
      <vt:variant>
        <vt:lpwstr/>
      </vt:variant>
      <vt:variant>
        <vt:i4>3276920</vt:i4>
      </vt:variant>
      <vt:variant>
        <vt:i4>66</vt:i4>
      </vt:variant>
      <vt:variant>
        <vt:i4>0</vt:i4>
      </vt:variant>
      <vt:variant>
        <vt:i4>5</vt:i4>
      </vt:variant>
      <vt:variant>
        <vt:lpwstr>http://www.nevo.co.il/case/27684323</vt:lpwstr>
      </vt:variant>
      <vt:variant>
        <vt:lpwstr/>
      </vt:variant>
      <vt:variant>
        <vt:i4>3604592</vt:i4>
      </vt:variant>
      <vt:variant>
        <vt:i4>63</vt:i4>
      </vt:variant>
      <vt:variant>
        <vt:i4>0</vt:i4>
      </vt:variant>
      <vt:variant>
        <vt:i4>5</vt:i4>
      </vt:variant>
      <vt:variant>
        <vt:lpwstr>http://www.nevo.co.il/case/27217205</vt:lpwstr>
      </vt:variant>
      <vt:variant>
        <vt:lpwstr/>
      </vt:variant>
      <vt:variant>
        <vt:i4>3539066</vt:i4>
      </vt:variant>
      <vt:variant>
        <vt:i4>60</vt:i4>
      </vt:variant>
      <vt:variant>
        <vt:i4>0</vt:i4>
      </vt:variant>
      <vt:variant>
        <vt:i4>5</vt:i4>
      </vt:variant>
      <vt:variant>
        <vt:lpwstr>http://www.nevo.co.il/case/26490107</vt:lpwstr>
      </vt:variant>
      <vt:variant>
        <vt:lpwstr/>
      </vt:variant>
      <vt:variant>
        <vt:i4>3604593</vt:i4>
      </vt:variant>
      <vt:variant>
        <vt:i4>57</vt:i4>
      </vt:variant>
      <vt:variant>
        <vt:i4>0</vt:i4>
      </vt:variant>
      <vt:variant>
        <vt:i4>5</vt:i4>
      </vt:variant>
      <vt:variant>
        <vt:lpwstr>http://www.nevo.co.il/case/19999565</vt:lpwstr>
      </vt:variant>
      <vt:variant>
        <vt:lpwstr/>
      </vt:variant>
      <vt:variant>
        <vt:i4>4063344</vt:i4>
      </vt:variant>
      <vt:variant>
        <vt:i4>54</vt:i4>
      </vt:variant>
      <vt:variant>
        <vt:i4>0</vt:i4>
      </vt:variant>
      <vt:variant>
        <vt:i4>5</vt:i4>
      </vt:variant>
      <vt:variant>
        <vt:lpwstr>http://www.nevo.co.il/case/29396498</vt:lpwstr>
      </vt:variant>
      <vt:variant>
        <vt:lpwstr/>
      </vt:variant>
      <vt:variant>
        <vt:i4>4063348</vt:i4>
      </vt:variant>
      <vt:variant>
        <vt:i4>51</vt:i4>
      </vt:variant>
      <vt:variant>
        <vt:i4>0</vt:i4>
      </vt:variant>
      <vt:variant>
        <vt:i4>5</vt:i4>
      </vt:variant>
      <vt:variant>
        <vt:lpwstr>http://www.nevo.co.il/case/18791199</vt:lpwstr>
      </vt:variant>
      <vt:variant>
        <vt:lpwstr/>
      </vt:variant>
      <vt:variant>
        <vt:i4>3997809</vt:i4>
      </vt:variant>
      <vt:variant>
        <vt:i4>48</vt:i4>
      </vt:variant>
      <vt:variant>
        <vt:i4>0</vt:i4>
      </vt:variant>
      <vt:variant>
        <vt:i4>5</vt:i4>
      </vt:variant>
      <vt:variant>
        <vt:lpwstr>http://www.nevo.co.il/case/5583030</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3145848</vt:i4>
      </vt:variant>
      <vt:variant>
        <vt:i4>42</vt:i4>
      </vt:variant>
      <vt:variant>
        <vt:i4>0</vt:i4>
      </vt:variant>
      <vt:variant>
        <vt:i4>5</vt:i4>
      </vt:variant>
      <vt:variant>
        <vt:lpwstr>http://www.nevo.co.il/case/17939812</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h3</dc:creator>
  <cp:keywords/>
  <dc:description/>
  <cp:lastModifiedBy>Tal Klein</cp:lastModifiedBy>
  <cp:revision>2</cp:revision>
  <dcterms:created xsi:type="dcterms:W3CDTF">2025-04-23T01:17:00Z</dcterms:created>
  <dcterms:modified xsi:type="dcterms:W3CDTF">2025-04-23T01:17:00Z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14611</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שי מושקביץ'</vt:lpwstr>
  </property>
  <property fmtid="{D5CDD505-2E9C-101B-9397-08002B2CF9AE}" pid="10" name="JUDGE">
    <vt:lpwstr>נגה שמואלי מאייר</vt:lpwstr>
  </property>
  <property fmtid="{D5CDD505-2E9C-101B-9397-08002B2CF9AE}" pid="11" name="CITY">
    <vt:lpwstr>ק"ג</vt:lpwstr>
  </property>
  <property fmtid="{D5CDD505-2E9C-101B-9397-08002B2CF9AE}" pid="12" name="DATE">
    <vt:lpwstr>20250224</vt:lpwstr>
  </property>
  <property fmtid="{D5CDD505-2E9C-101B-9397-08002B2CF9AE}" pid="13" name="TYPE_N_DATE">
    <vt:lpwstr>38020250224</vt:lpwstr>
  </property>
  <property fmtid="{D5CDD505-2E9C-101B-9397-08002B2CF9AE}" pid="14" name="CASESLISTTMP1">
    <vt:lpwstr>17939812;5738608;5583030;18791199;29396498;19999565;26490107;27217205:2;27684323;26089042:2;27886851;26022441;28105689;24934713;27871630;26890899;23446225;6032057;17941073;5880417;6824952;5580841;29311859;26991436;25459244;28226828;13015510;21474481</vt:lpwstr>
  </property>
  <property fmtid="{D5CDD505-2E9C-101B-9397-08002B2CF9AE}" pid="15" name="CASESLISTTMP2">
    <vt:lpwstr>5951925;26146798</vt:lpwstr>
  </property>
  <property fmtid="{D5CDD505-2E9C-101B-9397-08002B2CF9AE}" pid="16" name="CASENOTES1">
    <vt:lpwstr>ProcID=133;209&amp;PartA=4203&amp;PartC=14</vt:lpwstr>
  </property>
  <property fmtid="{D5CDD505-2E9C-101B-9397-08002B2CF9AE}" pid="17" name="WORDNUMPAGES">
    <vt:lpwstr>12</vt:lpwstr>
  </property>
  <property fmtid="{D5CDD505-2E9C-101B-9397-08002B2CF9AE}" pid="18" name="TYPE_ABS_DATE">
    <vt:lpwstr>380020250224</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vt:lpwstr>
  </property>
  <property fmtid="{D5CDD505-2E9C-101B-9397-08002B2CF9AE}" pid="39" name="LAWLISTTMP2">
    <vt:lpwstr>70301/040c.a;40ja;040d.a;040d</vt:lpwstr>
  </property>
</Properties>
</file>