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9496" w:type="dxa"/>
        <w:jc w:val="center"/>
        <w:tblLook w:val="0000" w:firstRow="0" w:lastRow="0" w:firstColumn="0" w:lastColumn="0" w:noHBand="0" w:noVBand="0"/>
      </w:tblPr>
      <w:tblGrid>
        <w:gridCol w:w="288"/>
        <w:gridCol w:w="5710"/>
        <w:gridCol w:w="1087"/>
        <w:gridCol w:w="2411"/>
      </w:tblGrid>
      <w:tr w:rsidR="008D0926" w:rsidRPr="00DF05DC" w14:paraId="4087BC82" w14:textId="77777777" w:rsidTr="0037713C">
        <w:trPr>
          <w:gridBefore w:val="1"/>
          <w:wBefore w:w="288" w:type="dxa"/>
          <w:trHeight w:hRule="exact" w:val="333"/>
          <w:jc w:val="center"/>
        </w:trPr>
        <w:tc>
          <w:tcPr>
            <w:tcW w:w="9208" w:type="dxa"/>
            <w:gridSpan w:val="3"/>
          </w:tcPr>
          <w:p w14:paraId="7E7A9A8B" w14:textId="77777777" w:rsidR="008D0926" w:rsidRPr="00DF05DC" w:rsidRDefault="008D0926" w:rsidP="0037713C">
            <w:pPr>
              <w:pStyle w:val="a3"/>
              <w:jc w:val="center"/>
              <w:rPr>
                <w:rFonts w:ascii="Tahoma" w:hAnsi="Tahoma" w:cs="Tahoma"/>
                <w:color w:val="000080"/>
                <w:rtl/>
              </w:rPr>
            </w:pPr>
            <w:bookmarkStart w:id="0" w:name="LastJudge"/>
            <w:r w:rsidRPr="00DF05DC">
              <w:rPr>
                <w:rFonts w:ascii="Tahoma" w:hAnsi="Tahoma" w:cs="Tahoma"/>
                <w:b/>
                <w:bCs/>
                <w:color w:val="000080"/>
                <w:rtl/>
              </w:rPr>
              <w:t>בית משפט השלום ברמלה</w:t>
            </w:r>
          </w:p>
        </w:tc>
      </w:tr>
      <w:tr w:rsidR="008D0926" w:rsidRPr="00DF05DC" w14:paraId="6C7757D9" w14:textId="77777777" w:rsidTr="0037713C">
        <w:trPr>
          <w:gridAfter w:val="1"/>
          <w:wAfter w:w="2411" w:type="dxa"/>
          <w:trHeight w:val="268"/>
          <w:jc w:val="center"/>
        </w:trPr>
        <w:tc>
          <w:tcPr>
            <w:tcW w:w="5998" w:type="dxa"/>
            <w:gridSpan w:val="2"/>
          </w:tcPr>
          <w:p w14:paraId="3257A45D" w14:textId="77777777" w:rsidR="008D0926" w:rsidRPr="00DF05DC" w:rsidRDefault="008D0926" w:rsidP="0037713C">
            <w:pPr>
              <w:rPr>
                <w:rFonts w:ascii="David" w:hAnsi="David"/>
                <w:b/>
                <w:bCs/>
                <w:sz w:val="28"/>
                <w:szCs w:val="28"/>
                <w:rtl/>
              </w:rPr>
            </w:pPr>
          </w:p>
          <w:p w14:paraId="67495528" w14:textId="77777777" w:rsidR="008D0926" w:rsidRPr="00DF05DC" w:rsidRDefault="008D0926" w:rsidP="0037713C">
            <w:pPr>
              <w:spacing w:line="276" w:lineRule="auto"/>
              <w:rPr>
                <w:rFonts w:ascii="David" w:hAnsi="David"/>
                <w:b/>
                <w:bCs/>
                <w:sz w:val="28"/>
                <w:szCs w:val="28"/>
                <w:rtl/>
              </w:rPr>
            </w:pPr>
            <w:r w:rsidRPr="00DF05DC">
              <w:rPr>
                <w:rFonts w:ascii="David" w:hAnsi="David"/>
                <w:b/>
                <w:bCs/>
                <w:sz w:val="28"/>
                <w:szCs w:val="28"/>
                <w:rtl/>
              </w:rPr>
              <w:t>ת"פ 17541-12-21 מדינת ישראל נ' אבו חלתם</w:t>
            </w:r>
            <w:r w:rsidRPr="00DF05DC">
              <w:rPr>
                <w:rFonts w:ascii="David" w:hAnsi="David" w:hint="cs"/>
                <w:b/>
                <w:bCs/>
                <w:rtl/>
              </w:rPr>
              <w:t xml:space="preserve">                                                                                         </w:t>
            </w:r>
          </w:p>
          <w:p w14:paraId="0354C36A" w14:textId="77777777" w:rsidR="008D0926" w:rsidRPr="00DF05DC" w:rsidRDefault="008D0926" w:rsidP="0037713C">
            <w:pPr>
              <w:pStyle w:val="a3"/>
              <w:spacing w:line="276" w:lineRule="auto"/>
              <w:rPr>
                <w:rFonts w:ascii="David" w:hAnsi="David"/>
                <w:b/>
                <w:bCs/>
                <w:sz w:val="28"/>
                <w:szCs w:val="28"/>
                <w:rtl/>
              </w:rPr>
            </w:pPr>
            <w:r w:rsidRPr="00DF05DC">
              <w:rPr>
                <w:rFonts w:ascii="David" w:hAnsi="David"/>
                <w:b/>
                <w:bCs/>
                <w:sz w:val="28"/>
                <w:szCs w:val="28"/>
                <w:rtl/>
              </w:rPr>
              <w:t>תפ"ק 19452-01-21 מדינת ישראל נ' אבו חלתם</w:t>
            </w:r>
          </w:p>
          <w:p w14:paraId="65D971DA" w14:textId="77777777" w:rsidR="008D0926" w:rsidRPr="00DF05DC" w:rsidRDefault="008D0926" w:rsidP="0037713C">
            <w:pPr>
              <w:pStyle w:val="a3"/>
              <w:tabs>
                <w:tab w:val="left" w:pos="2295"/>
              </w:tabs>
              <w:spacing w:line="276" w:lineRule="auto"/>
              <w:rPr>
                <w:rFonts w:ascii="David" w:hAnsi="David"/>
                <w:b/>
                <w:bCs/>
                <w:sz w:val="28"/>
                <w:szCs w:val="28"/>
                <w:rtl/>
              </w:rPr>
            </w:pPr>
            <w:r w:rsidRPr="00DF05DC">
              <w:rPr>
                <w:rFonts w:ascii="David" w:hAnsi="David"/>
                <w:b/>
                <w:bCs/>
                <w:sz w:val="28"/>
                <w:szCs w:val="28"/>
                <w:rtl/>
              </w:rPr>
              <w:t>ת"פ (ת"א) 3560-09-20</w:t>
            </w:r>
            <w:r w:rsidRPr="00DF05DC">
              <w:rPr>
                <w:rFonts w:ascii="David" w:hAnsi="David"/>
                <w:b/>
                <w:bCs/>
                <w:rtl/>
              </w:rPr>
              <w:t xml:space="preserve"> </w:t>
            </w:r>
            <w:r w:rsidRPr="00DF05DC">
              <w:rPr>
                <w:rFonts w:ascii="David" w:hAnsi="David"/>
                <w:b/>
                <w:bCs/>
                <w:sz w:val="28"/>
                <w:szCs w:val="28"/>
                <w:rtl/>
              </w:rPr>
              <w:t>מדינת ישראל נ' אבו חלתם</w:t>
            </w:r>
          </w:p>
          <w:p w14:paraId="61F1A8D0" w14:textId="77777777" w:rsidR="008D0926" w:rsidRPr="00DF05DC" w:rsidRDefault="008D0926" w:rsidP="0037713C">
            <w:pPr>
              <w:pStyle w:val="a3"/>
              <w:tabs>
                <w:tab w:val="clear" w:pos="4153"/>
                <w:tab w:val="clear" w:pos="8306"/>
                <w:tab w:val="left" w:pos="2761"/>
              </w:tabs>
              <w:rPr>
                <w:rFonts w:ascii="David" w:hAnsi="David"/>
                <w:b/>
                <w:bCs/>
                <w:sz w:val="28"/>
                <w:szCs w:val="28"/>
                <w:rtl/>
              </w:rPr>
            </w:pPr>
          </w:p>
        </w:tc>
        <w:tc>
          <w:tcPr>
            <w:tcW w:w="1087" w:type="dxa"/>
          </w:tcPr>
          <w:p w14:paraId="0EE624A2" w14:textId="77777777" w:rsidR="008D0926" w:rsidRPr="00DF05DC" w:rsidRDefault="008D0926" w:rsidP="0037713C">
            <w:pPr>
              <w:pStyle w:val="a3"/>
              <w:jc w:val="center"/>
              <w:rPr>
                <w:rFonts w:ascii="David" w:hAnsi="David"/>
                <w:b/>
                <w:bCs/>
                <w:sz w:val="28"/>
                <w:szCs w:val="28"/>
                <w:rtl/>
              </w:rPr>
            </w:pPr>
          </w:p>
          <w:p w14:paraId="2E181200" w14:textId="77777777" w:rsidR="008D0926" w:rsidRPr="00DF05DC" w:rsidRDefault="008D0926" w:rsidP="0037713C">
            <w:pPr>
              <w:rPr>
                <w:rtl/>
              </w:rPr>
            </w:pPr>
          </w:p>
        </w:tc>
      </w:tr>
    </w:tbl>
    <w:p w14:paraId="39721578" w14:textId="77777777" w:rsidR="008D0926" w:rsidRPr="00DF05DC" w:rsidRDefault="008D0926" w:rsidP="008D0926">
      <w:pPr>
        <w:pStyle w:val="a3"/>
        <w:rPr>
          <w:rtl/>
        </w:rPr>
      </w:pPr>
    </w:p>
    <w:p w14:paraId="68AE7D53" w14:textId="77777777" w:rsidR="008D0926" w:rsidRPr="00DF05DC" w:rsidRDefault="008D0926" w:rsidP="008D0926">
      <w:pPr>
        <w:rPr>
          <w:sz w:val="26"/>
          <w:szCs w:val="26"/>
          <w:rtl/>
        </w:rPr>
      </w:pPr>
    </w:p>
    <w:p w14:paraId="090AC61A" w14:textId="77777777" w:rsidR="008D0926" w:rsidRPr="00DF05DC" w:rsidRDefault="008D0926" w:rsidP="008D0926">
      <w:pPr>
        <w:rPr>
          <w:sz w:val="26"/>
          <w:szCs w:val="26"/>
          <w:rtl/>
        </w:rPr>
      </w:pPr>
    </w:p>
    <w:tbl>
      <w:tblPr>
        <w:bidiVisual/>
        <w:tblW w:w="92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5"/>
        <w:gridCol w:w="3369"/>
        <w:gridCol w:w="4898"/>
      </w:tblGrid>
      <w:tr w:rsidR="008D0926" w:rsidRPr="00DF05DC" w14:paraId="5C36D74B" w14:textId="77777777" w:rsidTr="008D0926">
        <w:trPr>
          <w:trHeight w:val="315"/>
          <w:jc w:val="center"/>
        </w:trPr>
        <w:tc>
          <w:tcPr>
            <w:tcW w:w="965" w:type="dxa"/>
            <w:tcBorders>
              <w:top w:val="nil"/>
              <w:left w:val="nil"/>
              <w:bottom w:val="nil"/>
              <w:right w:val="nil"/>
            </w:tcBorders>
            <w:shd w:val="clear" w:color="auto" w:fill="auto"/>
          </w:tcPr>
          <w:p w14:paraId="7D5E8AF7" w14:textId="77777777" w:rsidR="008D0926" w:rsidRPr="00DF05DC" w:rsidRDefault="008D0926" w:rsidP="008D0926">
            <w:pPr>
              <w:jc w:val="both"/>
              <w:rPr>
                <w:rFonts w:ascii="David" w:hAnsi="David"/>
                <w:b/>
                <w:bCs/>
                <w:sz w:val="28"/>
                <w:szCs w:val="28"/>
              </w:rPr>
            </w:pPr>
            <w:r w:rsidRPr="00DF05DC">
              <w:rPr>
                <w:rFonts w:ascii="David" w:hAnsi="David" w:hint="cs"/>
                <w:b/>
                <w:bCs/>
                <w:sz w:val="28"/>
                <w:szCs w:val="28"/>
                <w:rtl/>
              </w:rPr>
              <w:t xml:space="preserve">    ל</w:t>
            </w:r>
            <w:r w:rsidRPr="00DF05DC">
              <w:rPr>
                <w:rFonts w:ascii="David" w:hAnsi="David"/>
                <w:b/>
                <w:bCs/>
                <w:sz w:val="28"/>
                <w:szCs w:val="28"/>
                <w:rtl/>
              </w:rPr>
              <w:t xml:space="preserve">פני </w:t>
            </w:r>
          </w:p>
        </w:tc>
        <w:tc>
          <w:tcPr>
            <w:tcW w:w="8267" w:type="dxa"/>
            <w:gridSpan w:val="2"/>
            <w:tcBorders>
              <w:top w:val="nil"/>
              <w:left w:val="nil"/>
              <w:bottom w:val="nil"/>
              <w:right w:val="nil"/>
            </w:tcBorders>
            <w:shd w:val="clear" w:color="auto" w:fill="auto"/>
          </w:tcPr>
          <w:p w14:paraId="2F06166D" w14:textId="77777777" w:rsidR="008D0926" w:rsidRPr="00DF05DC" w:rsidRDefault="008D0926" w:rsidP="0037713C">
            <w:pPr>
              <w:rPr>
                <w:rFonts w:ascii="David" w:hAnsi="David"/>
                <w:b/>
                <w:bCs/>
                <w:sz w:val="28"/>
                <w:szCs w:val="28"/>
                <w:rtl/>
              </w:rPr>
            </w:pPr>
            <w:r w:rsidRPr="00DF05DC">
              <w:rPr>
                <w:rFonts w:ascii="David" w:hAnsi="David"/>
                <w:b/>
                <w:bCs/>
                <w:sz w:val="28"/>
                <w:szCs w:val="28"/>
                <w:rtl/>
              </w:rPr>
              <w:t>כבוד השופטת  אילה אורן</w:t>
            </w:r>
          </w:p>
          <w:p w14:paraId="17970E45" w14:textId="77777777" w:rsidR="008D0926" w:rsidRPr="00DF05DC" w:rsidRDefault="008D0926" w:rsidP="0037713C">
            <w:pPr>
              <w:rPr>
                <w:rFonts w:ascii="David" w:hAnsi="David"/>
                <w:sz w:val="28"/>
                <w:szCs w:val="28"/>
                <w:rtl/>
              </w:rPr>
            </w:pPr>
          </w:p>
          <w:p w14:paraId="190B2929" w14:textId="77777777" w:rsidR="008D0926" w:rsidRPr="00DF05DC" w:rsidRDefault="008D0926" w:rsidP="008D0926">
            <w:pPr>
              <w:jc w:val="both"/>
              <w:rPr>
                <w:rFonts w:ascii="David" w:hAnsi="David"/>
                <w:sz w:val="28"/>
                <w:szCs w:val="28"/>
              </w:rPr>
            </w:pPr>
          </w:p>
        </w:tc>
      </w:tr>
      <w:tr w:rsidR="008D0926" w:rsidRPr="00DF05DC" w14:paraId="176F6BF8" w14:textId="77777777" w:rsidTr="008D0926">
        <w:trPr>
          <w:trHeight w:val="379"/>
          <w:jc w:val="center"/>
        </w:trPr>
        <w:tc>
          <w:tcPr>
            <w:tcW w:w="965" w:type="dxa"/>
            <w:tcBorders>
              <w:top w:val="nil"/>
              <w:left w:val="nil"/>
              <w:bottom w:val="nil"/>
              <w:right w:val="nil"/>
            </w:tcBorders>
            <w:shd w:val="clear" w:color="auto" w:fill="auto"/>
          </w:tcPr>
          <w:p w14:paraId="3EEE4A70" w14:textId="77777777" w:rsidR="008D0926" w:rsidRPr="00DF05DC" w:rsidRDefault="008D0926" w:rsidP="008D0926">
            <w:pPr>
              <w:jc w:val="both"/>
              <w:rPr>
                <w:rFonts w:ascii="David" w:hAnsi="David"/>
                <w:sz w:val="28"/>
                <w:szCs w:val="28"/>
              </w:rPr>
            </w:pPr>
            <w:bookmarkStart w:id="1" w:name="FirstAppellant"/>
          </w:p>
        </w:tc>
        <w:tc>
          <w:tcPr>
            <w:tcW w:w="3369" w:type="dxa"/>
            <w:tcBorders>
              <w:top w:val="nil"/>
              <w:left w:val="nil"/>
              <w:bottom w:val="nil"/>
              <w:right w:val="nil"/>
            </w:tcBorders>
            <w:shd w:val="clear" w:color="auto" w:fill="auto"/>
          </w:tcPr>
          <w:p w14:paraId="56AA7DA2" w14:textId="77777777" w:rsidR="008D0926" w:rsidRPr="00DF05DC" w:rsidRDefault="008D0926" w:rsidP="008D0926">
            <w:pPr>
              <w:suppressLineNumbers/>
              <w:rPr>
                <w:sz w:val="28"/>
                <w:szCs w:val="28"/>
              </w:rPr>
            </w:pPr>
            <w:r w:rsidRPr="00DF05DC">
              <w:rPr>
                <w:rFonts w:ascii="Arial" w:hAnsi="Arial" w:hint="cs"/>
                <w:b/>
                <w:bCs/>
                <w:sz w:val="28"/>
                <w:szCs w:val="28"/>
                <w:rtl/>
              </w:rPr>
              <w:t>ה</w:t>
            </w:r>
            <w:r w:rsidRPr="00DF05DC">
              <w:rPr>
                <w:rFonts w:ascii="Arial" w:hAnsi="Arial"/>
                <w:b/>
                <w:bCs/>
                <w:sz w:val="28"/>
                <w:szCs w:val="28"/>
                <w:rtl/>
              </w:rPr>
              <w:t>מאשימה</w:t>
            </w:r>
          </w:p>
          <w:p w14:paraId="65A28C9C" w14:textId="77777777" w:rsidR="008D0926" w:rsidRPr="00DF05DC" w:rsidRDefault="008D0926" w:rsidP="0037713C">
            <w:pPr>
              <w:rPr>
                <w:rFonts w:ascii="David" w:hAnsi="David"/>
                <w:sz w:val="28"/>
                <w:szCs w:val="28"/>
              </w:rPr>
            </w:pPr>
          </w:p>
        </w:tc>
        <w:tc>
          <w:tcPr>
            <w:tcW w:w="4898" w:type="dxa"/>
            <w:tcBorders>
              <w:top w:val="nil"/>
              <w:left w:val="nil"/>
              <w:bottom w:val="nil"/>
              <w:right w:val="nil"/>
            </w:tcBorders>
            <w:shd w:val="clear" w:color="auto" w:fill="auto"/>
            <w:vAlign w:val="center"/>
          </w:tcPr>
          <w:p w14:paraId="27F937EE" w14:textId="77777777" w:rsidR="008D0926" w:rsidRPr="00DF05DC" w:rsidRDefault="008D0926" w:rsidP="008D0926">
            <w:pPr>
              <w:suppressLineNumbers/>
              <w:rPr>
                <w:sz w:val="28"/>
                <w:szCs w:val="28"/>
              </w:rPr>
            </w:pPr>
            <w:r w:rsidRPr="00DF05DC">
              <w:rPr>
                <w:rFonts w:ascii="Arial" w:hAnsi="Arial"/>
                <w:b/>
                <w:bCs/>
                <w:sz w:val="28"/>
                <w:szCs w:val="28"/>
                <w:rtl/>
              </w:rPr>
              <w:t>מדינת ישראל</w:t>
            </w:r>
            <w:r w:rsidRPr="00DF05DC">
              <w:rPr>
                <w:rFonts w:ascii="Arial" w:hAnsi="Arial" w:hint="cs"/>
                <w:b/>
                <w:bCs/>
                <w:sz w:val="28"/>
                <w:szCs w:val="28"/>
                <w:rtl/>
              </w:rPr>
              <w:t xml:space="preserve"> </w:t>
            </w:r>
          </w:p>
          <w:p w14:paraId="1EE37796" w14:textId="77777777" w:rsidR="008D0926" w:rsidRPr="00DF05DC" w:rsidRDefault="008D0926" w:rsidP="0037713C">
            <w:pPr>
              <w:rPr>
                <w:rFonts w:ascii="David" w:hAnsi="David"/>
                <w:sz w:val="28"/>
                <w:szCs w:val="28"/>
              </w:rPr>
            </w:pPr>
          </w:p>
        </w:tc>
      </w:tr>
      <w:bookmarkEnd w:id="1"/>
      <w:tr w:rsidR="008D0926" w:rsidRPr="00DF05DC" w14:paraId="5F16AE96" w14:textId="77777777" w:rsidTr="008D0926">
        <w:trPr>
          <w:trHeight w:val="379"/>
          <w:jc w:val="center"/>
        </w:trPr>
        <w:tc>
          <w:tcPr>
            <w:tcW w:w="965" w:type="dxa"/>
            <w:tcBorders>
              <w:top w:val="nil"/>
              <w:left w:val="nil"/>
              <w:bottom w:val="nil"/>
              <w:right w:val="nil"/>
            </w:tcBorders>
            <w:shd w:val="clear" w:color="auto" w:fill="auto"/>
          </w:tcPr>
          <w:p w14:paraId="288DBE98" w14:textId="77777777" w:rsidR="008D0926" w:rsidRPr="00DF05DC" w:rsidRDefault="008D0926" w:rsidP="008D0926">
            <w:pPr>
              <w:jc w:val="both"/>
              <w:rPr>
                <w:rFonts w:ascii="David" w:hAnsi="David"/>
                <w:sz w:val="28"/>
                <w:szCs w:val="28"/>
                <w:rtl/>
              </w:rPr>
            </w:pPr>
          </w:p>
        </w:tc>
        <w:tc>
          <w:tcPr>
            <w:tcW w:w="8267" w:type="dxa"/>
            <w:gridSpan w:val="2"/>
            <w:tcBorders>
              <w:top w:val="nil"/>
              <w:left w:val="nil"/>
              <w:bottom w:val="nil"/>
              <w:right w:val="nil"/>
            </w:tcBorders>
            <w:shd w:val="clear" w:color="auto" w:fill="auto"/>
          </w:tcPr>
          <w:p w14:paraId="60D59B38" w14:textId="77777777" w:rsidR="008D0926" w:rsidRPr="00DF05DC" w:rsidRDefault="008D0926" w:rsidP="008D0926">
            <w:pPr>
              <w:jc w:val="center"/>
              <w:rPr>
                <w:rFonts w:ascii="David" w:hAnsi="David"/>
                <w:b/>
                <w:bCs/>
                <w:sz w:val="28"/>
                <w:szCs w:val="28"/>
                <w:rtl/>
              </w:rPr>
            </w:pPr>
          </w:p>
          <w:p w14:paraId="7DB0908D" w14:textId="77777777" w:rsidR="008D0926" w:rsidRPr="00DF05DC" w:rsidRDefault="008D0926" w:rsidP="008D0926">
            <w:pPr>
              <w:jc w:val="center"/>
              <w:rPr>
                <w:rFonts w:ascii="David" w:hAnsi="David"/>
                <w:b/>
                <w:bCs/>
                <w:sz w:val="28"/>
                <w:szCs w:val="28"/>
                <w:rtl/>
              </w:rPr>
            </w:pPr>
            <w:r w:rsidRPr="00DF05DC">
              <w:rPr>
                <w:rFonts w:ascii="David" w:hAnsi="David"/>
                <w:b/>
                <w:bCs/>
                <w:sz w:val="28"/>
                <w:szCs w:val="28"/>
                <w:rtl/>
              </w:rPr>
              <w:t>נגד</w:t>
            </w:r>
          </w:p>
          <w:p w14:paraId="79A66FEC" w14:textId="77777777" w:rsidR="008D0926" w:rsidRPr="00DF05DC" w:rsidRDefault="008D0926" w:rsidP="008D0926">
            <w:pPr>
              <w:jc w:val="both"/>
              <w:rPr>
                <w:rFonts w:ascii="David" w:hAnsi="David"/>
                <w:sz w:val="28"/>
                <w:szCs w:val="28"/>
                <w:rtl/>
              </w:rPr>
            </w:pPr>
          </w:p>
          <w:p w14:paraId="0120B6EF" w14:textId="77777777" w:rsidR="008D0926" w:rsidRPr="00DF05DC" w:rsidRDefault="008D0926" w:rsidP="008D0926">
            <w:pPr>
              <w:jc w:val="both"/>
              <w:rPr>
                <w:rFonts w:ascii="David" w:hAnsi="David"/>
                <w:sz w:val="28"/>
                <w:szCs w:val="28"/>
              </w:rPr>
            </w:pPr>
          </w:p>
        </w:tc>
      </w:tr>
      <w:tr w:rsidR="008D0926" w:rsidRPr="00DF05DC" w14:paraId="2C5B0C6D" w14:textId="77777777" w:rsidTr="008D0926">
        <w:trPr>
          <w:trHeight w:val="379"/>
          <w:jc w:val="center"/>
        </w:trPr>
        <w:tc>
          <w:tcPr>
            <w:tcW w:w="965" w:type="dxa"/>
            <w:tcBorders>
              <w:top w:val="nil"/>
              <w:left w:val="nil"/>
              <w:bottom w:val="nil"/>
              <w:right w:val="nil"/>
            </w:tcBorders>
            <w:shd w:val="clear" w:color="auto" w:fill="auto"/>
          </w:tcPr>
          <w:p w14:paraId="0434A071" w14:textId="77777777" w:rsidR="008D0926" w:rsidRPr="00DF05DC" w:rsidRDefault="008D0926" w:rsidP="0037713C">
            <w:pPr>
              <w:rPr>
                <w:rFonts w:ascii="David" w:hAnsi="David"/>
                <w:sz w:val="28"/>
                <w:szCs w:val="28"/>
                <w:rtl/>
              </w:rPr>
            </w:pPr>
          </w:p>
        </w:tc>
        <w:tc>
          <w:tcPr>
            <w:tcW w:w="3369" w:type="dxa"/>
            <w:tcBorders>
              <w:top w:val="nil"/>
              <w:left w:val="nil"/>
              <w:bottom w:val="nil"/>
              <w:right w:val="nil"/>
            </w:tcBorders>
            <w:shd w:val="clear" w:color="auto" w:fill="auto"/>
          </w:tcPr>
          <w:p w14:paraId="71FBB5DC" w14:textId="77777777" w:rsidR="008D0926" w:rsidRPr="00DF05DC" w:rsidRDefault="008D0926" w:rsidP="0037713C">
            <w:pPr>
              <w:rPr>
                <w:rFonts w:ascii="Arial" w:hAnsi="Arial"/>
                <w:b/>
                <w:bCs/>
                <w:sz w:val="28"/>
                <w:szCs w:val="28"/>
                <w:rtl/>
              </w:rPr>
            </w:pPr>
            <w:r w:rsidRPr="00DF05DC">
              <w:rPr>
                <w:rFonts w:ascii="Arial" w:hAnsi="Arial"/>
                <w:b/>
                <w:bCs/>
                <w:sz w:val="28"/>
                <w:szCs w:val="28"/>
                <w:rtl/>
              </w:rPr>
              <w:t>הנאשם</w:t>
            </w:r>
          </w:p>
        </w:tc>
        <w:tc>
          <w:tcPr>
            <w:tcW w:w="4898" w:type="dxa"/>
            <w:tcBorders>
              <w:top w:val="nil"/>
              <w:left w:val="nil"/>
              <w:bottom w:val="nil"/>
              <w:right w:val="nil"/>
            </w:tcBorders>
            <w:shd w:val="clear" w:color="auto" w:fill="auto"/>
            <w:vAlign w:val="center"/>
          </w:tcPr>
          <w:p w14:paraId="607CBC92" w14:textId="77777777" w:rsidR="008D0926" w:rsidRPr="00DF05DC" w:rsidRDefault="008D0926" w:rsidP="008D0926">
            <w:pPr>
              <w:suppressLineNumbers/>
              <w:rPr>
                <w:rFonts w:ascii="David" w:hAnsi="David"/>
                <w:sz w:val="28"/>
                <w:szCs w:val="28"/>
              </w:rPr>
            </w:pPr>
            <w:r w:rsidRPr="00DF05DC">
              <w:rPr>
                <w:rFonts w:ascii="Arial" w:hAnsi="Arial"/>
                <w:b/>
                <w:bCs/>
                <w:sz w:val="28"/>
                <w:szCs w:val="28"/>
                <w:rtl/>
              </w:rPr>
              <w:t>עומרי אבו חלתם</w:t>
            </w:r>
            <w:r w:rsidRPr="00DF05DC">
              <w:rPr>
                <w:rFonts w:ascii="Arial" w:hAnsi="Arial" w:hint="cs"/>
                <w:b/>
                <w:bCs/>
                <w:sz w:val="28"/>
                <w:szCs w:val="28"/>
                <w:rtl/>
              </w:rPr>
              <w:t xml:space="preserve"> </w:t>
            </w:r>
          </w:p>
        </w:tc>
      </w:tr>
    </w:tbl>
    <w:p w14:paraId="3BF86DD7" w14:textId="77777777" w:rsidR="00E97D37" w:rsidRPr="00E97D37" w:rsidRDefault="00E97D37" w:rsidP="00E97D37">
      <w:pPr>
        <w:spacing w:before="120" w:after="120" w:line="240" w:lineRule="exact"/>
        <w:ind w:left="283" w:hanging="283"/>
        <w:jc w:val="both"/>
        <w:rPr>
          <w:rFonts w:ascii="FrankRuehl" w:hAnsi="FrankRuehl" w:cs="FrankRuehl"/>
          <w:rtl/>
        </w:rPr>
      </w:pPr>
    </w:p>
    <w:p w14:paraId="449AAC71" w14:textId="77777777" w:rsidR="003163B9" w:rsidRPr="003163B9" w:rsidRDefault="003163B9" w:rsidP="003163B9">
      <w:pPr>
        <w:spacing w:before="120" w:after="120" w:line="240" w:lineRule="exact"/>
        <w:ind w:left="283" w:hanging="283"/>
        <w:jc w:val="both"/>
        <w:rPr>
          <w:rFonts w:ascii="FrankRuehl" w:hAnsi="FrankRuehl" w:cs="FrankRuehl"/>
          <w:rtl/>
        </w:rPr>
      </w:pPr>
    </w:p>
    <w:p w14:paraId="7CD654FF" w14:textId="77777777" w:rsidR="000F366B" w:rsidRDefault="000F366B" w:rsidP="000F366B">
      <w:pPr>
        <w:rPr>
          <w:rFonts w:ascii="Arial" w:hAnsi="Arial"/>
          <w:sz w:val="26"/>
          <w:szCs w:val="26"/>
          <w:rtl/>
        </w:rPr>
      </w:pPr>
      <w:bookmarkStart w:id="2" w:name="LawTable"/>
      <w:bookmarkEnd w:id="2"/>
    </w:p>
    <w:p w14:paraId="4587B4B2" w14:textId="77777777" w:rsidR="000F366B" w:rsidRPr="000F366B" w:rsidRDefault="000F366B" w:rsidP="000F366B">
      <w:pPr>
        <w:spacing w:before="120" w:after="120" w:line="240" w:lineRule="exact"/>
        <w:ind w:left="283" w:hanging="283"/>
        <w:jc w:val="both"/>
        <w:rPr>
          <w:rFonts w:ascii="FrankRuehl" w:hAnsi="FrankRuehl" w:cs="FrankRuehl"/>
          <w:rtl/>
        </w:rPr>
      </w:pPr>
    </w:p>
    <w:p w14:paraId="022BE676" w14:textId="77777777" w:rsidR="000F366B" w:rsidRPr="000F366B" w:rsidRDefault="000F366B" w:rsidP="000F366B">
      <w:pPr>
        <w:spacing w:before="120" w:after="120" w:line="240" w:lineRule="exact"/>
        <w:ind w:left="283" w:hanging="283"/>
        <w:jc w:val="both"/>
        <w:rPr>
          <w:rFonts w:ascii="FrankRuehl" w:hAnsi="FrankRuehl" w:cs="FrankRuehl"/>
          <w:rtl/>
        </w:rPr>
      </w:pPr>
    </w:p>
    <w:p w14:paraId="6934EF84" w14:textId="77777777" w:rsidR="000F366B" w:rsidRPr="000F366B" w:rsidRDefault="000F366B" w:rsidP="000F366B">
      <w:pPr>
        <w:spacing w:before="120" w:after="120" w:line="240" w:lineRule="exact"/>
        <w:ind w:left="283" w:hanging="283"/>
        <w:jc w:val="both"/>
        <w:rPr>
          <w:rFonts w:ascii="FrankRuehl" w:hAnsi="FrankRuehl" w:cs="FrankRuehl"/>
          <w:rtl/>
        </w:rPr>
      </w:pPr>
      <w:r w:rsidRPr="000F366B">
        <w:rPr>
          <w:rFonts w:ascii="FrankRuehl" w:hAnsi="FrankRuehl" w:cs="FrankRuehl"/>
          <w:rtl/>
        </w:rPr>
        <w:t xml:space="preserve">חקיקה שאוזכרה: </w:t>
      </w:r>
    </w:p>
    <w:p w14:paraId="2ED59311" w14:textId="77777777" w:rsidR="000F366B" w:rsidRPr="000F366B" w:rsidRDefault="000F366B" w:rsidP="000F366B">
      <w:pPr>
        <w:spacing w:before="120" w:after="120" w:line="240" w:lineRule="exact"/>
        <w:ind w:left="283" w:hanging="283"/>
        <w:jc w:val="both"/>
        <w:rPr>
          <w:rFonts w:ascii="FrankRuehl" w:hAnsi="FrankRuehl" w:cs="FrankRuehl"/>
          <w:rtl/>
        </w:rPr>
      </w:pPr>
      <w:hyperlink r:id="rId7" w:history="1">
        <w:r w:rsidRPr="000F366B">
          <w:rPr>
            <w:rFonts w:ascii="FrankRuehl" w:hAnsi="FrankRuehl" w:cs="FrankRuehl"/>
            <w:color w:val="0000FF"/>
            <w:rtl/>
          </w:rPr>
          <w:t>חוק העונשין, תשל"ז-1977</w:t>
        </w:r>
      </w:hyperlink>
      <w:r w:rsidRPr="000F366B">
        <w:rPr>
          <w:rFonts w:ascii="FrankRuehl" w:hAnsi="FrankRuehl" w:cs="FrankRuehl"/>
          <w:rtl/>
        </w:rPr>
        <w:t xml:space="preserve">: סע'  </w:t>
      </w:r>
      <w:hyperlink r:id="rId8" w:history="1">
        <w:r w:rsidRPr="000F366B">
          <w:rPr>
            <w:rFonts w:ascii="FrankRuehl" w:hAnsi="FrankRuehl" w:cs="FrankRuehl"/>
            <w:color w:val="0000FF"/>
            <w:rtl/>
          </w:rPr>
          <w:t>29</w:t>
        </w:r>
      </w:hyperlink>
      <w:r w:rsidRPr="000F366B">
        <w:rPr>
          <w:rFonts w:ascii="FrankRuehl" w:hAnsi="FrankRuehl" w:cs="FrankRuehl"/>
          <w:rtl/>
        </w:rPr>
        <w:t xml:space="preserve">, </w:t>
      </w:r>
      <w:hyperlink r:id="rId9" w:history="1">
        <w:r w:rsidRPr="000F366B">
          <w:rPr>
            <w:rFonts w:ascii="FrankRuehl" w:hAnsi="FrankRuehl" w:cs="FrankRuehl"/>
            <w:color w:val="0000FF"/>
            <w:rtl/>
          </w:rPr>
          <w:t>29(א)</w:t>
        </w:r>
      </w:hyperlink>
      <w:r w:rsidRPr="000F366B">
        <w:rPr>
          <w:rFonts w:ascii="FrankRuehl" w:hAnsi="FrankRuehl" w:cs="FrankRuehl"/>
          <w:rtl/>
        </w:rPr>
        <w:t xml:space="preserve">, </w:t>
      </w:r>
      <w:hyperlink r:id="rId10" w:history="1">
        <w:r w:rsidRPr="000F366B">
          <w:rPr>
            <w:rFonts w:ascii="FrankRuehl" w:hAnsi="FrankRuehl" w:cs="FrankRuehl"/>
            <w:color w:val="0000FF"/>
            <w:rtl/>
          </w:rPr>
          <w:t>287(א)</w:t>
        </w:r>
      </w:hyperlink>
      <w:r w:rsidRPr="000F366B">
        <w:rPr>
          <w:rFonts w:ascii="FrankRuehl" w:hAnsi="FrankRuehl" w:cs="FrankRuehl"/>
          <w:rtl/>
        </w:rPr>
        <w:t xml:space="preserve">, </w:t>
      </w:r>
      <w:hyperlink r:id="rId11" w:history="1">
        <w:r w:rsidRPr="000F366B">
          <w:rPr>
            <w:rFonts w:ascii="FrankRuehl" w:hAnsi="FrankRuehl" w:cs="FrankRuehl"/>
            <w:color w:val="0000FF"/>
            <w:rtl/>
          </w:rPr>
          <w:t>381(א)(2)</w:t>
        </w:r>
      </w:hyperlink>
      <w:r w:rsidRPr="000F366B">
        <w:rPr>
          <w:rFonts w:ascii="FrankRuehl" w:hAnsi="FrankRuehl" w:cs="FrankRuehl"/>
          <w:rtl/>
        </w:rPr>
        <w:t xml:space="preserve">, </w:t>
      </w:r>
      <w:hyperlink r:id="rId12" w:history="1">
        <w:r w:rsidRPr="000F366B">
          <w:rPr>
            <w:rFonts w:ascii="FrankRuehl" w:hAnsi="FrankRuehl" w:cs="FrankRuehl"/>
            <w:color w:val="0000FF"/>
            <w:rtl/>
          </w:rPr>
          <w:t>384</w:t>
        </w:r>
      </w:hyperlink>
      <w:r w:rsidRPr="000F366B">
        <w:rPr>
          <w:rFonts w:ascii="FrankRuehl" w:hAnsi="FrankRuehl" w:cs="FrankRuehl"/>
          <w:rtl/>
        </w:rPr>
        <w:t xml:space="preserve">, </w:t>
      </w:r>
      <w:hyperlink r:id="rId13" w:history="1">
        <w:r w:rsidRPr="000F366B">
          <w:rPr>
            <w:rFonts w:ascii="FrankRuehl" w:hAnsi="FrankRuehl" w:cs="FrankRuehl"/>
            <w:color w:val="0000FF"/>
            <w:rtl/>
          </w:rPr>
          <w:t>407(ב)</w:t>
        </w:r>
      </w:hyperlink>
      <w:r w:rsidRPr="000F366B">
        <w:rPr>
          <w:rFonts w:ascii="FrankRuehl" w:hAnsi="FrankRuehl" w:cs="FrankRuehl"/>
          <w:rtl/>
        </w:rPr>
        <w:t xml:space="preserve">, </w:t>
      </w:r>
      <w:hyperlink r:id="rId14" w:history="1">
        <w:r w:rsidRPr="000F366B">
          <w:rPr>
            <w:rFonts w:ascii="FrankRuehl" w:hAnsi="FrankRuehl" w:cs="FrankRuehl"/>
            <w:color w:val="0000FF"/>
            <w:rtl/>
          </w:rPr>
          <w:t>452</w:t>
        </w:r>
      </w:hyperlink>
    </w:p>
    <w:p w14:paraId="5277C42C" w14:textId="77777777" w:rsidR="000F366B" w:rsidRPr="000F366B" w:rsidRDefault="000F366B" w:rsidP="000F366B">
      <w:pPr>
        <w:spacing w:before="120" w:after="120" w:line="240" w:lineRule="exact"/>
        <w:ind w:left="283" w:hanging="283"/>
        <w:jc w:val="both"/>
        <w:rPr>
          <w:rFonts w:ascii="FrankRuehl" w:hAnsi="FrankRuehl" w:cs="FrankRuehl"/>
          <w:rtl/>
        </w:rPr>
      </w:pPr>
      <w:hyperlink r:id="rId15" w:history="1">
        <w:r w:rsidRPr="000F366B">
          <w:rPr>
            <w:rFonts w:ascii="FrankRuehl" w:hAnsi="FrankRuehl" w:cs="FrankRuehl"/>
            <w:color w:val="0000FF"/>
            <w:rtl/>
          </w:rPr>
          <w:t>פקודת הסמים המסוכנים [נוסח חדש], תשל"ג-1973</w:t>
        </w:r>
      </w:hyperlink>
      <w:r w:rsidRPr="000F366B">
        <w:rPr>
          <w:rFonts w:ascii="FrankRuehl" w:hAnsi="FrankRuehl" w:cs="FrankRuehl"/>
          <w:rtl/>
        </w:rPr>
        <w:t xml:space="preserve">: סע'  </w:t>
      </w:r>
      <w:hyperlink r:id="rId16" w:history="1">
        <w:r w:rsidRPr="000F366B">
          <w:rPr>
            <w:rFonts w:ascii="FrankRuehl" w:hAnsi="FrankRuehl" w:cs="FrankRuehl"/>
            <w:color w:val="0000FF"/>
            <w:rtl/>
          </w:rPr>
          <w:t>13</w:t>
        </w:r>
      </w:hyperlink>
      <w:r w:rsidRPr="000F366B">
        <w:rPr>
          <w:rFonts w:ascii="FrankRuehl" w:hAnsi="FrankRuehl" w:cs="FrankRuehl"/>
          <w:rtl/>
        </w:rPr>
        <w:t xml:space="preserve">, </w:t>
      </w:r>
      <w:hyperlink r:id="rId17" w:history="1">
        <w:r w:rsidRPr="000F366B">
          <w:rPr>
            <w:rFonts w:ascii="FrankRuehl" w:hAnsi="FrankRuehl" w:cs="FrankRuehl"/>
            <w:color w:val="0000FF"/>
            <w:rtl/>
          </w:rPr>
          <w:t>19א</w:t>
        </w:r>
      </w:hyperlink>
      <w:r w:rsidRPr="000F366B">
        <w:rPr>
          <w:rFonts w:ascii="FrankRuehl" w:hAnsi="FrankRuehl" w:cs="FrankRuehl"/>
          <w:rtl/>
        </w:rPr>
        <w:t xml:space="preserve">, </w:t>
      </w:r>
      <w:hyperlink r:id="rId18" w:history="1">
        <w:r w:rsidRPr="000F366B">
          <w:rPr>
            <w:rFonts w:ascii="FrankRuehl" w:hAnsi="FrankRuehl" w:cs="FrankRuehl"/>
            <w:color w:val="0000FF"/>
            <w:rtl/>
          </w:rPr>
          <w:t>36א(ב)</w:t>
        </w:r>
      </w:hyperlink>
    </w:p>
    <w:p w14:paraId="57ADB362" w14:textId="77777777" w:rsidR="000F366B" w:rsidRPr="000F366B" w:rsidRDefault="000F366B" w:rsidP="000F366B">
      <w:pPr>
        <w:rPr>
          <w:rFonts w:ascii="Arial" w:hAnsi="Arial"/>
          <w:sz w:val="26"/>
          <w:szCs w:val="26"/>
          <w:rtl/>
        </w:rPr>
      </w:pPr>
      <w:bookmarkStart w:id="3" w:name="LawTable_End"/>
      <w:bookmarkEnd w:id="3"/>
    </w:p>
    <w:p w14:paraId="3DC7A9EB" w14:textId="77777777" w:rsidR="008D0926" w:rsidRPr="003163B9" w:rsidRDefault="008D0926" w:rsidP="003163B9">
      <w:pPr>
        <w:rPr>
          <w:rFonts w:ascii="Arial" w:hAnsi="Arial"/>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8D0926" w14:paraId="2E68DAC0" w14:textId="77777777" w:rsidTr="008D0926">
        <w:trPr>
          <w:trHeight w:val="355"/>
          <w:jc w:val="center"/>
        </w:trPr>
        <w:tc>
          <w:tcPr>
            <w:tcW w:w="8820" w:type="dxa"/>
            <w:tcBorders>
              <w:top w:val="nil"/>
              <w:left w:val="nil"/>
              <w:bottom w:val="nil"/>
              <w:right w:val="nil"/>
            </w:tcBorders>
            <w:shd w:val="clear" w:color="auto" w:fill="auto"/>
          </w:tcPr>
          <w:p w14:paraId="2FCE64C1" w14:textId="77777777" w:rsidR="00DF05DC" w:rsidRPr="00DF05DC" w:rsidRDefault="00DF05DC" w:rsidP="00DF05DC">
            <w:pPr>
              <w:jc w:val="center"/>
              <w:rPr>
                <w:rFonts w:ascii="David" w:hAnsi="David"/>
                <w:b/>
                <w:bCs/>
                <w:sz w:val="32"/>
                <w:szCs w:val="32"/>
                <w:u w:val="single"/>
                <w:rtl/>
              </w:rPr>
            </w:pPr>
            <w:bookmarkStart w:id="4" w:name="PsakDin" w:colFirst="0" w:colLast="0"/>
            <w:bookmarkEnd w:id="0"/>
            <w:r w:rsidRPr="00DF05DC">
              <w:rPr>
                <w:rFonts w:ascii="David" w:hAnsi="David"/>
                <w:b/>
                <w:bCs/>
                <w:sz w:val="32"/>
                <w:szCs w:val="32"/>
                <w:u w:val="single"/>
                <w:rtl/>
              </w:rPr>
              <w:t>גזר דין</w:t>
            </w:r>
          </w:p>
          <w:p w14:paraId="1BFC056D" w14:textId="77777777" w:rsidR="008D0926" w:rsidRPr="00DF05DC" w:rsidRDefault="008D0926" w:rsidP="00DF05DC">
            <w:pPr>
              <w:jc w:val="center"/>
              <w:rPr>
                <w:rFonts w:ascii="David" w:hAnsi="David"/>
                <w:bCs/>
                <w:sz w:val="32"/>
                <w:szCs w:val="32"/>
                <w:u w:val="single"/>
                <w:rtl/>
              </w:rPr>
            </w:pPr>
          </w:p>
        </w:tc>
      </w:tr>
      <w:bookmarkEnd w:id="4"/>
    </w:tbl>
    <w:p w14:paraId="079CBB6A" w14:textId="77777777" w:rsidR="008D0926" w:rsidRPr="000F2247" w:rsidRDefault="008D0926" w:rsidP="008D0926">
      <w:pPr>
        <w:rPr>
          <w:rFonts w:ascii="Arial" w:hAnsi="Arial"/>
          <w:b/>
          <w:bCs/>
          <w:sz w:val="26"/>
          <w:szCs w:val="26"/>
          <w:rtl/>
        </w:rPr>
      </w:pPr>
    </w:p>
    <w:p w14:paraId="22CE85CF" w14:textId="77777777" w:rsidR="008D0926" w:rsidRPr="000F2247" w:rsidRDefault="008D0926" w:rsidP="008D0926">
      <w:pPr>
        <w:rPr>
          <w:rFonts w:ascii="Arial" w:hAnsi="Arial"/>
          <w:b/>
          <w:bCs/>
          <w:sz w:val="26"/>
          <w:szCs w:val="26"/>
          <w:rtl/>
        </w:rPr>
      </w:pPr>
    </w:p>
    <w:p w14:paraId="67F027CB" w14:textId="77777777" w:rsidR="008D0926" w:rsidRDefault="008D0926" w:rsidP="008D0926">
      <w:pPr>
        <w:pStyle w:val="a9"/>
        <w:spacing w:after="0" w:line="240" w:lineRule="auto"/>
        <w:ind w:left="0"/>
        <w:jc w:val="both"/>
        <w:rPr>
          <w:rFonts w:ascii="David" w:hAnsi="David" w:cs="David"/>
          <w:b/>
          <w:bCs/>
          <w:sz w:val="24"/>
          <w:szCs w:val="24"/>
          <w:u w:val="single"/>
        </w:rPr>
      </w:pPr>
      <w:r>
        <w:rPr>
          <w:rFonts w:ascii="David" w:hAnsi="David" w:cs="David"/>
          <w:b/>
          <w:bCs/>
          <w:sz w:val="24"/>
          <w:szCs w:val="24"/>
          <w:u w:val="single"/>
          <w:rtl/>
        </w:rPr>
        <w:t xml:space="preserve">הרקע </w:t>
      </w:r>
    </w:p>
    <w:p w14:paraId="03338F89" w14:textId="77777777" w:rsidR="008D0926" w:rsidRDefault="008D0926" w:rsidP="008D0926">
      <w:pPr>
        <w:pStyle w:val="a9"/>
        <w:spacing w:after="0" w:line="240" w:lineRule="auto"/>
        <w:ind w:left="714"/>
        <w:jc w:val="both"/>
        <w:rPr>
          <w:rFonts w:ascii="David" w:hAnsi="David" w:cs="David"/>
          <w:sz w:val="24"/>
          <w:szCs w:val="24"/>
          <w:rtl/>
        </w:rPr>
      </w:pPr>
    </w:p>
    <w:p w14:paraId="6C1626C0" w14:textId="77777777" w:rsidR="008D0926" w:rsidRDefault="008D0926" w:rsidP="008D0926">
      <w:pPr>
        <w:pStyle w:val="a9"/>
        <w:numPr>
          <w:ilvl w:val="0"/>
          <w:numId w:val="1"/>
        </w:numPr>
        <w:spacing w:after="0" w:line="360" w:lineRule="auto"/>
        <w:ind w:left="357" w:hanging="357"/>
        <w:jc w:val="both"/>
        <w:rPr>
          <w:rFonts w:ascii="David" w:hAnsi="David" w:cs="David"/>
          <w:sz w:val="24"/>
          <w:szCs w:val="24"/>
        </w:rPr>
      </w:pPr>
      <w:bookmarkStart w:id="5" w:name="ABSTRACT_START"/>
      <w:bookmarkEnd w:id="5"/>
      <w:r>
        <w:rPr>
          <w:rFonts w:ascii="David" w:hAnsi="David" w:cs="David"/>
          <w:sz w:val="24"/>
          <w:szCs w:val="24"/>
          <w:rtl/>
        </w:rPr>
        <w:t xml:space="preserve">הנאשם, צעיר יליד 2001, הודה בשלושה כתבי אישום אותם צירף והורשע בעבירות רכוש, אלימות וסחר בסמים. </w:t>
      </w:r>
      <w:bookmarkStart w:id="6" w:name="ABSTRACT_END"/>
      <w:bookmarkEnd w:id="6"/>
      <w:r>
        <w:rPr>
          <w:rFonts w:ascii="David" w:hAnsi="David" w:cs="David"/>
          <w:sz w:val="24"/>
          <w:szCs w:val="24"/>
          <w:rtl/>
        </w:rPr>
        <w:t>לאחר שעניינו נדון בבית המשפט הקהילתי ממנו נפלט הנאשם, ולאחר ששירות המבחן הגיש תסקיר בעניינו בו המליץ להשית עליו מאסר בעבודות שירות, עתרה ההגנה לאמץ המלצה זו, בעוד שהמאשימה עתרה להשית על הנאשם עונש מאסר למשך 20 חודשים ולענישה נלווית.</w:t>
      </w:r>
    </w:p>
    <w:p w14:paraId="28D9857F" w14:textId="77777777" w:rsidR="008D0926" w:rsidRDefault="008D0926" w:rsidP="008D0926">
      <w:pPr>
        <w:spacing w:line="360" w:lineRule="auto"/>
        <w:jc w:val="both"/>
        <w:rPr>
          <w:rFonts w:ascii="David" w:hAnsi="David"/>
        </w:rPr>
      </w:pPr>
    </w:p>
    <w:p w14:paraId="3BE3195A" w14:textId="77777777" w:rsidR="008D0926" w:rsidRDefault="008D0926" w:rsidP="008D0926">
      <w:pPr>
        <w:spacing w:line="360" w:lineRule="auto"/>
        <w:jc w:val="both"/>
        <w:rPr>
          <w:rFonts w:ascii="David" w:hAnsi="David"/>
          <w:b/>
          <w:bCs/>
          <w:u w:val="single"/>
          <w:rtl/>
        </w:rPr>
      </w:pPr>
      <w:r>
        <w:rPr>
          <w:rFonts w:ascii="David" w:hAnsi="David"/>
          <w:b/>
          <w:bCs/>
          <w:u w:val="single"/>
          <w:rtl/>
        </w:rPr>
        <w:t xml:space="preserve">כתבי האישום </w:t>
      </w:r>
    </w:p>
    <w:p w14:paraId="12505EBA" w14:textId="77777777" w:rsidR="008D0926" w:rsidRDefault="008D0926" w:rsidP="008D0926">
      <w:pPr>
        <w:pStyle w:val="a9"/>
        <w:numPr>
          <w:ilvl w:val="0"/>
          <w:numId w:val="1"/>
        </w:numPr>
        <w:spacing w:after="0" w:line="360" w:lineRule="auto"/>
        <w:ind w:left="357" w:hanging="357"/>
        <w:jc w:val="both"/>
        <w:rPr>
          <w:rFonts w:ascii="David" w:hAnsi="David" w:cs="David"/>
          <w:sz w:val="24"/>
          <w:szCs w:val="24"/>
        </w:rPr>
      </w:pPr>
      <w:r>
        <w:rPr>
          <w:rFonts w:ascii="David" w:hAnsi="David" w:cs="David"/>
          <w:b/>
          <w:bCs/>
          <w:sz w:val="24"/>
          <w:szCs w:val="24"/>
          <w:rtl/>
        </w:rPr>
        <w:t>ב</w:t>
      </w:r>
      <w:hyperlink r:id="rId19" w:history="1">
        <w:r w:rsidR="00DF05DC" w:rsidRPr="00DF05DC">
          <w:rPr>
            <w:rFonts w:ascii="David" w:hAnsi="David" w:cs="David"/>
            <w:b/>
            <w:bCs/>
            <w:color w:val="0000FF"/>
            <w:sz w:val="24"/>
            <w:szCs w:val="24"/>
            <w:u w:val="single"/>
            <w:rtl/>
          </w:rPr>
          <w:t>ת"פ (רמלה) 17541-12-21</w:t>
        </w:r>
      </w:hyperlink>
      <w:r>
        <w:rPr>
          <w:rFonts w:ascii="David" w:hAnsi="David" w:cs="David"/>
          <w:sz w:val="24"/>
          <w:szCs w:val="24"/>
          <w:rtl/>
        </w:rPr>
        <w:t xml:space="preserve"> ("תיק ההתפרצות לעסק") הורשע הנאשם לפי הודאתו, בכך שבעת שהיה אמור לשהות במעצר בית בעיר רמלה, בפיקוח אנושי, בהתאם להחלטה ב</w:t>
      </w:r>
      <w:hyperlink r:id="rId20" w:history="1">
        <w:r w:rsidR="00DF05DC" w:rsidRPr="00DF05DC">
          <w:rPr>
            <w:rFonts w:ascii="David" w:hAnsi="David" w:cs="David"/>
            <w:color w:val="0000FF"/>
            <w:sz w:val="24"/>
            <w:szCs w:val="24"/>
            <w:u w:val="single"/>
            <w:rtl/>
          </w:rPr>
          <w:t>מ"ת 19462-01-21</w:t>
        </w:r>
      </w:hyperlink>
      <w:r>
        <w:rPr>
          <w:rFonts w:ascii="David" w:hAnsi="David" w:cs="David"/>
          <w:sz w:val="24"/>
          <w:szCs w:val="24"/>
          <w:rtl/>
        </w:rPr>
        <w:t xml:space="preserve">, יצא הנאשם ממקום מעצר הבית בליל 9.11.2021 בסמוך לשעה 01:00 ללא ליווי ופיקוח, והגיע למחסן של בית העסק "בלאנקו" בעיר רמלה (להלן: "בית העסק"). הנאשם ריסס באמצעות ספריי צבע שחור את מצלמות האבטחה בבית העסק, התפרץ אליו תוך גרימת נזק לסורגי החלונות ולדלת, ונכנס פנימה. הנאשם גנב מתוך בית העסק בגדי מותגים, ומכשיר הקלטה של מצלמות האבטחה, וגרם נזק רב. לפיכך הורשע הנאשם בעבירות </w:t>
      </w:r>
      <w:r>
        <w:rPr>
          <w:rFonts w:ascii="David" w:hAnsi="David" w:cs="David"/>
          <w:b/>
          <w:bCs/>
          <w:sz w:val="24"/>
          <w:szCs w:val="24"/>
          <w:rtl/>
        </w:rPr>
        <w:t>פריצה לבניין שאינו דירה וביצוע גניבה,</w:t>
      </w:r>
      <w:r>
        <w:rPr>
          <w:rFonts w:ascii="David" w:hAnsi="David" w:cs="David"/>
          <w:sz w:val="24"/>
          <w:szCs w:val="24"/>
          <w:rtl/>
        </w:rPr>
        <w:t xml:space="preserve"> לפי </w:t>
      </w:r>
      <w:hyperlink r:id="rId21" w:history="1">
        <w:r w:rsidR="00E97D37" w:rsidRPr="00E97D37">
          <w:rPr>
            <w:rStyle w:val="Hyperlink"/>
            <w:rFonts w:ascii="David" w:hAnsi="David" w:cs="David"/>
            <w:sz w:val="24"/>
            <w:szCs w:val="24"/>
            <w:rtl/>
          </w:rPr>
          <w:t>סעיף 407(ב)</w:t>
        </w:r>
      </w:hyperlink>
      <w:r>
        <w:rPr>
          <w:rFonts w:ascii="David" w:hAnsi="David" w:cs="David"/>
          <w:sz w:val="24"/>
          <w:szCs w:val="24"/>
          <w:rtl/>
        </w:rPr>
        <w:t xml:space="preserve"> ל</w:t>
      </w:r>
      <w:hyperlink r:id="rId22" w:history="1">
        <w:r w:rsidR="00DF05DC" w:rsidRPr="00DF05DC">
          <w:rPr>
            <w:rFonts w:ascii="David" w:hAnsi="David" w:cs="David"/>
            <w:color w:val="0000FF"/>
            <w:sz w:val="24"/>
            <w:szCs w:val="24"/>
            <w:u w:val="single"/>
            <w:rtl/>
          </w:rPr>
          <w:t>חוק העונשין</w:t>
        </w:r>
      </w:hyperlink>
      <w:r>
        <w:rPr>
          <w:rFonts w:ascii="David" w:hAnsi="David" w:cs="David"/>
          <w:sz w:val="24"/>
          <w:szCs w:val="24"/>
          <w:rtl/>
        </w:rPr>
        <w:t xml:space="preserve">, התשל"ז- 1977 (להלן: "חוק העונשין"), </w:t>
      </w:r>
      <w:r>
        <w:rPr>
          <w:rFonts w:ascii="David" w:hAnsi="David" w:cs="David"/>
          <w:b/>
          <w:bCs/>
          <w:sz w:val="24"/>
          <w:szCs w:val="24"/>
          <w:rtl/>
        </w:rPr>
        <w:t>הפרת הוראה חוקית</w:t>
      </w:r>
      <w:r>
        <w:rPr>
          <w:rFonts w:ascii="David" w:hAnsi="David" w:cs="David"/>
          <w:sz w:val="24"/>
          <w:szCs w:val="24"/>
          <w:rtl/>
        </w:rPr>
        <w:t xml:space="preserve">, לפי </w:t>
      </w:r>
      <w:hyperlink r:id="rId23" w:history="1">
        <w:r w:rsidR="00E97D37" w:rsidRPr="00E97D37">
          <w:rPr>
            <w:rStyle w:val="Hyperlink"/>
            <w:rFonts w:ascii="David" w:hAnsi="David" w:cs="David"/>
            <w:sz w:val="24"/>
            <w:szCs w:val="24"/>
            <w:rtl/>
          </w:rPr>
          <w:t>סעיף 287(א)</w:t>
        </w:r>
      </w:hyperlink>
      <w:r>
        <w:rPr>
          <w:rFonts w:ascii="David" w:hAnsi="David" w:cs="David"/>
          <w:sz w:val="24"/>
          <w:szCs w:val="24"/>
          <w:rtl/>
        </w:rPr>
        <w:t xml:space="preserve"> לחוק העונשין, </w:t>
      </w:r>
      <w:r>
        <w:rPr>
          <w:rFonts w:ascii="David" w:hAnsi="David" w:cs="David"/>
          <w:b/>
          <w:bCs/>
          <w:sz w:val="24"/>
          <w:szCs w:val="24"/>
          <w:rtl/>
        </w:rPr>
        <w:t>היזק לרכוש במזיד</w:t>
      </w:r>
      <w:r>
        <w:rPr>
          <w:rFonts w:ascii="David" w:hAnsi="David" w:cs="David"/>
          <w:sz w:val="24"/>
          <w:szCs w:val="24"/>
          <w:rtl/>
        </w:rPr>
        <w:t xml:space="preserve">, לפי </w:t>
      </w:r>
      <w:hyperlink r:id="rId24" w:history="1">
        <w:r w:rsidR="00E97D37" w:rsidRPr="00E97D37">
          <w:rPr>
            <w:rStyle w:val="Hyperlink"/>
            <w:rFonts w:ascii="David" w:hAnsi="David" w:cs="David"/>
            <w:sz w:val="24"/>
            <w:szCs w:val="24"/>
            <w:rtl/>
          </w:rPr>
          <w:t>סעיף 452</w:t>
        </w:r>
      </w:hyperlink>
      <w:r>
        <w:rPr>
          <w:rFonts w:ascii="David" w:hAnsi="David" w:cs="David"/>
          <w:sz w:val="24"/>
          <w:szCs w:val="24"/>
          <w:rtl/>
        </w:rPr>
        <w:t xml:space="preserve"> לחוק העונשין, </w:t>
      </w:r>
      <w:r>
        <w:rPr>
          <w:rFonts w:ascii="David" w:hAnsi="David" w:cs="David"/>
          <w:b/>
          <w:bCs/>
          <w:sz w:val="24"/>
          <w:szCs w:val="24"/>
          <w:rtl/>
        </w:rPr>
        <w:t xml:space="preserve">וגניבה, </w:t>
      </w:r>
      <w:r>
        <w:rPr>
          <w:rFonts w:ascii="David" w:hAnsi="David" w:cs="David"/>
          <w:sz w:val="24"/>
          <w:szCs w:val="24"/>
          <w:rtl/>
        </w:rPr>
        <w:t xml:space="preserve">לפי </w:t>
      </w:r>
      <w:hyperlink r:id="rId25" w:history="1">
        <w:r w:rsidR="00E97D37" w:rsidRPr="00E97D37">
          <w:rPr>
            <w:rStyle w:val="Hyperlink"/>
            <w:rFonts w:ascii="David" w:hAnsi="David" w:cs="David"/>
            <w:sz w:val="24"/>
            <w:szCs w:val="24"/>
            <w:rtl/>
          </w:rPr>
          <w:t>סעיף 384</w:t>
        </w:r>
      </w:hyperlink>
      <w:r>
        <w:rPr>
          <w:rFonts w:ascii="David" w:hAnsi="David" w:cs="David"/>
          <w:sz w:val="24"/>
          <w:szCs w:val="24"/>
          <w:rtl/>
        </w:rPr>
        <w:t xml:space="preserve"> לחוק העונשין.</w:t>
      </w:r>
    </w:p>
    <w:p w14:paraId="304EAE8F" w14:textId="77777777" w:rsidR="008D0926" w:rsidRDefault="008D0926" w:rsidP="008D0926">
      <w:pPr>
        <w:pStyle w:val="a9"/>
        <w:spacing w:after="0" w:line="360" w:lineRule="auto"/>
        <w:ind w:left="357"/>
        <w:jc w:val="both"/>
        <w:rPr>
          <w:rFonts w:ascii="David" w:hAnsi="David" w:cs="David"/>
          <w:sz w:val="24"/>
          <w:szCs w:val="24"/>
        </w:rPr>
      </w:pPr>
    </w:p>
    <w:p w14:paraId="558B6523" w14:textId="77777777" w:rsidR="008D0926" w:rsidRDefault="008D0926" w:rsidP="008D0926">
      <w:pPr>
        <w:pStyle w:val="a9"/>
        <w:numPr>
          <w:ilvl w:val="0"/>
          <w:numId w:val="1"/>
        </w:numPr>
        <w:spacing w:after="0" w:line="360" w:lineRule="auto"/>
        <w:ind w:left="357" w:hanging="357"/>
        <w:jc w:val="both"/>
        <w:rPr>
          <w:rFonts w:ascii="David" w:hAnsi="David" w:cs="David"/>
          <w:sz w:val="24"/>
          <w:szCs w:val="24"/>
        </w:rPr>
      </w:pPr>
      <w:r>
        <w:rPr>
          <w:rFonts w:ascii="David" w:hAnsi="David" w:cs="David"/>
          <w:sz w:val="24"/>
          <w:szCs w:val="24"/>
          <w:rtl/>
        </w:rPr>
        <w:t xml:space="preserve">בתיק שצירף הנאשם </w:t>
      </w:r>
      <w:r>
        <w:rPr>
          <w:rFonts w:ascii="David" w:hAnsi="David" w:cs="David"/>
          <w:b/>
          <w:bCs/>
          <w:sz w:val="24"/>
          <w:szCs w:val="24"/>
          <w:rtl/>
        </w:rPr>
        <w:t>ת"פ (רמלה) 19452-01-21</w:t>
      </w:r>
      <w:r>
        <w:rPr>
          <w:rFonts w:ascii="David" w:hAnsi="David" w:cs="David"/>
          <w:sz w:val="24"/>
          <w:szCs w:val="24"/>
          <w:rtl/>
        </w:rPr>
        <w:t xml:space="preserve"> (להלן: "תיק התקיפה") הודה הנאשם בכך שבליל 2.9.2021 שהה מחוץ למקום מעצר הבית בו אמור היה לשהות באותן שעות, לפי החלטת בית משפט השלום בתל אביב. בשעה 01:54 יצא מר ר"נ (להלן: "המתלונן") מבית חברו ברמלה כשברשותו אופניים חשמליים (להלן: "האופניים"). תוך כך שמע המתלונן אישה הזועקת "תעזבו אותי" והבחין בנאשם ובקטין (להלן: "הקטין") שעמדו לידה. אז צעק המתלונן לעבר הנאשם והאחר שיניחו לאישה, ונסע לעברם רכוב על האופניים. אז רצו הנאשם והקטין לכיוונו של המתלונן, דחפו אותו בעת שישב על מושב האופניים, במטרה להפילו. אז תקף הקטין את המתלונן במוט ברזל, וניסה ליטול ממנו את האופניים, ובה בעת היכה הנאשם את המתלונן מכה בראשו. האופניים נפלו ארצה, והנאשם אמר למתלונן "לך מפה". כשניסה המתלונן לקחת את האופניים תקף אותו הנאשם בכך שהכה אותו פעם נוספת בראשו. כתוצאה מכך נגרמו למתלונן חבלות בדמות שריטות בזרועו השמאלית. </w:t>
      </w:r>
    </w:p>
    <w:p w14:paraId="5FB3CA9A" w14:textId="77777777" w:rsidR="008D0926" w:rsidRDefault="008D0926" w:rsidP="008D0926">
      <w:pPr>
        <w:pStyle w:val="a9"/>
        <w:spacing w:after="0" w:line="240" w:lineRule="auto"/>
        <w:ind w:left="357"/>
        <w:jc w:val="both"/>
        <w:rPr>
          <w:rFonts w:ascii="David" w:hAnsi="David" w:cs="David"/>
          <w:sz w:val="24"/>
          <w:szCs w:val="24"/>
        </w:rPr>
      </w:pPr>
    </w:p>
    <w:p w14:paraId="0F705C73" w14:textId="77777777" w:rsidR="008D0926" w:rsidRDefault="008D0926" w:rsidP="008D0926">
      <w:pPr>
        <w:pStyle w:val="a9"/>
        <w:numPr>
          <w:ilvl w:val="0"/>
          <w:numId w:val="1"/>
        </w:numPr>
        <w:spacing w:after="0" w:line="360" w:lineRule="auto"/>
        <w:ind w:left="357" w:hanging="357"/>
        <w:jc w:val="both"/>
        <w:rPr>
          <w:rFonts w:ascii="David" w:hAnsi="David" w:cs="David"/>
          <w:sz w:val="24"/>
          <w:szCs w:val="24"/>
        </w:rPr>
      </w:pPr>
      <w:r>
        <w:rPr>
          <w:rFonts w:ascii="David" w:hAnsi="David" w:cs="David"/>
          <w:sz w:val="24"/>
          <w:szCs w:val="24"/>
          <w:rtl/>
        </w:rPr>
        <w:t xml:space="preserve">הנאשם והקטין גנבו את האופניים, וביום 5.1.2021 בשעה 13:13 שוחח הנאשם עם המתלונן ממכשיר הטלפון של בעלי האופניים, וביקש ממנו לבטל את התלונה שהגיש נגדו. בגין מעשיו המתוארים לעיל הורשע הנאשם בביצוע עבירות </w:t>
      </w:r>
      <w:r>
        <w:rPr>
          <w:rFonts w:ascii="David" w:hAnsi="David" w:cs="David"/>
          <w:b/>
          <w:bCs/>
          <w:sz w:val="24"/>
          <w:szCs w:val="24"/>
          <w:rtl/>
        </w:rPr>
        <w:t>תקיפה בכדי לגנוב בצוותא עם אחר,</w:t>
      </w:r>
      <w:r>
        <w:rPr>
          <w:rFonts w:ascii="David" w:hAnsi="David" w:cs="David"/>
          <w:sz w:val="24"/>
          <w:szCs w:val="24"/>
          <w:rtl/>
        </w:rPr>
        <w:t xml:space="preserve"> לפי </w:t>
      </w:r>
      <w:hyperlink r:id="rId26" w:history="1">
        <w:r w:rsidR="00E97D37" w:rsidRPr="00E97D37">
          <w:rPr>
            <w:rStyle w:val="Hyperlink"/>
            <w:rFonts w:ascii="David" w:hAnsi="David" w:cs="David"/>
            <w:sz w:val="24"/>
            <w:szCs w:val="24"/>
            <w:rtl/>
          </w:rPr>
          <w:t>סעיף 381(א)(2)</w:t>
        </w:r>
      </w:hyperlink>
      <w:r>
        <w:rPr>
          <w:rFonts w:ascii="David" w:hAnsi="David" w:cs="David"/>
          <w:sz w:val="24"/>
          <w:szCs w:val="24"/>
          <w:rtl/>
        </w:rPr>
        <w:t xml:space="preserve"> ו- </w:t>
      </w:r>
      <w:hyperlink r:id="rId27" w:history="1">
        <w:r w:rsidR="00E97D37" w:rsidRPr="00E97D37">
          <w:rPr>
            <w:rStyle w:val="Hyperlink"/>
            <w:rFonts w:ascii="David" w:hAnsi="David" w:cs="David"/>
            <w:sz w:val="24"/>
            <w:szCs w:val="24"/>
            <w:rtl/>
          </w:rPr>
          <w:t>29(א)</w:t>
        </w:r>
      </w:hyperlink>
      <w:r>
        <w:rPr>
          <w:rFonts w:ascii="David" w:hAnsi="David" w:cs="David"/>
          <w:sz w:val="24"/>
          <w:szCs w:val="24"/>
          <w:rtl/>
        </w:rPr>
        <w:t xml:space="preserve"> ל</w:t>
      </w:r>
      <w:hyperlink r:id="rId28" w:history="1">
        <w:r w:rsidR="00DF05DC" w:rsidRPr="00DF05DC">
          <w:rPr>
            <w:rFonts w:ascii="David" w:hAnsi="David" w:cs="David"/>
            <w:color w:val="0000FF"/>
            <w:sz w:val="24"/>
            <w:szCs w:val="24"/>
            <w:u w:val="single"/>
            <w:rtl/>
          </w:rPr>
          <w:t>חוק העונשין</w:t>
        </w:r>
      </w:hyperlink>
      <w:r>
        <w:rPr>
          <w:rFonts w:ascii="David" w:hAnsi="David" w:cs="David"/>
          <w:sz w:val="24"/>
          <w:szCs w:val="24"/>
          <w:rtl/>
        </w:rPr>
        <w:t xml:space="preserve">, </w:t>
      </w:r>
      <w:r>
        <w:rPr>
          <w:rFonts w:ascii="David" w:hAnsi="David" w:cs="David"/>
          <w:b/>
          <w:bCs/>
          <w:sz w:val="24"/>
          <w:szCs w:val="24"/>
          <w:rtl/>
        </w:rPr>
        <w:t>גניבה בצוותא עם אחר</w:t>
      </w:r>
      <w:r>
        <w:rPr>
          <w:rFonts w:ascii="David" w:hAnsi="David" w:cs="David"/>
          <w:sz w:val="24"/>
          <w:szCs w:val="24"/>
          <w:rtl/>
        </w:rPr>
        <w:t xml:space="preserve">, לפי </w:t>
      </w:r>
      <w:hyperlink r:id="rId29" w:history="1">
        <w:r w:rsidR="00E97D37" w:rsidRPr="00E97D37">
          <w:rPr>
            <w:rStyle w:val="Hyperlink"/>
            <w:rFonts w:ascii="David" w:hAnsi="David" w:cs="David"/>
            <w:sz w:val="24"/>
            <w:szCs w:val="24"/>
            <w:rtl/>
          </w:rPr>
          <w:t>סעיף 384</w:t>
        </w:r>
      </w:hyperlink>
      <w:r>
        <w:rPr>
          <w:rFonts w:ascii="David" w:hAnsi="David" w:cs="David"/>
          <w:sz w:val="24"/>
          <w:szCs w:val="24"/>
          <w:rtl/>
        </w:rPr>
        <w:t xml:space="preserve"> ו- </w:t>
      </w:r>
      <w:hyperlink r:id="rId30" w:history="1">
        <w:r w:rsidR="00E97D37" w:rsidRPr="00E97D37">
          <w:rPr>
            <w:rStyle w:val="Hyperlink"/>
            <w:rFonts w:ascii="David" w:hAnsi="David" w:cs="David"/>
            <w:sz w:val="24"/>
            <w:szCs w:val="24"/>
            <w:rtl/>
          </w:rPr>
          <w:t>29</w:t>
        </w:r>
      </w:hyperlink>
      <w:r>
        <w:rPr>
          <w:rFonts w:ascii="David" w:hAnsi="David" w:cs="David"/>
          <w:sz w:val="24"/>
          <w:szCs w:val="24"/>
          <w:rtl/>
        </w:rPr>
        <w:t xml:space="preserve"> לחוק העונשין, </w:t>
      </w:r>
      <w:r>
        <w:rPr>
          <w:rFonts w:ascii="David" w:hAnsi="David" w:cs="David"/>
          <w:b/>
          <w:bCs/>
          <w:sz w:val="24"/>
          <w:szCs w:val="24"/>
          <w:rtl/>
        </w:rPr>
        <w:t>והפרת הוראה חוקית,</w:t>
      </w:r>
      <w:r>
        <w:rPr>
          <w:rFonts w:ascii="David" w:hAnsi="David" w:cs="David"/>
          <w:sz w:val="24"/>
          <w:szCs w:val="24"/>
          <w:rtl/>
        </w:rPr>
        <w:t xml:space="preserve"> לפי </w:t>
      </w:r>
      <w:hyperlink r:id="rId31" w:history="1">
        <w:r w:rsidR="00E97D37" w:rsidRPr="00E97D37">
          <w:rPr>
            <w:rStyle w:val="Hyperlink"/>
            <w:rFonts w:ascii="David" w:hAnsi="David" w:cs="David"/>
            <w:sz w:val="24"/>
            <w:szCs w:val="24"/>
            <w:rtl/>
          </w:rPr>
          <w:t>סעיף 287(א)</w:t>
        </w:r>
      </w:hyperlink>
      <w:r>
        <w:rPr>
          <w:rFonts w:ascii="David" w:hAnsi="David" w:cs="David"/>
          <w:sz w:val="24"/>
          <w:szCs w:val="24"/>
          <w:rtl/>
        </w:rPr>
        <w:t xml:space="preserve"> לחוק העונשין.</w:t>
      </w:r>
    </w:p>
    <w:p w14:paraId="64976DD5" w14:textId="77777777" w:rsidR="008D0926" w:rsidRDefault="008D0926" w:rsidP="008D0926">
      <w:pPr>
        <w:pStyle w:val="a9"/>
        <w:spacing w:after="0" w:line="360" w:lineRule="auto"/>
        <w:ind w:left="357"/>
        <w:jc w:val="both"/>
        <w:rPr>
          <w:rFonts w:ascii="David" w:hAnsi="David" w:cs="David"/>
          <w:sz w:val="24"/>
          <w:szCs w:val="24"/>
        </w:rPr>
      </w:pPr>
    </w:p>
    <w:p w14:paraId="205D7E37" w14:textId="77777777" w:rsidR="008D0926" w:rsidRDefault="008D0926" w:rsidP="008D0926">
      <w:pPr>
        <w:pStyle w:val="a9"/>
        <w:numPr>
          <w:ilvl w:val="0"/>
          <w:numId w:val="1"/>
        </w:numPr>
        <w:spacing w:after="0" w:line="360" w:lineRule="auto"/>
        <w:ind w:left="357" w:hanging="357"/>
        <w:jc w:val="both"/>
        <w:rPr>
          <w:rFonts w:ascii="David" w:hAnsi="David" w:cs="David"/>
          <w:sz w:val="24"/>
          <w:szCs w:val="24"/>
        </w:rPr>
      </w:pPr>
      <w:r>
        <w:rPr>
          <w:rFonts w:ascii="David" w:hAnsi="David" w:cs="David"/>
          <w:sz w:val="24"/>
          <w:szCs w:val="24"/>
          <w:rtl/>
        </w:rPr>
        <w:t xml:space="preserve">מכתב האישום המתוקן המצורף </w:t>
      </w:r>
      <w:r>
        <w:rPr>
          <w:rFonts w:ascii="David" w:hAnsi="David" w:cs="David"/>
          <w:b/>
          <w:bCs/>
          <w:sz w:val="24"/>
          <w:szCs w:val="24"/>
          <w:rtl/>
        </w:rPr>
        <w:t>ב</w:t>
      </w:r>
      <w:hyperlink r:id="rId32" w:history="1">
        <w:r w:rsidR="00DF05DC" w:rsidRPr="00DF05DC">
          <w:rPr>
            <w:rFonts w:ascii="David" w:hAnsi="David" w:cs="David"/>
            <w:b/>
            <w:bCs/>
            <w:color w:val="0000FF"/>
            <w:sz w:val="24"/>
            <w:szCs w:val="24"/>
            <w:u w:val="single"/>
            <w:rtl/>
          </w:rPr>
          <w:t>ת"פ (תל-אביב) 3560-09-20</w:t>
        </w:r>
      </w:hyperlink>
      <w:r>
        <w:rPr>
          <w:rFonts w:ascii="David" w:hAnsi="David" w:cs="David"/>
          <w:sz w:val="24"/>
          <w:szCs w:val="24"/>
          <w:rtl/>
        </w:rPr>
        <w:t xml:space="preserve"> (להלן: "תיק סמים") עולה כי ביום 30.8.2020 בשעה 16:00 בהיותו ברח' סלומון בתל אביב, מכר הנאשם לשוטר דוד בק, בלבוש אזרחי, סם מסוכן הנחזה לקוקאין במשקל של 0.23 גרם נטו בתמורה ל-200 ₪, והורשע </w:t>
      </w:r>
      <w:r>
        <w:rPr>
          <w:rFonts w:ascii="David" w:hAnsi="David" w:cs="David"/>
          <w:b/>
          <w:bCs/>
          <w:sz w:val="24"/>
          <w:szCs w:val="24"/>
          <w:rtl/>
        </w:rPr>
        <w:t xml:space="preserve">בביצוע עסקה אחרת בסם,  </w:t>
      </w:r>
      <w:r>
        <w:rPr>
          <w:rFonts w:ascii="David" w:hAnsi="David" w:cs="David"/>
          <w:sz w:val="24"/>
          <w:szCs w:val="24"/>
          <w:rtl/>
        </w:rPr>
        <w:t xml:space="preserve"> לפי </w:t>
      </w:r>
      <w:hyperlink r:id="rId33" w:history="1">
        <w:r w:rsidR="00E97D37" w:rsidRPr="00E97D37">
          <w:rPr>
            <w:rStyle w:val="Hyperlink"/>
            <w:rFonts w:ascii="David" w:hAnsi="David" w:cs="David"/>
            <w:sz w:val="24"/>
            <w:szCs w:val="24"/>
            <w:rtl/>
          </w:rPr>
          <w:t>סעיפים 13</w:t>
        </w:r>
      </w:hyperlink>
      <w:r>
        <w:rPr>
          <w:rFonts w:ascii="David" w:hAnsi="David" w:cs="David"/>
          <w:sz w:val="24"/>
          <w:szCs w:val="24"/>
          <w:rtl/>
        </w:rPr>
        <w:t xml:space="preserve"> ו- </w:t>
      </w:r>
      <w:hyperlink r:id="rId34" w:history="1">
        <w:r w:rsidR="00E97D37" w:rsidRPr="00E97D37">
          <w:rPr>
            <w:rStyle w:val="Hyperlink"/>
            <w:rFonts w:ascii="David" w:hAnsi="David" w:cs="David"/>
            <w:sz w:val="24"/>
            <w:szCs w:val="24"/>
            <w:rtl/>
          </w:rPr>
          <w:t>19א</w:t>
        </w:r>
      </w:hyperlink>
      <w:r>
        <w:rPr>
          <w:rFonts w:ascii="David" w:hAnsi="David" w:cs="David"/>
          <w:sz w:val="24"/>
          <w:szCs w:val="24"/>
          <w:rtl/>
        </w:rPr>
        <w:t xml:space="preserve"> ל</w:t>
      </w:r>
      <w:hyperlink r:id="rId35" w:history="1">
        <w:r w:rsidR="00DF05DC" w:rsidRPr="00DF05DC">
          <w:rPr>
            <w:rFonts w:ascii="David" w:hAnsi="David" w:cs="David"/>
            <w:color w:val="0000FF"/>
            <w:sz w:val="24"/>
            <w:szCs w:val="24"/>
            <w:u w:val="single"/>
            <w:rtl/>
          </w:rPr>
          <w:t>פקודת הסמים המסוכנים</w:t>
        </w:r>
      </w:hyperlink>
      <w:r>
        <w:rPr>
          <w:rFonts w:ascii="David" w:hAnsi="David" w:cs="David"/>
          <w:sz w:val="24"/>
          <w:szCs w:val="24"/>
          <w:rtl/>
        </w:rPr>
        <w:t xml:space="preserve"> (נוסח חדש), התשל"ג-1973 (להלן: "פקודת הסמים").</w:t>
      </w:r>
    </w:p>
    <w:p w14:paraId="3DBFC4CB" w14:textId="77777777" w:rsidR="008D0926" w:rsidRDefault="008D0926" w:rsidP="008D0926">
      <w:pPr>
        <w:spacing w:line="480" w:lineRule="auto"/>
        <w:jc w:val="both"/>
        <w:rPr>
          <w:rFonts w:ascii="David" w:hAnsi="David"/>
          <w:b/>
          <w:bCs/>
          <w:u w:val="single"/>
        </w:rPr>
      </w:pPr>
    </w:p>
    <w:p w14:paraId="00ED7E29" w14:textId="77777777" w:rsidR="008D0926" w:rsidRDefault="008D0926" w:rsidP="008D0926">
      <w:pPr>
        <w:spacing w:line="480" w:lineRule="auto"/>
        <w:jc w:val="both"/>
        <w:rPr>
          <w:rFonts w:ascii="David" w:hAnsi="David"/>
          <w:b/>
          <w:bCs/>
          <w:u w:val="single"/>
          <w:rtl/>
        </w:rPr>
      </w:pPr>
      <w:r>
        <w:rPr>
          <w:rFonts w:ascii="David" w:hAnsi="David"/>
          <w:b/>
          <w:bCs/>
          <w:u w:val="single"/>
          <w:rtl/>
        </w:rPr>
        <w:t>השתלשלות ההליכים</w:t>
      </w:r>
    </w:p>
    <w:p w14:paraId="320D9947" w14:textId="77777777" w:rsidR="008D0926" w:rsidRDefault="008D0926" w:rsidP="008D0926">
      <w:pPr>
        <w:pStyle w:val="a9"/>
        <w:numPr>
          <w:ilvl w:val="0"/>
          <w:numId w:val="1"/>
        </w:numPr>
        <w:spacing w:after="0" w:line="360" w:lineRule="auto"/>
        <w:ind w:left="360"/>
        <w:jc w:val="both"/>
        <w:rPr>
          <w:rFonts w:ascii="David" w:hAnsi="David" w:cs="David"/>
          <w:sz w:val="24"/>
          <w:szCs w:val="24"/>
          <w:rtl/>
        </w:rPr>
      </w:pPr>
      <w:r>
        <w:rPr>
          <w:rFonts w:ascii="David" w:hAnsi="David" w:cs="David"/>
          <w:sz w:val="24"/>
          <w:szCs w:val="24"/>
          <w:rtl/>
        </w:rPr>
        <w:t xml:space="preserve">ביום 13.7.2021 הועברו ההליכים נגד הנאשם לבית המשפט הקהילתי ברמלה, אך ביום 25.4.2022 הוא נפלט ממנו ונשלח לקבלת תסקיר חובה מאת שירות המבחן מפאת גילו, ולחוות דעת מאת הממונה על עבודות השירות. </w:t>
      </w:r>
    </w:p>
    <w:p w14:paraId="4EBDFCFA" w14:textId="77777777" w:rsidR="008D0926" w:rsidRDefault="008D0926" w:rsidP="008D0926">
      <w:pPr>
        <w:pStyle w:val="a9"/>
        <w:spacing w:after="0" w:line="480" w:lineRule="auto"/>
        <w:ind w:left="360"/>
        <w:jc w:val="both"/>
        <w:rPr>
          <w:rFonts w:ascii="David" w:hAnsi="David" w:cs="David"/>
          <w:sz w:val="24"/>
          <w:szCs w:val="24"/>
          <w:rtl/>
        </w:rPr>
      </w:pPr>
    </w:p>
    <w:p w14:paraId="699EF366" w14:textId="77777777" w:rsidR="008D0926" w:rsidRDefault="008D0926" w:rsidP="008D0926">
      <w:pPr>
        <w:pStyle w:val="a9"/>
        <w:spacing w:after="0" w:line="480" w:lineRule="auto"/>
        <w:ind w:left="360"/>
        <w:jc w:val="both"/>
        <w:rPr>
          <w:rFonts w:ascii="David" w:hAnsi="David" w:cs="David"/>
          <w:sz w:val="24"/>
          <w:szCs w:val="24"/>
          <w:rtl/>
        </w:rPr>
      </w:pPr>
    </w:p>
    <w:p w14:paraId="11EC79DB" w14:textId="77777777" w:rsidR="008D0926" w:rsidRDefault="008D0926" w:rsidP="008D0926">
      <w:pPr>
        <w:pStyle w:val="a9"/>
        <w:spacing w:after="0" w:line="480" w:lineRule="auto"/>
        <w:ind w:left="360"/>
        <w:jc w:val="both"/>
        <w:rPr>
          <w:rFonts w:ascii="David" w:hAnsi="David" w:cs="David"/>
          <w:sz w:val="24"/>
          <w:szCs w:val="24"/>
        </w:rPr>
      </w:pPr>
    </w:p>
    <w:p w14:paraId="380B8C51" w14:textId="77777777" w:rsidR="008D0926" w:rsidRDefault="008D0926" w:rsidP="008D0926">
      <w:pPr>
        <w:spacing w:line="480" w:lineRule="auto"/>
        <w:jc w:val="both"/>
        <w:rPr>
          <w:rFonts w:ascii="David" w:hAnsi="David"/>
          <w:b/>
          <w:bCs/>
          <w:u w:val="single"/>
          <w:rtl/>
        </w:rPr>
      </w:pPr>
      <w:r>
        <w:rPr>
          <w:rFonts w:ascii="David" w:hAnsi="David"/>
          <w:b/>
          <w:bCs/>
          <w:u w:val="single"/>
          <w:rtl/>
        </w:rPr>
        <w:t>תסקיר שירות מבחן</w:t>
      </w:r>
    </w:p>
    <w:p w14:paraId="2E12DD63" w14:textId="77777777" w:rsidR="008D0926" w:rsidRDefault="008D0926" w:rsidP="008D0926">
      <w:pPr>
        <w:pStyle w:val="a9"/>
        <w:numPr>
          <w:ilvl w:val="0"/>
          <w:numId w:val="1"/>
        </w:numPr>
        <w:spacing w:after="0" w:line="360" w:lineRule="auto"/>
        <w:ind w:left="357" w:hanging="357"/>
        <w:jc w:val="both"/>
        <w:rPr>
          <w:rFonts w:ascii="David" w:hAnsi="David" w:cs="David"/>
          <w:b/>
          <w:bCs/>
          <w:sz w:val="24"/>
          <w:szCs w:val="24"/>
          <w:u w:val="single"/>
          <w:rtl/>
        </w:rPr>
      </w:pPr>
      <w:r>
        <w:rPr>
          <w:rFonts w:ascii="David" w:hAnsi="David" w:cs="David"/>
          <w:sz w:val="24"/>
          <w:szCs w:val="24"/>
          <w:rtl/>
        </w:rPr>
        <w:t xml:space="preserve">שירות המבחן התייחס לנסיבות חייו של הנאשם בהיותו בן 21, רווק, אב לילד כבן שנתיים מזוגיות קודמת, המתגורר בחיפה בבית משפחת זוגתו, ומתקיים מהבטחת הכנסה. הנאשם גדל במשפחה מרובת ילדים ברמלה, ובהיותו בן 16 אביו נפטר מסרטן, דבר שהיה עבורו משבר. בהיותו צעיר הוצא מהבית למסגרות חוץ ביתיות, עד הגיעו לגיל ההתבגרות, אז התחבר לדמויות שליליות, הסתבך בעבירות רכוש, צרך גראס ואלכוהול, אך לדבריו הוא לא מכור והפסיק בצריכתם. הנאשם סיפר לשירות המבחן כי ברצונו לשקם את חייו ולהוות דמות הורית יציבה לבנו, אך לאורך השנים התקשה להתמיד במקומות עבודה. הנאשם הביע חששו בפני שירות המבחן כי אם בנו הפיליפינית תוציא את הבן מישראל, וכן הביע חשש שהוא ייפגע על ידי אסירים אחרים אם ישלח לריצוי מאסר, מאחר שלדבריו נפגע בעת מעצרו מדקירה, ובהיותו  מסוכסך עם גורמים עבריינים על רקע חוב של כ- 40,000 ₪ לשוק האפור, כך לדבריו. </w:t>
      </w:r>
    </w:p>
    <w:p w14:paraId="24C3F044" w14:textId="77777777" w:rsidR="008D0926" w:rsidRDefault="008D0926" w:rsidP="008D0926">
      <w:pPr>
        <w:pStyle w:val="a9"/>
        <w:spacing w:after="0" w:line="360" w:lineRule="auto"/>
        <w:ind w:left="357"/>
        <w:jc w:val="both"/>
        <w:rPr>
          <w:rFonts w:ascii="David" w:hAnsi="David" w:cs="David"/>
          <w:b/>
          <w:bCs/>
          <w:sz w:val="24"/>
          <w:szCs w:val="24"/>
          <w:u w:val="single"/>
        </w:rPr>
      </w:pPr>
    </w:p>
    <w:p w14:paraId="0BE51741" w14:textId="77777777" w:rsidR="008D0926" w:rsidRDefault="008D0926" w:rsidP="008D0926">
      <w:pPr>
        <w:pStyle w:val="a9"/>
        <w:numPr>
          <w:ilvl w:val="0"/>
          <w:numId w:val="1"/>
        </w:numPr>
        <w:spacing w:after="0" w:line="360" w:lineRule="auto"/>
        <w:ind w:left="357" w:hanging="357"/>
        <w:jc w:val="both"/>
        <w:rPr>
          <w:rFonts w:ascii="David" w:hAnsi="David" w:cs="David"/>
          <w:b/>
          <w:bCs/>
          <w:sz w:val="24"/>
          <w:szCs w:val="24"/>
          <w:u w:val="single"/>
        </w:rPr>
      </w:pPr>
      <w:r>
        <w:rPr>
          <w:rFonts w:ascii="David" w:hAnsi="David" w:cs="David"/>
          <w:sz w:val="24"/>
          <w:szCs w:val="24"/>
          <w:rtl/>
        </w:rPr>
        <w:t xml:space="preserve">שירות המבחן התרשם כי הנאשם מתמודד עם מצוקה קיומית, מתקשה לקחת אחריות על מעשיו ולהבין את חומרתם, ממקד את הסיבות לכך בגורם חיצוני, ולפיכך מתקשה להכיר בסיכון הטמון בו לעצמו וסביבתו, בעוד שניכר קושי שלו בוויסות דחפים. שירות המבחן חיווה דעתו כי המניע לביצוע העבירות על ידי הנאשם יכול שהיה מניע כלכלי. שירות המבחן ציין כי בעבר שולב הנאשם בהליכי טיפול בשירות המבחן אך אלו לא צלחו, גם בעת שהיה בבית המשפט הקהילתי משך שבעה חודשים, שכן שיתוף הפעולה שלו היה חלקי. עוד צוין בתסקיר כי הנאשם מאופיין בדפוסי חשיבה ילדותיים, החל לנהל אורח חיים שולי עם מעורבות עבריינית מגיל 15, אך כיום הוא מעוניין לערוך שינוי חיובי בחייו. </w:t>
      </w:r>
    </w:p>
    <w:p w14:paraId="6EB9D514" w14:textId="77777777" w:rsidR="008D0926" w:rsidRDefault="008D0926" w:rsidP="008D0926">
      <w:pPr>
        <w:pStyle w:val="a9"/>
        <w:spacing w:after="0" w:line="240" w:lineRule="auto"/>
        <w:ind w:left="357"/>
        <w:jc w:val="both"/>
        <w:rPr>
          <w:rFonts w:ascii="David" w:hAnsi="David" w:cs="David"/>
          <w:b/>
          <w:bCs/>
          <w:sz w:val="24"/>
          <w:szCs w:val="24"/>
          <w:u w:val="single"/>
        </w:rPr>
      </w:pPr>
    </w:p>
    <w:p w14:paraId="6A305082" w14:textId="77777777" w:rsidR="008D0926" w:rsidRDefault="008D0926" w:rsidP="008D0926">
      <w:pPr>
        <w:pStyle w:val="a9"/>
        <w:numPr>
          <w:ilvl w:val="0"/>
          <w:numId w:val="1"/>
        </w:numPr>
        <w:spacing w:after="0" w:line="360" w:lineRule="auto"/>
        <w:ind w:left="357" w:hanging="357"/>
        <w:jc w:val="both"/>
        <w:rPr>
          <w:rFonts w:ascii="David" w:hAnsi="David" w:cs="David"/>
          <w:b/>
          <w:bCs/>
          <w:sz w:val="24"/>
          <w:szCs w:val="24"/>
          <w:u w:val="single"/>
        </w:rPr>
      </w:pPr>
      <w:r>
        <w:rPr>
          <w:rFonts w:ascii="David" w:hAnsi="David" w:cs="David"/>
          <w:sz w:val="24"/>
          <w:szCs w:val="24"/>
          <w:rtl/>
        </w:rPr>
        <w:t xml:space="preserve">בסופו של דבר העריך שירות המבחן כי קיים פער משמעותי בין רצונו של הנאשם לעבור תהליך טיפולי ויכולתו להיתרם ממנו, בשל יכולותיו המצומצמות אל מול קשייו הרבים, וכי קיים סיכון להישנות עבירות דומות מצדו, לפיכך המליץ על גזירת עונשו בעבודות שירות ברף גבוה. </w:t>
      </w:r>
    </w:p>
    <w:p w14:paraId="5A8D68F6" w14:textId="77777777" w:rsidR="008D0926" w:rsidRDefault="008D0926" w:rsidP="008D0926">
      <w:pPr>
        <w:pStyle w:val="a9"/>
        <w:spacing w:after="0" w:line="480" w:lineRule="auto"/>
        <w:ind w:left="357"/>
        <w:jc w:val="both"/>
        <w:rPr>
          <w:rFonts w:ascii="David" w:hAnsi="David" w:cs="David"/>
          <w:b/>
          <w:bCs/>
          <w:sz w:val="24"/>
          <w:szCs w:val="24"/>
          <w:u w:val="single"/>
        </w:rPr>
      </w:pPr>
      <w:r>
        <w:rPr>
          <w:rFonts w:ascii="David" w:hAnsi="David" w:cs="David"/>
          <w:sz w:val="24"/>
          <w:szCs w:val="24"/>
          <w:rtl/>
        </w:rPr>
        <w:t xml:space="preserve"> </w:t>
      </w:r>
    </w:p>
    <w:p w14:paraId="7E00881F" w14:textId="77777777" w:rsidR="008D0926" w:rsidRDefault="008D0926" w:rsidP="008D0926">
      <w:pPr>
        <w:spacing w:line="360" w:lineRule="auto"/>
        <w:jc w:val="both"/>
        <w:rPr>
          <w:rFonts w:ascii="David" w:hAnsi="David"/>
          <w:b/>
          <w:bCs/>
          <w:u w:val="single"/>
        </w:rPr>
      </w:pPr>
      <w:r>
        <w:rPr>
          <w:rFonts w:ascii="David" w:hAnsi="David"/>
          <w:b/>
          <w:bCs/>
          <w:u w:val="single"/>
          <w:rtl/>
        </w:rPr>
        <w:t>תמצית טיעוני באי כוח הצדדים לעונש</w:t>
      </w:r>
    </w:p>
    <w:p w14:paraId="7572F688" w14:textId="77777777" w:rsidR="008D0926" w:rsidRDefault="008D0926" w:rsidP="008D0926">
      <w:pPr>
        <w:pStyle w:val="a9"/>
        <w:numPr>
          <w:ilvl w:val="0"/>
          <w:numId w:val="1"/>
        </w:numPr>
        <w:spacing w:after="0" w:line="360" w:lineRule="auto"/>
        <w:ind w:left="357" w:hanging="357"/>
        <w:jc w:val="both"/>
        <w:rPr>
          <w:rFonts w:ascii="David" w:hAnsi="David" w:cs="David"/>
          <w:sz w:val="24"/>
          <w:szCs w:val="24"/>
          <w:rtl/>
        </w:rPr>
      </w:pPr>
      <w:r>
        <w:rPr>
          <w:rFonts w:ascii="David" w:hAnsi="David" w:cs="David"/>
          <w:sz w:val="24"/>
          <w:szCs w:val="24"/>
          <w:rtl/>
        </w:rPr>
        <w:t>ב"כ המאשימה עמדה על הערכים המוגנים בהם פגע הנאשם במעשיו השונים, ועל חומרתם, הגישה גמר דין מתיק נוער בו נדון הנאשם בעבירות שחלקן דומות (</w:t>
      </w:r>
      <w:r>
        <w:rPr>
          <w:rFonts w:ascii="David" w:hAnsi="David" w:cs="David"/>
          <w:b/>
          <w:bCs/>
          <w:sz w:val="24"/>
          <w:szCs w:val="24"/>
          <w:rtl/>
        </w:rPr>
        <w:t>טל/1</w:t>
      </w:r>
      <w:r>
        <w:rPr>
          <w:rFonts w:ascii="David" w:hAnsi="David" w:cs="David"/>
          <w:sz w:val="24"/>
          <w:szCs w:val="24"/>
          <w:rtl/>
        </w:rPr>
        <w:t xml:space="preserve">), וטענה כי הנאשם לא ניצל הזדמנויות שניתנו לו בהיותו קטין ובבית המשפט הקהילתי, לשיקומו, אלא חזר ובצע עבירות שרף האלימות בהן עלה ולכן טענה שיש ליתן בכורה לשיקולי הגמול וההרתעה. </w:t>
      </w:r>
    </w:p>
    <w:p w14:paraId="5668C78D" w14:textId="77777777" w:rsidR="008D0926" w:rsidRDefault="008D0926" w:rsidP="008D0926">
      <w:pPr>
        <w:pStyle w:val="a9"/>
        <w:spacing w:after="0" w:line="360" w:lineRule="auto"/>
        <w:ind w:left="714"/>
        <w:jc w:val="both"/>
        <w:rPr>
          <w:rFonts w:ascii="David" w:hAnsi="David" w:cs="David"/>
          <w:sz w:val="24"/>
          <w:szCs w:val="24"/>
        </w:rPr>
      </w:pPr>
    </w:p>
    <w:p w14:paraId="0CBC47B7" w14:textId="77777777" w:rsidR="008D0926" w:rsidRDefault="008D0926" w:rsidP="008D0926">
      <w:pPr>
        <w:pStyle w:val="a9"/>
        <w:numPr>
          <w:ilvl w:val="0"/>
          <w:numId w:val="1"/>
        </w:numPr>
        <w:spacing w:after="0" w:line="360" w:lineRule="auto"/>
        <w:ind w:left="357" w:hanging="357"/>
        <w:jc w:val="both"/>
        <w:rPr>
          <w:rFonts w:ascii="David" w:hAnsi="David" w:cs="David"/>
          <w:sz w:val="24"/>
          <w:szCs w:val="24"/>
        </w:rPr>
      </w:pPr>
      <w:r>
        <w:rPr>
          <w:rFonts w:ascii="David" w:hAnsi="David" w:cs="David"/>
          <w:sz w:val="24"/>
          <w:szCs w:val="24"/>
          <w:rtl/>
        </w:rPr>
        <w:t xml:space="preserve">אשר למתחמי הענישה, טענה ב"כ המאשימה שבתיק הסמים נע המתחם בין מספר חודשים ועד 12 חודשי מאסר, בתיק התקיפה בין 10 ל- 24 חודשי מאסר, ובתיק ההתפרצות לבית עסק מתחם הנע בין 8 ל- 18 חודשי מאסר בפועל, </w:t>
      </w:r>
      <w:r>
        <w:rPr>
          <w:rFonts w:ascii="David" w:hAnsi="David" w:cs="David"/>
          <w:sz w:val="24"/>
          <w:szCs w:val="24"/>
          <w:u w:val="single"/>
          <w:rtl/>
        </w:rPr>
        <w:t>ועתרה לגזור על הנאשם עונש כולל של 20 חודשי מאסר בפועל</w:t>
      </w:r>
      <w:r>
        <w:rPr>
          <w:rFonts w:ascii="David" w:hAnsi="David" w:cs="David"/>
          <w:sz w:val="24"/>
          <w:szCs w:val="24"/>
          <w:rtl/>
        </w:rPr>
        <w:t>, מאסר על תנאי, פסילה, פסילה על תנאי, קנס ופיצוי לנפגעי העבירות, ביקשה להכריז עליו "סוחר סמים", ולחלט את הטלפון הנייד ו-510 ₪ שנתפסו בתיק הסמים.</w:t>
      </w:r>
    </w:p>
    <w:p w14:paraId="2E17E2A4" w14:textId="77777777" w:rsidR="008D0926" w:rsidRDefault="008D0926" w:rsidP="008D0926">
      <w:pPr>
        <w:pStyle w:val="a9"/>
        <w:spacing w:after="0" w:line="240" w:lineRule="auto"/>
        <w:ind w:left="714"/>
        <w:jc w:val="both"/>
        <w:rPr>
          <w:rFonts w:ascii="David" w:hAnsi="David" w:cs="David"/>
          <w:sz w:val="24"/>
          <w:szCs w:val="24"/>
        </w:rPr>
      </w:pPr>
    </w:p>
    <w:p w14:paraId="655E7907" w14:textId="77777777" w:rsidR="008D0926" w:rsidRDefault="008D0926" w:rsidP="008D0926">
      <w:pPr>
        <w:pStyle w:val="a9"/>
        <w:numPr>
          <w:ilvl w:val="0"/>
          <w:numId w:val="1"/>
        </w:numPr>
        <w:spacing w:after="0" w:line="360" w:lineRule="auto"/>
        <w:ind w:left="357" w:hanging="357"/>
        <w:jc w:val="both"/>
        <w:rPr>
          <w:rFonts w:ascii="David" w:hAnsi="David" w:cs="David"/>
          <w:sz w:val="24"/>
          <w:szCs w:val="24"/>
        </w:rPr>
      </w:pPr>
      <w:r>
        <w:rPr>
          <w:rFonts w:ascii="David" w:hAnsi="David" w:cs="David"/>
          <w:sz w:val="24"/>
          <w:szCs w:val="24"/>
          <w:rtl/>
        </w:rPr>
        <w:t xml:space="preserve">ב"כ הנאשם עוה"ד אסף שלם, ציין כי הנאשם ביצע את העבירות בהיותו בן 19 ואת העבירות מתיק הנוער שהוגשו כראיה לעונש ביצע בהיותו נער כבן 13. הסניגור הפנה לתסקיר ביחס לנסיבותיו האישיות של הנאשם, לתנאים הקשים בהם גדל, ולכך שאת עבירות הרכוש ביצע ממצוקה כלכלית שלו ושל משפחתו. עוד ציין הסניגור כי בשנתיים האחרונות החל הנאשם לקחת אחריות, עזב את העיר רמלה וניתק קשר עם הגורמים השוליים עמם הסתובב, הוא מתגורר עם ארוסתו בחיפה וצפוי להתחתן בקרוב. </w:t>
      </w:r>
    </w:p>
    <w:p w14:paraId="7455FE5F" w14:textId="77777777" w:rsidR="008D0926" w:rsidRDefault="008D0926" w:rsidP="008D0926">
      <w:pPr>
        <w:pStyle w:val="a9"/>
        <w:rPr>
          <w:rFonts w:ascii="David" w:hAnsi="David" w:cs="David"/>
          <w:sz w:val="24"/>
          <w:szCs w:val="24"/>
        </w:rPr>
      </w:pPr>
    </w:p>
    <w:p w14:paraId="220C73E1" w14:textId="77777777" w:rsidR="008D0926" w:rsidRDefault="008D0926" w:rsidP="008D0926">
      <w:pPr>
        <w:pStyle w:val="a9"/>
        <w:numPr>
          <w:ilvl w:val="0"/>
          <w:numId w:val="1"/>
        </w:numPr>
        <w:spacing w:after="0" w:line="360" w:lineRule="auto"/>
        <w:ind w:left="357" w:hanging="357"/>
        <w:jc w:val="both"/>
        <w:rPr>
          <w:rFonts w:ascii="David" w:hAnsi="David" w:cs="David"/>
          <w:sz w:val="24"/>
          <w:szCs w:val="24"/>
          <w:rtl/>
        </w:rPr>
      </w:pPr>
      <w:r>
        <w:rPr>
          <w:rFonts w:ascii="David" w:hAnsi="David" w:cs="David"/>
          <w:sz w:val="24"/>
          <w:szCs w:val="24"/>
          <w:rtl/>
        </w:rPr>
        <w:t xml:space="preserve">אשר למתחמי הענישה טען הסניגור כי תקרת מתחם עבירת הסמים היא מספר חודשי מאסר, ובתיק התקיפה תחילת המתחם ממאסר מותנה או מספר חודשים שיכול וירוצו בעבודות שירות ועד 15 חודשים. משכך, בהתחשב בגילו הצעיר של הנאשם, שהייתו במעצר כחודשיים לראשונה בחייו, ובהמשך באיזוק אלקטרוני כחמישה חודשים, כשלא נפתחו נגדו תיקים נוספים, עתר ב"כ הנאשם לאמץ את המלצת שירות המבחן, ולהשית על הנאשם מאסר בדרך של עבודות שירות. </w:t>
      </w:r>
    </w:p>
    <w:p w14:paraId="52C651D5" w14:textId="77777777" w:rsidR="008D0926" w:rsidRDefault="008D0926" w:rsidP="008D0926">
      <w:pPr>
        <w:pStyle w:val="a9"/>
        <w:spacing w:after="0" w:line="240" w:lineRule="auto"/>
        <w:ind w:left="714"/>
        <w:jc w:val="both"/>
        <w:rPr>
          <w:rFonts w:ascii="David" w:hAnsi="David" w:cs="David"/>
          <w:sz w:val="24"/>
          <w:szCs w:val="24"/>
        </w:rPr>
      </w:pPr>
    </w:p>
    <w:p w14:paraId="1D3E4314" w14:textId="77777777" w:rsidR="008D0926" w:rsidRDefault="008D0926" w:rsidP="008D0926">
      <w:pPr>
        <w:pStyle w:val="a9"/>
        <w:numPr>
          <w:ilvl w:val="0"/>
          <w:numId w:val="1"/>
        </w:numPr>
        <w:spacing w:after="0" w:line="360" w:lineRule="auto"/>
        <w:ind w:left="357" w:hanging="357"/>
        <w:jc w:val="both"/>
        <w:rPr>
          <w:rFonts w:ascii="David" w:hAnsi="David" w:cs="David"/>
          <w:sz w:val="24"/>
          <w:szCs w:val="24"/>
        </w:rPr>
      </w:pPr>
      <w:r>
        <w:rPr>
          <w:rFonts w:ascii="David" w:hAnsi="David" w:cs="David"/>
          <w:sz w:val="24"/>
          <w:szCs w:val="24"/>
          <w:rtl/>
        </w:rPr>
        <w:t xml:space="preserve">הנאשם בדברו האחרון לעונש, הביע חרטה על מעשיו, סיפר שהתרחק ממשפחתו ומחבריו וכיום בנו בן שנתיים וחצי, ובכוונתו להתחתן בקרוב. </w:t>
      </w:r>
    </w:p>
    <w:p w14:paraId="78A022EA" w14:textId="77777777" w:rsidR="008D0926" w:rsidRDefault="008D0926" w:rsidP="008D0926">
      <w:pPr>
        <w:spacing w:line="480" w:lineRule="auto"/>
        <w:jc w:val="both"/>
        <w:rPr>
          <w:rFonts w:ascii="David" w:hAnsi="David"/>
          <w:b/>
          <w:bCs/>
          <w:u w:val="single"/>
        </w:rPr>
      </w:pPr>
    </w:p>
    <w:p w14:paraId="3268643E" w14:textId="77777777" w:rsidR="008D0926" w:rsidRDefault="008D0926" w:rsidP="008D0926">
      <w:pPr>
        <w:spacing w:line="360" w:lineRule="auto"/>
        <w:jc w:val="both"/>
        <w:rPr>
          <w:rFonts w:ascii="David" w:hAnsi="David"/>
          <w:b/>
          <w:bCs/>
          <w:u w:val="single"/>
          <w:rtl/>
        </w:rPr>
      </w:pPr>
      <w:r>
        <w:rPr>
          <w:rFonts w:ascii="David" w:hAnsi="David"/>
          <w:b/>
          <w:bCs/>
          <w:u w:val="single"/>
          <w:rtl/>
        </w:rPr>
        <w:t>דיון והכרעה</w:t>
      </w:r>
    </w:p>
    <w:p w14:paraId="69DA7477" w14:textId="77777777" w:rsidR="008D0926" w:rsidRDefault="008D0926" w:rsidP="008D0926">
      <w:pPr>
        <w:spacing w:line="480" w:lineRule="auto"/>
        <w:jc w:val="both"/>
        <w:rPr>
          <w:rFonts w:ascii="David" w:hAnsi="David"/>
          <w:u w:val="single"/>
          <w:rtl/>
        </w:rPr>
      </w:pPr>
      <w:r>
        <w:rPr>
          <w:rFonts w:ascii="David" w:hAnsi="David"/>
          <w:u w:val="single"/>
          <w:rtl/>
        </w:rPr>
        <w:t>קביעת מתחם העונש ההולם</w:t>
      </w:r>
    </w:p>
    <w:p w14:paraId="7CB2E02E" w14:textId="77777777" w:rsidR="008D0926" w:rsidRDefault="008D0926" w:rsidP="008D0926">
      <w:pPr>
        <w:pStyle w:val="a9"/>
        <w:numPr>
          <w:ilvl w:val="0"/>
          <w:numId w:val="1"/>
        </w:numPr>
        <w:spacing w:after="0" w:line="360" w:lineRule="auto"/>
        <w:ind w:left="357" w:hanging="357"/>
        <w:jc w:val="both"/>
        <w:rPr>
          <w:rFonts w:ascii="David" w:hAnsi="David" w:cs="David"/>
          <w:sz w:val="24"/>
          <w:szCs w:val="24"/>
          <w:rtl/>
        </w:rPr>
      </w:pPr>
      <w:r>
        <w:rPr>
          <w:rFonts w:ascii="David" w:hAnsi="David" w:cs="David"/>
          <w:sz w:val="24"/>
          <w:szCs w:val="24"/>
          <w:rtl/>
        </w:rPr>
        <w:t xml:space="preserve">הנאשם הורשע בעבירות מסוגים שונים, ולפיכך כפי שטענו הצדדים יש לקבוע מתחם הולם לכל אחד מהאירועים הנפרדים, בגין כל כתב אישום. הערכים המוגנים בהם פגע הנאשם בתיק ההתפרצות לבית עסק הם זכות הקניין של הפרט וביטחונו האישי; בתיק התקיפה פגע הנאשם בערך המוגן של שלמות הגוף, הכבוד והביטחון האישי, ובתיק הסמים פגע הנאשם בבריאות הציבור, ובסיכון לפגיעה ברכוש ואלימות הכרוך בעבירות אלו. </w:t>
      </w:r>
    </w:p>
    <w:p w14:paraId="754F3493" w14:textId="77777777" w:rsidR="008D0926" w:rsidRDefault="008D0926" w:rsidP="008D0926">
      <w:pPr>
        <w:pStyle w:val="a9"/>
        <w:spacing w:after="0" w:line="240" w:lineRule="auto"/>
        <w:ind w:left="714"/>
        <w:jc w:val="both"/>
        <w:rPr>
          <w:rFonts w:ascii="David" w:hAnsi="David" w:cs="David"/>
          <w:sz w:val="24"/>
          <w:szCs w:val="24"/>
        </w:rPr>
      </w:pPr>
    </w:p>
    <w:p w14:paraId="7AA0F2F2" w14:textId="77777777" w:rsidR="008D0926" w:rsidRDefault="008D0926" w:rsidP="008D0926">
      <w:pPr>
        <w:pStyle w:val="a9"/>
        <w:numPr>
          <w:ilvl w:val="0"/>
          <w:numId w:val="1"/>
        </w:numPr>
        <w:spacing w:after="0" w:line="360" w:lineRule="auto"/>
        <w:ind w:left="357" w:hanging="357"/>
        <w:jc w:val="both"/>
        <w:rPr>
          <w:rFonts w:ascii="David" w:hAnsi="David" w:cs="David"/>
          <w:sz w:val="24"/>
          <w:szCs w:val="24"/>
        </w:rPr>
      </w:pPr>
      <w:r>
        <w:rPr>
          <w:rFonts w:ascii="David" w:hAnsi="David" w:cs="David"/>
          <w:sz w:val="24"/>
          <w:szCs w:val="24"/>
          <w:rtl/>
        </w:rPr>
        <w:t>הפסיקה הנוהגת בגין הרשעה בעבירה יחידה של התפרצות לבית עסק מגוונת, אך דרך כלל נסובה סביב עונשי</w:t>
      </w:r>
      <w:r>
        <w:rPr>
          <w:rFonts w:ascii="David" w:hAnsi="David" w:cs="David"/>
          <w:b/>
          <w:bCs/>
          <w:sz w:val="24"/>
          <w:szCs w:val="24"/>
          <w:rtl/>
        </w:rPr>
        <w:t xml:space="preserve"> מאסר לריצוי בפועל</w:t>
      </w:r>
      <w:r>
        <w:rPr>
          <w:rFonts w:ascii="David" w:hAnsi="David" w:cs="David"/>
          <w:sz w:val="24"/>
          <w:szCs w:val="24"/>
          <w:rtl/>
        </w:rPr>
        <w:t xml:space="preserve">, כפי שנלמד להלן: </w:t>
      </w:r>
    </w:p>
    <w:p w14:paraId="0B951E63" w14:textId="77777777" w:rsidR="008D0926" w:rsidRDefault="008D0926" w:rsidP="008D0926">
      <w:pPr>
        <w:pStyle w:val="a9"/>
        <w:spacing w:after="0" w:line="240" w:lineRule="auto"/>
        <w:jc w:val="both"/>
        <w:rPr>
          <w:rFonts w:ascii="David" w:hAnsi="David" w:cs="David"/>
          <w:sz w:val="24"/>
          <w:szCs w:val="24"/>
        </w:rPr>
      </w:pPr>
    </w:p>
    <w:p w14:paraId="72BB61CD" w14:textId="77777777" w:rsidR="008D0926" w:rsidRDefault="008D0926" w:rsidP="008D0926">
      <w:pPr>
        <w:pStyle w:val="a9"/>
        <w:numPr>
          <w:ilvl w:val="0"/>
          <w:numId w:val="2"/>
        </w:numPr>
        <w:spacing w:after="0" w:line="360" w:lineRule="auto"/>
        <w:ind w:left="927"/>
        <w:jc w:val="both"/>
        <w:rPr>
          <w:rFonts w:ascii="David" w:hAnsi="David" w:cs="David"/>
          <w:sz w:val="24"/>
          <w:szCs w:val="24"/>
        </w:rPr>
      </w:pPr>
      <w:r>
        <w:rPr>
          <w:rFonts w:ascii="David" w:hAnsi="David" w:cs="David"/>
          <w:sz w:val="24"/>
          <w:szCs w:val="24"/>
          <w:rtl/>
        </w:rPr>
        <w:t>ב</w:t>
      </w:r>
      <w:hyperlink r:id="rId36" w:history="1">
        <w:r w:rsidR="00DF05DC" w:rsidRPr="00DF05DC">
          <w:rPr>
            <w:rFonts w:ascii="David" w:hAnsi="David" w:cs="David"/>
            <w:color w:val="0000FF"/>
            <w:sz w:val="24"/>
            <w:szCs w:val="24"/>
            <w:u w:val="single"/>
            <w:rtl/>
          </w:rPr>
          <w:t>רע"פ 5471/20</w:t>
        </w:r>
      </w:hyperlink>
      <w:r>
        <w:rPr>
          <w:rFonts w:ascii="David" w:hAnsi="David" w:cs="David"/>
          <w:sz w:val="24"/>
          <w:szCs w:val="24"/>
          <w:rtl/>
        </w:rPr>
        <w:t xml:space="preserve"> </w:t>
      </w:r>
      <w:r>
        <w:rPr>
          <w:rFonts w:ascii="David" w:hAnsi="David" w:cs="David"/>
          <w:b/>
          <w:bCs/>
          <w:sz w:val="24"/>
          <w:szCs w:val="24"/>
          <w:rtl/>
        </w:rPr>
        <w:t>לוי נ' מדינת ישראל</w:t>
      </w:r>
      <w:r>
        <w:rPr>
          <w:rFonts w:ascii="David" w:hAnsi="David" w:cs="David"/>
          <w:sz w:val="24"/>
          <w:szCs w:val="24"/>
          <w:rtl/>
        </w:rPr>
        <w:t xml:space="preserve"> (16.10.2020), נדחתה בקשת רשות ערעור שהגיש המבקש על עונש </w:t>
      </w:r>
      <w:r>
        <w:rPr>
          <w:rFonts w:ascii="David" w:hAnsi="David" w:cs="David"/>
          <w:sz w:val="24"/>
          <w:szCs w:val="24"/>
          <w:u w:val="single"/>
          <w:rtl/>
        </w:rPr>
        <w:t>מאסר בפועל למשך 9 חודשים</w:t>
      </w:r>
      <w:r>
        <w:rPr>
          <w:rFonts w:ascii="David" w:hAnsi="David" w:cs="David"/>
          <w:sz w:val="24"/>
          <w:szCs w:val="24"/>
          <w:rtl/>
        </w:rPr>
        <w:t xml:space="preserve">, שנגזר עליו לאחר שערעור המדינה על חומרת העונש התקבל, ומשבית משפט השלום קבע </w:t>
      </w:r>
      <w:r>
        <w:rPr>
          <w:rFonts w:ascii="David" w:hAnsi="David" w:cs="David"/>
          <w:sz w:val="24"/>
          <w:szCs w:val="24"/>
          <w:u w:val="single"/>
          <w:rtl/>
        </w:rPr>
        <w:t>מתחם שנע בין 7 ל- 18 חודשים</w:t>
      </w:r>
      <w:r>
        <w:rPr>
          <w:rFonts w:ascii="David" w:hAnsi="David" w:cs="David"/>
          <w:sz w:val="24"/>
          <w:szCs w:val="24"/>
          <w:rtl/>
        </w:rPr>
        <w:t>, בגין עבירת התפרצות שביצע למשרדי רשויות המס, וגניבת חומרי חקירה במטרה לשבש הליכי משפט. העבירות בוצעו שנים קודם לכן, והנאשם נתן את הדין גם בגין עבירות המס בהתאם להסדר טיעון, בעונש נפרד.</w:t>
      </w:r>
    </w:p>
    <w:p w14:paraId="19A3EB43" w14:textId="77777777" w:rsidR="008D0926" w:rsidRDefault="008D0926" w:rsidP="008D0926">
      <w:pPr>
        <w:pStyle w:val="a9"/>
        <w:spacing w:after="0" w:line="240" w:lineRule="auto"/>
        <w:ind w:left="927"/>
        <w:jc w:val="both"/>
        <w:rPr>
          <w:rFonts w:ascii="David" w:hAnsi="David" w:cs="David"/>
          <w:sz w:val="24"/>
          <w:szCs w:val="24"/>
        </w:rPr>
      </w:pPr>
    </w:p>
    <w:p w14:paraId="4085317F" w14:textId="77777777" w:rsidR="008D0926" w:rsidRDefault="008D0926" w:rsidP="008D0926">
      <w:pPr>
        <w:pStyle w:val="a9"/>
        <w:numPr>
          <w:ilvl w:val="0"/>
          <w:numId w:val="2"/>
        </w:numPr>
        <w:spacing w:after="0" w:line="360" w:lineRule="auto"/>
        <w:ind w:left="927"/>
        <w:jc w:val="both"/>
        <w:rPr>
          <w:rFonts w:ascii="David" w:hAnsi="David" w:cs="David"/>
          <w:sz w:val="24"/>
          <w:szCs w:val="24"/>
        </w:rPr>
      </w:pPr>
      <w:r>
        <w:rPr>
          <w:rFonts w:ascii="David" w:hAnsi="David" w:cs="David"/>
          <w:sz w:val="24"/>
          <w:szCs w:val="24"/>
          <w:rtl/>
        </w:rPr>
        <w:t>ב</w:t>
      </w:r>
      <w:hyperlink r:id="rId37" w:history="1">
        <w:r w:rsidR="00DF05DC" w:rsidRPr="00DF05DC">
          <w:rPr>
            <w:rFonts w:ascii="David" w:hAnsi="David" w:cs="David"/>
            <w:color w:val="0000FF"/>
            <w:sz w:val="24"/>
            <w:szCs w:val="24"/>
            <w:u w:val="single"/>
            <w:rtl/>
          </w:rPr>
          <w:t>רע"פ 3478/18</w:t>
        </w:r>
      </w:hyperlink>
      <w:r>
        <w:rPr>
          <w:rFonts w:ascii="David" w:hAnsi="David" w:cs="David"/>
          <w:sz w:val="24"/>
          <w:szCs w:val="24"/>
          <w:rtl/>
        </w:rPr>
        <w:t xml:space="preserve"> </w:t>
      </w:r>
      <w:r>
        <w:rPr>
          <w:rFonts w:ascii="David" w:hAnsi="David" w:cs="David"/>
          <w:b/>
          <w:bCs/>
          <w:sz w:val="24"/>
          <w:szCs w:val="24"/>
          <w:rtl/>
        </w:rPr>
        <w:t>קמנקו נ' מדינת ישראל</w:t>
      </w:r>
      <w:r>
        <w:rPr>
          <w:rFonts w:ascii="David" w:hAnsi="David" w:cs="David"/>
          <w:sz w:val="24"/>
          <w:szCs w:val="24"/>
          <w:rtl/>
        </w:rPr>
        <w:t xml:space="preserve"> (8.5.2018) (פסיקה שהגישה ההגנה), נדון נאשם שהורשע לאחר שמיעת הוכחות, בעבירה של פריצה לבית עסק בו עבד, וגניבה בנסיבות מחמירות של חמישה כוננים קשיחים שהכילו מידע עסקי רב. נקבע מתחם ענישה שנע בין </w:t>
      </w:r>
      <w:r>
        <w:rPr>
          <w:rFonts w:ascii="David" w:hAnsi="David" w:cs="David"/>
          <w:sz w:val="24"/>
          <w:szCs w:val="24"/>
          <w:u w:val="single"/>
          <w:rtl/>
        </w:rPr>
        <w:t>6 חודשי מאסר שיכול שירוצו בעבודות שירות ועד 18 חודשים</w:t>
      </w:r>
      <w:r>
        <w:rPr>
          <w:rFonts w:ascii="David" w:hAnsi="David" w:cs="David"/>
          <w:sz w:val="24"/>
          <w:szCs w:val="24"/>
          <w:rtl/>
        </w:rPr>
        <w:t xml:space="preserve">. בהיות הנאשם מבוגר, בעל עבר פלילי מתון ולא רלוונטי שלא ריצה מאסר קודם לכן, ובחלוף 6.5 שנים מביצוע העבירות עד גזר הדין, הושתו </w:t>
      </w:r>
      <w:r>
        <w:rPr>
          <w:rFonts w:ascii="David" w:hAnsi="David" w:cs="David"/>
          <w:sz w:val="24"/>
          <w:szCs w:val="24"/>
          <w:u w:val="single"/>
          <w:rtl/>
        </w:rPr>
        <w:t>עליו 8 חודשי מאסר בפועל</w:t>
      </w:r>
      <w:r>
        <w:rPr>
          <w:rFonts w:ascii="David" w:hAnsi="David" w:cs="David"/>
          <w:sz w:val="24"/>
          <w:szCs w:val="24"/>
          <w:rtl/>
        </w:rPr>
        <w:t xml:space="preserve"> (לאחר שהוקל בבית המשפט המחוזי מ- 10 חודשים, ובקשת רשות ערעור נדחתה).</w:t>
      </w:r>
    </w:p>
    <w:p w14:paraId="50C8ABE7" w14:textId="77777777" w:rsidR="008D0926" w:rsidRDefault="008D0926" w:rsidP="008D0926">
      <w:pPr>
        <w:pStyle w:val="a9"/>
        <w:spacing w:after="0" w:line="240" w:lineRule="auto"/>
        <w:ind w:left="927"/>
        <w:jc w:val="both"/>
        <w:rPr>
          <w:rFonts w:ascii="David" w:hAnsi="David" w:cs="David"/>
          <w:sz w:val="24"/>
          <w:szCs w:val="24"/>
        </w:rPr>
      </w:pPr>
    </w:p>
    <w:p w14:paraId="3D77A3CC" w14:textId="77777777" w:rsidR="008D0926" w:rsidRDefault="008D0926" w:rsidP="008D0926">
      <w:pPr>
        <w:pStyle w:val="a9"/>
        <w:numPr>
          <w:ilvl w:val="0"/>
          <w:numId w:val="2"/>
        </w:numPr>
        <w:spacing w:after="0" w:line="360" w:lineRule="auto"/>
        <w:ind w:left="927"/>
        <w:jc w:val="both"/>
        <w:rPr>
          <w:rFonts w:ascii="David" w:hAnsi="David" w:cs="David"/>
          <w:sz w:val="24"/>
          <w:szCs w:val="24"/>
        </w:rPr>
      </w:pPr>
      <w:r>
        <w:rPr>
          <w:rFonts w:ascii="David" w:hAnsi="David" w:cs="David"/>
          <w:sz w:val="24"/>
          <w:szCs w:val="24"/>
          <w:rtl/>
        </w:rPr>
        <w:t>ב</w:t>
      </w:r>
      <w:hyperlink r:id="rId38" w:history="1">
        <w:r w:rsidR="00DF05DC" w:rsidRPr="00DF05DC">
          <w:rPr>
            <w:rFonts w:ascii="David" w:hAnsi="David" w:cs="David"/>
            <w:color w:val="0000FF"/>
            <w:sz w:val="24"/>
            <w:szCs w:val="24"/>
            <w:u w:val="single"/>
            <w:rtl/>
          </w:rPr>
          <w:t>עפ"ג (מרכז-לוד) 39015-05-21</w:t>
        </w:r>
      </w:hyperlink>
      <w:r>
        <w:rPr>
          <w:rFonts w:ascii="David" w:hAnsi="David" w:cs="David"/>
          <w:sz w:val="24"/>
          <w:szCs w:val="24"/>
          <w:rtl/>
        </w:rPr>
        <w:t xml:space="preserve"> </w:t>
      </w:r>
      <w:r>
        <w:rPr>
          <w:rFonts w:ascii="David" w:hAnsi="David" w:cs="David"/>
          <w:b/>
          <w:bCs/>
          <w:sz w:val="24"/>
          <w:szCs w:val="24"/>
          <w:rtl/>
        </w:rPr>
        <w:t>מתתיה נ' מדינת ישראל</w:t>
      </w:r>
      <w:r>
        <w:rPr>
          <w:rFonts w:ascii="David" w:hAnsi="David" w:cs="David"/>
          <w:sz w:val="24"/>
          <w:szCs w:val="24"/>
          <w:rtl/>
        </w:rPr>
        <w:t xml:space="preserve"> (4.7.2021), נדחה ערעור שהגיש נאשם על חומרת העונש, שהושת עליו בגין הרשעתו לפי הודאתו בביצוע </w:t>
      </w:r>
      <w:r>
        <w:rPr>
          <w:rFonts w:ascii="David" w:hAnsi="David" w:cs="David"/>
          <w:sz w:val="24"/>
          <w:szCs w:val="24"/>
          <w:u w:val="single"/>
          <w:rtl/>
        </w:rPr>
        <w:t>שתי עבירות התפרצות לבתי עסק</w:t>
      </w:r>
      <w:r>
        <w:rPr>
          <w:rFonts w:ascii="David" w:hAnsi="David" w:cs="David"/>
          <w:sz w:val="24"/>
          <w:szCs w:val="24"/>
          <w:rtl/>
        </w:rPr>
        <w:t xml:space="preserve">, גניבה וגרימת נזק בצוותא עם אחר, ואירוע נוסף של גניבה מבית עסק וגרימת היזק לרכוש. בגין כל אחד מהאישומים קבעתי </w:t>
      </w:r>
      <w:r>
        <w:rPr>
          <w:rFonts w:ascii="David" w:hAnsi="David" w:cs="David"/>
          <w:sz w:val="24"/>
          <w:szCs w:val="24"/>
          <w:u w:val="single"/>
          <w:rtl/>
        </w:rPr>
        <w:t>מתחם שנע בין 6 ל – 18 חודשי מאסר</w:t>
      </w:r>
      <w:r>
        <w:rPr>
          <w:rFonts w:ascii="David" w:hAnsi="David" w:cs="David"/>
          <w:sz w:val="24"/>
          <w:szCs w:val="24"/>
          <w:rtl/>
        </w:rPr>
        <w:t xml:space="preserve">, ועל הנאשם שלחובתו היו 5 הרשעות קודמות ישנות ורלוונטיות ותסקיר שלילי, </w:t>
      </w:r>
      <w:r>
        <w:rPr>
          <w:rFonts w:ascii="David" w:hAnsi="David" w:cs="David"/>
          <w:sz w:val="24"/>
          <w:szCs w:val="24"/>
          <w:u w:val="single"/>
          <w:rtl/>
        </w:rPr>
        <w:t>גזרתי 18 חודשי מאסר בפועל</w:t>
      </w:r>
      <w:r>
        <w:rPr>
          <w:rFonts w:ascii="David" w:hAnsi="David" w:cs="David"/>
          <w:sz w:val="24"/>
          <w:szCs w:val="24"/>
          <w:rtl/>
        </w:rPr>
        <w:t xml:space="preserve">. </w:t>
      </w:r>
    </w:p>
    <w:p w14:paraId="31D38BA6" w14:textId="77777777" w:rsidR="008D0926" w:rsidRDefault="008D0926" w:rsidP="008D0926">
      <w:pPr>
        <w:pStyle w:val="a9"/>
        <w:spacing w:after="0" w:line="240" w:lineRule="auto"/>
        <w:ind w:left="927"/>
        <w:jc w:val="both"/>
        <w:rPr>
          <w:rFonts w:ascii="David" w:hAnsi="David" w:cs="David"/>
          <w:sz w:val="24"/>
          <w:szCs w:val="24"/>
        </w:rPr>
      </w:pPr>
    </w:p>
    <w:p w14:paraId="1BA11E2C" w14:textId="77777777" w:rsidR="008D0926" w:rsidRDefault="008D0926" w:rsidP="008D0926">
      <w:pPr>
        <w:pStyle w:val="a9"/>
        <w:numPr>
          <w:ilvl w:val="0"/>
          <w:numId w:val="2"/>
        </w:numPr>
        <w:spacing w:after="0" w:line="360" w:lineRule="auto"/>
        <w:ind w:left="927"/>
        <w:jc w:val="both"/>
        <w:rPr>
          <w:rFonts w:ascii="David" w:hAnsi="David" w:cs="David"/>
          <w:sz w:val="24"/>
          <w:szCs w:val="24"/>
        </w:rPr>
      </w:pPr>
      <w:r>
        <w:rPr>
          <w:rFonts w:ascii="David" w:hAnsi="David" w:cs="David"/>
          <w:sz w:val="24"/>
          <w:szCs w:val="24"/>
          <w:rtl/>
        </w:rPr>
        <w:t>ב</w:t>
      </w:r>
      <w:hyperlink r:id="rId39" w:history="1">
        <w:r w:rsidR="00DF05DC" w:rsidRPr="00DF05DC">
          <w:rPr>
            <w:rFonts w:ascii="David" w:hAnsi="David" w:cs="David"/>
            <w:color w:val="0000FF"/>
            <w:sz w:val="24"/>
            <w:szCs w:val="24"/>
            <w:u w:val="single"/>
            <w:rtl/>
          </w:rPr>
          <w:t>עפ"ג (מרכז-לוד) 66681-10-18</w:t>
        </w:r>
      </w:hyperlink>
      <w:r>
        <w:rPr>
          <w:rFonts w:ascii="David" w:hAnsi="David" w:cs="David"/>
          <w:sz w:val="24"/>
          <w:szCs w:val="24"/>
          <w:rtl/>
        </w:rPr>
        <w:t xml:space="preserve"> </w:t>
      </w:r>
      <w:r>
        <w:rPr>
          <w:rFonts w:ascii="David" w:hAnsi="David" w:cs="David"/>
          <w:b/>
          <w:bCs/>
          <w:sz w:val="24"/>
          <w:szCs w:val="24"/>
          <w:rtl/>
        </w:rPr>
        <w:t>מדינת ישראל נ' אלחורטי</w:t>
      </w:r>
      <w:r>
        <w:rPr>
          <w:rFonts w:ascii="David" w:hAnsi="David" w:cs="David"/>
          <w:sz w:val="24"/>
          <w:szCs w:val="24"/>
          <w:rtl/>
        </w:rPr>
        <w:t xml:space="preserve"> (11.12.2018), התקבל ערעור המדינה על קולת העונש שנגזר על נאשם שהתפרץ בצוותא עם אחר לתחנת דלק בכך שגרם נזק לקיר באמצעות פטיש, גנב מהמקום 10 קופסאות סיגריות ודאודורנטים, ושבר את הקופה הרושמת. בית משפט השלום קבע </w:t>
      </w:r>
      <w:r>
        <w:rPr>
          <w:rFonts w:ascii="David" w:hAnsi="David" w:cs="David"/>
          <w:sz w:val="24"/>
          <w:szCs w:val="24"/>
          <w:u w:val="single"/>
          <w:rtl/>
        </w:rPr>
        <w:t>מתחם שנע בין 6 ל- 18 חודשים</w:t>
      </w:r>
      <w:r>
        <w:rPr>
          <w:rFonts w:ascii="David" w:hAnsi="David" w:cs="David"/>
          <w:sz w:val="24"/>
          <w:szCs w:val="24"/>
          <w:rtl/>
        </w:rPr>
        <w:t xml:space="preserve">, התחשב בגילו של הנאשם שהיה בן 20, בהרשעה קודמת אחת בסמים בגינה ריצה מאסר למשך שנה, ובתסקיר שלילי, וגזר עליו 5 חודשי מאסר בפועל. ערכאת הערעור החמירה בעונש </w:t>
      </w:r>
      <w:r>
        <w:rPr>
          <w:rFonts w:ascii="David" w:hAnsi="David" w:cs="David"/>
          <w:sz w:val="24"/>
          <w:szCs w:val="24"/>
          <w:u w:val="single"/>
          <w:rtl/>
        </w:rPr>
        <w:t>שהועמד על 8 חודשי מאסר בפועל</w:t>
      </w:r>
      <w:r>
        <w:rPr>
          <w:rFonts w:ascii="David" w:hAnsi="David" w:cs="David"/>
          <w:sz w:val="24"/>
          <w:szCs w:val="24"/>
          <w:rtl/>
        </w:rPr>
        <w:t>.</w:t>
      </w:r>
    </w:p>
    <w:p w14:paraId="0F0F40AD" w14:textId="77777777" w:rsidR="008D0926" w:rsidRDefault="008D0926" w:rsidP="008D0926">
      <w:pPr>
        <w:pStyle w:val="a9"/>
        <w:spacing w:after="0" w:line="240" w:lineRule="auto"/>
        <w:ind w:left="927"/>
        <w:jc w:val="both"/>
        <w:rPr>
          <w:rFonts w:ascii="David" w:hAnsi="David" w:cs="David"/>
          <w:sz w:val="24"/>
          <w:szCs w:val="24"/>
          <w:rtl/>
        </w:rPr>
      </w:pPr>
    </w:p>
    <w:p w14:paraId="5730D349" w14:textId="77777777" w:rsidR="008D0926" w:rsidRDefault="008D0926" w:rsidP="008D0926">
      <w:pPr>
        <w:pStyle w:val="a9"/>
        <w:spacing w:after="0" w:line="240" w:lineRule="auto"/>
        <w:ind w:left="927"/>
        <w:jc w:val="both"/>
        <w:rPr>
          <w:rFonts w:ascii="David" w:hAnsi="David" w:cs="David"/>
          <w:sz w:val="24"/>
          <w:szCs w:val="24"/>
          <w:rtl/>
        </w:rPr>
      </w:pPr>
    </w:p>
    <w:p w14:paraId="07267855" w14:textId="77777777" w:rsidR="008D0926" w:rsidRDefault="008D0926" w:rsidP="008D0926">
      <w:pPr>
        <w:pStyle w:val="a9"/>
        <w:spacing w:after="0" w:line="240" w:lineRule="auto"/>
        <w:ind w:left="927"/>
        <w:jc w:val="both"/>
        <w:rPr>
          <w:rFonts w:ascii="David" w:hAnsi="David" w:cs="David"/>
          <w:sz w:val="24"/>
          <w:szCs w:val="24"/>
        </w:rPr>
      </w:pPr>
    </w:p>
    <w:p w14:paraId="69E2FC10" w14:textId="77777777" w:rsidR="008D0926" w:rsidRDefault="008D0926" w:rsidP="008D0926">
      <w:pPr>
        <w:pStyle w:val="a9"/>
        <w:numPr>
          <w:ilvl w:val="0"/>
          <w:numId w:val="2"/>
        </w:numPr>
        <w:spacing w:after="0" w:line="360" w:lineRule="auto"/>
        <w:ind w:left="927"/>
        <w:jc w:val="both"/>
        <w:rPr>
          <w:rFonts w:ascii="David" w:hAnsi="David" w:cs="David"/>
          <w:sz w:val="24"/>
          <w:szCs w:val="24"/>
        </w:rPr>
      </w:pPr>
      <w:r>
        <w:rPr>
          <w:rFonts w:ascii="David" w:hAnsi="David" w:cs="David"/>
          <w:sz w:val="24"/>
          <w:szCs w:val="24"/>
          <w:rtl/>
        </w:rPr>
        <w:t>ב</w:t>
      </w:r>
      <w:hyperlink r:id="rId40" w:history="1">
        <w:r w:rsidR="00DF05DC" w:rsidRPr="00DF05DC">
          <w:rPr>
            <w:rFonts w:ascii="David" w:hAnsi="David" w:cs="David"/>
            <w:color w:val="0000FF"/>
            <w:sz w:val="24"/>
            <w:szCs w:val="24"/>
            <w:u w:val="single"/>
            <w:rtl/>
          </w:rPr>
          <w:t>עפ"ג (באר-שבע) 46627-09-20</w:t>
        </w:r>
      </w:hyperlink>
      <w:r>
        <w:rPr>
          <w:rFonts w:ascii="David" w:hAnsi="David" w:cs="David"/>
          <w:sz w:val="24"/>
          <w:szCs w:val="24"/>
          <w:rtl/>
        </w:rPr>
        <w:t xml:space="preserve"> </w:t>
      </w:r>
      <w:r>
        <w:rPr>
          <w:rFonts w:ascii="David" w:hAnsi="David" w:cs="David"/>
          <w:b/>
          <w:bCs/>
          <w:sz w:val="24"/>
          <w:szCs w:val="24"/>
          <w:rtl/>
        </w:rPr>
        <w:t xml:space="preserve">אלסאנע נ' מדינת ישראל </w:t>
      </w:r>
      <w:r>
        <w:rPr>
          <w:rFonts w:ascii="David" w:hAnsi="David" w:cs="David"/>
          <w:sz w:val="24"/>
          <w:szCs w:val="24"/>
          <w:rtl/>
        </w:rPr>
        <w:t>(6.1.2021), הורשע נאשם על פי הודאתו בהתפרצות לבניין שאינו דירה, גניבה והיזק לרכוש בזדון, בכך שיחד עם אחר הצטייד ברכב, פרץ לחנות נוחות בתחנת דלק וגנב את הקופה. בית המשפט השלום קבע מתחם הנע בין</w:t>
      </w:r>
      <w:r>
        <w:rPr>
          <w:rFonts w:ascii="David" w:hAnsi="David" w:cs="David"/>
          <w:sz w:val="24"/>
          <w:szCs w:val="24"/>
          <w:u w:val="single"/>
          <w:rtl/>
        </w:rPr>
        <w:t xml:space="preserve"> 12 חודשי מאסר ל-24 חודשים</w:t>
      </w:r>
      <w:r>
        <w:rPr>
          <w:rFonts w:ascii="David" w:hAnsi="David" w:cs="David"/>
          <w:sz w:val="24"/>
          <w:szCs w:val="24"/>
          <w:rtl/>
        </w:rPr>
        <w:t xml:space="preserve">, וגזר על הנאשם לאור גילו הצעיר, העדר עבר פלילי, ותסקיר חיובי, מאסר בפועל למשך 12 חודשים. בערעור שהגיש הנאשם על חומרת העונש אושר מתחם העונש שנקבע, אך עונש המאסר קוצר </w:t>
      </w:r>
      <w:r>
        <w:rPr>
          <w:rFonts w:ascii="David" w:hAnsi="David" w:cs="David"/>
          <w:sz w:val="24"/>
          <w:szCs w:val="24"/>
          <w:u w:val="single"/>
          <w:rtl/>
        </w:rPr>
        <w:t>והועמד על 9 חודשי מאסר בעבודות שירות</w:t>
      </w:r>
      <w:r>
        <w:rPr>
          <w:rFonts w:ascii="David" w:hAnsi="David" w:cs="David"/>
          <w:sz w:val="24"/>
          <w:szCs w:val="24"/>
          <w:rtl/>
        </w:rPr>
        <w:t>, משנקבע שהיה נכון לתת משקל רב להליך השיקום שעבר הנאשם, ולגילו הצעיר.</w:t>
      </w:r>
    </w:p>
    <w:p w14:paraId="43ECF1F1" w14:textId="77777777" w:rsidR="008D0926" w:rsidRDefault="008D0926" w:rsidP="008D0926">
      <w:pPr>
        <w:jc w:val="both"/>
        <w:rPr>
          <w:rFonts w:ascii="David" w:hAnsi="David"/>
        </w:rPr>
      </w:pPr>
    </w:p>
    <w:p w14:paraId="740A7540" w14:textId="77777777" w:rsidR="008D0926" w:rsidRDefault="008D0926" w:rsidP="008D0926">
      <w:pPr>
        <w:pStyle w:val="a9"/>
        <w:numPr>
          <w:ilvl w:val="0"/>
          <w:numId w:val="1"/>
        </w:numPr>
        <w:spacing w:after="0" w:line="360" w:lineRule="auto"/>
        <w:jc w:val="both"/>
        <w:rPr>
          <w:rFonts w:ascii="David" w:eastAsia="Times New Roman" w:hAnsi="David" w:cs="David"/>
          <w:sz w:val="24"/>
          <w:szCs w:val="24"/>
        </w:rPr>
      </w:pPr>
      <w:r>
        <w:rPr>
          <w:rFonts w:ascii="David" w:eastAsia="Times New Roman" w:hAnsi="David" w:cs="David"/>
          <w:sz w:val="24"/>
          <w:szCs w:val="24"/>
          <w:rtl/>
        </w:rPr>
        <w:t xml:space="preserve">בחנת הענישה הנוהגת בשילוב נסיבות </w:t>
      </w:r>
      <w:r>
        <w:rPr>
          <w:rFonts w:ascii="David" w:eastAsia="Times New Roman" w:hAnsi="David" w:cs="David"/>
          <w:b/>
          <w:bCs/>
          <w:sz w:val="24"/>
          <w:szCs w:val="24"/>
          <w:rtl/>
        </w:rPr>
        <w:t>ההתפרצות לבית עסק</w:t>
      </w:r>
      <w:r>
        <w:rPr>
          <w:rFonts w:ascii="David" w:eastAsia="Times New Roman" w:hAnsi="David" w:cs="David"/>
          <w:sz w:val="24"/>
          <w:szCs w:val="24"/>
          <w:rtl/>
        </w:rPr>
        <w:t xml:space="preserve">, עבירה שביצע הנאשם תוך הפרת מעצר הבית, גניבה וגרימת נזק רב, כשמנגד היקף הגניבה לא צוין ולכן אניח שהוא ברף נמוך, </w:t>
      </w:r>
      <w:r>
        <w:rPr>
          <w:rFonts w:ascii="David" w:eastAsia="Times New Roman" w:hAnsi="David" w:cs="David"/>
          <w:b/>
          <w:bCs/>
          <w:sz w:val="24"/>
          <w:szCs w:val="24"/>
          <w:rtl/>
        </w:rPr>
        <w:t>מתחם העונש ההולם נע בין 6 חודשים שיכול שירוצו בעבודות שירות ל- 18 חודשי מאסר בפועל</w:t>
      </w:r>
      <w:r>
        <w:rPr>
          <w:rFonts w:ascii="David" w:eastAsia="Times New Roman" w:hAnsi="David" w:cs="David"/>
          <w:sz w:val="24"/>
          <w:szCs w:val="24"/>
          <w:rtl/>
        </w:rPr>
        <w:t xml:space="preserve">.  </w:t>
      </w:r>
    </w:p>
    <w:p w14:paraId="50411C20" w14:textId="77777777" w:rsidR="008D0926" w:rsidRDefault="008D0926" w:rsidP="008D0926">
      <w:pPr>
        <w:pStyle w:val="a9"/>
        <w:spacing w:after="0" w:line="360" w:lineRule="auto"/>
        <w:jc w:val="both"/>
        <w:rPr>
          <w:rFonts w:ascii="David" w:eastAsia="Times New Roman" w:hAnsi="David" w:cs="David"/>
          <w:sz w:val="24"/>
          <w:szCs w:val="24"/>
        </w:rPr>
      </w:pPr>
    </w:p>
    <w:p w14:paraId="6CE0C579" w14:textId="77777777" w:rsidR="008D0926" w:rsidRDefault="008D0926" w:rsidP="008D0926">
      <w:pPr>
        <w:pStyle w:val="a9"/>
        <w:numPr>
          <w:ilvl w:val="0"/>
          <w:numId w:val="1"/>
        </w:numPr>
        <w:spacing w:after="0" w:line="360" w:lineRule="auto"/>
        <w:jc w:val="both"/>
        <w:rPr>
          <w:rFonts w:ascii="David" w:eastAsia="Times New Roman" w:hAnsi="David" w:cs="David"/>
          <w:sz w:val="24"/>
          <w:szCs w:val="24"/>
        </w:rPr>
      </w:pPr>
      <w:r>
        <w:rPr>
          <w:rFonts w:ascii="David" w:eastAsia="Times New Roman" w:hAnsi="David" w:cs="David"/>
          <w:sz w:val="24"/>
          <w:szCs w:val="24"/>
          <w:rtl/>
        </w:rPr>
        <w:t xml:space="preserve">הענישה </w:t>
      </w:r>
      <w:r>
        <w:rPr>
          <w:rFonts w:ascii="David" w:eastAsia="Times New Roman" w:hAnsi="David" w:cs="David"/>
          <w:b/>
          <w:bCs/>
          <w:sz w:val="24"/>
          <w:szCs w:val="24"/>
          <w:rtl/>
        </w:rPr>
        <w:t>בעבירות תקיפה לשם גניבה מגוונת</w:t>
      </w:r>
      <w:r>
        <w:rPr>
          <w:rFonts w:ascii="David" w:eastAsia="Times New Roman" w:hAnsi="David" w:cs="David"/>
          <w:sz w:val="24"/>
          <w:szCs w:val="24"/>
          <w:rtl/>
        </w:rPr>
        <w:t xml:space="preserve">, כשבמקרים הקלים מוטלים עונשי מאסר על תנאי, ובמקרים החמורים מאסרים בפועל, ראו הפסיקה כדלקמן: </w:t>
      </w:r>
    </w:p>
    <w:p w14:paraId="0604A899" w14:textId="77777777" w:rsidR="008D0926" w:rsidRDefault="008D0926" w:rsidP="008D0926">
      <w:pPr>
        <w:pStyle w:val="a9"/>
        <w:rPr>
          <w:rFonts w:ascii="David" w:eastAsia="Times New Roman" w:hAnsi="David" w:cs="David"/>
          <w:sz w:val="24"/>
          <w:szCs w:val="24"/>
        </w:rPr>
      </w:pPr>
    </w:p>
    <w:p w14:paraId="7BC4AFF3" w14:textId="77777777" w:rsidR="008D0926" w:rsidRDefault="008D0926" w:rsidP="008D0926">
      <w:pPr>
        <w:pStyle w:val="a9"/>
        <w:numPr>
          <w:ilvl w:val="0"/>
          <w:numId w:val="3"/>
        </w:numPr>
        <w:spacing w:after="0" w:line="360" w:lineRule="auto"/>
        <w:jc w:val="both"/>
        <w:rPr>
          <w:rFonts w:ascii="David" w:eastAsia="Times New Roman" w:hAnsi="David" w:cs="David"/>
          <w:sz w:val="24"/>
          <w:szCs w:val="24"/>
          <w:rtl/>
        </w:rPr>
      </w:pPr>
      <w:r>
        <w:rPr>
          <w:rFonts w:ascii="David" w:eastAsia="Times New Roman" w:hAnsi="David" w:cs="David"/>
          <w:sz w:val="24"/>
          <w:szCs w:val="24"/>
          <w:rtl/>
        </w:rPr>
        <w:t xml:space="preserve">בעפ"ג (מרכז-לוד) </w:t>
      </w:r>
      <w:hyperlink r:id="rId41" w:history="1">
        <w:r w:rsidR="003163B9" w:rsidRPr="003163B9">
          <w:rPr>
            <w:rFonts w:ascii="David" w:eastAsia="Times New Roman" w:hAnsi="David" w:cs="David"/>
            <w:color w:val="0000FF"/>
            <w:sz w:val="24"/>
            <w:szCs w:val="24"/>
            <w:u w:val="single"/>
            <w:rtl/>
          </w:rPr>
          <w:t xml:space="preserve">38524-11-17 </w:t>
        </w:r>
      </w:hyperlink>
      <w:r>
        <w:rPr>
          <w:rFonts w:ascii="David" w:eastAsia="Times New Roman" w:hAnsi="David" w:cs="David"/>
          <w:sz w:val="24"/>
          <w:szCs w:val="24"/>
          <w:rtl/>
        </w:rPr>
        <w:t xml:space="preserve"> </w:t>
      </w:r>
      <w:r>
        <w:rPr>
          <w:rFonts w:ascii="David" w:eastAsia="Times New Roman" w:hAnsi="David" w:cs="David"/>
          <w:b/>
          <w:bCs/>
          <w:sz w:val="24"/>
          <w:szCs w:val="24"/>
        </w:rPr>
        <w:t>MULUGETA</w:t>
      </w:r>
      <w:r>
        <w:rPr>
          <w:rFonts w:ascii="David" w:eastAsia="Times New Roman" w:hAnsi="David" w:cs="David"/>
          <w:b/>
          <w:bCs/>
          <w:sz w:val="24"/>
          <w:szCs w:val="24"/>
          <w:rtl/>
        </w:rPr>
        <w:t xml:space="preserve"> נ' מדינת ישראל</w:t>
      </w:r>
      <w:r>
        <w:rPr>
          <w:rFonts w:ascii="David" w:eastAsia="Times New Roman" w:hAnsi="David" w:cs="David"/>
          <w:sz w:val="24"/>
          <w:szCs w:val="24"/>
          <w:rtl/>
        </w:rPr>
        <w:t xml:space="preserve"> (20.3.2018) (פסיקה שהגישה המאשימה), נדחה ערעור שהגיש נאשם שהורשע על פי הודאתו בעבירה של תקיפה בכדי לגנוב בכך שבשעת לילה בעת שהיה שיכור הבחין במתלוננת, תפס בצווארה ומשך אותה ברחוב עד אשר שני עוברי אורח התערבו ודרשו מהנאשם לשחרר את המתלוננת ובתגובה הנאשם נטל את תיקה, גנב 150 ₪ נימלט וזרק אותו במקום סמוך. </w:t>
      </w:r>
      <w:r>
        <w:rPr>
          <w:rFonts w:ascii="David" w:eastAsia="Times New Roman" w:hAnsi="David" w:cs="David"/>
          <w:sz w:val="24"/>
          <w:szCs w:val="24"/>
          <w:u w:val="single"/>
          <w:rtl/>
        </w:rPr>
        <w:t>נקבע מתחם עונש שנע בין 9 ל-24 חודשי מאסר</w:t>
      </w:r>
      <w:r>
        <w:rPr>
          <w:rFonts w:ascii="David" w:eastAsia="Times New Roman" w:hAnsi="David" w:cs="David"/>
          <w:sz w:val="24"/>
          <w:szCs w:val="24"/>
          <w:rtl/>
        </w:rPr>
        <w:t xml:space="preserve">, ונגזרו על הנאשם 9 חודשי מאסר וענישה נלוות תוך התחשבות בתסקיר חיובי, העדר עבר פלילי, הודאה וחרטה. בית המשפט המחוזי קבע כי העונש ראוי, אף אם ייתכן שנפלה טעות בקביעת המתחם. </w:t>
      </w:r>
    </w:p>
    <w:p w14:paraId="439EEA39" w14:textId="77777777" w:rsidR="008D0926" w:rsidRDefault="008D0926" w:rsidP="008D0926">
      <w:pPr>
        <w:pStyle w:val="a9"/>
        <w:spacing w:after="0" w:line="360" w:lineRule="auto"/>
        <w:ind w:left="1080"/>
        <w:jc w:val="both"/>
        <w:rPr>
          <w:rFonts w:ascii="David" w:eastAsia="Times New Roman" w:hAnsi="David" w:cs="David"/>
          <w:sz w:val="24"/>
          <w:szCs w:val="24"/>
        </w:rPr>
      </w:pPr>
    </w:p>
    <w:p w14:paraId="428C6ABE" w14:textId="77777777" w:rsidR="008D0926" w:rsidRDefault="008D0926" w:rsidP="008D0926">
      <w:pPr>
        <w:pStyle w:val="a9"/>
        <w:numPr>
          <w:ilvl w:val="0"/>
          <w:numId w:val="3"/>
        </w:numPr>
        <w:spacing w:after="0" w:line="360" w:lineRule="auto"/>
        <w:jc w:val="both"/>
        <w:rPr>
          <w:rFonts w:ascii="David" w:eastAsia="Times New Roman" w:hAnsi="David" w:cs="David"/>
          <w:sz w:val="24"/>
          <w:szCs w:val="24"/>
        </w:rPr>
      </w:pPr>
      <w:r>
        <w:rPr>
          <w:rFonts w:ascii="David" w:eastAsia="Times New Roman" w:hAnsi="David" w:cs="David"/>
          <w:sz w:val="24"/>
          <w:szCs w:val="24"/>
          <w:rtl/>
        </w:rPr>
        <w:t>ב</w:t>
      </w:r>
      <w:hyperlink r:id="rId42" w:history="1">
        <w:r w:rsidR="00DF05DC" w:rsidRPr="00DF05DC">
          <w:rPr>
            <w:rFonts w:ascii="David" w:eastAsia="Times New Roman" w:hAnsi="David" w:cs="David"/>
            <w:color w:val="0000FF"/>
            <w:sz w:val="24"/>
            <w:szCs w:val="24"/>
            <w:u w:val="single"/>
            <w:rtl/>
          </w:rPr>
          <w:t>עפ"ג (חיפה) 27596-06-15</w:t>
        </w:r>
      </w:hyperlink>
      <w:r>
        <w:rPr>
          <w:rFonts w:ascii="David" w:eastAsia="Times New Roman" w:hAnsi="David" w:cs="David"/>
          <w:sz w:val="24"/>
          <w:szCs w:val="24"/>
          <w:rtl/>
        </w:rPr>
        <w:t xml:space="preserve"> </w:t>
      </w:r>
      <w:r>
        <w:rPr>
          <w:rFonts w:ascii="David" w:eastAsia="Times New Roman" w:hAnsi="David" w:cs="David"/>
          <w:b/>
          <w:bCs/>
          <w:sz w:val="24"/>
          <w:szCs w:val="24"/>
          <w:rtl/>
        </w:rPr>
        <w:t xml:space="preserve">שלמיאב נ' מדינת ישראל </w:t>
      </w:r>
      <w:r>
        <w:rPr>
          <w:rFonts w:ascii="David" w:eastAsia="Times New Roman" w:hAnsi="David" w:cs="David"/>
          <w:sz w:val="24"/>
          <w:szCs w:val="24"/>
          <w:rtl/>
        </w:rPr>
        <w:t xml:space="preserve">(24.9.2015), הורשע נאשם לפי הודאתו בעבירות של שיבוש בצוותא, היזק לרכוש במזיד בצוותא, תקיפה כדי לגנוב בצוותא, גניבה בצוותא ונהיגה בזמן פסילה, ללא רישיון וללא ביטוח בכך שהנאשם ואחר משכו בחוזקה את תיקה של המתלוננת עד שנקרע, גנבו את התיק ונסעו מהמקום באופנוע של הנאשם כשלוחית זיהוי שלו הוסתרה. בית המשפט השלום קבע מתחם העונש ההולם שנע בין 8 ל-15 חודשי מאסר בפועל וגזר על הנאשם 9 חודשי מאסר. ערעור שהגיש הנאשם, נדחה וצוין שהעונש מקל יחסית. </w:t>
      </w:r>
    </w:p>
    <w:p w14:paraId="1FE7D34B" w14:textId="77777777" w:rsidR="008D0926" w:rsidRDefault="008D0926" w:rsidP="008D0926">
      <w:pPr>
        <w:pStyle w:val="a9"/>
        <w:rPr>
          <w:rFonts w:ascii="David" w:eastAsia="Times New Roman" w:hAnsi="David" w:cs="David"/>
          <w:sz w:val="24"/>
          <w:szCs w:val="24"/>
        </w:rPr>
      </w:pPr>
    </w:p>
    <w:p w14:paraId="1BA196AD" w14:textId="77777777" w:rsidR="008D0926" w:rsidRDefault="008D0926" w:rsidP="008D0926">
      <w:pPr>
        <w:pStyle w:val="a9"/>
        <w:numPr>
          <w:ilvl w:val="0"/>
          <w:numId w:val="1"/>
        </w:numPr>
        <w:spacing w:after="0" w:line="360" w:lineRule="auto"/>
        <w:jc w:val="both"/>
        <w:rPr>
          <w:rFonts w:ascii="David" w:eastAsia="Times New Roman" w:hAnsi="David" w:cs="David"/>
          <w:sz w:val="24"/>
          <w:szCs w:val="24"/>
          <w:rtl/>
        </w:rPr>
      </w:pPr>
      <w:r>
        <w:rPr>
          <w:rFonts w:ascii="David" w:eastAsia="Times New Roman" w:hAnsi="David" w:cs="David"/>
          <w:sz w:val="24"/>
          <w:szCs w:val="24"/>
          <w:rtl/>
        </w:rPr>
        <w:t xml:space="preserve">פסיקה מקלה בעבירות תקיפה לשם גניבה ניתן ללמוד מהפסיקה שהוגשה על ידי ההגנה: </w:t>
      </w:r>
      <w:hyperlink r:id="rId43" w:history="1">
        <w:r w:rsidR="00DF05DC" w:rsidRPr="00DF05DC">
          <w:rPr>
            <w:rFonts w:ascii="David" w:eastAsia="Times New Roman" w:hAnsi="David" w:cs="David"/>
            <w:color w:val="0000FF"/>
            <w:sz w:val="24"/>
            <w:szCs w:val="24"/>
            <w:u w:val="single"/>
            <w:rtl/>
          </w:rPr>
          <w:t>ת"פ (רחובות) 35752-06-17</w:t>
        </w:r>
      </w:hyperlink>
      <w:r>
        <w:rPr>
          <w:rFonts w:ascii="David" w:eastAsia="Times New Roman" w:hAnsi="David" w:cs="David"/>
          <w:sz w:val="24"/>
          <w:szCs w:val="24"/>
          <w:rtl/>
        </w:rPr>
        <w:t xml:space="preserve"> </w:t>
      </w:r>
      <w:r>
        <w:rPr>
          <w:rFonts w:ascii="David" w:eastAsia="Times New Roman" w:hAnsi="David" w:cs="David"/>
          <w:b/>
          <w:bCs/>
          <w:sz w:val="24"/>
          <w:szCs w:val="24"/>
          <w:rtl/>
        </w:rPr>
        <w:t>מדינת ישראל נ' קושנר</w:t>
      </w:r>
      <w:r>
        <w:rPr>
          <w:rFonts w:ascii="David" w:eastAsia="Times New Roman" w:hAnsi="David" w:cs="David"/>
          <w:sz w:val="24"/>
          <w:szCs w:val="24"/>
          <w:rtl/>
        </w:rPr>
        <w:t xml:space="preserve"> (6.3.2019) – נגזרו 4 חודשי עבודות שירות לנאשם שהורשע בשני מקרים של תקיפה וגניבה, בכך שחטף מנשים מכישר נייד ותיק ועבר הליך טיפולי שיקומי מוצלח וארוך; </w:t>
      </w:r>
      <w:hyperlink r:id="rId44" w:history="1">
        <w:r w:rsidR="00DF05DC" w:rsidRPr="00DF05DC">
          <w:rPr>
            <w:rFonts w:ascii="David" w:eastAsia="Times New Roman" w:hAnsi="David" w:cs="David"/>
            <w:color w:val="0000FF"/>
            <w:sz w:val="24"/>
            <w:szCs w:val="24"/>
            <w:u w:val="single"/>
            <w:rtl/>
          </w:rPr>
          <w:t>ת"פ (רמלה) 57694-09-16</w:t>
        </w:r>
      </w:hyperlink>
      <w:r>
        <w:rPr>
          <w:rFonts w:ascii="David" w:eastAsia="Times New Roman" w:hAnsi="David" w:cs="David"/>
          <w:sz w:val="24"/>
          <w:szCs w:val="24"/>
          <w:rtl/>
        </w:rPr>
        <w:t xml:space="preserve"> </w:t>
      </w:r>
      <w:r>
        <w:rPr>
          <w:rFonts w:ascii="David" w:eastAsia="Times New Roman" w:hAnsi="David" w:cs="David"/>
          <w:b/>
          <w:bCs/>
          <w:sz w:val="24"/>
          <w:szCs w:val="24"/>
          <w:rtl/>
        </w:rPr>
        <w:t>תביעות – שלוחת רמלה נ' אהוודי</w:t>
      </w:r>
      <w:r>
        <w:rPr>
          <w:rFonts w:ascii="David" w:eastAsia="Times New Roman" w:hAnsi="David" w:cs="David"/>
          <w:sz w:val="24"/>
          <w:szCs w:val="24"/>
          <w:rtl/>
        </w:rPr>
        <w:t xml:space="preserve"> (28.2.2017) – נגזרו 5 חודשי עבודות שירות למי שחטף את תיקה של המתלוננת וגנב אותו; </w:t>
      </w:r>
      <w:hyperlink r:id="rId45" w:history="1">
        <w:r w:rsidR="00DF05DC" w:rsidRPr="00DF05DC">
          <w:rPr>
            <w:rFonts w:ascii="David" w:eastAsia="Times New Roman" w:hAnsi="David" w:cs="David"/>
            <w:color w:val="0000FF"/>
            <w:sz w:val="24"/>
            <w:szCs w:val="24"/>
            <w:u w:val="single"/>
            <w:rtl/>
          </w:rPr>
          <w:t>ת"פ (נתניה) 60399-05-13</w:t>
        </w:r>
      </w:hyperlink>
      <w:r>
        <w:rPr>
          <w:rFonts w:ascii="David" w:eastAsia="Times New Roman" w:hAnsi="David" w:cs="David"/>
          <w:sz w:val="24"/>
          <w:szCs w:val="24"/>
          <w:rtl/>
        </w:rPr>
        <w:t xml:space="preserve"> </w:t>
      </w:r>
      <w:r>
        <w:rPr>
          <w:rFonts w:ascii="David" w:eastAsia="Times New Roman" w:hAnsi="David" w:cs="David"/>
          <w:b/>
          <w:bCs/>
          <w:sz w:val="24"/>
          <w:szCs w:val="24"/>
          <w:rtl/>
        </w:rPr>
        <w:t>מדינת ישראל נ' צגאי</w:t>
      </w:r>
      <w:r>
        <w:rPr>
          <w:rFonts w:ascii="David" w:eastAsia="Times New Roman" w:hAnsi="David" w:cs="David"/>
          <w:sz w:val="24"/>
          <w:szCs w:val="24"/>
          <w:rtl/>
        </w:rPr>
        <w:t xml:space="preserve"> (8.5.2014) – נגזרו 6 חודשי מאסר בעבודות שירות על נאשם שדחף אישה וגנב את הטלפון הנייד שלה; </w:t>
      </w:r>
      <w:hyperlink r:id="rId46" w:history="1">
        <w:r w:rsidR="00DF05DC" w:rsidRPr="00DF05DC">
          <w:rPr>
            <w:rFonts w:ascii="David" w:eastAsia="Times New Roman" w:hAnsi="David" w:cs="David"/>
            <w:color w:val="0000FF"/>
            <w:sz w:val="24"/>
            <w:szCs w:val="24"/>
            <w:u w:val="single"/>
            <w:rtl/>
          </w:rPr>
          <w:t>ת"פ (תל-אביב) 16641-01-19</w:t>
        </w:r>
      </w:hyperlink>
      <w:r>
        <w:rPr>
          <w:rFonts w:ascii="David" w:eastAsia="Times New Roman" w:hAnsi="David" w:cs="David"/>
          <w:sz w:val="24"/>
          <w:szCs w:val="24"/>
          <w:rtl/>
        </w:rPr>
        <w:t xml:space="preserve"> </w:t>
      </w:r>
      <w:r>
        <w:rPr>
          <w:rFonts w:ascii="David" w:eastAsia="Times New Roman" w:hAnsi="David" w:cs="David"/>
          <w:b/>
          <w:bCs/>
          <w:sz w:val="24"/>
          <w:szCs w:val="24"/>
          <w:rtl/>
        </w:rPr>
        <w:t>מדינת ישראל נ' ברחנה</w:t>
      </w:r>
      <w:r>
        <w:rPr>
          <w:rFonts w:ascii="David" w:eastAsia="Times New Roman" w:hAnsi="David" w:cs="David"/>
          <w:sz w:val="24"/>
          <w:szCs w:val="24"/>
          <w:rtl/>
        </w:rPr>
        <w:t xml:space="preserve"> (29.12.2022) – תקיפה לשם גניבה באלימות ברף בינוני ברחוב, וגניבת טלפון – בהימלטותו נפצע קשה מאוד כתוצאה מנפילה מגובה רב בהימלטותו – נדון ל- 5 חודשי עבודות שירות. </w:t>
      </w:r>
    </w:p>
    <w:p w14:paraId="211E27B1" w14:textId="77777777" w:rsidR="008D0926" w:rsidRDefault="008D0926" w:rsidP="008D0926">
      <w:pPr>
        <w:pStyle w:val="a9"/>
        <w:spacing w:after="0" w:line="240" w:lineRule="auto"/>
        <w:jc w:val="both"/>
        <w:rPr>
          <w:rFonts w:ascii="David" w:eastAsia="Times New Roman" w:hAnsi="David" w:cs="David"/>
          <w:sz w:val="24"/>
          <w:szCs w:val="24"/>
        </w:rPr>
      </w:pPr>
    </w:p>
    <w:p w14:paraId="1CE577A9" w14:textId="77777777" w:rsidR="008D0926" w:rsidRDefault="008D0926" w:rsidP="008D0926">
      <w:pPr>
        <w:pStyle w:val="a9"/>
        <w:numPr>
          <w:ilvl w:val="0"/>
          <w:numId w:val="1"/>
        </w:numPr>
        <w:spacing w:after="0" w:line="360" w:lineRule="auto"/>
        <w:jc w:val="both"/>
        <w:rPr>
          <w:rFonts w:ascii="David" w:eastAsia="Times New Roman" w:hAnsi="David" w:cs="David"/>
          <w:b/>
          <w:bCs/>
          <w:sz w:val="24"/>
          <w:szCs w:val="24"/>
        </w:rPr>
      </w:pPr>
      <w:r>
        <w:rPr>
          <w:rFonts w:ascii="David" w:eastAsia="Times New Roman" w:hAnsi="David" w:cs="David"/>
          <w:sz w:val="24"/>
          <w:szCs w:val="24"/>
          <w:rtl/>
        </w:rPr>
        <w:t xml:space="preserve">בחינת נסיבות מקרה התקיפה לשם גניבה בענייננו, מלמדת מחד על מקרה ספונטני במהלכו היה הקטין דומיננטי מהנאשם באלימות שהפגין נגד המתלונן. הנאשם תרם את תרומתו הרבה לחומרת האלימות בכך שתקף את המתלונן פעמיים בראשו, לרבות כשהיה שרוע על הארץ, ובגניבת האופניים. בשקלול הפסיקה הנוהגת מצאתי כי </w:t>
      </w:r>
      <w:r>
        <w:rPr>
          <w:rFonts w:ascii="David" w:eastAsia="Times New Roman" w:hAnsi="David" w:cs="David"/>
          <w:b/>
          <w:bCs/>
          <w:sz w:val="24"/>
          <w:szCs w:val="24"/>
          <w:rtl/>
        </w:rPr>
        <w:t>מתחם העונש ההולם נע בין מספר חודשים ועד 15 חודשי מאסר</w:t>
      </w:r>
      <w:r>
        <w:rPr>
          <w:rFonts w:ascii="David" w:eastAsia="Times New Roman" w:hAnsi="David" w:cs="David"/>
          <w:sz w:val="24"/>
          <w:szCs w:val="24"/>
          <w:rtl/>
        </w:rPr>
        <w:t>.</w:t>
      </w:r>
      <w:r>
        <w:rPr>
          <w:rFonts w:ascii="David" w:eastAsia="Times New Roman" w:hAnsi="David" w:cs="David"/>
          <w:b/>
          <w:bCs/>
          <w:sz w:val="24"/>
          <w:szCs w:val="24"/>
          <w:rtl/>
        </w:rPr>
        <w:t xml:space="preserve"> </w:t>
      </w:r>
    </w:p>
    <w:p w14:paraId="2A2C5760" w14:textId="77777777" w:rsidR="008D0926" w:rsidRDefault="008D0926" w:rsidP="008D0926">
      <w:pPr>
        <w:ind w:left="360"/>
        <w:jc w:val="both"/>
        <w:rPr>
          <w:rFonts w:ascii="David" w:hAnsi="David"/>
          <w:b/>
          <w:bCs/>
        </w:rPr>
      </w:pPr>
    </w:p>
    <w:p w14:paraId="0220D492" w14:textId="77777777" w:rsidR="008D0926" w:rsidRDefault="008D0926" w:rsidP="008D0926">
      <w:pPr>
        <w:numPr>
          <w:ilvl w:val="0"/>
          <w:numId w:val="1"/>
        </w:numPr>
        <w:spacing w:line="360" w:lineRule="auto"/>
        <w:contextualSpacing/>
        <w:jc w:val="both"/>
        <w:rPr>
          <w:rFonts w:ascii="David" w:hAnsi="David"/>
          <w:b/>
          <w:bCs/>
        </w:rPr>
      </w:pPr>
      <w:r>
        <w:rPr>
          <w:rFonts w:ascii="David" w:hAnsi="David"/>
          <w:rtl/>
        </w:rPr>
        <w:t xml:space="preserve">הענישה בתחום עבירות הסמים הקשים, אף בכמויות קטנות נסובה דרך כלל במאסרים בפועל, בשל פגיעתם הקשה של הסמים בבריאות הציבור והצורך בהרתעה. ואולם, בענייננו מדובר </w:t>
      </w:r>
      <w:r>
        <w:rPr>
          <w:rFonts w:ascii="David" w:hAnsi="David"/>
          <w:b/>
          <w:bCs/>
          <w:rtl/>
        </w:rPr>
        <w:t>בעסקה אחרת בחומר הנחזה לסם מסוג קוקאין במשקל נמוך של 0.23 ג'</w:t>
      </w:r>
      <w:r>
        <w:rPr>
          <w:rFonts w:ascii="David" w:hAnsi="David"/>
          <w:rtl/>
        </w:rPr>
        <w:t xml:space="preserve"> (שהוא פחות מהחזקה הקבועה בדין להחזקה שלא לצריכה עצמית), ואף לדעת המאשימה המתחם הוא המקל ביחס לכל העבירות בהן הורשע הנאשם. לפיכך בהיקש לקולה מענישה בעבירות סחר בקוקאין במשקלים גבוהים בהרבה, </w:t>
      </w:r>
      <w:r>
        <w:rPr>
          <w:rFonts w:ascii="David" w:hAnsi="David"/>
          <w:b/>
          <w:bCs/>
          <w:rtl/>
        </w:rPr>
        <w:t>מתחם העונש חל ממאסר קצר ביותר שיכול שירוצה בעבודות שירות ועד 8 חודשי מאסר בפועל.</w:t>
      </w:r>
      <w:r>
        <w:rPr>
          <w:rFonts w:ascii="David" w:hAnsi="David"/>
          <w:rtl/>
        </w:rPr>
        <w:t xml:space="preserve"> </w:t>
      </w:r>
    </w:p>
    <w:p w14:paraId="40879E96" w14:textId="77777777" w:rsidR="008D0926" w:rsidRDefault="008D0926" w:rsidP="008D0926">
      <w:pPr>
        <w:ind w:left="360"/>
        <w:contextualSpacing/>
        <w:jc w:val="both"/>
        <w:rPr>
          <w:rFonts w:ascii="David" w:hAnsi="David"/>
          <w:b/>
          <w:bCs/>
        </w:rPr>
      </w:pPr>
    </w:p>
    <w:p w14:paraId="2DDBA727" w14:textId="77777777" w:rsidR="008D0926" w:rsidRDefault="008D0926" w:rsidP="008D0926">
      <w:pPr>
        <w:pStyle w:val="aa"/>
        <w:numPr>
          <w:ilvl w:val="0"/>
          <w:numId w:val="4"/>
        </w:numPr>
        <w:bidi/>
        <w:spacing w:before="0" w:beforeAutospacing="0" w:after="0" w:afterAutospacing="0" w:line="360" w:lineRule="atLeast"/>
        <w:jc w:val="both"/>
        <w:rPr>
          <w:rFonts w:ascii="David" w:hAnsi="David" w:cs="David"/>
          <w:color w:val="000000"/>
        </w:rPr>
      </w:pPr>
      <w:r>
        <w:rPr>
          <w:rFonts w:ascii="David" w:hAnsi="David" w:cs="David"/>
          <w:color w:val="000000"/>
          <w:rtl/>
        </w:rPr>
        <w:t>ב</w:t>
      </w:r>
      <w:hyperlink r:id="rId47" w:history="1">
        <w:r w:rsidR="00DF05DC" w:rsidRPr="00DF05DC">
          <w:rPr>
            <w:rFonts w:ascii="David" w:hAnsi="David" w:cs="David"/>
            <w:color w:val="0000FF"/>
            <w:u w:val="single"/>
            <w:rtl/>
          </w:rPr>
          <w:t>רע"פ 65/15</w:t>
        </w:r>
      </w:hyperlink>
      <w:r>
        <w:rPr>
          <w:rFonts w:ascii="David" w:hAnsi="David" w:cs="David"/>
          <w:color w:val="000000"/>
          <w:rtl/>
        </w:rPr>
        <w:t xml:space="preserve"> </w:t>
      </w:r>
      <w:r>
        <w:rPr>
          <w:rFonts w:ascii="David" w:hAnsi="David" w:cs="David"/>
          <w:b/>
          <w:bCs/>
          <w:color w:val="000000"/>
          <w:rtl/>
        </w:rPr>
        <w:t>מסראווה נ' מדינת ישראל</w:t>
      </w:r>
      <w:r>
        <w:rPr>
          <w:rFonts w:ascii="David" w:hAnsi="David" w:cs="David"/>
          <w:color w:val="000000"/>
          <w:rtl/>
        </w:rPr>
        <w:t xml:space="preserve"> (13.1.2015), הורשע נאשם על פי הודאתו ב</w:t>
      </w:r>
      <w:r>
        <w:rPr>
          <w:rFonts w:ascii="David" w:hAnsi="David" w:cs="David"/>
          <w:color w:val="000000"/>
          <w:u w:val="single"/>
          <w:rtl/>
        </w:rPr>
        <w:t>שת</w:t>
      </w:r>
      <w:r>
        <w:rPr>
          <w:rFonts w:ascii="David" w:hAnsi="David" w:cs="David"/>
          <w:color w:val="000000"/>
          <w:rtl/>
        </w:rPr>
        <w:t xml:space="preserve">י </w:t>
      </w:r>
      <w:r>
        <w:rPr>
          <w:rFonts w:ascii="David" w:hAnsi="David" w:cs="David"/>
          <w:color w:val="000000"/>
          <w:u w:val="single"/>
          <w:rtl/>
        </w:rPr>
        <w:t xml:space="preserve">עבירות </w:t>
      </w:r>
      <w:r>
        <w:rPr>
          <w:rFonts w:ascii="David" w:hAnsi="David" w:cs="David"/>
          <w:color w:val="000000"/>
          <w:rtl/>
        </w:rPr>
        <w:t>סחר בקוקאין בתמורה ל- 200 ₪ בכל הזדמנות. בית משפט השלום בתל-אביב קבע מתחם עונש הולם שנע בין</w:t>
      </w:r>
      <w:r>
        <w:rPr>
          <w:rFonts w:ascii="David" w:hAnsi="David" w:cs="David"/>
          <w:color w:val="000000"/>
          <w:u w:val="single"/>
          <w:rtl/>
        </w:rPr>
        <w:t xml:space="preserve"> 6 חודשי מאסר ועד 18 חודשים</w:t>
      </w:r>
      <w:r>
        <w:rPr>
          <w:rFonts w:ascii="David" w:hAnsi="David" w:cs="David"/>
          <w:color w:val="000000"/>
          <w:rtl/>
        </w:rPr>
        <w:t xml:space="preserve">, ונגזרו עליו 6 חודשי מאסר בעבודות שירות, לאחר שנלקחו בחשבון 3 חודשי מעצר; הליך טיפולי של גמילה מסמים שעבר; השתלבותו בעבודה קבועה, והיותו נשוי ואב ל- 6 ילדים, שאחד מהם עבר תאונת דרכים. ערעור ובקשת רשות ערעור שהגיש הנאשם נדחו. </w:t>
      </w:r>
    </w:p>
    <w:p w14:paraId="5EA858A9" w14:textId="77777777" w:rsidR="008D0926" w:rsidRDefault="008D0926" w:rsidP="008D0926">
      <w:pPr>
        <w:pStyle w:val="aa"/>
        <w:bidi/>
        <w:spacing w:before="0" w:beforeAutospacing="0" w:after="0" w:afterAutospacing="0"/>
        <w:ind w:left="720"/>
        <w:jc w:val="both"/>
        <w:rPr>
          <w:rFonts w:ascii="David" w:hAnsi="David" w:cs="David"/>
        </w:rPr>
      </w:pPr>
    </w:p>
    <w:p w14:paraId="7B5E2EE5" w14:textId="77777777" w:rsidR="008D0926" w:rsidRDefault="008D0926" w:rsidP="008D0926">
      <w:pPr>
        <w:pStyle w:val="aa"/>
        <w:numPr>
          <w:ilvl w:val="0"/>
          <w:numId w:val="4"/>
        </w:numPr>
        <w:bidi/>
        <w:spacing w:before="0" w:beforeAutospacing="0" w:after="0" w:afterAutospacing="0" w:line="360" w:lineRule="atLeast"/>
        <w:jc w:val="both"/>
        <w:rPr>
          <w:rFonts w:ascii="David" w:hAnsi="David" w:cs="David"/>
        </w:rPr>
      </w:pPr>
      <w:r>
        <w:rPr>
          <w:rFonts w:ascii="David" w:hAnsi="David" w:cs="David"/>
          <w:color w:val="000000"/>
          <w:rtl/>
        </w:rPr>
        <w:t>ב</w:t>
      </w:r>
      <w:hyperlink r:id="rId48" w:history="1">
        <w:r w:rsidR="00DF05DC" w:rsidRPr="00DF05DC">
          <w:rPr>
            <w:rFonts w:ascii="David" w:hAnsi="David" w:cs="David"/>
            <w:color w:val="0000FF"/>
            <w:u w:val="single"/>
            <w:rtl/>
          </w:rPr>
          <w:t>רע"פ 7681/13</w:t>
        </w:r>
      </w:hyperlink>
      <w:r>
        <w:rPr>
          <w:rFonts w:ascii="David" w:hAnsi="David" w:cs="David"/>
          <w:color w:val="000000"/>
          <w:rtl/>
        </w:rPr>
        <w:t xml:space="preserve"> </w:t>
      </w:r>
      <w:r>
        <w:rPr>
          <w:rFonts w:ascii="David" w:hAnsi="David" w:cs="David"/>
          <w:b/>
          <w:bCs/>
          <w:color w:val="000000"/>
          <w:rtl/>
        </w:rPr>
        <w:t>דקה נ' מדינת ישראל</w:t>
      </w:r>
      <w:r>
        <w:rPr>
          <w:rFonts w:ascii="David" w:hAnsi="David" w:cs="David"/>
          <w:color w:val="000000"/>
          <w:rtl/>
        </w:rPr>
        <w:t xml:space="preserve"> (21.1.2014), נדון נאשם על פי הודאתו בסחר בסם מסוג הרואין </w:t>
      </w:r>
      <w:r>
        <w:rPr>
          <w:rFonts w:ascii="David" w:hAnsi="David" w:cs="David"/>
          <w:color w:val="000000"/>
          <w:u w:val="single"/>
          <w:rtl/>
        </w:rPr>
        <w:t>בשתי הזדמנויות</w:t>
      </w:r>
      <w:r>
        <w:rPr>
          <w:rFonts w:ascii="David" w:hAnsi="David" w:cs="David"/>
          <w:color w:val="000000"/>
          <w:rtl/>
        </w:rPr>
        <w:t xml:space="preserve">, במשקל כולל של כ- 3 גרם, בתמורה ל- 200 ₪ בכל מכירה. בית משפט השלום בתל-אביב קבע מתחם לכל אישום שנע בין </w:t>
      </w:r>
      <w:r>
        <w:rPr>
          <w:rFonts w:ascii="David" w:hAnsi="David" w:cs="David"/>
          <w:color w:val="000000"/>
          <w:u w:val="single"/>
          <w:rtl/>
        </w:rPr>
        <w:t>6 חודשי מאסר ועד 12 חודשים</w:t>
      </w:r>
      <w:r>
        <w:rPr>
          <w:rFonts w:ascii="David" w:hAnsi="David" w:cs="David"/>
          <w:color w:val="000000"/>
          <w:rtl/>
        </w:rPr>
        <w:t xml:space="preserve">, וגזר על הנאשם 10 חודשי מאסר בפועל, בהתחשב בעבר פלילי רלוונטי אך ישן מאוד, והליך גמילה פרטי שעבר בהצלחה. ערעור ובקשת רשות ערעור שהגיש הנאשם על חומרת העונש נדחו. </w:t>
      </w:r>
    </w:p>
    <w:p w14:paraId="673A0FC9" w14:textId="77777777" w:rsidR="008D0926" w:rsidRDefault="008D0926" w:rsidP="008D0926">
      <w:pPr>
        <w:ind w:left="720"/>
        <w:contextualSpacing/>
        <w:jc w:val="both"/>
        <w:rPr>
          <w:rFonts w:ascii="David" w:hAnsi="David"/>
          <w:rtl/>
        </w:rPr>
      </w:pPr>
    </w:p>
    <w:p w14:paraId="397C70F4" w14:textId="77777777" w:rsidR="008D0926" w:rsidRDefault="008D0926" w:rsidP="008D0926">
      <w:pPr>
        <w:contextualSpacing/>
        <w:jc w:val="both"/>
        <w:rPr>
          <w:rFonts w:ascii="David" w:hAnsi="David"/>
        </w:rPr>
      </w:pPr>
    </w:p>
    <w:p w14:paraId="76061FCC" w14:textId="77777777" w:rsidR="008D0926" w:rsidRDefault="008D0926" w:rsidP="008D0926">
      <w:pPr>
        <w:numPr>
          <w:ilvl w:val="0"/>
          <w:numId w:val="1"/>
        </w:numPr>
        <w:spacing w:line="360" w:lineRule="auto"/>
        <w:jc w:val="both"/>
        <w:rPr>
          <w:rFonts w:ascii="David" w:hAnsi="David"/>
          <w:b/>
          <w:bCs/>
        </w:rPr>
      </w:pPr>
      <w:r>
        <w:rPr>
          <w:rFonts w:ascii="David" w:hAnsi="David"/>
          <w:rtl/>
        </w:rPr>
        <w:t>כאן המקום לומר ש</w:t>
      </w:r>
      <w:r>
        <w:rPr>
          <w:rtl/>
        </w:rPr>
        <w:t xml:space="preserve">הגם שנקבעו מתחמי ענישה שונים בגין אירועים נפרדים, אין משמעות הדבר היא שגזירת העונש תעשה על דרך של "סכימה אריתמטית" של הענישה בכל מקרה, שכן אז עלולה התוצאה להיות בלתי מידתית וחמורה יתר על המידה. לפיכך גזירת העונש הנכון לנאשם יעשה  </w:t>
      </w:r>
      <w:r>
        <w:rPr>
          <w:b/>
          <w:bCs/>
          <w:rtl/>
        </w:rPr>
        <w:t>"בראי התמונה הכוללת של מעשיו"</w:t>
      </w:r>
      <w:r>
        <w:rPr>
          <w:rtl/>
        </w:rPr>
        <w:t>, בשילוב עם נסיבותיו האישיות (</w:t>
      </w:r>
      <w:hyperlink r:id="rId49" w:history="1">
        <w:r w:rsidR="00DF05DC" w:rsidRPr="00DF05DC">
          <w:rPr>
            <w:color w:val="0000FF"/>
            <w:u w:val="single"/>
            <w:rtl/>
          </w:rPr>
          <w:t>ע"פ 4603/17</w:t>
        </w:r>
      </w:hyperlink>
      <w:r>
        <w:rPr>
          <w:rtl/>
        </w:rPr>
        <w:t xml:space="preserve"> </w:t>
      </w:r>
      <w:r>
        <w:rPr>
          <w:b/>
          <w:bCs/>
          <w:rtl/>
        </w:rPr>
        <w:t xml:space="preserve">אדרי ואח' נ' מדינת ישראל </w:t>
      </w:r>
      <w:r>
        <w:rPr>
          <w:rtl/>
        </w:rPr>
        <w:t xml:space="preserve">(6.7.2019)). </w:t>
      </w:r>
    </w:p>
    <w:p w14:paraId="63FEC92C" w14:textId="77777777" w:rsidR="008D0926" w:rsidRPr="008D0926" w:rsidRDefault="008D0926" w:rsidP="008D0926">
      <w:pPr>
        <w:spacing w:line="480" w:lineRule="auto"/>
        <w:ind w:left="357"/>
        <w:jc w:val="both"/>
        <w:rPr>
          <w:rFonts w:ascii="David" w:eastAsia="Calibri" w:hAnsi="David"/>
        </w:rPr>
      </w:pPr>
    </w:p>
    <w:p w14:paraId="407884C3" w14:textId="77777777" w:rsidR="008D0926" w:rsidRDefault="008D0926" w:rsidP="008D0926">
      <w:pPr>
        <w:spacing w:line="480" w:lineRule="auto"/>
        <w:ind w:left="357"/>
        <w:jc w:val="both"/>
        <w:rPr>
          <w:rFonts w:ascii="David" w:hAnsi="David"/>
          <w:u w:val="single"/>
          <w:rtl/>
        </w:rPr>
      </w:pPr>
      <w:r>
        <w:rPr>
          <w:rFonts w:ascii="David" w:hAnsi="David"/>
          <w:u w:val="single"/>
          <w:rtl/>
        </w:rPr>
        <w:t xml:space="preserve">גזירת העונש בתוך המתחם </w:t>
      </w:r>
    </w:p>
    <w:p w14:paraId="6A89F644" w14:textId="77777777" w:rsidR="008D0926" w:rsidRDefault="008D0926" w:rsidP="008D0926">
      <w:pPr>
        <w:pStyle w:val="a9"/>
        <w:numPr>
          <w:ilvl w:val="0"/>
          <w:numId w:val="1"/>
        </w:numPr>
        <w:spacing w:after="0" w:line="360" w:lineRule="auto"/>
        <w:ind w:left="714" w:hanging="357"/>
        <w:jc w:val="both"/>
        <w:rPr>
          <w:rFonts w:ascii="David" w:hAnsi="David" w:cs="David"/>
          <w:sz w:val="24"/>
          <w:szCs w:val="24"/>
        </w:rPr>
      </w:pPr>
      <w:r>
        <w:rPr>
          <w:rFonts w:ascii="David" w:hAnsi="David" w:cs="David"/>
          <w:sz w:val="24"/>
          <w:szCs w:val="24"/>
          <w:rtl/>
        </w:rPr>
        <w:t xml:space="preserve">הנאשם בן 22 הודה בכל המיוחס לו, ובכך נטל אחריות על מעשיו והביע צער וחרטה עליהם. לדבריו, הוא מעוניין לשקם את חייו, לשם כך עזב את העיר רמלה שם היה מעורב בחיי עבריינות כבר בהיותו קטין, והוא מתגורר עתה עם </w:t>
      </w:r>
      <w:r>
        <w:rPr>
          <w:rFonts w:ascii="David" w:hAnsi="David" w:cs="David" w:hint="cs"/>
          <w:sz w:val="24"/>
          <w:szCs w:val="24"/>
          <w:rtl/>
        </w:rPr>
        <w:t xml:space="preserve">משפחת </w:t>
      </w:r>
      <w:r>
        <w:rPr>
          <w:rFonts w:ascii="David" w:hAnsi="David" w:cs="David"/>
          <w:sz w:val="24"/>
          <w:szCs w:val="24"/>
          <w:rtl/>
        </w:rPr>
        <w:t xml:space="preserve">ארוסתו בחיפה, כשבכוונתו להינשא לה – כל זאת אזקוף לזכותו. </w:t>
      </w:r>
    </w:p>
    <w:p w14:paraId="49B98F34" w14:textId="77777777" w:rsidR="008D0926" w:rsidRDefault="008D0926" w:rsidP="008D0926">
      <w:pPr>
        <w:pStyle w:val="a9"/>
        <w:spacing w:after="0" w:line="240" w:lineRule="auto"/>
        <w:ind w:left="714"/>
        <w:jc w:val="both"/>
        <w:rPr>
          <w:rFonts w:ascii="David" w:hAnsi="David" w:cs="David"/>
          <w:sz w:val="24"/>
          <w:szCs w:val="24"/>
        </w:rPr>
      </w:pPr>
    </w:p>
    <w:p w14:paraId="6EB7AB6F" w14:textId="77777777" w:rsidR="008D0926" w:rsidRDefault="008D0926" w:rsidP="008D0926">
      <w:pPr>
        <w:pStyle w:val="a9"/>
        <w:numPr>
          <w:ilvl w:val="0"/>
          <w:numId w:val="1"/>
        </w:numPr>
        <w:spacing w:after="0" w:line="360" w:lineRule="auto"/>
        <w:ind w:left="714" w:hanging="357"/>
        <w:jc w:val="both"/>
        <w:rPr>
          <w:rFonts w:ascii="David" w:hAnsi="David" w:cs="David"/>
          <w:sz w:val="24"/>
          <w:szCs w:val="24"/>
        </w:rPr>
      </w:pPr>
      <w:r>
        <w:rPr>
          <w:rFonts w:ascii="David" w:hAnsi="David" w:cs="David"/>
          <w:sz w:val="24"/>
          <w:szCs w:val="24"/>
          <w:rtl/>
        </w:rPr>
        <w:t xml:space="preserve">לנאשם ניתנו הזדמנויות להירתם להליך טיפולי שיקומי במסגרת בית המשפט הקהילתי, אך הוא החמיץ הזדמנות פז זו משלא שיתף פעולה עם ההליך כיאות ונפלט ממנו. </w:t>
      </w:r>
    </w:p>
    <w:p w14:paraId="1738B098" w14:textId="77777777" w:rsidR="008D0926" w:rsidRDefault="008D0926" w:rsidP="008D0926">
      <w:pPr>
        <w:pStyle w:val="a9"/>
        <w:spacing w:after="0" w:line="240" w:lineRule="auto"/>
        <w:ind w:left="714"/>
        <w:jc w:val="both"/>
        <w:rPr>
          <w:rFonts w:ascii="David" w:hAnsi="David" w:cs="David"/>
          <w:sz w:val="24"/>
          <w:szCs w:val="24"/>
        </w:rPr>
      </w:pPr>
    </w:p>
    <w:p w14:paraId="74DB8704" w14:textId="77777777" w:rsidR="008D0926" w:rsidRDefault="008D0926" w:rsidP="008D0926">
      <w:pPr>
        <w:pStyle w:val="a9"/>
        <w:numPr>
          <w:ilvl w:val="0"/>
          <w:numId w:val="1"/>
        </w:numPr>
        <w:spacing w:after="0" w:line="360" w:lineRule="auto"/>
        <w:jc w:val="both"/>
        <w:rPr>
          <w:rFonts w:ascii="David" w:hAnsi="David" w:cs="David"/>
          <w:sz w:val="24"/>
          <w:szCs w:val="24"/>
        </w:rPr>
      </w:pPr>
      <w:r>
        <w:rPr>
          <w:rFonts w:ascii="David" w:hAnsi="David" w:cs="David"/>
          <w:sz w:val="24"/>
          <w:szCs w:val="24"/>
          <w:rtl/>
        </w:rPr>
        <w:t xml:space="preserve">מנגד, התסקיר הצביע על נסיבות חייו הקשות של הנאשם שגדל במשפחה מרובת ילדים,  שהתמודדה עם קשיים כלכליים, הוצאה למסגרות חוץ ביתיות, אביו נפטר ממחלת הסרטן בהיות הנאשם בן 16, והוא הסתבך בפלילים מגיל קטינות, התחבר לגורמים עבריינים וצרך סמים, והוא נעדר תמיכה משפחתית.  </w:t>
      </w:r>
    </w:p>
    <w:p w14:paraId="24D78F74" w14:textId="77777777" w:rsidR="008D0926" w:rsidRDefault="008D0926" w:rsidP="008D0926">
      <w:pPr>
        <w:pStyle w:val="a9"/>
        <w:spacing w:after="0" w:line="240" w:lineRule="auto"/>
        <w:jc w:val="both"/>
        <w:rPr>
          <w:rFonts w:ascii="David" w:hAnsi="David" w:cs="David"/>
          <w:sz w:val="24"/>
          <w:szCs w:val="24"/>
        </w:rPr>
      </w:pPr>
    </w:p>
    <w:p w14:paraId="7CA7174D" w14:textId="77777777" w:rsidR="008D0926" w:rsidRDefault="008D0926" w:rsidP="008D0926">
      <w:pPr>
        <w:pStyle w:val="a9"/>
        <w:numPr>
          <w:ilvl w:val="0"/>
          <w:numId w:val="1"/>
        </w:numPr>
        <w:spacing w:after="0" w:line="360" w:lineRule="auto"/>
        <w:jc w:val="both"/>
        <w:rPr>
          <w:rFonts w:ascii="David" w:hAnsi="David" w:cs="David"/>
          <w:sz w:val="24"/>
          <w:szCs w:val="24"/>
        </w:rPr>
      </w:pPr>
      <w:r>
        <w:rPr>
          <w:rFonts w:ascii="David" w:hAnsi="David" w:cs="David"/>
          <w:sz w:val="24"/>
          <w:szCs w:val="24"/>
          <w:rtl/>
        </w:rPr>
        <w:t xml:space="preserve">גם כיום הנאשם בעל קושי בוויסות דחפים ניכר, כשמהתסקיר נלמד כי נטילת אחריותו חלקית והוא מייחס את מעשיו לגורמים חיצוניים, ואף שביטא מוטיבציה לעריכת שינוי חיובי בחייו צוין כי יכולתו להיתרם מטיפול מוגבלת, וקיים סיכון להישנות עבירות מצדו. </w:t>
      </w:r>
    </w:p>
    <w:p w14:paraId="3135CDB9" w14:textId="77777777" w:rsidR="008D0926" w:rsidRDefault="008D0926" w:rsidP="008D0926">
      <w:pPr>
        <w:pStyle w:val="a9"/>
        <w:spacing w:after="0" w:line="240" w:lineRule="auto"/>
        <w:jc w:val="both"/>
        <w:rPr>
          <w:rFonts w:ascii="David" w:hAnsi="David" w:cs="David"/>
          <w:sz w:val="24"/>
          <w:szCs w:val="24"/>
        </w:rPr>
      </w:pPr>
    </w:p>
    <w:p w14:paraId="782209A5" w14:textId="77777777" w:rsidR="008D0926" w:rsidRDefault="008D0926" w:rsidP="008D0926">
      <w:pPr>
        <w:pStyle w:val="a9"/>
        <w:numPr>
          <w:ilvl w:val="0"/>
          <w:numId w:val="1"/>
        </w:numPr>
        <w:spacing w:after="0" w:line="360" w:lineRule="auto"/>
        <w:jc w:val="both"/>
        <w:rPr>
          <w:rFonts w:ascii="David" w:hAnsi="David" w:cs="David"/>
          <w:sz w:val="24"/>
          <w:szCs w:val="24"/>
        </w:rPr>
      </w:pPr>
      <w:r>
        <w:rPr>
          <w:rFonts w:ascii="David" w:hAnsi="David" w:cs="David"/>
          <w:sz w:val="24"/>
          <w:szCs w:val="24"/>
          <w:rtl/>
        </w:rPr>
        <w:t xml:space="preserve">לנאשם עבר פלילי הכולל רישום ללא הרשעה, בהיותו קטין צעיר, בגין עבירה של יידוי אבנים לעבר מונית בה פגע, והתפרצות לבית מגורים בצוותא עם אחרים בשנת 2014, בגינה נדון לביצוע של"צ בהיקף 50 שעות, פיצוי והתחייבות להימנע מעבירה. </w:t>
      </w:r>
    </w:p>
    <w:p w14:paraId="4CD8FE2B" w14:textId="77777777" w:rsidR="008D0926" w:rsidRDefault="008D0926" w:rsidP="008D0926">
      <w:pPr>
        <w:pStyle w:val="a9"/>
        <w:spacing w:after="0" w:line="240" w:lineRule="auto"/>
        <w:jc w:val="both"/>
        <w:rPr>
          <w:rFonts w:ascii="David" w:hAnsi="David" w:cs="David"/>
          <w:sz w:val="24"/>
          <w:szCs w:val="24"/>
        </w:rPr>
      </w:pPr>
    </w:p>
    <w:p w14:paraId="3B9BA1F2" w14:textId="77777777" w:rsidR="008D0926" w:rsidRDefault="008D0926" w:rsidP="008D0926">
      <w:pPr>
        <w:pStyle w:val="a9"/>
        <w:numPr>
          <w:ilvl w:val="0"/>
          <w:numId w:val="1"/>
        </w:numPr>
        <w:spacing w:after="0" w:line="360" w:lineRule="auto"/>
        <w:jc w:val="both"/>
        <w:rPr>
          <w:rFonts w:ascii="David" w:hAnsi="David" w:cs="David"/>
          <w:sz w:val="24"/>
          <w:szCs w:val="24"/>
        </w:rPr>
      </w:pPr>
      <w:r>
        <w:rPr>
          <w:rFonts w:ascii="David" w:hAnsi="David" w:cs="David"/>
          <w:sz w:val="24"/>
          <w:szCs w:val="24"/>
          <w:rtl/>
        </w:rPr>
        <w:t>לכאורה, הצדק עם המאשימה כי עונשו של הנאשם בגין מעשיו החמורים ומתחמי הענישה שנקבעו, בשילוב הסיכון ממנו והעדר הליך טיפולי צריך להוביל לגזירת מאסר בפועל, אם כי לתקופה קצרה בהרבה מזו שלה עתרה. ואולם, אני סבורה שיש נימוקים שמטים את הכף לזכות הנאשם והביאוני להתלבטות. ראשית, מאז ביצוע העבירות חלפו בין שנתיים וחצי (בתיק התקיפה והסמים), ושנה וחצי (בתיק ההתפרצות), זמן ממושך שעה שמדובר בנאשם צעיר שאת העבירות ביצע בחלקן סמוך יחסית לגיל הקטינות. שנית, לנאשם מוטיבציה חיובית לשינוי אורח חייו, וראיה לכך היא התנקותו המוחלטת מאזור מגוריו, והמעבר לעיר חיפה שם הוא מתגורר עם משפחתה של ארוסתו.</w:t>
      </w:r>
    </w:p>
    <w:p w14:paraId="5CA09116" w14:textId="77777777" w:rsidR="008D0926" w:rsidRDefault="008D0926" w:rsidP="008D0926">
      <w:pPr>
        <w:pStyle w:val="a9"/>
        <w:spacing w:after="0" w:line="240" w:lineRule="auto"/>
        <w:jc w:val="both"/>
        <w:rPr>
          <w:rFonts w:ascii="David" w:hAnsi="David" w:cs="David"/>
          <w:sz w:val="24"/>
          <w:szCs w:val="24"/>
        </w:rPr>
      </w:pPr>
    </w:p>
    <w:p w14:paraId="16EAE079" w14:textId="77777777" w:rsidR="008D0926" w:rsidRDefault="008D0926" w:rsidP="008D0926">
      <w:pPr>
        <w:pStyle w:val="a9"/>
        <w:numPr>
          <w:ilvl w:val="0"/>
          <w:numId w:val="1"/>
        </w:numPr>
        <w:spacing w:after="0" w:line="360" w:lineRule="auto"/>
        <w:jc w:val="both"/>
        <w:rPr>
          <w:rFonts w:ascii="David" w:hAnsi="David" w:cs="David"/>
          <w:sz w:val="24"/>
          <w:szCs w:val="24"/>
        </w:rPr>
      </w:pPr>
      <w:r>
        <w:rPr>
          <w:rFonts w:ascii="David" w:hAnsi="David" w:cs="David"/>
          <w:sz w:val="24"/>
          <w:szCs w:val="24"/>
          <w:rtl/>
        </w:rPr>
        <w:t>אומנם, מצופה היה כי הנאשם יחבק בשתי ידיו את היד שהושטה לו לעזרה בהליך הפלילי</w:t>
      </w:r>
      <w:r>
        <w:rPr>
          <w:rFonts w:ascii="David" w:hAnsi="David" w:cs="David" w:hint="cs"/>
          <w:sz w:val="24"/>
          <w:szCs w:val="24"/>
          <w:rtl/>
        </w:rPr>
        <w:t>.</w:t>
      </w:r>
      <w:r>
        <w:rPr>
          <w:rFonts w:ascii="David" w:hAnsi="David" w:cs="David"/>
          <w:sz w:val="24"/>
          <w:szCs w:val="24"/>
          <w:rtl/>
        </w:rPr>
        <w:t xml:space="preserve"> הנאשם ויתר על הזדמנות משמעותית זו, וחבל, אך הוא לא צריך "להיענש" על כך. גם עתה, השאלה הגדולה הנשאלת – האם עונש מאסר בפועל מאחורי סורג ובריח הוא העונש ההולם לו, ואין בלתו. כאן הגעתי למסקנה כי השתת מאסר בפועל במכלול הנסיבות אינו הכרחי.</w:t>
      </w:r>
    </w:p>
    <w:p w14:paraId="4BB22F83" w14:textId="77777777" w:rsidR="008D0926" w:rsidRDefault="008D0926" w:rsidP="008D0926">
      <w:pPr>
        <w:pStyle w:val="a9"/>
        <w:spacing w:after="0" w:line="240" w:lineRule="auto"/>
        <w:jc w:val="both"/>
        <w:rPr>
          <w:rFonts w:ascii="David" w:hAnsi="David" w:cs="David"/>
          <w:sz w:val="24"/>
          <w:szCs w:val="24"/>
        </w:rPr>
      </w:pPr>
    </w:p>
    <w:p w14:paraId="0DD59F37" w14:textId="77777777" w:rsidR="008D0926" w:rsidRPr="0014406F" w:rsidRDefault="008D0926" w:rsidP="008D0926">
      <w:pPr>
        <w:pStyle w:val="a9"/>
        <w:numPr>
          <w:ilvl w:val="0"/>
          <w:numId w:val="1"/>
        </w:numPr>
        <w:spacing w:after="0" w:line="360" w:lineRule="auto"/>
        <w:jc w:val="both"/>
        <w:rPr>
          <w:rFonts w:ascii="David" w:hAnsi="David" w:cs="David"/>
          <w:sz w:val="24"/>
          <w:szCs w:val="24"/>
        </w:rPr>
      </w:pPr>
      <w:r w:rsidRPr="0014406F">
        <w:rPr>
          <w:rFonts w:ascii="David" w:hAnsi="David" w:cs="David"/>
          <w:sz w:val="24"/>
          <w:szCs w:val="24"/>
          <w:rtl/>
        </w:rPr>
        <w:t xml:space="preserve">לקחתי בחשבון את תקופת המעצר בה שהה הנאשם מאחורי סורג ובריח, שנראה כי הייתה קשה עבורו יותר מהרגיל, והוא חרד ממש – מפני ריצוי מאסר בפועל לראשונה בחייו. כן נתתי דעתי לכך שהנאשם שהה במעצר באיזוק אלקטרוני תקופה ממושכת – כעולה מטיעוני הסניגור. בסופו של דבר התרשמתי כי הטלת עונש מאסר של משש על הנאשם, מאחורי סורג ובריח, עלול להיות עבורו "מכונן" לרעה, בשל ההתערות החוזרת עם אוכלוסייה עבריינות. משום כל הנימוקים הללו, הגעתי למסקנה שנכון להסתפק בגזירת עונש מקסימלי בעבודות השירות. </w:t>
      </w:r>
    </w:p>
    <w:p w14:paraId="5749C6AA" w14:textId="77777777" w:rsidR="008D0926" w:rsidRDefault="008D0926" w:rsidP="008D0926">
      <w:pPr>
        <w:pStyle w:val="a9"/>
        <w:spacing w:after="0" w:line="240" w:lineRule="auto"/>
        <w:jc w:val="both"/>
        <w:rPr>
          <w:rFonts w:ascii="David" w:hAnsi="David" w:cs="David"/>
          <w:sz w:val="24"/>
          <w:szCs w:val="24"/>
        </w:rPr>
      </w:pPr>
    </w:p>
    <w:p w14:paraId="44573EC0" w14:textId="77777777" w:rsidR="008D0926" w:rsidRDefault="008D0926" w:rsidP="008D0926">
      <w:pPr>
        <w:pStyle w:val="a9"/>
        <w:numPr>
          <w:ilvl w:val="0"/>
          <w:numId w:val="1"/>
        </w:numPr>
        <w:spacing w:after="0" w:line="360" w:lineRule="auto"/>
        <w:jc w:val="both"/>
        <w:rPr>
          <w:rFonts w:ascii="David" w:hAnsi="David" w:cs="David"/>
          <w:sz w:val="24"/>
          <w:szCs w:val="24"/>
        </w:rPr>
      </w:pPr>
      <w:r>
        <w:rPr>
          <w:rFonts w:ascii="David" w:hAnsi="David" w:cs="David"/>
          <w:sz w:val="24"/>
          <w:szCs w:val="24"/>
          <w:rtl/>
        </w:rPr>
        <w:t xml:space="preserve">חששותיו של הנאשם מריצוי עונש מאסר ברורים, ויש לקוות שיהא בכך ובעונש המאסר בעבודות שירות שאגזור עליו לצד הענישה הנלווית, כדי להרחיקו להבא מביצוע כל עבירה נוספת. ואומר לו בפה מלא כי ספק אם להבא יינתנו לו עוד הזדמנויות. </w:t>
      </w:r>
    </w:p>
    <w:p w14:paraId="620F212B" w14:textId="77777777" w:rsidR="008D0926" w:rsidRDefault="008D0926" w:rsidP="008D0926">
      <w:pPr>
        <w:spacing w:line="480" w:lineRule="auto"/>
        <w:jc w:val="both"/>
        <w:rPr>
          <w:rFonts w:ascii="David" w:hAnsi="David"/>
          <w:b/>
          <w:bCs/>
          <w:u w:val="single"/>
        </w:rPr>
      </w:pPr>
      <w:r>
        <w:rPr>
          <w:rFonts w:ascii="David" w:hAnsi="David"/>
          <w:rtl/>
        </w:rPr>
        <w:t xml:space="preserve"> </w:t>
      </w:r>
      <w:r>
        <w:rPr>
          <w:rFonts w:ascii="David" w:hAnsi="David"/>
          <w:b/>
          <w:bCs/>
          <w:u w:val="single"/>
          <w:rtl/>
        </w:rPr>
        <w:t>אשר על כן אני גוזרת על הנאשם את העונשים הבאים:</w:t>
      </w:r>
    </w:p>
    <w:p w14:paraId="79784B28" w14:textId="77777777" w:rsidR="008D0926" w:rsidRPr="00011776" w:rsidRDefault="008D0926" w:rsidP="008D0926">
      <w:pPr>
        <w:pStyle w:val="a9"/>
        <w:numPr>
          <w:ilvl w:val="0"/>
          <w:numId w:val="5"/>
        </w:numPr>
        <w:spacing w:after="0" w:line="360" w:lineRule="auto"/>
        <w:jc w:val="both"/>
        <w:rPr>
          <w:rFonts w:ascii="David" w:eastAsia="Times New Roman" w:hAnsi="David" w:cs="David"/>
          <w:sz w:val="24"/>
          <w:szCs w:val="24"/>
        </w:rPr>
      </w:pPr>
      <w:r>
        <w:rPr>
          <w:rFonts w:ascii="David" w:eastAsia="Times New Roman" w:hAnsi="David" w:cs="David"/>
          <w:sz w:val="24"/>
          <w:szCs w:val="24"/>
          <w:rtl/>
        </w:rPr>
        <w:t>מאסר למשך 9 חודשים לריצוי בעבודות שירות</w:t>
      </w:r>
      <w:r>
        <w:rPr>
          <w:rFonts w:ascii="David" w:eastAsia="Times New Roman" w:hAnsi="David" w:cs="David" w:hint="cs"/>
          <w:sz w:val="24"/>
          <w:szCs w:val="24"/>
          <w:rtl/>
        </w:rPr>
        <w:t>,</w:t>
      </w:r>
      <w:r>
        <w:rPr>
          <w:rFonts w:ascii="David" w:eastAsia="Times New Roman" w:hAnsi="David" w:cs="David"/>
          <w:sz w:val="24"/>
          <w:szCs w:val="24"/>
          <w:rtl/>
        </w:rPr>
        <w:t xml:space="preserve"> החל מיום </w:t>
      </w:r>
      <w:r>
        <w:rPr>
          <w:rFonts w:ascii="David" w:eastAsia="Times New Roman" w:hAnsi="David" w:cs="David" w:hint="cs"/>
          <w:sz w:val="24"/>
          <w:szCs w:val="24"/>
          <w:rtl/>
        </w:rPr>
        <w:t xml:space="preserve">10.9.2023 </w:t>
      </w:r>
      <w:r>
        <w:rPr>
          <w:rFonts w:ascii="David" w:eastAsia="Times New Roman" w:hAnsi="David" w:cs="David"/>
          <w:sz w:val="24"/>
          <w:szCs w:val="24"/>
          <w:rtl/>
        </w:rPr>
        <w:t xml:space="preserve">(או במועד אחר שיקבע הממונה על עבודות השירות). </w:t>
      </w:r>
      <w:r>
        <w:rPr>
          <w:rFonts w:ascii="David" w:eastAsia="Times New Roman" w:hAnsi="David" w:cs="David"/>
          <w:sz w:val="24"/>
          <w:szCs w:val="24"/>
          <w:u w:val="single"/>
          <w:rtl/>
        </w:rPr>
        <w:t>על הנאשם להתייצב במשרדי הממונה על עבודות השירות בשב"ס</w:t>
      </w:r>
      <w:r>
        <w:rPr>
          <w:rFonts w:ascii="David" w:eastAsia="Times New Roman" w:hAnsi="David" w:cs="David" w:hint="cs"/>
          <w:sz w:val="24"/>
          <w:szCs w:val="24"/>
          <w:u w:val="single"/>
          <w:rtl/>
        </w:rPr>
        <w:t xml:space="preserve"> בכלא מגידו באותו</w:t>
      </w:r>
      <w:r>
        <w:rPr>
          <w:rFonts w:ascii="David" w:eastAsia="Times New Roman" w:hAnsi="David" w:cs="David"/>
          <w:sz w:val="24"/>
          <w:szCs w:val="24"/>
          <w:u w:val="single"/>
          <w:rtl/>
        </w:rPr>
        <w:t xml:space="preserve"> מועד בשעה 08:00. </w:t>
      </w:r>
    </w:p>
    <w:p w14:paraId="16E823E3" w14:textId="77777777" w:rsidR="008D0926" w:rsidRDefault="008D0926" w:rsidP="008D0926">
      <w:pPr>
        <w:pStyle w:val="a9"/>
        <w:spacing w:after="0" w:line="240" w:lineRule="auto"/>
        <w:jc w:val="both"/>
        <w:rPr>
          <w:rFonts w:ascii="David" w:eastAsia="Times New Roman" w:hAnsi="David" w:cs="David"/>
          <w:sz w:val="24"/>
          <w:szCs w:val="24"/>
          <w:u w:val="single"/>
          <w:rtl/>
        </w:rPr>
      </w:pPr>
    </w:p>
    <w:p w14:paraId="62B573BC" w14:textId="77777777" w:rsidR="008D0926" w:rsidRDefault="008D0926" w:rsidP="008D0926">
      <w:pPr>
        <w:pStyle w:val="a9"/>
        <w:spacing w:after="0" w:line="360" w:lineRule="auto"/>
        <w:jc w:val="both"/>
        <w:rPr>
          <w:rFonts w:ascii="David" w:eastAsia="Times New Roman" w:hAnsi="David" w:cs="David"/>
          <w:sz w:val="24"/>
          <w:szCs w:val="24"/>
        </w:rPr>
      </w:pPr>
      <w:r>
        <w:rPr>
          <w:rFonts w:ascii="David" w:eastAsia="Times New Roman" w:hAnsi="David" w:cs="David"/>
          <w:sz w:val="24"/>
          <w:szCs w:val="24"/>
          <w:u w:val="single"/>
          <w:rtl/>
        </w:rPr>
        <w:t>הנאשם מוזהר כי עליו לקיים את הוראות הממונה על עבודות השירות, אחרת יכול שיופקע העונש כך שירצה אותו במאסר מאחורי סורג ובריח</w:t>
      </w:r>
      <w:r>
        <w:rPr>
          <w:rFonts w:ascii="David" w:eastAsia="Times New Roman" w:hAnsi="David" w:cs="David"/>
          <w:sz w:val="24"/>
          <w:szCs w:val="24"/>
          <w:rtl/>
        </w:rPr>
        <w:t>.</w:t>
      </w:r>
    </w:p>
    <w:p w14:paraId="6625DCF2" w14:textId="77777777" w:rsidR="008D0926" w:rsidRDefault="008D0926" w:rsidP="008D0926">
      <w:pPr>
        <w:pStyle w:val="a9"/>
        <w:spacing w:line="240" w:lineRule="auto"/>
        <w:jc w:val="both"/>
        <w:rPr>
          <w:rFonts w:ascii="David" w:eastAsia="Times New Roman" w:hAnsi="David" w:cs="David"/>
          <w:sz w:val="24"/>
          <w:szCs w:val="24"/>
        </w:rPr>
      </w:pPr>
    </w:p>
    <w:p w14:paraId="559A0E19" w14:textId="77777777" w:rsidR="008D0926" w:rsidRDefault="008D0926" w:rsidP="008D0926">
      <w:pPr>
        <w:pStyle w:val="a9"/>
        <w:numPr>
          <w:ilvl w:val="0"/>
          <w:numId w:val="6"/>
        </w:numPr>
        <w:spacing w:after="0" w:line="360" w:lineRule="auto"/>
        <w:jc w:val="both"/>
        <w:rPr>
          <w:rFonts w:ascii="David" w:eastAsia="Times New Roman" w:hAnsi="David" w:cs="David"/>
          <w:sz w:val="24"/>
          <w:szCs w:val="24"/>
        </w:rPr>
      </w:pPr>
      <w:r>
        <w:rPr>
          <w:rFonts w:ascii="David" w:eastAsia="Times New Roman" w:hAnsi="David" w:cs="David"/>
          <w:sz w:val="24"/>
          <w:szCs w:val="24"/>
          <w:rtl/>
        </w:rPr>
        <w:t>מאסר מותנה למשך 7 חודשים, והתנאי הוא כי הנאשם לא יעבור עבירת רכוש או אלימות מסוג פשע למשך 3 שנים מהיום.</w:t>
      </w:r>
    </w:p>
    <w:p w14:paraId="121BBB4A" w14:textId="77777777" w:rsidR="008D0926" w:rsidRDefault="008D0926" w:rsidP="008D0926">
      <w:pPr>
        <w:pStyle w:val="a9"/>
        <w:spacing w:after="0" w:line="240" w:lineRule="auto"/>
        <w:jc w:val="both"/>
        <w:rPr>
          <w:rFonts w:ascii="David" w:eastAsia="Times New Roman" w:hAnsi="David" w:cs="David"/>
          <w:sz w:val="24"/>
          <w:szCs w:val="24"/>
        </w:rPr>
      </w:pPr>
    </w:p>
    <w:p w14:paraId="4CECB011" w14:textId="77777777" w:rsidR="008D0926" w:rsidRDefault="008D0926" w:rsidP="008D0926">
      <w:pPr>
        <w:pStyle w:val="a9"/>
        <w:numPr>
          <w:ilvl w:val="0"/>
          <w:numId w:val="6"/>
        </w:numPr>
        <w:spacing w:after="0" w:line="360" w:lineRule="auto"/>
        <w:jc w:val="both"/>
        <w:rPr>
          <w:rFonts w:ascii="David" w:eastAsia="Times New Roman" w:hAnsi="David" w:cs="David"/>
          <w:sz w:val="24"/>
          <w:szCs w:val="24"/>
        </w:rPr>
      </w:pPr>
      <w:r>
        <w:rPr>
          <w:rFonts w:ascii="David" w:eastAsia="Times New Roman" w:hAnsi="David" w:cs="David"/>
          <w:sz w:val="24"/>
          <w:szCs w:val="24"/>
          <w:rtl/>
        </w:rPr>
        <w:t xml:space="preserve">מאסר מותנה למשך 4 חודשים, והתנאי הוא כי הנאשם לא יעבור עבירת רכוש או אלימות מסוג עוון, לצד הפרת הוראה חוקית, ולמעט החזקת נכס חשוד כגנוב, למשך 3 שנים מהיום. </w:t>
      </w:r>
    </w:p>
    <w:p w14:paraId="2F2B6022" w14:textId="77777777" w:rsidR="008D0926" w:rsidRDefault="008D0926" w:rsidP="008D0926">
      <w:pPr>
        <w:pStyle w:val="a9"/>
        <w:spacing w:after="0" w:line="240" w:lineRule="auto"/>
        <w:jc w:val="both"/>
        <w:rPr>
          <w:rFonts w:ascii="David" w:eastAsia="Times New Roman" w:hAnsi="David" w:cs="David"/>
          <w:sz w:val="24"/>
          <w:szCs w:val="24"/>
        </w:rPr>
      </w:pPr>
    </w:p>
    <w:p w14:paraId="2E13B7AB" w14:textId="77777777" w:rsidR="008D0926" w:rsidRDefault="008D0926" w:rsidP="008D0926">
      <w:pPr>
        <w:pStyle w:val="a9"/>
        <w:numPr>
          <w:ilvl w:val="0"/>
          <w:numId w:val="6"/>
        </w:numPr>
        <w:spacing w:after="0" w:line="360" w:lineRule="auto"/>
        <w:jc w:val="both"/>
        <w:rPr>
          <w:rFonts w:ascii="David" w:eastAsia="Times New Roman" w:hAnsi="David" w:cs="David"/>
          <w:sz w:val="24"/>
          <w:szCs w:val="24"/>
        </w:rPr>
      </w:pPr>
      <w:r>
        <w:rPr>
          <w:rFonts w:ascii="David" w:eastAsia="Times New Roman" w:hAnsi="David" w:cs="David"/>
          <w:sz w:val="24"/>
          <w:szCs w:val="24"/>
          <w:rtl/>
        </w:rPr>
        <w:t xml:space="preserve">הנאשם ישלם לנפגע העבירה - מתלונן בתיק התקיפה (עבת"פ 19452-01-21) פיצוי בסך של 5,000 ₪, שישולם עד ליום 1.8.2023. </w:t>
      </w:r>
    </w:p>
    <w:p w14:paraId="4579E141" w14:textId="77777777" w:rsidR="008D0926" w:rsidRDefault="008D0926" w:rsidP="008D0926">
      <w:pPr>
        <w:pStyle w:val="a9"/>
        <w:spacing w:after="0" w:line="240" w:lineRule="auto"/>
        <w:jc w:val="both"/>
        <w:rPr>
          <w:rFonts w:ascii="David" w:eastAsia="Times New Roman" w:hAnsi="David" w:cs="David"/>
          <w:sz w:val="24"/>
          <w:szCs w:val="24"/>
        </w:rPr>
      </w:pPr>
    </w:p>
    <w:p w14:paraId="6FC3550D" w14:textId="77777777" w:rsidR="008D0926" w:rsidRDefault="008D0926" w:rsidP="008D0926">
      <w:pPr>
        <w:pStyle w:val="a9"/>
        <w:numPr>
          <w:ilvl w:val="0"/>
          <w:numId w:val="6"/>
        </w:numPr>
        <w:spacing w:after="0" w:line="360" w:lineRule="auto"/>
        <w:jc w:val="both"/>
        <w:rPr>
          <w:rFonts w:ascii="David" w:eastAsia="Times New Roman" w:hAnsi="David" w:cs="David"/>
          <w:sz w:val="24"/>
          <w:szCs w:val="24"/>
        </w:rPr>
      </w:pPr>
      <w:r>
        <w:rPr>
          <w:rFonts w:ascii="David" w:eastAsia="Times New Roman" w:hAnsi="David" w:cs="David"/>
          <w:sz w:val="24"/>
          <w:szCs w:val="24"/>
          <w:rtl/>
        </w:rPr>
        <w:t>הנאשם ישלם לנפגע העבירה – המתלונן בתיק הפריצה לבית עסק (ב</w:t>
      </w:r>
      <w:hyperlink r:id="rId50" w:history="1">
        <w:r w:rsidR="00DF05DC" w:rsidRPr="00DF05DC">
          <w:rPr>
            <w:rFonts w:ascii="David" w:eastAsia="Times New Roman" w:hAnsi="David" w:cs="David"/>
            <w:color w:val="0000FF"/>
            <w:sz w:val="24"/>
            <w:szCs w:val="24"/>
            <w:u w:val="single"/>
            <w:rtl/>
          </w:rPr>
          <w:t>ת"פ 17541-12-21</w:t>
        </w:r>
      </w:hyperlink>
      <w:r>
        <w:rPr>
          <w:rFonts w:ascii="David" w:eastAsia="Times New Roman" w:hAnsi="David" w:cs="David"/>
          <w:sz w:val="24"/>
          <w:szCs w:val="24"/>
          <w:rtl/>
        </w:rPr>
        <w:t>) פיצי בסך 1,000 ₪, שישולם עד ליום 1.8.2023.</w:t>
      </w:r>
    </w:p>
    <w:p w14:paraId="33A2B6C7" w14:textId="77777777" w:rsidR="008D0926" w:rsidRDefault="008D0926" w:rsidP="008D0926">
      <w:pPr>
        <w:pStyle w:val="a9"/>
        <w:spacing w:after="0" w:line="240" w:lineRule="auto"/>
        <w:jc w:val="both"/>
        <w:rPr>
          <w:rFonts w:ascii="David" w:eastAsia="Times New Roman" w:hAnsi="David" w:cs="David"/>
          <w:sz w:val="24"/>
          <w:szCs w:val="24"/>
        </w:rPr>
      </w:pPr>
    </w:p>
    <w:p w14:paraId="044ACF3B" w14:textId="77777777" w:rsidR="008D0926" w:rsidRDefault="008D0926" w:rsidP="008D0926">
      <w:pPr>
        <w:pStyle w:val="a9"/>
        <w:numPr>
          <w:ilvl w:val="0"/>
          <w:numId w:val="6"/>
        </w:numPr>
        <w:spacing w:after="0" w:line="360" w:lineRule="auto"/>
        <w:jc w:val="both"/>
        <w:rPr>
          <w:rFonts w:ascii="David" w:eastAsia="Times New Roman" w:hAnsi="David" w:cs="David"/>
          <w:sz w:val="24"/>
          <w:szCs w:val="24"/>
        </w:rPr>
      </w:pPr>
      <w:r>
        <w:rPr>
          <w:rFonts w:ascii="David" w:eastAsia="Times New Roman" w:hAnsi="David" w:cs="David"/>
          <w:sz w:val="24"/>
          <w:szCs w:val="24"/>
          <w:rtl/>
        </w:rPr>
        <w:t xml:space="preserve">בשים לב כי הנאשם הורשע בביצוע עבירה של עסקה אחרת בסם ממנה הפיק רווח כלכלי, ובהתאם </w:t>
      </w:r>
      <w:hyperlink r:id="rId51" w:history="1">
        <w:r w:rsidR="00E97D37" w:rsidRPr="00E97D37">
          <w:rPr>
            <w:rStyle w:val="Hyperlink"/>
            <w:rFonts w:ascii="David" w:eastAsia="Times New Roman" w:hAnsi="David" w:cs="David"/>
            <w:sz w:val="24"/>
            <w:szCs w:val="24"/>
            <w:rtl/>
          </w:rPr>
          <w:t>לסעיף 36א(ב)</w:t>
        </w:r>
      </w:hyperlink>
      <w:r>
        <w:rPr>
          <w:rFonts w:ascii="David" w:eastAsia="Times New Roman" w:hAnsi="David" w:cs="David"/>
          <w:sz w:val="24"/>
          <w:szCs w:val="24"/>
          <w:rtl/>
        </w:rPr>
        <w:t xml:space="preserve"> לפקודת הסמים, אני מכריזה עליו כעל "סוחר סמים" ומורה על חילוט הכסף שנתפס בסך 510 ₪ וטלפון נייד, לטובת קרן חילוט הסמים. </w:t>
      </w:r>
    </w:p>
    <w:p w14:paraId="44FCC33B" w14:textId="77777777" w:rsidR="008D0926" w:rsidRDefault="008D0926" w:rsidP="008D0926">
      <w:pPr>
        <w:pStyle w:val="a9"/>
        <w:spacing w:after="0" w:line="240" w:lineRule="auto"/>
        <w:jc w:val="both"/>
        <w:rPr>
          <w:rFonts w:ascii="David" w:eastAsia="Times New Roman" w:hAnsi="David" w:cs="David"/>
          <w:sz w:val="24"/>
          <w:szCs w:val="24"/>
        </w:rPr>
      </w:pPr>
    </w:p>
    <w:p w14:paraId="2FDA7C23" w14:textId="77777777" w:rsidR="008D0926" w:rsidRDefault="008D0926" w:rsidP="008D0926">
      <w:pPr>
        <w:pStyle w:val="a9"/>
        <w:numPr>
          <w:ilvl w:val="0"/>
          <w:numId w:val="6"/>
        </w:numPr>
        <w:spacing w:after="0" w:line="360" w:lineRule="auto"/>
        <w:jc w:val="both"/>
        <w:rPr>
          <w:rFonts w:ascii="David" w:eastAsia="Times New Roman" w:hAnsi="David" w:cs="David"/>
          <w:sz w:val="24"/>
          <w:szCs w:val="24"/>
        </w:rPr>
      </w:pPr>
      <w:r>
        <w:rPr>
          <w:rFonts w:ascii="David" w:eastAsia="Times New Roman" w:hAnsi="David" w:cs="David"/>
          <w:sz w:val="24"/>
          <w:szCs w:val="24"/>
          <w:rtl/>
        </w:rPr>
        <w:t xml:space="preserve">פסילה על תנאי למשך 6 חודשים ל- 3 שנים, שלא יבצע הנאשם עבירות </w:t>
      </w:r>
      <w:r>
        <w:rPr>
          <w:rFonts w:ascii="David" w:eastAsia="Times New Roman" w:hAnsi="David" w:cs="David" w:hint="cs"/>
          <w:sz w:val="24"/>
          <w:szCs w:val="24"/>
          <w:rtl/>
        </w:rPr>
        <w:t xml:space="preserve">פשע </w:t>
      </w:r>
      <w:r>
        <w:rPr>
          <w:rFonts w:ascii="David" w:eastAsia="Times New Roman" w:hAnsi="David" w:cs="David"/>
          <w:sz w:val="24"/>
          <w:szCs w:val="24"/>
          <w:rtl/>
        </w:rPr>
        <w:t xml:space="preserve">על פקודת הסמים. </w:t>
      </w:r>
    </w:p>
    <w:p w14:paraId="6BD90C0D" w14:textId="77777777" w:rsidR="008D0926" w:rsidRDefault="008D0926" w:rsidP="008D0926">
      <w:pPr>
        <w:pStyle w:val="a9"/>
        <w:rPr>
          <w:rFonts w:ascii="David" w:eastAsia="Times New Roman" w:hAnsi="David" w:cs="David"/>
          <w:sz w:val="24"/>
          <w:szCs w:val="24"/>
        </w:rPr>
      </w:pPr>
    </w:p>
    <w:p w14:paraId="00B0378D" w14:textId="77777777" w:rsidR="008D0926" w:rsidRDefault="008D0926" w:rsidP="008D0926">
      <w:pPr>
        <w:pStyle w:val="a9"/>
        <w:spacing w:after="0" w:line="360" w:lineRule="auto"/>
        <w:jc w:val="both"/>
        <w:rPr>
          <w:rFonts w:ascii="David" w:eastAsia="Times New Roman" w:hAnsi="David" w:cs="David"/>
          <w:sz w:val="24"/>
          <w:szCs w:val="24"/>
          <w:rtl/>
        </w:rPr>
      </w:pPr>
      <w:r>
        <w:rPr>
          <w:rFonts w:ascii="David" w:eastAsia="Times New Roman" w:hAnsi="David" w:cs="David"/>
          <w:sz w:val="24"/>
          <w:szCs w:val="24"/>
          <w:u w:val="single"/>
          <w:rtl/>
        </w:rPr>
        <w:t>המאשימה תעביר את פרטי נפגעי העבירה למזכירות בית המשפט עד ליום 16.7.2023. ותעדכן אותם על אודות תוצאות גזר הדין והפיצוי שנפסק</w:t>
      </w:r>
      <w:r>
        <w:rPr>
          <w:rFonts w:ascii="David" w:eastAsia="Times New Roman" w:hAnsi="David" w:cs="David"/>
          <w:sz w:val="24"/>
          <w:szCs w:val="24"/>
          <w:rtl/>
        </w:rPr>
        <w:t>.</w:t>
      </w:r>
    </w:p>
    <w:p w14:paraId="034FD433" w14:textId="77777777" w:rsidR="008D0926" w:rsidRDefault="008D0926" w:rsidP="008D0926">
      <w:pPr>
        <w:pStyle w:val="a9"/>
        <w:spacing w:after="0" w:line="240" w:lineRule="auto"/>
        <w:jc w:val="both"/>
        <w:rPr>
          <w:rFonts w:ascii="David" w:eastAsia="Times New Roman" w:hAnsi="David" w:cs="David"/>
          <w:sz w:val="24"/>
          <w:szCs w:val="24"/>
        </w:rPr>
      </w:pPr>
    </w:p>
    <w:p w14:paraId="288C4FF1" w14:textId="77777777" w:rsidR="008D0926" w:rsidRDefault="008D0926" w:rsidP="008D0926">
      <w:pPr>
        <w:pStyle w:val="a9"/>
        <w:spacing w:after="0" w:line="360" w:lineRule="auto"/>
        <w:jc w:val="both"/>
        <w:rPr>
          <w:rFonts w:ascii="David" w:hAnsi="David" w:cs="David"/>
          <w:sz w:val="24"/>
          <w:szCs w:val="24"/>
          <w:rtl/>
        </w:rPr>
      </w:pPr>
      <w:r>
        <w:rPr>
          <w:rFonts w:ascii="David" w:hAnsi="David" w:cs="David"/>
          <w:sz w:val="24"/>
          <w:szCs w:val="24"/>
          <w:u w:val="single"/>
          <w:rtl/>
        </w:rPr>
        <w:t xml:space="preserve">ככל שקיימת לטובת הנאשם הפקדה בתיק זה או בתיק קשור אליו, בהסכמת הנאשם, היא תקוזז </w:t>
      </w:r>
      <w:r>
        <w:rPr>
          <w:rFonts w:ascii="David" w:hAnsi="David" w:cs="David" w:hint="cs"/>
          <w:sz w:val="24"/>
          <w:szCs w:val="24"/>
          <w:u w:val="single"/>
          <w:rtl/>
        </w:rPr>
        <w:t xml:space="preserve">מהפיצוי </w:t>
      </w:r>
      <w:r>
        <w:rPr>
          <w:rFonts w:ascii="David" w:hAnsi="David" w:cs="David"/>
          <w:sz w:val="24"/>
          <w:szCs w:val="24"/>
          <w:u w:val="single"/>
          <w:rtl/>
        </w:rPr>
        <w:t>והיתרה תושב לו כפוף לכל דין, לרבות עיקול</w:t>
      </w:r>
      <w:r>
        <w:rPr>
          <w:rFonts w:ascii="David" w:hAnsi="David" w:cs="David"/>
          <w:sz w:val="24"/>
          <w:szCs w:val="24"/>
          <w:rtl/>
        </w:rPr>
        <w:t>.</w:t>
      </w:r>
    </w:p>
    <w:p w14:paraId="29E3A45B" w14:textId="77777777" w:rsidR="008D0926" w:rsidRDefault="008D0926" w:rsidP="008D0926">
      <w:pPr>
        <w:ind w:left="720"/>
        <w:jc w:val="both"/>
        <w:rPr>
          <w:rFonts w:ascii="David" w:hAnsi="David"/>
          <w:u w:val="single"/>
          <w:rtl/>
        </w:rPr>
      </w:pPr>
    </w:p>
    <w:p w14:paraId="1D251369" w14:textId="77777777" w:rsidR="008D0926" w:rsidRDefault="008D0926" w:rsidP="008D0926">
      <w:pPr>
        <w:spacing w:line="360" w:lineRule="auto"/>
        <w:ind w:left="720"/>
        <w:jc w:val="both"/>
        <w:rPr>
          <w:rFonts w:ascii="David" w:hAnsi="David"/>
          <w:rtl/>
        </w:rPr>
      </w:pPr>
      <w:r>
        <w:rPr>
          <w:rFonts w:ascii="David" w:hAnsi="David"/>
          <w:rtl/>
        </w:rPr>
        <w:t xml:space="preserve">תשלום </w:t>
      </w:r>
      <w:r>
        <w:rPr>
          <w:rFonts w:ascii="David" w:hAnsi="David" w:hint="cs"/>
          <w:rtl/>
        </w:rPr>
        <w:t>הפיצוי</w:t>
      </w:r>
      <w:r>
        <w:rPr>
          <w:rFonts w:ascii="David" w:hAnsi="David"/>
          <w:rtl/>
        </w:rPr>
        <w:t xml:space="preserve"> ייעשה ישירות לחשבון המרכז לגביית קנסות, אגרות והוצאות ברשות האכיפה והגביה באחת הדרכים הבאות: בכרטיס אשראי באתר המקוון של רשות האכיפה והגבייה (חיפוש בגוגל "תשלום גביית קנסות"): </w:t>
      </w:r>
      <w:hyperlink r:id="rId52" w:history="1">
        <w:r>
          <w:rPr>
            <w:rStyle w:val="Hyperlink"/>
            <w:rFonts w:ascii="David" w:hAnsi="David"/>
          </w:rPr>
          <w:t>www.eca.gov.il</w:t>
        </w:r>
      </w:hyperlink>
      <w:r>
        <w:rPr>
          <w:rFonts w:ascii="David" w:hAnsi="David"/>
          <w:rtl/>
        </w:rPr>
        <w:t xml:space="preserve"> (ניתן לשלם בפריסה של עד 18 תשלומים בהסדר קרדיט). או באמצעות מוקד שירות טלפוני בשרות עצמי (מרכז הגבייה) בטלפון 35592* או בטלפון  073-2055000. או במזומן בסניפי בנק הדואר, בהצגת תעודת זהות (ללא צורך בשוברים). </w:t>
      </w:r>
    </w:p>
    <w:p w14:paraId="326664E5" w14:textId="77777777" w:rsidR="008D0926" w:rsidRDefault="008D0926" w:rsidP="008D0926">
      <w:pPr>
        <w:spacing w:line="480" w:lineRule="auto"/>
        <w:jc w:val="both"/>
        <w:rPr>
          <w:rFonts w:ascii="David" w:hAnsi="David"/>
          <w:u w:val="single"/>
          <w:rtl/>
        </w:rPr>
      </w:pPr>
    </w:p>
    <w:p w14:paraId="1D397ACD" w14:textId="77777777" w:rsidR="008D0926" w:rsidRDefault="008D0926" w:rsidP="008D0926">
      <w:pPr>
        <w:spacing w:line="360" w:lineRule="auto"/>
        <w:jc w:val="both"/>
        <w:rPr>
          <w:rFonts w:ascii="David" w:hAnsi="David"/>
          <w:u w:val="single"/>
          <w:rtl/>
        </w:rPr>
      </w:pPr>
      <w:r>
        <w:rPr>
          <w:rFonts w:ascii="David" w:hAnsi="David"/>
          <w:u w:val="single"/>
          <w:rtl/>
        </w:rPr>
        <w:t>ניתן צו כללי למוצגים.</w:t>
      </w:r>
    </w:p>
    <w:p w14:paraId="4128BEE3" w14:textId="77777777" w:rsidR="008D0926" w:rsidRDefault="008D0926" w:rsidP="008D0926">
      <w:pPr>
        <w:spacing w:line="360" w:lineRule="auto"/>
        <w:jc w:val="both"/>
        <w:rPr>
          <w:rFonts w:ascii="David" w:hAnsi="David"/>
          <w:u w:val="single"/>
          <w:rtl/>
        </w:rPr>
      </w:pPr>
      <w:r>
        <w:rPr>
          <w:rFonts w:ascii="David" w:hAnsi="David"/>
          <w:u w:val="single"/>
          <w:rtl/>
        </w:rPr>
        <w:t xml:space="preserve">המזכירות תשלח את ההחלטה לשירות המבחן ולממונה על עבודות השירות. </w:t>
      </w:r>
    </w:p>
    <w:p w14:paraId="532FD355" w14:textId="77777777" w:rsidR="008D0926" w:rsidRDefault="008D0926" w:rsidP="008D0926">
      <w:pPr>
        <w:spacing w:line="360" w:lineRule="auto"/>
        <w:jc w:val="both"/>
        <w:rPr>
          <w:rFonts w:ascii="David" w:hAnsi="David"/>
          <w:b/>
          <w:bCs/>
          <w:u w:val="single"/>
          <w:rtl/>
        </w:rPr>
      </w:pPr>
    </w:p>
    <w:p w14:paraId="6CCB4356" w14:textId="77777777" w:rsidR="008D0926" w:rsidRDefault="00DF05DC" w:rsidP="008D0926">
      <w:pPr>
        <w:spacing w:line="360" w:lineRule="auto"/>
        <w:jc w:val="both"/>
        <w:rPr>
          <w:rFonts w:ascii="David" w:hAnsi="David"/>
          <w:b/>
          <w:bCs/>
          <w:u w:val="single"/>
          <w:rtl/>
        </w:rPr>
      </w:pPr>
      <w:r w:rsidRPr="00DF05DC">
        <w:rPr>
          <w:rFonts w:ascii="David" w:hAnsi="David"/>
          <w:b/>
          <w:bCs/>
          <w:color w:val="FFFFFF"/>
          <w:sz w:val="2"/>
          <w:szCs w:val="2"/>
          <w:u w:val="single"/>
          <w:rtl/>
        </w:rPr>
        <w:t>5129371</w:t>
      </w:r>
      <w:r w:rsidR="008D0926">
        <w:rPr>
          <w:rFonts w:ascii="David" w:hAnsi="David"/>
          <w:b/>
          <w:bCs/>
          <w:u w:val="single"/>
          <w:rtl/>
        </w:rPr>
        <w:t xml:space="preserve">זכות ערעור לבית המשפט מחוזי מרכז-לוד בתוך 45 ימים. </w:t>
      </w:r>
    </w:p>
    <w:p w14:paraId="4CE323D1" w14:textId="77777777" w:rsidR="008D0926" w:rsidRPr="00DF05DC" w:rsidRDefault="00DF05DC" w:rsidP="008D0926">
      <w:pPr>
        <w:rPr>
          <w:rFonts w:ascii="Arial" w:hAnsi="Arial"/>
          <w:b/>
          <w:bCs/>
          <w:color w:val="FFFFFF"/>
          <w:sz w:val="2"/>
          <w:szCs w:val="2"/>
          <w:rtl/>
        </w:rPr>
      </w:pPr>
      <w:r w:rsidRPr="00DF05DC">
        <w:rPr>
          <w:rFonts w:ascii="Arial" w:hAnsi="Arial"/>
          <w:b/>
          <w:bCs/>
          <w:color w:val="FFFFFF"/>
          <w:sz w:val="2"/>
          <w:szCs w:val="2"/>
          <w:rtl/>
        </w:rPr>
        <w:t>54678313</w:t>
      </w:r>
    </w:p>
    <w:p w14:paraId="40E1E038" w14:textId="77777777" w:rsidR="008D0926" w:rsidRPr="007E04B7" w:rsidRDefault="00DF05DC" w:rsidP="008D0926">
      <w:pPr>
        <w:spacing w:line="360" w:lineRule="auto"/>
        <w:jc w:val="both"/>
        <w:rPr>
          <w:rFonts w:ascii="Arial" w:hAnsi="Arial"/>
          <w:b/>
          <w:bCs/>
          <w:rtl/>
        </w:rPr>
      </w:pPr>
      <w:bookmarkStart w:id="7" w:name="Nitan"/>
      <w:r>
        <w:rPr>
          <w:rFonts w:ascii="Arial" w:hAnsi="Arial"/>
          <w:b/>
          <w:bCs/>
          <w:rtl/>
        </w:rPr>
        <w:t xml:space="preserve">ניתן היום,  כ"ב תמוז תשפ"ג, 11 יולי 2023, בנוכחות ב"כ המאשימה עוה"ד שיר זהבי, עוה"ד </w:t>
      </w:r>
      <w:bookmarkEnd w:id="7"/>
      <w:r w:rsidR="008D0926" w:rsidRPr="007E04B7">
        <w:rPr>
          <w:rFonts w:ascii="Arial" w:hAnsi="Arial" w:hint="cs"/>
          <w:b/>
          <w:bCs/>
          <w:rtl/>
        </w:rPr>
        <w:t>ירדן מלמד ועוה"ד יסמין נוי, הנאשם ובא כוחו עוה"ד אסף שלם</w:t>
      </w:r>
      <w:r w:rsidR="008D0926" w:rsidRPr="007E04B7">
        <w:rPr>
          <w:rFonts w:ascii="Arial" w:hAnsi="Arial"/>
          <w:b/>
          <w:bCs/>
          <w:rtl/>
        </w:rPr>
        <w:t>.</w:t>
      </w:r>
    </w:p>
    <w:p w14:paraId="34638F46" w14:textId="77777777" w:rsidR="008D0926" w:rsidRPr="000F2247" w:rsidRDefault="008D0926" w:rsidP="008D0926">
      <w:pPr>
        <w:spacing w:line="360" w:lineRule="auto"/>
        <w:jc w:val="both"/>
        <w:rPr>
          <w:rFonts w:ascii="Arial" w:hAnsi="Arial"/>
          <w:b/>
          <w:bCs/>
          <w:sz w:val="26"/>
          <w:szCs w:val="26"/>
          <w:rtl/>
        </w:rPr>
      </w:pP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hint="cs"/>
          <w:b/>
          <w:bCs/>
          <w:sz w:val="26"/>
          <w:szCs w:val="26"/>
          <w:rtl/>
        </w:rPr>
        <w:t xml:space="preserve">         </w:t>
      </w:r>
    </w:p>
    <w:p w14:paraId="6A7C3C7B" w14:textId="77777777" w:rsidR="008D0926" w:rsidRPr="000F2247" w:rsidRDefault="008D0926" w:rsidP="00DF05DC">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3B292289" w14:textId="77777777" w:rsidR="008D0926" w:rsidRPr="000F2247" w:rsidRDefault="008D0926" w:rsidP="008D0926">
      <w:pPr>
        <w:jc w:val="center"/>
        <w:rPr>
          <w:rFonts w:ascii="Arial" w:hAnsi="Arial"/>
          <w:b/>
          <w:bCs/>
          <w:sz w:val="26"/>
          <w:szCs w:val="26"/>
          <w:rtl/>
        </w:rPr>
      </w:pPr>
    </w:p>
    <w:p w14:paraId="341EB22B" w14:textId="77777777" w:rsidR="00481E0E" w:rsidRPr="00DF05DC" w:rsidRDefault="00481E0E" w:rsidP="00DF05DC">
      <w:pPr>
        <w:keepNext/>
        <w:rPr>
          <w:rFonts w:ascii="David" w:hAnsi="David"/>
          <w:color w:val="000000"/>
          <w:sz w:val="22"/>
          <w:szCs w:val="22"/>
          <w:rtl/>
        </w:rPr>
      </w:pPr>
    </w:p>
    <w:p w14:paraId="18A5F1A4" w14:textId="77777777" w:rsidR="00DF05DC" w:rsidRPr="00DF05DC" w:rsidRDefault="00DF05DC" w:rsidP="00DF05DC">
      <w:pPr>
        <w:keepNext/>
        <w:rPr>
          <w:rFonts w:ascii="David" w:hAnsi="David"/>
          <w:color w:val="000000"/>
          <w:sz w:val="22"/>
          <w:szCs w:val="22"/>
          <w:rtl/>
        </w:rPr>
      </w:pPr>
      <w:r w:rsidRPr="00DF05DC">
        <w:rPr>
          <w:rFonts w:ascii="David" w:hAnsi="David"/>
          <w:color w:val="000000"/>
          <w:sz w:val="22"/>
          <w:szCs w:val="22"/>
          <w:rtl/>
        </w:rPr>
        <w:t>אילה אורן 54678313</w:t>
      </w:r>
    </w:p>
    <w:p w14:paraId="3133E823" w14:textId="77777777" w:rsidR="00DF05DC" w:rsidRDefault="00DF05DC" w:rsidP="00DF05DC">
      <w:r w:rsidRPr="00DF05DC">
        <w:rPr>
          <w:color w:val="000000"/>
          <w:rtl/>
        </w:rPr>
        <w:t>נוסח מסמך זה כפוף לשינויי ניסוח ועריכה</w:t>
      </w:r>
    </w:p>
    <w:p w14:paraId="2F5D4C1A" w14:textId="77777777" w:rsidR="00DF05DC" w:rsidRDefault="00DF05DC" w:rsidP="00DF05DC">
      <w:pPr>
        <w:rPr>
          <w:rtl/>
        </w:rPr>
      </w:pPr>
    </w:p>
    <w:p w14:paraId="293D3C91" w14:textId="77777777" w:rsidR="00DF05DC" w:rsidRDefault="00DF05DC" w:rsidP="00DF05DC">
      <w:pPr>
        <w:jc w:val="center"/>
        <w:rPr>
          <w:color w:val="0000FF"/>
          <w:u w:val="single"/>
        </w:rPr>
      </w:pPr>
      <w:hyperlink r:id="rId53" w:history="1">
        <w:r>
          <w:rPr>
            <w:color w:val="0000FF"/>
            <w:u w:val="single"/>
            <w:rtl/>
          </w:rPr>
          <w:t>בעניין עריכה ושינויים במסמכי פסיקה, חקיקה ועוד באתר נבו – הקש כאן</w:t>
        </w:r>
      </w:hyperlink>
    </w:p>
    <w:p w14:paraId="2D494637" w14:textId="77777777" w:rsidR="00DF05DC" w:rsidRPr="00DF05DC" w:rsidRDefault="00DF05DC" w:rsidP="00DF05DC">
      <w:pPr>
        <w:jc w:val="center"/>
        <w:rPr>
          <w:color w:val="0000FF"/>
          <w:u w:val="single"/>
        </w:rPr>
      </w:pPr>
    </w:p>
    <w:sectPr w:rsidR="00DF05DC" w:rsidRPr="00DF05DC" w:rsidSect="00DF05DC">
      <w:headerReference w:type="even" r:id="rId54"/>
      <w:headerReference w:type="default" r:id="rId55"/>
      <w:footerReference w:type="even" r:id="rId56"/>
      <w:footerReference w:type="default" r:id="rId5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684938" w14:textId="77777777" w:rsidR="00363944" w:rsidRDefault="00363944" w:rsidP="00141F64">
      <w:r>
        <w:separator/>
      </w:r>
    </w:p>
  </w:endnote>
  <w:endnote w:type="continuationSeparator" w:id="0">
    <w:p w14:paraId="0C922196" w14:textId="77777777" w:rsidR="00363944" w:rsidRDefault="00363944" w:rsidP="00141F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FF6A7C" w14:textId="77777777" w:rsidR="00DF05DC" w:rsidRDefault="00DF05DC" w:rsidP="00DF05DC">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AA5209D" w14:textId="77777777" w:rsidR="0037713C" w:rsidRPr="00DF05DC" w:rsidRDefault="00DF05DC" w:rsidP="00DF05DC">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BFC275" w14:textId="77777777" w:rsidR="00DF05DC" w:rsidRDefault="00DF05DC" w:rsidP="00DF05DC">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61F22">
      <w:rPr>
        <w:rFonts w:ascii="FrankRuehl" w:hAnsi="FrankRuehl" w:cs="FrankRuehl"/>
        <w:noProof/>
        <w:rtl/>
      </w:rPr>
      <w:t>1</w:t>
    </w:r>
    <w:r>
      <w:rPr>
        <w:rFonts w:ascii="FrankRuehl" w:hAnsi="FrankRuehl" w:cs="FrankRuehl"/>
        <w:rtl/>
      </w:rPr>
      <w:fldChar w:fldCharType="end"/>
    </w:r>
  </w:p>
  <w:p w14:paraId="0B93D933" w14:textId="77777777" w:rsidR="0037713C" w:rsidRPr="00DF05DC" w:rsidRDefault="00DF05DC" w:rsidP="00DF05DC">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463820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A398E4" w14:textId="77777777" w:rsidR="00363944" w:rsidRDefault="00363944" w:rsidP="00141F64">
      <w:r>
        <w:separator/>
      </w:r>
    </w:p>
  </w:footnote>
  <w:footnote w:type="continuationSeparator" w:id="0">
    <w:p w14:paraId="3B0FABC3" w14:textId="77777777" w:rsidR="00363944" w:rsidRDefault="00363944" w:rsidP="00141F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863DD3" w14:textId="77777777" w:rsidR="00DF05DC" w:rsidRPr="00DF05DC" w:rsidRDefault="00DF05DC" w:rsidP="00DF05DC">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(רמ') 17541-12-21</w:t>
    </w:r>
    <w:r>
      <w:rPr>
        <w:rFonts w:ascii="David" w:hAnsi="David"/>
        <w:color w:val="000000"/>
        <w:sz w:val="22"/>
        <w:szCs w:val="22"/>
        <w:rtl/>
      </w:rPr>
      <w:tab/>
      <w:t xml:space="preserve"> מדינת ישראל נ' עומרי אבו חלתם</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643487" w14:textId="77777777" w:rsidR="00DF05DC" w:rsidRPr="00DF05DC" w:rsidRDefault="00DF05DC" w:rsidP="00DF05DC">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(רמ') 17541-12-21</w:t>
    </w:r>
    <w:r>
      <w:rPr>
        <w:rFonts w:ascii="David" w:hAnsi="David"/>
        <w:color w:val="000000"/>
        <w:sz w:val="22"/>
        <w:szCs w:val="22"/>
        <w:rtl/>
      </w:rPr>
      <w:tab/>
      <w:t xml:space="preserve"> מדינת ישראל נ' עומרי אבו חלתם</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5C3E7B"/>
    <w:multiLevelType w:val="hybridMultilevel"/>
    <w:tmpl w:val="35763A52"/>
    <w:lvl w:ilvl="0" w:tplc="A5C28C84">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26594FCA"/>
    <w:multiLevelType w:val="hybridMultilevel"/>
    <w:tmpl w:val="C1E022B2"/>
    <w:lvl w:ilvl="0" w:tplc="04090013">
      <w:start w:val="1"/>
      <w:numFmt w:val="hebrew1"/>
      <w:lvlText w:val="%1."/>
      <w:lvlJc w:val="center"/>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2D44370D"/>
    <w:multiLevelType w:val="hybridMultilevel"/>
    <w:tmpl w:val="1FA0C22A"/>
    <w:lvl w:ilvl="0" w:tplc="75A6D340">
      <w:start w:val="1"/>
      <w:numFmt w:val="hebrew1"/>
      <w:lvlText w:val="%1."/>
      <w:lvlJc w:val="center"/>
      <w:pPr>
        <w:ind w:left="720" w:hanging="360"/>
      </w:pPr>
      <w:rPr>
        <w:b w:val="0"/>
        <w:bCs w:val="0"/>
        <w:lang w:val="en-U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51D93355"/>
    <w:multiLevelType w:val="hybridMultilevel"/>
    <w:tmpl w:val="8D74089C"/>
    <w:lvl w:ilvl="0" w:tplc="A33CC42C">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721D0708"/>
    <w:multiLevelType w:val="hybridMultilevel"/>
    <w:tmpl w:val="F530E26C"/>
    <w:lvl w:ilvl="0" w:tplc="E9FC2B7A">
      <w:start w:val="1"/>
      <w:numFmt w:val="hebrew1"/>
      <w:lvlText w:val="%1."/>
      <w:lvlJc w:val="left"/>
      <w:pPr>
        <w:ind w:left="1080" w:hanging="360"/>
      </w:pPr>
      <w:rPr>
        <w:rFonts w:ascii="David" w:hAnsi="David" w:cs="David" w:hint="default"/>
        <w:b/>
        <w:bCs w:val="0"/>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num w:numId="1" w16cid:durableId="14354456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7454547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674978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384150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280087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7352715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D0926"/>
    <w:rsid w:val="000F366B"/>
    <w:rsid w:val="00141F64"/>
    <w:rsid w:val="00273CDB"/>
    <w:rsid w:val="003163B9"/>
    <w:rsid w:val="00363944"/>
    <w:rsid w:val="0037713C"/>
    <w:rsid w:val="00481E0E"/>
    <w:rsid w:val="006F50F3"/>
    <w:rsid w:val="00712539"/>
    <w:rsid w:val="007631F2"/>
    <w:rsid w:val="008D0926"/>
    <w:rsid w:val="00961F22"/>
    <w:rsid w:val="00A6072F"/>
    <w:rsid w:val="00B70293"/>
    <w:rsid w:val="00DF05DC"/>
    <w:rsid w:val="00E95426"/>
    <w:rsid w:val="00E97D3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6189867"/>
  <w15:chartTrackingRefBased/>
  <w15:docId w15:val="{4EDAC984-7D31-4F43-A5A9-315D0A364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D0926"/>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D0926"/>
    <w:pPr>
      <w:tabs>
        <w:tab w:val="center" w:pos="4153"/>
        <w:tab w:val="right" w:pos="8306"/>
      </w:tabs>
    </w:pPr>
  </w:style>
  <w:style w:type="character" w:customStyle="1" w:styleId="a4">
    <w:name w:val="כותרת עליונה תו"/>
    <w:link w:val="a3"/>
    <w:rsid w:val="008D0926"/>
    <w:rPr>
      <w:rFonts w:ascii="Times New Roman" w:eastAsia="Times New Roman" w:hAnsi="Times New Roman" w:cs="David"/>
      <w:sz w:val="24"/>
      <w:szCs w:val="24"/>
    </w:rPr>
  </w:style>
  <w:style w:type="paragraph" w:styleId="a5">
    <w:name w:val="footer"/>
    <w:basedOn w:val="a"/>
    <w:link w:val="a6"/>
    <w:rsid w:val="008D0926"/>
    <w:pPr>
      <w:tabs>
        <w:tab w:val="center" w:pos="4153"/>
        <w:tab w:val="right" w:pos="8306"/>
      </w:tabs>
    </w:pPr>
  </w:style>
  <w:style w:type="character" w:customStyle="1" w:styleId="a6">
    <w:name w:val="כותרת תחתונה תו"/>
    <w:link w:val="a5"/>
    <w:rsid w:val="008D0926"/>
    <w:rPr>
      <w:rFonts w:ascii="Times New Roman" w:eastAsia="Times New Roman" w:hAnsi="Times New Roman" w:cs="David"/>
      <w:sz w:val="24"/>
      <w:szCs w:val="24"/>
    </w:rPr>
  </w:style>
  <w:style w:type="table" w:styleId="a7">
    <w:name w:val="Table Grid"/>
    <w:basedOn w:val="a1"/>
    <w:rsid w:val="008D0926"/>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8D0926"/>
  </w:style>
  <w:style w:type="character" w:styleId="Hyperlink">
    <w:name w:val="Hyperlink"/>
    <w:rsid w:val="008D0926"/>
    <w:rPr>
      <w:color w:val="0000FF"/>
      <w:u w:val="single"/>
    </w:rPr>
  </w:style>
  <w:style w:type="paragraph" w:styleId="a9">
    <w:name w:val="List Paragraph"/>
    <w:basedOn w:val="a"/>
    <w:qFormat/>
    <w:rsid w:val="008D0926"/>
    <w:pPr>
      <w:spacing w:after="160" w:line="256" w:lineRule="auto"/>
      <w:ind w:left="720"/>
      <w:contextualSpacing/>
    </w:pPr>
    <w:rPr>
      <w:rFonts w:ascii="Calibri" w:eastAsia="Calibri" w:hAnsi="Calibri" w:cs="Arial"/>
      <w:sz w:val="22"/>
      <w:szCs w:val="22"/>
    </w:rPr>
  </w:style>
  <w:style w:type="paragraph" w:customStyle="1" w:styleId="aa">
    <w:name w:val="a"/>
    <w:basedOn w:val="a"/>
    <w:rsid w:val="008D0926"/>
    <w:pPr>
      <w:bidi w:val="0"/>
      <w:spacing w:before="100" w:beforeAutospacing="1" w:after="100" w:afterAutospacing="1"/>
    </w:pPr>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7.b" TargetMode="External"/><Relationship Id="rId18" Type="http://schemas.openxmlformats.org/officeDocument/2006/relationships/hyperlink" Target="http://www.nevo.co.il/law/4216/36a.b" TargetMode="External"/><Relationship Id="rId26" Type="http://schemas.openxmlformats.org/officeDocument/2006/relationships/hyperlink" Target="http://www.nevo.co.il/law/70301/381.a.2" TargetMode="External"/><Relationship Id="rId39" Type="http://schemas.openxmlformats.org/officeDocument/2006/relationships/hyperlink" Target="http://www.nevo.co.il/case/25093941" TargetMode="External"/><Relationship Id="rId21" Type="http://schemas.openxmlformats.org/officeDocument/2006/relationships/hyperlink" Target="http://www.nevo.co.il/law/70301/407.b" TargetMode="External"/><Relationship Id="rId34" Type="http://schemas.openxmlformats.org/officeDocument/2006/relationships/hyperlink" Target="http://www.nevo.co.il/law/4216/19a" TargetMode="External"/><Relationship Id="rId42" Type="http://schemas.openxmlformats.org/officeDocument/2006/relationships/hyperlink" Target="http://www.nevo.co.il/case/20378899" TargetMode="External"/><Relationship Id="rId47" Type="http://schemas.openxmlformats.org/officeDocument/2006/relationships/hyperlink" Target="http://www.nevo.co.il/case/18784698" TargetMode="External"/><Relationship Id="rId50" Type="http://schemas.openxmlformats.org/officeDocument/2006/relationships/hyperlink" Target="http://www.nevo.co.il/case/28160291" TargetMode="External"/><Relationship Id="rId55" Type="http://schemas.openxmlformats.org/officeDocument/2006/relationships/header" Target="head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4216/13" TargetMode="External"/><Relationship Id="rId29" Type="http://schemas.openxmlformats.org/officeDocument/2006/relationships/hyperlink" Target="http://www.nevo.co.il/law/70301/384" TargetMode="External"/><Relationship Id="rId11" Type="http://schemas.openxmlformats.org/officeDocument/2006/relationships/hyperlink" Target="http://www.nevo.co.il/law/70301/381.a.2" TargetMode="External"/><Relationship Id="rId24" Type="http://schemas.openxmlformats.org/officeDocument/2006/relationships/hyperlink" Target="http://www.nevo.co.il/law/70301/452" TargetMode="External"/><Relationship Id="rId32" Type="http://schemas.openxmlformats.org/officeDocument/2006/relationships/hyperlink" Target="http://www.nevo.co.il/case/26969234" TargetMode="External"/><Relationship Id="rId37" Type="http://schemas.openxmlformats.org/officeDocument/2006/relationships/hyperlink" Target="http://www.nevo.co.il/case/24140940" TargetMode="External"/><Relationship Id="rId40" Type="http://schemas.openxmlformats.org/officeDocument/2006/relationships/hyperlink" Target="http://www.nevo.co.il/case/27018095" TargetMode="External"/><Relationship Id="rId45" Type="http://schemas.openxmlformats.org/officeDocument/2006/relationships/hyperlink" Target="http://www.nevo.co.il/case/7028213" TargetMode="External"/><Relationship Id="rId53" Type="http://schemas.openxmlformats.org/officeDocument/2006/relationships/hyperlink" Target="http://www.nevo.co.il/advertisements/nevo-100.doc" TargetMode="External"/><Relationship Id="rId58" Type="http://schemas.openxmlformats.org/officeDocument/2006/relationships/fontTable" Target="fontTable.xml"/><Relationship Id="rId5" Type="http://schemas.openxmlformats.org/officeDocument/2006/relationships/footnotes" Target="footnotes.xml"/><Relationship Id="rId19" Type="http://schemas.openxmlformats.org/officeDocument/2006/relationships/hyperlink" Target="http://www.nevo.co.il/case/28160291" TargetMode="External"/><Relationship Id="rId4" Type="http://schemas.openxmlformats.org/officeDocument/2006/relationships/webSettings" Target="webSettings.xml"/><Relationship Id="rId9" Type="http://schemas.openxmlformats.org/officeDocument/2006/relationships/hyperlink" Target="http://www.nevo.co.il/law/70301/29.a" TargetMode="External"/><Relationship Id="rId14" Type="http://schemas.openxmlformats.org/officeDocument/2006/relationships/hyperlink" Target="http://www.nevo.co.il/law/70301/452" TargetMode="External"/><Relationship Id="rId22" Type="http://schemas.openxmlformats.org/officeDocument/2006/relationships/hyperlink" Target="http://www.nevo.co.il/law/70301" TargetMode="External"/><Relationship Id="rId27" Type="http://schemas.openxmlformats.org/officeDocument/2006/relationships/hyperlink" Target="http://www.nevo.co.il/law/70301/29.a" TargetMode="External"/><Relationship Id="rId30" Type="http://schemas.openxmlformats.org/officeDocument/2006/relationships/hyperlink" Target="http://www.nevo.co.il/law/70301/29" TargetMode="External"/><Relationship Id="rId35" Type="http://schemas.openxmlformats.org/officeDocument/2006/relationships/hyperlink" Target="http://www.nevo.co.il/law/4216" TargetMode="External"/><Relationship Id="rId43" Type="http://schemas.openxmlformats.org/officeDocument/2006/relationships/hyperlink" Target="http://www.nevo.co.il/case/22739759" TargetMode="External"/><Relationship Id="rId48" Type="http://schemas.openxmlformats.org/officeDocument/2006/relationships/hyperlink" Target="http://www.nevo.co.il/case/10459115" TargetMode="External"/><Relationship Id="rId56" Type="http://schemas.openxmlformats.org/officeDocument/2006/relationships/footer" Target="footer1.xml"/><Relationship Id="rId8" Type="http://schemas.openxmlformats.org/officeDocument/2006/relationships/hyperlink" Target="http://www.nevo.co.il/law/70301/29" TargetMode="External"/><Relationship Id="rId51" Type="http://schemas.openxmlformats.org/officeDocument/2006/relationships/hyperlink" Target="http://www.nevo.co.il/law/4216/36a.b" TargetMode="External"/><Relationship Id="rId3" Type="http://schemas.openxmlformats.org/officeDocument/2006/relationships/settings" Target="settings.xml"/><Relationship Id="rId12" Type="http://schemas.openxmlformats.org/officeDocument/2006/relationships/hyperlink" Target="http://www.nevo.co.il/law/70301/384" TargetMode="External"/><Relationship Id="rId17" Type="http://schemas.openxmlformats.org/officeDocument/2006/relationships/hyperlink" Target="http://www.nevo.co.il/law/4216/19a" TargetMode="External"/><Relationship Id="rId25" Type="http://schemas.openxmlformats.org/officeDocument/2006/relationships/hyperlink" Target="http://www.nevo.co.il/law/70301/384" TargetMode="External"/><Relationship Id="rId33" Type="http://schemas.openxmlformats.org/officeDocument/2006/relationships/hyperlink" Target="http://www.nevo.co.il/law/4216/13" TargetMode="External"/><Relationship Id="rId38" Type="http://schemas.openxmlformats.org/officeDocument/2006/relationships/hyperlink" Target="http://www.nevo.co.il/case/27633468" TargetMode="External"/><Relationship Id="rId46" Type="http://schemas.openxmlformats.org/officeDocument/2006/relationships/hyperlink" Target="http://www.nevo.co.il/case/25298396" TargetMode="External"/><Relationship Id="rId59" Type="http://schemas.openxmlformats.org/officeDocument/2006/relationships/theme" Target="theme/theme1.xml"/><Relationship Id="rId20" Type="http://schemas.openxmlformats.org/officeDocument/2006/relationships/hyperlink" Target="http://www.nevo.co.il/case/27315609" TargetMode="External"/><Relationship Id="rId41" Type="http://schemas.openxmlformats.org/officeDocument/2006/relationships/hyperlink" Target="http://www.nevo.co.il/case/23269593" TargetMode="External"/><Relationship Id="rId54"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4216" TargetMode="External"/><Relationship Id="rId23" Type="http://schemas.openxmlformats.org/officeDocument/2006/relationships/hyperlink" Target="http://www.nevo.co.il/law/70301/287.a" TargetMode="External"/><Relationship Id="rId28" Type="http://schemas.openxmlformats.org/officeDocument/2006/relationships/hyperlink" Target="http://www.nevo.co.il/law/70301" TargetMode="External"/><Relationship Id="rId36" Type="http://schemas.openxmlformats.org/officeDocument/2006/relationships/hyperlink" Target="http://www.nevo.co.il/case/26902298" TargetMode="External"/><Relationship Id="rId49" Type="http://schemas.openxmlformats.org/officeDocument/2006/relationships/hyperlink" Target="http://www.nevo.co.il/case/22716835" TargetMode="External"/><Relationship Id="rId57" Type="http://schemas.openxmlformats.org/officeDocument/2006/relationships/footer" Target="footer2.xml"/><Relationship Id="rId10" Type="http://schemas.openxmlformats.org/officeDocument/2006/relationships/hyperlink" Target="http://www.nevo.co.il/law/70301/287.a" TargetMode="External"/><Relationship Id="rId31" Type="http://schemas.openxmlformats.org/officeDocument/2006/relationships/hyperlink" Target="http://www.nevo.co.il/law/70301/287.a" TargetMode="External"/><Relationship Id="rId44" Type="http://schemas.openxmlformats.org/officeDocument/2006/relationships/hyperlink" Target="http://www.nevo.co.il/case/21552284" TargetMode="External"/><Relationship Id="rId52" Type="http://schemas.openxmlformats.org/officeDocument/2006/relationships/hyperlink" Target="http://www.eca.gov.i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3555</Words>
  <Characters>17779</Characters>
  <Application>Microsoft Office Word</Application>
  <DocSecurity>0</DocSecurity>
  <Lines>148</Lines>
  <Paragraphs>42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21292</CharactersWithSpaces>
  <SharedDoc>false</SharedDoc>
  <HLinks>
    <vt:vector size="282" baseType="variant">
      <vt:variant>
        <vt:i4>393283</vt:i4>
      </vt:variant>
      <vt:variant>
        <vt:i4>138</vt:i4>
      </vt:variant>
      <vt:variant>
        <vt:i4>0</vt:i4>
      </vt:variant>
      <vt:variant>
        <vt:i4>5</vt:i4>
      </vt:variant>
      <vt:variant>
        <vt:lpwstr>http://www.nevo.co.il/advertisements/nevo-100.doc</vt:lpwstr>
      </vt:variant>
      <vt:variant>
        <vt:lpwstr/>
      </vt:variant>
      <vt:variant>
        <vt:i4>7864368</vt:i4>
      </vt:variant>
      <vt:variant>
        <vt:i4>135</vt:i4>
      </vt:variant>
      <vt:variant>
        <vt:i4>0</vt:i4>
      </vt:variant>
      <vt:variant>
        <vt:i4>5</vt:i4>
      </vt:variant>
      <vt:variant>
        <vt:lpwstr>http://www.eca.gov.il/</vt:lpwstr>
      </vt:variant>
      <vt:variant>
        <vt:lpwstr/>
      </vt:variant>
      <vt:variant>
        <vt:i4>5111890</vt:i4>
      </vt:variant>
      <vt:variant>
        <vt:i4>132</vt:i4>
      </vt:variant>
      <vt:variant>
        <vt:i4>0</vt:i4>
      </vt:variant>
      <vt:variant>
        <vt:i4>5</vt:i4>
      </vt:variant>
      <vt:variant>
        <vt:lpwstr>http://www.nevo.co.il/law/4216/36a.b</vt:lpwstr>
      </vt:variant>
      <vt:variant>
        <vt:lpwstr/>
      </vt:variant>
      <vt:variant>
        <vt:i4>3801208</vt:i4>
      </vt:variant>
      <vt:variant>
        <vt:i4>129</vt:i4>
      </vt:variant>
      <vt:variant>
        <vt:i4>0</vt:i4>
      </vt:variant>
      <vt:variant>
        <vt:i4>5</vt:i4>
      </vt:variant>
      <vt:variant>
        <vt:lpwstr>http://www.nevo.co.il/case/28160291</vt:lpwstr>
      </vt:variant>
      <vt:variant>
        <vt:lpwstr/>
      </vt:variant>
      <vt:variant>
        <vt:i4>3145855</vt:i4>
      </vt:variant>
      <vt:variant>
        <vt:i4>126</vt:i4>
      </vt:variant>
      <vt:variant>
        <vt:i4>0</vt:i4>
      </vt:variant>
      <vt:variant>
        <vt:i4>5</vt:i4>
      </vt:variant>
      <vt:variant>
        <vt:lpwstr>http://www.nevo.co.il/case/22716835</vt:lpwstr>
      </vt:variant>
      <vt:variant>
        <vt:lpwstr/>
      </vt:variant>
      <vt:variant>
        <vt:i4>3997808</vt:i4>
      </vt:variant>
      <vt:variant>
        <vt:i4>123</vt:i4>
      </vt:variant>
      <vt:variant>
        <vt:i4>0</vt:i4>
      </vt:variant>
      <vt:variant>
        <vt:i4>5</vt:i4>
      </vt:variant>
      <vt:variant>
        <vt:lpwstr>http://www.nevo.co.il/case/10459115</vt:lpwstr>
      </vt:variant>
      <vt:variant>
        <vt:lpwstr/>
      </vt:variant>
      <vt:variant>
        <vt:i4>3866738</vt:i4>
      </vt:variant>
      <vt:variant>
        <vt:i4>120</vt:i4>
      </vt:variant>
      <vt:variant>
        <vt:i4>0</vt:i4>
      </vt:variant>
      <vt:variant>
        <vt:i4>5</vt:i4>
      </vt:variant>
      <vt:variant>
        <vt:lpwstr>http://www.nevo.co.il/case/18784698</vt:lpwstr>
      </vt:variant>
      <vt:variant>
        <vt:lpwstr/>
      </vt:variant>
      <vt:variant>
        <vt:i4>3211387</vt:i4>
      </vt:variant>
      <vt:variant>
        <vt:i4>117</vt:i4>
      </vt:variant>
      <vt:variant>
        <vt:i4>0</vt:i4>
      </vt:variant>
      <vt:variant>
        <vt:i4>5</vt:i4>
      </vt:variant>
      <vt:variant>
        <vt:lpwstr>http://www.nevo.co.il/case/25298396</vt:lpwstr>
      </vt:variant>
      <vt:variant>
        <vt:lpwstr/>
      </vt:variant>
      <vt:variant>
        <vt:i4>3407997</vt:i4>
      </vt:variant>
      <vt:variant>
        <vt:i4>114</vt:i4>
      </vt:variant>
      <vt:variant>
        <vt:i4>0</vt:i4>
      </vt:variant>
      <vt:variant>
        <vt:i4>5</vt:i4>
      </vt:variant>
      <vt:variant>
        <vt:lpwstr>http://www.nevo.co.il/case/7028213</vt:lpwstr>
      </vt:variant>
      <vt:variant>
        <vt:lpwstr/>
      </vt:variant>
      <vt:variant>
        <vt:i4>3997810</vt:i4>
      </vt:variant>
      <vt:variant>
        <vt:i4>111</vt:i4>
      </vt:variant>
      <vt:variant>
        <vt:i4>0</vt:i4>
      </vt:variant>
      <vt:variant>
        <vt:i4>5</vt:i4>
      </vt:variant>
      <vt:variant>
        <vt:lpwstr>http://www.nevo.co.il/case/21552284</vt:lpwstr>
      </vt:variant>
      <vt:variant>
        <vt:lpwstr/>
      </vt:variant>
      <vt:variant>
        <vt:i4>3735666</vt:i4>
      </vt:variant>
      <vt:variant>
        <vt:i4>108</vt:i4>
      </vt:variant>
      <vt:variant>
        <vt:i4>0</vt:i4>
      </vt:variant>
      <vt:variant>
        <vt:i4>5</vt:i4>
      </vt:variant>
      <vt:variant>
        <vt:lpwstr>http://www.nevo.co.il/case/22739759</vt:lpwstr>
      </vt:variant>
      <vt:variant>
        <vt:lpwstr/>
      </vt:variant>
      <vt:variant>
        <vt:i4>3145851</vt:i4>
      </vt:variant>
      <vt:variant>
        <vt:i4>105</vt:i4>
      </vt:variant>
      <vt:variant>
        <vt:i4>0</vt:i4>
      </vt:variant>
      <vt:variant>
        <vt:i4>5</vt:i4>
      </vt:variant>
      <vt:variant>
        <vt:lpwstr>http://www.nevo.co.il/case/20378899</vt:lpwstr>
      </vt:variant>
      <vt:variant>
        <vt:lpwstr/>
      </vt:variant>
      <vt:variant>
        <vt:i4>3145844</vt:i4>
      </vt:variant>
      <vt:variant>
        <vt:i4>102</vt:i4>
      </vt:variant>
      <vt:variant>
        <vt:i4>0</vt:i4>
      </vt:variant>
      <vt:variant>
        <vt:i4>5</vt:i4>
      </vt:variant>
      <vt:variant>
        <vt:lpwstr>http://www.nevo.co.il/case/23269593</vt:lpwstr>
      </vt:variant>
      <vt:variant>
        <vt:lpwstr/>
      </vt:variant>
      <vt:variant>
        <vt:i4>3342450</vt:i4>
      </vt:variant>
      <vt:variant>
        <vt:i4>99</vt:i4>
      </vt:variant>
      <vt:variant>
        <vt:i4>0</vt:i4>
      </vt:variant>
      <vt:variant>
        <vt:i4>5</vt:i4>
      </vt:variant>
      <vt:variant>
        <vt:lpwstr>http://www.nevo.co.il/case/27018095</vt:lpwstr>
      </vt:variant>
      <vt:variant>
        <vt:lpwstr/>
      </vt:variant>
      <vt:variant>
        <vt:i4>3473521</vt:i4>
      </vt:variant>
      <vt:variant>
        <vt:i4>96</vt:i4>
      </vt:variant>
      <vt:variant>
        <vt:i4>0</vt:i4>
      </vt:variant>
      <vt:variant>
        <vt:i4>5</vt:i4>
      </vt:variant>
      <vt:variant>
        <vt:lpwstr>http://www.nevo.co.il/case/25093941</vt:lpwstr>
      </vt:variant>
      <vt:variant>
        <vt:lpwstr/>
      </vt:variant>
      <vt:variant>
        <vt:i4>3211380</vt:i4>
      </vt:variant>
      <vt:variant>
        <vt:i4>93</vt:i4>
      </vt:variant>
      <vt:variant>
        <vt:i4>0</vt:i4>
      </vt:variant>
      <vt:variant>
        <vt:i4>5</vt:i4>
      </vt:variant>
      <vt:variant>
        <vt:lpwstr>http://www.nevo.co.il/case/27633468</vt:lpwstr>
      </vt:variant>
      <vt:variant>
        <vt:lpwstr/>
      </vt:variant>
      <vt:variant>
        <vt:i4>3604605</vt:i4>
      </vt:variant>
      <vt:variant>
        <vt:i4>90</vt:i4>
      </vt:variant>
      <vt:variant>
        <vt:i4>0</vt:i4>
      </vt:variant>
      <vt:variant>
        <vt:i4>5</vt:i4>
      </vt:variant>
      <vt:variant>
        <vt:lpwstr>http://www.nevo.co.il/case/24140940</vt:lpwstr>
      </vt:variant>
      <vt:variant>
        <vt:lpwstr/>
      </vt:variant>
      <vt:variant>
        <vt:i4>3145840</vt:i4>
      </vt:variant>
      <vt:variant>
        <vt:i4>87</vt:i4>
      </vt:variant>
      <vt:variant>
        <vt:i4>0</vt:i4>
      </vt:variant>
      <vt:variant>
        <vt:i4>5</vt:i4>
      </vt:variant>
      <vt:variant>
        <vt:lpwstr>http://www.nevo.co.il/case/26902298</vt:lpwstr>
      </vt:variant>
      <vt:variant>
        <vt:lpwstr/>
      </vt:variant>
      <vt:variant>
        <vt:i4>8257637</vt:i4>
      </vt:variant>
      <vt:variant>
        <vt:i4>84</vt:i4>
      </vt:variant>
      <vt:variant>
        <vt:i4>0</vt:i4>
      </vt:variant>
      <vt:variant>
        <vt:i4>5</vt:i4>
      </vt:variant>
      <vt:variant>
        <vt:lpwstr>http://www.nevo.co.il/law/4216</vt:lpwstr>
      </vt:variant>
      <vt:variant>
        <vt:lpwstr/>
      </vt:variant>
      <vt:variant>
        <vt:i4>3014771</vt:i4>
      </vt:variant>
      <vt:variant>
        <vt:i4>81</vt:i4>
      </vt:variant>
      <vt:variant>
        <vt:i4>0</vt:i4>
      </vt:variant>
      <vt:variant>
        <vt:i4>5</vt:i4>
      </vt:variant>
      <vt:variant>
        <vt:lpwstr>http://www.nevo.co.il/law/4216/19a</vt:lpwstr>
      </vt:variant>
      <vt:variant>
        <vt:lpwstr/>
      </vt:variant>
      <vt:variant>
        <vt:i4>5177418</vt:i4>
      </vt:variant>
      <vt:variant>
        <vt:i4>78</vt:i4>
      </vt:variant>
      <vt:variant>
        <vt:i4>0</vt:i4>
      </vt:variant>
      <vt:variant>
        <vt:i4>5</vt:i4>
      </vt:variant>
      <vt:variant>
        <vt:lpwstr>http://www.nevo.co.il/law/4216/13</vt:lpwstr>
      </vt:variant>
      <vt:variant>
        <vt:lpwstr/>
      </vt:variant>
      <vt:variant>
        <vt:i4>3211382</vt:i4>
      </vt:variant>
      <vt:variant>
        <vt:i4>75</vt:i4>
      </vt:variant>
      <vt:variant>
        <vt:i4>0</vt:i4>
      </vt:variant>
      <vt:variant>
        <vt:i4>5</vt:i4>
      </vt:variant>
      <vt:variant>
        <vt:lpwstr>http://www.nevo.co.il/case/26969234</vt:lpwstr>
      </vt:variant>
      <vt:variant>
        <vt:lpwstr/>
      </vt:variant>
      <vt:variant>
        <vt:i4>4390992</vt:i4>
      </vt:variant>
      <vt:variant>
        <vt:i4>72</vt:i4>
      </vt:variant>
      <vt:variant>
        <vt:i4>0</vt:i4>
      </vt:variant>
      <vt:variant>
        <vt:i4>5</vt:i4>
      </vt:variant>
      <vt:variant>
        <vt:lpwstr>http://www.nevo.co.il/law/70301/287.a</vt:lpwstr>
      </vt:variant>
      <vt:variant>
        <vt:lpwstr/>
      </vt:variant>
      <vt:variant>
        <vt:i4>7077991</vt:i4>
      </vt:variant>
      <vt:variant>
        <vt:i4>69</vt:i4>
      </vt:variant>
      <vt:variant>
        <vt:i4>0</vt:i4>
      </vt:variant>
      <vt:variant>
        <vt:i4>5</vt:i4>
      </vt:variant>
      <vt:variant>
        <vt:lpwstr>http://www.nevo.co.il/law/70301/29</vt:lpwstr>
      </vt:variant>
      <vt:variant>
        <vt:lpwstr/>
      </vt:variant>
      <vt:variant>
        <vt:i4>7143526</vt:i4>
      </vt:variant>
      <vt:variant>
        <vt:i4>66</vt:i4>
      </vt:variant>
      <vt:variant>
        <vt:i4>0</vt:i4>
      </vt:variant>
      <vt:variant>
        <vt:i4>5</vt:i4>
      </vt:variant>
      <vt:variant>
        <vt:lpwstr>http://www.nevo.co.il/law/70301/384</vt:lpwstr>
      </vt:variant>
      <vt:variant>
        <vt:lpwstr/>
      </vt:variant>
      <vt:variant>
        <vt:i4>7995492</vt:i4>
      </vt:variant>
      <vt:variant>
        <vt:i4>63</vt:i4>
      </vt:variant>
      <vt:variant>
        <vt:i4>0</vt:i4>
      </vt:variant>
      <vt:variant>
        <vt:i4>5</vt:i4>
      </vt:variant>
      <vt:variant>
        <vt:lpwstr>http://www.nevo.co.il/law/70301</vt:lpwstr>
      </vt:variant>
      <vt:variant>
        <vt:lpwstr/>
      </vt:variant>
      <vt:variant>
        <vt:i4>852041</vt:i4>
      </vt:variant>
      <vt:variant>
        <vt:i4>60</vt:i4>
      </vt:variant>
      <vt:variant>
        <vt:i4>0</vt:i4>
      </vt:variant>
      <vt:variant>
        <vt:i4>5</vt:i4>
      </vt:variant>
      <vt:variant>
        <vt:lpwstr>http://www.nevo.co.il/law/70301/29.a</vt:lpwstr>
      </vt:variant>
      <vt:variant>
        <vt:lpwstr/>
      </vt:variant>
      <vt:variant>
        <vt:i4>7143478</vt:i4>
      </vt:variant>
      <vt:variant>
        <vt:i4>57</vt:i4>
      </vt:variant>
      <vt:variant>
        <vt:i4>0</vt:i4>
      </vt:variant>
      <vt:variant>
        <vt:i4>5</vt:i4>
      </vt:variant>
      <vt:variant>
        <vt:lpwstr>http://www.nevo.co.il/law/70301/381.a.2</vt:lpwstr>
      </vt:variant>
      <vt:variant>
        <vt:lpwstr/>
      </vt:variant>
      <vt:variant>
        <vt:i4>7143526</vt:i4>
      </vt:variant>
      <vt:variant>
        <vt:i4>54</vt:i4>
      </vt:variant>
      <vt:variant>
        <vt:i4>0</vt:i4>
      </vt:variant>
      <vt:variant>
        <vt:i4>5</vt:i4>
      </vt:variant>
      <vt:variant>
        <vt:lpwstr>http://www.nevo.co.il/law/70301/384</vt:lpwstr>
      </vt:variant>
      <vt:variant>
        <vt:lpwstr/>
      </vt:variant>
      <vt:variant>
        <vt:i4>6291553</vt:i4>
      </vt:variant>
      <vt:variant>
        <vt:i4>51</vt:i4>
      </vt:variant>
      <vt:variant>
        <vt:i4>0</vt:i4>
      </vt:variant>
      <vt:variant>
        <vt:i4>5</vt:i4>
      </vt:variant>
      <vt:variant>
        <vt:lpwstr>http://www.nevo.co.il/law/70301/452</vt:lpwstr>
      </vt:variant>
      <vt:variant>
        <vt:lpwstr/>
      </vt:variant>
      <vt:variant>
        <vt:i4>4390992</vt:i4>
      </vt:variant>
      <vt:variant>
        <vt:i4>48</vt:i4>
      </vt:variant>
      <vt:variant>
        <vt:i4>0</vt:i4>
      </vt:variant>
      <vt:variant>
        <vt:i4>5</vt:i4>
      </vt:variant>
      <vt:variant>
        <vt:lpwstr>http://www.nevo.co.il/law/70301/287.a</vt:lpwstr>
      </vt:variant>
      <vt:variant>
        <vt:lpwstr/>
      </vt:variant>
      <vt:variant>
        <vt:i4>7995492</vt:i4>
      </vt:variant>
      <vt:variant>
        <vt:i4>45</vt:i4>
      </vt:variant>
      <vt:variant>
        <vt:i4>0</vt:i4>
      </vt:variant>
      <vt:variant>
        <vt:i4>5</vt:i4>
      </vt:variant>
      <vt:variant>
        <vt:lpwstr>http://www.nevo.co.il/law/70301</vt:lpwstr>
      </vt:variant>
      <vt:variant>
        <vt:lpwstr/>
      </vt:variant>
      <vt:variant>
        <vt:i4>4915286</vt:i4>
      </vt:variant>
      <vt:variant>
        <vt:i4>42</vt:i4>
      </vt:variant>
      <vt:variant>
        <vt:i4>0</vt:i4>
      </vt:variant>
      <vt:variant>
        <vt:i4>5</vt:i4>
      </vt:variant>
      <vt:variant>
        <vt:lpwstr>http://www.nevo.co.il/law/70301/407.b</vt:lpwstr>
      </vt:variant>
      <vt:variant>
        <vt:lpwstr/>
      </vt:variant>
      <vt:variant>
        <vt:i4>3407988</vt:i4>
      </vt:variant>
      <vt:variant>
        <vt:i4>39</vt:i4>
      </vt:variant>
      <vt:variant>
        <vt:i4>0</vt:i4>
      </vt:variant>
      <vt:variant>
        <vt:i4>5</vt:i4>
      </vt:variant>
      <vt:variant>
        <vt:lpwstr>http://www.nevo.co.il/case/27315609</vt:lpwstr>
      </vt:variant>
      <vt:variant>
        <vt:lpwstr/>
      </vt:variant>
      <vt:variant>
        <vt:i4>3801208</vt:i4>
      </vt:variant>
      <vt:variant>
        <vt:i4>36</vt:i4>
      </vt:variant>
      <vt:variant>
        <vt:i4>0</vt:i4>
      </vt:variant>
      <vt:variant>
        <vt:i4>5</vt:i4>
      </vt:variant>
      <vt:variant>
        <vt:lpwstr>http://www.nevo.co.il/case/28160291</vt:lpwstr>
      </vt:variant>
      <vt:variant>
        <vt:lpwstr/>
      </vt:variant>
      <vt:variant>
        <vt:i4>5111890</vt:i4>
      </vt:variant>
      <vt:variant>
        <vt:i4>33</vt:i4>
      </vt:variant>
      <vt:variant>
        <vt:i4>0</vt:i4>
      </vt:variant>
      <vt:variant>
        <vt:i4>5</vt:i4>
      </vt:variant>
      <vt:variant>
        <vt:lpwstr>http://www.nevo.co.il/law/4216/36a.b</vt:lpwstr>
      </vt:variant>
      <vt:variant>
        <vt:lpwstr/>
      </vt:variant>
      <vt:variant>
        <vt:i4>3014771</vt:i4>
      </vt:variant>
      <vt:variant>
        <vt:i4>30</vt:i4>
      </vt:variant>
      <vt:variant>
        <vt:i4>0</vt:i4>
      </vt:variant>
      <vt:variant>
        <vt:i4>5</vt:i4>
      </vt:variant>
      <vt:variant>
        <vt:lpwstr>http://www.nevo.co.il/law/4216/19a</vt:lpwstr>
      </vt:variant>
      <vt:variant>
        <vt:lpwstr/>
      </vt:variant>
      <vt:variant>
        <vt:i4>5177418</vt:i4>
      </vt:variant>
      <vt:variant>
        <vt:i4>27</vt:i4>
      </vt:variant>
      <vt:variant>
        <vt:i4>0</vt:i4>
      </vt:variant>
      <vt:variant>
        <vt:i4>5</vt:i4>
      </vt:variant>
      <vt:variant>
        <vt:lpwstr>http://www.nevo.co.il/law/4216/13</vt:lpwstr>
      </vt:variant>
      <vt:variant>
        <vt:lpwstr/>
      </vt:variant>
      <vt:variant>
        <vt:i4>8257637</vt:i4>
      </vt:variant>
      <vt:variant>
        <vt:i4>24</vt:i4>
      </vt:variant>
      <vt:variant>
        <vt:i4>0</vt:i4>
      </vt:variant>
      <vt:variant>
        <vt:i4>5</vt:i4>
      </vt:variant>
      <vt:variant>
        <vt:lpwstr>http://www.nevo.co.il/law/4216</vt:lpwstr>
      </vt:variant>
      <vt:variant>
        <vt:lpwstr/>
      </vt:variant>
      <vt:variant>
        <vt:i4>6291553</vt:i4>
      </vt:variant>
      <vt:variant>
        <vt:i4>21</vt:i4>
      </vt:variant>
      <vt:variant>
        <vt:i4>0</vt:i4>
      </vt:variant>
      <vt:variant>
        <vt:i4>5</vt:i4>
      </vt:variant>
      <vt:variant>
        <vt:lpwstr>http://www.nevo.co.il/law/70301/452</vt:lpwstr>
      </vt:variant>
      <vt:variant>
        <vt:lpwstr/>
      </vt:variant>
      <vt:variant>
        <vt:i4>4915286</vt:i4>
      </vt:variant>
      <vt:variant>
        <vt:i4>18</vt:i4>
      </vt:variant>
      <vt:variant>
        <vt:i4>0</vt:i4>
      </vt:variant>
      <vt:variant>
        <vt:i4>5</vt:i4>
      </vt:variant>
      <vt:variant>
        <vt:lpwstr>http://www.nevo.co.il/law/70301/407.b</vt:lpwstr>
      </vt:variant>
      <vt:variant>
        <vt:lpwstr/>
      </vt:variant>
      <vt:variant>
        <vt:i4>7143526</vt:i4>
      </vt:variant>
      <vt:variant>
        <vt:i4>15</vt:i4>
      </vt:variant>
      <vt:variant>
        <vt:i4>0</vt:i4>
      </vt:variant>
      <vt:variant>
        <vt:i4>5</vt:i4>
      </vt:variant>
      <vt:variant>
        <vt:lpwstr>http://www.nevo.co.il/law/70301/384</vt:lpwstr>
      </vt:variant>
      <vt:variant>
        <vt:lpwstr/>
      </vt:variant>
      <vt:variant>
        <vt:i4>7143478</vt:i4>
      </vt:variant>
      <vt:variant>
        <vt:i4>12</vt:i4>
      </vt:variant>
      <vt:variant>
        <vt:i4>0</vt:i4>
      </vt:variant>
      <vt:variant>
        <vt:i4>5</vt:i4>
      </vt:variant>
      <vt:variant>
        <vt:lpwstr>http://www.nevo.co.il/law/70301/381.a.2</vt:lpwstr>
      </vt:variant>
      <vt:variant>
        <vt:lpwstr/>
      </vt:variant>
      <vt:variant>
        <vt:i4>4390992</vt:i4>
      </vt:variant>
      <vt:variant>
        <vt:i4>9</vt:i4>
      </vt:variant>
      <vt:variant>
        <vt:i4>0</vt:i4>
      </vt:variant>
      <vt:variant>
        <vt:i4>5</vt:i4>
      </vt:variant>
      <vt:variant>
        <vt:lpwstr>http://www.nevo.co.il/law/70301/287.a</vt:lpwstr>
      </vt:variant>
      <vt:variant>
        <vt:lpwstr/>
      </vt:variant>
      <vt:variant>
        <vt:i4>852041</vt:i4>
      </vt:variant>
      <vt:variant>
        <vt:i4>6</vt:i4>
      </vt:variant>
      <vt:variant>
        <vt:i4>0</vt:i4>
      </vt:variant>
      <vt:variant>
        <vt:i4>5</vt:i4>
      </vt:variant>
      <vt:variant>
        <vt:lpwstr>http://www.nevo.co.il/law/70301/29.a</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2025-04-23T01:18:00Z</dcterms:created>
  <dcterms:modified xsi:type="dcterms:W3CDTF">2025-04-23T01:18:00Z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תפ;תפק</vt:lpwstr>
  </property>
  <property fmtid="{D5CDD505-2E9C-101B-9397-08002B2CF9AE}" pid="5" name="NEWPARTA">
    <vt:lpwstr>17541;19452</vt:lpwstr>
  </property>
  <property fmtid="{D5CDD505-2E9C-101B-9397-08002B2CF9AE}" pid="6" name="NEWPARTB">
    <vt:lpwstr>12;01</vt:lpwstr>
  </property>
  <property fmtid="{D5CDD505-2E9C-101B-9397-08002B2CF9AE}" pid="7" name="NEWPARTC">
    <vt:lpwstr>21;21</vt:lpwstr>
  </property>
  <property fmtid="{D5CDD505-2E9C-101B-9397-08002B2CF9AE}" pid="8" name="APPELLANT">
    <vt:lpwstr>מדינת ישראל</vt:lpwstr>
  </property>
  <property fmtid="{D5CDD505-2E9C-101B-9397-08002B2CF9AE}" pid="9" name="APPELLEE">
    <vt:lpwstr>עומרי אבו חלתם</vt:lpwstr>
  </property>
  <property fmtid="{D5CDD505-2E9C-101B-9397-08002B2CF9AE}" pid="10" name="JUDGE">
    <vt:lpwstr>אילה אורן</vt:lpwstr>
  </property>
  <property fmtid="{D5CDD505-2E9C-101B-9397-08002B2CF9AE}" pid="11" name="CITY">
    <vt:lpwstr>רמ'</vt:lpwstr>
  </property>
  <property fmtid="{D5CDD505-2E9C-101B-9397-08002B2CF9AE}" pid="12" name="DATE">
    <vt:lpwstr>20230711</vt:lpwstr>
  </property>
  <property fmtid="{D5CDD505-2E9C-101B-9397-08002B2CF9AE}" pid="13" name="TYPE_N_DATE">
    <vt:lpwstr>38020230711</vt:lpwstr>
  </property>
  <property fmtid="{D5CDD505-2E9C-101B-9397-08002B2CF9AE}" pid="14" name="WORDNUMPAGES">
    <vt:lpwstr>10</vt:lpwstr>
  </property>
  <property fmtid="{D5CDD505-2E9C-101B-9397-08002B2CF9AE}" pid="15" name="TYPE_ABS_DATE">
    <vt:lpwstr>380020230711</vt:lpwstr>
  </property>
  <property fmtid="{D5CDD505-2E9C-101B-9397-08002B2CF9AE}" pid="16" name="ISABSTRACT">
    <vt:lpwstr>Y</vt:lpwstr>
  </property>
  <property fmtid="{D5CDD505-2E9C-101B-9397-08002B2CF9AE}" pid="17" name="CASESLISTTMP1">
    <vt:lpwstr>28160291:2;27315609;26969234;26902298;24140940;27633468;25093941;27018095;23269593;20378899;22739759;21552284;7028213;25298396;18784698;10459115;22716835</vt:lpwstr>
  </property>
  <property fmtid="{D5CDD505-2E9C-101B-9397-08002B2CF9AE}" pid="18" name="LAWLISTTMP1">
    <vt:lpwstr>70301/407.b;287.a:2;452;384:2;381.a.2;029.a;029</vt:lpwstr>
  </property>
  <property fmtid="{D5CDD505-2E9C-101B-9397-08002B2CF9AE}" pid="19" name="LAWLISTTMP2">
    <vt:lpwstr>4216/013;019a;036a.b</vt:lpwstr>
  </property>
</Properties>
</file>