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4"/>
        <w:gridCol w:w="236"/>
        <w:gridCol w:w="2052"/>
      </w:tblGrid>
      <w:tr w:rsidR="003C2A8A" w:rsidRPr="003C2A8A" w14:paraId="5FA428F3" w14:textId="77777777" w:rsidTr="00A9259F">
        <w:trPr>
          <w:trHeight w:hRule="exact" w:val="418"/>
          <w:jc w:val="center"/>
        </w:trPr>
        <w:tc>
          <w:tcPr>
            <w:tcW w:w="8522" w:type="dxa"/>
            <w:gridSpan w:val="3"/>
          </w:tcPr>
          <w:p w14:paraId="52F6C303" w14:textId="77777777" w:rsidR="003C2A8A" w:rsidRPr="003C2A8A" w:rsidRDefault="003C2A8A" w:rsidP="008247D5">
            <w:pPr>
              <w:pStyle w:val="a3"/>
              <w:tabs>
                <w:tab w:val="clear" w:pos="8306"/>
              </w:tabs>
              <w:jc w:val="center"/>
              <w:rPr>
                <w:rFonts w:ascii="Tahoma" w:hAnsi="Tahoma"/>
                <w:b/>
                <w:bCs/>
                <w:color w:val="000080"/>
                <w:sz w:val="32"/>
                <w:szCs w:val="32"/>
                <w:rtl/>
              </w:rPr>
            </w:pPr>
            <w:bookmarkStart w:id="0" w:name="LastJudge"/>
            <w:r w:rsidRPr="003C2A8A">
              <w:rPr>
                <w:rFonts w:ascii="Tahoma" w:hAnsi="Tahoma"/>
                <w:b/>
                <w:bCs/>
                <w:color w:val="000080"/>
                <w:sz w:val="32"/>
                <w:szCs w:val="32"/>
                <w:rtl/>
              </w:rPr>
              <w:t>בית משפט השלום בתל אביב -יפו</w:t>
            </w:r>
          </w:p>
        </w:tc>
      </w:tr>
      <w:tr w:rsidR="003C2A8A" w:rsidRPr="003C2A8A" w14:paraId="40A2C3CD" w14:textId="77777777" w:rsidTr="00A9259F">
        <w:trPr>
          <w:trHeight w:val="337"/>
          <w:jc w:val="center"/>
        </w:trPr>
        <w:tc>
          <w:tcPr>
            <w:tcW w:w="6234" w:type="dxa"/>
          </w:tcPr>
          <w:p w14:paraId="37C3CA78" w14:textId="77777777" w:rsidR="003C2A8A" w:rsidRPr="003C2A8A" w:rsidRDefault="003C2A8A" w:rsidP="008247D5">
            <w:pPr>
              <w:rPr>
                <w:b/>
                <w:bCs/>
                <w:sz w:val="26"/>
                <w:szCs w:val="26"/>
                <w:rtl/>
              </w:rPr>
            </w:pPr>
            <w:r w:rsidRPr="003C2A8A">
              <w:rPr>
                <w:b/>
                <w:bCs/>
                <w:sz w:val="26"/>
                <w:szCs w:val="26"/>
                <w:rtl/>
              </w:rPr>
              <w:t>ת"פ 20161-12-21 מדינת ישראל נ' לובטון</w:t>
            </w:r>
          </w:p>
        </w:tc>
        <w:tc>
          <w:tcPr>
            <w:tcW w:w="236" w:type="dxa"/>
          </w:tcPr>
          <w:p w14:paraId="6D3B2F6A" w14:textId="77777777" w:rsidR="003C2A8A" w:rsidRPr="003C2A8A" w:rsidRDefault="003C2A8A" w:rsidP="008247D5">
            <w:pPr>
              <w:pStyle w:val="a3"/>
              <w:jc w:val="right"/>
              <w:rPr>
                <w:b/>
                <w:bCs/>
                <w:sz w:val="26"/>
                <w:szCs w:val="26"/>
                <w:rtl/>
              </w:rPr>
            </w:pPr>
          </w:p>
        </w:tc>
        <w:tc>
          <w:tcPr>
            <w:tcW w:w="2052" w:type="dxa"/>
          </w:tcPr>
          <w:p w14:paraId="1296DCD6" w14:textId="77777777" w:rsidR="003C2A8A" w:rsidRPr="003C2A8A" w:rsidRDefault="003C2A8A" w:rsidP="008247D5">
            <w:pPr>
              <w:pStyle w:val="a3"/>
              <w:tabs>
                <w:tab w:val="clear" w:pos="4153"/>
              </w:tabs>
              <w:jc w:val="right"/>
              <w:rPr>
                <w:b/>
                <w:bCs/>
                <w:sz w:val="26"/>
                <w:szCs w:val="26"/>
                <w:rtl/>
              </w:rPr>
            </w:pPr>
            <w:r w:rsidRPr="003C2A8A">
              <w:rPr>
                <w:b/>
                <w:bCs/>
                <w:sz w:val="26"/>
                <w:szCs w:val="26"/>
                <w:rtl/>
              </w:rPr>
              <w:t>25 דצמבר 2023</w:t>
            </w:r>
          </w:p>
        </w:tc>
      </w:tr>
    </w:tbl>
    <w:p w14:paraId="3F3E62F1" w14:textId="77777777" w:rsidR="003C2A8A" w:rsidRPr="003C2A8A" w:rsidRDefault="003C2A8A" w:rsidP="003C2A8A">
      <w:pPr>
        <w:pStyle w:val="a3"/>
        <w:tabs>
          <w:tab w:val="left" w:pos="2785"/>
        </w:tabs>
        <w:rPr>
          <w:rFonts w:ascii="Tahoma" w:hAnsi="Tahoma" w:cs="Tahoma"/>
          <w:b/>
          <w:bCs/>
          <w:color w:val="000080"/>
          <w:sz w:val="2"/>
          <w:szCs w:val="2"/>
          <w:rtl/>
        </w:rPr>
      </w:pPr>
    </w:p>
    <w:p w14:paraId="57669EBA" w14:textId="77777777" w:rsidR="007D065F" w:rsidRPr="003C2A8A" w:rsidRDefault="007D065F" w:rsidP="00A115B1">
      <w:pPr>
        <w:suppressLineNumbers/>
        <w:spacing w:line="360" w:lineRule="auto"/>
        <w:rPr>
          <w:sz w:val="8"/>
          <w:szCs w:val="8"/>
          <w:rtl/>
        </w:rPr>
      </w:pPr>
    </w:p>
    <w:tbl>
      <w:tblPr>
        <w:bidiVisual/>
        <w:tblW w:w="8802" w:type="dxa"/>
        <w:tblInd w:w="-28" w:type="dxa"/>
        <w:tblLook w:val="01E0" w:firstRow="1" w:lastRow="1" w:firstColumn="1" w:lastColumn="1" w:noHBand="0" w:noVBand="0"/>
      </w:tblPr>
      <w:tblGrid>
        <w:gridCol w:w="2880"/>
        <w:gridCol w:w="5838"/>
        <w:gridCol w:w="84"/>
      </w:tblGrid>
      <w:tr w:rsidR="007D065F" w:rsidRPr="003C2A8A" w14:paraId="7D3FF6A4" w14:textId="77777777" w:rsidTr="00BD5BC4">
        <w:trPr>
          <w:gridAfter w:val="1"/>
          <w:wAfter w:w="56" w:type="dxa"/>
        </w:trPr>
        <w:tc>
          <w:tcPr>
            <w:tcW w:w="8718" w:type="dxa"/>
            <w:gridSpan w:val="2"/>
          </w:tcPr>
          <w:p w14:paraId="16E423FC" w14:textId="77777777" w:rsidR="007D065F" w:rsidRPr="003C2A8A" w:rsidRDefault="007D065F" w:rsidP="004F1851">
            <w:pPr>
              <w:pStyle w:val="a3"/>
              <w:rPr>
                <w:rFonts w:ascii="Times New Roman" w:hAnsi="Times New Roman" w:cs="Times New Roman"/>
                <w:b/>
                <w:bCs/>
                <w:sz w:val="26"/>
                <w:szCs w:val="26"/>
                <w:rtl/>
              </w:rPr>
            </w:pPr>
            <w:r w:rsidRPr="003C2A8A">
              <w:rPr>
                <w:rFonts w:ascii="Times New Roman" w:hAnsi="Times New Roman" w:cs="Times New Roman"/>
                <w:b/>
                <w:bCs/>
                <w:sz w:val="26"/>
                <w:szCs w:val="26"/>
                <w:rtl/>
              </w:rPr>
              <w:t xml:space="preserve"> מספר פל"א </w:t>
            </w:r>
            <w:r w:rsidRPr="003C2A8A">
              <w:rPr>
                <w:rFonts w:ascii="Times New Roman" w:hAnsi="Times New Roman" w:cs="Times New Roman"/>
                <w:b/>
                <w:bCs/>
                <w:sz w:val="26"/>
                <w:szCs w:val="26"/>
              </w:rPr>
              <w:t>877474/2020</w:t>
            </w:r>
            <w:r w:rsidRPr="003C2A8A">
              <w:rPr>
                <w:rFonts w:ascii="Times New Roman" w:hAnsi="Times New Roman" w:cs="Times New Roman"/>
                <w:b/>
                <w:bCs/>
                <w:sz w:val="26"/>
                <w:szCs w:val="26"/>
                <w:rtl/>
              </w:rPr>
              <w:t xml:space="preserve">  </w:t>
            </w:r>
          </w:p>
          <w:p w14:paraId="494528ED" w14:textId="77777777" w:rsidR="007D065F" w:rsidRPr="003C2A8A" w:rsidRDefault="007D065F" w:rsidP="004F1851">
            <w:pPr>
              <w:rPr>
                <w:rFonts w:ascii="Times New Roman" w:hAnsi="Times New Roman"/>
                <w:b/>
                <w:bCs/>
                <w:sz w:val="26"/>
                <w:szCs w:val="26"/>
                <w:rtl/>
              </w:rPr>
            </w:pPr>
          </w:p>
        </w:tc>
      </w:tr>
      <w:tr w:rsidR="007D065F" w:rsidRPr="003C2A8A" w14:paraId="27288402" w14:textId="77777777" w:rsidTr="00BD5BC4">
        <w:trPr>
          <w:gridAfter w:val="1"/>
          <w:wAfter w:w="56" w:type="dxa"/>
        </w:trPr>
        <w:tc>
          <w:tcPr>
            <w:tcW w:w="8718" w:type="dxa"/>
            <w:gridSpan w:val="2"/>
          </w:tcPr>
          <w:p w14:paraId="19E5FD06" w14:textId="77777777" w:rsidR="007D065F" w:rsidRPr="003C2A8A" w:rsidRDefault="007D065F" w:rsidP="004F1851">
            <w:pPr>
              <w:rPr>
                <w:rFonts w:ascii="Times New Roman" w:hAnsi="Times New Roman" w:cs="Times New Roman"/>
                <w:b/>
                <w:bCs/>
                <w:sz w:val="26"/>
                <w:szCs w:val="26"/>
                <w:rtl/>
              </w:rPr>
            </w:pPr>
            <w:r w:rsidRPr="003C2A8A">
              <w:rPr>
                <w:rFonts w:ascii="Times New Roman" w:hAnsi="Times New Roman"/>
                <w:b/>
                <w:bCs/>
                <w:sz w:val="26"/>
                <w:szCs w:val="26"/>
                <w:rtl/>
              </w:rPr>
              <w:t>לפני כבוד השופטת ענת יהב</w:t>
            </w:r>
          </w:p>
        </w:tc>
      </w:tr>
      <w:tr w:rsidR="007D065F" w:rsidRPr="003C2A8A" w14:paraId="6B310A5A" w14:textId="77777777" w:rsidTr="00BD5BC4">
        <w:trPr>
          <w:cantSplit/>
          <w:trHeight w:val="407"/>
        </w:trPr>
        <w:tc>
          <w:tcPr>
            <w:tcW w:w="2880" w:type="dxa"/>
          </w:tcPr>
          <w:p w14:paraId="585CF660" w14:textId="77777777" w:rsidR="007D065F" w:rsidRPr="003C2A8A" w:rsidRDefault="007D065F" w:rsidP="00BD5BC4">
            <w:pPr>
              <w:ind w:left="26"/>
              <w:rPr>
                <w:rFonts w:ascii="Times New Roman" w:hAnsi="Times New Roman"/>
                <w:b/>
                <w:bCs/>
                <w:sz w:val="26"/>
                <w:szCs w:val="26"/>
                <w:rtl/>
              </w:rPr>
            </w:pPr>
            <w:bookmarkStart w:id="1" w:name="FirstAppellant"/>
          </w:p>
          <w:p w14:paraId="01649CD1" w14:textId="77777777" w:rsidR="007D065F" w:rsidRPr="003C2A8A" w:rsidRDefault="007D065F" w:rsidP="00BD5BC4">
            <w:pPr>
              <w:ind w:left="26"/>
              <w:rPr>
                <w:rFonts w:ascii="Times New Roman" w:hAnsi="Times New Roman"/>
                <w:b/>
                <w:bCs/>
                <w:sz w:val="26"/>
                <w:szCs w:val="26"/>
                <w:rtl/>
              </w:rPr>
            </w:pPr>
            <w:r w:rsidRPr="003C2A8A">
              <w:rPr>
                <w:rFonts w:ascii="Times New Roman" w:hAnsi="Times New Roman"/>
                <w:b/>
                <w:bCs/>
                <w:sz w:val="26"/>
                <w:szCs w:val="26"/>
                <w:rtl/>
              </w:rPr>
              <w:t>המאשימה</w:t>
            </w:r>
          </w:p>
        </w:tc>
        <w:tc>
          <w:tcPr>
            <w:tcW w:w="5922" w:type="dxa"/>
            <w:gridSpan w:val="2"/>
          </w:tcPr>
          <w:p w14:paraId="0BE0AC89" w14:textId="77777777" w:rsidR="007D065F" w:rsidRPr="003C2A8A" w:rsidRDefault="007D065F" w:rsidP="007F46CA">
            <w:pPr>
              <w:rPr>
                <w:rFonts w:ascii="Times New Roman" w:hAnsi="Times New Roman"/>
                <w:sz w:val="26"/>
                <w:szCs w:val="26"/>
                <w:rtl/>
              </w:rPr>
            </w:pPr>
          </w:p>
          <w:p w14:paraId="4547B67F" w14:textId="77777777" w:rsidR="007D065F" w:rsidRPr="003C2A8A" w:rsidRDefault="007D065F" w:rsidP="00940F15">
            <w:pPr>
              <w:rPr>
                <w:rFonts w:ascii="Times New Roman" w:hAnsi="Times New Roman"/>
                <w:b/>
                <w:bCs/>
                <w:sz w:val="26"/>
                <w:szCs w:val="26"/>
                <w:rtl/>
              </w:rPr>
            </w:pPr>
            <w:r w:rsidRPr="003C2A8A">
              <w:rPr>
                <w:rFonts w:ascii="Times New Roman" w:hAnsi="Times New Roman"/>
                <w:b/>
                <w:bCs/>
                <w:sz w:val="26"/>
                <w:szCs w:val="26"/>
                <w:rtl/>
              </w:rPr>
              <w:t>מדינת ישראל</w:t>
            </w:r>
          </w:p>
        </w:tc>
      </w:tr>
      <w:bookmarkEnd w:id="1"/>
      <w:tr w:rsidR="007D065F" w:rsidRPr="003C2A8A" w14:paraId="777E1015" w14:textId="77777777" w:rsidTr="00BD5BC4">
        <w:tc>
          <w:tcPr>
            <w:tcW w:w="8802" w:type="dxa"/>
            <w:gridSpan w:val="3"/>
            <w:vAlign w:val="center"/>
          </w:tcPr>
          <w:p w14:paraId="5367098B" w14:textId="77777777" w:rsidR="007D065F" w:rsidRPr="003C2A8A" w:rsidRDefault="007D065F" w:rsidP="00BD5BC4">
            <w:pPr>
              <w:jc w:val="center"/>
              <w:rPr>
                <w:rFonts w:ascii="Arial" w:hAnsi="Arial"/>
                <w:b/>
                <w:bCs/>
                <w:sz w:val="26"/>
                <w:szCs w:val="26"/>
                <w:rtl/>
              </w:rPr>
            </w:pPr>
          </w:p>
          <w:p w14:paraId="32E5F43C" w14:textId="77777777" w:rsidR="007D065F" w:rsidRPr="003C2A8A" w:rsidRDefault="007D065F" w:rsidP="00BD5BC4">
            <w:pPr>
              <w:jc w:val="center"/>
              <w:rPr>
                <w:rFonts w:ascii="Arial" w:hAnsi="Arial"/>
                <w:b/>
                <w:bCs/>
                <w:sz w:val="26"/>
                <w:szCs w:val="26"/>
                <w:rtl/>
              </w:rPr>
            </w:pPr>
            <w:r w:rsidRPr="003C2A8A">
              <w:rPr>
                <w:rFonts w:ascii="Arial" w:hAnsi="Arial"/>
                <w:b/>
                <w:bCs/>
                <w:sz w:val="26"/>
                <w:szCs w:val="26"/>
                <w:rtl/>
              </w:rPr>
              <w:t>נגד</w:t>
            </w:r>
          </w:p>
          <w:p w14:paraId="3AD77A5D" w14:textId="77777777" w:rsidR="007D065F" w:rsidRPr="003C2A8A" w:rsidRDefault="007D065F" w:rsidP="007F46CA">
            <w:pPr>
              <w:rPr>
                <w:rFonts w:ascii="Arial" w:hAnsi="Arial"/>
                <w:b/>
                <w:bCs/>
                <w:sz w:val="22"/>
                <w:szCs w:val="22"/>
              </w:rPr>
            </w:pPr>
          </w:p>
        </w:tc>
      </w:tr>
      <w:tr w:rsidR="007D065F" w:rsidRPr="003C2A8A" w14:paraId="7A30867F" w14:textId="77777777" w:rsidTr="00BD5BC4">
        <w:tc>
          <w:tcPr>
            <w:tcW w:w="2880" w:type="dxa"/>
          </w:tcPr>
          <w:p w14:paraId="3A3BEEB7" w14:textId="77777777" w:rsidR="007D065F" w:rsidRPr="003C2A8A" w:rsidRDefault="007D065F" w:rsidP="00BD5BC4">
            <w:pPr>
              <w:ind w:left="26"/>
              <w:rPr>
                <w:rFonts w:ascii="Times New Roman" w:hAnsi="Times New Roman"/>
                <w:b/>
                <w:bCs/>
                <w:sz w:val="26"/>
                <w:szCs w:val="26"/>
                <w:rtl/>
              </w:rPr>
            </w:pPr>
            <w:r w:rsidRPr="003C2A8A">
              <w:rPr>
                <w:rFonts w:ascii="Times New Roman" w:hAnsi="Times New Roman"/>
                <w:b/>
                <w:bCs/>
                <w:sz w:val="26"/>
                <w:szCs w:val="26"/>
                <w:rtl/>
              </w:rPr>
              <w:t>הנאשם</w:t>
            </w:r>
          </w:p>
        </w:tc>
        <w:tc>
          <w:tcPr>
            <w:tcW w:w="5922" w:type="dxa"/>
            <w:gridSpan w:val="2"/>
          </w:tcPr>
          <w:p w14:paraId="2841AA57" w14:textId="77777777" w:rsidR="007D065F" w:rsidRPr="003C2A8A" w:rsidRDefault="007D065F" w:rsidP="00891F3C">
            <w:pPr>
              <w:rPr>
                <w:rFonts w:ascii="Times New Roman" w:hAnsi="Times New Roman"/>
                <w:b/>
                <w:bCs/>
                <w:sz w:val="26"/>
                <w:szCs w:val="26"/>
                <w:rtl/>
              </w:rPr>
            </w:pPr>
            <w:r w:rsidRPr="003C2A8A">
              <w:rPr>
                <w:rFonts w:ascii="Times New Roman" w:hAnsi="Times New Roman"/>
                <w:b/>
                <w:bCs/>
                <w:sz w:val="26"/>
                <w:szCs w:val="26"/>
                <w:rtl/>
              </w:rPr>
              <w:t>אושר לובטון,</w:t>
            </w:r>
            <w:r w:rsidRPr="003C2A8A">
              <w:rPr>
                <w:rFonts w:ascii="Times New Roman" w:hAnsi="Times New Roman"/>
                <w:sz w:val="26"/>
                <w:szCs w:val="26"/>
                <w:rtl/>
              </w:rPr>
              <w:t xml:space="preserve"> </w:t>
            </w:r>
            <w:r w:rsidRPr="003C2A8A">
              <w:rPr>
                <w:rFonts w:ascii="Times New Roman" w:hAnsi="Times New Roman"/>
                <w:b/>
                <w:bCs/>
                <w:sz w:val="26"/>
                <w:szCs w:val="26"/>
                <w:rtl/>
              </w:rPr>
              <w:t xml:space="preserve">ת"ז </w:t>
            </w:r>
            <w:r w:rsidR="003C2A8A">
              <w:rPr>
                <w:rFonts w:ascii="Times New Roman" w:hAnsi="Times New Roman"/>
                <w:b/>
                <w:bCs/>
                <w:sz w:val="26"/>
                <w:szCs w:val="26"/>
              </w:rPr>
              <w:t>xxxxxxxxxx</w:t>
            </w:r>
          </w:p>
        </w:tc>
      </w:tr>
    </w:tbl>
    <w:p w14:paraId="32A4AD80" w14:textId="77777777" w:rsidR="007D065F" w:rsidRPr="003C2A8A" w:rsidRDefault="007D065F">
      <w:pPr>
        <w:spacing w:line="360" w:lineRule="auto"/>
        <w:jc w:val="both"/>
        <w:rPr>
          <w:rtl/>
        </w:rPr>
      </w:pPr>
    </w:p>
    <w:p w14:paraId="72A0C89C" w14:textId="77777777" w:rsidR="007D065F" w:rsidRPr="003C2A8A" w:rsidRDefault="007D065F">
      <w:pPr>
        <w:spacing w:line="360" w:lineRule="auto"/>
        <w:jc w:val="both"/>
        <w:rPr>
          <w:sz w:val="6"/>
          <w:szCs w:val="6"/>
          <w:rtl/>
        </w:rPr>
      </w:pPr>
      <w:r w:rsidRPr="003C2A8A">
        <w:rPr>
          <w:sz w:val="6"/>
          <w:szCs w:val="6"/>
          <w:rtl/>
        </w:rPr>
        <w:t>&lt;#1#&gt;</w:t>
      </w:r>
    </w:p>
    <w:p w14:paraId="1D3D02F5" w14:textId="77777777" w:rsidR="007D065F" w:rsidRPr="003C2A8A" w:rsidRDefault="007D065F" w:rsidP="00E06ED4">
      <w:pPr>
        <w:pStyle w:val="12"/>
        <w:rPr>
          <w:b w:val="0"/>
          <w:bCs w:val="0"/>
          <w:u w:val="none"/>
          <w:rtl/>
        </w:rPr>
      </w:pPr>
      <w:r w:rsidRPr="003C2A8A">
        <w:rPr>
          <w:u w:val="none"/>
          <w:rtl/>
        </w:rPr>
        <w:t>נוכחים</w:t>
      </w:r>
      <w:r w:rsidRPr="003C2A8A">
        <w:rPr>
          <w:b w:val="0"/>
          <w:bCs w:val="0"/>
          <w:u w:val="none"/>
          <w:rtl/>
        </w:rPr>
        <w:t>:</w:t>
      </w:r>
    </w:p>
    <w:p w14:paraId="48A73543" w14:textId="77777777" w:rsidR="007D065F" w:rsidRPr="003C2A8A" w:rsidRDefault="007D065F" w:rsidP="00E06ED4">
      <w:pPr>
        <w:pStyle w:val="12"/>
        <w:rPr>
          <w:b w:val="0"/>
          <w:bCs w:val="0"/>
          <w:u w:val="none"/>
          <w:rtl/>
        </w:rPr>
      </w:pPr>
      <w:bookmarkStart w:id="2" w:name="FirstLawyer"/>
      <w:r w:rsidRPr="003C2A8A">
        <w:rPr>
          <w:b w:val="0"/>
          <w:bCs w:val="0"/>
          <w:u w:val="none"/>
          <w:rtl/>
        </w:rPr>
        <w:t>ב"כ</w:t>
      </w:r>
      <w:bookmarkEnd w:id="2"/>
      <w:r w:rsidRPr="003C2A8A">
        <w:rPr>
          <w:b w:val="0"/>
          <w:bCs w:val="0"/>
          <w:u w:val="none"/>
          <w:rtl/>
        </w:rPr>
        <w:t xml:space="preserve"> המאשימה: עו"ד שי חיון</w:t>
      </w:r>
    </w:p>
    <w:p w14:paraId="51B33763" w14:textId="77777777" w:rsidR="007D065F" w:rsidRPr="003C2A8A" w:rsidRDefault="007D065F" w:rsidP="00E06ED4">
      <w:pPr>
        <w:pStyle w:val="12"/>
        <w:rPr>
          <w:b w:val="0"/>
          <w:bCs w:val="0"/>
          <w:u w:val="none"/>
          <w:rtl/>
        </w:rPr>
      </w:pPr>
      <w:r w:rsidRPr="003C2A8A">
        <w:rPr>
          <w:b w:val="0"/>
          <w:bCs w:val="0"/>
          <w:u w:val="none"/>
          <w:rtl/>
        </w:rPr>
        <w:t>ב"כ הנאשם: עו"ד נדב בן עמי ממשרדו של עו"ד זאב אלוני</w:t>
      </w:r>
    </w:p>
    <w:p w14:paraId="6360A7F4" w14:textId="77777777" w:rsidR="007D065F" w:rsidRPr="003C2A8A" w:rsidRDefault="007D065F" w:rsidP="00E06ED4">
      <w:pPr>
        <w:pStyle w:val="12"/>
        <w:rPr>
          <w:b w:val="0"/>
          <w:bCs w:val="0"/>
          <w:u w:val="none"/>
          <w:rtl/>
        </w:rPr>
      </w:pPr>
      <w:r w:rsidRPr="003C2A8A">
        <w:rPr>
          <w:b w:val="0"/>
          <w:bCs w:val="0"/>
          <w:u w:val="none"/>
          <w:rtl/>
        </w:rPr>
        <w:t>הנאשם בעצמו</w:t>
      </w:r>
    </w:p>
    <w:p w14:paraId="0E18376D" w14:textId="77777777" w:rsidR="003C2A8A" w:rsidRPr="003C2A8A" w:rsidRDefault="003C2A8A" w:rsidP="003C2A8A">
      <w:pPr>
        <w:spacing w:before="120" w:after="120" w:line="240" w:lineRule="exact"/>
        <w:ind w:left="283" w:hanging="283"/>
        <w:jc w:val="both"/>
        <w:rPr>
          <w:rFonts w:ascii="FrankRuehl" w:hAnsi="FrankRuehl" w:cs="FrankRuehl"/>
          <w:rtl/>
        </w:rPr>
      </w:pPr>
    </w:p>
    <w:p w14:paraId="521306C5" w14:textId="77777777" w:rsidR="008555A4" w:rsidRPr="008555A4" w:rsidRDefault="008555A4" w:rsidP="008555A4">
      <w:pPr>
        <w:spacing w:before="120" w:after="120" w:line="240" w:lineRule="exact"/>
        <w:ind w:left="283" w:hanging="283"/>
        <w:jc w:val="both"/>
        <w:rPr>
          <w:rFonts w:ascii="FrankRuehl" w:hAnsi="FrankRuehl" w:cs="FrankRuehl"/>
          <w:rtl/>
        </w:rPr>
      </w:pPr>
    </w:p>
    <w:p w14:paraId="3EF799EB" w14:textId="77777777" w:rsidR="00E14425" w:rsidRDefault="00E14425" w:rsidP="00E14425">
      <w:pPr>
        <w:spacing w:line="360" w:lineRule="auto"/>
        <w:jc w:val="center"/>
        <w:rPr>
          <w:rFonts w:ascii="Arial" w:hAnsi="Arial"/>
          <w:sz w:val="28"/>
          <w:szCs w:val="28"/>
          <w:rtl/>
        </w:rPr>
      </w:pPr>
      <w:bookmarkStart w:id="3" w:name="LawTable"/>
      <w:bookmarkEnd w:id="3"/>
    </w:p>
    <w:p w14:paraId="3BD8AADB" w14:textId="77777777" w:rsidR="00E14425" w:rsidRPr="00E14425" w:rsidRDefault="00E14425" w:rsidP="00E14425">
      <w:pPr>
        <w:spacing w:before="120" w:after="120" w:line="240" w:lineRule="exact"/>
        <w:ind w:left="283" w:hanging="283"/>
        <w:jc w:val="both"/>
        <w:rPr>
          <w:rFonts w:ascii="FrankRuehl" w:hAnsi="FrankRuehl" w:cs="FrankRuehl"/>
          <w:rtl/>
        </w:rPr>
      </w:pPr>
    </w:p>
    <w:p w14:paraId="021F6F46" w14:textId="77777777" w:rsidR="00E14425" w:rsidRPr="00E14425" w:rsidRDefault="00E14425" w:rsidP="00E14425">
      <w:pPr>
        <w:spacing w:before="120" w:after="120" w:line="240" w:lineRule="exact"/>
        <w:ind w:left="283" w:hanging="283"/>
        <w:jc w:val="both"/>
        <w:rPr>
          <w:rFonts w:ascii="FrankRuehl" w:hAnsi="FrankRuehl" w:cs="FrankRuehl"/>
          <w:rtl/>
        </w:rPr>
      </w:pPr>
    </w:p>
    <w:p w14:paraId="0AFC907F" w14:textId="77777777" w:rsidR="00E14425" w:rsidRPr="00E14425" w:rsidRDefault="00E14425" w:rsidP="00E14425">
      <w:pPr>
        <w:spacing w:before="120" w:after="120" w:line="240" w:lineRule="exact"/>
        <w:ind w:left="283" w:hanging="283"/>
        <w:jc w:val="both"/>
        <w:rPr>
          <w:rFonts w:ascii="FrankRuehl" w:hAnsi="FrankRuehl" w:cs="FrankRuehl"/>
          <w:rtl/>
        </w:rPr>
      </w:pPr>
      <w:r w:rsidRPr="00E14425">
        <w:rPr>
          <w:rFonts w:ascii="FrankRuehl" w:hAnsi="FrankRuehl" w:cs="FrankRuehl"/>
          <w:rtl/>
        </w:rPr>
        <w:t xml:space="preserve">חקיקה שאוזכרה: </w:t>
      </w:r>
    </w:p>
    <w:p w14:paraId="1640173B" w14:textId="77777777" w:rsidR="00E14425" w:rsidRPr="00E14425" w:rsidRDefault="00E14425" w:rsidP="00E14425">
      <w:pPr>
        <w:spacing w:before="120" w:after="120" w:line="240" w:lineRule="exact"/>
        <w:ind w:left="283" w:hanging="283"/>
        <w:jc w:val="both"/>
        <w:rPr>
          <w:rFonts w:ascii="FrankRuehl" w:hAnsi="FrankRuehl" w:cs="FrankRuehl"/>
          <w:rtl/>
        </w:rPr>
      </w:pPr>
      <w:hyperlink r:id="rId7" w:history="1">
        <w:r w:rsidRPr="00E14425">
          <w:rPr>
            <w:rFonts w:ascii="FrankRuehl" w:hAnsi="FrankRuehl" w:cs="FrankRuehl"/>
            <w:color w:val="0000FF"/>
            <w:rtl/>
          </w:rPr>
          <w:t>פקודת הסמים המסוכנים [נוסח חדש], תשל"ג-1973</w:t>
        </w:r>
      </w:hyperlink>
      <w:r w:rsidRPr="00E14425">
        <w:rPr>
          <w:rFonts w:ascii="FrankRuehl" w:hAnsi="FrankRuehl" w:cs="FrankRuehl"/>
          <w:rtl/>
        </w:rPr>
        <w:t xml:space="preserve">: סע'  </w:t>
      </w:r>
      <w:hyperlink r:id="rId8" w:history="1">
        <w:r w:rsidRPr="00E14425">
          <w:rPr>
            <w:rFonts w:ascii="FrankRuehl" w:hAnsi="FrankRuehl" w:cs="FrankRuehl"/>
            <w:color w:val="0000FF"/>
            <w:rtl/>
          </w:rPr>
          <w:t>6</w:t>
        </w:r>
      </w:hyperlink>
      <w:r w:rsidRPr="00E14425">
        <w:rPr>
          <w:rFonts w:ascii="FrankRuehl" w:hAnsi="FrankRuehl" w:cs="FrankRuehl"/>
          <w:rtl/>
        </w:rPr>
        <w:t xml:space="preserve">, </w:t>
      </w:r>
      <w:hyperlink r:id="rId9" w:history="1">
        <w:r w:rsidRPr="00E14425">
          <w:rPr>
            <w:rFonts w:ascii="FrankRuehl" w:hAnsi="FrankRuehl" w:cs="FrankRuehl"/>
            <w:color w:val="0000FF"/>
            <w:rtl/>
          </w:rPr>
          <w:t>7.א.</w:t>
        </w:r>
      </w:hyperlink>
      <w:r w:rsidRPr="00E14425">
        <w:rPr>
          <w:rFonts w:ascii="FrankRuehl" w:hAnsi="FrankRuehl" w:cs="FrankRuehl"/>
          <w:rtl/>
        </w:rPr>
        <w:t xml:space="preserve">, </w:t>
      </w:r>
      <w:hyperlink r:id="rId10" w:history="1">
        <w:r w:rsidRPr="00E14425">
          <w:rPr>
            <w:rFonts w:ascii="FrankRuehl" w:hAnsi="FrankRuehl" w:cs="FrankRuehl"/>
            <w:color w:val="0000FF"/>
            <w:rtl/>
          </w:rPr>
          <w:t>7.ג</w:t>
        </w:r>
      </w:hyperlink>
    </w:p>
    <w:p w14:paraId="33C7FAA8" w14:textId="77777777" w:rsidR="00E14425" w:rsidRPr="00E14425" w:rsidRDefault="00E14425" w:rsidP="00E14425">
      <w:pPr>
        <w:spacing w:before="120" w:after="120" w:line="240" w:lineRule="exact"/>
        <w:ind w:left="283" w:hanging="283"/>
        <w:jc w:val="both"/>
        <w:rPr>
          <w:rFonts w:ascii="FrankRuehl" w:hAnsi="FrankRuehl" w:cs="FrankRuehl"/>
          <w:rtl/>
        </w:rPr>
      </w:pPr>
      <w:hyperlink r:id="rId11" w:history="1">
        <w:r w:rsidRPr="00E14425">
          <w:rPr>
            <w:rFonts w:ascii="FrankRuehl" w:hAnsi="FrankRuehl" w:cs="FrankRuehl"/>
            <w:color w:val="0000FF"/>
            <w:rtl/>
          </w:rPr>
          <w:t>חוק העונשין, תשל"ז-1977</w:t>
        </w:r>
      </w:hyperlink>
      <w:r w:rsidRPr="00E14425">
        <w:rPr>
          <w:rFonts w:ascii="FrankRuehl" w:hAnsi="FrankRuehl" w:cs="FrankRuehl"/>
          <w:rtl/>
        </w:rPr>
        <w:t xml:space="preserve">: סע'  </w:t>
      </w:r>
      <w:hyperlink r:id="rId12" w:history="1">
        <w:r w:rsidRPr="00E14425">
          <w:rPr>
            <w:rFonts w:ascii="FrankRuehl" w:hAnsi="FrankRuehl" w:cs="FrankRuehl"/>
            <w:color w:val="0000FF"/>
            <w:rtl/>
          </w:rPr>
          <w:t>40ד'(א)</w:t>
        </w:r>
      </w:hyperlink>
      <w:r w:rsidRPr="00E14425">
        <w:rPr>
          <w:rFonts w:ascii="FrankRuehl" w:hAnsi="FrankRuehl" w:cs="FrankRuehl"/>
          <w:rtl/>
        </w:rPr>
        <w:t xml:space="preserve">, </w:t>
      </w:r>
      <w:hyperlink r:id="rId13" w:history="1">
        <w:r w:rsidRPr="00E14425">
          <w:rPr>
            <w:rFonts w:ascii="FrankRuehl" w:hAnsi="FrankRuehl" w:cs="FrankRuehl"/>
            <w:color w:val="0000FF"/>
            <w:rtl/>
          </w:rPr>
          <w:t>56</w:t>
        </w:r>
      </w:hyperlink>
      <w:r w:rsidRPr="00E14425">
        <w:rPr>
          <w:rFonts w:ascii="FrankRuehl" w:hAnsi="FrankRuehl" w:cs="FrankRuehl"/>
          <w:rtl/>
        </w:rPr>
        <w:t xml:space="preserve">, </w:t>
      </w:r>
      <w:hyperlink r:id="rId14" w:history="1">
        <w:r w:rsidRPr="00E14425">
          <w:rPr>
            <w:rFonts w:ascii="FrankRuehl" w:hAnsi="FrankRuehl" w:cs="FrankRuehl"/>
            <w:color w:val="0000FF"/>
            <w:rtl/>
          </w:rPr>
          <w:t>85(א)</w:t>
        </w:r>
      </w:hyperlink>
    </w:p>
    <w:p w14:paraId="19E7CD85" w14:textId="77777777" w:rsidR="00E14425" w:rsidRPr="00E14425" w:rsidRDefault="00E14425" w:rsidP="00E14425">
      <w:pPr>
        <w:spacing w:line="360" w:lineRule="auto"/>
        <w:jc w:val="center"/>
        <w:rPr>
          <w:rFonts w:ascii="Arial" w:hAnsi="Arial"/>
          <w:sz w:val="28"/>
          <w:szCs w:val="28"/>
          <w:rtl/>
        </w:rPr>
      </w:pPr>
      <w:bookmarkStart w:id="4" w:name="LawTable_End"/>
      <w:bookmarkEnd w:id="4"/>
    </w:p>
    <w:p w14:paraId="6CC43846" w14:textId="77777777" w:rsidR="003C2A8A" w:rsidRPr="008555A4" w:rsidRDefault="003C2A8A" w:rsidP="008555A4">
      <w:pPr>
        <w:spacing w:line="360" w:lineRule="auto"/>
        <w:jc w:val="center"/>
        <w:rPr>
          <w:rFonts w:ascii="Arial" w:hAnsi="Arial"/>
          <w:sz w:val="28"/>
          <w:szCs w:val="28"/>
          <w:rtl/>
        </w:rPr>
      </w:pPr>
    </w:p>
    <w:p w14:paraId="3EAFCC87" w14:textId="77777777" w:rsidR="003C2A8A" w:rsidRPr="003C2A8A" w:rsidRDefault="003C2A8A" w:rsidP="003C2A8A">
      <w:pPr>
        <w:spacing w:line="360" w:lineRule="auto"/>
        <w:jc w:val="center"/>
        <w:rPr>
          <w:rFonts w:ascii="Arial" w:hAnsi="Arial"/>
          <w:b/>
          <w:bCs/>
          <w:sz w:val="28"/>
          <w:szCs w:val="28"/>
          <w:u w:val="single"/>
          <w:rtl/>
        </w:rPr>
      </w:pPr>
      <w:bookmarkStart w:id="5" w:name="PsakDin"/>
      <w:bookmarkEnd w:id="0"/>
      <w:r w:rsidRPr="003C2A8A">
        <w:rPr>
          <w:rFonts w:ascii="Arial" w:hAnsi="Arial"/>
          <w:b/>
          <w:bCs/>
          <w:sz w:val="28"/>
          <w:szCs w:val="28"/>
          <w:u w:val="single"/>
          <w:rtl/>
        </w:rPr>
        <w:t>גזר דין</w:t>
      </w:r>
    </w:p>
    <w:bookmarkEnd w:id="5"/>
    <w:p w14:paraId="79463945" w14:textId="77777777" w:rsidR="007D065F" w:rsidRDefault="007D065F" w:rsidP="00176A4E">
      <w:pPr>
        <w:spacing w:line="360" w:lineRule="auto"/>
        <w:jc w:val="both"/>
        <w:rPr>
          <w:b/>
          <w:bCs/>
          <w:u w:val="single"/>
          <w:rtl/>
        </w:rPr>
      </w:pPr>
    </w:p>
    <w:p w14:paraId="1610114B" w14:textId="77777777" w:rsidR="007D065F" w:rsidRDefault="007D065F" w:rsidP="00176A4E">
      <w:pPr>
        <w:spacing w:line="360" w:lineRule="auto"/>
        <w:jc w:val="both"/>
        <w:rPr>
          <w:rtl/>
        </w:rPr>
      </w:pPr>
      <w:r>
        <w:rPr>
          <w:b/>
          <w:bCs/>
          <w:u w:val="single"/>
          <w:rtl/>
        </w:rPr>
        <w:t>כללי</w:t>
      </w:r>
    </w:p>
    <w:p w14:paraId="01741C3A" w14:textId="77777777" w:rsidR="007D065F" w:rsidRPr="00CE3239" w:rsidRDefault="007D065F" w:rsidP="00176A4E">
      <w:pPr>
        <w:spacing w:line="360" w:lineRule="auto"/>
        <w:jc w:val="both"/>
        <w:rPr>
          <w:rtl/>
        </w:rPr>
      </w:pPr>
      <w:bookmarkStart w:id="6" w:name="ABSTRACT_START"/>
      <w:bookmarkEnd w:id="6"/>
      <w:r>
        <w:rPr>
          <w:rtl/>
        </w:rPr>
        <w:t>הנאשם, יליד 2001, הורשע על בסיס הודאתו ובמסגרת הסכמה דיונית, בעבירה של</w:t>
      </w:r>
      <w:r>
        <w:rPr>
          <w:b/>
          <w:bCs/>
          <w:rtl/>
        </w:rPr>
        <w:t xml:space="preserve"> גידול, ייצור והכנת סמים מסוכנים </w:t>
      </w:r>
      <w:r>
        <w:rPr>
          <w:rtl/>
        </w:rPr>
        <w:t xml:space="preserve">לפי </w:t>
      </w:r>
      <w:hyperlink r:id="rId15" w:history="1">
        <w:r w:rsidR="00A9259F" w:rsidRPr="00A9259F">
          <w:rPr>
            <w:rStyle w:val="Hyperlink"/>
            <w:rtl/>
          </w:rPr>
          <w:t>סעיף 6</w:t>
        </w:r>
      </w:hyperlink>
      <w:r>
        <w:rPr>
          <w:rtl/>
        </w:rPr>
        <w:t xml:space="preserve"> ל</w:t>
      </w:r>
      <w:hyperlink r:id="rId16" w:history="1">
        <w:r w:rsidR="003C2A8A" w:rsidRPr="003C2A8A">
          <w:rPr>
            <w:color w:val="0000FF"/>
            <w:u w:val="single"/>
            <w:rtl/>
          </w:rPr>
          <w:t>פקודת הסמים המסוכנים</w:t>
        </w:r>
      </w:hyperlink>
      <w:r>
        <w:rPr>
          <w:rtl/>
        </w:rPr>
        <w:t xml:space="preserve"> [נוסח חדש], תשל"ג-1973 (להלן: </w:t>
      </w:r>
      <w:r>
        <w:rPr>
          <w:b/>
          <w:bCs/>
          <w:rtl/>
        </w:rPr>
        <w:t>"פקודת הסמים"</w:t>
      </w:r>
      <w:r>
        <w:rPr>
          <w:rtl/>
        </w:rPr>
        <w:t xml:space="preserve">) ובעבירה של </w:t>
      </w:r>
      <w:r>
        <w:rPr>
          <w:b/>
          <w:bCs/>
          <w:rtl/>
        </w:rPr>
        <w:t>החזקת סם שלא לצריכה עצמית</w:t>
      </w:r>
      <w:r>
        <w:rPr>
          <w:rtl/>
        </w:rPr>
        <w:t xml:space="preserve"> לפי </w:t>
      </w:r>
      <w:hyperlink r:id="rId17" w:history="1">
        <w:r w:rsidR="00A9259F" w:rsidRPr="00A9259F">
          <w:rPr>
            <w:rStyle w:val="Hyperlink"/>
            <w:rtl/>
          </w:rPr>
          <w:t>סעיף 7(א)+7(ג)</w:t>
        </w:r>
      </w:hyperlink>
      <w:r>
        <w:rPr>
          <w:rtl/>
        </w:rPr>
        <w:t xml:space="preserve"> רישא לפקודת הסמים. </w:t>
      </w:r>
    </w:p>
    <w:p w14:paraId="5E6B9677" w14:textId="77777777" w:rsidR="007D065F" w:rsidRDefault="007D065F" w:rsidP="00176A4E">
      <w:pPr>
        <w:pStyle w:val="ac"/>
        <w:spacing w:line="360" w:lineRule="auto"/>
        <w:jc w:val="both"/>
        <w:rPr>
          <w:rFonts w:ascii="David" w:hAnsi="David" w:cs="David"/>
          <w:sz w:val="24"/>
          <w:szCs w:val="24"/>
        </w:rPr>
      </w:pPr>
      <w:bookmarkStart w:id="7" w:name="ABSTRACT_END"/>
      <w:bookmarkEnd w:id="7"/>
    </w:p>
    <w:p w14:paraId="60783250" w14:textId="77777777" w:rsidR="007D065F" w:rsidRDefault="007D065F" w:rsidP="00176A4E">
      <w:pPr>
        <w:spacing w:line="360" w:lineRule="auto"/>
        <w:jc w:val="both"/>
        <w:rPr>
          <w:b/>
          <w:bCs/>
          <w:u w:val="single"/>
        </w:rPr>
      </w:pPr>
      <w:r>
        <w:rPr>
          <w:rtl/>
        </w:rPr>
        <w:t xml:space="preserve">בהתאם לעובדות כתב האישום המתוקן, ביום 23.11.20 בשעה 21:00 בערך, בדירה ברח' יפו 8 בחולון (להלן: </w:t>
      </w:r>
      <w:r>
        <w:rPr>
          <w:b/>
          <w:bCs/>
          <w:rtl/>
        </w:rPr>
        <w:t>"הדירה"</w:t>
      </w:r>
      <w:r>
        <w:rPr>
          <w:rtl/>
        </w:rPr>
        <w:t xml:space="preserve">), גידל הנאשם 3 שתילים של סם מסוג קנבוס במשקל 200 גרם נטו. לצורך הגידול, החזיק הנאשם בדירה שני אוהלים, שנאי חשמל, 2 גופי תאורה לחימום וחומרי </w:t>
      </w:r>
      <w:r>
        <w:rPr>
          <w:rtl/>
        </w:rPr>
        <w:lastRenderedPageBreak/>
        <w:t xml:space="preserve">דישון. באותן הנסיבות, החזיק הנאשם בקומה השנייה בדירה, בסם מסוג קנבוס במשקל של 650 גרם נטו בתוך שקית חומה שהונחה בארון. </w:t>
      </w:r>
    </w:p>
    <w:p w14:paraId="7E2F1F9E" w14:textId="77777777" w:rsidR="007D065F" w:rsidRDefault="007D065F" w:rsidP="00176A4E">
      <w:pPr>
        <w:pStyle w:val="ac"/>
        <w:rPr>
          <w:rFonts w:ascii="David" w:hAnsi="David" w:cs="David"/>
          <w:sz w:val="24"/>
          <w:szCs w:val="24"/>
        </w:rPr>
      </w:pPr>
    </w:p>
    <w:p w14:paraId="70DCFA90" w14:textId="77777777" w:rsidR="007D065F" w:rsidRDefault="007D065F" w:rsidP="00176A4E">
      <w:pPr>
        <w:spacing w:line="360" w:lineRule="auto"/>
        <w:jc w:val="both"/>
        <w:rPr>
          <w:b/>
          <w:bCs/>
          <w:u w:val="single"/>
          <w:rtl/>
        </w:rPr>
      </w:pPr>
      <w:r>
        <w:rPr>
          <w:rtl/>
        </w:rPr>
        <w:t xml:space="preserve">ההסכמה בין הצדדים לא כללה הסכמות עונשיות. הוסכם כי הנאשם יופנה לעריכת תסקיר שירות מבחן, כאשר מדובר בעצם במי שבעת ביצוע העבירה היה בן פחות מ-21 שנים ועל כן גם הייתה חובה לקבלת תסקיר שירות המבחן עבורו. עוד הסכימו הצדדים על ענישה נלווית. לעניין פסילת רישיון הנהיגה יטענו הצדדים באופן פתוח. </w:t>
      </w:r>
    </w:p>
    <w:p w14:paraId="6885646A" w14:textId="77777777" w:rsidR="007D065F" w:rsidRDefault="007D065F" w:rsidP="00176A4E">
      <w:pPr>
        <w:spacing w:line="360" w:lineRule="auto"/>
        <w:jc w:val="both"/>
        <w:rPr>
          <w:b/>
          <w:bCs/>
          <w:u w:val="single"/>
        </w:rPr>
      </w:pPr>
    </w:p>
    <w:p w14:paraId="606A2B52" w14:textId="77777777" w:rsidR="007D065F" w:rsidRDefault="007D065F" w:rsidP="00176A4E">
      <w:pPr>
        <w:spacing w:line="360" w:lineRule="auto"/>
        <w:jc w:val="both"/>
        <w:rPr>
          <w:rtl/>
        </w:rPr>
      </w:pPr>
      <w:r w:rsidRPr="002114AC">
        <w:rPr>
          <w:b/>
          <w:bCs/>
          <w:rtl/>
        </w:rPr>
        <w:t>תסקיר שירות מבחן מיום 16.2.23</w:t>
      </w:r>
      <w:r>
        <w:rPr>
          <w:rtl/>
        </w:rPr>
        <w:t xml:space="preserve">, ממנו עולה כי הנאשם, בן 21, רווק, עבד במסעדה כשלוש שנים ובשלושת החודשים האחרונים עובד במטבח במסעדת מזון מהיר. הנאשם ציין בפני שירות המבחן כי לפני כחצי שנה קיבל רישיון להחזקת קנאביס רפואי שתוקפו עד ליום 17.3.23. בהתייחסו של הנאשם לעבירה המיוחסת לו, מתאר תקופה משברית בחייו, בה צרך קנאביס בתדירות גבוהה. שירות המבחן התרשם ממורכבות  מאפיינים ודפוסים אישיים והציע לנאשם להשתלב בקבוצה טיפולית המיועדת לצעירים עוברי חוק. הנאשם ביטא נכונות ראשונית להמשך שיתוף פעולה עם שירות המבחן אך בשל רשימות המתנה בשירות המבחן, לא נקלט הנאשם לטיפול. עוד ציין שירות המבחן כי מבדיקות שנערכו לנאשם, נמצא כי אינו צורך סמים. לבסוף ציין שירות המבחן כי זיהה מוקדי סיכון לעבריינות הממוקדים בקושי בהסתגלות וביציבות במסגרות חייו של הנאשם, עוד זיהה שירות המבחן כי הנאשם גדל במסגרת משפחתית שנעדרה יכולת לספק את צרכיו הרגשיים. עוד ציין כי הנאשם ערך מאמצים לשיקום חייו והצליח לשמור על רציפות תעסוקתית. עוד לקח אחריות על מעשיו, ביטא חרטה וכן נכונות לשינוי במצבו שכן הוציא רישיון לקנאביס וכן הביע רצונו לטיפול. נוכח כל האמור, התרשם שירות המבחן מהשפעה מרתיעה, מציבת גבולות של ההליך הפלילי וכן חשיבות הקשר עם שירות המבחן לצורך הפחתת הסיכון להישנות עבירות. עוד התרשם שירות המבחן כי לטעמו יש לנצל את העיתוי הנוכחי על מנת לשלבו בטיפול, והמליץ לדחות את הדיון בארבעה חודשים.  </w:t>
      </w:r>
    </w:p>
    <w:p w14:paraId="640CC972" w14:textId="77777777" w:rsidR="007D065F" w:rsidRDefault="007D065F" w:rsidP="00176A4E">
      <w:pPr>
        <w:spacing w:line="360" w:lineRule="auto"/>
        <w:jc w:val="both"/>
        <w:rPr>
          <w:rtl/>
        </w:rPr>
      </w:pPr>
    </w:p>
    <w:p w14:paraId="59990064" w14:textId="77777777" w:rsidR="007D065F" w:rsidRPr="00F63E82" w:rsidRDefault="007D065F" w:rsidP="00176A4E">
      <w:pPr>
        <w:spacing w:line="360" w:lineRule="auto"/>
        <w:jc w:val="both"/>
        <w:rPr>
          <w:rtl/>
        </w:rPr>
      </w:pPr>
      <w:r>
        <w:rPr>
          <w:b/>
          <w:bCs/>
          <w:rtl/>
        </w:rPr>
        <w:t xml:space="preserve">תסקיר משלים שהתקבל ביום 25.6.23, </w:t>
      </w:r>
      <w:r>
        <w:rPr>
          <w:rtl/>
        </w:rPr>
        <w:t xml:space="preserve">ממנו עולה כי הנאשם החל השתתפותו בקבוצה שיקומית שמסייעת לצעירים בסיכון, לפגישות הגיע בקביעות ושיתף לגבי תחושותיו. עוד החל השתתפות בקבוצה טיפולית המיועדת לעוברי חוק צעירים, שם הגיע לשתי פגישות ונמצא בתחילתו של הליך ומצליח להתבונן על דפוסיו ובחירותיו. הנאשם שיתף את שירות המבחן כי הקבוצות מסייעות לו לבצע התבוננות עצמית וכן הביע את רצונו להמשיך בהליך השיקומי. נוכח האמור ובהינתן כי לטעם שירות המבחן יש בהליך המשפטי כדי להרתיע את הנאשם וכן בשמירה על המסגרת התעסוקתית יש כדי לשמור על שיקום מיטיבי, ממליץ שירות המבחן לא להטיל צו של"צ או עבודות שירות נוכח העומס הנדרש בטיפול אלא ממליץ להסתפק במאסר מותנה, קנס והתחייבות. </w:t>
      </w:r>
    </w:p>
    <w:p w14:paraId="5DB0DE55" w14:textId="77777777" w:rsidR="007D065F" w:rsidRDefault="007D065F" w:rsidP="00176A4E">
      <w:pPr>
        <w:spacing w:line="360" w:lineRule="auto"/>
        <w:jc w:val="both"/>
        <w:rPr>
          <w:b/>
          <w:bCs/>
          <w:u w:val="single"/>
          <w:rtl/>
        </w:rPr>
      </w:pPr>
    </w:p>
    <w:p w14:paraId="654E5332" w14:textId="77777777" w:rsidR="007D065F" w:rsidRDefault="007D065F" w:rsidP="00176A4E">
      <w:pPr>
        <w:spacing w:line="360" w:lineRule="auto"/>
        <w:jc w:val="both"/>
        <w:rPr>
          <w:rtl/>
        </w:rPr>
      </w:pPr>
      <w:r>
        <w:rPr>
          <w:b/>
          <w:bCs/>
          <w:rtl/>
        </w:rPr>
        <w:t xml:space="preserve">מתסקיר מעקב שהתקבל ביום 19.12.23, </w:t>
      </w:r>
      <w:r>
        <w:rPr>
          <w:rtl/>
        </w:rPr>
        <w:t xml:space="preserve">עולה כי הנאשם המשיך בדרכו השיקומית והגיע בקביעות לפגישות עם העובדת הסוציאלית כחלק מתכנית 'יתד'. לפגישות במסגרת קבוצת עוברי </w:t>
      </w:r>
      <w:r>
        <w:rPr>
          <w:rtl/>
        </w:rPr>
        <w:lastRenderedPageBreak/>
        <w:t xml:space="preserve">חוק, חדל מלהגיע ולאחר מתן הזדמנויות רבות התבקש לעזוב את הקבוצה. הנאשם התקשה לקחת אחריות על קשייו בקבוצה וחוסר התמדתו וכן התקשה בתיאור נזקקותו לשירות המבחן. שירות המבחן התרשם כי הנאשם מתקשה להשקיע מאמצים במספר מישורי שיקום. עוד התרשם שירות המבחן כי הנאשם מגויס ומעוניין בתהליך של שינוי ומתמיד בקשר הטיפולי במסגרת תכנית 'יתד' והמשך התמדתו בכך יש בה כדי לצמצם את גורמי הסיכון ולסייע בהליך השיקום. לבסוף, המליץ שירות המבחן על הטלת צו מבחן שיקומי במסגרתו ימשיך הנאשם בתכנית 'יתד' ובנוסף ממליץ על ענישה שתהווה גבול קונקרטי בדמות צו של"צ בהיקף של 250 שעות (אך טרם התקיים ראיון קבלה למסגרת). לאור האמור ממליץ שירות המבחן אף להאריך את המאסר המותנה שעומד כנגד הנאשם. </w:t>
      </w:r>
    </w:p>
    <w:p w14:paraId="08DA89B9" w14:textId="77777777" w:rsidR="007D065F" w:rsidRPr="009A0C06" w:rsidRDefault="007D065F" w:rsidP="00176A4E">
      <w:pPr>
        <w:spacing w:line="360" w:lineRule="auto"/>
        <w:jc w:val="both"/>
        <w:rPr>
          <w:rtl/>
        </w:rPr>
      </w:pPr>
    </w:p>
    <w:p w14:paraId="42E2288B" w14:textId="77777777" w:rsidR="007D065F" w:rsidRDefault="007D065F" w:rsidP="00176A4E">
      <w:pPr>
        <w:spacing w:line="360" w:lineRule="auto"/>
        <w:jc w:val="both"/>
        <w:rPr>
          <w:b/>
          <w:bCs/>
          <w:u w:val="single"/>
          <w:rtl/>
        </w:rPr>
      </w:pPr>
      <w:r>
        <w:rPr>
          <w:b/>
          <w:bCs/>
          <w:u w:val="single"/>
          <w:rtl/>
        </w:rPr>
        <w:t>טיעוני הצדדים</w:t>
      </w:r>
    </w:p>
    <w:p w14:paraId="793A2805" w14:textId="77777777" w:rsidR="007D065F" w:rsidRDefault="007D065F" w:rsidP="00176A4E">
      <w:pPr>
        <w:spacing w:line="360" w:lineRule="auto"/>
        <w:jc w:val="both"/>
        <w:rPr>
          <w:rtl/>
        </w:rPr>
      </w:pPr>
      <w:r>
        <w:rPr>
          <w:b/>
          <w:bCs/>
          <w:rtl/>
        </w:rPr>
        <w:t>ב"כ המאשימה</w:t>
      </w:r>
      <w:r>
        <w:rPr>
          <w:rtl/>
        </w:rPr>
        <w:t xml:space="preserve"> ציין כי לאחר שהמדינה עיינה בשני התסקירים, בחנה את כתב האישום המתוקן ומצאה כי בעצם מדובר בתסקיר חיובי וכי הנאשם הינו צעיר אשר נרתם, כך נראה, באופן מלא לתהליך השיקומי וכי סיכויי הצלחתו הינם גדולים, הרי שתסכים להמלצת שירות המבחן, אלא שביקשה להחמיר את הרכיבים ולעניין זה אף קיבלה את הסכמת ההגנה והנאשם. עוד יש לומר כי המדינה ציינה שלצורך כך אף מסכימה להארכת המאסר המותנה, כאשר שמה דגש שמדובר בהליך שיקומי וכן שהמאסר המותנה הוא מאסר שהוטל על הנאשם בהיותו קטין ובמסגרת בית משפט לנוער, כך שבכל אלה יש על מנת להחריג מקרה זה מכלל המקרים אשר מגיעים לפתחה. </w:t>
      </w:r>
    </w:p>
    <w:p w14:paraId="471E4B9D" w14:textId="77777777" w:rsidR="007D065F" w:rsidRDefault="007D065F" w:rsidP="00176A4E">
      <w:pPr>
        <w:spacing w:line="360" w:lineRule="auto"/>
        <w:jc w:val="both"/>
        <w:rPr>
          <w:rtl/>
        </w:rPr>
      </w:pPr>
    </w:p>
    <w:p w14:paraId="7047B35A" w14:textId="77777777" w:rsidR="007D065F" w:rsidRDefault="007D065F" w:rsidP="00176A4E">
      <w:pPr>
        <w:spacing w:line="360" w:lineRule="auto"/>
        <w:jc w:val="both"/>
        <w:rPr>
          <w:rtl/>
        </w:rPr>
      </w:pPr>
      <w:r>
        <w:rPr>
          <w:b/>
          <w:bCs/>
          <w:rtl/>
        </w:rPr>
        <w:t>ב"כ הנאשם</w:t>
      </w:r>
      <w:r>
        <w:rPr>
          <w:rtl/>
        </w:rPr>
        <w:t xml:space="preserve"> אף הוא ציין כי הוא מסכים להצעה שהוצעה על-ידי המדינה, דהיינו על החמרת רכיבי הענישה מההמלצה שהומלצה על-ידי שירות המבחן, הודה למדינה על עמדתה וציין כי הנאשם ביצע ומבצע תהליך שיקומי ארוך ומשמעותי, הבהיר כי מדובר במסגרת אחת ששם הנאשם מצא אוזן קשבת, התחבר לאותו הליך ולפונקציות שם, ויש לו קושי להירתם למסגרת נוספת שאף היא מסגרת אינטימית אלא שהמסגרת שם שונה במעט והוא מבקש להמשיך באותה מסגרת (מול עובדת סוציאלית).</w:t>
      </w:r>
    </w:p>
    <w:p w14:paraId="09B8846D" w14:textId="77777777" w:rsidR="007D065F" w:rsidRDefault="007D065F" w:rsidP="00176A4E">
      <w:pPr>
        <w:spacing w:line="360" w:lineRule="auto"/>
        <w:jc w:val="both"/>
        <w:rPr>
          <w:b/>
          <w:bCs/>
          <w:rtl/>
        </w:rPr>
      </w:pPr>
    </w:p>
    <w:p w14:paraId="06BCFF7A" w14:textId="77777777" w:rsidR="007D065F" w:rsidRPr="00BB6528" w:rsidRDefault="007D065F" w:rsidP="00176A4E">
      <w:pPr>
        <w:spacing w:line="360" w:lineRule="auto"/>
        <w:jc w:val="both"/>
        <w:rPr>
          <w:rtl/>
        </w:rPr>
      </w:pPr>
      <w:r>
        <w:rPr>
          <w:b/>
          <w:bCs/>
          <w:rtl/>
        </w:rPr>
        <w:t xml:space="preserve">הנאשם </w:t>
      </w:r>
      <w:r>
        <w:rPr>
          <w:rtl/>
        </w:rPr>
        <w:t xml:space="preserve">ציין כי הוא מבין את ההסדר, מסכים לו. עוד אמר כי הוא מצטער על שעשה והוא מתעתד לתקן את דרכיו בגילו הצעיר ומבקש להלך בדרך המלך. </w:t>
      </w:r>
    </w:p>
    <w:p w14:paraId="1BA18F70" w14:textId="77777777" w:rsidR="007D065F" w:rsidRDefault="007D065F" w:rsidP="00176A4E">
      <w:pPr>
        <w:pStyle w:val="ac"/>
        <w:spacing w:line="360" w:lineRule="auto"/>
        <w:jc w:val="both"/>
        <w:rPr>
          <w:rFonts w:cs="David"/>
          <w:sz w:val="24"/>
          <w:szCs w:val="24"/>
        </w:rPr>
      </w:pPr>
    </w:p>
    <w:p w14:paraId="2008844C" w14:textId="77777777" w:rsidR="007D065F" w:rsidRPr="00BD5BC4" w:rsidRDefault="007D065F" w:rsidP="00176A4E">
      <w:pPr>
        <w:spacing w:line="360" w:lineRule="auto"/>
        <w:jc w:val="both"/>
        <w:rPr>
          <w:rFonts w:cs="Arial"/>
          <w:sz w:val="22"/>
          <w:szCs w:val="22"/>
          <w:rtl/>
        </w:rPr>
      </w:pPr>
      <w:r>
        <w:rPr>
          <w:b/>
          <w:bCs/>
          <w:u w:val="single"/>
          <w:rtl/>
        </w:rPr>
        <w:t>דיון והכרעה</w:t>
      </w:r>
    </w:p>
    <w:p w14:paraId="01C80B77" w14:textId="77777777" w:rsidR="007D065F" w:rsidRDefault="007D065F" w:rsidP="00176A4E">
      <w:pPr>
        <w:spacing w:line="360" w:lineRule="auto"/>
        <w:jc w:val="both"/>
        <w:rPr>
          <w:b/>
          <w:bCs/>
        </w:rPr>
      </w:pPr>
      <w:r>
        <w:rPr>
          <w:rtl/>
        </w:rPr>
        <w:t xml:space="preserve">קביעת עונשו של הנאשם, יהיה לאור העיקרון לו הבכורה והוא </w:t>
      </w:r>
      <w:r>
        <w:rPr>
          <w:b/>
          <w:bCs/>
          <w:rtl/>
        </w:rPr>
        <w:t>עקרון ההלימה</w:t>
      </w:r>
      <w:r>
        <w:rPr>
          <w:rtl/>
        </w:rPr>
        <w:t xml:space="preserve">, תוך מתן יחס הולם בין חומרת העבירה המיוחסת לנאשם בנסיבותיה, מידת אשמו של הנאשם ובין סוג ומידת העונש אשר יוטל עליו. לצורך קביעה זו יש לבחון מספר אספקטים; </w:t>
      </w:r>
      <w:r>
        <w:rPr>
          <w:b/>
          <w:bCs/>
          <w:rtl/>
        </w:rPr>
        <w:t>הערכים החברתיים</w:t>
      </w:r>
      <w:r>
        <w:rPr>
          <w:rtl/>
        </w:rPr>
        <w:t xml:space="preserve"> שנפגעו ממעשה זה ומידת הפגיעה בהם, </w:t>
      </w:r>
      <w:r>
        <w:rPr>
          <w:b/>
          <w:bCs/>
          <w:rtl/>
        </w:rPr>
        <w:t>מדיניות הענישה הנהוגה</w:t>
      </w:r>
      <w:r>
        <w:rPr>
          <w:rtl/>
        </w:rPr>
        <w:t xml:space="preserve"> בבתי המשפט ומהן </w:t>
      </w:r>
      <w:r>
        <w:rPr>
          <w:b/>
          <w:bCs/>
          <w:rtl/>
        </w:rPr>
        <w:t xml:space="preserve">הנסיבות הקשורות בביצוע העבירה </w:t>
      </w:r>
      <w:r>
        <w:rPr>
          <w:rtl/>
        </w:rPr>
        <w:t>(תיקון 113 לחוק).</w:t>
      </w:r>
    </w:p>
    <w:p w14:paraId="726C7C04" w14:textId="77777777" w:rsidR="007D065F" w:rsidRDefault="007D065F" w:rsidP="00176A4E">
      <w:pPr>
        <w:spacing w:line="360" w:lineRule="auto"/>
        <w:jc w:val="both"/>
        <w:rPr>
          <w:b/>
          <w:bCs/>
          <w:u w:val="single"/>
          <w:rtl/>
        </w:rPr>
      </w:pPr>
    </w:p>
    <w:p w14:paraId="46DE909A" w14:textId="77777777" w:rsidR="007D065F" w:rsidRDefault="007D065F" w:rsidP="00176A4E">
      <w:pPr>
        <w:spacing w:line="360" w:lineRule="auto"/>
        <w:jc w:val="both"/>
        <w:rPr>
          <w:rtl/>
        </w:rPr>
      </w:pPr>
      <w:r>
        <w:rPr>
          <w:rtl/>
        </w:rPr>
        <w:t xml:space="preserve">כאשר מדובר בעבירות סמים, בית המשפט מתייחס לכל עסקה כאל אירוע נפרד לצורך קביעת מתחם (ראו </w:t>
      </w:r>
      <w:hyperlink r:id="rId18" w:history="1">
        <w:r w:rsidR="003C2A8A" w:rsidRPr="003C2A8A">
          <w:rPr>
            <w:color w:val="0000FF"/>
            <w:u w:val="single"/>
            <w:rtl/>
          </w:rPr>
          <w:t>ת"פ 27612-02-19</w:t>
        </w:r>
      </w:hyperlink>
      <w:r>
        <w:rPr>
          <w:rtl/>
        </w:rPr>
        <w:t xml:space="preserve"> </w:t>
      </w:r>
      <w:r>
        <w:rPr>
          <w:b/>
          <w:bCs/>
          <w:rtl/>
        </w:rPr>
        <w:t xml:space="preserve">מדינת ישראל נ' קאראנטינאג'י </w:t>
      </w:r>
      <w:r>
        <w:rPr>
          <w:rtl/>
        </w:rPr>
        <w:t>(23.6.19).  בעניינו מדובר בשתי עבירות שונות שבוצעו באותו מועד ובאותן נסיבות, כך שניתן לראות בכל האירוע כאירוע מתמשך אחד, ומשכך יש לקבוע מתחם ענישה כולל ביחס לכל המתואר בכתב האישום וזאת לאור הכללים שנקבעו ב</w:t>
      </w:r>
      <w:hyperlink r:id="rId19" w:history="1">
        <w:r w:rsidR="003C2A8A" w:rsidRPr="003C2A8A">
          <w:rPr>
            <w:color w:val="0000FF"/>
            <w:u w:val="single"/>
            <w:rtl/>
          </w:rPr>
          <w:t>ע"פ 4910/13</w:t>
        </w:r>
      </w:hyperlink>
      <w:r>
        <w:rPr>
          <w:rtl/>
        </w:rPr>
        <w:t xml:space="preserve"> </w:t>
      </w:r>
      <w:r>
        <w:rPr>
          <w:b/>
          <w:bCs/>
          <w:rtl/>
        </w:rPr>
        <w:t>בני ג'אבר נ' מדינת ישראל</w:t>
      </w:r>
      <w:r>
        <w:rPr>
          <w:rtl/>
        </w:rPr>
        <w:t xml:space="preserve">, פורסם בנבו, 29.10.14). </w:t>
      </w:r>
    </w:p>
    <w:p w14:paraId="635E4B1F" w14:textId="77777777" w:rsidR="007D065F" w:rsidRDefault="007D065F" w:rsidP="00176A4E">
      <w:pPr>
        <w:spacing w:line="360" w:lineRule="auto"/>
        <w:jc w:val="both"/>
        <w:rPr>
          <w:b/>
          <w:bCs/>
          <w:rtl/>
        </w:rPr>
      </w:pPr>
    </w:p>
    <w:p w14:paraId="3374C2AC" w14:textId="77777777" w:rsidR="007D065F" w:rsidRDefault="007D065F" w:rsidP="00176A4E">
      <w:pPr>
        <w:spacing w:line="360" w:lineRule="auto"/>
        <w:jc w:val="both"/>
        <w:rPr>
          <w:rtl/>
        </w:rPr>
      </w:pPr>
      <w:r>
        <w:rPr>
          <w:b/>
          <w:bCs/>
          <w:rtl/>
        </w:rPr>
        <w:t>הערכים המוגנים ונסיבות ביצוע העבירה</w:t>
      </w:r>
      <w:r>
        <w:rPr>
          <w:rtl/>
        </w:rPr>
        <w:t xml:space="preserve"> </w:t>
      </w:r>
    </w:p>
    <w:p w14:paraId="215D153B" w14:textId="77777777" w:rsidR="007D065F" w:rsidRDefault="007D065F" w:rsidP="00176A4E">
      <w:pPr>
        <w:spacing w:line="360" w:lineRule="auto"/>
        <w:jc w:val="both"/>
        <w:rPr>
          <w:rtl/>
        </w:rPr>
      </w:pPr>
    </w:p>
    <w:p w14:paraId="0B043C9F" w14:textId="77777777" w:rsidR="007D065F" w:rsidRDefault="007D065F" w:rsidP="00176A4E">
      <w:pPr>
        <w:spacing w:line="360" w:lineRule="auto"/>
        <w:jc w:val="both"/>
        <w:rPr>
          <w:rtl/>
        </w:rPr>
      </w:pPr>
      <w:r>
        <w:rPr>
          <w:rtl/>
        </w:rPr>
        <w:t xml:space="preserve">כידוע פגיעתם הקשה של הסמים בגופם ובריאותם של הציבור היא רחבת היקף. בבחינת הנסיבות הקשורות לביצוע העבירה שקלתי כי הגידול מתייחס ל3 שתילים, יחד עם ציוד מעבדה. הגם שמדובר בסם המכונה 'סם קל', אין הדבר מצדיק הקלה בעונש מטעם זה בלבד (לעניין זה ראו </w:t>
      </w:r>
      <w:hyperlink r:id="rId20" w:history="1">
        <w:r w:rsidR="003C2A8A" w:rsidRPr="003C2A8A">
          <w:rPr>
            <w:color w:val="0000FF"/>
            <w:u w:val="single"/>
            <w:rtl/>
          </w:rPr>
          <w:t>רע”פ 8759/21</w:t>
        </w:r>
      </w:hyperlink>
      <w:r>
        <w:rPr>
          <w:rtl/>
        </w:rPr>
        <w:t xml:space="preserve"> </w:t>
      </w:r>
      <w:r>
        <w:rPr>
          <w:b/>
          <w:bCs/>
          <w:rtl/>
        </w:rPr>
        <w:t xml:space="preserve">קסלר נ' מדינת ישראל </w:t>
      </w:r>
      <w:r>
        <w:rPr>
          <w:rtl/>
        </w:rPr>
        <w:t xml:space="preserve">(23.12.21). </w:t>
      </w:r>
    </w:p>
    <w:p w14:paraId="3C965E7A" w14:textId="77777777" w:rsidR="007D065F" w:rsidRDefault="007D065F" w:rsidP="00176A4E">
      <w:pPr>
        <w:spacing w:after="160" w:line="360" w:lineRule="auto"/>
        <w:contextualSpacing/>
        <w:jc w:val="both"/>
        <w:rPr>
          <w:rtl/>
        </w:rPr>
      </w:pPr>
    </w:p>
    <w:p w14:paraId="6FB3496E" w14:textId="77777777" w:rsidR="007D065F" w:rsidRDefault="007D065F" w:rsidP="00176A4E">
      <w:pPr>
        <w:spacing w:after="160" w:line="360" w:lineRule="auto"/>
        <w:contextualSpacing/>
        <w:jc w:val="both"/>
      </w:pPr>
      <w:r>
        <w:rPr>
          <w:rtl/>
        </w:rPr>
        <w:t>ב</w:t>
      </w:r>
      <w:hyperlink r:id="rId21" w:history="1">
        <w:r w:rsidR="003C2A8A" w:rsidRPr="003C2A8A">
          <w:rPr>
            <w:color w:val="0000FF"/>
            <w:u w:val="single"/>
            <w:rtl/>
          </w:rPr>
          <w:t>עפ"ג 12819-11-15</w:t>
        </w:r>
      </w:hyperlink>
      <w:r>
        <w:rPr>
          <w:rtl/>
        </w:rPr>
        <w:t xml:space="preserve"> </w:t>
      </w:r>
      <w:r w:rsidRPr="00441197">
        <w:rPr>
          <w:b/>
          <w:bCs/>
          <w:rtl/>
        </w:rPr>
        <w:t>מדינת ישראל נ' בן צבי</w:t>
      </w:r>
      <w:r>
        <w:rPr>
          <w:rtl/>
        </w:rPr>
        <w:t xml:space="preserve"> (16.12.2015) ציין בית המשפט המחוזי בתל אביב כי לא בכדי הציב המחוקק לצידה של עבירת הגידול את העונש המקסימלי של 20 שנות מאסר, השווה לעונש המוטל בגין הפצת סם וסחר בו:</w:t>
      </w:r>
    </w:p>
    <w:p w14:paraId="4C14FC5E" w14:textId="77777777" w:rsidR="007D065F" w:rsidRDefault="007D065F" w:rsidP="00176A4E">
      <w:pPr>
        <w:spacing w:after="160" w:line="360" w:lineRule="auto"/>
        <w:ind w:left="720"/>
        <w:contextualSpacing/>
        <w:rPr>
          <w:rtl/>
        </w:rPr>
      </w:pPr>
      <w:r>
        <w:rPr>
          <w:b/>
          <w:bCs/>
          <w:rtl/>
        </w:rPr>
        <w:t>"יש בכך אמירה נורמטיבית לצד אמירה אופרטיבית. מידת החומרה שבגידול סם איננה נופלת מזו של הפצת סם. מי שמגדל סם בכמויות כאלה, חזקה עליו שאיננו מתכוון רק לשימוש עצמי וכך גם נאמר בפירוש בעובדות כתב האישום שבו הודה המשיב... המתחם הנכון, כפי שאמרנו בכמה וכמה תיקים: צריך לעמוד על תקופה שתחילתה במאסר שיינשא מאחורי סורג ובריח ולא במאסר שיינשא בעבודות שירות"</w:t>
      </w:r>
      <w:r>
        <w:rPr>
          <w:rtl/>
        </w:rPr>
        <w:t xml:space="preserve"> </w:t>
      </w:r>
    </w:p>
    <w:p w14:paraId="5C228248" w14:textId="77777777" w:rsidR="007D065F" w:rsidRPr="005D3650" w:rsidRDefault="007D065F" w:rsidP="00176A4E">
      <w:pPr>
        <w:spacing w:line="360" w:lineRule="auto"/>
        <w:jc w:val="both"/>
        <w:rPr>
          <w:rtl/>
        </w:rPr>
      </w:pPr>
    </w:p>
    <w:p w14:paraId="32ECDFB8" w14:textId="77777777" w:rsidR="007D065F" w:rsidRDefault="007D065F" w:rsidP="00176A4E">
      <w:pPr>
        <w:spacing w:line="360" w:lineRule="auto"/>
        <w:jc w:val="both"/>
        <w:rPr>
          <w:rtl/>
        </w:rPr>
      </w:pPr>
      <w:r>
        <w:rPr>
          <w:b/>
          <w:bCs/>
          <w:rtl/>
        </w:rPr>
        <w:t>מדיניות הענישה ומתחם העונש ההולם</w:t>
      </w:r>
      <w:r>
        <w:rPr>
          <w:rtl/>
        </w:rPr>
        <w:t xml:space="preserve"> – מדיניות הענישה הנוהגת בעבירות של סחר בסם וגידולו, משקללת את סוג הסם, הכמות והמיקום בשרשרת הפצת הסם. </w:t>
      </w:r>
    </w:p>
    <w:p w14:paraId="444F6E56" w14:textId="77777777" w:rsidR="007D065F" w:rsidRDefault="007D065F" w:rsidP="00176A4E">
      <w:pPr>
        <w:spacing w:line="360" w:lineRule="auto"/>
        <w:jc w:val="both"/>
        <w:rPr>
          <w:rtl/>
        </w:rPr>
      </w:pPr>
    </w:p>
    <w:p w14:paraId="3648A093" w14:textId="77777777" w:rsidR="007D065F" w:rsidRPr="00BB6528" w:rsidRDefault="003C2A8A" w:rsidP="00BB6528">
      <w:pPr>
        <w:pStyle w:val="ac"/>
        <w:numPr>
          <w:ilvl w:val="0"/>
          <w:numId w:val="21"/>
        </w:numPr>
        <w:spacing w:after="0" w:line="360" w:lineRule="auto"/>
        <w:jc w:val="both"/>
        <w:rPr>
          <w:rFonts w:ascii="David" w:hAnsi="David" w:cs="David"/>
          <w:sz w:val="24"/>
          <w:szCs w:val="24"/>
          <w:rtl/>
        </w:rPr>
      </w:pPr>
      <w:hyperlink r:id="rId22" w:history="1">
        <w:r w:rsidRPr="003C2A8A">
          <w:rPr>
            <w:rFonts w:ascii="David" w:hAnsi="David" w:cs="David"/>
            <w:color w:val="0000FF"/>
            <w:sz w:val="24"/>
            <w:szCs w:val="24"/>
            <w:u w:val="single"/>
            <w:rtl/>
          </w:rPr>
          <w:t>עפ"ג (ירושלים) 32398-04-16</w:t>
        </w:r>
      </w:hyperlink>
      <w:r w:rsidR="007D065F" w:rsidRPr="00977A5E">
        <w:rPr>
          <w:rFonts w:ascii="David" w:hAnsi="David" w:cs="David"/>
          <w:sz w:val="24"/>
          <w:szCs w:val="24"/>
          <w:rtl/>
        </w:rPr>
        <w:t xml:space="preserve"> </w:t>
      </w:r>
      <w:r w:rsidR="007D065F" w:rsidRPr="00977A5E">
        <w:rPr>
          <w:rFonts w:ascii="David" w:hAnsi="David" w:cs="David"/>
          <w:b/>
          <w:bCs/>
          <w:sz w:val="24"/>
          <w:szCs w:val="24"/>
          <w:rtl/>
        </w:rPr>
        <w:t>חביב בן חי נ' מדינת ישראל</w:t>
      </w:r>
      <w:r w:rsidR="007D065F" w:rsidRPr="00977A5E">
        <w:rPr>
          <w:rFonts w:ascii="David" w:hAnsi="David" w:cs="David"/>
          <w:sz w:val="24"/>
          <w:szCs w:val="24"/>
          <w:rtl/>
        </w:rPr>
        <w:t xml:space="preserve"> (9.4.17)</w:t>
      </w:r>
      <w:r w:rsidR="007D065F">
        <w:rPr>
          <w:rFonts w:ascii="David" w:hAnsi="David" w:cs="David"/>
          <w:sz w:val="24"/>
          <w:szCs w:val="24"/>
          <w:rtl/>
        </w:rPr>
        <w:t xml:space="preserve"> </w:t>
      </w:r>
      <w:r w:rsidR="007D065F" w:rsidRPr="00977A5E">
        <w:rPr>
          <w:rFonts w:ascii="David" w:hAnsi="David" w:cs="David"/>
          <w:sz w:val="24"/>
          <w:szCs w:val="24"/>
          <w:rtl/>
        </w:rPr>
        <w:t xml:space="preserve">- הנאשם הורשע על יסוד הודאתו בעבירה של גידול סם מסוכן. על-פי עובדות כתב-האישום, גידל הנאשם סם מסוכן מסוג קנביס במשקל כולל של 60.10 גרם נטו. </w:t>
      </w:r>
      <w:r w:rsidR="007D065F">
        <w:rPr>
          <w:rFonts w:ascii="David" w:hAnsi="David" w:cs="David"/>
          <w:sz w:val="24"/>
          <w:szCs w:val="24"/>
          <w:rtl/>
        </w:rPr>
        <w:t>עוד</w:t>
      </w:r>
      <w:r w:rsidR="007D065F" w:rsidRPr="00977A5E">
        <w:rPr>
          <w:rFonts w:ascii="David" w:hAnsi="David" w:cs="David"/>
          <w:sz w:val="24"/>
          <w:szCs w:val="24"/>
          <w:rtl/>
        </w:rPr>
        <w:t xml:space="preserve"> החזיק</w:t>
      </w:r>
      <w:r w:rsidR="007D065F">
        <w:rPr>
          <w:rFonts w:ascii="David" w:hAnsi="David" w:cs="David"/>
          <w:sz w:val="24"/>
          <w:szCs w:val="24"/>
          <w:rtl/>
        </w:rPr>
        <w:t xml:space="preserve"> הנאשם</w:t>
      </w:r>
      <w:r w:rsidR="007D065F" w:rsidRPr="00977A5E">
        <w:rPr>
          <w:rFonts w:ascii="David" w:hAnsi="David" w:cs="David"/>
          <w:sz w:val="24"/>
          <w:szCs w:val="24"/>
          <w:rtl/>
        </w:rPr>
        <w:t xml:space="preserve"> ביחידת הדיור כלים לגידול והכנת סמים, לרבות "ארון קיר אשר מצופה נייר כסף מבפנים, תאורה מיוחדת, מד טמפרטורה, צינורות השקיה, 2 טיימרים, משאבת אוויר, כבל חשמל, מיכלי דשן, מברג, פלייר, פטיש, אדנית ריקה, חוט דייג וסכין יפני". </w:t>
      </w:r>
      <w:r w:rsidR="007D065F" w:rsidRPr="002114AC">
        <w:rPr>
          <w:rFonts w:ascii="David" w:hAnsi="David" w:cs="David"/>
          <w:b/>
          <w:bCs/>
          <w:sz w:val="24"/>
          <w:szCs w:val="24"/>
          <w:rtl/>
        </w:rPr>
        <w:t>בית המשפט קמא קבע כי מתחם הענישה ההולם נע בין מאסר קצר, אשר במקרים מתאימים יכול וירוצה בעבודות שירות, לבין ששה חודשי מאסר בפועל</w:t>
      </w:r>
      <w:r w:rsidR="007D065F" w:rsidRPr="00977A5E">
        <w:rPr>
          <w:rFonts w:ascii="David" w:hAnsi="David" w:cs="David"/>
          <w:sz w:val="24"/>
          <w:szCs w:val="24"/>
          <w:rtl/>
        </w:rPr>
        <w:t>. בית המשפט קמא קבע כי אין מקום להימנע מהרשעת הנאשם. ב</w:t>
      </w:r>
      <w:r w:rsidR="007D065F">
        <w:rPr>
          <w:rFonts w:ascii="David" w:hAnsi="David" w:cs="David"/>
          <w:sz w:val="24"/>
          <w:szCs w:val="24"/>
          <w:rtl/>
        </w:rPr>
        <w:t xml:space="preserve">ית המשפט קמא גזר על הנאשם </w:t>
      </w:r>
      <w:r w:rsidR="007D065F" w:rsidRPr="00977A5E">
        <w:rPr>
          <w:rFonts w:ascii="David" w:hAnsi="David" w:cs="David"/>
          <w:sz w:val="24"/>
          <w:szCs w:val="24"/>
          <w:rtl/>
        </w:rPr>
        <w:t>עונש של חודש מאס</w:t>
      </w:r>
      <w:r w:rsidR="007D065F">
        <w:rPr>
          <w:rFonts w:ascii="David" w:hAnsi="David" w:cs="David"/>
          <w:sz w:val="24"/>
          <w:szCs w:val="24"/>
          <w:rtl/>
        </w:rPr>
        <w:t>ר בפועל לריצוי בעבודות שירות</w:t>
      </w:r>
      <w:r w:rsidR="007D065F" w:rsidRPr="00977A5E">
        <w:rPr>
          <w:rFonts w:ascii="David" w:hAnsi="David" w:cs="David"/>
          <w:sz w:val="24"/>
          <w:szCs w:val="24"/>
          <w:rtl/>
        </w:rPr>
        <w:t xml:space="preserve"> </w:t>
      </w:r>
      <w:r w:rsidR="007D065F">
        <w:rPr>
          <w:rFonts w:ascii="David" w:hAnsi="David" w:cs="David"/>
          <w:sz w:val="24"/>
          <w:szCs w:val="24"/>
          <w:rtl/>
        </w:rPr>
        <w:t>ל</w:t>
      </w:r>
      <w:r w:rsidR="007D065F" w:rsidRPr="00977A5E">
        <w:rPr>
          <w:rFonts w:ascii="David" w:hAnsi="David" w:cs="David"/>
          <w:sz w:val="24"/>
          <w:szCs w:val="24"/>
          <w:rtl/>
        </w:rPr>
        <w:t>צד חודש מאסר על תנאי. בית המשפט המחוזי אימץ את מתחם ה</w:t>
      </w:r>
      <w:r w:rsidR="007D065F">
        <w:rPr>
          <w:rFonts w:ascii="David" w:hAnsi="David" w:cs="David"/>
          <w:sz w:val="24"/>
          <w:szCs w:val="24"/>
          <w:rtl/>
        </w:rPr>
        <w:t>עונש שנקבע ודחה את הערעור שהוגש.</w:t>
      </w:r>
    </w:p>
    <w:p w14:paraId="1B44FE3F" w14:textId="77777777" w:rsidR="007D065F" w:rsidRPr="00B32C25" w:rsidRDefault="007D065F" w:rsidP="00176A4E"/>
    <w:p w14:paraId="40DA7E5E" w14:textId="77777777" w:rsidR="007D065F" w:rsidRDefault="003C2A8A" w:rsidP="00176A4E">
      <w:pPr>
        <w:pStyle w:val="ac"/>
        <w:numPr>
          <w:ilvl w:val="0"/>
          <w:numId w:val="21"/>
        </w:numPr>
        <w:spacing w:after="0" w:line="360" w:lineRule="auto"/>
        <w:jc w:val="both"/>
        <w:rPr>
          <w:rFonts w:ascii="David" w:hAnsi="David"/>
        </w:rPr>
      </w:pPr>
      <w:hyperlink r:id="rId23" w:history="1">
        <w:r w:rsidRPr="003C2A8A">
          <w:rPr>
            <w:rFonts w:ascii="David" w:hAnsi="David" w:cs="David"/>
            <w:color w:val="0000FF"/>
            <w:sz w:val="24"/>
            <w:szCs w:val="24"/>
            <w:u w:val="single"/>
            <w:rtl/>
          </w:rPr>
          <w:t>עפ"ג (תל-אביב) 2135-09-14</w:t>
        </w:r>
      </w:hyperlink>
      <w:r w:rsidR="007D065F" w:rsidRPr="00977A5E">
        <w:rPr>
          <w:rFonts w:ascii="David" w:hAnsi="David" w:cs="David"/>
          <w:sz w:val="24"/>
          <w:szCs w:val="24"/>
          <w:rtl/>
        </w:rPr>
        <w:t xml:space="preserve"> </w:t>
      </w:r>
      <w:r w:rsidR="007D065F" w:rsidRPr="00977A5E">
        <w:rPr>
          <w:rFonts w:ascii="David" w:hAnsi="David" w:cs="David"/>
          <w:b/>
          <w:bCs/>
          <w:sz w:val="24"/>
          <w:szCs w:val="24"/>
          <w:rtl/>
        </w:rPr>
        <w:t>אפשטיין נ' מדינת ישראל</w:t>
      </w:r>
      <w:r w:rsidR="007D065F" w:rsidRPr="00977A5E">
        <w:rPr>
          <w:rFonts w:ascii="David" w:hAnsi="David" w:cs="David"/>
          <w:sz w:val="24"/>
          <w:szCs w:val="24"/>
          <w:rtl/>
        </w:rPr>
        <w:t xml:space="preserve"> (31.12.14)</w:t>
      </w:r>
      <w:r w:rsidR="007D065F">
        <w:rPr>
          <w:rFonts w:ascii="David" w:hAnsi="David" w:cs="David"/>
          <w:sz w:val="24"/>
          <w:szCs w:val="24"/>
          <w:rtl/>
        </w:rPr>
        <w:t xml:space="preserve"> </w:t>
      </w:r>
      <w:r w:rsidR="007D065F" w:rsidRPr="00977A5E">
        <w:rPr>
          <w:rFonts w:ascii="David" w:hAnsi="David" w:cs="David"/>
          <w:sz w:val="24"/>
          <w:szCs w:val="24"/>
          <w:rtl/>
        </w:rPr>
        <w:t xml:space="preserve">- הנאשם הודה והורשע בעבירות של גידול, ייצור והכנת סמים מסוכנים. על פי עובדות כתב האישום, הנאשם גידל בדירה סם מסוכן מסוג קנבוס במשקל כולל של 289.85 גרם. בנוסף, החזיק הנאשם בדירה אותה שכר סם מסוכן מסוג קנבוס במשקל 31.1 גרם, בדירה אחרת סם מסוכן מסוג קנבוס במשקל של 1.31 גרם וכלים להכנת סם מסוכן לשם מינוף הליך גדול הסמים. </w:t>
      </w:r>
      <w:r w:rsidR="007D065F" w:rsidRPr="002114AC">
        <w:rPr>
          <w:rFonts w:ascii="David" w:hAnsi="David" w:cs="David"/>
          <w:b/>
          <w:bCs/>
          <w:sz w:val="24"/>
          <w:szCs w:val="24"/>
          <w:rtl/>
        </w:rPr>
        <w:t>בית המשפט קמא קבע כי מתחם העונש ההולם נע בין 6 חודשי מאסר לריצוי בעבודות שירות ועד 18 חודשי מאסר בפועל.</w:t>
      </w:r>
      <w:r w:rsidR="007D065F" w:rsidRPr="00977A5E">
        <w:rPr>
          <w:rFonts w:ascii="David" w:hAnsi="David" w:cs="David"/>
          <w:sz w:val="24"/>
          <w:szCs w:val="24"/>
          <w:rtl/>
        </w:rPr>
        <w:t xml:space="preserve"> בית המשפט קמא גזר על הנאשם עונש של צו של"צ בהיקף של 250 שעות, לצד מאסרים מותנים וקנס בסך 3,000 ₪ או 30 ימי מאסר תמורתו. הערעור שהוגש לבית המשפט המחוזי נדחה</w:t>
      </w:r>
      <w:r w:rsidR="007D065F">
        <w:rPr>
          <w:rFonts w:ascii="David" w:hAnsi="David"/>
          <w:rtl/>
        </w:rPr>
        <w:t>.</w:t>
      </w:r>
    </w:p>
    <w:p w14:paraId="192EC0EE" w14:textId="77777777" w:rsidR="007D065F" w:rsidRPr="00FF2971" w:rsidRDefault="007D065F" w:rsidP="00176A4E">
      <w:pPr>
        <w:pStyle w:val="ac"/>
        <w:rPr>
          <w:rFonts w:ascii="David" w:hAnsi="David"/>
          <w:rtl/>
        </w:rPr>
      </w:pPr>
    </w:p>
    <w:p w14:paraId="31AC29B4" w14:textId="77777777" w:rsidR="007D065F" w:rsidRDefault="003C2A8A" w:rsidP="00176A4E">
      <w:pPr>
        <w:pStyle w:val="ac"/>
        <w:numPr>
          <w:ilvl w:val="0"/>
          <w:numId w:val="21"/>
        </w:numPr>
        <w:spacing w:after="0" w:line="360" w:lineRule="auto"/>
        <w:jc w:val="both"/>
        <w:rPr>
          <w:rFonts w:ascii="David" w:hAnsi="David" w:cs="David"/>
          <w:sz w:val="24"/>
          <w:szCs w:val="24"/>
        </w:rPr>
      </w:pPr>
      <w:hyperlink r:id="rId24" w:history="1">
        <w:r w:rsidRPr="003C2A8A">
          <w:rPr>
            <w:rFonts w:ascii="David" w:hAnsi="David" w:cs="David"/>
            <w:color w:val="0000FF"/>
            <w:sz w:val="24"/>
            <w:szCs w:val="24"/>
            <w:u w:val="single"/>
            <w:rtl/>
          </w:rPr>
          <w:t>עפ"ג (תל אביב) 63162-01-22</w:t>
        </w:r>
      </w:hyperlink>
      <w:r w:rsidR="007D065F" w:rsidRPr="00FF2971">
        <w:rPr>
          <w:rFonts w:ascii="David" w:hAnsi="David" w:cs="David"/>
          <w:sz w:val="24"/>
          <w:szCs w:val="24"/>
          <w:rtl/>
        </w:rPr>
        <w:t xml:space="preserve"> ת"פ </w:t>
      </w:r>
      <w:r w:rsidR="007D065F" w:rsidRPr="00FF2971">
        <w:rPr>
          <w:rFonts w:ascii="David" w:hAnsi="David" w:cs="David"/>
          <w:b/>
          <w:bCs/>
          <w:sz w:val="24"/>
          <w:szCs w:val="24"/>
          <w:rtl/>
        </w:rPr>
        <w:t>משיח נ' מדינת ישראל</w:t>
      </w:r>
      <w:r w:rsidR="007D065F" w:rsidRPr="00FF2971">
        <w:rPr>
          <w:rFonts w:ascii="David" w:hAnsi="David" w:cs="David"/>
          <w:sz w:val="24"/>
          <w:szCs w:val="24"/>
          <w:rtl/>
        </w:rPr>
        <w:t xml:space="preserve"> (02.03.22) – הנאשם הורשע על פי הודאתו בעבירות גידול סם מסוכן והחזקת סם שלא צריכה עצמית בצוותא. הנאשם ואחרת שעמה התגורר גידלו בחצר הבית </w:t>
      </w:r>
      <w:r w:rsidR="007D065F" w:rsidRPr="00FF2971">
        <w:rPr>
          <w:rFonts w:ascii="David" w:hAnsi="David" w:cs="David"/>
          <w:b/>
          <w:bCs/>
          <w:sz w:val="24"/>
          <w:szCs w:val="24"/>
          <w:rtl/>
        </w:rPr>
        <w:t>6 שתילים של סם מסוכן מסוג קנבוס במשקל כולל של 522 גרם</w:t>
      </w:r>
      <w:r w:rsidR="007D065F" w:rsidRPr="00FF2971">
        <w:rPr>
          <w:rFonts w:ascii="David" w:hAnsi="David" w:cs="David"/>
          <w:sz w:val="24"/>
          <w:szCs w:val="24"/>
          <w:rtl/>
        </w:rPr>
        <w:t xml:space="preserve">. השניים החזיקו במספר מקומות בבית קנבוס במשקל נטו של 14.9 גרם, שלא לצריכתם העצמית.  </w:t>
      </w:r>
      <w:r w:rsidR="007D065F" w:rsidRPr="00FF2971">
        <w:rPr>
          <w:rFonts w:ascii="David" w:hAnsi="David" w:cs="David"/>
          <w:b/>
          <w:bCs/>
          <w:sz w:val="24"/>
          <w:szCs w:val="24"/>
          <w:rtl/>
        </w:rPr>
        <w:t>בית המשפט קבע את מתחם העונש ההולם כנע בין מאסר קצר אשר יכול וירוצה בדרך של עבודות שירות, ועד ל-12 חודשי מאסר בפועל, לצד ענישה נלווית</w:t>
      </w:r>
      <w:r w:rsidR="007D065F" w:rsidRPr="00FF2971">
        <w:rPr>
          <w:rFonts w:ascii="David" w:hAnsi="David" w:cs="David"/>
          <w:sz w:val="24"/>
          <w:szCs w:val="24"/>
          <w:rtl/>
        </w:rPr>
        <w:t>. בית המשפט גזר על הנאשם, נעדר עבר פלילי, אשר מחזיק ברישיון לקנביס רפואי (לא הוצגו לבית המשפט אישורים מתאימים), עונש של 45 יום מאסר בדרך של עבודות שירות, מאסרים מותנים, קנס בסך 2,500 ₪, התחייבות בסך 2,000 ₪ ופסילה על תנאי. ערעור לבית המשפט המחוזי נדחה.</w:t>
      </w:r>
    </w:p>
    <w:p w14:paraId="34C89D8E" w14:textId="77777777" w:rsidR="007D065F" w:rsidRPr="00B32C25" w:rsidRDefault="007D065F" w:rsidP="00176A4E">
      <w:pPr>
        <w:pStyle w:val="ac"/>
        <w:rPr>
          <w:rFonts w:ascii="David" w:hAnsi="David" w:cs="David"/>
          <w:sz w:val="24"/>
          <w:szCs w:val="24"/>
          <w:rtl/>
        </w:rPr>
      </w:pPr>
    </w:p>
    <w:p w14:paraId="0F512F26" w14:textId="77777777" w:rsidR="007D065F" w:rsidRPr="00B32C25" w:rsidRDefault="003C2A8A" w:rsidP="00176A4E">
      <w:pPr>
        <w:pStyle w:val="ac"/>
        <w:numPr>
          <w:ilvl w:val="0"/>
          <w:numId w:val="21"/>
        </w:numPr>
        <w:spacing w:after="0" w:line="360" w:lineRule="auto"/>
        <w:jc w:val="both"/>
        <w:rPr>
          <w:rFonts w:ascii="David" w:hAnsi="David" w:cs="David"/>
          <w:sz w:val="24"/>
          <w:szCs w:val="24"/>
          <w:rtl/>
        </w:rPr>
      </w:pPr>
      <w:hyperlink r:id="rId25" w:history="1">
        <w:r w:rsidRPr="003C2A8A">
          <w:rPr>
            <w:rFonts w:ascii="David" w:hAnsi="David" w:cs="David"/>
            <w:color w:val="0000FF"/>
            <w:sz w:val="24"/>
            <w:szCs w:val="24"/>
            <w:u w:val="single"/>
            <w:rtl/>
          </w:rPr>
          <w:t>רע"פ 4512/15</w:t>
        </w:r>
      </w:hyperlink>
      <w:r w:rsidR="007D065F" w:rsidRPr="00977A5E">
        <w:rPr>
          <w:rFonts w:ascii="David" w:hAnsi="David" w:cs="David"/>
          <w:sz w:val="24"/>
          <w:szCs w:val="24"/>
          <w:rtl/>
        </w:rPr>
        <w:t xml:space="preserve"> </w:t>
      </w:r>
      <w:r w:rsidR="007D065F" w:rsidRPr="00977A5E">
        <w:rPr>
          <w:rFonts w:ascii="David" w:hAnsi="David" w:cs="David"/>
          <w:b/>
          <w:bCs/>
          <w:sz w:val="24"/>
          <w:szCs w:val="24"/>
          <w:rtl/>
        </w:rPr>
        <w:t>הרוש נ' מדינת ישראל</w:t>
      </w:r>
      <w:r w:rsidR="007D065F" w:rsidRPr="00977A5E">
        <w:rPr>
          <w:rFonts w:ascii="David" w:hAnsi="David" w:cs="David"/>
          <w:sz w:val="24"/>
          <w:szCs w:val="24"/>
          <w:rtl/>
        </w:rPr>
        <w:t xml:space="preserve"> (6.7.15)</w:t>
      </w:r>
      <w:r w:rsidR="007D065F">
        <w:rPr>
          <w:rFonts w:ascii="David" w:hAnsi="David" w:cs="David"/>
          <w:sz w:val="24"/>
          <w:szCs w:val="24"/>
          <w:rtl/>
        </w:rPr>
        <w:t xml:space="preserve"> </w:t>
      </w:r>
      <w:r w:rsidR="007D065F" w:rsidRPr="00977A5E">
        <w:rPr>
          <w:rFonts w:ascii="David" w:hAnsi="David" w:cs="David"/>
          <w:sz w:val="24"/>
          <w:szCs w:val="24"/>
          <w:rtl/>
        </w:rPr>
        <w:t xml:space="preserve">- הנאשם הודה והורשע בעבירות של גידול, יצור והכנת סמים מסוכנים והחזקה או שימוש בסמים שלא לצריכה עצמית. מעובדות כתב האישום המתוקן עולה, כי </w:t>
      </w:r>
      <w:r w:rsidR="007D065F">
        <w:rPr>
          <w:rFonts w:ascii="David" w:hAnsi="David" w:cs="David"/>
          <w:sz w:val="24"/>
          <w:szCs w:val="24"/>
          <w:rtl/>
        </w:rPr>
        <w:t>הנאשם</w:t>
      </w:r>
      <w:r w:rsidR="007D065F" w:rsidRPr="00977A5E">
        <w:rPr>
          <w:rFonts w:ascii="David" w:hAnsi="David" w:cs="David"/>
          <w:sz w:val="24"/>
          <w:szCs w:val="24"/>
          <w:rtl/>
        </w:rPr>
        <w:t xml:space="preserve"> </w:t>
      </w:r>
      <w:r w:rsidR="007D065F">
        <w:rPr>
          <w:rFonts w:ascii="David" w:hAnsi="David" w:cs="David"/>
          <w:sz w:val="24"/>
          <w:szCs w:val="24"/>
          <w:rtl/>
        </w:rPr>
        <w:t>גידל</w:t>
      </w:r>
      <w:r w:rsidR="007D065F" w:rsidRPr="00977A5E">
        <w:rPr>
          <w:rFonts w:ascii="David" w:hAnsi="David" w:cs="David"/>
          <w:sz w:val="24"/>
          <w:szCs w:val="24"/>
          <w:rtl/>
        </w:rPr>
        <w:t xml:space="preserve"> 378 שתילי צמח קנבוס, במשקל כולל של 283.34 גרם נטו. </w:t>
      </w:r>
      <w:r w:rsidR="007D065F" w:rsidRPr="002114AC">
        <w:rPr>
          <w:rFonts w:ascii="David" w:hAnsi="David" w:cs="David"/>
          <w:b/>
          <w:bCs/>
          <w:sz w:val="24"/>
          <w:szCs w:val="24"/>
          <w:rtl/>
        </w:rPr>
        <w:t>בית המשפט השלום קבע כי מתחם העונש ההולם נע בין של"צ ומאסר מותנה ל-24 חודשי מאסר בפועל.</w:t>
      </w:r>
      <w:r w:rsidR="007D065F">
        <w:rPr>
          <w:rFonts w:ascii="David" w:hAnsi="David" w:cs="David"/>
          <w:sz w:val="24"/>
          <w:szCs w:val="24"/>
          <w:rtl/>
        </w:rPr>
        <w:t xml:space="preserve"> בית המשפט גזר על הנאשם </w:t>
      </w:r>
      <w:r w:rsidR="007D065F" w:rsidRPr="00977A5E">
        <w:rPr>
          <w:rFonts w:ascii="David" w:hAnsi="David" w:cs="David"/>
          <w:sz w:val="24"/>
          <w:szCs w:val="24"/>
          <w:rtl/>
        </w:rPr>
        <w:t>עונש של 10 חודשי מאסר לריצוי בפועל, בניכוי ימי מעצרו לצד מאסרים מותנים, קנס בסך 5,000 ₪ או 35 ימי מאסר תמורתו וחילוט סכום של 2,000 ₪ שנתפס בידי הנאשם. בית המשפט המחוזי קיבל את הערעור והפחית את עונשו של הנאשם ל-7 חודשי מאסר לריצוי בפועל. יתר רכיבי גזר הדין נותרו בעינם. בית המשפט העליון דחה את הערעור.</w:t>
      </w:r>
    </w:p>
    <w:p w14:paraId="388A811F" w14:textId="77777777" w:rsidR="007D065F" w:rsidRPr="00977A5E" w:rsidRDefault="007D065F" w:rsidP="00176A4E">
      <w:pPr>
        <w:pStyle w:val="ac"/>
        <w:spacing w:line="360" w:lineRule="auto"/>
        <w:jc w:val="both"/>
        <w:rPr>
          <w:rFonts w:ascii="David" w:hAnsi="David" w:cs="David"/>
          <w:sz w:val="24"/>
          <w:szCs w:val="24"/>
        </w:rPr>
      </w:pPr>
    </w:p>
    <w:p w14:paraId="34886492" w14:textId="77777777" w:rsidR="007D065F" w:rsidRPr="00977A5E" w:rsidRDefault="003C2A8A" w:rsidP="00176A4E">
      <w:pPr>
        <w:pStyle w:val="ac"/>
        <w:numPr>
          <w:ilvl w:val="0"/>
          <w:numId w:val="21"/>
        </w:numPr>
        <w:spacing w:after="0" w:line="360" w:lineRule="auto"/>
        <w:jc w:val="both"/>
        <w:rPr>
          <w:rFonts w:ascii="David" w:hAnsi="David" w:cs="David"/>
          <w:sz w:val="24"/>
          <w:szCs w:val="24"/>
        </w:rPr>
      </w:pPr>
      <w:hyperlink r:id="rId26" w:history="1">
        <w:r w:rsidRPr="003C2A8A">
          <w:rPr>
            <w:rFonts w:ascii="David" w:hAnsi="David" w:cs="David"/>
            <w:color w:val="0000FF"/>
            <w:sz w:val="24"/>
            <w:szCs w:val="24"/>
            <w:u w:val="single"/>
            <w:rtl/>
          </w:rPr>
          <w:t>ת"פ (ירושלים) 17917-05-14</w:t>
        </w:r>
      </w:hyperlink>
      <w:r w:rsidR="007D065F" w:rsidRPr="00977A5E">
        <w:rPr>
          <w:rFonts w:ascii="David" w:hAnsi="David" w:cs="David"/>
          <w:sz w:val="24"/>
          <w:szCs w:val="24"/>
          <w:rtl/>
        </w:rPr>
        <w:t xml:space="preserve"> </w:t>
      </w:r>
      <w:r w:rsidR="007D065F" w:rsidRPr="00977A5E">
        <w:rPr>
          <w:rFonts w:ascii="David" w:hAnsi="David" w:cs="David"/>
          <w:b/>
          <w:bCs/>
          <w:sz w:val="24"/>
          <w:szCs w:val="24"/>
          <w:rtl/>
        </w:rPr>
        <w:t>מדינת ישראל נ' דן מדינה</w:t>
      </w:r>
      <w:r w:rsidR="007D065F" w:rsidRPr="00977A5E">
        <w:rPr>
          <w:rFonts w:ascii="David" w:hAnsi="David" w:cs="David"/>
          <w:sz w:val="24"/>
          <w:szCs w:val="24"/>
          <w:rtl/>
        </w:rPr>
        <w:t xml:space="preserve"> (2.12.15)</w:t>
      </w:r>
      <w:r w:rsidR="007D065F">
        <w:rPr>
          <w:rFonts w:ascii="David" w:hAnsi="David" w:cs="David"/>
          <w:sz w:val="24"/>
          <w:szCs w:val="24"/>
          <w:rtl/>
        </w:rPr>
        <w:t xml:space="preserve"> </w:t>
      </w:r>
      <w:r w:rsidR="007D065F" w:rsidRPr="00977A5E">
        <w:rPr>
          <w:rFonts w:ascii="David" w:hAnsi="David" w:cs="David"/>
          <w:sz w:val="24"/>
          <w:szCs w:val="24"/>
          <w:rtl/>
        </w:rPr>
        <w:t xml:space="preserve">- הנאשם הודה והורשע בעבירות של גידול סם מסוכן והחזקה בכלים המשמשים להכנת סם מסוכן. בהתאם לעובדות כתב-האישום המתוקן, </w:t>
      </w:r>
      <w:r w:rsidR="007D065F">
        <w:rPr>
          <w:rFonts w:ascii="David" w:hAnsi="David" w:cs="David"/>
          <w:sz w:val="24"/>
          <w:szCs w:val="24"/>
          <w:rtl/>
        </w:rPr>
        <w:t xml:space="preserve">הנאשם </w:t>
      </w:r>
      <w:r w:rsidR="007D065F" w:rsidRPr="00977A5E">
        <w:rPr>
          <w:rFonts w:ascii="David" w:hAnsi="David" w:cs="David"/>
          <w:sz w:val="24"/>
          <w:szCs w:val="24"/>
          <w:rtl/>
        </w:rPr>
        <w:t xml:space="preserve">ייעד חדר </w:t>
      </w:r>
      <w:r w:rsidR="007D065F">
        <w:rPr>
          <w:rFonts w:ascii="David" w:hAnsi="David" w:cs="David"/>
          <w:sz w:val="24"/>
          <w:szCs w:val="24"/>
          <w:rtl/>
        </w:rPr>
        <w:t>ב</w:t>
      </w:r>
      <w:r w:rsidR="007D065F" w:rsidRPr="00977A5E">
        <w:rPr>
          <w:rFonts w:ascii="David" w:hAnsi="David" w:cs="David"/>
          <w:sz w:val="24"/>
          <w:szCs w:val="24"/>
          <w:rtl/>
        </w:rPr>
        <w:t xml:space="preserve">דירה כמעבדה לגידול סמים, ובו גידל סם מסוכן מסוג קנביס במשקל </w:t>
      </w:r>
      <w:smartTag w:uri="urn:schemas-microsoft-com:office:smarttags" w:element="metricconverter">
        <w:smartTagPr>
          <w:attr w:name="ProductID" w:val="135.19 גרם"/>
        </w:smartTagPr>
        <w:r w:rsidR="007D065F" w:rsidRPr="00977A5E">
          <w:rPr>
            <w:rFonts w:ascii="David" w:hAnsi="David" w:cs="David"/>
            <w:sz w:val="24"/>
            <w:szCs w:val="24"/>
            <w:rtl/>
          </w:rPr>
          <w:t>135.19 גרם</w:t>
        </w:r>
      </w:smartTag>
      <w:r w:rsidR="007D065F" w:rsidRPr="00977A5E">
        <w:rPr>
          <w:rFonts w:ascii="David" w:hAnsi="David" w:cs="David"/>
          <w:sz w:val="24"/>
          <w:szCs w:val="24"/>
          <w:rtl/>
        </w:rPr>
        <w:t xml:space="preserve"> נטו. באותן נסיבות, כשלושה שבועות לפני המועד בו נתפס על ידי המשטרה, החל הנאשם בגידול זרעי הסם, תוך שימוש בציוד רב אשר בו הצטייד מבעוד מועד, לרבות: אוהלים, אדניות, אדמה, מערכת השקיה וסינון, מאוורר, מקלות תמיכה, נייר מבודד, מנורות תאורה, גוף חימום, אינקובטור, מערכת סינון אויר, חומרי דישון, שקיות וקופסאות לגידול סמים. בנוסף, אחסן הנאשם במחסן הסמוך לדירה ציוד רב המשמש להכנה ולהחזקה של סמים מסוכנים. בית המשפט קבע כי הרשעת הנאשם תיוותר על כנה. </w:t>
      </w:r>
      <w:r w:rsidR="007D065F" w:rsidRPr="002114AC">
        <w:rPr>
          <w:rFonts w:ascii="David" w:hAnsi="David" w:cs="David"/>
          <w:b/>
          <w:bCs/>
          <w:sz w:val="24"/>
          <w:szCs w:val="24"/>
          <w:rtl/>
        </w:rPr>
        <w:t>בית המשפט קבע כי מתחם העונש ההולם נע ממאסר קצר בפועל (אשר במקרים מתאימים יכול וירוצה בעבודות שירות) ועד 15 חודשי מאסר בפועל.</w:t>
      </w:r>
      <w:r w:rsidR="007D065F" w:rsidRPr="00977A5E">
        <w:rPr>
          <w:rFonts w:ascii="David" w:hAnsi="David" w:cs="David"/>
          <w:sz w:val="24"/>
          <w:szCs w:val="24"/>
          <w:rtl/>
        </w:rPr>
        <w:t xml:space="preserve"> בית המשפט סטה ממתחם העונש ההולם וגזר על הנאשם, שנטל אחריות על מעשיו, הביע חרטה על מעשיו, תוך התייחסות לנסיבות חייו הלא פשוטות, העובדה כי היה עצור בתיק זה משך כ-7 ימים בגין תיק זה ולאחר מכן שהה משך כחצי שנה במעצר בית מלא וכך שקיים סיכוי ממשי לשיקום הנאשם, עונש של צו של"צ בהיקף של 180 שעות, צו מבחן למשך שנה ומאסרים מותנים.</w:t>
      </w:r>
    </w:p>
    <w:p w14:paraId="6F86F480" w14:textId="77777777" w:rsidR="007D065F" w:rsidRDefault="007D065F" w:rsidP="00176A4E">
      <w:pPr>
        <w:spacing w:after="160" w:line="360" w:lineRule="auto"/>
        <w:jc w:val="both"/>
        <w:rPr>
          <w:rtl/>
        </w:rPr>
      </w:pPr>
    </w:p>
    <w:p w14:paraId="275ECCEF" w14:textId="77777777" w:rsidR="007D065F" w:rsidRDefault="007D065F" w:rsidP="00176A4E">
      <w:pPr>
        <w:spacing w:after="160" w:line="360" w:lineRule="auto"/>
        <w:jc w:val="both"/>
      </w:pPr>
      <w:r>
        <w:rPr>
          <w:rtl/>
        </w:rPr>
        <w:t xml:space="preserve">שקלתי סוג הסם, הכמות ונסיבות ההחזקה והגידול. בעניין הגידול נתתי ביטוי לכך שמדובר בשלושה שתילים, יחד עם ציוד מעבדה. במכלול כל האמור, אני קובעת כי </w:t>
      </w:r>
      <w:r w:rsidRPr="00A145B5">
        <w:rPr>
          <w:b/>
          <w:bCs/>
          <w:rtl/>
        </w:rPr>
        <w:t>מתחם העונש ההולם מתחיל בתקופה קצרה בעבודות שירות ועד 12 חודשי מאסר בפועל</w:t>
      </w:r>
      <w:r>
        <w:rPr>
          <w:rtl/>
        </w:rPr>
        <w:t>.</w:t>
      </w:r>
    </w:p>
    <w:p w14:paraId="7AE8BF2B" w14:textId="77777777" w:rsidR="007D065F" w:rsidRDefault="007D065F" w:rsidP="00176A4E">
      <w:pPr>
        <w:spacing w:line="360" w:lineRule="auto"/>
        <w:jc w:val="both"/>
        <w:rPr>
          <w:b/>
          <w:bCs/>
          <w:u w:val="single"/>
          <w:rtl/>
        </w:rPr>
      </w:pPr>
    </w:p>
    <w:p w14:paraId="4DFAC65D" w14:textId="77777777" w:rsidR="007D065F" w:rsidRDefault="007D065F" w:rsidP="00176A4E">
      <w:pPr>
        <w:spacing w:line="360" w:lineRule="auto"/>
        <w:jc w:val="both"/>
        <w:rPr>
          <w:b/>
          <w:bCs/>
          <w:u w:val="single"/>
        </w:rPr>
      </w:pPr>
      <w:r>
        <w:rPr>
          <w:b/>
          <w:bCs/>
          <w:u w:val="single"/>
          <w:rtl/>
        </w:rPr>
        <w:t>שיקולי שיקום – סטייה לקולא</w:t>
      </w:r>
    </w:p>
    <w:p w14:paraId="2898AD70" w14:textId="77777777" w:rsidR="007D065F" w:rsidRDefault="007D065F" w:rsidP="00176A4E">
      <w:pPr>
        <w:spacing w:line="360" w:lineRule="auto"/>
        <w:jc w:val="both"/>
        <w:rPr>
          <w:b/>
          <w:bCs/>
        </w:rPr>
      </w:pPr>
    </w:p>
    <w:p w14:paraId="04425864" w14:textId="77777777" w:rsidR="007D065F" w:rsidRDefault="007D065F" w:rsidP="00BB6528">
      <w:pPr>
        <w:spacing w:line="360" w:lineRule="auto"/>
        <w:jc w:val="both"/>
        <w:rPr>
          <w:rtl/>
        </w:rPr>
      </w:pPr>
      <w:r>
        <w:rPr>
          <w:rtl/>
        </w:rPr>
        <w:t xml:space="preserve">בקשת הצדדים מהווה חריגה מהמתחם שנקבע והיא נשקלת בהתאם </w:t>
      </w:r>
      <w:hyperlink r:id="rId27" w:history="1">
        <w:r w:rsidR="00A9259F" w:rsidRPr="00A9259F">
          <w:rPr>
            <w:rStyle w:val="Hyperlink"/>
            <w:rtl/>
          </w:rPr>
          <w:t>לסעיף 40ד'(א)</w:t>
        </w:r>
      </w:hyperlink>
      <w:r>
        <w:rPr>
          <w:rtl/>
        </w:rPr>
        <w:t xml:space="preserve"> ל</w:t>
      </w:r>
      <w:hyperlink r:id="rId28" w:history="1">
        <w:r w:rsidR="003C2A8A" w:rsidRPr="003C2A8A">
          <w:rPr>
            <w:color w:val="0000FF"/>
            <w:u w:val="single"/>
            <w:rtl/>
          </w:rPr>
          <w:t>חוק העונשין</w:t>
        </w:r>
      </w:hyperlink>
      <w:r>
        <w:rPr>
          <w:rtl/>
        </w:rPr>
        <w:t>, המאפשר לבית המשפט לשקול חריגה לקולא מן המתחם ההולם שנקבע לעבירה המיוחסת משיקולי שיקום. אלא, שהפסיקה קבעה, כי שימוש בסעיף זה יהא במשורה ורק אם מצא בית המשפט, שהנאשם השתקם, או שסיכוייו להשתקם הינם ממשיים (</w:t>
      </w:r>
      <w:hyperlink r:id="rId29" w:history="1">
        <w:r w:rsidR="003C2A8A" w:rsidRPr="003C2A8A">
          <w:rPr>
            <w:color w:val="0000FF"/>
            <w:u w:val="single"/>
            <w:rtl/>
          </w:rPr>
          <w:t>ע"פ 7757/21</w:t>
        </w:r>
      </w:hyperlink>
      <w:r>
        <w:rPr>
          <w:rtl/>
        </w:rPr>
        <w:t xml:space="preserve"> </w:t>
      </w:r>
      <w:r>
        <w:rPr>
          <w:b/>
          <w:bCs/>
          <w:rtl/>
        </w:rPr>
        <w:t>מרזוקי נ' מדינת ישראל</w:t>
      </w:r>
      <w:r>
        <w:rPr>
          <w:rtl/>
        </w:rPr>
        <w:t xml:space="preserve"> (24.05.2022). ועוד, החריגה תעשה רק מקום ש</w:t>
      </w:r>
      <w:r>
        <w:rPr>
          <w:b/>
          <w:bCs/>
          <w:rtl/>
        </w:rPr>
        <w:t>"ניכרים בפועל"</w:t>
      </w:r>
      <w:r>
        <w:rPr>
          <w:rtl/>
        </w:rPr>
        <w:t xml:space="preserve"> אותו שיקום או סיכוי (ראה </w:t>
      </w:r>
      <w:hyperlink r:id="rId30" w:history="1">
        <w:r w:rsidR="003C2A8A" w:rsidRPr="003C2A8A">
          <w:rPr>
            <w:color w:val="0000FF"/>
            <w:u w:val="single"/>
            <w:rtl/>
          </w:rPr>
          <w:t>ע"פ 671/22</w:t>
        </w:r>
      </w:hyperlink>
      <w:r>
        <w:rPr>
          <w:rtl/>
        </w:rPr>
        <w:t xml:space="preserve"> </w:t>
      </w:r>
      <w:r>
        <w:rPr>
          <w:b/>
          <w:bCs/>
          <w:rtl/>
        </w:rPr>
        <w:t>אחמד אבו תנהא נ' מדינת ישראל</w:t>
      </w:r>
      <w:r>
        <w:rPr>
          <w:rtl/>
        </w:rPr>
        <w:t xml:space="preserve"> (20.10.2022). עוד יש לומר, שגם אם שוכנע שהשיקום או הפוטנציאל מתקיימים בנאשם, עדיין (לפי סעיף קטן ב' לסעיף זה), הרי שיש לשקול את חומרת העבירות ונסיבות ביצוען על מנת לקבוע שהאירוע בנסיבותיו והנאשם זכאים לאותה הקלה </w:t>
      </w:r>
      <w:r>
        <w:rPr>
          <w:b/>
          <w:bCs/>
          <w:rtl/>
        </w:rPr>
        <w:t>"שיקולי השיקום, על אף חשיבותם, אינם חזות הכל ולצדם יש להתחשב בשיקולים נוספים, כדוגמת גמול והרתעה"</w:t>
      </w:r>
      <w:r>
        <w:rPr>
          <w:rtl/>
        </w:rPr>
        <w:t xml:space="preserve"> (שם וכן בפסיקה המאוזכרת).</w:t>
      </w:r>
    </w:p>
    <w:p w14:paraId="0045985F" w14:textId="77777777" w:rsidR="007D065F" w:rsidRDefault="007D065F" w:rsidP="00176A4E">
      <w:pPr>
        <w:spacing w:line="360" w:lineRule="auto"/>
        <w:jc w:val="both"/>
        <w:rPr>
          <w:rtl/>
        </w:rPr>
      </w:pPr>
    </w:p>
    <w:p w14:paraId="08F33627" w14:textId="77777777" w:rsidR="007D065F" w:rsidRDefault="007D065F" w:rsidP="00176A4E">
      <w:pPr>
        <w:spacing w:line="360" w:lineRule="auto"/>
        <w:jc w:val="both"/>
        <w:rPr>
          <w:rtl/>
        </w:rPr>
      </w:pPr>
      <w:r>
        <w:rPr>
          <w:rtl/>
        </w:rPr>
        <w:t xml:space="preserve">בעניינו של הנאשם, מצאתי כי הנאשם עומד באותם שיקולי שיקום באופן מלא, הן לאור גילו הצעיר, הן האחריות שקיבל באופן מיידי, הן העובדה שנרתם באופן מלא להליך השיקום, מבצע אותו כבר לאורך זמן ובוודאי לאחר שקראתי את שני התסקירים על תוכנם, משם עולה כי שירות המבחן מצא התנהלות חיובית וחיווה את דעתו שמדובר במי שסיכויי השיקום הינם גבוהים. </w:t>
      </w:r>
    </w:p>
    <w:p w14:paraId="75712E23" w14:textId="77777777" w:rsidR="007D065F" w:rsidRDefault="007D065F" w:rsidP="00176A4E">
      <w:pPr>
        <w:spacing w:line="360" w:lineRule="auto"/>
        <w:jc w:val="both"/>
        <w:rPr>
          <w:rtl/>
        </w:rPr>
      </w:pPr>
    </w:p>
    <w:p w14:paraId="1203F73C" w14:textId="77777777" w:rsidR="007D065F" w:rsidRDefault="007D065F" w:rsidP="00BB6528">
      <w:pPr>
        <w:spacing w:line="360" w:lineRule="auto"/>
        <w:jc w:val="both"/>
        <w:rPr>
          <w:rtl/>
        </w:rPr>
      </w:pPr>
      <w:r>
        <w:rPr>
          <w:rtl/>
        </w:rPr>
        <w:t xml:space="preserve">מכל האמור, מצאתי שניתן לסטות מהמתחם שקבעתי לקולא, כפי שביקשו הצדדים, והכל על-פי הפסיקה והרציונאל בסעיף זה. </w:t>
      </w:r>
    </w:p>
    <w:p w14:paraId="3D306D2C" w14:textId="77777777" w:rsidR="007D065F" w:rsidRDefault="007D065F" w:rsidP="00176A4E">
      <w:pPr>
        <w:spacing w:line="360" w:lineRule="auto"/>
        <w:jc w:val="both"/>
        <w:rPr>
          <w:rtl/>
        </w:rPr>
      </w:pPr>
    </w:p>
    <w:p w14:paraId="05D9098E" w14:textId="77777777" w:rsidR="007D065F" w:rsidRDefault="007D065F" w:rsidP="00176A4E">
      <w:pPr>
        <w:spacing w:line="360" w:lineRule="auto"/>
        <w:jc w:val="both"/>
        <w:rPr>
          <w:rtl/>
        </w:rPr>
      </w:pPr>
    </w:p>
    <w:p w14:paraId="72503485" w14:textId="77777777" w:rsidR="007D065F" w:rsidRDefault="00A9259F" w:rsidP="00176A4E">
      <w:pPr>
        <w:spacing w:line="360" w:lineRule="auto"/>
        <w:jc w:val="both"/>
        <w:rPr>
          <w:b/>
          <w:bCs/>
        </w:rPr>
      </w:pPr>
      <w:hyperlink r:id="rId31" w:history="1">
        <w:r w:rsidRPr="00A9259F">
          <w:rPr>
            <w:rStyle w:val="Hyperlink"/>
            <w:b/>
            <w:bCs/>
            <w:rtl/>
          </w:rPr>
          <w:t>סעיף 56</w:t>
        </w:r>
      </w:hyperlink>
      <w:r w:rsidR="007D065F">
        <w:rPr>
          <w:b/>
          <w:bCs/>
          <w:u w:val="single"/>
          <w:rtl/>
        </w:rPr>
        <w:t xml:space="preserve"> </w:t>
      </w:r>
      <w:hyperlink r:id="rId32" w:history="1">
        <w:r w:rsidRPr="00A9259F">
          <w:rPr>
            <w:rStyle w:val="Hyperlink"/>
            <w:b/>
            <w:bCs/>
            <w:rtl/>
          </w:rPr>
          <w:t>וסעיף 85(א)</w:t>
        </w:r>
      </w:hyperlink>
      <w:r>
        <w:rPr>
          <w:rFonts w:hint="cs"/>
          <w:b/>
          <w:bCs/>
          <w:u w:val="single"/>
          <w:rtl/>
        </w:rPr>
        <w:t xml:space="preserve"> </w:t>
      </w:r>
      <w:r w:rsidR="007D065F" w:rsidRPr="00D1398F">
        <w:rPr>
          <w:b/>
          <w:bCs/>
          <w:u w:val="single"/>
          <w:rtl/>
        </w:rPr>
        <w:t>ל</w:t>
      </w:r>
      <w:hyperlink r:id="rId33" w:history="1">
        <w:r w:rsidR="003C2A8A" w:rsidRPr="003C2A8A">
          <w:rPr>
            <w:b/>
            <w:bCs/>
            <w:color w:val="0000FF"/>
            <w:u w:val="single"/>
            <w:rtl/>
          </w:rPr>
          <w:t>חוק העונשין</w:t>
        </w:r>
      </w:hyperlink>
      <w:r w:rsidR="007D065F" w:rsidRPr="00D1398F">
        <w:rPr>
          <w:b/>
          <w:bCs/>
          <w:rtl/>
        </w:rPr>
        <w:t xml:space="preserve">, </w:t>
      </w:r>
    </w:p>
    <w:p w14:paraId="09FBCB67" w14:textId="77777777" w:rsidR="007D065F" w:rsidRDefault="007D065F" w:rsidP="00176A4E">
      <w:pPr>
        <w:spacing w:line="360" w:lineRule="auto"/>
        <w:jc w:val="both"/>
        <w:rPr>
          <w:b/>
          <w:bCs/>
          <w:rtl/>
        </w:rPr>
      </w:pPr>
    </w:p>
    <w:p w14:paraId="1BB6F647" w14:textId="77777777" w:rsidR="007D065F" w:rsidRDefault="00A9259F" w:rsidP="00176A4E">
      <w:pPr>
        <w:spacing w:line="360" w:lineRule="auto"/>
        <w:jc w:val="both"/>
        <w:rPr>
          <w:b/>
          <w:bCs/>
        </w:rPr>
      </w:pPr>
      <w:hyperlink r:id="rId34" w:history="1">
        <w:r w:rsidRPr="00A9259F">
          <w:rPr>
            <w:rStyle w:val="Hyperlink"/>
            <w:rtl/>
          </w:rPr>
          <w:t>סעיף 56</w:t>
        </w:r>
      </w:hyperlink>
      <w:r w:rsidR="007D065F">
        <w:rPr>
          <w:rtl/>
        </w:rPr>
        <w:t xml:space="preserve"> לחוק, מורה על אפשרות הארכת מאסר מותנה</w:t>
      </w:r>
      <w:r w:rsidR="007D065F">
        <w:rPr>
          <w:b/>
          <w:bCs/>
          <w:rtl/>
        </w:rPr>
        <w:t xml:space="preserve"> "מטעמים שיירשמו... אם שוכנע בית המשפט שבנסיבות העניין לא יהיה זה צודק להפעיל את המאסר על תנאי". </w:t>
      </w:r>
      <w:r w:rsidR="007D065F">
        <w:rPr>
          <w:rtl/>
        </w:rPr>
        <w:t>דהיינו, שיקול הדעת להאריך תנאי שכזה מסור לבית המשפט במקום בו נראה שיש ליתן הזדמנות נוספת לנאשם לחזור לדרך הישר, כאשר הוא מראה סימנים המניחים את הדעת לציפייה שכך יהיה (</w:t>
      </w:r>
      <w:hyperlink r:id="rId35" w:history="1">
        <w:r w:rsidR="003C2A8A" w:rsidRPr="003C2A8A">
          <w:rPr>
            <w:b/>
            <w:bCs/>
            <w:color w:val="0000FF"/>
            <w:u w:val="single"/>
            <w:rtl/>
          </w:rPr>
          <w:t>ע"פ 4517/04</w:t>
        </w:r>
      </w:hyperlink>
      <w:r w:rsidR="007D065F">
        <w:rPr>
          <w:b/>
          <w:bCs/>
          <w:rtl/>
        </w:rPr>
        <w:t xml:space="preserve"> מסראווה נ' מדינת ישראל).</w:t>
      </w:r>
    </w:p>
    <w:p w14:paraId="5512BCB0" w14:textId="77777777" w:rsidR="007D065F" w:rsidRDefault="007D065F" w:rsidP="00176A4E">
      <w:pPr>
        <w:spacing w:line="360" w:lineRule="auto"/>
        <w:jc w:val="both"/>
        <w:rPr>
          <w:u w:val="single"/>
          <w:rtl/>
        </w:rPr>
      </w:pPr>
    </w:p>
    <w:p w14:paraId="4ADD7CEF" w14:textId="77777777" w:rsidR="007D065F" w:rsidRDefault="007D065F" w:rsidP="00176A4E">
      <w:pPr>
        <w:spacing w:line="360" w:lineRule="auto"/>
        <w:jc w:val="both"/>
        <w:rPr>
          <w:rtl/>
        </w:rPr>
      </w:pPr>
      <w:r>
        <w:rPr>
          <w:rtl/>
        </w:rPr>
        <w:t xml:space="preserve">בעניינו של הנאשם ומאחר שמצאתי כי הוא עומד בתנאי הסטיה לקולא מן המתחם, זאת מן הטעם של שיקום, הרי שגם סוג העבירות שבגינן הורשע וכן הסטיה, שניהם גם יחד מצדיקים הארכת המאסר המותנה. </w:t>
      </w:r>
    </w:p>
    <w:p w14:paraId="2E0EC43A" w14:textId="77777777" w:rsidR="007D065F" w:rsidRPr="00D1398F" w:rsidRDefault="007D065F" w:rsidP="00176A4E">
      <w:pPr>
        <w:spacing w:line="360" w:lineRule="auto"/>
        <w:jc w:val="both"/>
        <w:rPr>
          <w:u w:val="single"/>
          <w:rtl/>
        </w:rPr>
      </w:pPr>
    </w:p>
    <w:p w14:paraId="078AB207" w14:textId="77777777" w:rsidR="007D065F" w:rsidRPr="003036E7" w:rsidRDefault="007D065F" w:rsidP="00176A4E">
      <w:pPr>
        <w:spacing w:line="360" w:lineRule="auto"/>
        <w:jc w:val="both"/>
        <w:rPr>
          <w:b/>
          <w:bCs/>
          <w:rtl/>
        </w:rPr>
      </w:pPr>
      <w:r w:rsidRPr="003036E7">
        <w:rPr>
          <w:b/>
          <w:bCs/>
          <w:u w:val="single"/>
          <w:rtl/>
        </w:rPr>
        <w:t>העונש המתאים לנאשם</w:t>
      </w:r>
      <w:r w:rsidRPr="003036E7">
        <w:rPr>
          <w:b/>
          <w:bCs/>
          <w:rtl/>
        </w:rPr>
        <w:t>:</w:t>
      </w:r>
    </w:p>
    <w:p w14:paraId="6EDC588F" w14:textId="77777777" w:rsidR="007D065F" w:rsidRDefault="007D065F" w:rsidP="00BB6528">
      <w:pPr>
        <w:spacing w:line="360" w:lineRule="auto"/>
        <w:jc w:val="both"/>
        <w:rPr>
          <w:rtl/>
        </w:rPr>
      </w:pPr>
      <w:r>
        <w:rPr>
          <w:rtl/>
        </w:rPr>
        <w:t xml:space="preserve">שקלתי הודאתו של הנאשם במיוחס לו וכן קבלת אחריות מלאה, תסקיר שירות המבחן וטיעוני הצדדים. בעיקר נתתי דעתי לעובדה כי הצדדים אף הסכימו להחמרת רכיבי הענישה ולטעמי בצדק, זאת לאור עברו הפלילי של הנאשם. </w:t>
      </w:r>
    </w:p>
    <w:p w14:paraId="163E51A0" w14:textId="77777777" w:rsidR="007D065F" w:rsidRDefault="007D065F" w:rsidP="00176A4E">
      <w:pPr>
        <w:pStyle w:val="ac"/>
        <w:spacing w:line="360" w:lineRule="auto"/>
        <w:jc w:val="both"/>
        <w:rPr>
          <w:rFonts w:cs="David"/>
          <w:sz w:val="24"/>
          <w:szCs w:val="24"/>
          <w:rtl/>
        </w:rPr>
      </w:pPr>
    </w:p>
    <w:p w14:paraId="6FCE1B59" w14:textId="77777777" w:rsidR="007D065F" w:rsidRDefault="007D065F" w:rsidP="00176A4E">
      <w:pPr>
        <w:pStyle w:val="ac"/>
        <w:spacing w:line="360" w:lineRule="auto"/>
        <w:jc w:val="both"/>
        <w:rPr>
          <w:rFonts w:cs="David"/>
          <w:sz w:val="24"/>
          <w:szCs w:val="24"/>
          <w:rtl/>
        </w:rPr>
      </w:pPr>
    </w:p>
    <w:p w14:paraId="50FC1653" w14:textId="77777777" w:rsidR="007D065F" w:rsidRDefault="007D065F" w:rsidP="00176A4E">
      <w:pPr>
        <w:spacing w:line="360" w:lineRule="auto"/>
        <w:jc w:val="both"/>
        <w:rPr>
          <w:b/>
          <w:bCs/>
          <w:u w:val="double"/>
          <w:rtl/>
        </w:rPr>
      </w:pPr>
    </w:p>
    <w:p w14:paraId="71F144B1" w14:textId="77777777" w:rsidR="007D065F" w:rsidRPr="00142926" w:rsidRDefault="007D065F" w:rsidP="00176A4E">
      <w:pPr>
        <w:spacing w:line="360" w:lineRule="auto"/>
        <w:jc w:val="both"/>
        <w:rPr>
          <w:rtl/>
        </w:rPr>
      </w:pPr>
      <w:r>
        <w:rPr>
          <w:b/>
          <w:bCs/>
          <w:u w:val="double"/>
          <w:rtl/>
        </w:rPr>
        <w:t>אשר על כן, אני גוזרת על הנאשם את העונשים הבאים</w:t>
      </w:r>
      <w:r>
        <w:rPr>
          <w:rtl/>
        </w:rPr>
        <w:t>:</w:t>
      </w:r>
    </w:p>
    <w:p w14:paraId="4FE532A3" w14:textId="77777777" w:rsidR="007D065F" w:rsidRDefault="007D065F" w:rsidP="00176A4E">
      <w:pPr>
        <w:spacing w:line="360" w:lineRule="auto"/>
        <w:jc w:val="both"/>
        <w:rPr>
          <w:b/>
          <w:bCs/>
          <w:u w:val="double"/>
          <w:rtl/>
        </w:rPr>
      </w:pPr>
    </w:p>
    <w:p w14:paraId="26D46644" w14:textId="77777777" w:rsidR="007D065F" w:rsidRPr="00142926" w:rsidRDefault="007D065F" w:rsidP="00142926">
      <w:pPr>
        <w:pStyle w:val="ac"/>
        <w:numPr>
          <w:ilvl w:val="0"/>
          <w:numId w:val="19"/>
        </w:numPr>
        <w:spacing w:after="0" w:line="360" w:lineRule="auto"/>
        <w:jc w:val="both"/>
        <w:rPr>
          <w:rFonts w:ascii="David" w:eastAsia="Times New Roman" w:hAnsi="David" w:cs="David"/>
          <w:sz w:val="24"/>
          <w:szCs w:val="24"/>
        </w:rPr>
      </w:pPr>
      <w:r>
        <w:rPr>
          <w:rFonts w:ascii="David" w:hAnsi="David" w:cs="David"/>
          <w:sz w:val="24"/>
          <w:szCs w:val="24"/>
          <w:rtl/>
        </w:rPr>
        <w:t xml:space="preserve">מורה על הארכת המאסר המותנה בן 3 חודשים שהוטל במסגרת </w:t>
      </w:r>
      <w:hyperlink r:id="rId36" w:history="1">
        <w:r w:rsidR="003C2A8A" w:rsidRPr="003C2A8A">
          <w:rPr>
            <w:rFonts w:ascii="David" w:hAnsi="David" w:cs="David"/>
            <w:color w:val="0000FF"/>
            <w:sz w:val="24"/>
            <w:szCs w:val="24"/>
            <w:u w:val="single"/>
            <w:rtl/>
          </w:rPr>
          <w:t>ת"פ 31073-04-17</w:t>
        </w:r>
      </w:hyperlink>
      <w:r>
        <w:rPr>
          <w:rFonts w:ascii="David" w:hAnsi="David" w:cs="David"/>
          <w:sz w:val="24"/>
          <w:szCs w:val="24"/>
          <w:rtl/>
        </w:rPr>
        <w:t xml:space="preserve"> בבית המשפט לנוער בתל אביב ביום 10.02.2019, לתקופה של שנתיים נוספות. </w:t>
      </w:r>
    </w:p>
    <w:p w14:paraId="3D640A62" w14:textId="77777777" w:rsidR="007D065F" w:rsidRDefault="007D065F" w:rsidP="00142926">
      <w:pPr>
        <w:pStyle w:val="ac"/>
        <w:numPr>
          <w:ilvl w:val="0"/>
          <w:numId w:val="19"/>
        </w:numPr>
        <w:spacing w:after="0" w:line="360" w:lineRule="auto"/>
        <w:jc w:val="both"/>
        <w:rPr>
          <w:rFonts w:ascii="David" w:eastAsia="Times New Roman" w:hAnsi="David" w:cs="David"/>
          <w:sz w:val="24"/>
          <w:szCs w:val="24"/>
        </w:rPr>
      </w:pPr>
      <w:r>
        <w:rPr>
          <w:rFonts w:ascii="David" w:hAnsi="David" w:cs="David"/>
          <w:sz w:val="24"/>
          <w:szCs w:val="24"/>
          <w:rtl/>
        </w:rPr>
        <w:t xml:space="preserve">קנס בסך 2,000 ₪. </w:t>
      </w:r>
      <w:r>
        <w:rPr>
          <w:rFonts w:cs="David"/>
          <w:sz w:val="24"/>
          <w:szCs w:val="24"/>
          <w:rtl/>
        </w:rPr>
        <w:t xml:space="preserve">הקנס ישולם ב-5 תשלומים חודשיים, שווים ורצופים, כשהראשון בהם ביום 10.01.2024 ובכל 10 לחודש שלאחריו. אי עמידה באחד מתשלומי הקנס יעמיד את יתרת מלוא הסכום לפירעון מיידי. </w:t>
      </w:r>
    </w:p>
    <w:p w14:paraId="41EF169C" w14:textId="77777777" w:rsidR="007D065F" w:rsidRDefault="003C2A8A" w:rsidP="00142926">
      <w:pPr>
        <w:pStyle w:val="ac"/>
        <w:numPr>
          <w:ilvl w:val="0"/>
          <w:numId w:val="19"/>
        </w:numPr>
        <w:spacing w:after="0" w:line="360" w:lineRule="auto"/>
        <w:jc w:val="both"/>
        <w:rPr>
          <w:rFonts w:ascii="David" w:eastAsia="Times New Roman" w:hAnsi="David" w:cs="David"/>
          <w:sz w:val="24"/>
          <w:szCs w:val="24"/>
        </w:rPr>
      </w:pPr>
      <w:bookmarkStart w:id="8" w:name="Nitan"/>
      <w:r>
        <w:rPr>
          <w:rFonts w:cs="David" w:hint="eastAsia"/>
          <w:sz w:val="24"/>
          <w:szCs w:val="24"/>
          <w:rtl/>
        </w:rPr>
        <w:t>פסילת</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3 </w:t>
      </w:r>
      <w:r>
        <w:rPr>
          <w:rFonts w:cs="David" w:hint="eastAsia"/>
          <w:sz w:val="24"/>
          <w:szCs w:val="24"/>
          <w:rtl/>
        </w:rPr>
        <w:t>חודשים</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ל</w:t>
      </w:r>
      <w:r>
        <w:rPr>
          <w:rFonts w:cs="David"/>
          <w:sz w:val="24"/>
          <w:szCs w:val="24"/>
          <w:rtl/>
        </w:rPr>
        <w:t xml:space="preserve">-3 </w:t>
      </w:r>
      <w:r>
        <w:rPr>
          <w:rFonts w:cs="David" w:hint="eastAsia"/>
          <w:sz w:val="24"/>
          <w:szCs w:val="24"/>
          <w:rtl/>
        </w:rPr>
        <w:t>שנים</w:t>
      </w:r>
      <w:r>
        <w:rPr>
          <w:rFonts w:cs="David"/>
          <w:sz w:val="24"/>
          <w:szCs w:val="24"/>
          <w:rtl/>
        </w:rPr>
        <w:t xml:space="preserve"> </w:t>
      </w:r>
      <w:r>
        <w:rPr>
          <w:rFonts w:cs="David" w:hint="eastAsia"/>
          <w:sz w:val="24"/>
          <w:szCs w:val="24"/>
          <w:rtl/>
        </w:rPr>
        <w:t>מהיום</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bookmarkEnd w:id="8"/>
      <w:r w:rsidR="007D065F">
        <w:rPr>
          <w:rFonts w:cs="David"/>
          <w:sz w:val="24"/>
          <w:szCs w:val="24"/>
          <w:rtl/>
        </w:rPr>
        <w:t xml:space="preserve">ייתפס נוהג כשהוא נתון תחת השפעת סם או אלכוהול.  </w:t>
      </w:r>
    </w:p>
    <w:p w14:paraId="0C4343AE" w14:textId="77777777" w:rsidR="007D065F" w:rsidRDefault="007D065F" w:rsidP="00142926">
      <w:pPr>
        <w:pStyle w:val="ac"/>
        <w:numPr>
          <w:ilvl w:val="0"/>
          <w:numId w:val="19"/>
        </w:numPr>
        <w:spacing w:after="0" w:line="360" w:lineRule="auto"/>
        <w:jc w:val="both"/>
        <w:rPr>
          <w:rFonts w:ascii="David" w:eastAsia="Times New Roman" w:hAnsi="David" w:cs="David"/>
          <w:sz w:val="24"/>
          <w:szCs w:val="24"/>
        </w:rPr>
      </w:pPr>
      <w:r>
        <w:rPr>
          <w:rFonts w:cs="David"/>
          <w:sz w:val="24"/>
          <w:szCs w:val="24"/>
          <w:rtl/>
        </w:rPr>
        <w:t>מורה על הטלת צו של"צ של 200 ₪ שאותן יבצע הנאשם במסגרת "ברכת הכהן" בבת ים.</w:t>
      </w:r>
    </w:p>
    <w:p w14:paraId="0B8817FF" w14:textId="77777777" w:rsidR="007D065F" w:rsidRDefault="007D065F" w:rsidP="00142926">
      <w:pPr>
        <w:pStyle w:val="ac"/>
        <w:numPr>
          <w:ilvl w:val="0"/>
          <w:numId w:val="19"/>
        </w:numPr>
        <w:spacing w:after="0" w:line="360" w:lineRule="auto"/>
        <w:jc w:val="both"/>
        <w:rPr>
          <w:rFonts w:ascii="David" w:eastAsia="Times New Roman" w:hAnsi="David" w:cs="David"/>
          <w:sz w:val="24"/>
          <w:szCs w:val="24"/>
        </w:rPr>
      </w:pPr>
      <w:r>
        <w:rPr>
          <w:rFonts w:cs="David"/>
          <w:sz w:val="24"/>
          <w:szCs w:val="24"/>
          <w:rtl/>
        </w:rPr>
        <w:t>מורה על הטלת צו מבחן שיקומי למשך 18 חודשים, אותו יבצע הנאשם במסגרת "יתד", מסגרת בה הוא נמצא כבר כעת.</w:t>
      </w:r>
    </w:p>
    <w:p w14:paraId="7F0D446F" w14:textId="77777777" w:rsidR="007D065F" w:rsidRDefault="007D065F" w:rsidP="000216DB">
      <w:pPr>
        <w:pStyle w:val="ac"/>
        <w:spacing w:after="0" w:line="360" w:lineRule="auto"/>
        <w:ind w:left="360"/>
        <w:jc w:val="both"/>
        <w:rPr>
          <w:rFonts w:ascii="David" w:eastAsia="Times New Roman" w:hAnsi="David" w:cs="David"/>
          <w:sz w:val="24"/>
          <w:szCs w:val="24"/>
        </w:rPr>
      </w:pPr>
      <w:r>
        <w:rPr>
          <w:rFonts w:cs="David"/>
          <w:sz w:val="24"/>
          <w:szCs w:val="24"/>
          <w:rtl/>
        </w:rPr>
        <w:t xml:space="preserve">הנאשם מוזהר כי עליו לעמוד בשני הצווים, הכל כפי שיידרש על-ידי שירות המבחן, שכן אם לא יעמוד בתנאים הרי שניתן יהיה להפקיע את הצווים או אחד מהם ולהטיל על הנאשם ענישה חלופית. </w:t>
      </w:r>
    </w:p>
    <w:p w14:paraId="3B075C5F" w14:textId="77777777" w:rsidR="007D065F" w:rsidRDefault="007D065F" w:rsidP="00176A4E">
      <w:pPr>
        <w:pStyle w:val="ac"/>
        <w:spacing w:line="360" w:lineRule="auto"/>
        <w:ind w:left="360"/>
        <w:jc w:val="both"/>
        <w:rPr>
          <w:rFonts w:ascii="David" w:eastAsia="Times New Roman" w:hAnsi="David" w:cs="David"/>
          <w:sz w:val="24"/>
          <w:szCs w:val="24"/>
          <w:u w:val="single"/>
        </w:rPr>
      </w:pPr>
    </w:p>
    <w:p w14:paraId="246F80B4" w14:textId="77777777" w:rsidR="007D065F" w:rsidRDefault="007D065F" w:rsidP="00176A4E">
      <w:pPr>
        <w:spacing w:line="360" w:lineRule="auto"/>
        <w:jc w:val="both"/>
        <w:rPr>
          <w:rtl/>
        </w:rPr>
      </w:pPr>
      <w:r>
        <w:rPr>
          <w:rtl/>
        </w:rPr>
        <w:t xml:space="preserve">ניתן צו כללי למוצגים לפי שיקול דעת קצין המשטרה. המוצגים יחולטו על-פי החלטת קצין משטרה. </w:t>
      </w:r>
    </w:p>
    <w:p w14:paraId="64A94B36" w14:textId="77777777" w:rsidR="007D065F" w:rsidRPr="00BD5BC4" w:rsidRDefault="007D065F" w:rsidP="00176A4E">
      <w:pPr>
        <w:spacing w:line="360" w:lineRule="auto"/>
        <w:jc w:val="both"/>
        <w:rPr>
          <w:rtl/>
        </w:rPr>
      </w:pPr>
    </w:p>
    <w:p w14:paraId="4DB73DF1" w14:textId="77777777" w:rsidR="007D065F" w:rsidRDefault="007D065F" w:rsidP="00176A4E">
      <w:pPr>
        <w:spacing w:line="360" w:lineRule="auto"/>
        <w:jc w:val="both"/>
        <w:rPr>
          <w:rtl/>
        </w:rPr>
      </w:pPr>
      <w:r>
        <w:rPr>
          <w:rtl/>
        </w:rPr>
        <w:t xml:space="preserve">ככל שהופקד פיקדון בתיק או בתיק המעצרים הקשור לתיק זה ובהעדר מניעה על פי דין, יוחזר הפיקדון למפקיד או לידי מי מטעמו על-פי ייפוי כוח. </w:t>
      </w:r>
    </w:p>
    <w:p w14:paraId="09D032E7" w14:textId="77777777" w:rsidR="007D065F" w:rsidRDefault="007D065F" w:rsidP="00176A4E">
      <w:pPr>
        <w:spacing w:line="360" w:lineRule="auto"/>
        <w:jc w:val="both"/>
      </w:pPr>
    </w:p>
    <w:p w14:paraId="133D6E0F" w14:textId="77777777" w:rsidR="007D065F" w:rsidRDefault="007D065F" w:rsidP="000216DB">
      <w:pPr>
        <w:spacing w:line="360" w:lineRule="auto"/>
        <w:jc w:val="both"/>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36B3FA62" w14:textId="77777777" w:rsidR="007D065F" w:rsidRDefault="007D065F" w:rsidP="000216DB">
      <w:pPr>
        <w:pStyle w:val="ac"/>
        <w:numPr>
          <w:ilvl w:val="0"/>
          <w:numId w:val="20"/>
        </w:numPr>
        <w:spacing w:after="0" w:line="360" w:lineRule="auto"/>
        <w:jc w:val="both"/>
        <w:rPr>
          <w:rFonts w:ascii="David" w:hAnsi="David" w:cs="David"/>
          <w:b/>
          <w:bCs/>
          <w:sz w:val="24"/>
          <w:szCs w:val="24"/>
        </w:rPr>
      </w:pPr>
      <w:r>
        <w:rPr>
          <w:rFonts w:ascii="David" w:hAnsi="David" w:cs="David"/>
          <w:b/>
          <w:bCs/>
          <w:sz w:val="24"/>
          <w:szCs w:val="24"/>
          <w:rtl/>
        </w:rPr>
        <w:t>בכרטיס אשראי</w:t>
      </w:r>
      <w:r>
        <w:rPr>
          <w:rFonts w:ascii="David" w:hAnsi="David" w:cs="David"/>
          <w:sz w:val="24"/>
          <w:szCs w:val="24"/>
          <w:rtl/>
        </w:rPr>
        <w:t xml:space="preserve"> – באתר המקוון של רשות האכיפה והגבייה, </w:t>
      </w:r>
      <w:hyperlink r:id="rId37" w:history="1">
        <w:r>
          <w:rPr>
            <w:rStyle w:val="Hyperlink"/>
            <w:rFonts w:ascii="David" w:hAnsi="David" w:cs="David"/>
            <w:sz w:val="24"/>
            <w:szCs w:val="24"/>
          </w:rPr>
          <w:t>www.eca.gov.il</w:t>
        </w:r>
      </w:hyperlink>
      <w:r>
        <w:rPr>
          <w:rFonts w:ascii="David" w:hAnsi="David" w:cs="David"/>
          <w:sz w:val="24"/>
          <w:szCs w:val="24"/>
        </w:rPr>
        <w:t xml:space="preserve"> </w:t>
      </w:r>
      <w:r w:rsidR="003C2A8A">
        <w:rPr>
          <w:rFonts w:ascii="David" w:hAnsi="David" w:cs="David"/>
          <w:sz w:val="24"/>
          <w:szCs w:val="24"/>
          <w:rtl/>
        </w:rPr>
        <w:t xml:space="preserve"> </w:t>
      </w:r>
    </w:p>
    <w:p w14:paraId="31995FA3" w14:textId="77777777" w:rsidR="007D065F" w:rsidRDefault="007D065F" w:rsidP="000216DB">
      <w:pPr>
        <w:pStyle w:val="ac"/>
        <w:numPr>
          <w:ilvl w:val="0"/>
          <w:numId w:val="20"/>
        </w:numPr>
        <w:spacing w:after="0" w:line="360" w:lineRule="auto"/>
        <w:jc w:val="both"/>
        <w:rPr>
          <w:rFonts w:ascii="David" w:hAnsi="David" w:cs="David"/>
          <w:b/>
          <w:bCs/>
          <w:sz w:val="24"/>
          <w:szCs w:val="24"/>
        </w:rPr>
      </w:pPr>
      <w:r>
        <w:rPr>
          <w:rFonts w:ascii="David" w:hAnsi="David" w:cs="David"/>
          <w:b/>
          <w:bCs/>
          <w:sz w:val="24"/>
          <w:szCs w:val="24"/>
          <w:rtl/>
        </w:rPr>
        <w:t>מוקד שירות טלפוני בשרות עצמי (מרכז גבייה)</w:t>
      </w:r>
      <w:r w:rsidR="003C2A8A">
        <w:rPr>
          <w:rFonts w:ascii="David" w:hAnsi="David" w:cs="David"/>
          <w:b/>
          <w:bCs/>
          <w:sz w:val="24"/>
          <w:szCs w:val="24"/>
          <w:rtl/>
        </w:rPr>
        <w:t xml:space="preserve"> </w:t>
      </w:r>
      <w:r>
        <w:rPr>
          <w:rFonts w:ascii="David" w:hAnsi="David" w:cs="David"/>
          <w:b/>
          <w:bCs/>
          <w:sz w:val="24"/>
          <w:szCs w:val="24"/>
          <w:rtl/>
        </w:rPr>
        <w:t xml:space="preserve"> – בטלפון 35592* או בטלפון 073-2055000</w:t>
      </w:r>
    </w:p>
    <w:p w14:paraId="63F6C87A" w14:textId="77777777" w:rsidR="007D065F" w:rsidRDefault="007D065F" w:rsidP="000216DB">
      <w:pPr>
        <w:pStyle w:val="ac"/>
        <w:numPr>
          <w:ilvl w:val="0"/>
          <w:numId w:val="20"/>
        </w:numPr>
        <w:spacing w:after="0" w:line="360" w:lineRule="auto"/>
        <w:jc w:val="both"/>
        <w:rPr>
          <w:rFonts w:ascii="David" w:hAnsi="David" w:cs="David"/>
          <w:b/>
          <w:bCs/>
          <w:sz w:val="24"/>
          <w:szCs w:val="24"/>
        </w:rPr>
      </w:pPr>
      <w:r>
        <w:rPr>
          <w:rFonts w:ascii="David" w:hAnsi="David" w:cs="David"/>
          <w:b/>
          <w:bCs/>
          <w:sz w:val="24"/>
          <w:szCs w:val="24"/>
          <w:rtl/>
        </w:rPr>
        <w:t>במזומן בכל סניף של בנק הדואר</w:t>
      </w:r>
      <w:r>
        <w:rPr>
          <w:rFonts w:ascii="David" w:hAnsi="David" w:cs="David"/>
          <w:sz w:val="24"/>
          <w:szCs w:val="24"/>
          <w:rtl/>
        </w:rPr>
        <w:t xml:space="preserve"> – בהצגת תעודת זהות בלבד (אין צורך בשוברי תשלום).</w:t>
      </w:r>
    </w:p>
    <w:p w14:paraId="0D75EF7A" w14:textId="77777777" w:rsidR="007D065F" w:rsidRDefault="007D065F" w:rsidP="000216DB">
      <w:pPr>
        <w:spacing w:line="360" w:lineRule="auto"/>
        <w:jc w:val="both"/>
        <w:rPr>
          <w:b/>
          <w:bCs/>
          <w:u w:val="single"/>
          <w:rtl/>
        </w:rPr>
      </w:pPr>
    </w:p>
    <w:p w14:paraId="0070D82B" w14:textId="77777777" w:rsidR="007D065F" w:rsidRDefault="007D065F" w:rsidP="000216DB">
      <w:pPr>
        <w:spacing w:line="360" w:lineRule="auto"/>
        <w:jc w:val="both"/>
        <w:rPr>
          <w:b/>
          <w:bCs/>
          <w:u w:val="single"/>
          <w:rtl/>
        </w:rPr>
      </w:pPr>
    </w:p>
    <w:p w14:paraId="0421899F" w14:textId="77777777" w:rsidR="007D065F" w:rsidRDefault="007D065F" w:rsidP="000216DB">
      <w:pPr>
        <w:spacing w:line="360" w:lineRule="auto"/>
        <w:jc w:val="both"/>
        <w:rPr>
          <w:b/>
          <w:bCs/>
          <w:u w:val="single"/>
          <w:rtl/>
        </w:rPr>
      </w:pPr>
    </w:p>
    <w:p w14:paraId="15A93B62" w14:textId="77777777" w:rsidR="007D065F" w:rsidRDefault="007D065F" w:rsidP="000216DB">
      <w:pPr>
        <w:spacing w:line="360" w:lineRule="auto"/>
        <w:jc w:val="both"/>
        <w:rPr>
          <w:b/>
          <w:bCs/>
          <w:u w:val="single"/>
          <w:rtl/>
        </w:rPr>
      </w:pPr>
    </w:p>
    <w:p w14:paraId="1857DA6E" w14:textId="77777777" w:rsidR="007D065F" w:rsidRDefault="003C2A8A" w:rsidP="00176A4E">
      <w:pPr>
        <w:spacing w:line="360" w:lineRule="auto"/>
        <w:jc w:val="both"/>
        <w:rPr>
          <w:b/>
          <w:bCs/>
        </w:rPr>
      </w:pPr>
      <w:r>
        <w:rPr>
          <w:b/>
          <w:bCs/>
          <w:u w:val="single"/>
          <w:rtl/>
        </w:rPr>
        <w:t xml:space="preserve">זכות ערעור לבית המשפט המחוזי בתל אביב-יפו בתוך 45 ימים מהיום.  </w:t>
      </w:r>
    </w:p>
    <w:p w14:paraId="7D636E87" w14:textId="77777777" w:rsidR="007D065F" w:rsidRDefault="007D065F" w:rsidP="000216DB">
      <w:pPr>
        <w:spacing w:line="360" w:lineRule="auto"/>
        <w:jc w:val="both"/>
        <w:rPr>
          <w:rtl/>
        </w:rPr>
      </w:pPr>
      <w:r>
        <w:rPr>
          <w:b/>
          <w:bCs/>
          <w:u w:val="double"/>
          <w:rtl/>
        </w:rPr>
        <w:t>המזכירות</w:t>
      </w:r>
      <w:r>
        <w:rPr>
          <w:rtl/>
        </w:rPr>
        <w:t xml:space="preserve"> תעביר העתק גזר הדין לשירות המבחן, כאשר שירות המבחן יודיע לבית המשפט על קליטתו של הנאשם במסגרת השל"צ וכמובן על סיום עמידתו בצווים או כל סטטוס אחר בעניינו. </w:t>
      </w:r>
    </w:p>
    <w:p w14:paraId="6A9428C2" w14:textId="77777777" w:rsidR="007D065F" w:rsidRDefault="007D065F" w:rsidP="00176A4E">
      <w:pPr>
        <w:pStyle w:val="ac"/>
        <w:spacing w:line="360" w:lineRule="auto"/>
        <w:ind w:left="-58"/>
        <w:jc w:val="both"/>
        <w:rPr>
          <w:rFonts w:ascii="David" w:hAnsi="David" w:cs="David"/>
          <w:sz w:val="24"/>
          <w:szCs w:val="24"/>
          <w:rtl/>
        </w:rPr>
      </w:pPr>
    </w:p>
    <w:p w14:paraId="50EC864C" w14:textId="77777777" w:rsidR="007D065F" w:rsidRDefault="003C2A8A" w:rsidP="000216DB">
      <w:pPr>
        <w:pStyle w:val="ac"/>
        <w:spacing w:line="240" w:lineRule="auto"/>
        <w:ind w:left="-58"/>
        <w:jc w:val="both"/>
        <w:rPr>
          <w:rFonts w:ascii="David" w:hAnsi="David" w:cs="David"/>
          <w:sz w:val="6"/>
          <w:szCs w:val="6"/>
          <w:rtl/>
        </w:rPr>
      </w:pPr>
      <w:r w:rsidRPr="003C2A8A">
        <w:rPr>
          <w:rFonts w:ascii="David" w:hAnsi="David" w:cs="David"/>
          <w:color w:val="FFFFFF"/>
          <w:sz w:val="2"/>
          <w:szCs w:val="2"/>
          <w:rtl/>
        </w:rPr>
        <w:t>5129371</w:t>
      </w:r>
      <w:r w:rsidR="007D065F">
        <w:rPr>
          <w:rFonts w:ascii="David" w:hAnsi="David" w:cs="David"/>
          <w:sz w:val="6"/>
          <w:szCs w:val="6"/>
          <w:rtl/>
        </w:rPr>
        <w:t>&lt;#7#&gt;</w:t>
      </w:r>
    </w:p>
    <w:tbl>
      <w:tblPr>
        <w:tblpPr w:leftFromText="180" w:rightFromText="180" w:vertAnchor="text" w:horzAnchor="margin" w:tblpY="302"/>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D065F" w14:paraId="67F8F9D8" w14:textId="77777777" w:rsidTr="00BD5BC4">
        <w:trPr>
          <w:trHeight w:val="316"/>
        </w:trPr>
        <w:tc>
          <w:tcPr>
            <w:tcW w:w="3936" w:type="dxa"/>
            <w:vAlign w:val="center"/>
          </w:tcPr>
          <w:p w14:paraId="1CE8FA10" w14:textId="77777777" w:rsidR="007D065F" w:rsidRPr="003C2A8A" w:rsidRDefault="003C2A8A" w:rsidP="00BD5BC4">
            <w:pPr>
              <w:jc w:val="center"/>
              <w:rPr>
                <w:rFonts w:ascii="Times New Roman" w:hAnsi="Times New Roman" w:cs="Times New Roman"/>
                <w:color w:val="FFFFFF"/>
                <w:sz w:val="2"/>
                <w:szCs w:val="2"/>
              </w:rPr>
            </w:pPr>
            <w:r w:rsidRPr="003C2A8A">
              <w:rPr>
                <w:rFonts w:ascii="Times New Roman" w:hAnsi="Times New Roman" w:cs="Times New Roman"/>
                <w:color w:val="FFFFFF"/>
                <w:sz w:val="2"/>
                <w:szCs w:val="2"/>
                <w:rtl/>
              </w:rPr>
              <w:t>54678313</w:t>
            </w:r>
          </w:p>
          <w:p w14:paraId="30CDF33B" w14:textId="77777777" w:rsidR="007D065F" w:rsidRPr="00BD5BC4" w:rsidRDefault="007D065F" w:rsidP="00BD5BC4">
            <w:pPr>
              <w:jc w:val="center"/>
              <w:rPr>
                <w:rFonts w:ascii="Times New Roman" w:hAnsi="Times New Roman" w:cs="Times New Roman"/>
                <w:rtl/>
              </w:rPr>
            </w:pPr>
          </w:p>
        </w:tc>
      </w:tr>
      <w:tr w:rsidR="007D065F" w14:paraId="6D9BD989" w14:textId="77777777" w:rsidTr="00BD5BC4">
        <w:trPr>
          <w:trHeight w:val="361"/>
        </w:trPr>
        <w:tc>
          <w:tcPr>
            <w:tcW w:w="3936" w:type="dxa"/>
            <w:vAlign w:val="center"/>
          </w:tcPr>
          <w:p w14:paraId="5595C462" w14:textId="77777777" w:rsidR="007D065F" w:rsidRPr="00BD5BC4" w:rsidRDefault="007D065F" w:rsidP="00BD5BC4">
            <w:pPr>
              <w:jc w:val="center"/>
              <w:rPr>
                <w:rFonts w:ascii="Times New Roman" w:hAnsi="Times New Roman"/>
                <w:b/>
                <w:bCs/>
                <w:rtl/>
              </w:rPr>
            </w:pPr>
            <w:r w:rsidRPr="00BD5BC4">
              <w:rPr>
                <w:rFonts w:ascii="Times New Roman" w:hAnsi="Times New Roman"/>
                <w:b/>
                <w:bCs/>
                <w:rtl/>
              </w:rPr>
              <w:t>ענת יהב, שופטת</w:t>
            </w:r>
          </w:p>
        </w:tc>
      </w:tr>
    </w:tbl>
    <w:p w14:paraId="0EF5593B" w14:textId="77777777" w:rsidR="007D065F" w:rsidRPr="000216DB" w:rsidRDefault="003C2A8A" w:rsidP="000216DB">
      <w:pPr>
        <w:pStyle w:val="ac"/>
        <w:spacing w:line="240" w:lineRule="auto"/>
        <w:ind w:left="-58"/>
        <w:jc w:val="both"/>
        <w:rPr>
          <w:rFonts w:ascii="David" w:hAnsi="David" w:cs="David"/>
          <w:sz w:val="24"/>
          <w:szCs w:val="24"/>
          <w:rtl/>
        </w:rPr>
      </w:pPr>
      <w:r>
        <w:rPr>
          <w:rFonts w:ascii="David" w:hAnsi="David" w:cs="David"/>
          <w:b/>
          <w:bCs/>
          <w:sz w:val="24"/>
          <w:szCs w:val="24"/>
          <w:rtl/>
        </w:rPr>
        <w:t xml:space="preserve">ניתנה והודעה היום י"ג טבת תשפ"ד, </w:t>
      </w:r>
      <w:r w:rsidR="007D065F" w:rsidRPr="000216DB">
        <w:rPr>
          <w:rFonts w:ascii="David" w:hAnsi="David" w:cs="David"/>
          <w:b/>
          <w:bCs/>
          <w:sz w:val="24"/>
          <w:szCs w:val="24"/>
        </w:rPr>
        <w:t>25/12/2023</w:t>
      </w:r>
      <w:r w:rsidR="007D065F" w:rsidRPr="000216DB">
        <w:rPr>
          <w:rFonts w:ascii="David" w:hAnsi="David" w:cs="David"/>
          <w:b/>
          <w:bCs/>
          <w:sz w:val="24"/>
          <w:szCs w:val="24"/>
          <w:rtl/>
        </w:rPr>
        <w:t xml:space="preserve"> במעמד הנוכחים.</w:t>
      </w:r>
    </w:p>
    <w:p w14:paraId="756CD4AB" w14:textId="77777777" w:rsidR="007D065F" w:rsidRDefault="007D065F" w:rsidP="003B08F6">
      <w:pPr>
        <w:rPr>
          <w:rtl/>
        </w:rPr>
      </w:pPr>
    </w:p>
    <w:p w14:paraId="6B2792B7" w14:textId="77777777" w:rsidR="007D065F" w:rsidRDefault="007D065F" w:rsidP="003B08F6">
      <w:pPr>
        <w:rPr>
          <w:rtl/>
        </w:rPr>
      </w:pPr>
    </w:p>
    <w:p w14:paraId="68345437" w14:textId="77777777" w:rsidR="007D065F" w:rsidRDefault="007D065F" w:rsidP="00142926">
      <w:pPr>
        <w:pStyle w:val="ac"/>
        <w:spacing w:line="360" w:lineRule="auto"/>
        <w:ind w:left="-58"/>
        <w:jc w:val="center"/>
        <w:rPr>
          <w:rFonts w:ascii="David" w:hAnsi="David" w:cs="David"/>
          <w:sz w:val="24"/>
          <w:szCs w:val="24"/>
          <w:rtl/>
        </w:rPr>
      </w:pPr>
    </w:p>
    <w:p w14:paraId="3A8FA4D0" w14:textId="77777777" w:rsidR="007D065F" w:rsidRPr="00142926" w:rsidRDefault="007D065F" w:rsidP="00142926">
      <w:pPr>
        <w:pStyle w:val="ac"/>
        <w:spacing w:line="360" w:lineRule="auto"/>
        <w:ind w:left="-58"/>
        <w:jc w:val="both"/>
        <w:rPr>
          <w:rFonts w:ascii="David" w:hAnsi="David" w:cs="David"/>
          <w:sz w:val="24"/>
          <w:szCs w:val="24"/>
          <w:rtl/>
        </w:rPr>
      </w:pPr>
      <w:r>
        <w:rPr>
          <w:rFonts w:ascii="David" w:hAnsi="David" w:cs="David"/>
          <w:sz w:val="24"/>
          <w:szCs w:val="24"/>
          <w:rtl/>
        </w:rPr>
        <w:t xml:space="preserve"> </w:t>
      </w:r>
    </w:p>
    <w:p w14:paraId="33B28971" w14:textId="77777777" w:rsidR="007D065F" w:rsidRPr="003C2A8A" w:rsidRDefault="007D065F" w:rsidP="003C2A8A">
      <w:pPr>
        <w:keepNext/>
        <w:spacing w:line="360" w:lineRule="auto"/>
        <w:rPr>
          <w:color w:val="000000"/>
          <w:sz w:val="22"/>
          <w:szCs w:val="22"/>
          <w:rtl/>
        </w:rPr>
      </w:pPr>
    </w:p>
    <w:p w14:paraId="634F91A2" w14:textId="77777777" w:rsidR="003C2A8A" w:rsidRPr="003C2A8A" w:rsidRDefault="003C2A8A" w:rsidP="003C2A8A">
      <w:pPr>
        <w:keepNext/>
        <w:spacing w:line="360" w:lineRule="auto"/>
        <w:rPr>
          <w:color w:val="000000"/>
          <w:sz w:val="22"/>
          <w:szCs w:val="22"/>
          <w:rtl/>
        </w:rPr>
      </w:pPr>
      <w:r w:rsidRPr="003C2A8A">
        <w:rPr>
          <w:color w:val="000000"/>
          <w:sz w:val="22"/>
          <w:szCs w:val="22"/>
          <w:rtl/>
        </w:rPr>
        <w:t>ענת יהב 54678313</w:t>
      </w:r>
    </w:p>
    <w:p w14:paraId="7E92EF08" w14:textId="77777777" w:rsidR="003C2A8A" w:rsidRDefault="003C2A8A" w:rsidP="003C2A8A">
      <w:pPr>
        <w:spacing w:line="360" w:lineRule="auto"/>
        <w:rPr>
          <w:rtl/>
        </w:rPr>
      </w:pPr>
      <w:r w:rsidRPr="003C2A8A">
        <w:rPr>
          <w:color w:val="000000"/>
          <w:rtl/>
        </w:rPr>
        <w:t>נוסח מסמך זה כפוף לשינויי ניסוח ועריכה</w:t>
      </w:r>
    </w:p>
    <w:p w14:paraId="65E8F76C" w14:textId="77777777" w:rsidR="003C2A8A" w:rsidRDefault="003C2A8A" w:rsidP="003C2A8A">
      <w:pPr>
        <w:spacing w:line="360" w:lineRule="auto"/>
        <w:rPr>
          <w:rtl/>
        </w:rPr>
      </w:pPr>
    </w:p>
    <w:p w14:paraId="3568CB44" w14:textId="77777777" w:rsidR="003C2A8A" w:rsidRDefault="003C2A8A" w:rsidP="003C2A8A">
      <w:pPr>
        <w:spacing w:line="360" w:lineRule="auto"/>
        <w:jc w:val="center"/>
        <w:rPr>
          <w:color w:val="0000FF"/>
          <w:u w:val="single"/>
          <w:rtl/>
        </w:rPr>
      </w:pPr>
      <w:hyperlink r:id="rId38" w:history="1">
        <w:r>
          <w:rPr>
            <w:color w:val="0000FF"/>
            <w:u w:val="single"/>
            <w:rtl/>
          </w:rPr>
          <w:t>בעניין עריכה ושינויים במסמכי פסיקה, חקיקה ועוד באתר נבו – הקש כאן</w:t>
        </w:r>
      </w:hyperlink>
    </w:p>
    <w:p w14:paraId="104AD22A" w14:textId="77777777" w:rsidR="003C2A8A" w:rsidRPr="003C2A8A" w:rsidRDefault="003C2A8A" w:rsidP="003C2A8A">
      <w:pPr>
        <w:spacing w:line="360" w:lineRule="auto"/>
        <w:jc w:val="center"/>
        <w:rPr>
          <w:color w:val="0000FF"/>
          <w:u w:val="single"/>
          <w:rtl/>
        </w:rPr>
      </w:pPr>
    </w:p>
    <w:sectPr w:rsidR="003C2A8A" w:rsidRPr="003C2A8A" w:rsidSect="003C2A8A">
      <w:headerReference w:type="even" r:id="rId39"/>
      <w:headerReference w:type="default" r:id="rId40"/>
      <w:footerReference w:type="even" r:id="rId41"/>
      <w:footerReference w:type="default" r:id="rId42"/>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162A0" w14:textId="77777777" w:rsidR="00D363B4" w:rsidRDefault="00D363B4">
      <w:r>
        <w:separator/>
      </w:r>
    </w:p>
  </w:endnote>
  <w:endnote w:type="continuationSeparator" w:id="0">
    <w:p w14:paraId="025CB2BF" w14:textId="77777777" w:rsidR="00D363B4" w:rsidRDefault="00D3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CCA99" w14:textId="77777777" w:rsidR="003C2A8A" w:rsidRDefault="003C2A8A" w:rsidP="003C2A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18A53DBB" w14:textId="77777777" w:rsidR="007D065F" w:rsidRPr="003C2A8A" w:rsidRDefault="003C2A8A" w:rsidP="003C2A8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AA6C8" w14:textId="77777777" w:rsidR="003C2A8A" w:rsidRDefault="003C2A8A" w:rsidP="003C2A8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122DA">
      <w:rPr>
        <w:rFonts w:ascii="FrankRuehl" w:hAnsi="FrankRuehl" w:cs="FrankRuehl"/>
        <w:noProof/>
        <w:rtl/>
      </w:rPr>
      <w:t>1</w:t>
    </w:r>
    <w:r>
      <w:rPr>
        <w:rFonts w:ascii="FrankRuehl" w:hAnsi="FrankRuehl" w:cs="FrankRuehl"/>
        <w:rtl/>
      </w:rPr>
      <w:fldChar w:fldCharType="end"/>
    </w:r>
  </w:p>
  <w:p w14:paraId="681D2570" w14:textId="77777777" w:rsidR="007D065F" w:rsidRPr="003C2A8A" w:rsidRDefault="003C2A8A" w:rsidP="003C2A8A">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67BC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EFB6F" w14:textId="77777777" w:rsidR="00D363B4" w:rsidRDefault="00D363B4">
      <w:r>
        <w:separator/>
      </w:r>
    </w:p>
  </w:footnote>
  <w:footnote w:type="continuationSeparator" w:id="0">
    <w:p w14:paraId="7D9A85AF" w14:textId="77777777" w:rsidR="00D363B4" w:rsidRDefault="00D3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E5073" w14:textId="77777777" w:rsidR="003C2A8A" w:rsidRPr="003C2A8A" w:rsidRDefault="003C2A8A" w:rsidP="003C2A8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20161-12-21</w:t>
    </w:r>
    <w:r>
      <w:rPr>
        <w:color w:val="000000"/>
        <w:sz w:val="22"/>
        <w:szCs w:val="22"/>
        <w:rtl/>
      </w:rPr>
      <w:tab/>
      <w:t xml:space="preserve"> מדינת ישראל נ' אושר לובטון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52E42" w14:textId="77777777" w:rsidR="003C2A8A" w:rsidRPr="003C2A8A" w:rsidRDefault="003C2A8A" w:rsidP="003C2A8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20161-12-21</w:t>
    </w:r>
    <w:r>
      <w:rPr>
        <w:color w:val="000000"/>
        <w:sz w:val="22"/>
        <w:szCs w:val="22"/>
        <w:rtl/>
      </w:rPr>
      <w:tab/>
      <w:t xml:space="preserve"> מדינת ישראל נ' אושר לובטון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9855C0B"/>
    <w:multiLevelType w:val="hybridMultilevel"/>
    <w:tmpl w:val="C8805FAA"/>
    <w:lvl w:ilvl="0" w:tplc="634A7340">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D355491"/>
    <w:multiLevelType w:val="hybridMultilevel"/>
    <w:tmpl w:val="075A577E"/>
    <w:lvl w:ilvl="0" w:tplc="D3B8CB40">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AE4B43"/>
    <w:multiLevelType w:val="hybridMultilevel"/>
    <w:tmpl w:val="86AC1A70"/>
    <w:lvl w:ilvl="0" w:tplc="BF1E5DDC">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B1FC98D4">
      <w:start w:val="1"/>
      <w:numFmt w:val="hebrew1"/>
      <w:lvlText w:val="%3."/>
      <w:lvlJc w:val="left"/>
      <w:pPr>
        <w:ind w:left="2700" w:hanging="720"/>
      </w:pPr>
      <w:rPr>
        <w:rFonts w:cs="Times New Roman"/>
        <w:sz w:val="24"/>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145270339">
    <w:abstractNumId w:val="18"/>
  </w:num>
  <w:num w:numId="2" w16cid:durableId="483737278">
    <w:abstractNumId w:val="8"/>
  </w:num>
  <w:num w:numId="3" w16cid:durableId="1133014217">
    <w:abstractNumId w:val="16"/>
  </w:num>
  <w:num w:numId="4" w16cid:durableId="708607446">
    <w:abstractNumId w:val="14"/>
  </w:num>
  <w:num w:numId="5" w16cid:durableId="1474254529">
    <w:abstractNumId w:val="7"/>
  </w:num>
  <w:num w:numId="6" w16cid:durableId="2052264831">
    <w:abstractNumId w:val="9"/>
  </w:num>
  <w:num w:numId="7" w16cid:durableId="637415328">
    <w:abstractNumId w:val="20"/>
  </w:num>
  <w:num w:numId="8" w16cid:durableId="1549101625">
    <w:abstractNumId w:val="1"/>
  </w:num>
  <w:num w:numId="9" w16cid:durableId="1568296567">
    <w:abstractNumId w:val="13"/>
  </w:num>
  <w:num w:numId="10" w16cid:durableId="1784878241">
    <w:abstractNumId w:val="11"/>
  </w:num>
  <w:num w:numId="11" w16cid:durableId="137647107">
    <w:abstractNumId w:val="4"/>
  </w:num>
  <w:num w:numId="12" w16cid:durableId="1161580521">
    <w:abstractNumId w:val="19"/>
  </w:num>
  <w:num w:numId="13" w16cid:durableId="1518470745">
    <w:abstractNumId w:val="12"/>
  </w:num>
  <w:num w:numId="14" w16cid:durableId="754791222">
    <w:abstractNumId w:val="3"/>
  </w:num>
  <w:num w:numId="15" w16cid:durableId="1746341082">
    <w:abstractNumId w:val="17"/>
  </w:num>
  <w:num w:numId="16" w16cid:durableId="986394634">
    <w:abstractNumId w:val="2"/>
  </w:num>
  <w:num w:numId="17" w16cid:durableId="444737798">
    <w:abstractNumId w:val="10"/>
  </w:num>
  <w:num w:numId="18" w16cid:durableId="1356087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7910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2740517">
    <w:abstractNumId w:val="0"/>
  </w:num>
  <w:num w:numId="21" w16cid:durableId="1879273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0161-12-21"/>
    <w:docVar w:name="caseId" w:val="78865868"/>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4047659"/>
    <w:docVar w:name="releaseSign" w:val="0"/>
    <w:docVar w:name="sittingDateTime" w:val="25/12/2023 08:30     "/>
    <w:docVar w:name="sittingId" w:val="95450972"/>
    <w:docVar w:name="sittingTypeId" w:val="2"/>
    <w:docVar w:name="WordClientAssemblyName" w:val="NGCS.Protocol.BL.Client"/>
    <w:docVar w:name="WordClientClassName" w:val="NGCS.Templates.UIP.TemplateWordClient"/>
  </w:docVars>
  <w:rsids>
    <w:rsidRoot w:val="00EB1D9D"/>
    <w:rsid w:val="0000347D"/>
    <w:rsid w:val="0000736A"/>
    <w:rsid w:val="000140AE"/>
    <w:rsid w:val="00014F26"/>
    <w:rsid w:val="00016C3B"/>
    <w:rsid w:val="000216DB"/>
    <w:rsid w:val="00030486"/>
    <w:rsid w:val="000309E2"/>
    <w:rsid w:val="00032A68"/>
    <w:rsid w:val="00053909"/>
    <w:rsid w:val="000555F0"/>
    <w:rsid w:val="000608AB"/>
    <w:rsid w:val="00066C6B"/>
    <w:rsid w:val="00074BD2"/>
    <w:rsid w:val="000A4C4B"/>
    <w:rsid w:val="000C3D5F"/>
    <w:rsid w:val="000C7499"/>
    <w:rsid w:val="000D0CF6"/>
    <w:rsid w:val="000E1A65"/>
    <w:rsid w:val="000E37CD"/>
    <w:rsid w:val="00100FD9"/>
    <w:rsid w:val="00115104"/>
    <w:rsid w:val="00131385"/>
    <w:rsid w:val="00137D59"/>
    <w:rsid w:val="00142926"/>
    <w:rsid w:val="0014434E"/>
    <w:rsid w:val="001526FC"/>
    <w:rsid w:val="0016231B"/>
    <w:rsid w:val="00163279"/>
    <w:rsid w:val="001666D0"/>
    <w:rsid w:val="001705B8"/>
    <w:rsid w:val="00174C6C"/>
    <w:rsid w:val="00176A4E"/>
    <w:rsid w:val="00180246"/>
    <w:rsid w:val="001870A5"/>
    <w:rsid w:val="001A63A4"/>
    <w:rsid w:val="001C548C"/>
    <w:rsid w:val="001E6DFB"/>
    <w:rsid w:val="002063A6"/>
    <w:rsid w:val="00210DB0"/>
    <w:rsid w:val="002114AC"/>
    <w:rsid w:val="00227A15"/>
    <w:rsid w:val="00237F64"/>
    <w:rsid w:val="00245547"/>
    <w:rsid w:val="002736EA"/>
    <w:rsid w:val="00296868"/>
    <w:rsid w:val="002A1C94"/>
    <w:rsid w:val="002D47F7"/>
    <w:rsid w:val="002E24EE"/>
    <w:rsid w:val="002E5111"/>
    <w:rsid w:val="002E5944"/>
    <w:rsid w:val="002F455E"/>
    <w:rsid w:val="002F5A82"/>
    <w:rsid w:val="00301481"/>
    <w:rsid w:val="003036E7"/>
    <w:rsid w:val="00323201"/>
    <w:rsid w:val="00340759"/>
    <w:rsid w:val="0034100C"/>
    <w:rsid w:val="00342D84"/>
    <w:rsid w:val="00347ACF"/>
    <w:rsid w:val="00376476"/>
    <w:rsid w:val="003B08F6"/>
    <w:rsid w:val="003C2A8A"/>
    <w:rsid w:val="003F6EFC"/>
    <w:rsid w:val="00440118"/>
    <w:rsid w:val="00440C87"/>
    <w:rsid w:val="00441197"/>
    <w:rsid w:val="00442655"/>
    <w:rsid w:val="004473FE"/>
    <w:rsid w:val="00451AF7"/>
    <w:rsid w:val="004752AF"/>
    <w:rsid w:val="00486DEE"/>
    <w:rsid w:val="00494C2F"/>
    <w:rsid w:val="004B74CF"/>
    <w:rsid w:val="004C0CA7"/>
    <w:rsid w:val="004D4B57"/>
    <w:rsid w:val="004F1851"/>
    <w:rsid w:val="004F4B4A"/>
    <w:rsid w:val="00503959"/>
    <w:rsid w:val="00510083"/>
    <w:rsid w:val="00532A9F"/>
    <w:rsid w:val="00551705"/>
    <w:rsid w:val="00560CB1"/>
    <w:rsid w:val="00564AAC"/>
    <w:rsid w:val="00577444"/>
    <w:rsid w:val="0058186B"/>
    <w:rsid w:val="005832BA"/>
    <w:rsid w:val="00587A86"/>
    <w:rsid w:val="00594F89"/>
    <w:rsid w:val="005B395D"/>
    <w:rsid w:val="005D3650"/>
    <w:rsid w:val="005D47FD"/>
    <w:rsid w:val="005D5393"/>
    <w:rsid w:val="005D68B0"/>
    <w:rsid w:val="005D6FD9"/>
    <w:rsid w:val="00600219"/>
    <w:rsid w:val="00601F75"/>
    <w:rsid w:val="006110FD"/>
    <w:rsid w:val="0061652F"/>
    <w:rsid w:val="00620E3F"/>
    <w:rsid w:val="00623CCF"/>
    <w:rsid w:val="00624AE5"/>
    <w:rsid w:val="00631222"/>
    <w:rsid w:val="00633BA9"/>
    <w:rsid w:val="00635C8E"/>
    <w:rsid w:val="006424C7"/>
    <w:rsid w:val="006830E7"/>
    <w:rsid w:val="006A4D3D"/>
    <w:rsid w:val="006B639D"/>
    <w:rsid w:val="006D72D1"/>
    <w:rsid w:val="006E3A90"/>
    <w:rsid w:val="006F0E02"/>
    <w:rsid w:val="006F7F2D"/>
    <w:rsid w:val="00700409"/>
    <w:rsid w:val="00701199"/>
    <w:rsid w:val="00717ADE"/>
    <w:rsid w:val="007378AE"/>
    <w:rsid w:val="007378FE"/>
    <w:rsid w:val="007534C2"/>
    <w:rsid w:val="00770F7C"/>
    <w:rsid w:val="00781736"/>
    <w:rsid w:val="00791EB6"/>
    <w:rsid w:val="007A3152"/>
    <w:rsid w:val="007B6499"/>
    <w:rsid w:val="007C0D02"/>
    <w:rsid w:val="007D065F"/>
    <w:rsid w:val="007D4DDF"/>
    <w:rsid w:val="007D71BF"/>
    <w:rsid w:val="007E4ADE"/>
    <w:rsid w:val="007F46CA"/>
    <w:rsid w:val="007F4959"/>
    <w:rsid w:val="008100EF"/>
    <w:rsid w:val="0081212E"/>
    <w:rsid w:val="008138D1"/>
    <w:rsid w:val="008147C4"/>
    <w:rsid w:val="00816980"/>
    <w:rsid w:val="008214AC"/>
    <w:rsid w:val="008247D5"/>
    <w:rsid w:val="0083639D"/>
    <w:rsid w:val="0085535F"/>
    <w:rsid w:val="008555A4"/>
    <w:rsid w:val="00860A48"/>
    <w:rsid w:val="0088228B"/>
    <w:rsid w:val="00886623"/>
    <w:rsid w:val="00891F3C"/>
    <w:rsid w:val="008A636F"/>
    <w:rsid w:val="008B5819"/>
    <w:rsid w:val="008D15AB"/>
    <w:rsid w:val="008D7896"/>
    <w:rsid w:val="008E555D"/>
    <w:rsid w:val="008E7204"/>
    <w:rsid w:val="00927BB3"/>
    <w:rsid w:val="00934BA1"/>
    <w:rsid w:val="0094049A"/>
    <w:rsid w:val="0094092B"/>
    <w:rsid w:val="00940F15"/>
    <w:rsid w:val="00943E5D"/>
    <w:rsid w:val="009474AF"/>
    <w:rsid w:val="009521C7"/>
    <w:rsid w:val="00960E66"/>
    <w:rsid w:val="00966439"/>
    <w:rsid w:val="0097713F"/>
    <w:rsid w:val="00977A5E"/>
    <w:rsid w:val="0098094C"/>
    <w:rsid w:val="009857E4"/>
    <w:rsid w:val="00997E02"/>
    <w:rsid w:val="009A0C06"/>
    <w:rsid w:val="009B24E2"/>
    <w:rsid w:val="009C08D6"/>
    <w:rsid w:val="009D7934"/>
    <w:rsid w:val="009E46EC"/>
    <w:rsid w:val="009E6E0A"/>
    <w:rsid w:val="00A04531"/>
    <w:rsid w:val="00A115B1"/>
    <w:rsid w:val="00A145B5"/>
    <w:rsid w:val="00A1573A"/>
    <w:rsid w:val="00A25356"/>
    <w:rsid w:val="00A64302"/>
    <w:rsid w:val="00A64696"/>
    <w:rsid w:val="00A67D1A"/>
    <w:rsid w:val="00A910BF"/>
    <w:rsid w:val="00A9259F"/>
    <w:rsid w:val="00A9385E"/>
    <w:rsid w:val="00A94180"/>
    <w:rsid w:val="00AA3C0A"/>
    <w:rsid w:val="00AB1CE7"/>
    <w:rsid w:val="00AC7677"/>
    <w:rsid w:val="00AD1366"/>
    <w:rsid w:val="00AE372B"/>
    <w:rsid w:val="00B24CA7"/>
    <w:rsid w:val="00B25376"/>
    <w:rsid w:val="00B30584"/>
    <w:rsid w:val="00B32C25"/>
    <w:rsid w:val="00B44123"/>
    <w:rsid w:val="00B44DFD"/>
    <w:rsid w:val="00B6568E"/>
    <w:rsid w:val="00B66459"/>
    <w:rsid w:val="00B82C03"/>
    <w:rsid w:val="00B870E1"/>
    <w:rsid w:val="00BA3141"/>
    <w:rsid w:val="00BB6528"/>
    <w:rsid w:val="00BD13A0"/>
    <w:rsid w:val="00BD5BC4"/>
    <w:rsid w:val="00BF00B0"/>
    <w:rsid w:val="00C122DA"/>
    <w:rsid w:val="00C4595F"/>
    <w:rsid w:val="00C471D1"/>
    <w:rsid w:val="00C50277"/>
    <w:rsid w:val="00C518EA"/>
    <w:rsid w:val="00C667A1"/>
    <w:rsid w:val="00C8613B"/>
    <w:rsid w:val="00CA022A"/>
    <w:rsid w:val="00CA26CF"/>
    <w:rsid w:val="00CB6B34"/>
    <w:rsid w:val="00CE2737"/>
    <w:rsid w:val="00CE3239"/>
    <w:rsid w:val="00D0615F"/>
    <w:rsid w:val="00D1398F"/>
    <w:rsid w:val="00D23D09"/>
    <w:rsid w:val="00D240DE"/>
    <w:rsid w:val="00D24439"/>
    <w:rsid w:val="00D2736A"/>
    <w:rsid w:val="00D363B4"/>
    <w:rsid w:val="00D57D9B"/>
    <w:rsid w:val="00D86190"/>
    <w:rsid w:val="00DA7A07"/>
    <w:rsid w:val="00DC3CD8"/>
    <w:rsid w:val="00DC4526"/>
    <w:rsid w:val="00DC7E11"/>
    <w:rsid w:val="00DD4926"/>
    <w:rsid w:val="00DE204F"/>
    <w:rsid w:val="00DF69AA"/>
    <w:rsid w:val="00E06ED4"/>
    <w:rsid w:val="00E14425"/>
    <w:rsid w:val="00E15F20"/>
    <w:rsid w:val="00E37759"/>
    <w:rsid w:val="00E420DA"/>
    <w:rsid w:val="00E4581A"/>
    <w:rsid w:val="00E620AB"/>
    <w:rsid w:val="00E679BB"/>
    <w:rsid w:val="00E74FCF"/>
    <w:rsid w:val="00E866B5"/>
    <w:rsid w:val="00E909F6"/>
    <w:rsid w:val="00E9323D"/>
    <w:rsid w:val="00EA333A"/>
    <w:rsid w:val="00EB1D9D"/>
    <w:rsid w:val="00F24B4E"/>
    <w:rsid w:val="00F30675"/>
    <w:rsid w:val="00F32241"/>
    <w:rsid w:val="00F449AC"/>
    <w:rsid w:val="00F53B32"/>
    <w:rsid w:val="00F56690"/>
    <w:rsid w:val="00F56B3A"/>
    <w:rsid w:val="00F579C4"/>
    <w:rsid w:val="00F63E82"/>
    <w:rsid w:val="00F773E3"/>
    <w:rsid w:val="00F861D3"/>
    <w:rsid w:val="00F91F7D"/>
    <w:rsid w:val="00F941D7"/>
    <w:rsid w:val="00FA2034"/>
    <w:rsid w:val="00FA308E"/>
    <w:rsid w:val="00FA615F"/>
    <w:rsid w:val="00FD12D3"/>
    <w:rsid w:val="00FE234A"/>
    <w:rsid w:val="00FE3D32"/>
    <w:rsid w:val="00FF139B"/>
    <w:rsid w:val="00FF1579"/>
    <w:rsid w:val="00FF297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3DF8E68"/>
  <w15:chartTrackingRefBased/>
  <w15:docId w15:val="{6803C660-C25C-4EE9-96D8-C14D3E3E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A115B1"/>
    <w:rPr>
      <w:rFonts w:ascii="Times New Roman" w:eastAsia="David" w:hAnsi="Times New Roman"/>
      <w:b/>
      <w:bCs/>
      <w:u w:val="single"/>
    </w:rPr>
  </w:style>
  <w:style w:type="paragraph" w:styleId="ac">
    <w:name w:val="List Paragraph"/>
    <w:basedOn w:val="a"/>
    <w:link w:val="ad"/>
    <w:qFormat/>
    <w:rsid w:val="00891F3C"/>
    <w:pPr>
      <w:spacing w:after="200" w:line="276" w:lineRule="auto"/>
      <w:ind w:left="720"/>
      <w:contextualSpacing/>
    </w:pPr>
    <w:rPr>
      <w:rFonts w:ascii="Calibri" w:eastAsia="David" w:hAnsi="Calibri" w:cs="Arial"/>
      <w:sz w:val="22"/>
      <w:szCs w:val="22"/>
    </w:rPr>
  </w:style>
  <w:style w:type="character" w:styleId="Hyperlink">
    <w:name w:val="Hyperlink"/>
    <w:semiHidden/>
    <w:rsid w:val="00891F3C"/>
    <w:rPr>
      <w:color w:val="0000FF"/>
      <w:u w:val="single"/>
    </w:rPr>
  </w:style>
  <w:style w:type="character" w:customStyle="1" w:styleId="ad">
    <w:name w:val="פיסקת רשימה תו"/>
    <w:link w:val="ac"/>
    <w:locked/>
    <w:rsid w:val="00891F3C"/>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case/25439387" TargetMode="External"/><Relationship Id="rId26" Type="http://schemas.openxmlformats.org/officeDocument/2006/relationships/hyperlink" Target="http://www.nevo.co.il/case/16922781" TargetMode="External"/><Relationship Id="rId39" Type="http://schemas.openxmlformats.org/officeDocument/2006/relationships/header" Target="header1.xml"/><Relationship Id="rId21" Type="http://schemas.openxmlformats.org/officeDocument/2006/relationships/hyperlink" Target="http://www.nevo.co.il/case/20705570" TargetMode="External"/><Relationship Id="rId34" Type="http://schemas.openxmlformats.org/officeDocument/2006/relationships/hyperlink" Target="http://www.nevo.co.il/law/70301/5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190928" TargetMode="External"/><Relationship Id="rId29" Type="http://schemas.openxmlformats.org/officeDocument/2006/relationships/hyperlink" Target="http://www.nevo.co.il/case/2809239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8278661" TargetMode="External"/><Relationship Id="rId32" Type="http://schemas.openxmlformats.org/officeDocument/2006/relationships/hyperlink" Target="http://www.nevo.co.il/law/70301/85.a"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1799502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543670"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law/70301/5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85.a" TargetMode="External"/><Relationship Id="rId22" Type="http://schemas.openxmlformats.org/officeDocument/2006/relationships/hyperlink" Target="http://www.nevo.co.il/case/21305839"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28280788" TargetMode="External"/><Relationship Id="rId35" Type="http://schemas.openxmlformats.org/officeDocument/2006/relationships/hyperlink" Target="http://www.nevo.co.il/case/5962012"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2793</Words>
  <Characters>13965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16725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3342452</vt:i4>
      </vt:variant>
      <vt:variant>
        <vt:i4>87</vt:i4>
      </vt:variant>
      <vt:variant>
        <vt:i4>0</vt:i4>
      </vt:variant>
      <vt:variant>
        <vt:i4>5</vt:i4>
      </vt:variant>
      <vt:variant>
        <vt:lpwstr>http://www.nevo.co.il/case/22543670</vt:lpwstr>
      </vt:variant>
      <vt:variant>
        <vt:lpwstr/>
      </vt:variant>
      <vt:variant>
        <vt:i4>3211390</vt:i4>
      </vt:variant>
      <vt:variant>
        <vt:i4>84</vt:i4>
      </vt:variant>
      <vt:variant>
        <vt:i4>0</vt:i4>
      </vt:variant>
      <vt:variant>
        <vt:i4>5</vt:i4>
      </vt:variant>
      <vt:variant>
        <vt:lpwstr>http://www.nevo.co.il/case/5962012</vt:lpwstr>
      </vt:variant>
      <vt:variant>
        <vt:lpwstr/>
      </vt:variant>
      <vt:variant>
        <vt:i4>6488160</vt:i4>
      </vt:variant>
      <vt:variant>
        <vt:i4>81</vt:i4>
      </vt:variant>
      <vt:variant>
        <vt:i4>0</vt:i4>
      </vt:variant>
      <vt:variant>
        <vt:i4>5</vt:i4>
      </vt:variant>
      <vt:variant>
        <vt:lpwstr>http://www.nevo.co.il/law/70301/56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65603</vt:i4>
      </vt:variant>
      <vt:variant>
        <vt:i4>75</vt:i4>
      </vt:variant>
      <vt:variant>
        <vt:i4>0</vt:i4>
      </vt:variant>
      <vt:variant>
        <vt:i4>5</vt:i4>
      </vt:variant>
      <vt:variant>
        <vt:lpwstr>http://www.nevo.co.il/law/70301/85.a</vt:lpwstr>
      </vt:variant>
      <vt:variant>
        <vt:lpwstr/>
      </vt:variant>
      <vt:variant>
        <vt:i4>6488160</vt:i4>
      </vt:variant>
      <vt:variant>
        <vt:i4>72</vt:i4>
      </vt:variant>
      <vt:variant>
        <vt:i4>0</vt:i4>
      </vt:variant>
      <vt:variant>
        <vt:i4>5</vt:i4>
      </vt:variant>
      <vt:variant>
        <vt:lpwstr>http://www.nevo.co.il/law/70301/56</vt:lpwstr>
      </vt:variant>
      <vt:variant>
        <vt:lpwstr/>
      </vt:variant>
      <vt:variant>
        <vt:i4>3670131</vt:i4>
      </vt:variant>
      <vt:variant>
        <vt:i4>69</vt:i4>
      </vt:variant>
      <vt:variant>
        <vt:i4>0</vt:i4>
      </vt:variant>
      <vt:variant>
        <vt:i4>5</vt:i4>
      </vt:variant>
      <vt:variant>
        <vt:lpwstr>http://www.nevo.co.il/case/28280788</vt:lpwstr>
      </vt:variant>
      <vt:variant>
        <vt:lpwstr/>
      </vt:variant>
      <vt:variant>
        <vt:i4>3735670</vt:i4>
      </vt:variant>
      <vt:variant>
        <vt:i4>66</vt:i4>
      </vt:variant>
      <vt:variant>
        <vt:i4>0</vt:i4>
      </vt:variant>
      <vt:variant>
        <vt:i4>5</vt:i4>
      </vt:variant>
      <vt:variant>
        <vt:lpwstr>http://www.nevo.co.il/case/28092391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3276919</vt:i4>
      </vt:variant>
      <vt:variant>
        <vt:i4>57</vt:i4>
      </vt:variant>
      <vt:variant>
        <vt:i4>0</vt:i4>
      </vt:variant>
      <vt:variant>
        <vt:i4>5</vt:i4>
      </vt:variant>
      <vt:variant>
        <vt:lpwstr>http://www.nevo.co.il/case/16922781</vt:lpwstr>
      </vt:variant>
      <vt:variant>
        <vt:lpwstr/>
      </vt:variant>
      <vt:variant>
        <vt:i4>3932272</vt:i4>
      </vt:variant>
      <vt:variant>
        <vt:i4>54</vt:i4>
      </vt:variant>
      <vt:variant>
        <vt:i4>0</vt:i4>
      </vt:variant>
      <vt:variant>
        <vt:i4>5</vt:i4>
      </vt:variant>
      <vt:variant>
        <vt:lpwstr>http://www.nevo.co.il/case/20402486</vt:lpwstr>
      </vt:variant>
      <vt:variant>
        <vt:lpwstr/>
      </vt:variant>
      <vt:variant>
        <vt:i4>4063357</vt:i4>
      </vt:variant>
      <vt:variant>
        <vt:i4>51</vt:i4>
      </vt:variant>
      <vt:variant>
        <vt:i4>0</vt:i4>
      </vt:variant>
      <vt:variant>
        <vt:i4>5</vt:i4>
      </vt:variant>
      <vt:variant>
        <vt:lpwstr>http://www.nevo.co.il/case/28278661</vt:lpwstr>
      </vt:variant>
      <vt:variant>
        <vt:lpwstr/>
      </vt:variant>
      <vt:variant>
        <vt:i4>4128890</vt:i4>
      </vt:variant>
      <vt:variant>
        <vt:i4>48</vt:i4>
      </vt:variant>
      <vt:variant>
        <vt:i4>0</vt:i4>
      </vt:variant>
      <vt:variant>
        <vt:i4>5</vt:i4>
      </vt:variant>
      <vt:variant>
        <vt:lpwstr>http://www.nevo.co.il/case/17995021</vt:lpwstr>
      </vt:variant>
      <vt:variant>
        <vt:lpwstr/>
      </vt:variant>
      <vt:variant>
        <vt:i4>3604605</vt:i4>
      </vt:variant>
      <vt:variant>
        <vt:i4>45</vt:i4>
      </vt:variant>
      <vt:variant>
        <vt:i4>0</vt:i4>
      </vt:variant>
      <vt:variant>
        <vt:i4>5</vt:i4>
      </vt:variant>
      <vt:variant>
        <vt:lpwstr>http://www.nevo.co.il/case/21305839</vt:lpwstr>
      </vt:variant>
      <vt:variant>
        <vt:lpwstr/>
      </vt:variant>
      <vt:variant>
        <vt:i4>3604593</vt:i4>
      </vt:variant>
      <vt:variant>
        <vt:i4>42</vt:i4>
      </vt:variant>
      <vt:variant>
        <vt:i4>0</vt:i4>
      </vt:variant>
      <vt:variant>
        <vt:i4>5</vt:i4>
      </vt:variant>
      <vt:variant>
        <vt:lpwstr>http://www.nevo.co.il/case/20705570</vt:lpwstr>
      </vt:variant>
      <vt:variant>
        <vt:lpwstr/>
      </vt:variant>
      <vt:variant>
        <vt:i4>3211388</vt:i4>
      </vt:variant>
      <vt:variant>
        <vt:i4>39</vt:i4>
      </vt:variant>
      <vt:variant>
        <vt:i4>0</vt:i4>
      </vt:variant>
      <vt:variant>
        <vt:i4>5</vt:i4>
      </vt:variant>
      <vt:variant>
        <vt:lpwstr>http://www.nevo.co.il/case/28190928</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3604593</vt:i4>
      </vt:variant>
      <vt:variant>
        <vt:i4>33</vt:i4>
      </vt:variant>
      <vt:variant>
        <vt:i4>0</vt:i4>
      </vt:variant>
      <vt:variant>
        <vt:i4>5</vt:i4>
      </vt:variant>
      <vt:variant>
        <vt:lpwstr>http://www.nevo.co.il/case/25439387</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65603</vt:i4>
      </vt:variant>
      <vt:variant>
        <vt:i4>21</vt:i4>
      </vt:variant>
      <vt:variant>
        <vt:i4>0</vt:i4>
      </vt:variant>
      <vt:variant>
        <vt:i4>5</vt:i4>
      </vt:variant>
      <vt:variant>
        <vt:lpwstr>http://www.nevo.co.il/law/70301/85.a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2023-12-25T08:05:00Z</cp:lastPrinted>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20161</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אושר לובטון</vt:lpwstr>
  </property>
  <property fmtid="{D5CDD505-2E9C-101B-9397-08002B2CF9AE}" pid="10" name="LAWYER">
    <vt:lpwstr>שי חיון;נדב בן עמי;זאב אלוני</vt:lpwstr>
  </property>
  <property fmtid="{D5CDD505-2E9C-101B-9397-08002B2CF9AE}" pid="11" name="JUDGE">
    <vt:lpwstr>ענת יהב</vt:lpwstr>
  </property>
  <property fmtid="{D5CDD505-2E9C-101B-9397-08002B2CF9AE}" pid="12" name="CITY">
    <vt:lpwstr>ת"א</vt:lpwstr>
  </property>
  <property fmtid="{D5CDD505-2E9C-101B-9397-08002B2CF9AE}" pid="13" name="TYPE_N_DATE">
    <vt:lpwstr>38020231225</vt:lpwstr>
  </property>
  <property fmtid="{D5CDD505-2E9C-101B-9397-08002B2CF9AE}" pid="14" name="WORDNUMPAGES">
    <vt:lpwstr>8</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20231225</vt:lpwstr>
  </property>
  <property fmtid="{D5CDD505-2E9C-101B-9397-08002B2CF9AE}" pid="34" name="TYPE_ABS_DATE">
    <vt:lpwstr>380020231225</vt:lpwstr>
  </property>
  <property fmtid="{D5CDD505-2E9C-101B-9397-08002B2CF9AE}" pid="35" name="CASESLISTTMP1">
    <vt:lpwstr>25439387;13093721;28190928;20705570;21305839;17995021;28278661;20402486;16922781;28092391;28280788;5962012;22543670</vt:lpwstr>
  </property>
  <property fmtid="{D5CDD505-2E9C-101B-9397-08002B2CF9AE}" pid="36" name="LAWLISTTMP1">
    <vt:lpwstr>4216/006;007.a;007.c</vt:lpwstr>
  </property>
  <property fmtid="{D5CDD505-2E9C-101B-9397-08002B2CF9AE}" pid="37" name="LAWLISTTMP2">
    <vt:lpwstr>70301/040d.a;056:2;085.a</vt:lpwstr>
  </property>
</Properties>
</file>