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7E339F" w:rsidRPr="009D7E14" w14:paraId="06626808" w14:textId="77777777" w:rsidTr="001B6BEF">
        <w:trPr>
          <w:gridAfter w:val="1"/>
          <w:wAfter w:w="99" w:type="dxa"/>
          <w:trHeight w:hRule="exact" w:val="418"/>
          <w:jc w:val="center"/>
        </w:trPr>
        <w:tc>
          <w:tcPr>
            <w:tcW w:w="8721" w:type="dxa"/>
            <w:gridSpan w:val="4"/>
          </w:tcPr>
          <w:p w14:paraId="45952969" w14:textId="77777777" w:rsidR="007E339F" w:rsidRPr="009D7E14" w:rsidRDefault="007E339F" w:rsidP="00F71FCD">
            <w:pPr>
              <w:pStyle w:val="a3"/>
              <w:jc w:val="center"/>
              <w:rPr>
                <w:rFonts w:ascii="Tahoma" w:hAnsi="Tahoma" w:cs="Tahoma"/>
                <w:color w:val="000080"/>
                <w:rtl/>
              </w:rPr>
            </w:pPr>
            <w:bookmarkStart w:id="0" w:name="LastJudge"/>
            <w:r w:rsidRPr="009D7E14">
              <w:rPr>
                <w:rFonts w:ascii="Tahoma" w:hAnsi="Tahoma" w:cs="Tahoma"/>
                <w:b/>
                <w:bCs/>
                <w:color w:val="000080"/>
                <w:rtl/>
              </w:rPr>
              <w:t>בית משפט השלום בירושלים</w:t>
            </w:r>
          </w:p>
        </w:tc>
      </w:tr>
      <w:tr w:rsidR="007E339F" w:rsidRPr="009D7E14" w14:paraId="66C14213" w14:textId="77777777" w:rsidTr="001B6BEF">
        <w:trPr>
          <w:gridAfter w:val="1"/>
          <w:wAfter w:w="99" w:type="dxa"/>
          <w:trHeight w:val="337"/>
          <w:jc w:val="center"/>
        </w:trPr>
        <w:tc>
          <w:tcPr>
            <w:tcW w:w="5054" w:type="dxa"/>
            <w:gridSpan w:val="3"/>
          </w:tcPr>
          <w:p w14:paraId="083DA7F1" w14:textId="77777777" w:rsidR="007E339F" w:rsidRPr="009D7E14" w:rsidRDefault="007E339F" w:rsidP="00F71FCD">
            <w:pPr>
              <w:rPr>
                <w:rFonts w:ascii="David" w:hAnsi="David"/>
                <w:b/>
                <w:bCs/>
                <w:sz w:val="26"/>
                <w:szCs w:val="26"/>
                <w:rtl/>
              </w:rPr>
            </w:pPr>
            <w:r w:rsidRPr="009D7E14">
              <w:rPr>
                <w:rFonts w:ascii="David" w:hAnsi="David"/>
                <w:b/>
                <w:bCs/>
                <w:sz w:val="26"/>
                <w:szCs w:val="26"/>
                <w:rtl/>
              </w:rPr>
              <w:t>ת"פ 21547-12-21 מדינת ישראל נ' יושיע</w:t>
            </w:r>
            <w:r w:rsidRPr="009D7E14">
              <w:rPr>
                <w:rFonts w:ascii="David" w:hAnsi="David"/>
                <w:b/>
                <w:bCs/>
                <w:sz w:val="26"/>
                <w:szCs w:val="26"/>
                <w:rtl/>
              </w:rPr>
              <w:br/>
              <w:t>ת"פ 60606-05-21</w:t>
            </w:r>
            <w:r w:rsidRPr="009D7E14">
              <w:rPr>
                <w:rFonts w:ascii="David" w:hAnsi="David"/>
                <w:b/>
                <w:bCs/>
                <w:sz w:val="26"/>
                <w:szCs w:val="26"/>
                <w:rtl/>
              </w:rPr>
              <w:br/>
              <w:t>ת"פ 67813-12-21</w:t>
            </w:r>
          </w:p>
          <w:p w14:paraId="40608265" w14:textId="77777777" w:rsidR="007E339F" w:rsidRPr="009D7E14" w:rsidRDefault="007E339F" w:rsidP="00F71FCD">
            <w:pPr>
              <w:pStyle w:val="a3"/>
              <w:rPr>
                <w:rFonts w:cs="FrankRuehl"/>
                <w:sz w:val="28"/>
                <w:szCs w:val="28"/>
                <w:rtl/>
              </w:rPr>
            </w:pPr>
          </w:p>
        </w:tc>
        <w:tc>
          <w:tcPr>
            <w:tcW w:w="3667" w:type="dxa"/>
          </w:tcPr>
          <w:p w14:paraId="51773F39" w14:textId="77777777" w:rsidR="007E339F" w:rsidRPr="009D7E14" w:rsidRDefault="007E339F" w:rsidP="00F71FCD">
            <w:pPr>
              <w:pStyle w:val="a3"/>
              <w:jc w:val="right"/>
              <w:rPr>
                <w:rFonts w:cs="FrankRuehl"/>
                <w:sz w:val="28"/>
                <w:szCs w:val="28"/>
                <w:rtl/>
              </w:rPr>
            </w:pPr>
          </w:p>
        </w:tc>
      </w:tr>
      <w:tr w:rsidR="007E339F" w:rsidRPr="009D7E14" w14:paraId="76D4ED97" w14:textId="77777777" w:rsidTr="001B6B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F10C0F9" w14:textId="77777777" w:rsidR="007E339F" w:rsidRPr="009D7E14" w:rsidRDefault="007E339F" w:rsidP="007E339F">
            <w:pPr>
              <w:spacing w:line="360" w:lineRule="auto"/>
              <w:jc w:val="both"/>
              <w:rPr>
                <w:rFonts w:ascii="David" w:hAnsi="David"/>
                <w:b/>
                <w:bCs/>
                <w:sz w:val="26"/>
                <w:szCs w:val="26"/>
              </w:rPr>
            </w:pPr>
            <w:r w:rsidRPr="009D7E14">
              <w:rPr>
                <w:rFonts w:hint="cs"/>
                <w:rtl/>
              </w:rPr>
              <w:t xml:space="preserve"> </w:t>
            </w:r>
            <w:r w:rsidRPr="009D7E14">
              <w:rPr>
                <w:rFonts w:ascii="David" w:hAnsi="David" w:hint="cs"/>
                <w:b/>
                <w:bCs/>
                <w:sz w:val="26"/>
                <w:szCs w:val="26"/>
                <w:rtl/>
              </w:rPr>
              <w:t>ל</w:t>
            </w:r>
            <w:r w:rsidRPr="009D7E14">
              <w:rPr>
                <w:rFonts w:ascii="David" w:hAnsi="David"/>
                <w:b/>
                <w:bCs/>
                <w:sz w:val="26"/>
                <w:szCs w:val="26"/>
                <w:rtl/>
              </w:rPr>
              <w:t xml:space="preserve">פני </w:t>
            </w:r>
          </w:p>
        </w:tc>
        <w:tc>
          <w:tcPr>
            <w:tcW w:w="7897" w:type="dxa"/>
            <w:gridSpan w:val="4"/>
            <w:tcBorders>
              <w:top w:val="nil"/>
              <w:left w:val="nil"/>
              <w:bottom w:val="nil"/>
              <w:right w:val="nil"/>
            </w:tcBorders>
            <w:shd w:val="clear" w:color="auto" w:fill="auto"/>
          </w:tcPr>
          <w:p w14:paraId="60C7E3C7" w14:textId="77777777" w:rsidR="007E339F" w:rsidRPr="009D7E14" w:rsidRDefault="007E339F" w:rsidP="007E339F">
            <w:pPr>
              <w:spacing w:line="360" w:lineRule="auto"/>
              <w:rPr>
                <w:rFonts w:ascii="David" w:hAnsi="David"/>
                <w:b/>
                <w:bCs/>
                <w:sz w:val="26"/>
                <w:szCs w:val="26"/>
                <w:rtl/>
              </w:rPr>
            </w:pPr>
            <w:r w:rsidRPr="009D7E14">
              <w:rPr>
                <w:rFonts w:ascii="David" w:hAnsi="David"/>
                <w:b/>
                <w:bCs/>
                <w:sz w:val="26"/>
                <w:szCs w:val="26"/>
                <w:rtl/>
              </w:rPr>
              <w:t>כבוד השופט  דוד שאול גבאי ריכטר</w:t>
            </w:r>
          </w:p>
          <w:p w14:paraId="6F7A2288" w14:textId="77777777" w:rsidR="007E339F" w:rsidRPr="009D7E14" w:rsidRDefault="007E339F" w:rsidP="007E339F">
            <w:pPr>
              <w:spacing w:line="360" w:lineRule="auto"/>
              <w:rPr>
                <w:rFonts w:ascii="David" w:hAnsi="David"/>
                <w:b/>
                <w:bCs/>
                <w:sz w:val="26"/>
                <w:szCs w:val="26"/>
                <w:rtl/>
              </w:rPr>
            </w:pPr>
          </w:p>
          <w:p w14:paraId="3B8BA20F" w14:textId="77777777" w:rsidR="007E339F" w:rsidRPr="009D7E14" w:rsidRDefault="007E339F" w:rsidP="007E339F">
            <w:pPr>
              <w:spacing w:line="360" w:lineRule="auto"/>
              <w:jc w:val="both"/>
              <w:rPr>
                <w:rFonts w:ascii="David" w:hAnsi="David"/>
                <w:b/>
                <w:bCs/>
                <w:sz w:val="26"/>
                <w:szCs w:val="26"/>
              </w:rPr>
            </w:pPr>
          </w:p>
        </w:tc>
      </w:tr>
      <w:tr w:rsidR="007E339F" w:rsidRPr="009D7E14" w14:paraId="1C905D83" w14:textId="77777777" w:rsidTr="001B6B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1ABB962" w14:textId="77777777" w:rsidR="007E339F" w:rsidRPr="009D7E14" w:rsidRDefault="007E339F" w:rsidP="007E339F">
            <w:pPr>
              <w:spacing w:line="360" w:lineRule="auto"/>
              <w:jc w:val="both"/>
              <w:rPr>
                <w:rFonts w:ascii="David" w:hAnsi="David"/>
                <w:b/>
                <w:bCs/>
                <w:sz w:val="26"/>
                <w:szCs w:val="26"/>
              </w:rPr>
            </w:pPr>
            <w:bookmarkStart w:id="1" w:name="FirstAppellant"/>
            <w:bookmarkStart w:id="2" w:name="FirstLawyer"/>
            <w:r w:rsidRPr="009D7E14">
              <w:rPr>
                <w:rFonts w:ascii="David" w:hAnsi="David"/>
                <w:b/>
                <w:bCs/>
                <w:sz w:val="26"/>
                <w:szCs w:val="26"/>
                <w:rtl/>
              </w:rPr>
              <w:t>בעניין:</w:t>
            </w:r>
          </w:p>
        </w:tc>
        <w:tc>
          <w:tcPr>
            <w:tcW w:w="3219" w:type="dxa"/>
            <w:tcBorders>
              <w:top w:val="nil"/>
              <w:left w:val="nil"/>
              <w:bottom w:val="nil"/>
              <w:right w:val="nil"/>
            </w:tcBorders>
            <w:shd w:val="clear" w:color="auto" w:fill="auto"/>
          </w:tcPr>
          <w:p w14:paraId="13F3C470" w14:textId="77777777" w:rsidR="007E339F" w:rsidRPr="009D7E14" w:rsidRDefault="007E339F" w:rsidP="007E339F">
            <w:pPr>
              <w:suppressLineNumbers/>
              <w:spacing w:line="360" w:lineRule="auto"/>
              <w:rPr>
                <w:b/>
                <w:bCs/>
                <w:sz w:val="26"/>
                <w:szCs w:val="26"/>
              </w:rPr>
            </w:pPr>
            <w:r w:rsidRPr="009D7E14">
              <w:rPr>
                <w:rFonts w:ascii="Arial" w:hAnsi="Arial" w:hint="cs"/>
                <w:b/>
                <w:bCs/>
                <w:sz w:val="26"/>
                <w:szCs w:val="26"/>
                <w:rtl/>
              </w:rPr>
              <w:t>ה</w:t>
            </w:r>
            <w:r w:rsidRPr="009D7E14">
              <w:rPr>
                <w:rFonts w:ascii="Arial" w:hAnsi="Arial"/>
                <w:b/>
                <w:bCs/>
                <w:sz w:val="26"/>
                <w:szCs w:val="26"/>
                <w:rtl/>
              </w:rPr>
              <w:t>מאשימה</w:t>
            </w:r>
          </w:p>
          <w:p w14:paraId="09C3BC61" w14:textId="77777777" w:rsidR="007E339F" w:rsidRPr="009D7E14" w:rsidRDefault="007E339F" w:rsidP="007E339F">
            <w:pPr>
              <w:spacing w:line="360" w:lineRule="auto"/>
              <w:rPr>
                <w:rFonts w:ascii="David" w:hAnsi="David"/>
                <w:b/>
                <w:bCs/>
                <w:sz w:val="26"/>
                <w:szCs w:val="26"/>
              </w:rPr>
            </w:pPr>
          </w:p>
        </w:tc>
        <w:tc>
          <w:tcPr>
            <w:tcW w:w="4678" w:type="dxa"/>
            <w:gridSpan w:val="3"/>
            <w:tcBorders>
              <w:top w:val="nil"/>
              <w:left w:val="nil"/>
              <w:bottom w:val="nil"/>
              <w:right w:val="nil"/>
            </w:tcBorders>
            <w:shd w:val="clear" w:color="auto" w:fill="auto"/>
            <w:vAlign w:val="center"/>
          </w:tcPr>
          <w:p w14:paraId="351E97DA" w14:textId="77777777" w:rsidR="007E339F" w:rsidRPr="009D7E14" w:rsidRDefault="007E339F" w:rsidP="007E339F">
            <w:pPr>
              <w:suppressLineNumbers/>
              <w:spacing w:line="360" w:lineRule="auto"/>
              <w:rPr>
                <w:rFonts w:ascii="Arial" w:hAnsi="Arial"/>
                <w:b/>
                <w:bCs/>
                <w:sz w:val="26"/>
                <w:szCs w:val="26"/>
                <w:rtl/>
              </w:rPr>
            </w:pPr>
            <w:r w:rsidRPr="009D7E14">
              <w:rPr>
                <w:rFonts w:ascii="Arial" w:hAnsi="Arial"/>
                <w:b/>
                <w:bCs/>
                <w:sz w:val="26"/>
                <w:szCs w:val="26"/>
                <w:rtl/>
              </w:rPr>
              <w:t>מדינת ישראל</w:t>
            </w:r>
            <w:r w:rsidRPr="009D7E14">
              <w:rPr>
                <w:rFonts w:ascii="Arial" w:hAnsi="Arial" w:hint="cs"/>
                <w:b/>
                <w:bCs/>
                <w:sz w:val="26"/>
                <w:szCs w:val="26"/>
                <w:rtl/>
              </w:rPr>
              <w:t xml:space="preserve"> </w:t>
            </w:r>
          </w:p>
          <w:p w14:paraId="71B44C07" w14:textId="77777777" w:rsidR="007E339F" w:rsidRPr="009D7E14" w:rsidRDefault="007E339F" w:rsidP="007E339F">
            <w:pPr>
              <w:suppressLineNumbers/>
              <w:spacing w:line="360" w:lineRule="auto"/>
              <w:rPr>
                <w:rFonts w:ascii="Arial" w:hAnsi="Arial"/>
                <w:b/>
                <w:bCs/>
                <w:sz w:val="26"/>
                <w:szCs w:val="26"/>
                <w:rtl/>
              </w:rPr>
            </w:pPr>
            <w:r w:rsidRPr="009D7E14">
              <w:rPr>
                <w:rFonts w:ascii="Arial" w:hAnsi="Arial"/>
                <w:b/>
                <w:bCs/>
                <w:sz w:val="26"/>
                <w:szCs w:val="26"/>
                <w:rtl/>
              </w:rPr>
              <w:t xml:space="preserve">ע"י ב"כ </w:t>
            </w:r>
            <w:r w:rsidRPr="009D7E14">
              <w:rPr>
                <w:rFonts w:ascii="Arial" w:hAnsi="Arial" w:hint="cs"/>
                <w:b/>
                <w:bCs/>
                <w:sz w:val="26"/>
                <w:szCs w:val="26"/>
                <w:rtl/>
              </w:rPr>
              <w:t>פנחס סרי לוי, מתמחה</w:t>
            </w:r>
          </w:p>
          <w:p w14:paraId="2CD58D79" w14:textId="77777777" w:rsidR="007E339F" w:rsidRPr="009D7E14" w:rsidRDefault="007E339F" w:rsidP="007E339F">
            <w:pPr>
              <w:suppressLineNumbers/>
              <w:spacing w:line="360" w:lineRule="auto"/>
              <w:rPr>
                <w:b/>
                <w:bCs/>
                <w:sz w:val="26"/>
                <w:szCs w:val="26"/>
              </w:rPr>
            </w:pPr>
            <w:r w:rsidRPr="009D7E14">
              <w:rPr>
                <w:rFonts w:hint="cs"/>
                <w:b/>
                <w:bCs/>
                <w:sz w:val="26"/>
                <w:szCs w:val="26"/>
                <w:rtl/>
              </w:rPr>
              <w:t>מתביעות ירושלים</w:t>
            </w:r>
          </w:p>
          <w:p w14:paraId="17A12836" w14:textId="77777777" w:rsidR="007E339F" w:rsidRPr="009D7E14" w:rsidRDefault="007E339F" w:rsidP="007E339F">
            <w:pPr>
              <w:spacing w:line="360" w:lineRule="auto"/>
              <w:rPr>
                <w:rFonts w:ascii="David" w:hAnsi="David"/>
                <w:b/>
                <w:bCs/>
                <w:sz w:val="26"/>
                <w:szCs w:val="26"/>
              </w:rPr>
            </w:pPr>
          </w:p>
        </w:tc>
      </w:tr>
      <w:bookmarkEnd w:id="1"/>
      <w:bookmarkEnd w:id="2"/>
      <w:tr w:rsidR="007E339F" w:rsidRPr="009D7E14" w14:paraId="2DD4D638" w14:textId="77777777" w:rsidTr="001B6B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9601F69" w14:textId="77777777" w:rsidR="007E339F" w:rsidRPr="009D7E14" w:rsidRDefault="007E339F" w:rsidP="007E339F">
            <w:pPr>
              <w:spacing w:line="360" w:lineRule="auto"/>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27A20186" w14:textId="77777777" w:rsidR="007E339F" w:rsidRPr="009D7E14" w:rsidRDefault="007E339F" w:rsidP="007E339F">
            <w:pPr>
              <w:spacing w:line="360" w:lineRule="auto"/>
              <w:jc w:val="center"/>
              <w:rPr>
                <w:rFonts w:ascii="David" w:hAnsi="David"/>
                <w:b/>
                <w:bCs/>
                <w:sz w:val="26"/>
                <w:szCs w:val="26"/>
                <w:rtl/>
              </w:rPr>
            </w:pPr>
          </w:p>
          <w:p w14:paraId="0D212742" w14:textId="77777777" w:rsidR="007E339F" w:rsidRPr="009D7E14" w:rsidRDefault="007E339F" w:rsidP="007E339F">
            <w:pPr>
              <w:spacing w:line="360" w:lineRule="auto"/>
              <w:jc w:val="center"/>
              <w:rPr>
                <w:rFonts w:ascii="David" w:hAnsi="David"/>
                <w:b/>
                <w:bCs/>
                <w:sz w:val="26"/>
                <w:szCs w:val="26"/>
                <w:rtl/>
              </w:rPr>
            </w:pPr>
            <w:r w:rsidRPr="009D7E14">
              <w:rPr>
                <w:rFonts w:ascii="David" w:hAnsi="David"/>
                <w:b/>
                <w:bCs/>
                <w:sz w:val="26"/>
                <w:szCs w:val="26"/>
                <w:rtl/>
              </w:rPr>
              <w:t>נגד</w:t>
            </w:r>
          </w:p>
          <w:p w14:paraId="4BEBBD95" w14:textId="77777777" w:rsidR="007E339F" w:rsidRPr="009D7E14" w:rsidRDefault="007E339F" w:rsidP="007E339F">
            <w:pPr>
              <w:spacing w:line="360" w:lineRule="auto"/>
              <w:jc w:val="both"/>
              <w:rPr>
                <w:rFonts w:ascii="David" w:hAnsi="David"/>
                <w:b/>
                <w:bCs/>
                <w:sz w:val="26"/>
                <w:szCs w:val="26"/>
              </w:rPr>
            </w:pPr>
          </w:p>
        </w:tc>
      </w:tr>
      <w:tr w:rsidR="007E339F" w:rsidRPr="009D7E14" w14:paraId="101F9686" w14:textId="77777777" w:rsidTr="001B6B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92AFB0F" w14:textId="77777777" w:rsidR="007E339F" w:rsidRPr="009D7E14" w:rsidRDefault="007E339F" w:rsidP="007E339F">
            <w:pPr>
              <w:spacing w:line="360" w:lineRule="auto"/>
              <w:rPr>
                <w:rFonts w:ascii="David" w:hAnsi="David"/>
                <w:b/>
                <w:bCs/>
                <w:sz w:val="26"/>
                <w:szCs w:val="26"/>
                <w:rtl/>
              </w:rPr>
            </w:pPr>
          </w:p>
        </w:tc>
        <w:tc>
          <w:tcPr>
            <w:tcW w:w="3219" w:type="dxa"/>
            <w:tcBorders>
              <w:top w:val="nil"/>
              <w:left w:val="nil"/>
              <w:bottom w:val="nil"/>
              <w:right w:val="nil"/>
            </w:tcBorders>
            <w:shd w:val="clear" w:color="auto" w:fill="auto"/>
          </w:tcPr>
          <w:p w14:paraId="60EE4AAF" w14:textId="77777777" w:rsidR="007E339F" w:rsidRPr="009D7E14" w:rsidRDefault="007E339F" w:rsidP="007E339F">
            <w:pPr>
              <w:spacing w:line="360" w:lineRule="auto"/>
              <w:rPr>
                <w:rFonts w:ascii="Arial" w:hAnsi="Arial"/>
                <w:b/>
                <w:bCs/>
                <w:sz w:val="26"/>
                <w:szCs w:val="26"/>
                <w:rtl/>
              </w:rPr>
            </w:pPr>
            <w:r w:rsidRPr="009D7E14">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30B40C6B" w14:textId="77777777" w:rsidR="007E339F" w:rsidRPr="009D7E14" w:rsidRDefault="007E339F" w:rsidP="007E339F">
            <w:pPr>
              <w:suppressLineNumbers/>
              <w:spacing w:line="360" w:lineRule="auto"/>
              <w:rPr>
                <w:rFonts w:ascii="Arial" w:hAnsi="Arial"/>
                <w:b/>
                <w:bCs/>
                <w:sz w:val="26"/>
                <w:szCs w:val="26"/>
                <w:rtl/>
              </w:rPr>
            </w:pPr>
            <w:r w:rsidRPr="009D7E14">
              <w:rPr>
                <w:rFonts w:ascii="Arial" w:hAnsi="Arial"/>
                <w:b/>
                <w:bCs/>
                <w:sz w:val="26"/>
                <w:szCs w:val="26"/>
                <w:rtl/>
              </w:rPr>
              <w:t>זיו יושיע</w:t>
            </w:r>
            <w:r w:rsidRPr="009D7E14">
              <w:rPr>
                <w:rFonts w:ascii="Arial" w:hAnsi="Arial" w:hint="cs"/>
                <w:b/>
                <w:bCs/>
                <w:sz w:val="26"/>
                <w:szCs w:val="26"/>
                <w:rtl/>
              </w:rPr>
              <w:t xml:space="preserve"> </w:t>
            </w:r>
          </w:p>
          <w:p w14:paraId="064D2D7B" w14:textId="77777777" w:rsidR="007E339F" w:rsidRPr="009D7E14" w:rsidRDefault="007E339F" w:rsidP="007E339F">
            <w:pPr>
              <w:suppressLineNumbers/>
              <w:spacing w:line="360" w:lineRule="auto"/>
              <w:rPr>
                <w:b/>
                <w:bCs/>
                <w:sz w:val="26"/>
                <w:szCs w:val="26"/>
                <w:rtl/>
              </w:rPr>
            </w:pPr>
            <w:r w:rsidRPr="009D7E14">
              <w:rPr>
                <w:rFonts w:ascii="Arial" w:hAnsi="Arial"/>
                <w:b/>
                <w:bCs/>
                <w:sz w:val="26"/>
                <w:szCs w:val="26"/>
                <w:rtl/>
              </w:rPr>
              <w:t>ע"י ב"כ עוה"ד</w:t>
            </w:r>
            <w:r w:rsidRPr="009D7E14">
              <w:rPr>
                <w:rFonts w:hint="cs"/>
                <w:b/>
                <w:bCs/>
                <w:sz w:val="26"/>
                <w:szCs w:val="26"/>
                <w:rtl/>
              </w:rPr>
              <w:t xml:space="preserve"> גבי טרונשווילי</w:t>
            </w:r>
          </w:p>
          <w:p w14:paraId="59D67B88" w14:textId="77777777" w:rsidR="007E339F" w:rsidRPr="009D7E14" w:rsidRDefault="007E339F" w:rsidP="007E339F">
            <w:pPr>
              <w:suppressLineNumbers/>
              <w:spacing w:line="360" w:lineRule="auto"/>
              <w:rPr>
                <w:b/>
                <w:bCs/>
                <w:sz w:val="26"/>
                <w:szCs w:val="26"/>
              </w:rPr>
            </w:pPr>
            <w:r w:rsidRPr="009D7E14">
              <w:rPr>
                <w:rFonts w:hint="cs"/>
                <w:b/>
                <w:bCs/>
                <w:sz w:val="26"/>
                <w:szCs w:val="26"/>
                <w:rtl/>
              </w:rPr>
              <w:t>מטעם הסניגוריה הציבורית</w:t>
            </w:r>
          </w:p>
          <w:p w14:paraId="144E04EC" w14:textId="77777777" w:rsidR="007E339F" w:rsidRPr="009D7E14" w:rsidRDefault="007E339F" w:rsidP="007E339F">
            <w:pPr>
              <w:spacing w:line="360" w:lineRule="auto"/>
              <w:rPr>
                <w:rFonts w:ascii="David" w:hAnsi="David"/>
                <w:b/>
                <w:bCs/>
                <w:sz w:val="26"/>
                <w:szCs w:val="26"/>
              </w:rPr>
            </w:pPr>
          </w:p>
        </w:tc>
      </w:tr>
    </w:tbl>
    <w:p w14:paraId="26DE3C6B" w14:textId="77777777" w:rsidR="009D7E14" w:rsidRPr="009D7E14" w:rsidRDefault="009D7E14" w:rsidP="009D7E14">
      <w:pPr>
        <w:spacing w:before="120" w:after="120" w:line="240" w:lineRule="exact"/>
        <w:ind w:left="283" w:hanging="283"/>
        <w:jc w:val="both"/>
        <w:rPr>
          <w:rFonts w:ascii="FrankRuehl" w:hAnsi="FrankRuehl" w:cs="FrankRuehl"/>
          <w:rtl/>
        </w:rPr>
      </w:pPr>
    </w:p>
    <w:p w14:paraId="36C08F04" w14:textId="77777777" w:rsidR="009D7E14" w:rsidRPr="009D7E14" w:rsidRDefault="009D7E14" w:rsidP="009D7E14">
      <w:pPr>
        <w:rPr>
          <w:sz w:val="26"/>
          <w:szCs w:val="26"/>
          <w:rtl/>
        </w:rPr>
      </w:pPr>
    </w:p>
    <w:p w14:paraId="143B647F" w14:textId="77777777" w:rsidR="001B6BEF" w:rsidRPr="001B6BEF" w:rsidRDefault="001B6BEF" w:rsidP="001B6BEF">
      <w:pPr>
        <w:spacing w:before="120" w:after="120" w:line="240" w:lineRule="exact"/>
        <w:ind w:left="283" w:hanging="283"/>
        <w:jc w:val="both"/>
        <w:rPr>
          <w:rFonts w:ascii="FrankRuehl" w:hAnsi="FrankRuehl" w:cs="FrankRuehl"/>
          <w:rtl/>
        </w:rPr>
      </w:pPr>
    </w:p>
    <w:p w14:paraId="458B2006" w14:textId="77777777" w:rsidR="001C2561" w:rsidRPr="001C2561" w:rsidRDefault="001C2561" w:rsidP="001C2561">
      <w:pPr>
        <w:spacing w:before="120" w:after="120" w:line="240" w:lineRule="exact"/>
        <w:ind w:left="283" w:hanging="283"/>
        <w:jc w:val="both"/>
        <w:rPr>
          <w:rFonts w:ascii="FrankRuehl" w:hAnsi="FrankRuehl" w:cs="FrankRuehl"/>
          <w:rtl/>
        </w:rPr>
      </w:pPr>
    </w:p>
    <w:p w14:paraId="05584F63" w14:textId="77777777" w:rsidR="0099559B" w:rsidRDefault="0099559B" w:rsidP="0099559B">
      <w:pPr>
        <w:rPr>
          <w:sz w:val="26"/>
          <w:szCs w:val="26"/>
          <w:rtl/>
        </w:rPr>
      </w:pPr>
      <w:bookmarkStart w:id="3" w:name="LawTable"/>
      <w:bookmarkEnd w:id="3"/>
    </w:p>
    <w:p w14:paraId="27EA4E33" w14:textId="77777777" w:rsidR="0099559B" w:rsidRPr="0099559B" w:rsidRDefault="0099559B" w:rsidP="0099559B">
      <w:pPr>
        <w:spacing w:before="120" w:after="120" w:line="240" w:lineRule="exact"/>
        <w:ind w:left="283" w:hanging="283"/>
        <w:jc w:val="both"/>
        <w:rPr>
          <w:rFonts w:ascii="FrankRuehl" w:hAnsi="FrankRuehl" w:cs="FrankRuehl"/>
          <w:rtl/>
        </w:rPr>
      </w:pPr>
    </w:p>
    <w:p w14:paraId="62C6CE12" w14:textId="77777777" w:rsidR="0099559B" w:rsidRPr="0099559B" w:rsidRDefault="0099559B" w:rsidP="0099559B">
      <w:pPr>
        <w:spacing w:before="120" w:after="120" w:line="240" w:lineRule="exact"/>
        <w:ind w:left="283" w:hanging="283"/>
        <w:jc w:val="both"/>
        <w:rPr>
          <w:rFonts w:ascii="FrankRuehl" w:hAnsi="FrankRuehl" w:cs="FrankRuehl"/>
          <w:rtl/>
        </w:rPr>
      </w:pPr>
    </w:p>
    <w:p w14:paraId="7FDC76AE" w14:textId="77777777" w:rsidR="0099559B" w:rsidRPr="0099559B" w:rsidRDefault="0099559B" w:rsidP="0099559B">
      <w:pPr>
        <w:spacing w:before="120" w:after="120" w:line="240" w:lineRule="exact"/>
        <w:ind w:left="283" w:hanging="283"/>
        <w:jc w:val="both"/>
        <w:rPr>
          <w:rFonts w:ascii="FrankRuehl" w:hAnsi="FrankRuehl" w:cs="FrankRuehl"/>
          <w:rtl/>
        </w:rPr>
      </w:pPr>
      <w:r w:rsidRPr="0099559B">
        <w:rPr>
          <w:rFonts w:ascii="FrankRuehl" w:hAnsi="FrankRuehl" w:cs="FrankRuehl"/>
          <w:rtl/>
        </w:rPr>
        <w:t xml:space="preserve">חקיקה שאוזכרה: </w:t>
      </w:r>
    </w:p>
    <w:p w14:paraId="47C1F1DD" w14:textId="77777777" w:rsidR="0099559B" w:rsidRPr="0099559B" w:rsidRDefault="0099559B" w:rsidP="0099559B">
      <w:pPr>
        <w:spacing w:before="120" w:after="120" w:line="240" w:lineRule="exact"/>
        <w:ind w:left="283" w:hanging="283"/>
        <w:jc w:val="both"/>
        <w:rPr>
          <w:rFonts w:ascii="FrankRuehl" w:hAnsi="FrankRuehl" w:cs="FrankRuehl"/>
          <w:rtl/>
        </w:rPr>
      </w:pPr>
      <w:hyperlink r:id="rId7" w:history="1">
        <w:r w:rsidRPr="0099559B">
          <w:rPr>
            <w:rFonts w:ascii="FrankRuehl" w:hAnsi="FrankRuehl" w:cs="FrankRuehl"/>
            <w:color w:val="0000FF"/>
            <w:rtl/>
          </w:rPr>
          <w:t>פקודת הסמים המסוכנים [נוסח חדש], תשל"ג-1973</w:t>
        </w:r>
      </w:hyperlink>
      <w:r w:rsidRPr="0099559B">
        <w:rPr>
          <w:rFonts w:ascii="FrankRuehl" w:hAnsi="FrankRuehl" w:cs="FrankRuehl"/>
          <w:rtl/>
        </w:rPr>
        <w:t xml:space="preserve">: סע'  </w:t>
      </w:r>
      <w:hyperlink r:id="rId8" w:history="1">
        <w:r w:rsidRPr="0099559B">
          <w:rPr>
            <w:rFonts w:ascii="FrankRuehl" w:hAnsi="FrankRuehl" w:cs="FrankRuehl"/>
            <w:color w:val="0000FF"/>
            <w:rtl/>
          </w:rPr>
          <w:t>7(א)(ג)</w:t>
        </w:r>
      </w:hyperlink>
    </w:p>
    <w:p w14:paraId="7668807A" w14:textId="77777777" w:rsidR="0099559B" w:rsidRPr="0099559B" w:rsidRDefault="0099559B" w:rsidP="0099559B">
      <w:pPr>
        <w:spacing w:before="120" w:after="120" w:line="240" w:lineRule="exact"/>
        <w:ind w:left="283" w:hanging="283"/>
        <w:jc w:val="both"/>
        <w:rPr>
          <w:rFonts w:ascii="FrankRuehl" w:hAnsi="FrankRuehl" w:cs="FrankRuehl"/>
          <w:rtl/>
        </w:rPr>
      </w:pPr>
      <w:hyperlink r:id="rId9" w:history="1">
        <w:r w:rsidRPr="0099559B">
          <w:rPr>
            <w:rFonts w:ascii="FrankRuehl" w:hAnsi="FrankRuehl" w:cs="FrankRuehl"/>
            <w:color w:val="0000FF"/>
            <w:rtl/>
          </w:rPr>
          <w:t>חוק העונשין, תשל"ז-1977</w:t>
        </w:r>
      </w:hyperlink>
      <w:r w:rsidRPr="0099559B">
        <w:rPr>
          <w:rFonts w:ascii="FrankRuehl" w:hAnsi="FrankRuehl" w:cs="FrankRuehl"/>
          <w:rtl/>
        </w:rPr>
        <w:t xml:space="preserve">: סע'  </w:t>
      </w:r>
      <w:hyperlink r:id="rId10" w:history="1">
        <w:r w:rsidRPr="0099559B">
          <w:rPr>
            <w:rFonts w:ascii="FrankRuehl" w:hAnsi="FrankRuehl" w:cs="FrankRuehl"/>
            <w:color w:val="0000FF"/>
            <w:rtl/>
          </w:rPr>
          <w:t>192</w:t>
        </w:r>
      </w:hyperlink>
      <w:r w:rsidRPr="0099559B">
        <w:rPr>
          <w:rFonts w:ascii="FrankRuehl" w:hAnsi="FrankRuehl" w:cs="FrankRuehl"/>
          <w:rtl/>
        </w:rPr>
        <w:t xml:space="preserve">, </w:t>
      </w:r>
      <w:hyperlink r:id="rId11" w:history="1">
        <w:r w:rsidRPr="0099559B">
          <w:rPr>
            <w:rFonts w:ascii="FrankRuehl" w:hAnsi="FrankRuehl" w:cs="FrankRuehl"/>
            <w:color w:val="0000FF"/>
            <w:rtl/>
          </w:rPr>
          <w:t>333</w:t>
        </w:r>
      </w:hyperlink>
      <w:r w:rsidRPr="0099559B">
        <w:rPr>
          <w:rFonts w:ascii="FrankRuehl" w:hAnsi="FrankRuehl" w:cs="FrankRuehl"/>
          <w:rtl/>
        </w:rPr>
        <w:t xml:space="preserve">, </w:t>
      </w:r>
      <w:hyperlink r:id="rId12" w:history="1">
        <w:r w:rsidRPr="0099559B">
          <w:rPr>
            <w:rFonts w:ascii="FrankRuehl" w:hAnsi="FrankRuehl" w:cs="FrankRuehl"/>
            <w:color w:val="0000FF"/>
            <w:rtl/>
          </w:rPr>
          <w:t>334</w:t>
        </w:r>
      </w:hyperlink>
      <w:r w:rsidRPr="0099559B">
        <w:rPr>
          <w:rFonts w:ascii="FrankRuehl" w:hAnsi="FrankRuehl" w:cs="FrankRuehl"/>
          <w:rtl/>
        </w:rPr>
        <w:t xml:space="preserve">, </w:t>
      </w:r>
      <w:hyperlink r:id="rId13" w:history="1">
        <w:r w:rsidRPr="0099559B">
          <w:rPr>
            <w:rFonts w:ascii="FrankRuehl" w:hAnsi="FrankRuehl" w:cs="FrankRuehl"/>
            <w:color w:val="0000FF"/>
            <w:rtl/>
          </w:rPr>
          <w:t>335(א)(1)</w:t>
        </w:r>
      </w:hyperlink>
      <w:r w:rsidRPr="0099559B">
        <w:rPr>
          <w:rFonts w:ascii="FrankRuehl" w:hAnsi="FrankRuehl" w:cs="FrankRuehl"/>
          <w:rtl/>
        </w:rPr>
        <w:t xml:space="preserve">, </w:t>
      </w:r>
      <w:hyperlink r:id="rId14" w:history="1">
        <w:r w:rsidRPr="0099559B">
          <w:rPr>
            <w:rFonts w:ascii="FrankRuehl" w:hAnsi="FrankRuehl" w:cs="FrankRuehl"/>
            <w:color w:val="0000FF"/>
            <w:rtl/>
          </w:rPr>
          <w:t>413ה</w:t>
        </w:r>
      </w:hyperlink>
    </w:p>
    <w:p w14:paraId="2215B651" w14:textId="77777777" w:rsidR="0099559B" w:rsidRPr="0099559B" w:rsidRDefault="0099559B" w:rsidP="0099559B">
      <w:pPr>
        <w:rPr>
          <w:sz w:val="26"/>
          <w:szCs w:val="26"/>
          <w:rtl/>
        </w:rPr>
      </w:pPr>
      <w:bookmarkStart w:id="4" w:name="LawTable_End"/>
      <w:bookmarkEnd w:id="4"/>
    </w:p>
    <w:p w14:paraId="36000DC7" w14:textId="77777777" w:rsidR="007E339F" w:rsidRPr="001C2561" w:rsidRDefault="007E339F" w:rsidP="001C2561">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E339F" w14:paraId="50DE7F6E" w14:textId="77777777" w:rsidTr="007E339F">
        <w:trPr>
          <w:trHeight w:val="355"/>
          <w:jc w:val="center"/>
        </w:trPr>
        <w:tc>
          <w:tcPr>
            <w:tcW w:w="8820" w:type="dxa"/>
            <w:tcBorders>
              <w:top w:val="nil"/>
              <w:left w:val="nil"/>
              <w:bottom w:val="nil"/>
              <w:right w:val="nil"/>
            </w:tcBorders>
            <w:shd w:val="clear" w:color="auto" w:fill="auto"/>
          </w:tcPr>
          <w:p w14:paraId="3B1D68A7" w14:textId="77777777" w:rsidR="009D7E14" w:rsidRPr="009D7E14" w:rsidRDefault="009D7E14" w:rsidP="009D7E14">
            <w:pPr>
              <w:jc w:val="center"/>
              <w:rPr>
                <w:rFonts w:ascii="David" w:hAnsi="David"/>
                <w:b/>
                <w:bCs/>
                <w:sz w:val="32"/>
                <w:szCs w:val="32"/>
                <w:u w:val="single"/>
                <w:rtl/>
              </w:rPr>
            </w:pPr>
            <w:bookmarkStart w:id="5" w:name="PsakDin" w:colFirst="0" w:colLast="0"/>
            <w:bookmarkEnd w:id="0"/>
            <w:r w:rsidRPr="009D7E14">
              <w:rPr>
                <w:rFonts w:ascii="David" w:hAnsi="David"/>
                <w:b/>
                <w:bCs/>
                <w:sz w:val="32"/>
                <w:szCs w:val="32"/>
                <w:u w:val="single"/>
                <w:rtl/>
              </w:rPr>
              <w:t>גזר דין</w:t>
            </w:r>
          </w:p>
          <w:p w14:paraId="7244B4F1" w14:textId="77777777" w:rsidR="007E339F" w:rsidRPr="009D7E14" w:rsidRDefault="007E339F" w:rsidP="009D7E14">
            <w:pPr>
              <w:jc w:val="center"/>
              <w:rPr>
                <w:rFonts w:ascii="David" w:hAnsi="David"/>
                <w:bCs/>
                <w:sz w:val="32"/>
                <w:szCs w:val="32"/>
                <w:u w:val="single"/>
                <w:rtl/>
              </w:rPr>
            </w:pPr>
          </w:p>
        </w:tc>
      </w:tr>
      <w:bookmarkEnd w:id="5"/>
    </w:tbl>
    <w:p w14:paraId="02CB7ECC" w14:textId="77777777" w:rsidR="007E339F" w:rsidRPr="000F2247" w:rsidRDefault="007E339F" w:rsidP="007E339F">
      <w:pPr>
        <w:rPr>
          <w:rFonts w:ascii="Arial" w:hAnsi="Arial"/>
          <w:b/>
          <w:bCs/>
          <w:sz w:val="26"/>
          <w:szCs w:val="26"/>
          <w:rtl/>
        </w:rPr>
      </w:pPr>
    </w:p>
    <w:p w14:paraId="53CC17CC" w14:textId="77777777" w:rsidR="007E339F" w:rsidRPr="000F2247" w:rsidRDefault="007E339F" w:rsidP="007E339F">
      <w:pPr>
        <w:rPr>
          <w:rFonts w:ascii="Arial" w:hAnsi="Arial"/>
          <w:b/>
          <w:bCs/>
          <w:sz w:val="26"/>
          <w:szCs w:val="26"/>
          <w:rtl/>
        </w:rPr>
      </w:pPr>
    </w:p>
    <w:p w14:paraId="57B9D616" w14:textId="77777777" w:rsidR="007E339F" w:rsidRDefault="007E339F" w:rsidP="007E339F">
      <w:pPr>
        <w:spacing w:after="160" w:line="360" w:lineRule="auto"/>
        <w:rPr>
          <w:rFonts w:ascii="David" w:hAnsi="David"/>
          <w:b/>
          <w:bCs/>
          <w:sz w:val="26"/>
          <w:szCs w:val="26"/>
          <w:u w:val="single"/>
        </w:rPr>
      </w:pPr>
      <w:r>
        <w:rPr>
          <w:rFonts w:ascii="David" w:hAnsi="David"/>
          <w:b/>
          <w:bCs/>
          <w:sz w:val="26"/>
          <w:szCs w:val="26"/>
          <w:u w:val="single"/>
          <w:rtl/>
        </w:rPr>
        <w:t>כתב</w:t>
      </w:r>
      <w:r>
        <w:rPr>
          <w:rFonts w:ascii="David" w:hAnsi="David" w:hint="cs"/>
          <w:b/>
          <w:bCs/>
          <w:sz w:val="26"/>
          <w:szCs w:val="26"/>
          <w:u w:val="single"/>
          <w:rtl/>
        </w:rPr>
        <w:t>י</w:t>
      </w:r>
      <w:r>
        <w:rPr>
          <w:rFonts w:ascii="David" w:hAnsi="David"/>
          <w:b/>
          <w:bCs/>
          <w:sz w:val="26"/>
          <w:szCs w:val="26"/>
          <w:u w:val="single"/>
          <w:rtl/>
        </w:rPr>
        <w:t xml:space="preserve"> האישום</w:t>
      </w:r>
      <w:r>
        <w:rPr>
          <w:rFonts w:ascii="David" w:hAnsi="David" w:hint="cs"/>
          <w:b/>
          <w:bCs/>
          <w:sz w:val="26"/>
          <w:szCs w:val="26"/>
          <w:u w:val="single"/>
          <w:rtl/>
        </w:rPr>
        <w:t xml:space="preserve"> בהם הודה הנאשם</w:t>
      </w:r>
    </w:p>
    <w:p w14:paraId="0F56E6D5" w14:textId="77777777" w:rsidR="007E339F" w:rsidRDefault="007E339F" w:rsidP="007E339F">
      <w:pPr>
        <w:pStyle w:val="a9"/>
        <w:numPr>
          <w:ilvl w:val="0"/>
          <w:numId w:val="2"/>
        </w:numPr>
        <w:spacing w:after="160" w:line="360" w:lineRule="auto"/>
        <w:jc w:val="both"/>
        <w:rPr>
          <w:rFonts w:ascii="David" w:hAnsi="David"/>
          <w:sz w:val="26"/>
          <w:szCs w:val="26"/>
        </w:rPr>
      </w:pPr>
      <w:bookmarkStart w:id="6" w:name="ABSTRACT_START"/>
      <w:bookmarkEnd w:id="6"/>
      <w:r>
        <w:rPr>
          <w:rFonts w:ascii="David" w:hAnsi="David" w:hint="cs"/>
          <w:sz w:val="26"/>
          <w:szCs w:val="26"/>
          <w:rtl/>
        </w:rPr>
        <w:lastRenderedPageBreak/>
        <w:t>הנאשם שלפניי הודה והורשע בשלושה כתבי אישום שיובאו להלן לפי סדרם הכרונולוגי של האירועים:</w:t>
      </w:r>
    </w:p>
    <w:p w14:paraId="13E22EE1" w14:textId="77777777" w:rsidR="007E339F" w:rsidRDefault="009D7E14" w:rsidP="007E339F">
      <w:pPr>
        <w:pStyle w:val="a9"/>
        <w:numPr>
          <w:ilvl w:val="0"/>
          <w:numId w:val="4"/>
        </w:numPr>
        <w:spacing w:after="160" w:line="360" w:lineRule="auto"/>
        <w:jc w:val="both"/>
        <w:rPr>
          <w:rFonts w:ascii="David" w:hAnsi="David"/>
          <w:sz w:val="26"/>
          <w:szCs w:val="26"/>
        </w:rPr>
      </w:pPr>
      <w:hyperlink r:id="rId15" w:history="1">
        <w:r w:rsidRPr="009D7E14">
          <w:rPr>
            <w:rFonts w:ascii="David" w:hAnsi="David"/>
            <w:b/>
            <w:bCs/>
            <w:color w:val="0000FF"/>
            <w:sz w:val="26"/>
            <w:szCs w:val="26"/>
            <w:u w:val="single"/>
            <w:rtl/>
          </w:rPr>
          <w:t>ת"פ 60606-05-21</w:t>
        </w:r>
      </w:hyperlink>
      <w:r w:rsidR="007E339F" w:rsidRPr="00397B45">
        <w:rPr>
          <w:rFonts w:ascii="David" w:hAnsi="David" w:hint="cs"/>
          <w:b/>
          <w:bCs/>
          <w:sz w:val="26"/>
          <w:szCs w:val="26"/>
          <w:rtl/>
        </w:rPr>
        <w:t xml:space="preserve"> (התיק הראשון)</w:t>
      </w:r>
      <w:r w:rsidR="007E339F">
        <w:rPr>
          <w:rFonts w:ascii="David" w:hAnsi="David" w:hint="cs"/>
          <w:sz w:val="26"/>
          <w:szCs w:val="26"/>
          <w:rtl/>
        </w:rPr>
        <w:t xml:space="preserve"> </w:t>
      </w:r>
      <w:r w:rsidR="007E339F">
        <w:rPr>
          <w:rFonts w:ascii="David" w:hAnsi="David"/>
          <w:sz w:val="26"/>
          <w:szCs w:val="26"/>
          <w:rtl/>
        </w:rPr>
        <w:t>–</w:t>
      </w:r>
      <w:r w:rsidR="007E339F">
        <w:rPr>
          <w:rFonts w:ascii="David" w:hAnsi="David" w:hint="cs"/>
          <w:sz w:val="26"/>
          <w:szCs w:val="26"/>
          <w:rtl/>
        </w:rPr>
        <w:t xml:space="preserve"> כתב אישום מקורי </w:t>
      </w:r>
      <w:r w:rsidR="007E339F">
        <w:rPr>
          <w:rFonts w:ascii="David" w:hAnsi="David"/>
          <w:sz w:val="26"/>
          <w:szCs w:val="26"/>
          <w:rtl/>
        </w:rPr>
        <w:t>–</w:t>
      </w:r>
      <w:r w:rsidR="007E339F">
        <w:rPr>
          <w:rFonts w:ascii="David" w:hAnsi="David" w:hint="cs"/>
          <w:sz w:val="26"/>
          <w:szCs w:val="26"/>
          <w:rtl/>
        </w:rPr>
        <w:t xml:space="preserve"> הנאשם הודה בביצוע עבירה של </w:t>
      </w:r>
      <w:r w:rsidR="007E339F" w:rsidRPr="00397B45">
        <w:rPr>
          <w:rFonts w:ascii="David" w:hAnsi="David" w:hint="cs"/>
          <w:b/>
          <w:bCs/>
          <w:sz w:val="26"/>
          <w:szCs w:val="26"/>
          <w:rtl/>
        </w:rPr>
        <w:t>החזקת סם לצריכה עצמית</w:t>
      </w:r>
      <w:r w:rsidR="007E339F">
        <w:rPr>
          <w:rFonts w:ascii="David" w:hAnsi="David" w:hint="cs"/>
          <w:sz w:val="26"/>
          <w:szCs w:val="26"/>
          <w:rtl/>
        </w:rPr>
        <w:t xml:space="preserve">, לפי סעיפים </w:t>
      </w:r>
      <w:hyperlink r:id="rId16" w:history="1">
        <w:r w:rsidR="001B6BEF" w:rsidRPr="001B6BEF">
          <w:rPr>
            <w:rStyle w:val="Hyperlink"/>
            <w:rFonts w:ascii="David" w:hAnsi="David"/>
            <w:sz w:val="26"/>
            <w:szCs w:val="26"/>
            <w:rtl/>
          </w:rPr>
          <w:t>7(א)(ג)</w:t>
        </w:r>
      </w:hyperlink>
      <w:r w:rsidR="007E339F">
        <w:rPr>
          <w:rFonts w:ascii="David" w:hAnsi="David" w:hint="cs"/>
          <w:sz w:val="26"/>
          <w:szCs w:val="26"/>
          <w:rtl/>
        </w:rPr>
        <w:t xml:space="preserve"> סיפא לפקודת הסמים, </w:t>
      </w:r>
      <w:bookmarkStart w:id="7" w:name="ABSTRACT_END"/>
      <w:bookmarkEnd w:id="7"/>
      <w:r w:rsidR="007E339F">
        <w:rPr>
          <w:rFonts w:ascii="David" w:hAnsi="David" w:hint="cs"/>
          <w:sz w:val="26"/>
          <w:szCs w:val="26"/>
          <w:rtl/>
        </w:rPr>
        <w:t>בכך שביום 31.12.2019 לפנות בוקר, בעת שהגיע הנאשם ברכב למחסום, נתפסו ברכבו בין המושבים הקדמיים 0.91 גרם קנביס ו-4.06 גרם חשיש.</w:t>
      </w:r>
    </w:p>
    <w:p w14:paraId="672D3BBD" w14:textId="77777777" w:rsidR="007E339F" w:rsidRDefault="007E339F" w:rsidP="007E339F">
      <w:pPr>
        <w:pStyle w:val="a9"/>
        <w:spacing w:after="160" w:line="360" w:lineRule="auto"/>
        <w:ind w:left="360"/>
        <w:jc w:val="both"/>
        <w:rPr>
          <w:rFonts w:ascii="David" w:hAnsi="David"/>
          <w:sz w:val="26"/>
          <w:szCs w:val="26"/>
        </w:rPr>
      </w:pPr>
    </w:p>
    <w:p w14:paraId="4D599EDF" w14:textId="77777777" w:rsidR="007E339F" w:rsidRDefault="009D7E14" w:rsidP="007E339F">
      <w:pPr>
        <w:pStyle w:val="a9"/>
        <w:numPr>
          <w:ilvl w:val="0"/>
          <w:numId w:val="4"/>
        </w:numPr>
        <w:spacing w:after="160" w:line="360" w:lineRule="auto"/>
        <w:jc w:val="both"/>
        <w:rPr>
          <w:rFonts w:ascii="David" w:hAnsi="David"/>
          <w:sz w:val="26"/>
          <w:szCs w:val="26"/>
        </w:rPr>
      </w:pPr>
      <w:hyperlink r:id="rId17" w:history="1">
        <w:r w:rsidRPr="009D7E14">
          <w:rPr>
            <w:rFonts w:ascii="David" w:hAnsi="David"/>
            <w:b/>
            <w:bCs/>
            <w:color w:val="0000FF"/>
            <w:sz w:val="26"/>
            <w:szCs w:val="26"/>
            <w:u w:val="single"/>
            <w:rtl/>
          </w:rPr>
          <w:t>ת"פ 67813-12-21</w:t>
        </w:r>
      </w:hyperlink>
      <w:r w:rsidR="007E339F" w:rsidRPr="00397B45">
        <w:rPr>
          <w:rFonts w:ascii="David" w:hAnsi="David" w:hint="cs"/>
          <w:b/>
          <w:bCs/>
          <w:sz w:val="26"/>
          <w:szCs w:val="26"/>
          <w:rtl/>
        </w:rPr>
        <w:t xml:space="preserve"> (התיק השני) </w:t>
      </w:r>
      <w:r w:rsidR="007E339F" w:rsidRPr="00397B45">
        <w:rPr>
          <w:rFonts w:ascii="David" w:hAnsi="David"/>
          <w:sz w:val="26"/>
          <w:szCs w:val="26"/>
          <w:rtl/>
        </w:rPr>
        <w:t>–</w:t>
      </w:r>
      <w:r w:rsidR="007E339F" w:rsidRPr="00397B45">
        <w:rPr>
          <w:rFonts w:ascii="David" w:hAnsi="David" w:hint="cs"/>
          <w:sz w:val="26"/>
          <w:szCs w:val="26"/>
          <w:rtl/>
        </w:rPr>
        <w:t xml:space="preserve"> כתב אישום מתוקן </w:t>
      </w:r>
      <w:r w:rsidR="007E339F" w:rsidRPr="00397B45">
        <w:rPr>
          <w:rFonts w:ascii="David" w:hAnsi="David"/>
          <w:sz w:val="26"/>
          <w:szCs w:val="26"/>
          <w:rtl/>
        </w:rPr>
        <w:t>–</w:t>
      </w:r>
      <w:r w:rsidR="007E339F" w:rsidRPr="00397B45">
        <w:rPr>
          <w:rFonts w:ascii="David" w:hAnsi="David" w:hint="cs"/>
          <w:sz w:val="26"/>
          <w:szCs w:val="26"/>
          <w:rtl/>
        </w:rPr>
        <w:t xml:space="preserve"> הנאשם הודה בביצוע עבירה של </w:t>
      </w:r>
      <w:r w:rsidR="007E339F" w:rsidRPr="00397B45">
        <w:rPr>
          <w:rFonts w:ascii="David" w:hAnsi="David" w:hint="cs"/>
          <w:b/>
          <w:bCs/>
          <w:sz w:val="26"/>
          <w:szCs w:val="26"/>
          <w:rtl/>
        </w:rPr>
        <w:t>פציעה באמצעות נשק קר</w:t>
      </w:r>
      <w:r w:rsidR="007E339F" w:rsidRPr="00397B45">
        <w:rPr>
          <w:rFonts w:ascii="David" w:hAnsi="David" w:hint="cs"/>
          <w:sz w:val="26"/>
          <w:szCs w:val="26"/>
          <w:rtl/>
        </w:rPr>
        <w:t xml:space="preserve">, לפי </w:t>
      </w:r>
      <w:hyperlink r:id="rId18" w:history="1">
        <w:r w:rsidR="001B6BEF" w:rsidRPr="001B6BEF">
          <w:rPr>
            <w:rStyle w:val="Hyperlink"/>
            <w:rFonts w:ascii="David" w:hAnsi="David" w:hint="eastAsia"/>
            <w:sz w:val="26"/>
            <w:szCs w:val="26"/>
            <w:rtl/>
          </w:rPr>
          <w:t>סעיפים</w:t>
        </w:r>
        <w:r w:rsidR="001B6BEF" w:rsidRPr="001B6BEF">
          <w:rPr>
            <w:rStyle w:val="Hyperlink"/>
            <w:rFonts w:ascii="David" w:hAnsi="David"/>
            <w:sz w:val="26"/>
            <w:szCs w:val="26"/>
            <w:rtl/>
          </w:rPr>
          <w:t xml:space="preserve"> 334</w:t>
        </w:r>
      </w:hyperlink>
      <w:r w:rsidR="007E339F" w:rsidRPr="00397B45">
        <w:rPr>
          <w:rFonts w:ascii="David" w:hAnsi="David" w:hint="cs"/>
          <w:sz w:val="26"/>
          <w:szCs w:val="26"/>
          <w:rtl/>
        </w:rPr>
        <w:t xml:space="preserve"> ו-</w:t>
      </w:r>
      <w:hyperlink r:id="rId19" w:history="1">
        <w:r w:rsidR="001B6BEF" w:rsidRPr="001B6BEF">
          <w:rPr>
            <w:rStyle w:val="Hyperlink"/>
            <w:rFonts w:ascii="David" w:hAnsi="David"/>
            <w:sz w:val="26"/>
            <w:szCs w:val="26"/>
            <w:rtl/>
          </w:rPr>
          <w:t>335(א)(1)</w:t>
        </w:r>
      </w:hyperlink>
      <w:r w:rsidR="007E339F" w:rsidRPr="00397B45">
        <w:rPr>
          <w:rFonts w:ascii="David" w:hAnsi="David" w:hint="cs"/>
          <w:sz w:val="26"/>
          <w:szCs w:val="26"/>
          <w:rtl/>
        </w:rPr>
        <w:t xml:space="preserve"> ל</w:t>
      </w:r>
      <w:hyperlink r:id="rId20" w:history="1">
        <w:r w:rsidRPr="009D7E14">
          <w:rPr>
            <w:rFonts w:ascii="David" w:hAnsi="David"/>
            <w:color w:val="0000FF"/>
            <w:sz w:val="26"/>
            <w:szCs w:val="26"/>
            <w:u w:val="single"/>
            <w:rtl/>
          </w:rPr>
          <w:t>חוק העונשין</w:t>
        </w:r>
      </w:hyperlink>
      <w:r w:rsidR="007E339F" w:rsidRPr="00397B45">
        <w:rPr>
          <w:rFonts w:ascii="David" w:hAnsi="David" w:hint="cs"/>
          <w:sz w:val="26"/>
          <w:szCs w:val="26"/>
          <w:rtl/>
        </w:rPr>
        <w:t>, התשל"ז-1977. מחלקו הכללי של כתב האישום עולה כי המתלונן א"ס עבד במאפייה בזמנים הרלבנטיים. מעובדות כתב האישום עולה, כי ביום 6.1.2021 בשעת אחר צהריים מוקדמת, הגיע הנאשם למאפייה יחד עם בת זוגו על-מנת לרכוש מזון. בזמן שהשניים המתינו במקום עד שהזמנתם תוכן, סבר הנאשם שהמתלונן מביט בבת זוגו באופן בלתי ראוי ונמלא חֵמה. בת הזוג ניס</w:t>
      </w:r>
      <w:r w:rsidR="007E339F">
        <w:rPr>
          <w:rFonts w:ascii="David" w:hAnsi="David" w:hint="cs"/>
          <w:sz w:val="26"/>
          <w:szCs w:val="26"/>
          <w:rtl/>
        </w:rPr>
        <w:t>ת</w:t>
      </w:r>
      <w:r w:rsidR="007E339F" w:rsidRPr="00397B45">
        <w:rPr>
          <w:rFonts w:ascii="David" w:hAnsi="David" w:hint="cs"/>
          <w:sz w:val="26"/>
          <w:szCs w:val="26"/>
          <w:rtl/>
        </w:rPr>
        <w:t>ה לה</w:t>
      </w:r>
      <w:r w:rsidR="007E339F">
        <w:rPr>
          <w:rFonts w:ascii="David" w:hAnsi="David" w:hint="cs"/>
          <w:sz w:val="26"/>
          <w:szCs w:val="26"/>
          <w:rtl/>
        </w:rPr>
        <w:t>ר</w:t>
      </w:r>
      <w:r w:rsidR="007E339F" w:rsidRPr="00397B45">
        <w:rPr>
          <w:rFonts w:ascii="David" w:hAnsi="David" w:hint="cs"/>
          <w:sz w:val="26"/>
          <w:szCs w:val="26"/>
          <w:rtl/>
        </w:rPr>
        <w:t>גיע את הנאשם, אך למרות זאת הנאשם חתר למגע עם המתלונן, עבר את דלפק המאפייה שם עבד המתלונן, שם הלם במתלונן באגרופיו. בתגובה, וכדי למנוע את המשך התקיפה, היכה המתלונן את הנאשם. עובד אחר תפס בנאשם על-מנת להפריד ביניהם. אז תפס הנאשם בידו "שפכטל" מתכת המשמש את עובדי המקום בעבודתם, והיכה באמצעותו את המתלונן. הוא גרם למתלונן חתך באורך 2.5 ס"מ ובעומק חצי ס"מ בצדו הימני של הצוואר, ובגין כך נזקק המתלונן לתפרים. לאחר זמן קצר, הפרידו אחרים בין המתלונן לנאשם שעזב את המקום.</w:t>
      </w:r>
    </w:p>
    <w:p w14:paraId="0230A95B" w14:textId="77777777" w:rsidR="007E339F" w:rsidRPr="00DE3279" w:rsidRDefault="007E339F" w:rsidP="007E339F">
      <w:pPr>
        <w:pStyle w:val="a9"/>
        <w:rPr>
          <w:rFonts w:ascii="David" w:hAnsi="David"/>
          <w:sz w:val="26"/>
          <w:szCs w:val="26"/>
          <w:rtl/>
        </w:rPr>
      </w:pPr>
    </w:p>
    <w:p w14:paraId="1FDDC175" w14:textId="77777777" w:rsidR="007E339F" w:rsidRDefault="009D7E14" w:rsidP="007E339F">
      <w:pPr>
        <w:pStyle w:val="a9"/>
        <w:numPr>
          <w:ilvl w:val="0"/>
          <w:numId w:val="4"/>
        </w:numPr>
        <w:spacing w:after="160" w:line="360" w:lineRule="auto"/>
        <w:jc w:val="both"/>
        <w:rPr>
          <w:rFonts w:ascii="David" w:hAnsi="David"/>
          <w:sz w:val="26"/>
          <w:szCs w:val="26"/>
        </w:rPr>
      </w:pPr>
      <w:hyperlink r:id="rId21" w:history="1">
        <w:r w:rsidRPr="009D7E14">
          <w:rPr>
            <w:rFonts w:ascii="David" w:hAnsi="David"/>
            <w:b/>
            <w:bCs/>
            <w:color w:val="0000FF"/>
            <w:sz w:val="26"/>
            <w:szCs w:val="26"/>
            <w:u w:val="single"/>
            <w:rtl/>
          </w:rPr>
          <w:t>ת"פ 21547-12-21</w:t>
        </w:r>
      </w:hyperlink>
      <w:r w:rsidR="007E339F" w:rsidRPr="00397B45">
        <w:rPr>
          <w:rFonts w:ascii="David" w:hAnsi="David" w:hint="cs"/>
          <w:b/>
          <w:bCs/>
          <w:sz w:val="26"/>
          <w:szCs w:val="26"/>
          <w:rtl/>
        </w:rPr>
        <w:t xml:space="preserve"> (התיק השלישי)</w:t>
      </w:r>
      <w:r w:rsidR="007E339F">
        <w:rPr>
          <w:rFonts w:ascii="David" w:hAnsi="David"/>
          <w:sz w:val="26"/>
          <w:szCs w:val="26"/>
          <w:rtl/>
        </w:rPr>
        <w:t>–</w:t>
      </w:r>
      <w:r w:rsidR="007E339F">
        <w:rPr>
          <w:rFonts w:ascii="David" w:hAnsi="David" w:hint="cs"/>
          <w:sz w:val="26"/>
          <w:szCs w:val="26"/>
          <w:rtl/>
        </w:rPr>
        <w:t xml:space="preserve"> כתב אישום מקורי </w:t>
      </w:r>
      <w:r w:rsidR="007E339F">
        <w:rPr>
          <w:rFonts w:ascii="David" w:hAnsi="David"/>
          <w:sz w:val="26"/>
          <w:szCs w:val="26"/>
          <w:rtl/>
        </w:rPr>
        <w:t>–</w:t>
      </w:r>
      <w:r w:rsidR="007E339F">
        <w:rPr>
          <w:rFonts w:ascii="David" w:hAnsi="David" w:hint="cs"/>
          <w:sz w:val="26"/>
          <w:szCs w:val="26"/>
          <w:rtl/>
        </w:rPr>
        <w:t xml:space="preserve"> הנאשם הודה בביצוע עבירות של </w:t>
      </w:r>
      <w:r w:rsidR="007E339F" w:rsidRPr="00854D61">
        <w:rPr>
          <w:rFonts w:ascii="David" w:hAnsi="David" w:hint="cs"/>
          <w:b/>
          <w:bCs/>
          <w:sz w:val="26"/>
          <w:szCs w:val="26"/>
          <w:rtl/>
        </w:rPr>
        <w:t>חבלה חמורה,</w:t>
      </w:r>
      <w:r w:rsidR="007E339F">
        <w:rPr>
          <w:rFonts w:ascii="David" w:hAnsi="David" w:hint="cs"/>
          <w:sz w:val="26"/>
          <w:szCs w:val="26"/>
          <w:rtl/>
        </w:rPr>
        <w:t xml:space="preserve"> לפי </w:t>
      </w:r>
      <w:hyperlink r:id="rId22" w:history="1">
        <w:r w:rsidR="001B6BEF" w:rsidRPr="001B6BEF">
          <w:rPr>
            <w:rStyle w:val="Hyperlink"/>
            <w:rFonts w:ascii="David" w:hAnsi="David" w:hint="eastAsia"/>
            <w:sz w:val="26"/>
            <w:szCs w:val="26"/>
            <w:rtl/>
          </w:rPr>
          <w:t>סעיף</w:t>
        </w:r>
        <w:r w:rsidR="001B6BEF" w:rsidRPr="001B6BEF">
          <w:rPr>
            <w:rStyle w:val="Hyperlink"/>
            <w:rFonts w:ascii="David" w:hAnsi="David"/>
            <w:sz w:val="26"/>
            <w:szCs w:val="26"/>
            <w:rtl/>
          </w:rPr>
          <w:t xml:space="preserve"> 333</w:t>
        </w:r>
      </w:hyperlink>
      <w:r w:rsidR="007E339F">
        <w:rPr>
          <w:rFonts w:ascii="David" w:hAnsi="David" w:hint="cs"/>
          <w:sz w:val="26"/>
          <w:szCs w:val="26"/>
          <w:rtl/>
        </w:rPr>
        <w:t xml:space="preserve"> ל</w:t>
      </w:r>
      <w:hyperlink r:id="rId23" w:history="1">
        <w:r w:rsidRPr="009D7E14">
          <w:rPr>
            <w:rFonts w:ascii="David" w:hAnsi="David"/>
            <w:color w:val="0000FF"/>
            <w:sz w:val="26"/>
            <w:szCs w:val="26"/>
            <w:u w:val="single"/>
            <w:rtl/>
          </w:rPr>
          <w:t>חוק העונשין</w:t>
        </w:r>
      </w:hyperlink>
      <w:r w:rsidR="007E339F">
        <w:rPr>
          <w:rFonts w:ascii="David" w:hAnsi="David" w:hint="cs"/>
          <w:sz w:val="26"/>
          <w:szCs w:val="26"/>
          <w:rtl/>
        </w:rPr>
        <w:t xml:space="preserve">, </w:t>
      </w:r>
      <w:r w:rsidR="007E339F" w:rsidRPr="00854D61">
        <w:rPr>
          <w:rFonts w:ascii="David" w:hAnsi="David" w:hint="cs"/>
          <w:b/>
          <w:bCs/>
          <w:sz w:val="26"/>
          <w:szCs w:val="26"/>
          <w:rtl/>
        </w:rPr>
        <w:t>איומים</w:t>
      </w:r>
      <w:r w:rsidR="007E339F">
        <w:rPr>
          <w:rFonts w:ascii="David" w:hAnsi="David" w:hint="cs"/>
          <w:sz w:val="26"/>
          <w:szCs w:val="26"/>
          <w:rtl/>
        </w:rPr>
        <w:t xml:space="preserve">, לפי </w:t>
      </w:r>
      <w:hyperlink r:id="rId24" w:history="1">
        <w:r w:rsidR="001B6BEF" w:rsidRPr="001B6BEF">
          <w:rPr>
            <w:rStyle w:val="Hyperlink"/>
            <w:rFonts w:ascii="David" w:hAnsi="David" w:hint="eastAsia"/>
            <w:sz w:val="26"/>
            <w:szCs w:val="26"/>
            <w:rtl/>
          </w:rPr>
          <w:t>סעיף</w:t>
        </w:r>
        <w:r w:rsidR="001B6BEF" w:rsidRPr="001B6BEF">
          <w:rPr>
            <w:rStyle w:val="Hyperlink"/>
            <w:rFonts w:ascii="David" w:hAnsi="David"/>
            <w:sz w:val="26"/>
            <w:szCs w:val="26"/>
            <w:rtl/>
          </w:rPr>
          <w:t xml:space="preserve"> 192</w:t>
        </w:r>
      </w:hyperlink>
      <w:r w:rsidR="007E339F">
        <w:rPr>
          <w:rFonts w:ascii="David" w:hAnsi="David" w:hint="cs"/>
          <w:sz w:val="26"/>
          <w:szCs w:val="26"/>
          <w:rtl/>
        </w:rPr>
        <w:t xml:space="preserve"> לחוק העונשין, </w:t>
      </w:r>
      <w:r w:rsidR="007E339F" w:rsidRPr="00854D61">
        <w:rPr>
          <w:rFonts w:ascii="David" w:hAnsi="David" w:hint="cs"/>
          <w:b/>
          <w:bCs/>
          <w:sz w:val="26"/>
          <w:szCs w:val="26"/>
          <w:rtl/>
        </w:rPr>
        <w:t>וחבלה במזיד לרכב</w:t>
      </w:r>
      <w:r w:rsidR="007E339F">
        <w:rPr>
          <w:rFonts w:ascii="David" w:hAnsi="David" w:hint="cs"/>
          <w:sz w:val="26"/>
          <w:szCs w:val="26"/>
          <w:rtl/>
        </w:rPr>
        <w:t xml:space="preserve">, לפי </w:t>
      </w:r>
      <w:hyperlink r:id="rId25" w:history="1">
        <w:r w:rsidR="001B6BEF" w:rsidRPr="001B6BEF">
          <w:rPr>
            <w:rStyle w:val="Hyperlink"/>
            <w:rFonts w:ascii="David" w:hAnsi="David" w:hint="eastAsia"/>
            <w:sz w:val="26"/>
            <w:szCs w:val="26"/>
            <w:rtl/>
          </w:rPr>
          <w:t>סעיף</w:t>
        </w:r>
        <w:r w:rsidR="001B6BEF" w:rsidRPr="001B6BEF">
          <w:rPr>
            <w:rStyle w:val="Hyperlink"/>
            <w:rFonts w:ascii="David" w:hAnsi="David"/>
            <w:sz w:val="26"/>
            <w:szCs w:val="26"/>
            <w:rtl/>
          </w:rPr>
          <w:t xml:space="preserve"> 413ה</w:t>
        </w:r>
      </w:hyperlink>
      <w:r w:rsidR="007E339F">
        <w:rPr>
          <w:rFonts w:ascii="David" w:hAnsi="David" w:hint="cs"/>
          <w:sz w:val="26"/>
          <w:szCs w:val="26"/>
          <w:rtl/>
        </w:rPr>
        <w:t xml:space="preserve"> לחוק העונשין. </w:t>
      </w:r>
    </w:p>
    <w:p w14:paraId="19535E3B" w14:textId="77777777" w:rsidR="007E339F" w:rsidRDefault="007E339F" w:rsidP="007E339F">
      <w:pPr>
        <w:pStyle w:val="a9"/>
        <w:numPr>
          <w:ilvl w:val="0"/>
          <w:numId w:val="5"/>
        </w:numPr>
        <w:spacing w:after="160" w:line="360" w:lineRule="auto"/>
        <w:jc w:val="both"/>
        <w:rPr>
          <w:rFonts w:ascii="David" w:hAnsi="David"/>
          <w:sz w:val="26"/>
          <w:szCs w:val="26"/>
        </w:rPr>
      </w:pPr>
      <w:r>
        <w:rPr>
          <w:rFonts w:ascii="David" w:hAnsi="David" w:hint="cs"/>
          <w:sz w:val="26"/>
          <w:szCs w:val="26"/>
          <w:rtl/>
        </w:rPr>
        <w:t>מהחלק הכללי של כתב האישום עולה, כי במשך תקופה של כשנה ועד כחודש לפני האירוע שבכתב האישום, ניהל הנאשם מערכת יחסים זוגית עם המתלוננת גב' ל"ו. במועד הרלבנטי הייתה המתלוננת חיילת בצה"ל ושירתה בבסיס פיקוד מרכז. עמה שירת גם המתלונן נ"ש.</w:t>
      </w:r>
    </w:p>
    <w:p w14:paraId="2E52B4CF" w14:textId="77777777" w:rsidR="007E339F" w:rsidRDefault="007E339F" w:rsidP="007E339F">
      <w:pPr>
        <w:pStyle w:val="a9"/>
        <w:numPr>
          <w:ilvl w:val="0"/>
          <w:numId w:val="5"/>
        </w:numPr>
        <w:spacing w:before="240" w:after="160" w:line="360" w:lineRule="auto"/>
        <w:jc w:val="both"/>
        <w:rPr>
          <w:rFonts w:ascii="David" w:hAnsi="David"/>
          <w:sz w:val="26"/>
          <w:szCs w:val="26"/>
        </w:rPr>
      </w:pPr>
      <w:r>
        <w:rPr>
          <w:rFonts w:ascii="David" w:hAnsi="David" w:hint="cs"/>
          <w:sz w:val="26"/>
          <w:szCs w:val="26"/>
          <w:rtl/>
        </w:rPr>
        <w:t xml:space="preserve">מעובדות כתב האישום עולה, כי ביום 22.11.2021 בשעות הצהריים, ניסה הנאשם להתקשר אל המתלוננת אך זו לא השיבה לו. הנאשם החל לשלוח לה הודעות בבקשה לברר מדוע משיבה פניו ריקם, וזו השיבה כי היא יושבת עם חברות. לאחר מכן התקשר הנאשם שוב למתלוננת, ואז התוודתה בפניו </w:t>
      </w:r>
      <w:r>
        <w:rPr>
          <w:rFonts w:ascii="David" w:hAnsi="David" w:hint="cs"/>
          <w:sz w:val="26"/>
          <w:szCs w:val="26"/>
          <w:rtl/>
        </w:rPr>
        <w:lastRenderedPageBreak/>
        <w:t xml:space="preserve">המתלוננת, כי היא יושבת עם חברות ועם המתלונן. בעקבות זאת, שלחה הנאשם למתלוננת הודעות רבות ובה האשימה כי היא שקרנית, וכן איים עליה שיגיע לבסיס ויכה את המתלונן ושידקור אותו בכל הגוף. </w:t>
      </w:r>
    </w:p>
    <w:p w14:paraId="35EF2598" w14:textId="77777777" w:rsidR="007E339F" w:rsidRDefault="007E339F" w:rsidP="007E339F">
      <w:pPr>
        <w:pStyle w:val="a9"/>
        <w:numPr>
          <w:ilvl w:val="0"/>
          <w:numId w:val="5"/>
        </w:numPr>
        <w:spacing w:before="240" w:after="160" w:line="360" w:lineRule="auto"/>
        <w:jc w:val="both"/>
        <w:rPr>
          <w:rFonts w:ascii="David" w:hAnsi="David"/>
          <w:sz w:val="26"/>
          <w:szCs w:val="26"/>
        </w:rPr>
      </w:pPr>
      <w:r>
        <w:rPr>
          <w:rFonts w:ascii="David" w:hAnsi="David" w:hint="cs"/>
          <w:sz w:val="26"/>
          <w:szCs w:val="26"/>
          <w:rtl/>
        </w:rPr>
        <w:t>בהמשך בשעה 19:00 לערך, הסיע המתלונן את המתלוננת מהבסיס לביתה בירושלים. לאחר שהגיעו למקום שוחחו. כעבור מספר דקות הגיע למקום הנאשם וכשהבחין בשניים משוחחים, התקרב למתלונן ואמר לו: "מי אתה שתשב על ספסל עם חברה של מישהו". המתלונן ניסה להרגיע את הנאשם ואמר לו שרק הסיע את המתלוננת לביתה. במקביל, נעמדה המתלוננת בין השניים כדי לחצוץ ביניהם, תוך שהמתלונן מנסה לשכנע את הנאשם שאין דבר בינו (המתלונן) למתלוננת. אז, דחף הנאשם את המתלונן והיכה בו באגרוף בפניו. לאחר כן אחז במתלונן בצווארו והיכה אותו באגרופים בפניו. המתלונן הצליח להדוף את הנאשם ונמלט לעבר רכבו תוך שהוא מדמם. כתוצאה ממעשי הנאשם המתלונן פונה לחדר מיון ובבדיקה אותרו שני שברים בלסתו, נפיחות בפניו והמטומה תת לשונית. בד בבד, התקשרה המתלוננת למשטרה. הנאשם ניגש לרכבו של המתלונן בו ישב האחרון, בעט בדלת הרכב ובמראת הצד ושבר אותה. לאחר מכן נמלט מן המקום. בעקבות האירוע ברח הנאשם מן המשטרה במשך 10 ימים תוך שישן בבתי חברים ולא בביתו, כדי להימנע ממעצר. ביום 4.12.2021 נעצר הנאשם עת חזר לביתו.</w:t>
      </w:r>
    </w:p>
    <w:p w14:paraId="3281FB22" w14:textId="77777777" w:rsidR="007E339F" w:rsidRDefault="007E339F" w:rsidP="007E339F">
      <w:pPr>
        <w:spacing w:after="160" w:line="360" w:lineRule="auto"/>
        <w:jc w:val="both"/>
        <w:rPr>
          <w:rFonts w:ascii="David" w:hAnsi="David"/>
          <w:b/>
          <w:bCs/>
          <w:sz w:val="26"/>
          <w:szCs w:val="26"/>
          <w:u w:val="single"/>
        </w:rPr>
      </w:pPr>
    </w:p>
    <w:p w14:paraId="3F8C02B2" w14:textId="77777777" w:rsidR="007E339F" w:rsidRDefault="007E339F" w:rsidP="007E339F">
      <w:pPr>
        <w:spacing w:after="160" w:line="360" w:lineRule="auto"/>
        <w:jc w:val="both"/>
        <w:rPr>
          <w:rFonts w:ascii="David" w:hAnsi="David"/>
          <w:b/>
          <w:bCs/>
          <w:sz w:val="26"/>
          <w:szCs w:val="26"/>
          <w:u w:val="single"/>
        </w:rPr>
      </w:pPr>
      <w:r>
        <w:rPr>
          <w:rFonts w:ascii="David" w:hAnsi="David"/>
          <w:b/>
          <w:bCs/>
          <w:sz w:val="26"/>
          <w:szCs w:val="26"/>
          <w:u w:val="single"/>
          <w:rtl/>
        </w:rPr>
        <w:t>מהלך הדיון</w:t>
      </w:r>
    </w:p>
    <w:p w14:paraId="79503B1B" w14:textId="77777777" w:rsidR="007E339F" w:rsidRPr="00A37E37" w:rsidRDefault="007E339F" w:rsidP="007E339F">
      <w:pPr>
        <w:pStyle w:val="a9"/>
        <w:numPr>
          <w:ilvl w:val="0"/>
          <w:numId w:val="2"/>
        </w:numPr>
        <w:spacing w:after="160" w:line="360" w:lineRule="auto"/>
        <w:jc w:val="both"/>
        <w:rPr>
          <w:rFonts w:ascii="David" w:hAnsi="David"/>
          <w:sz w:val="26"/>
          <w:szCs w:val="26"/>
        </w:rPr>
      </w:pPr>
      <w:r>
        <w:rPr>
          <w:rFonts w:ascii="David" w:hAnsi="David" w:hint="cs"/>
          <w:sz w:val="26"/>
          <w:szCs w:val="26"/>
          <w:rtl/>
        </w:rPr>
        <w:t xml:space="preserve">הנאשם נעצר במסגרת אירועי התיק השלישי, ביום 4.12.2021 ונעצר בפיקוח אלקטרוני ביום 14.1.2022. ביום 27.2.2022 הודה הנאשם לפני חברי כב' הנשיא הרבסט בתיק השלישי ובתיק הראשון ללא הסדר לעונש. ביום 3.4.2022 הסיר חברי את הפיקוח האלקטרוני ואפשר לנאשם לצאת לעבודה. בהמשך הוקלו התנאים מעת לעת. ביום 21.11.2022 הודה הנאשם בתיק השני. בנוסף לכל זאת, נעשה ניסיון לבחון התאמת הנאשם לבית המשפט הקהילתי, אך שירות המבחן לא מצא אותו מתאים. </w:t>
      </w:r>
    </w:p>
    <w:p w14:paraId="15F86FD9" w14:textId="77777777" w:rsidR="007E339F" w:rsidRDefault="007E339F" w:rsidP="007E339F">
      <w:pPr>
        <w:spacing w:after="160" w:line="360" w:lineRule="auto"/>
        <w:jc w:val="both"/>
        <w:rPr>
          <w:rFonts w:ascii="David" w:hAnsi="David"/>
          <w:b/>
          <w:bCs/>
          <w:sz w:val="26"/>
          <w:szCs w:val="26"/>
          <w:u w:val="single"/>
        </w:rPr>
      </w:pPr>
    </w:p>
    <w:p w14:paraId="76E7A72E" w14:textId="77777777" w:rsidR="007E339F" w:rsidRDefault="007E339F" w:rsidP="007E339F">
      <w:pPr>
        <w:spacing w:after="160" w:line="360" w:lineRule="auto"/>
        <w:jc w:val="both"/>
        <w:rPr>
          <w:rFonts w:ascii="David" w:hAnsi="David"/>
          <w:b/>
          <w:bCs/>
          <w:sz w:val="26"/>
          <w:szCs w:val="26"/>
          <w:u w:val="single"/>
        </w:rPr>
      </w:pPr>
      <w:r>
        <w:rPr>
          <w:rFonts w:ascii="David" w:hAnsi="David"/>
          <w:b/>
          <w:bCs/>
          <w:sz w:val="26"/>
          <w:szCs w:val="26"/>
          <w:u w:val="single"/>
          <w:rtl/>
        </w:rPr>
        <w:t>תסקיר</w:t>
      </w:r>
      <w:r>
        <w:rPr>
          <w:rFonts w:ascii="David" w:hAnsi="David" w:hint="cs"/>
          <w:b/>
          <w:bCs/>
          <w:sz w:val="26"/>
          <w:szCs w:val="26"/>
          <w:u w:val="single"/>
          <w:rtl/>
        </w:rPr>
        <w:t>י</w:t>
      </w:r>
      <w:r>
        <w:rPr>
          <w:rFonts w:ascii="David" w:hAnsi="David"/>
          <w:b/>
          <w:bCs/>
          <w:sz w:val="26"/>
          <w:szCs w:val="26"/>
          <w:u w:val="single"/>
          <w:rtl/>
        </w:rPr>
        <w:t xml:space="preserve"> שירות המבחן</w:t>
      </w:r>
    </w:p>
    <w:p w14:paraId="30057743" w14:textId="77777777" w:rsidR="007E339F" w:rsidRDefault="007E339F" w:rsidP="007E339F">
      <w:pPr>
        <w:pStyle w:val="a9"/>
        <w:numPr>
          <w:ilvl w:val="0"/>
          <w:numId w:val="2"/>
        </w:numPr>
        <w:spacing w:after="160" w:line="360" w:lineRule="auto"/>
        <w:jc w:val="both"/>
        <w:rPr>
          <w:rFonts w:ascii="David" w:hAnsi="David"/>
          <w:sz w:val="26"/>
          <w:szCs w:val="26"/>
        </w:rPr>
      </w:pPr>
      <w:r>
        <w:rPr>
          <w:rFonts w:ascii="David" w:hAnsi="David" w:hint="cs"/>
          <w:sz w:val="26"/>
          <w:szCs w:val="26"/>
          <w:rtl/>
        </w:rPr>
        <w:t xml:space="preserve">בעניינו של הנאשם הוגשו שישה תסקירים לעונש בין ספטמבר 2022 למאי 2024. מהתסקירים עולה כי מדובר בצעיר באמצע שנות העשרים לחייו, רווק, כיום בעל עסק </w:t>
      </w:r>
      <w:r w:rsidRPr="00DE3279">
        <w:rPr>
          <w:rFonts w:ascii="David" w:hAnsi="David" w:hint="cs"/>
          <w:sz w:val="26"/>
          <w:szCs w:val="26"/>
          <w:rtl/>
        </w:rPr>
        <w:t>משלו בתחום הגינון.</w:t>
      </w:r>
      <w:r>
        <w:rPr>
          <w:rFonts w:ascii="David" w:hAnsi="David" w:hint="cs"/>
          <w:sz w:val="26"/>
          <w:szCs w:val="26"/>
          <w:rtl/>
        </w:rPr>
        <w:t xml:space="preserve"> הנאשם גדל בתנאים משפחתיים מורכבים, לצד היותו בעל הפרעות קשב וריכוז ונטייה לאימפולסיביות. למרות זאת הוא סיים 12 שנות לימוד ושירת שירות צבאי מלא, לאחר שהופטר ונאבק להתגייס. לאורך השנים עבד בעבודות שונות, וניתן לאפיין את חייו כבלתי יציבים, לצד רצון של הנאשם לתפקד באופן יצרני בתחום התעסוקתי, כשהוא עובד לכל אורך הדרך. הנאשם סיפר כי התנסה בשימוש בסמים מספר פעמים ולא חווה זאת כדבר-מה חיובי. בדיקות שתן שמסר (כשמסר) נמצאו נקיות למעט בדיקה בודדת בתחילת ההליכים. הנאשם קיבל אחריות מלאה לעבירות שביצע והביע עליהן חרטה, תוך שהבין שנהג באובססיביות כלפי חברתו והמתלונן בשל חוסר בשלות בניהול מערכת היחסים וגילוי יחס קנאי לחברתו. עוד הודה כי פגע במתלונן (בתיק השני) וקיבל על כך אחריות, והביע רצון לבקש את סליחתו של המתלונן במסגרת תהליך צדק מאחה. הנאשם שולב במספר קבוצות טיפוליות לאורך תקופה ארוכה, אך שיתוף הפעולה שלו היה תנודתי, והוא לא הקפיד להגיע למפגשים כסדרם והחמיץ רבים מהם. כשהגיע למפגשים גילה מעורבות רבה. שירות המבחן ביקש לדחות את הדיונים מספר פעמים כדי לבחון את התקדמותו של הנאשם נוכח המוטיבציה שזה גילה. אפשרתי לנאשם מספר הזדמנויות אך הקשר שלו עם שירות המבחן המשיך להיות מעורב. בתסקיר האחרון ממאי 2024 העריך שירות המבחן, כי הנאשם הורתע מן ההליך הפלילי, נוכח מעצרו לראשונה במשך כחודש ימים ונוכח התנאים המגבילים בהם שהה. שירות המבחן הצביע על כך שלמרות שהנאשם לא התמיד בכל אפיקי הטיפול, הוא נתרם מהם, עלה על פסי יציבות תעסוקתית והשקיע את כל יהבו באפיק התעסוקתי, בהקמת עסק משלו. בתקופה זו לא פתח תיקים חדשים והנאשם מסר כי הצליח להסדיר את כל חובותיו. שירות המבחן התרשם כי כשליו של הנאשם ממוקדים והמליץ להימנע מענישה בדמות מאסר ולוּ בעבודות שירות, מחשש לדרדורו של הנאשם אשר יהיה צפוי לאבד את העסק, ולהוריד לטמיון את כל הישגיו בהקשר זה. לכן המליץ שירות המבחן על של"ץ נרחב, צו מבחן לצורך המשך מתן בדיקות שתן ובחינת אפשרות של תהליך צדק מאחה.</w:t>
      </w:r>
    </w:p>
    <w:p w14:paraId="5CBD2060" w14:textId="77777777" w:rsidR="007E339F" w:rsidRDefault="007E339F" w:rsidP="007E339F">
      <w:pPr>
        <w:spacing w:after="160" w:line="360" w:lineRule="auto"/>
        <w:jc w:val="both"/>
        <w:rPr>
          <w:rFonts w:ascii="David" w:hAnsi="David"/>
          <w:b/>
          <w:bCs/>
          <w:sz w:val="26"/>
          <w:szCs w:val="26"/>
          <w:u w:val="single"/>
          <w:rtl/>
        </w:rPr>
      </w:pPr>
    </w:p>
    <w:p w14:paraId="5E8FF750" w14:textId="77777777" w:rsidR="007E339F" w:rsidRDefault="007E339F" w:rsidP="007E339F">
      <w:pPr>
        <w:spacing w:after="160" w:line="360" w:lineRule="auto"/>
        <w:jc w:val="both"/>
        <w:rPr>
          <w:rFonts w:ascii="David" w:hAnsi="David"/>
          <w:b/>
          <w:bCs/>
          <w:sz w:val="26"/>
          <w:szCs w:val="26"/>
          <w:u w:val="single"/>
          <w:rtl/>
        </w:rPr>
      </w:pPr>
      <w:r>
        <w:rPr>
          <w:rFonts w:ascii="David" w:hAnsi="David"/>
          <w:b/>
          <w:bCs/>
          <w:sz w:val="26"/>
          <w:szCs w:val="26"/>
          <w:u w:val="single"/>
          <w:rtl/>
        </w:rPr>
        <w:t>חוות הדעת של הממונה על עבודות השירות</w:t>
      </w:r>
    </w:p>
    <w:p w14:paraId="540F9C3E" w14:textId="77777777" w:rsidR="007E339F" w:rsidRDefault="007E339F" w:rsidP="007E339F">
      <w:pPr>
        <w:pStyle w:val="a9"/>
        <w:numPr>
          <w:ilvl w:val="0"/>
          <w:numId w:val="2"/>
        </w:numPr>
        <w:spacing w:after="160" w:line="360" w:lineRule="auto"/>
        <w:jc w:val="both"/>
        <w:rPr>
          <w:rFonts w:ascii="David" w:hAnsi="David"/>
          <w:sz w:val="26"/>
          <w:szCs w:val="26"/>
          <w:rtl/>
        </w:rPr>
      </w:pPr>
      <w:r>
        <w:rPr>
          <w:rFonts w:ascii="David" w:hAnsi="David"/>
          <w:sz w:val="26"/>
          <w:szCs w:val="26"/>
          <w:rtl/>
        </w:rPr>
        <w:t xml:space="preserve">הממונה הגיש חוות דעת על אודות כשירות הנאשם לבצע מאסר בעבודות שירות. מחוות הדעת עולה, כי </w:t>
      </w:r>
      <w:r>
        <w:rPr>
          <w:rFonts w:ascii="David" w:hAnsi="David" w:hint="cs"/>
          <w:sz w:val="26"/>
          <w:szCs w:val="26"/>
          <w:rtl/>
        </w:rPr>
        <w:t>הנאשם נמצא כשיר לביצוע עבודות שירות בגן הבוטני בירושלים החל מיום 15.4.2024.</w:t>
      </w:r>
    </w:p>
    <w:p w14:paraId="75E9CABD" w14:textId="77777777" w:rsidR="007E339F" w:rsidRDefault="007E339F" w:rsidP="007E339F">
      <w:pPr>
        <w:spacing w:after="160" w:line="360" w:lineRule="auto"/>
        <w:jc w:val="both"/>
        <w:rPr>
          <w:rFonts w:ascii="David" w:hAnsi="David"/>
          <w:sz w:val="26"/>
          <w:szCs w:val="26"/>
          <w:rtl/>
        </w:rPr>
      </w:pPr>
    </w:p>
    <w:p w14:paraId="2513BB29" w14:textId="77777777" w:rsidR="007E339F" w:rsidRDefault="007E339F" w:rsidP="007E339F">
      <w:pPr>
        <w:spacing w:after="160" w:line="360" w:lineRule="auto"/>
        <w:jc w:val="both"/>
        <w:rPr>
          <w:rFonts w:ascii="David" w:hAnsi="David"/>
          <w:b/>
          <w:bCs/>
          <w:sz w:val="26"/>
          <w:szCs w:val="26"/>
          <w:u w:val="single"/>
        </w:rPr>
      </w:pPr>
      <w:r>
        <w:rPr>
          <w:rFonts w:ascii="David" w:hAnsi="David" w:hint="cs"/>
          <w:b/>
          <w:bCs/>
          <w:sz w:val="26"/>
          <w:szCs w:val="26"/>
          <w:u w:val="single"/>
          <w:rtl/>
        </w:rPr>
        <w:t>ראיות ו</w:t>
      </w:r>
      <w:r>
        <w:rPr>
          <w:rFonts w:ascii="David" w:hAnsi="David"/>
          <w:b/>
          <w:bCs/>
          <w:sz w:val="26"/>
          <w:szCs w:val="26"/>
          <w:u w:val="single"/>
          <w:rtl/>
        </w:rPr>
        <w:t>טיעונים לעונש</w:t>
      </w:r>
    </w:p>
    <w:p w14:paraId="00FFC92C" w14:textId="77777777" w:rsidR="007E339F" w:rsidRDefault="007E339F" w:rsidP="007E339F">
      <w:pPr>
        <w:pStyle w:val="a9"/>
        <w:numPr>
          <w:ilvl w:val="0"/>
          <w:numId w:val="2"/>
        </w:numPr>
        <w:spacing w:after="160" w:line="360" w:lineRule="auto"/>
        <w:jc w:val="both"/>
        <w:rPr>
          <w:rFonts w:ascii="David" w:hAnsi="David"/>
          <w:sz w:val="26"/>
          <w:szCs w:val="26"/>
          <w:rtl/>
        </w:rPr>
      </w:pPr>
      <w:r>
        <w:rPr>
          <w:rFonts w:ascii="David" w:hAnsi="David" w:hint="cs"/>
          <w:sz w:val="26"/>
          <w:szCs w:val="26"/>
          <w:rtl/>
        </w:rPr>
        <w:t xml:space="preserve">במסגרת הראיות לעונש הוגשה הצהרת נפגע עבירה (המתלונן בתיק השני) שהרחיב בהצהרתו על הנזקים שנגרמו לו פיזית ונפשית, כתוצאה ממעשי הנאשם. </w:t>
      </w:r>
      <w:r>
        <w:rPr>
          <w:rFonts w:ascii="David" w:hAnsi="David"/>
          <w:sz w:val="26"/>
          <w:szCs w:val="26"/>
          <w:rtl/>
        </w:rPr>
        <w:t xml:space="preserve">מחד גיסא, ב"כ המאשימה </w:t>
      </w:r>
      <w:r>
        <w:rPr>
          <w:rFonts w:ascii="David" w:hAnsi="David" w:hint="cs"/>
          <w:sz w:val="26"/>
          <w:szCs w:val="26"/>
          <w:rtl/>
        </w:rPr>
        <w:t xml:space="preserve">עתר להטיל על הנאשם עונש כולל של 30 חודשי מאסר וענישה נלווית נוכח חומרת העבירות וההערכה כי הנאשם לא שיתף פעולה כנדרש עם שירות המבחן. </w:t>
      </w:r>
      <w:r>
        <w:rPr>
          <w:rFonts w:ascii="David" w:hAnsi="David"/>
          <w:sz w:val="26"/>
          <w:szCs w:val="26"/>
          <w:rtl/>
        </w:rPr>
        <w:t xml:space="preserve">מאידך גיסא , הסניגור </w:t>
      </w:r>
      <w:r>
        <w:rPr>
          <w:rFonts w:ascii="David" w:hAnsi="David" w:hint="cs"/>
          <w:sz w:val="26"/>
          <w:szCs w:val="26"/>
          <w:rtl/>
        </w:rPr>
        <w:t>טען כי הנאשם עשה כברת דרך משמעותית על-פי דרכו, וכי מן הראוי להכיר בהישגיו ולכן לסטות ממתחם העונש, שאינו כטענת המאשימה. הסניגור ביקש לאמץ את המלצת שירות המבחן בנסיבותיה.</w:t>
      </w:r>
    </w:p>
    <w:p w14:paraId="6FD55614" w14:textId="77777777" w:rsidR="007E339F" w:rsidRDefault="007E339F" w:rsidP="007E339F">
      <w:pPr>
        <w:spacing w:after="160" w:line="360" w:lineRule="auto"/>
        <w:jc w:val="both"/>
        <w:rPr>
          <w:rFonts w:ascii="David" w:hAnsi="David"/>
          <w:b/>
          <w:bCs/>
          <w:sz w:val="26"/>
          <w:szCs w:val="26"/>
          <w:u w:val="single"/>
          <w:rtl/>
        </w:rPr>
      </w:pPr>
    </w:p>
    <w:p w14:paraId="665426D7" w14:textId="77777777" w:rsidR="007E339F" w:rsidRDefault="007E339F" w:rsidP="007E339F">
      <w:pPr>
        <w:spacing w:after="160" w:line="360" w:lineRule="auto"/>
        <w:jc w:val="both"/>
        <w:rPr>
          <w:rFonts w:ascii="David" w:hAnsi="David"/>
          <w:b/>
          <w:bCs/>
          <w:sz w:val="26"/>
          <w:szCs w:val="26"/>
          <w:u w:val="single"/>
          <w:rtl/>
        </w:rPr>
      </w:pPr>
      <w:r>
        <w:rPr>
          <w:rFonts w:ascii="David" w:hAnsi="David"/>
          <w:b/>
          <w:bCs/>
          <w:sz w:val="26"/>
          <w:szCs w:val="26"/>
          <w:u w:val="single"/>
          <w:rtl/>
        </w:rPr>
        <w:t>קביעת מתחם הענישה</w:t>
      </w:r>
    </w:p>
    <w:p w14:paraId="4562E8F0" w14:textId="77777777" w:rsidR="007E339F" w:rsidRDefault="007E339F" w:rsidP="007E339F">
      <w:pPr>
        <w:pStyle w:val="a9"/>
        <w:numPr>
          <w:ilvl w:val="0"/>
          <w:numId w:val="2"/>
        </w:numPr>
        <w:spacing w:after="160" w:line="360" w:lineRule="auto"/>
        <w:jc w:val="both"/>
        <w:rPr>
          <w:rFonts w:ascii="David" w:hAnsi="David"/>
          <w:b/>
          <w:bCs/>
          <w:sz w:val="26"/>
          <w:szCs w:val="26"/>
          <w:u w:val="single"/>
          <w:rtl/>
        </w:rPr>
      </w:pPr>
      <w:r>
        <w:rPr>
          <w:rFonts w:ascii="David" w:hAnsi="David"/>
          <w:sz w:val="26"/>
          <w:szCs w:val="26"/>
          <w:rtl/>
        </w:rPr>
        <w:t xml:space="preserve">מתחם הענישה צריך להתייחס לעקרון ההלימה, הנוגע ליחס לערך החברתי המוגן, מידת הפגיעה בו, נסיבות ביצוע העבירה ומידת אשמו של הנאשם, ומדיניות הענישה. </w:t>
      </w:r>
    </w:p>
    <w:p w14:paraId="7E8F0910" w14:textId="77777777" w:rsidR="007E339F" w:rsidRDefault="007E339F" w:rsidP="007E339F">
      <w:pPr>
        <w:spacing w:after="160" w:line="360" w:lineRule="auto"/>
        <w:jc w:val="both"/>
        <w:rPr>
          <w:rFonts w:ascii="David" w:hAnsi="David"/>
          <w:b/>
          <w:bCs/>
          <w:sz w:val="26"/>
          <w:szCs w:val="26"/>
          <w:u w:val="single"/>
          <w:rtl/>
        </w:rPr>
      </w:pPr>
    </w:p>
    <w:p w14:paraId="505BAEC3" w14:textId="77777777" w:rsidR="007E339F" w:rsidRDefault="007E339F" w:rsidP="007E339F">
      <w:pPr>
        <w:pStyle w:val="a9"/>
        <w:numPr>
          <w:ilvl w:val="0"/>
          <w:numId w:val="2"/>
        </w:numPr>
        <w:spacing w:after="160" w:line="360" w:lineRule="auto"/>
        <w:jc w:val="both"/>
        <w:rPr>
          <w:rFonts w:ascii="David" w:hAnsi="David"/>
          <w:sz w:val="26"/>
          <w:szCs w:val="26"/>
          <w:rtl/>
        </w:rPr>
      </w:pPr>
      <w:r>
        <w:rPr>
          <w:rFonts w:ascii="David" w:hAnsi="David"/>
          <w:b/>
          <w:bCs/>
          <w:sz w:val="26"/>
          <w:szCs w:val="26"/>
          <w:rtl/>
        </w:rPr>
        <w:t>אשר לער</w:t>
      </w:r>
      <w:r>
        <w:rPr>
          <w:rFonts w:ascii="David" w:hAnsi="David" w:hint="cs"/>
          <w:b/>
          <w:bCs/>
          <w:sz w:val="26"/>
          <w:szCs w:val="26"/>
          <w:rtl/>
        </w:rPr>
        <w:t xml:space="preserve">כים המוגנים </w:t>
      </w:r>
      <w:r>
        <w:rPr>
          <w:rFonts w:ascii="David" w:hAnsi="David"/>
          <w:b/>
          <w:bCs/>
          <w:sz w:val="26"/>
          <w:szCs w:val="26"/>
          <w:rtl/>
        </w:rPr>
        <w:t>–</w:t>
      </w:r>
      <w:r>
        <w:rPr>
          <w:rFonts w:ascii="David" w:hAnsi="David" w:hint="cs"/>
          <w:b/>
          <w:bCs/>
          <w:sz w:val="26"/>
          <w:szCs w:val="26"/>
          <w:rtl/>
        </w:rPr>
        <w:t xml:space="preserve"> </w:t>
      </w:r>
      <w:r w:rsidRPr="00A000BD">
        <w:rPr>
          <w:rFonts w:ascii="David" w:hAnsi="David" w:hint="cs"/>
          <w:sz w:val="26"/>
          <w:szCs w:val="26"/>
          <w:rtl/>
        </w:rPr>
        <w:t>עבירות האלימות שעבר הנאשם פוגעות באופן ניכר באוטונומיה של האדם, בזכותו לשלום גופו ונפשו ובביטחון הציבור באופן כללי. עבירת הסמים פוגעת בבריאות הציבור ובמקרה זה הפגיעה בערך המוגן נמוכה נוכח טיב הסמים וכמותם, ומטרתם לשימוש עצמי.</w:t>
      </w:r>
      <w:r>
        <w:rPr>
          <w:rFonts w:ascii="David" w:hAnsi="David" w:hint="cs"/>
          <w:b/>
          <w:bCs/>
          <w:sz w:val="26"/>
          <w:szCs w:val="26"/>
          <w:rtl/>
        </w:rPr>
        <w:t xml:space="preserve"> </w:t>
      </w:r>
    </w:p>
    <w:p w14:paraId="684C43BB" w14:textId="77777777" w:rsidR="007E339F" w:rsidRDefault="007E339F" w:rsidP="007E339F">
      <w:pPr>
        <w:pStyle w:val="a9"/>
        <w:rPr>
          <w:rFonts w:ascii="David" w:hAnsi="David"/>
          <w:sz w:val="26"/>
          <w:szCs w:val="26"/>
          <w:rtl/>
        </w:rPr>
      </w:pPr>
    </w:p>
    <w:p w14:paraId="50CF556B" w14:textId="77777777" w:rsidR="007E339F" w:rsidRDefault="007E339F" w:rsidP="007E339F">
      <w:pPr>
        <w:spacing w:after="160" w:line="360" w:lineRule="auto"/>
        <w:jc w:val="both"/>
        <w:rPr>
          <w:rFonts w:ascii="David" w:hAnsi="David"/>
          <w:sz w:val="26"/>
          <w:szCs w:val="26"/>
          <w:rtl/>
        </w:rPr>
      </w:pPr>
    </w:p>
    <w:p w14:paraId="3D0CC6B5" w14:textId="77777777" w:rsidR="007E339F" w:rsidRDefault="007E339F" w:rsidP="007E339F">
      <w:pPr>
        <w:pStyle w:val="a9"/>
        <w:numPr>
          <w:ilvl w:val="0"/>
          <w:numId w:val="2"/>
        </w:numPr>
        <w:spacing w:after="160" w:line="360" w:lineRule="auto"/>
        <w:jc w:val="both"/>
        <w:rPr>
          <w:rFonts w:ascii="David" w:hAnsi="David"/>
          <w:sz w:val="26"/>
          <w:szCs w:val="26"/>
        </w:rPr>
      </w:pPr>
      <w:r>
        <w:rPr>
          <w:rFonts w:ascii="David" w:hAnsi="David"/>
          <w:b/>
          <w:bCs/>
          <w:sz w:val="26"/>
          <w:szCs w:val="26"/>
          <w:rtl/>
        </w:rPr>
        <w:t>אשר לנסיבות הקשורות בביצוע העבירה</w:t>
      </w:r>
      <w:r>
        <w:rPr>
          <w:rFonts w:ascii="David" w:hAnsi="David"/>
          <w:sz w:val="26"/>
          <w:szCs w:val="26"/>
          <w:rtl/>
        </w:rPr>
        <w:t>, בין הנסיבות הקשורות בביצוע העבירה יש לשקול את אלה, לעניין קביעת המתחם:</w:t>
      </w:r>
    </w:p>
    <w:p w14:paraId="2E2FE99E" w14:textId="77777777" w:rsidR="007E339F" w:rsidRDefault="007E339F" w:rsidP="007E339F">
      <w:pPr>
        <w:pStyle w:val="a9"/>
        <w:numPr>
          <w:ilvl w:val="0"/>
          <w:numId w:val="6"/>
        </w:numPr>
        <w:spacing w:after="160" w:line="360" w:lineRule="auto"/>
        <w:jc w:val="both"/>
        <w:rPr>
          <w:rFonts w:ascii="David" w:hAnsi="David"/>
          <w:sz w:val="26"/>
          <w:szCs w:val="26"/>
        </w:rPr>
      </w:pPr>
      <w:r>
        <w:rPr>
          <w:rFonts w:ascii="David" w:hAnsi="David" w:hint="cs"/>
          <w:b/>
          <w:bCs/>
          <w:sz w:val="26"/>
          <w:szCs w:val="26"/>
          <w:rtl/>
        </w:rPr>
        <w:t xml:space="preserve">התיק הראשון (תיק הסמים) </w:t>
      </w:r>
      <w:r>
        <w:rPr>
          <w:rFonts w:ascii="David" w:hAnsi="David"/>
          <w:b/>
          <w:bCs/>
          <w:sz w:val="26"/>
          <w:szCs w:val="26"/>
          <w:rtl/>
        </w:rPr>
        <w:t>–</w:t>
      </w:r>
      <w:r>
        <w:rPr>
          <w:rFonts w:ascii="David" w:hAnsi="David" w:hint="cs"/>
          <w:b/>
          <w:bCs/>
          <w:sz w:val="26"/>
          <w:szCs w:val="26"/>
          <w:rtl/>
        </w:rPr>
        <w:t xml:space="preserve"> </w:t>
      </w:r>
      <w:r w:rsidRPr="00A000BD">
        <w:rPr>
          <w:rFonts w:ascii="David" w:hAnsi="David" w:hint="cs"/>
          <w:sz w:val="26"/>
          <w:szCs w:val="26"/>
          <w:rtl/>
        </w:rPr>
        <w:t>מדובר בעבירה מתוכננת ובהחזקת סמים קלים לשימוש עצמי, כאשר נסיבה לחומרה היא החזקתם ברכב. הנאשם אחראי באופן בלעדי למעשים.</w:t>
      </w:r>
    </w:p>
    <w:p w14:paraId="7F222065" w14:textId="77777777" w:rsidR="007E339F" w:rsidRDefault="007E339F" w:rsidP="007E339F">
      <w:pPr>
        <w:pStyle w:val="a9"/>
        <w:numPr>
          <w:ilvl w:val="0"/>
          <w:numId w:val="6"/>
        </w:numPr>
        <w:spacing w:after="160" w:line="360" w:lineRule="auto"/>
        <w:jc w:val="both"/>
        <w:rPr>
          <w:rFonts w:ascii="David" w:hAnsi="David"/>
          <w:sz w:val="26"/>
          <w:szCs w:val="26"/>
        </w:rPr>
      </w:pPr>
      <w:r>
        <w:rPr>
          <w:rFonts w:ascii="David" w:hAnsi="David" w:hint="cs"/>
          <w:b/>
          <w:bCs/>
          <w:sz w:val="26"/>
          <w:szCs w:val="26"/>
          <w:rtl/>
        </w:rPr>
        <w:t xml:space="preserve">התיק השני </w:t>
      </w:r>
      <w:r>
        <w:rPr>
          <w:rFonts w:ascii="David" w:hAnsi="David"/>
          <w:b/>
          <w:bCs/>
          <w:sz w:val="26"/>
          <w:szCs w:val="26"/>
          <w:rtl/>
        </w:rPr>
        <w:t>–</w:t>
      </w:r>
      <w:r>
        <w:rPr>
          <w:rFonts w:ascii="David" w:hAnsi="David" w:hint="cs"/>
          <w:sz w:val="26"/>
          <w:szCs w:val="26"/>
          <w:rtl/>
        </w:rPr>
        <w:t xml:space="preserve"> הנאשם פעל מתוך אובססיביות לבת-זוגו באופן בלתי מווסת ובאופן המשקף היעדר שליטה ברגשות. התנהגות ילדותית זו כמעט וגבתה מחיר כבד מאוד ומסכן חיים מהמתלונן, שעה שהותקף ע"י הנאשם בכלי חד ומסכן חיים. אך בנס האירוע הסתיים כפי שהסתיים, ולא בזכות הנאשם, שלא החמיץ הזדמנות להסלים את האירוע. הנאשם אחראי באופן מלא למעשים.</w:t>
      </w:r>
    </w:p>
    <w:p w14:paraId="5B41C644" w14:textId="77777777" w:rsidR="007E339F" w:rsidRPr="00A000BD" w:rsidRDefault="007E339F" w:rsidP="007E339F">
      <w:pPr>
        <w:pStyle w:val="a9"/>
        <w:numPr>
          <w:ilvl w:val="0"/>
          <w:numId w:val="6"/>
        </w:numPr>
        <w:spacing w:after="160" w:line="360" w:lineRule="auto"/>
        <w:jc w:val="both"/>
        <w:rPr>
          <w:rFonts w:ascii="David" w:hAnsi="David"/>
          <w:sz w:val="26"/>
          <w:szCs w:val="26"/>
        </w:rPr>
      </w:pPr>
      <w:r>
        <w:rPr>
          <w:rFonts w:ascii="David" w:hAnsi="David" w:hint="cs"/>
          <w:b/>
          <w:bCs/>
          <w:sz w:val="26"/>
          <w:szCs w:val="26"/>
          <w:rtl/>
        </w:rPr>
        <w:t xml:space="preserve">התיק השלישי </w:t>
      </w:r>
      <w:r>
        <w:rPr>
          <w:rFonts w:ascii="David" w:hAnsi="David"/>
          <w:b/>
          <w:bCs/>
          <w:sz w:val="26"/>
          <w:szCs w:val="26"/>
          <w:rtl/>
        </w:rPr>
        <w:t>–</w:t>
      </w:r>
      <w:r>
        <w:rPr>
          <w:rFonts w:ascii="David" w:hAnsi="David" w:hint="cs"/>
          <w:b/>
          <w:bCs/>
          <w:sz w:val="26"/>
          <w:szCs w:val="26"/>
          <w:rtl/>
        </w:rPr>
        <w:t xml:space="preserve"> </w:t>
      </w:r>
      <w:r w:rsidRPr="00A000BD">
        <w:rPr>
          <w:rFonts w:ascii="David" w:hAnsi="David" w:hint="cs"/>
          <w:sz w:val="26"/>
          <w:szCs w:val="26"/>
          <w:rtl/>
        </w:rPr>
        <w:t>בדומה לתיק השני, גם כאן פעל הנאשם באובססיביות מפחידה כלפי המתלוננת והמתלונן, מבלי שהייתה לו כל זכות לעשות זאת. הוא היה נחוש לפגוע במתלונן וגרם לו לנזקים פיזיים ממשיים, וכל זאת, כשהוא נעדר שליטה מינימלית ברגשותיו ובמעשיו. גם כאן האירוע הסתיים כפי שהסתיים, אך יכול היה להסתיים בנזק חמור יותר לנפש ולרכוש.</w:t>
      </w:r>
    </w:p>
    <w:p w14:paraId="055FF70C" w14:textId="77777777" w:rsidR="007E339F" w:rsidRDefault="007E339F" w:rsidP="007E339F">
      <w:pPr>
        <w:spacing w:after="160" w:line="360" w:lineRule="auto"/>
        <w:jc w:val="both"/>
        <w:rPr>
          <w:rFonts w:ascii="David" w:hAnsi="David"/>
          <w:b/>
          <w:bCs/>
          <w:sz w:val="26"/>
          <w:szCs w:val="26"/>
          <w:u w:val="single"/>
          <w:rtl/>
        </w:rPr>
      </w:pPr>
    </w:p>
    <w:p w14:paraId="4D9540C1" w14:textId="77777777" w:rsidR="007E339F" w:rsidRDefault="007E339F" w:rsidP="007E339F">
      <w:pPr>
        <w:pStyle w:val="a9"/>
        <w:numPr>
          <w:ilvl w:val="0"/>
          <w:numId w:val="2"/>
        </w:numPr>
        <w:spacing w:after="160" w:line="360" w:lineRule="auto"/>
        <w:jc w:val="both"/>
        <w:rPr>
          <w:rFonts w:ascii="David" w:hAnsi="David"/>
          <w:b/>
          <w:bCs/>
          <w:sz w:val="26"/>
          <w:szCs w:val="26"/>
          <w:u w:val="single"/>
        </w:rPr>
      </w:pPr>
      <w:r w:rsidRPr="00942E3D">
        <w:rPr>
          <w:rFonts w:ascii="David" w:hAnsi="David"/>
          <w:b/>
          <w:bCs/>
          <w:sz w:val="26"/>
          <w:szCs w:val="26"/>
          <w:rtl/>
        </w:rPr>
        <w:t xml:space="preserve">אשר למדיניות הענישה הנוהגת, </w:t>
      </w:r>
      <w:r w:rsidRPr="00942E3D">
        <w:rPr>
          <w:rFonts w:ascii="David" w:hAnsi="David" w:hint="cs"/>
          <w:sz w:val="26"/>
          <w:szCs w:val="26"/>
          <w:rtl/>
        </w:rPr>
        <w:t>בעבירות אלימות מהסוג בו הורשע הנאשם הכלל הוא מאסר בפועל.</w:t>
      </w:r>
      <w:r w:rsidRPr="00942E3D">
        <w:rPr>
          <w:rFonts w:ascii="David" w:hAnsi="David" w:hint="cs"/>
          <w:b/>
          <w:bCs/>
          <w:sz w:val="26"/>
          <w:szCs w:val="26"/>
          <w:rtl/>
        </w:rPr>
        <w:t xml:space="preserve"> </w:t>
      </w:r>
    </w:p>
    <w:p w14:paraId="71E20B32" w14:textId="77777777" w:rsidR="007E339F" w:rsidRPr="00942E3D" w:rsidRDefault="007E339F" w:rsidP="007E339F">
      <w:pPr>
        <w:pStyle w:val="a9"/>
        <w:numPr>
          <w:ilvl w:val="0"/>
          <w:numId w:val="7"/>
        </w:numPr>
        <w:spacing w:after="160" w:line="360" w:lineRule="auto"/>
        <w:jc w:val="both"/>
        <w:rPr>
          <w:rFonts w:ascii="David" w:hAnsi="David"/>
          <w:b/>
          <w:bCs/>
          <w:sz w:val="26"/>
          <w:szCs w:val="26"/>
          <w:rtl/>
        </w:rPr>
      </w:pPr>
      <w:r w:rsidRPr="00942E3D">
        <w:rPr>
          <w:rFonts w:ascii="David" w:hAnsi="David" w:hint="cs"/>
          <w:b/>
          <w:bCs/>
          <w:sz w:val="26"/>
          <w:szCs w:val="26"/>
          <w:rtl/>
        </w:rPr>
        <w:t>ענישה בחבלה חמורה</w:t>
      </w:r>
    </w:p>
    <w:p w14:paraId="07D46A43" w14:textId="77777777" w:rsidR="007E339F" w:rsidRPr="00942E3D" w:rsidRDefault="009D7E14" w:rsidP="007E339F">
      <w:pPr>
        <w:pStyle w:val="a9"/>
        <w:numPr>
          <w:ilvl w:val="0"/>
          <w:numId w:val="8"/>
        </w:numPr>
        <w:spacing w:after="160" w:line="360" w:lineRule="auto"/>
        <w:jc w:val="both"/>
        <w:rPr>
          <w:rFonts w:ascii="David" w:hAnsi="David"/>
          <w:sz w:val="26"/>
          <w:szCs w:val="26"/>
          <w:rtl/>
        </w:rPr>
      </w:pPr>
      <w:hyperlink r:id="rId26" w:history="1">
        <w:r w:rsidRPr="009D7E14">
          <w:rPr>
            <w:rFonts w:ascii="David" w:hAnsi="David"/>
            <w:color w:val="0000FF"/>
            <w:sz w:val="26"/>
            <w:szCs w:val="26"/>
            <w:u w:val="single"/>
            <w:rtl/>
          </w:rPr>
          <w:t>רע"פ 3802/23</w:t>
        </w:r>
      </w:hyperlink>
      <w:r w:rsidR="007E339F" w:rsidRPr="00942E3D">
        <w:rPr>
          <w:rFonts w:ascii="David" w:hAnsi="David" w:hint="cs"/>
          <w:sz w:val="26"/>
          <w:szCs w:val="26"/>
          <w:rtl/>
        </w:rPr>
        <w:t xml:space="preserve"> </w:t>
      </w:r>
      <w:r w:rsidR="007E339F" w:rsidRPr="00942E3D">
        <w:rPr>
          <w:rFonts w:ascii="David" w:hAnsi="David" w:hint="cs"/>
          <w:b/>
          <w:bCs/>
          <w:sz w:val="26"/>
          <w:szCs w:val="26"/>
          <w:rtl/>
        </w:rPr>
        <w:t>הדר נ' מ"י</w:t>
      </w:r>
      <w:r w:rsidR="007E339F" w:rsidRPr="00942E3D">
        <w:rPr>
          <w:rFonts w:ascii="David" w:hAnsi="David" w:hint="cs"/>
          <w:sz w:val="26"/>
          <w:szCs w:val="26"/>
          <w:rtl/>
        </w:rPr>
        <w:t xml:space="preserve"> (מיום 18.5.2023) </w:t>
      </w:r>
      <w:r w:rsidR="007E339F" w:rsidRPr="00942E3D">
        <w:rPr>
          <w:rFonts w:ascii="David" w:hAnsi="David"/>
          <w:sz w:val="26"/>
          <w:szCs w:val="26"/>
          <w:rtl/>
        </w:rPr>
        <w:t>–</w:t>
      </w:r>
      <w:r w:rsidR="007E339F" w:rsidRPr="00942E3D">
        <w:rPr>
          <w:rFonts w:ascii="David" w:hAnsi="David" w:hint="cs"/>
          <w:sz w:val="26"/>
          <w:szCs w:val="26"/>
          <w:rtl/>
        </w:rPr>
        <w:t xml:space="preserve"> מקרה של בריונות בכביש שהסתיים בחבלות ראש ושברים בצלעות. אושר מתחם שבין 10 ל-30 חודשי מאסר ועונש של 12 חודשי מאסר בפועל.</w:t>
      </w:r>
    </w:p>
    <w:p w14:paraId="7AFD51CC" w14:textId="77777777" w:rsidR="007E339F" w:rsidRPr="00942E3D" w:rsidRDefault="009D7E14" w:rsidP="007E339F">
      <w:pPr>
        <w:pStyle w:val="a9"/>
        <w:numPr>
          <w:ilvl w:val="0"/>
          <w:numId w:val="8"/>
        </w:numPr>
        <w:spacing w:after="160" w:line="360" w:lineRule="auto"/>
        <w:jc w:val="both"/>
        <w:rPr>
          <w:rFonts w:ascii="David" w:hAnsi="David"/>
          <w:sz w:val="26"/>
          <w:szCs w:val="26"/>
          <w:rtl/>
        </w:rPr>
      </w:pPr>
      <w:hyperlink r:id="rId27" w:history="1">
        <w:r w:rsidRPr="009D7E14">
          <w:rPr>
            <w:rFonts w:ascii="David" w:hAnsi="David"/>
            <w:color w:val="0000FF"/>
            <w:sz w:val="26"/>
            <w:szCs w:val="26"/>
            <w:u w:val="single"/>
            <w:rtl/>
          </w:rPr>
          <w:t>רע"פ 3305/23</w:t>
        </w:r>
      </w:hyperlink>
      <w:r w:rsidR="007E339F" w:rsidRPr="00942E3D">
        <w:rPr>
          <w:rFonts w:ascii="David" w:hAnsi="David" w:hint="cs"/>
          <w:sz w:val="26"/>
          <w:szCs w:val="26"/>
          <w:rtl/>
        </w:rPr>
        <w:t xml:space="preserve"> </w:t>
      </w:r>
      <w:r w:rsidR="007E339F" w:rsidRPr="00942E3D">
        <w:rPr>
          <w:rFonts w:ascii="David" w:hAnsi="David" w:hint="cs"/>
          <w:b/>
          <w:bCs/>
          <w:sz w:val="26"/>
          <w:szCs w:val="26"/>
          <w:rtl/>
        </w:rPr>
        <w:t>פלוני נ' מ"י</w:t>
      </w:r>
      <w:r w:rsidR="007E339F" w:rsidRPr="00942E3D">
        <w:rPr>
          <w:rFonts w:ascii="David" w:hAnsi="David" w:hint="cs"/>
          <w:sz w:val="26"/>
          <w:szCs w:val="26"/>
          <w:rtl/>
        </w:rPr>
        <w:t xml:space="preserve"> (מיום 1.5.2023) </w:t>
      </w:r>
      <w:r w:rsidR="007E339F" w:rsidRPr="00942E3D">
        <w:rPr>
          <w:rFonts w:ascii="David" w:hAnsi="David"/>
          <w:sz w:val="26"/>
          <w:szCs w:val="26"/>
          <w:rtl/>
        </w:rPr>
        <w:t>–</w:t>
      </w:r>
      <w:r w:rsidR="007E339F" w:rsidRPr="00942E3D">
        <w:rPr>
          <w:rFonts w:ascii="David" w:hAnsi="David" w:hint="cs"/>
          <w:sz w:val="26"/>
          <w:szCs w:val="26"/>
          <w:rtl/>
        </w:rPr>
        <w:t xml:space="preserve"> מקרה של אלימות ברחוב בו תקף נאשם שתי מתלוננות לעיני ילדיהן, נגב באפה של אחת מהן וגרם לה לשבר וכן הטריד מינית אחרת. אושר מתחם שבין 10 ל-20 חודשי מאסר ועונש של 14 חודשי מאסר.</w:t>
      </w:r>
    </w:p>
    <w:p w14:paraId="6337E78F" w14:textId="77777777" w:rsidR="007E339F" w:rsidRPr="00942E3D" w:rsidRDefault="009D7E14" w:rsidP="007E339F">
      <w:pPr>
        <w:pStyle w:val="a9"/>
        <w:numPr>
          <w:ilvl w:val="0"/>
          <w:numId w:val="8"/>
        </w:numPr>
        <w:spacing w:after="160" w:line="360" w:lineRule="auto"/>
        <w:jc w:val="both"/>
        <w:rPr>
          <w:rFonts w:ascii="David" w:hAnsi="David"/>
          <w:sz w:val="26"/>
          <w:szCs w:val="26"/>
          <w:rtl/>
        </w:rPr>
      </w:pPr>
      <w:hyperlink r:id="rId28" w:history="1">
        <w:r w:rsidRPr="009D7E14">
          <w:rPr>
            <w:rFonts w:ascii="David" w:hAnsi="David"/>
            <w:color w:val="0000FF"/>
            <w:sz w:val="26"/>
            <w:szCs w:val="26"/>
            <w:u w:val="single"/>
            <w:rtl/>
          </w:rPr>
          <w:t>רע"פ 8286/21</w:t>
        </w:r>
      </w:hyperlink>
      <w:r w:rsidR="007E339F" w:rsidRPr="00942E3D">
        <w:rPr>
          <w:rFonts w:ascii="David" w:hAnsi="David" w:hint="cs"/>
          <w:sz w:val="26"/>
          <w:szCs w:val="26"/>
          <w:rtl/>
        </w:rPr>
        <w:t xml:space="preserve"> </w:t>
      </w:r>
      <w:r w:rsidR="007E339F" w:rsidRPr="00942E3D">
        <w:rPr>
          <w:rFonts w:ascii="David" w:hAnsi="David" w:hint="cs"/>
          <w:b/>
          <w:bCs/>
          <w:sz w:val="26"/>
          <w:szCs w:val="26"/>
          <w:rtl/>
        </w:rPr>
        <w:t>אבו לבדה נ' מ"י</w:t>
      </w:r>
      <w:r w:rsidR="007E339F" w:rsidRPr="00942E3D">
        <w:rPr>
          <w:rFonts w:ascii="David" w:hAnsi="David" w:hint="cs"/>
          <w:sz w:val="26"/>
          <w:szCs w:val="26"/>
          <w:rtl/>
        </w:rPr>
        <w:t xml:space="preserve"> (מיום 14.12.2021) </w:t>
      </w:r>
      <w:r w:rsidR="007E339F" w:rsidRPr="00942E3D">
        <w:rPr>
          <w:rFonts w:ascii="David" w:hAnsi="David"/>
          <w:sz w:val="26"/>
          <w:szCs w:val="26"/>
          <w:rtl/>
        </w:rPr>
        <w:t>–</w:t>
      </w:r>
      <w:r w:rsidR="007E339F" w:rsidRPr="00942E3D">
        <w:rPr>
          <w:rFonts w:ascii="David" w:hAnsi="David" w:hint="cs"/>
          <w:sz w:val="26"/>
          <w:szCs w:val="26"/>
          <w:rtl/>
        </w:rPr>
        <w:t xml:space="preserve"> מקרה בו אדם היכה את חברו בקרב וגרם לו לשבר ולחתך בגלגולת. אושר מתחם שבין 9 ל-30 חודשי מאסר והעונש הוקל ל-9 חודשי מאסר חלף שנת מאסר שהוטלה בערכאה הראשונה.</w:t>
      </w:r>
    </w:p>
    <w:p w14:paraId="72BB3AE1" w14:textId="77777777" w:rsidR="007E339F" w:rsidRPr="00942E3D" w:rsidRDefault="009D7E14" w:rsidP="007E339F">
      <w:pPr>
        <w:pStyle w:val="a9"/>
        <w:numPr>
          <w:ilvl w:val="0"/>
          <w:numId w:val="8"/>
        </w:numPr>
        <w:spacing w:after="160" w:line="360" w:lineRule="auto"/>
        <w:jc w:val="both"/>
        <w:rPr>
          <w:rFonts w:ascii="David" w:hAnsi="David"/>
          <w:sz w:val="26"/>
          <w:szCs w:val="26"/>
          <w:u w:val="single"/>
          <w:rtl/>
        </w:rPr>
      </w:pPr>
      <w:hyperlink r:id="rId29" w:history="1">
        <w:r w:rsidRPr="009D7E14">
          <w:rPr>
            <w:rFonts w:ascii="David" w:hAnsi="David"/>
            <w:color w:val="0000FF"/>
            <w:sz w:val="26"/>
            <w:szCs w:val="26"/>
            <w:u w:val="single"/>
            <w:rtl/>
          </w:rPr>
          <w:t>רע"פ 9177/20</w:t>
        </w:r>
      </w:hyperlink>
      <w:r w:rsidR="007E339F" w:rsidRPr="00942E3D">
        <w:rPr>
          <w:rFonts w:ascii="David" w:hAnsi="David" w:hint="cs"/>
          <w:sz w:val="26"/>
          <w:szCs w:val="26"/>
          <w:rtl/>
        </w:rPr>
        <w:t xml:space="preserve"> </w:t>
      </w:r>
      <w:r w:rsidR="007E339F" w:rsidRPr="00942E3D">
        <w:rPr>
          <w:rFonts w:ascii="David" w:hAnsi="David" w:hint="cs"/>
          <w:b/>
          <w:bCs/>
          <w:sz w:val="26"/>
          <w:szCs w:val="26"/>
          <w:rtl/>
        </w:rPr>
        <w:t>אלזאם נ' מ"י</w:t>
      </w:r>
      <w:r w:rsidR="007E339F" w:rsidRPr="00942E3D">
        <w:rPr>
          <w:rFonts w:ascii="David" w:hAnsi="David" w:hint="cs"/>
          <w:sz w:val="26"/>
          <w:szCs w:val="26"/>
          <w:rtl/>
        </w:rPr>
        <w:t xml:space="preserve"> (מיום 26.1.0221) </w:t>
      </w:r>
      <w:r w:rsidR="007E339F" w:rsidRPr="00942E3D">
        <w:rPr>
          <w:rFonts w:ascii="David" w:hAnsi="David"/>
          <w:sz w:val="26"/>
          <w:szCs w:val="26"/>
          <w:rtl/>
        </w:rPr>
        <w:t>–</w:t>
      </w:r>
      <w:r w:rsidR="007E339F" w:rsidRPr="00942E3D">
        <w:rPr>
          <w:rFonts w:ascii="David" w:hAnsi="David" w:hint="cs"/>
          <w:sz w:val="26"/>
          <w:szCs w:val="26"/>
          <w:rtl/>
        </w:rPr>
        <w:t xml:space="preserve"> נסיבות של תקיפת קטין כבן 14 באגרגוף שגרם לשבר בארובת העין. אושר מתחם שבין 6 ל-15 חודשי מאסר ועונש החורג מן המתחם לקולה של של"ץ בהיקף 120 שעות וענישה נלווית</w:t>
      </w:r>
      <w:r w:rsidR="007E339F" w:rsidRPr="00942E3D">
        <w:rPr>
          <w:rFonts w:ascii="David" w:hAnsi="David" w:hint="cs"/>
          <w:sz w:val="26"/>
          <w:szCs w:val="26"/>
          <w:u w:val="single"/>
          <w:rtl/>
        </w:rPr>
        <w:t>.</w:t>
      </w:r>
    </w:p>
    <w:p w14:paraId="13CEB317" w14:textId="77777777" w:rsidR="007E339F" w:rsidRDefault="007E339F" w:rsidP="007E339F">
      <w:pPr>
        <w:spacing w:after="160" w:line="360" w:lineRule="auto"/>
        <w:jc w:val="both"/>
        <w:rPr>
          <w:rFonts w:ascii="David" w:hAnsi="David"/>
          <w:b/>
          <w:bCs/>
          <w:sz w:val="26"/>
          <w:szCs w:val="26"/>
          <w:u w:val="single"/>
          <w:rtl/>
        </w:rPr>
      </w:pPr>
    </w:p>
    <w:p w14:paraId="7BB93BD0" w14:textId="77777777" w:rsidR="007E339F" w:rsidRPr="00942E3D" w:rsidRDefault="007E339F" w:rsidP="007E339F">
      <w:pPr>
        <w:pStyle w:val="a9"/>
        <w:numPr>
          <w:ilvl w:val="0"/>
          <w:numId w:val="7"/>
        </w:numPr>
        <w:spacing w:after="160" w:line="360" w:lineRule="auto"/>
        <w:jc w:val="both"/>
        <w:rPr>
          <w:rFonts w:ascii="David" w:hAnsi="David"/>
          <w:b/>
          <w:bCs/>
          <w:sz w:val="26"/>
          <w:szCs w:val="26"/>
          <w:rtl/>
        </w:rPr>
      </w:pPr>
      <w:r w:rsidRPr="00942E3D">
        <w:rPr>
          <w:rFonts w:ascii="David" w:hAnsi="David" w:hint="cs"/>
          <w:b/>
          <w:bCs/>
          <w:sz w:val="26"/>
          <w:szCs w:val="26"/>
          <w:rtl/>
        </w:rPr>
        <w:t>תקיפה כשעבריין מזויין</w:t>
      </w:r>
    </w:p>
    <w:p w14:paraId="0C389F30" w14:textId="77777777" w:rsidR="007E339F" w:rsidRPr="00942E3D" w:rsidRDefault="009D7E14" w:rsidP="007E339F">
      <w:pPr>
        <w:pStyle w:val="a9"/>
        <w:numPr>
          <w:ilvl w:val="0"/>
          <w:numId w:val="9"/>
        </w:numPr>
        <w:spacing w:after="160" w:line="360" w:lineRule="auto"/>
        <w:jc w:val="both"/>
        <w:rPr>
          <w:rFonts w:ascii="David" w:hAnsi="David"/>
          <w:sz w:val="26"/>
          <w:szCs w:val="26"/>
          <w:rtl/>
        </w:rPr>
      </w:pPr>
      <w:hyperlink r:id="rId30" w:history="1">
        <w:r w:rsidRPr="009D7E14">
          <w:rPr>
            <w:rFonts w:ascii="David" w:hAnsi="David"/>
            <w:color w:val="0000FF"/>
            <w:sz w:val="26"/>
            <w:szCs w:val="26"/>
            <w:u w:val="single"/>
            <w:rtl/>
          </w:rPr>
          <w:t>רע"פ 3682/22</w:t>
        </w:r>
      </w:hyperlink>
      <w:r w:rsidR="007E339F" w:rsidRPr="00942E3D">
        <w:rPr>
          <w:rFonts w:ascii="David" w:hAnsi="David" w:hint="cs"/>
          <w:sz w:val="26"/>
          <w:szCs w:val="26"/>
          <w:rtl/>
        </w:rPr>
        <w:t xml:space="preserve"> </w:t>
      </w:r>
      <w:r w:rsidR="007E339F" w:rsidRPr="00942E3D">
        <w:rPr>
          <w:rFonts w:ascii="David" w:hAnsi="David" w:hint="cs"/>
          <w:b/>
          <w:bCs/>
          <w:sz w:val="26"/>
          <w:szCs w:val="26"/>
          <w:rtl/>
        </w:rPr>
        <w:t>גולן נ' מ"י</w:t>
      </w:r>
      <w:r w:rsidR="007E339F" w:rsidRPr="00942E3D">
        <w:rPr>
          <w:rFonts w:ascii="David" w:hAnsi="David" w:hint="cs"/>
          <w:sz w:val="26"/>
          <w:szCs w:val="26"/>
          <w:rtl/>
        </w:rPr>
        <w:t xml:space="preserve"> (מיום 2.6.2018) </w:t>
      </w:r>
      <w:r w:rsidR="007E339F" w:rsidRPr="00942E3D">
        <w:rPr>
          <w:rFonts w:ascii="David" w:hAnsi="David"/>
          <w:sz w:val="26"/>
          <w:szCs w:val="26"/>
          <w:rtl/>
        </w:rPr>
        <w:t>–</w:t>
      </w:r>
      <w:r w:rsidR="007E339F" w:rsidRPr="00942E3D">
        <w:rPr>
          <w:rFonts w:ascii="David" w:hAnsi="David" w:hint="cs"/>
          <w:sz w:val="26"/>
          <w:szCs w:val="26"/>
          <w:rtl/>
        </w:rPr>
        <w:t xml:space="preserve"> נסיבות של תקיפת נער תוך שימוש בסכים וגרימת חתך שטחי בקרקרפת. אושר מתחם שבין 9 ל-20 חודשי מאסר ועונש של 9 חודשי מאסר בעבודות שירות.</w:t>
      </w:r>
    </w:p>
    <w:p w14:paraId="733FBB64" w14:textId="77777777" w:rsidR="007E339F" w:rsidRPr="00942E3D" w:rsidRDefault="009D7E14" w:rsidP="007E339F">
      <w:pPr>
        <w:pStyle w:val="a9"/>
        <w:numPr>
          <w:ilvl w:val="0"/>
          <w:numId w:val="9"/>
        </w:numPr>
        <w:spacing w:after="160" w:line="360" w:lineRule="auto"/>
        <w:jc w:val="both"/>
        <w:rPr>
          <w:rFonts w:ascii="David" w:hAnsi="David"/>
          <w:sz w:val="26"/>
          <w:szCs w:val="26"/>
          <w:rtl/>
        </w:rPr>
      </w:pPr>
      <w:hyperlink r:id="rId31" w:history="1">
        <w:r w:rsidRPr="009D7E14">
          <w:rPr>
            <w:rFonts w:ascii="David" w:hAnsi="David"/>
            <w:color w:val="0000FF"/>
            <w:sz w:val="26"/>
            <w:szCs w:val="26"/>
            <w:u w:val="single"/>
            <w:rtl/>
          </w:rPr>
          <w:t>רע"פ 9094/16</w:t>
        </w:r>
      </w:hyperlink>
      <w:r w:rsidR="007E339F" w:rsidRPr="00942E3D">
        <w:rPr>
          <w:rFonts w:ascii="David" w:hAnsi="David" w:hint="cs"/>
          <w:sz w:val="26"/>
          <w:szCs w:val="26"/>
          <w:rtl/>
        </w:rPr>
        <w:t xml:space="preserve"> </w:t>
      </w:r>
      <w:r w:rsidR="007E339F" w:rsidRPr="00942E3D">
        <w:rPr>
          <w:rFonts w:ascii="David" w:hAnsi="David" w:hint="cs"/>
          <w:b/>
          <w:bCs/>
          <w:sz w:val="26"/>
          <w:szCs w:val="26"/>
          <w:rtl/>
        </w:rPr>
        <w:t>נעימי נ' מ"י</w:t>
      </w:r>
      <w:r w:rsidR="007E339F" w:rsidRPr="00942E3D">
        <w:rPr>
          <w:rFonts w:ascii="David" w:hAnsi="David" w:hint="cs"/>
          <w:sz w:val="26"/>
          <w:szCs w:val="26"/>
          <w:rtl/>
        </w:rPr>
        <w:t xml:space="preserve"> (מיום 12.4.2018) </w:t>
      </w:r>
      <w:r w:rsidR="007E339F" w:rsidRPr="00942E3D">
        <w:rPr>
          <w:rFonts w:ascii="David" w:hAnsi="David"/>
          <w:sz w:val="26"/>
          <w:szCs w:val="26"/>
          <w:rtl/>
        </w:rPr>
        <w:t>–</w:t>
      </w:r>
      <w:r w:rsidR="007E339F" w:rsidRPr="00942E3D">
        <w:rPr>
          <w:rFonts w:ascii="David" w:hAnsi="David" w:hint="cs"/>
          <w:sz w:val="26"/>
          <w:szCs w:val="26"/>
          <w:rtl/>
        </w:rPr>
        <w:t xml:space="preserve"> הנאשם תקף מתלונן עם שניים נוספים, פצע אותו בבקבוק וגרם לו לחתך בפנים. אושר מתחם שבין 6 ל-24 חודשי מאסר ועונש של 9 חודיש מאסר בפועל.</w:t>
      </w:r>
    </w:p>
    <w:p w14:paraId="6F04EC0D" w14:textId="77777777" w:rsidR="007E339F" w:rsidRDefault="009D7E14" w:rsidP="007E339F">
      <w:pPr>
        <w:pStyle w:val="a9"/>
        <w:numPr>
          <w:ilvl w:val="0"/>
          <w:numId w:val="9"/>
        </w:numPr>
        <w:spacing w:after="160" w:line="360" w:lineRule="auto"/>
        <w:jc w:val="both"/>
        <w:rPr>
          <w:rFonts w:ascii="David" w:hAnsi="David"/>
          <w:sz w:val="26"/>
          <w:szCs w:val="26"/>
        </w:rPr>
      </w:pPr>
      <w:hyperlink r:id="rId32" w:history="1">
        <w:r w:rsidRPr="009D7E14">
          <w:rPr>
            <w:rFonts w:ascii="David" w:hAnsi="David"/>
            <w:color w:val="0000FF"/>
            <w:sz w:val="26"/>
            <w:szCs w:val="26"/>
            <w:u w:val="single"/>
            <w:rtl/>
          </w:rPr>
          <w:t>רע"פ 8699/15</w:t>
        </w:r>
      </w:hyperlink>
      <w:r w:rsidR="007E339F" w:rsidRPr="00942E3D">
        <w:rPr>
          <w:rFonts w:ascii="David" w:hAnsi="David" w:hint="cs"/>
          <w:sz w:val="26"/>
          <w:szCs w:val="26"/>
          <w:rtl/>
        </w:rPr>
        <w:t xml:space="preserve"> </w:t>
      </w:r>
      <w:r w:rsidR="007E339F" w:rsidRPr="00942E3D">
        <w:rPr>
          <w:rFonts w:ascii="David" w:hAnsi="David" w:hint="cs"/>
          <w:b/>
          <w:bCs/>
          <w:sz w:val="26"/>
          <w:szCs w:val="26"/>
          <w:rtl/>
        </w:rPr>
        <w:t>אבו האני נ' מ"י</w:t>
      </w:r>
      <w:r w:rsidR="007E339F" w:rsidRPr="00942E3D">
        <w:rPr>
          <w:rFonts w:ascii="David" w:hAnsi="David" w:hint="cs"/>
          <w:sz w:val="26"/>
          <w:szCs w:val="26"/>
          <w:rtl/>
        </w:rPr>
        <w:t xml:space="preserve"> (מיום 17.12.2015) </w:t>
      </w:r>
      <w:r w:rsidR="007E339F" w:rsidRPr="00942E3D">
        <w:rPr>
          <w:rFonts w:ascii="David" w:hAnsi="David"/>
          <w:sz w:val="26"/>
          <w:szCs w:val="26"/>
          <w:rtl/>
        </w:rPr>
        <w:t>–</w:t>
      </w:r>
      <w:r w:rsidR="007E339F" w:rsidRPr="00942E3D">
        <w:rPr>
          <w:rFonts w:ascii="David" w:hAnsi="David" w:hint="cs"/>
          <w:sz w:val="26"/>
          <w:szCs w:val="26"/>
          <w:rtl/>
        </w:rPr>
        <w:t xml:space="preserve"> נסיבות של ויכוח שהסלים לתקיפת המתלונן בחפץ חד בראשו תוך גרימת חתך בקרקפת. אושר מתחם שבין 6 ל-18 חודשים ועונש של 8 חודשי מאסר בפועל וענישה נלווית.</w:t>
      </w:r>
    </w:p>
    <w:p w14:paraId="2AE0B153" w14:textId="77777777" w:rsidR="007E339F" w:rsidRPr="00942E3D" w:rsidRDefault="007E339F" w:rsidP="007E339F">
      <w:pPr>
        <w:pStyle w:val="a9"/>
        <w:spacing w:after="160" w:line="360" w:lineRule="auto"/>
        <w:jc w:val="both"/>
        <w:rPr>
          <w:rFonts w:ascii="David" w:hAnsi="David"/>
          <w:sz w:val="26"/>
          <w:szCs w:val="26"/>
          <w:rtl/>
        </w:rPr>
      </w:pPr>
    </w:p>
    <w:p w14:paraId="08FF87B6" w14:textId="77777777" w:rsidR="007E339F" w:rsidRDefault="007E339F" w:rsidP="007E339F">
      <w:pPr>
        <w:pStyle w:val="a9"/>
        <w:numPr>
          <w:ilvl w:val="0"/>
          <w:numId w:val="2"/>
        </w:numPr>
        <w:spacing w:after="160" w:line="360" w:lineRule="auto"/>
        <w:jc w:val="both"/>
        <w:rPr>
          <w:rFonts w:ascii="David" w:hAnsi="David"/>
          <w:sz w:val="26"/>
          <w:szCs w:val="26"/>
        </w:rPr>
      </w:pPr>
      <w:r>
        <w:rPr>
          <w:rFonts w:ascii="David" w:hAnsi="David" w:hint="cs"/>
          <w:b/>
          <w:bCs/>
          <w:sz w:val="26"/>
          <w:szCs w:val="26"/>
          <w:rtl/>
        </w:rPr>
        <w:t xml:space="preserve">מתחמי </w:t>
      </w:r>
      <w:r>
        <w:rPr>
          <w:rFonts w:ascii="David" w:hAnsi="David"/>
          <w:b/>
          <w:bCs/>
          <w:sz w:val="26"/>
          <w:szCs w:val="26"/>
          <w:rtl/>
        </w:rPr>
        <w:t>הענישה</w:t>
      </w:r>
      <w:r>
        <w:rPr>
          <w:rFonts w:ascii="David" w:hAnsi="David"/>
          <w:sz w:val="26"/>
          <w:szCs w:val="26"/>
          <w:rtl/>
        </w:rPr>
        <w:t xml:space="preserve"> – </w:t>
      </w:r>
      <w:r>
        <w:rPr>
          <w:rFonts w:ascii="David" w:hAnsi="David" w:hint="cs"/>
          <w:sz w:val="26"/>
          <w:szCs w:val="26"/>
          <w:rtl/>
        </w:rPr>
        <w:t>נוכח מכלול הנסיבות שפורטו לעיל קובע את המתחמים הבאים:</w:t>
      </w:r>
    </w:p>
    <w:p w14:paraId="4E05FA54" w14:textId="77777777" w:rsidR="007E339F" w:rsidRDefault="007E339F" w:rsidP="007E339F">
      <w:pPr>
        <w:pStyle w:val="a9"/>
        <w:numPr>
          <w:ilvl w:val="0"/>
          <w:numId w:val="10"/>
        </w:numPr>
        <w:spacing w:after="160" w:line="360" w:lineRule="auto"/>
        <w:jc w:val="both"/>
        <w:rPr>
          <w:rFonts w:ascii="David" w:hAnsi="David"/>
          <w:sz w:val="26"/>
          <w:szCs w:val="26"/>
        </w:rPr>
      </w:pPr>
      <w:r>
        <w:rPr>
          <w:rFonts w:ascii="David" w:hAnsi="David" w:hint="cs"/>
          <w:sz w:val="26"/>
          <w:szCs w:val="26"/>
          <w:rtl/>
        </w:rPr>
        <w:t xml:space="preserve">התיק הראשון </w:t>
      </w:r>
      <w:r>
        <w:rPr>
          <w:rFonts w:ascii="David" w:hAnsi="David"/>
          <w:sz w:val="26"/>
          <w:szCs w:val="26"/>
          <w:rtl/>
        </w:rPr>
        <w:t>–</w:t>
      </w:r>
      <w:r>
        <w:rPr>
          <w:rFonts w:ascii="David" w:hAnsi="David" w:hint="cs"/>
          <w:sz w:val="26"/>
          <w:szCs w:val="26"/>
          <w:rtl/>
        </w:rPr>
        <w:t xml:space="preserve"> מאסר מותנה ועד חודש מאסר;</w:t>
      </w:r>
    </w:p>
    <w:p w14:paraId="56613E9B" w14:textId="77777777" w:rsidR="007E339F" w:rsidRDefault="007E339F" w:rsidP="007E339F">
      <w:pPr>
        <w:pStyle w:val="a9"/>
        <w:numPr>
          <w:ilvl w:val="0"/>
          <w:numId w:val="10"/>
        </w:numPr>
        <w:spacing w:after="160" w:line="360" w:lineRule="auto"/>
        <w:jc w:val="both"/>
        <w:rPr>
          <w:rFonts w:ascii="David" w:hAnsi="David"/>
          <w:sz w:val="26"/>
          <w:szCs w:val="26"/>
        </w:rPr>
      </w:pPr>
      <w:r>
        <w:rPr>
          <w:rFonts w:ascii="David" w:hAnsi="David" w:hint="cs"/>
          <w:sz w:val="26"/>
          <w:szCs w:val="26"/>
          <w:rtl/>
        </w:rPr>
        <w:t xml:space="preserve">התיק השני </w:t>
      </w:r>
      <w:r>
        <w:rPr>
          <w:rFonts w:ascii="David" w:hAnsi="David"/>
          <w:sz w:val="26"/>
          <w:szCs w:val="26"/>
          <w:rtl/>
        </w:rPr>
        <w:t>–</w:t>
      </w:r>
      <w:r>
        <w:rPr>
          <w:rFonts w:ascii="David" w:hAnsi="David" w:hint="cs"/>
          <w:sz w:val="26"/>
          <w:szCs w:val="26"/>
          <w:rtl/>
        </w:rPr>
        <w:t xml:space="preserve"> 9 </w:t>
      </w:r>
      <w:r>
        <w:rPr>
          <w:rFonts w:ascii="David" w:hAnsi="David"/>
          <w:sz w:val="26"/>
          <w:szCs w:val="26"/>
          <w:rtl/>
        </w:rPr>
        <w:t>–</w:t>
      </w:r>
      <w:r>
        <w:rPr>
          <w:rFonts w:ascii="David" w:hAnsi="David" w:hint="cs"/>
          <w:sz w:val="26"/>
          <w:szCs w:val="26"/>
          <w:rtl/>
        </w:rPr>
        <w:t xml:space="preserve"> 18 חודשים;</w:t>
      </w:r>
    </w:p>
    <w:p w14:paraId="6BABB532" w14:textId="77777777" w:rsidR="007E339F" w:rsidRDefault="007E339F" w:rsidP="007E339F">
      <w:pPr>
        <w:pStyle w:val="a9"/>
        <w:numPr>
          <w:ilvl w:val="0"/>
          <w:numId w:val="10"/>
        </w:numPr>
        <w:spacing w:after="160" w:line="360" w:lineRule="auto"/>
        <w:jc w:val="both"/>
        <w:rPr>
          <w:rFonts w:ascii="David" w:hAnsi="David"/>
          <w:sz w:val="26"/>
          <w:szCs w:val="26"/>
          <w:rtl/>
        </w:rPr>
      </w:pPr>
      <w:r>
        <w:rPr>
          <w:rFonts w:ascii="David" w:hAnsi="David" w:hint="cs"/>
          <w:sz w:val="26"/>
          <w:szCs w:val="26"/>
          <w:rtl/>
        </w:rPr>
        <w:t xml:space="preserve">התיק השלישי </w:t>
      </w:r>
      <w:r>
        <w:rPr>
          <w:rFonts w:ascii="David" w:hAnsi="David"/>
          <w:sz w:val="26"/>
          <w:szCs w:val="26"/>
          <w:rtl/>
        </w:rPr>
        <w:t>–</w:t>
      </w:r>
      <w:r>
        <w:rPr>
          <w:rFonts w:ascii="David" w:hAnsi="David" w:hint="cs"/>
          <w:sz w:val="26"/>
          <w:szCs w:val="26"/>
          <w:rtl/>
        </w:rPr>
        <w:t xml:space="preserve"> 8 </w:t>
      </w:r>
      <w:r>
        <w:rPr>
          <w:rFonts w:ascii="David" w:hAnsi="David"/>
          <w:sz w:val="26"/>
          <w:szCs w:val="26"/>
          <w:rtl/>
        </w:rPr>
        <w:t>–</w:t>
      </w:r>
      <w:r>
        <w:rPr>
          <w:rFonts w:ascii="David" w:hAnsi="David" w:hint="cs"/>
          <w:sz w:val="26"/>
          <w:szCs w:val="26"/>
          <w:rtl/>
        </w:rPr>
        <w:t xml:space="preserve"> 18 חודשים.</w:t>
      </w:r>
    </w:p>
    <w:p w14:paraId="355326CA" w14:textId="77777777" w:rsidR="007E339F" w:rsidRDefault="007E339F" w:rsidP="007E339F">
      <w:pPr>
        <w:spacing w:after="160" w:line="360" w:lineRule="auto"/>
        <w:jc w:val="both"/>
        <w:rPr>
          <w:rFonts w:ascii="David" w:hAnsi="David"/>
          <w:b/>
          <w:bCs/>
          <w:sz w:val="26"/>
          <w:szCs w:val="26"/>
          <w:rtl/>
        </w:rPr>
      </w:pPr>
    </w:p>
    <w:p w14:paraId="5203F550" w14:textId="77777777" w:rsidR="007E339F" w:rsidRDefault="007E339F" w:rsidP="007E339F">
      <w:pPr>
        <w:spacing w:after="160" w:line="360" w:lineRule="auto"/>
        <w:jc w:val="both"/>
        <w:rPr>
          <w:rFonts w:ascii="David" w:hAnsi="David"/>
          <w:b/>
          <w:bCs/>
          <w:sz w:val="26"/>
          <w:szCs w:val="26"/>
          <w:u w:val="single"/>
          <w:rtl/>
        </w:rPr>
      </w:pPr>
      <w:r>
        <w:rPr>
          <w:rFonts w:ascii="David" w:hAnsi="David"/>
          <w:b/>
          <w:bCs/>
          <w:sz w:val="26"/>
          <w:szCs w:val="26"/>
          <w:u w:val="single"/>
          <w:rtl/>
        </w:rPr>
        <w:t xml:space="preserve">נסיבות שאינן קשורות בביצוע העבירה </w:t>
      </w:r>
      <w:r>
        <w:rPr>
          <w:rFonts w:ascii="David" w:hAnsi="David" w:hint="cs"/>
          <w:b/>
          <w:bCs/>
          <w:sz w:val="26"/>
          <w:szCs w:val="26"/>
          <w:u w:val="single"/>
          <w:rtl/>
        </w:rPr>
        <w:t>והחריגה ממתחם העונש מטעמי שיקום</w:t>
      </w:r>
    </w:p>
    <w:p w14:paraId="7CE6E769" w14:textId="77777777" w:rsidR="007E339F" w:rsidRDefault="007E339F" w:rsidP="007E339F">
      <w:pPr>
        <w:pStyle w:val="a9"/>
        <w:numPr>
          <w:ilvl w:val="0"/>
          <w:numId w:val="2"/>
        </w:numPr>
        <w:spacing w:after="160" w:line="360" w:lineRule="auto"/>
        <w:jc w:val="both"/>
        <w:rPr>
          <w:rFonts w:ascii="David" w:hAnsi="David"/>
          <w:sz w:val="26"/>
          <w:szCs w:val="26"/>
        </w:rPr>
      </w:pPr>
      <w:r>
        <w:rPr>
          <w:rFonts w:ascii="David" w:hAnsi="David"/>
          <w:sz w:val="26"/>
          <w:szCs w:val="26"/>
          <w:rtl/>
        </w:rPr>
        <w:t>ניתן  לתת משקל לנסיבות הבאות שאינן קשורות בביצוע העבירה, במסגרת גזירת העונש בתוך המתחם:</w:t>
      </w:r>
      <w:r>
        <w:rPr>
          <w:rFonts w:ascii="David" w:hAnsi="David" w:hint="cs"/>
          <w:sz w:val="26"/>
          <w:szCs w:val="26"/>
          <w:rtl/>
        </w:rPr>
        <w:t xml:space="preserve"> מדובר בנאשם צעיר לימים המגיע מרקע מורכב מאוד. למרות רקע זה, גילה כוחות במובן זה שסיים 12 שנות לימוד, והתעקש להתגייס לצה"ל למרות שקיבל פטור משירות. הוא שירת שירות צבאי מלא ולאחר מכן עבד ברציפות בעבודות שונות. אין לנאשם רקע פלילי, והוא קיבל אחריות מלאה למעשים. שירות המבחן פירט בהרחבה על הקשר המורכב עם הנאשם, אך בסופו של דבר, בהינתן מכלול הנסיבות, הגיע למסקנה אותה אני מוצא לאמץ. אני סבור כי הנאשם שכשל כשל חמור (ולא חד-פעמי), חווה את ההליך הפלילי באופן מרתיע, ומינף אותו, בדרכו ועל-פי יכולותיו, על הצד הטוב ביותר. הוא לא פתח תיקים חדשים, הוא השתלב בעבודה והקים עסק משלו, הוא הסדיר את חובותיו והתרשמתי מקבלת האחריות הכנה מצדו, כמו גם מרצונו לערוך תהליך של צדק מאחה עם נפגע העבירה. </w:t>
      </w:r>
    </w:p>
    <w:p w14:paraId="41488FD2" w14:textId="77777777" w:rsidR="007E339F" w:rsidRDefault="007E339F" w:rsidP="007E339F">
      <w:pPr>
        <w:pStyle w:val="a9"/>
        <w:spacing w:after="160" w:line="360" w:lineRule="auto"/>
        <w:ind w:left="360"/>
        <w:jc w:val="both"/>
        <w:rPr>
          <w:rFonts w:ascii="David" w:hAnsi="David"/>
          <w:sz w:val="26"/>
          <w:szCs w:val="26"/>
        </w:rPr>
      </w:pPr>
    </w:p>
    <w:p w14:paraId="17C23BB1" w14:textId="77777777" w:rsidR="007E339F" w:rsidRDefault="007E339F" w:rsidP="007E339F">
      <w:pPr>
        <w:pStyle w:val="a9"/>
        <w:numPr>
          <w:ilvl w:val="0"/>
          <w:numId w:val="2"/>
        </w:numPr>
        <w:spacing w:after="160" w:line="360" w:lineRule="auto"/>
        <w:jc w:val="both"/>
        <w:rPr>
          <w:rFonts w:ascii="David" w:hAnsi="David"/>
          <w:sz w:val="26"/>
          <w:szCs w:val="26"/>
        </w:rPr>
      </w:pPr>
      <w:r>
        <w:rPr>
          <w:rFonts w:ascii="David" w:hAnsi="David" w:hint="cs"/>
          <w:sz w:val="26"/>
          <w:szCs w:val="26"/>
          <w:rtl/>
        </w:rPr>
        <w:t xml:space="preserve">אני סבור שעל-פי דרכו ויכולותיו (הנאשם מאובחן עם הפרעות קשב וריכוז שהשפיעו קשות על התנהלותו ותפקודו בתקופת התיכון), הנאשם הגיע להישגים משמעותיים אותם יש למדוד בהינתן הנתונים עליהם עמדתי. "שיקום" אינו אחיד וידוע שהוא תהליך היודע עליות ומורדות. כמו כן, יש לבחון "שיקום" בראי המשתקם ובנסיבותיו הקונקרטיות. </w:t>
      </w:r>
    </w:p>
    <w:p w14:paraId="1178A4F5" w14:textId="77777777" w:rsidR="007E339F" w:rsidRPr="00DB07AE" w:rsidRDefault="007E339F" w:rsidP="007E339F">
      <w:pPr>
        <w:pStyle w:val="a9"/>
        <w:rPr>
          <w:rFonts w:ascii="David" w:hAnsi="David"/>
          <w:sz w:val="26"/>
          <w:szCs w:val="26"/>
          <w:rtl/>
        </w:rPr>
      </w:pPr>
    </w:p>
    <w:p w14:paraId="5C5D128F" w14:textId="77777777" w:rsidR="007E339F" w:rsidRDefault="007E339F" w:rsidP="007E339F">
      <w:pPr>
        <w:pStyle w:val="a9"/>
        <w:numPr>
          <w:ilvl w:val="0"/>
          <w:numId w:val="2"/>
        </w:numPr>
        <w:spacing w:after="160" w:line="360" w:lineRule="auto"/>
        <w:jc w:val="both"/>
        <w:rPr>
          <w:rFonts w:ascii="David" w:hAnsi="David"/>
          <w:sz w:val="26"/>
          <w:szCs w:val="26"/>
        </w:rPr>
      </w:pPr>
      <w:r>
        <w:rPr>
          <w:rFonts w:ascii="David" w:hAnsi="David" w:hint="cs"/>
          <w:sz w:val="26"/>
          <w:szCs w:val="26"/>
          <w:rtl/>
        </w:rPr>
        <w:t xml:space="preserve">בהינתן נקודת ההתחלה של הנאשם, ובהינתן המקום בו הוא נמצא כיום, כאשר הוא בונה לו עתיד תעסוקתי עצמאי ולאחר שהסדיר את חובותיו, הטלת עונש מאסר ולוּ בעבודות שירות, יחבל בהישג העיקרי של הנאשם </w:t>
      </w:r>
      <w:r>
        <w:rPr>
          <w:rFonts w:ascii="David" w:hAnsi="David"/>
          <w:sz w:val="26"/>
          <w:szCs w:val="26"/>
          <w:rtl/>
        </w:rPr>
        <w:t>–</w:t>
      </w:r>
      <w:r>
        <w:rPr>
          <w:rFonts w:ascii="David" w:hAnsi="David" w:hint="cs"/>
          <w:sz w:val="26"/>
          <w:szCs w:val="26"/>
          <w:rtl/>
        </w:rPr>
        <w:t xml:space="preserve"> והוא הקמת עסקו </w:t>
      </w:r>
      <w:r>
        <w:rPr>
          <w:rFonts w:ascii="David" w:hAnsi="David"/>
          <w:sz w:val="26"/>
          <w:szCs w:val="26"/>
          <w:rtl/>
        </w:rPr>
        <w:t>–</w:t>
      </w:r>
      <w:r>
        <w:rPr>
          <w:rFonts w:ascii="David" w:hAnsi="David" w:hint="cs"/>
          <w:sz w:val="26"/>
          <w:szCs w:val="26"/>
          <w:rtl/>
        </w:rPr>
        <w:t xml:space="preserve"> ויחד עמו יוביל, בסבירות גבוהה, לקריסת כלל הישגיו. לתוצאה כזו תהא השלכה הרסנית על הנאשם ועל סביבתו, נוכח הצפי כי יחזור לדפוסים ישנים ואלימים, שלא באו לידי ביטוי בשנתיים האחרונות. </w:t>
      </w:r>
    </w:p>
    <w:p w14:paraId="799DE3B1" w14:textId="77777777" w:rsidR="007E339F" w:rsidRPr="00FB3B16" w:rsidRDefault="007E339F" w:rsidP="007E339F">
      <w:pPr>
        <w:pStyle w:val="a9"/>
        <w:rPr>
          <w:rFonts w:ascii="David" w:hAnsi="David"/>
          <w:sz w:val="26"/>
          <w:szCs w:val="26"/>
          <w:rtl/>
        </w:rPr>
      </w:pPr>
    </w:p>
    <w:p w14:paraId="39350526" w14:textId="77777777" w:rsidR="007E339F" w:rsidRDefault="007E339F" w:rsidP="007E339F">
      <w:pPr>
        <w:pStyle w:val="a9"/>
        <w:spacing w:after="160" w:line="360" w:lineRule="auto"/>
        <w:ind w:left="360"/>
        <w:jc w:val="both"/>
        <w:rPr>
          <w:rFonts w:ascii="David" w:hAnsi="David"/>
          <w:sz w:val="26"/>
          <w:szCs w:val="26"/>
        </w:rPr>
      </w:pPr>
    </w:p>
    <w:p w14:paraId="4213426B" w14:textId="77777777" w:rsidR="007E339F" w:rsidRDefault="007E339F" w:rsidP="007E339F">
      <w:pPr>
        <w:pStyle w:val="a9"/>
        <w:numPr>
          <w:ilvl w:val="0"/>
          <w:numId w:val="2"/>
        </w:numPr>
        <w:spacing w:after="160" w:line="360" w:lineRule="auto"/>
        <w:jc w:val="both"/>
        <w:rPr>
          <w:rFonts w:ascii="David" w:hAnsi="David"/>
          <w:sz w:val="26"/>
          <w:szCs w:val="26"/>
        </w:rPr>
      </w:pPr>
      <w:r>
        <w:rPr>
          <w:rFonts w:ascii="David" w:hAnsi="David" w:hint="cs"/>
          <w:sz w:val="26"/>
          <w:szCs w:val="26"/>
          <w:rtl/>
        </w:rPr>
        <w:t>ב</w:t>
      </w:r>
      <w:hyperlink r:id="rId33" w:history="1">
        <w:r w:rsidR="009D7E14" w:rsidRPr="009D7E14">
          <w:rPr>
            <w:rFonts w:ascii="David" w:hAnsi="David"/>
            <w:color w:val="0000FF"/>
            <w:sz w:val="26"/>
            <w:szCs w:val="26"/>
            <w:u w:val="single"/>
            <w:rtl/>
          </w:rPr>
          <w:t>ע"פ 6637/17</w:t>
        </w:r>
      </w:hyperlink>
      <w:r>
        <w:rPr>
          <w:rFonts w:ascii="David" w:hAnsi="David" w:hint="cs"/>
          <w:sz w:val="26"/>
          <w:szCs w:val="26"/>
          <w:rtl/>
        </w:rPr>
        <w:t xml:space="preserve"> </w:t>
      </w:r>
      <w:r w:rsidRPr="00DB07AE">
        <w:rPr>
          <w:rFonts w:ascii="David" w:hAnsi="David" w:hint="cs"/>
          <w:b/>
          <w:bCs/>
          <w:sz w:val="26"/>
          <w:szCs w:val="26"/>
          <w:rtl/>
        </w:rPr>
        <w:t>קרנדל נ' מ"י</w:t>
      </w:r>
      <w:r>
        <w:rPr>
          <w:rFonts w:ascii="David" w:hAnsi="David" w:hint="cs"/>
          <w:sz w:val="26"/>
          <w:szCs w:val="26"/>
          <w:rtl/>
        </w:rPr>
        <w:t xml:space="preserve"> (מיום 18.4.2018) עמדה כב' השופטת ברק-ארז על מהותו של השיקום והאפשרות של בית המשפט לחרוג ממתחמי העונש ההולמים מטעמים של שיקום, אף בעבירות קשות. בהקשר זה הפנתה כב' השופטת לשיקולים השונים שעל בית המשפט לשקול ובהם: "</w:t>
      </w:r>
      <w:r w:rsidRPr="00FB3B16">
        <w:rPr>
          <w:rFonts w:ascii="David" w:hAnsi="David" w:hint="cs"/>
          <w:b/>
          <w:bCs/>
          <w:sz w:val="26"/>
          <w:szCs w:val="26"/>
          <w:rtl/>
        </w:rPr>
        <w:t>המוטיבציה שהפגין האדם שהורשע להשתקם;... השתלבות מוצלחת בהליכים טיפוליים שונים; אינדיקציות לשינוי עמוק בהתנהגות ובדרך החשיבה; הבעת חרטה כנה על המעשים והפגנת אמפתיה כלפי נפגעי העבירה...</w:t>
      </w:r>
      <w:r>
        <w:rPr>
          <w:rFonts w:ascii="David" w:hAnsi="David" w:hint="cs"/>
          <w:sz w:val="26"/>
          <w:szCs w:val="26"/>
          <w:rtl/>
        </w:rPr>
        <w:t>" (</w:t>
      </w:r>
      <w:r w:rsidRPr="00DB07AE">
        <w:rPr>
          <w:rFonts w:ascii="David" w:hAnsi="David" w:hint="cs"/>
          <w:b/>
          <w:bCs/>
          <w:sz w:val="26"/>
          <w:szCs w:val="26"/>
          <w:rtl/>
        </w:rPr>
        <w:t>שם</w:t>
      </w:r>
      <w:r>
        <w:rPr>
          <w:rFonts w:ascii="David" w:hAnsi="David" w:hint="cs"/>
          <w:sz w:val="26"/>
          <w:szCs w:val="26"/>
          <w:rtl/>
        </w:rPr>
        <w:t>, פסקה 24). עוד נקבע כי אין מדובר ברשימה ממצה של שיקולים (</w:t>
      </w:r>
      <w:r w:rsidRPr="00DB07AE">
        <w:rPr>
          <w:rFonts w:ascii="David" w:hAnsi="David" w:hint="cs"/>
          <w:b/>
          <w:bCs/>
          <w:sz w:val="26"/>
          <w:szCs w:val="26"/>
          <w:rtl/>
        </w:rPr>
        <w:t>שם</w:t>
      </w:r>
      <w:r>
        <w:rPr>
          <w:rFonts w:ascii="David" w:hAnsi="David" w:hint="cs"/>
          <w:sz w:val="26"/>
          <w:szCs w:val="26"/>
          <w:rtl/>
        </w:rPr>
        <w:t xml:space="preserve">, פסקה 25). </w:t>
      </w:r>
    </w:p>
    <w:p w14:paraId="77E7E4E0" w14:textId="77777777" w:rsidR="007E339F" w:rsidRDefault="007E339F" w:rsidP="007E339F">
      <w:pPr>
        <w:pStyle w:val="a9"/>
        <w:spacing w:after="160" w:line="360" w:lineRule="auto"/>
        <w:ind w:left="360"/>
        <w:jc w:val="both"/>
        <w:rPr>
          <w:rFonts w:ascii="David" w:hAnsi="David"/>
          <w:sz w:val="26"/>
          <w:szCs w:val="26"/>
        </w:rPr>
      </w:pPr>
    </w:p>
    <w:p w14:paraId="164455B2" w14:textId="77777777" w:rsidR="007E339F" w:rsidRDefault="007E339F" w:rsidP="007E339F">
      <w:pPr>
        <w:pStyle w:val="a9"/>
        <w:numPr>
          <w:ilvl w:val="0"/>
          <w:numId w:val="2"/>
        </w:numPr>
        <w:spacing w:after="160" w:line="360" w:lineRule="auto"/>
        <w:jc w:val="both"/>
        <w:rPr>
          <w:rFonts w:ascii="David" w:hAnsi="David"/>
          <w:sz w:val="26"/>
          <w:szCs w:val="26"/>
        </w:rPr>
      </w:pPr>
      <w:r>
        <w:rPr>
          <w:rFonts w:ascii="David" w:hAnsi="David" w:hint="cs"/>
          <w:sz w:val="26"/>
          <w:szCs w:val="26"/>
          <w:rtl/>
        </w:rPr>
        <w:t xml:space="preserve">יישום האמור על מקרנו מלמד, כי הגם שהנאשם לא השלים את הטיפול בשירות המבחן, הרי שבטיפולים בהם השתתף, נטל חלק משמעותי והפיק מהם תועלת, כעולה מהתסקיר. המלצתו של שירות המבחן בהקשר איננה מובנת מאליה נוכח התנהלותו של הנאשם אל מול השירות, ואולם נדמה לי, כי השירות היטיב לקלוע להבנת הנאשם ומניעיו. </w:t>
      </w:r>
    </w:p>
    <w:p w14:paraId="56984BEE" w14:textId="77777777" w:rsidR="007E339F" w:rsidRPr="00FB3B16" w:rsidRDefault="007E339F" w:rsidP="007E339F">
      <w:pPr>
        <w:pStyle w:val="a9"/>
        <w:rPr>
          <w:rFonts w:ascii="David" w:hAnsi="David"/>
          <w:sz w:val="26"/>
          <w:szCs w:val="26"/>
          <w:rtl/>
        </w:rPr>
      </w:pPr>
    </w:p>
    <w:p w14:paraId="2BA5C121" w14:textId="77777777" w:rsidR="007E339F" w:rsidRDefault="007E339F" w:rsidP="007E339F">
      <w:pPr>
        <w:pStyle w:val="a9"/>
        <w:numPr>
          <w:ilvl w:val="0"/>
          <w:numId w:val="2"/>
        </w:numPr>
        <w:spacing w:after="160" w:line="360" w:lineRule="auto"/>
        <w:jc w:val="both"/>
        <w:rPr>
          <w:rFonts w:ascii="David" w:hAnsi="David"/>
          <w:sz w:val="26"/>
          <w:szCs w:val="26"/>
        </w:rPr>
      </w:pPr>
      <w:r>
        <w:rPr>
          <w:rFonts w:ascii="David" w:hAnsi="David" w:hint="cs"/>
          <w:sz w:val="26"/>
          <w:szCs w:val="26"/>
          <w:rtl/>
        </w:rPr>
        <w:t xml:space="preserve">התנהלותו של הנאשם בשנתיים האחרונות, עלייתו על פסי יציבות תעסוקתית, סגירת חובותיו, וכן האחריות המלאה שקיבל למעשיו ונכונותו ורצונו לעבור מול המתלונן תהליך של "צדק מאחה", מלמדים על שינוי מהותי בדפוסי חשיבתו והתנהגותו. כל אלה מלמדים על כך שלא רק שקיים פוטנציאל שיקום, אלא שיש תקווה שהנאשם אכן השתקם וישמור על הישגיו. </w:t>
      </w:r>
    </w:p>
    <w:p w14:paraId="10EED666" w14:textId="77777777" w:rsidR="007E339F" w:rsidRPr="00FB3B16" w:rsidRDefault="007E339F" w:rsidP="007E339F">
      <w:pPr>
        <w:pStyle w:val="a9"/>
        <w:rPr>
          <w:rFonts w:ascii="David" w:hAnsi="David"/>
          <w:sz w:val="26"/>
          <w:szCs w:val="26"/>
          <w:rtl/>
        </w:rPr>
      </w:pPr>
    </w:p>
    <w:p w14:paraId="35A3BE81" w14:textId="77777777" w:rsidR="007E339F" w:rsidRDefault="007E339F" w:rsidP="007E339F">
      <w:pPr>
        <w:pStyle w:val="a9"/>
        <w:numPr>
          <w:ilvl w:val="0"/>
          <w:numId w:val="2"/>
        </w:numPr>
        <w:spacing w:after="160" w:line="360" w:lineRule="auto"/>
        <w:jc w:val="both"/>
        <w:rPr>
          <w:rFonts w:ascii="David" w:hAnsi="David"/>
          <w:sz w:val="26"/>
          <w:szCs w:val="26"/>
        </w:rPr>
      </w:pPr>
      <w:r>
        <w:rPr>
          <w:rFonts w:ascii="David" w:hAnsi="David" w:hint="cs"/>
          <w:sz w:val="26"/>
          <w:szCs w:val="26"/>
          <w:rtl/>
        </w:rPr>
        <w:t xml:space="preserve">נוכח כל האמור, סברתי שמקרה זה מצדיק סטייה משמעותית ממתחמי הענישה, תוך אימוץ המלצתו העונשית של שירות המבחן, באופן שמתיישב הן עם עקרון ההלימה, והן עם נסיבותיו ומגבלותיו של הנאשם. </w:t>
      </w:r>
    </w:p>
    <w:p w14:paraId="65D01E39" w14:textId="77777777" w:rsidR="007E339F" w:rsidRDefault="007E339F" w:rsidP="007E339F">
      <w:pPr>
        <w:spacing w:after="160" w:line="360" w:lineRule="auto"/>
        <w:jc w:val="both"/>
        <w:rPr>
          <w:rFonts w:ascii="David" w:hAnsi="David"/>
          <w:b/>
          <w:bCs/>
          <w:sz w:val="26"/>
          <w:szCs w:val="26"/>
          <w:u w:val="single"/>
          <w:rtl/>
        </w:rPr>
      </w:pPr>
      <w:r>
        <w:rPr>
          <w:rFonts w:ascii="David" w:hAnsi="David"/>
          <w:b/>
          <w:bCs/>
          <w:sz w:val="26"/>
          <w:szCs w:val="26"/>
          <w:u w:val="single"/>
          <w:rtl/>
        </w:rPr>
        <w:t>גזירת הדין</w:t>
      </w:r>
    </w:p>
    <w:p w14:paraId="7C2455DB" w14:textId="77777777" w:rsidR="007E339F" w:rsidRDefault="007E339F" w:rsidP="007E339F">
      <w:pPr>
        <w:pStyle w:val="a9"/>
        <w:numPr>
          <w:ilvl w:val="0"/>
          <w:numId w:val="2"/>
        </w:numPr>
        <w:spacing w:after="160" w:line="360" w:lineRule="auto"/>
        <w:jc w:val="both"/>
        <w:rPr>
          <w:rFonts w:ascii="David" w:hAnsi="David"/>
          <w:sz w:val="26"/>
          <w:szCs w:val="26"/>
          <w:rtl/>
        </w:rPr>
      </w:pPr>
      <w:r>
        <w:rPr>
          <w:rFonts w:ascii="David" w:hAnsi="David"/>
          <w:sz w:val="26"/>
          <w:szCs w:val="26"/>
          <w:rtl/>
        </w:rPr>
        <w:t>לפיכך, אני מחליט לגזור על הנאשם את העונשים הבאים:</w:t>
      </w:r>
    </w:p>
    <w:p w14:paraId="18FEBB01" w14:textId="77777777" w:rsidR="007E339F" w:rsidRDefault="007E339F" w:rsidP="007E339F">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500 </w:t>
      </w:r>
      <w:r>
        <w:rPr>
          <w:rFonts w:ascii="David" w:hAnsi="David"/>
          <w:sz w:val="26"/>
          <w:szCs w:val="26"/>
          <w:rtl/>
        </w:rPr>
        <w:t xml:space="preserve">שעות שירות לתועלת הציבור (של"ץ), אשר ירוצו </w:t>
      </w:r>
      <w:r>
        <w:rPr>
          <w:rFonts w:ascii="David" w:hAnsi="David" w:hint="cs"/>
          <w:sz w:val="26"/>
          <w:szCs w:val="26"/>
          <w:rtl/>
        </w:rPr>
        <w:t>לא לפני 1.8.2024 ע"פ תוכנית שיגיש שירות המבחן לאישורו של בית המשפט עד ליום 1.7.204;</w:t>
      </w:r>
    </w:p>
    <w:p w14:paraId="7F58E65B" w14:textId="77777777" w:rsidR="007E339F" w:rsidRDefault="007E339F" w:rsidP="007E339F">
      <w:pPr>
        <w:numPr>
          <w:ilvl w:val="0"/>
          <w:numId w:val="1"/>
        </w:numPr>
        <w:spacing w:after="160" w:line="360" w:lineRule="auto"/>
        <w:contextualSpacing/>
        <w:jc w:val="both"/>
        <w:rPr>
          <w:rFonts w:ascii="David" w:hAnsi="David"/>
          <w:sz w:val="26"/>
          <w:szCs w:val="26"/>
          <w:rtl/>
        </w:rPr>
      </w:pPr>
      <w:r>
        <w:rPr>
          <w:rFonts w:ascii="David" w:hAnsi="David" w:hint="cs"/>
          <w:sz w:val="26"/>
          <w:szCs w:val="26"/>
          <w:rtl/>
        </w:rPr>
        <w:t>6</w:t>
      </w:r>
      <w:r>
        <w:rPr>
          <w:rFonts w:ascii="David" w:hAnsi="David"/>
          <w:sz w:val="26"/>
          <w:szCs w:val="26"/>
          <w:rtl/>
        </w:rPr>
        <w:t xml:space="preserve"> חודשי מאסר על-תנאי, שלא יעבור הנאשם בתוך </w:t>
      </w:r>
      <w:r>
        <w:rPr>
          <w:rFonts w:ascii="David" w:hAnsi="David" w:hint="cs"/>
          <w:sz w:val="26"/>
          <w:szCs w:val="26"/>
          <w:rtl/>
        </w:rPr>
        <w:t xml:space="preserve">3 </w:t>
      </w:r>
      <w:r>
        <w:rPr>
          <w:rFonts w:ascii="David" w:hAnsi="David"/>
          <w:sz w:val="26"/>
          <w:szCs w:val="26"/>
          <w:rtl/>
        </w:rPr>
        <w:t>שנים מהיום</w:t>
      </w:r>
      <w:r>
        <w:rPr>
          <w:rFonts w:ascii="David" w:hAnsi="David" w:hint="cs"/>
          <w:sz w:val="26"/>
          <w:szCs w:val="26"/>
          <w:rtl/>
        </w:rPr>
        <w:t xml:space="preserve"> כל עבירת אלימות מסוג פשע</w:t>
      </w:r>
      <w:r>
        <w:rPr>
          <w:rFonts w:ascii="David" w:hAnsi="David"/>
          <w:sz w:val="26"/>
          <w:szCs w:val="26"/>
          <w:rtl/>
        </w:rPr>
        <w:t>;</w:t>
      </w:r>
    </w:p>
    <w:p w14:paraId="108A3ED3" w14:textId="77777777" w:rsidR="007E339F" w:rsidRDefault="007E339F" w:rsidP="007E339F">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3 </w:t>
      </w:r>
      <w:r>
        <w:rPr>
          <w:rFonts w:ascii="David" w:hAnsi="David"/>
          <w:sz w:val="26"/>
          <w:szCs w:val="26"/>
          <w:rtl/>
        </w:rPr>
        <w:t xml:space="preserve">חודשי מאסר על-תנאי, שלא יעבור הנאשם בתוך </w:t>
      </w:r>
      <w:r>
        <w:rPr>
          <w:rFonts w:ascii="David" w:hAnsi="David" w:hint="cs"/>
          <w:sz w:val="26"/>
          <w:szCs w:val="26"/>
          <w:rtl/>
        </w:rPr>
        <w:t xml:space="preserve">3 </w:t>
      </w:r>
      <w:r>
        <w:rPr>
          <w:rFonts w:ascii="David" w:hAnsi="David"/>
          <w:sz w:val="26"/>
          <w:szCs w:val="26"/>
          <w:rtl/>
        </w:rPr>
        <w:t>שנים מהיום</w:t>
      </w:r>
      <w:r>
        <w:rPr>
          <w:rFonts w:ascii="David" w:hAnsi="David" w:hint="cs"/>
          <w:sz w:val="26"/>
          <w:szCs w:val="26"/>
          <w:rtl/>
        </w:rPr>
        <w:t xml:space="preserve"> כל עבירת רכוש מסוג עוון לרבות איומים</w:t>
      </w:r>
      <w:r>
        <w:rPr>
          <w:rFonts w:ascii="David" w:hAnsi="David"/>
          <w:sz w:val="26"/>
          <w:szCs w:val="26"/>
          <w:rtl/>
        </w:rPr>
        <w:t>;</w:t>
      </w:r>
    </w:p>
    <w:p w14:paraId="2298F19B" w14:textId="77777777" w:rsidR="007E339F" w:rsidRDefault="007E339F" w:rsidP="007E339F">
      <w:pPr>
        <w:numPr>
          <w:ilvl w:val="0"/>
          <w:numId w:val="1"/>
        </w:numPr>
        <w:spacing w:after="160" w:line="360" w:lineRule="auto"/>
        <w:contextualSpacing/>
        <w:jc w:val="both"/>
        <w:rPr>
          <w:rFonts w:ascii="David" w:hAnsi="David"/>
          <w:sz w:val="26"/>
          <w:szCs w:val="26"/>
          <w:rtl/>
        </w:rPr>
      </w:pPr>
      <w:r>
        <w:rPr>
          <w:rFonts w:ascii="David" w:hAnsi="David"/>
          <w:sz w:val="26"/>
          <w:szCs w:val="26"/>
          <w:rtl/>
        </w:rPr>
        <w:t>קנס בסך</w:t>
      </w:r>
      <w:r>
        <w:rPr>
          <w:rFonts w:ascii="David" w:hAnsi="David" w:hint="cs"/>
          <w:sz w:val="26"/>
          <w:szCs w:val="26"/>
          <w:rtl/>
        </w:rPr>
        <w:t xml:space="preserve"> 1,000 </w:t>
      </w:r>
      <w:r>
        <w:rPr>
          <w:rFonts w:ascii="David" w:hAnsi="David"/>
          <w:sz w:val="26"/>
          <w:szCs w:val="26"/>
          <w:rtl/>
        </w:rPr>
        <w:t xml:space="preserve">₪, או </w:t>
      </w:r>
      <w:r>
        <w:rPr>
          <w:rFonts w:ascii="David" w:hAnsi="David" w:hint="cs"/>
          <w:sz w:val="26"/>
          <w:szCs w:val="26"/>
          <w:rtl/>
        </w:rPr>
        <w:t xml:space="preserve">4 </w:t>
      </w:r>
      <w:r>
        <w:rPr>
          <w:rFonts w:ascii="David" w:hAnsi="David"/>
          <w:sz w:val="26"/>
          <w:szCs w:val="26"/>
          <w:rtl/>
        </w:rPr>
        <w:t>ימי מאסר תמורתו אם לא ישולם. הקנס ישולם ב-</w:t>
      </w:r>
      <w:r>
        <w:rPr>
          <w:rFonts w:ascii="David" w:hAnsi="David" w:hint="cs"/>
          <w:sz w:val="26"/>
          <w:szCs w:val="26"/>
          <w:rtl/>
        </w:rPr>
        <w:t>4</w:t>
      </w:r>
      <w:r>
        <w:rPr>
          <w:rFonts w:ascii="David" w:hAnsi="David"/>
          <w:sz w:val="26"/>
          <w:szCs w:val="26"/>
          <w:rtl/>
        </w:rPr>
        <w:t xml:space="preserve"> תשלומים שווים ורצופים החל מיום </w:t>
      </w:r>
      <w:r>
        <w:rPr>
          <w:rFonts w:ascii="David" w:hAnsi="David" w:hint="cs"/>
          <w:sz w:val="26"/>
          <w:szCs w:val="26"/>
          <w:rtl/>
        </w:rPr>
        <w:t xml:space="preserve">1.11.2024 </w:t>
      </w:r>
      <w:r>
        <w:rPr>
          <w:rFonts w:ascii="David" w:hAnsi="David"/>
          <w:sz w:val="26"/>
          <w:szCs w:val="26"/>
          <w:rtl/>
        </w:rPr>
        <w:t xml:space="preserve">ובכל </w:t>
      </w:r>
      <w:r>
        <w:rPr>
          <w:rFonts w:ascii="David" w:hAnsi="David" w:hint="cs"/>
          <w:sz w:val="26"/>
          <w:szCs w:val="26"/>
          <w:rtl/>
        </w:rPr>
        <w:t xml:space="preserve">1 </w:t>
      </w:r>
      <w:r>
        <w:rPr>
          <w:rFonts w:ascii="David" w:hAnsi="David"/>
          <w:sz w:val="26"/>
          <w:szCs w:val="26"/>
          <w:rtl/>
        </w:rPr>
        <w:t>בחודש. לא ישולם תשלום במועד או לא ישולם כלל, יעמוד הקנס לפירעון מיידי;</w:t>
      </w:r>
    </w:p>
    <w:p w14:paraId="60798FB0" w14:textId="77777777" w:rsidR="007E339F" w:rsidRDefault="007E339F" w:rsidP="007E339F">
      <w:pPr>
        <w:numPr>
          <w:ilvl w:val="0"/>
          <w:numId w:val="1"/>
        </w:numPr>
        <w:spacing w:after="160" w:line="360" w:lineRule="auto"/>
        <w:contextualSpacing/>
        <w:jc w:val="both"/>
        <w:rPr>
          <w:rFonts w:ascii="David" w:hAnsi="David"/>
          <w:sz w:val="26"/>
          <w:szCs w:val="26"/>
          <w:rtl/>
        </w:rPr>
      </w:pPr>
      <w:r>
        <w:rPr>
          <w:rFonts w:ascii="David" w:hAnsi="David"/>
          <w:sz w:val="26"/>
          <w:szCs w:val="26"/>
          <w:rtl/>
        </w:rPr>
        <w:t xml:space="preserve">צו מבחן לתקופה של </w:t>
      </w:r>
      <w:r>
        <w:rPr>
          <w:rFonts w:ascii="David" w:hAnsi="David" w:hint="cs"/>
          <w:sz w:val="26"/>
          <w:szCs w:val="26"/>
          <w:rtl/>
        </w:rPr>
        <w:t xml:space="preserve">12 </w:t>
      </w:r>
      <w:r>
        <w:rPr>
          <w:rFonts w:ascii="David" w:hAnsi="David"/>
          <w:sz w:val="26"/>
          <w:szCs w:val="26"/>
          <w:rtl/>
        </w:rPr>
        <w:t>חודשים</w:t>
      </w:r>
      <w:r>
        <w:rPr>
          <w:rFonts w:ascii="David" w:hAnsi="David" w:hint="cs"/>
          <w:sz w:val="26"/>
          <w:szCs w:val="26"/>
          <w:rtl/>
        </w:rPr>
        <w:t xml:space="preserve"> מהיום, במסגרתו ייבחן ניהול תהליך של צדק מאחה נוכח הבעת הרצון מצד הנאשם. כמו כן ייקח שירות המבחן בדיקות שתן מהנאשם</w:t>
      </w:r>
      <w:r>
        <w:rPr>
          <w:rFonts w:ascii="David" w:hAnsi="David"/>
          <w:sz w:val="26"/>
          <w:szCs w:val="26"/>
          <w:rtl/>
        </w:rPr>
        <w:t>;</w:t>
      </w:r>
    </w:p>
    <w:p w14:paraId="328A3E9C" w14:textId="77777777" w:rsidR="007E339F" w:rsidRDefault="007E339F" w:rsidP="007E339F">
      <w:pPr>
        <w:numPr>
          <w:ilvl w:val="0"/>
          <w:numId w:val="1"/>
        </w:numPr>
        <w:spacing w:after="160" w:line="360" w:lineRule="auto"/>
        <w:contextualSpacing/>
        <w:jc w:val="both"/>
        <w:rPr>
          <w:rFonts w:ascii="David" w:hAnsi="David"/>
          <w:sz w:val="26"/>
          <w:szCs w:val="26"/>
        </w:rPr>
      </w:pPr>
      <w:r>
        <w:rPr>
          <w:rFonts w:ascii="David" w:hAnsi="David"/>
          <w:sz w:val="26"/>
          <w:szCs w:val="26"/>
          <w:rtl/>
        </w:rPr>
        <w:t xml:space="preserve">פיצוי למתלונן </w:t>
      </w:r>
      <w:r>
        <w:rPr>
          <w:rFonts w:ascii="David" w:hAnsi="David" w:hint="cs"/>
          <w:sz w:val="26"/>
          <w:szCs w:val="26"/>
          <w:rtl/>
        </w:rPr>
        <w:t xml:space="preserve">א"ס, ע"ת 9 בתיק השני, </w:t>
      </w:r>
      <w:r>
        <w:rPr>
          <w:rFonts w:ascii="David" w:hAnsi="David"/>
          <w:sz w:val="26"/>
          <w:szCs w:val="26"/>
          <w:rtl/>
        </w:rPr>
        <w:t xml:space="preserve">בסך </w:t>
      </w:r>
      <w:r>
        <w:rPr>
          <w:rFonts w:ascii="David" w:hAnsi="David" w:hint="cs"/>
          <w:sz w:val="26"/>
          <w:szCs w:val="26"/>
          <w:rtl/>
        </w:rPr>
        <w:t>6,000 ₪</w:t>
      </w:r>
      <w:r>
        <w:rPr>
          <w:rFonts w:ascii="David" w:hAnsi="David"/>
          <w:sz w:val="26"/>
          <w:szCs w:val="26"/>
          <w:rtl/>
        </w:rPr>
        <w:t xml:space="preserve">. הפיצוי ישולם </w:t>
      </w:r>
      <w:r>
        <w:rPr>
          <w:rFonts w:ascii="David" w:hAnsi="David" w:hint="cs"/>
          <w:sz w:val="26"/>
          <w:szCs w:val="26"/>
          <w:rtl/>
        </w:rPr>
        <w:t>עד ליום 1.8.2024;</w:t>
      </w:r>
    </w:p>
    <w:p w14:paraId="7C90C12F" w14:textId="77777777" w:rsidR="007E339F" w:rsidRDefault="007E339F" w:rsidP="007E339F">
      <w:pPr>
        <w:numPr>
          <w:ilvl w:val="0"/>
          <w:numId w:val="1"/>
        </w:numPr>
        <w:spacing w:after="160" w:line="360" w:lineRule="auto"/>
        <w:contextualSpacing/>
        <w:jc w:val="both"/>
        <w:rPr>
          <w:rFonts w:ascii="David" w:hAnsi="David"/>
          <w:sz w:val="26"/>
          <w:szCs w:val="26"/>
          <w:rtl/>
        </w:rPr>
      </w:pPr>
      <w:r>
        <w:rPr>
          <w:rFonts w:ascii="David" w:hAnsi="David" w:hint="cs"/>
          <w:sz w:val="26"/>
          <w:szCs w:val="26"/>
          <w:rtl/>
        </w:rPr>
        <w:t>פיצוי למתלונן נ"ש, ע"ת 2 בתיק השלישי, בסך 6,000 ₪. הפיצוי ישולם עד ליום 1.8.2024;</w:t>
      </w:r>
    </w:p>
    <w:p w14:paraId="58501219" w14:textId="77777777" w:rsidR="007E339F" w:rsidRDefault="007E339F" w:rsidP="007E339F">
      <w:pPr>
        <w:numPr>
          <w:ilvl w:val="0"/>
          <w:numId w:val="1"/>
        </w:numPr>
        <w:spacing w:after="160" w:line="360" w:lineRule="auto"/>
        <w:contextualSpacing/>
        <w:jc w:val="both"/>
        <w:rPr>
          <w:rFonts w:ascii="David" w:hAnsi="David"/>
          <w:sz w:val="26"/>
          <w:szCs w:val="26"/>
        </w:rPr>
      </w:pPr>
      <w:r>
        <w:rPr>
          <w:rFonts w:ascii="David" w:hAnsi="David"/>
          <w:sz w:val="26"/>
          <w:szCs w:val="26"/>
          <w:rtl/>
        </w:rPr>
        <w:t>התחייבות בסך</w:t>
      </w:r>
      <w:r>
        <w:rPr>
          <w:rFonts w:ascii="David" w:hAnsi="David" w:hint="cs"/>
          <w:sz w:val="26"/>
          <w:szCs w:val="26"/>
          <w:rtl/>
        </w:rPr>
        <w:t xml:space="preserve"> 20,000 </w:t>
      </w:r>
      <w:r>
        <w:rPr>
          <w:rFonts w:ascii="David" w:hAnsi="David"/>
          <w:sz w:val="26"/>
          <w:szCs w:val="26"/>
          <w:rtl/>
        </w:rPr>
        <w:t xml:space="preserve">₪ שלא לעבור כל </w:t>
      </w:r>
      <w:r>
        <w:rPr>
          <w:rFonts w:ascii="David" w:hAnsi="David" w:hint="cs"/>
          <w:sz w:val="26"/>
          <w:szCs w:val="26"/>
          <w:rtl/>
        </w:rPr>
        <w:t xml:space="preserve">עבירת אלימות מסוג פשע </w:t>
      </w:r>
      <w:r>
        <w:rPr>
          <w:rFonts w:ascii="David" w:hAnsi="David"/>
          <w:sz w:val="26"/>
          <w:szCs w:val="26"/>
          <w:rtl/>
        </w:rPr>
        <w:t>במשך שנתיים מהיום. הובהר לנאשם שמשמעות ההתחייבות היא, כי אם יעבור את העבירה בתוך התקופה שצוינה, בית המשפט שיגזור את הדין יהא חייב לחלט את ההתחייבות כקנס.</w:t>
      </w:r>
    </w:p>
    <w:p w14:paraId="12D323D3" w14:textId="77777777" w:rsidR="007E339F" w:rsidRDefault="007E339F" w:rsidP="007E339F">
      <w:pPr>
        <w:spacing w:after="160" w:line="360" w:lineRule="auto"/>
        <w:rPr>
          <w:rFonts w:ascii="David" w:hAnsi="David"/>
          <w:sz w:val="26"/>
          <w:szCs w:val="26"/>
        </w:rPr>
      </w:pPr>
    </w:p>
    <w:p w14:paraId="491207DB" w14:textId="77777777" w:rsidR="007E339F" w:rsidRDefault="007E339F" w:rsidP="007E339F">
      <w:pPr>
        <w:spacing w:after="160" w:line="360" w:lineRule="auto"/>
        <w:jc w:val="both"/>
        <w:rPr>
          <w:rFonts w:ascii="David" w:hAnsi="David"/>
          <w:b/>
          <w:bCs/>
          <w:sz w:val="26"/>
          <w:szCs w:val="26"/>
          <w:rtl/>
        </w:rPr>
      </w:pPr>
      <w:r>
        <w:rPr>
          <w:rFonts w:ascii="David" w:hAnsi="David"/>
          <w:b/>
          <w:bCs/>
          <w:sz w:val="26"/>
          <w:szCs w:val="26"/>
          <w:rtl/>
        </w:rPr>
        <w:t>הנאשם הוזהר כי אי ביצוע צו המבחן וצו השל"ץ עלול להוביל להפקעתם ולהטלת כל עונש חלופי לרבות מאסר.</w:t>
      </w:r>
    </w:p>
    <w:p w14:paraId="53C42ADC" w14:textId="77777777" w:rsidR="007E339F" w:rsidRDefault="007E339F" w:rsidP="007E339F">
      <w:pPr>
        <w:spacing w:line="360" w:lineRule="auto"/>
        <w:jc w:val="both"/>
        <w:rPr>
          <w:rFonts w:ascii="David" w:hAnsi="David"/>
          <w:b/>
          <w:bCs/>
          <w:sz w:val="26"/>
          <w:szCs w:val="26"/>
          <w:rtl/>
        </w:rPr>
      </w:pPr>
    </w:p>
    <w:p w14:paraId="27AD0CA5" w14:textId="77777777" w:rsidR="007E339F" w:rsidRDefault="007E339F" w:rsidP="007E339F">
      <w:pPr>
        <w:spacing w:line="360" w:lineRule="auto"/>
        <w:jc w:val="both"/>
        <w:rPr>
          <w:rFonts w:ascii="David" w:hAnsi="David"/>
          <w:b/>
          <w:bCs/>
          <w:sz w:val="26"/>
          <w:szCs w:val="26"/>
          <w:rtl/>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34CADDCC" w14:textId="77777777" w:rsidR="007E339F" w:rsidRDefault="007E339F" w:rsidP="007E339F">
      <w:pPr>
        <w:pStyle w:val="a9"/>
        <w:numPr>
          <w:ilvl w:val="0"/>
          <w:numId w:val="3"/>
        </w:numPr>
        <w:spacing w:line="360" w:lineRule="auto"/>
        <w:jc w:val="both"/>
        <w:rPr>
          <w:rFonts w:ascii="David" w:hAnsi="David"/>
          <w:b/>
          <w:bCs/>
          <w:sz w:val="26"/>
          <w:szCs w:val="26"/>
          <w:rtl/>
          <w:lang w:bidi="ar-JO"/>
        </w:rPr>
      </w:pPr>
      <w:r>
        <w:rPr>
          <w:rFonts w:ascii="David" w:hAnsi="David"/>
          <w:b/>
          <w:bCs/>
          <w:sz w:val="26"/>
          <w:szCs w:val="26"/>
          <w:rtl/>
        </w:rPr>
        <w:t xml:space="preserve">בכרטיס אשראי באתר </w:t>
      </w:r>
      <w:hyperlink r:id="rId34"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65ABBC5D" w14:textId="77777777" w:rsidR="007E339F" w:rsidRDefault="007E339F" w:rsidP="007E339F">
      <w:pPr>
        <w:pStyle w:val="a9"/>
        <w:numPr>
          <w:ilvl w:val="0"/>
          <w:numId w:val="3"/>
        </w:numPr>
        <w:spacing w:line="360" w:lineRule="auto"/>
        <w:jc w:val="both"/>
        <w:rPr>
          <w:rFonts w:ascii="David" w:hAnsi="David"/>
          <w:b/>
          <w:bCs/>
          <w:sz w:val="26"/>
          <w:szCs w:val="26"/>
          <w:rtl/>
        </w:rPr>
      </w:pPr>
      <w:r>
        <w:rPr>
          <w:rFonts w:ascii="David" w:hAnsi="David"/>
          <w:b/>
          <w:bCs/>
          <w:sz w:val="26"/>
          <w:szCs w:val="26"/>
          <w:rtl/>
        </w:rPr>
        <w:t>בטלפון: 35592* או 073-2055000</w:t>
      </w:r>
    </w:p>
    <w:p w14:paraId="08663326" w14:textId="77777777" w:rsidR="007E339F" w:rsidRDefault="007E339F" w:rsidP="007E339F">
      <w:pPr>
        <w:pStyle w:val="a9"/>
        <w:numPr>
          <w:ilvl w:val="0"/>
          <w:numId w:val="3"/>
        </w:numPr>
        <w:spacing w:line="360" w:lineRule="auto"/>
        <w:jc w:val="both"/>
        <w:rPr>
          <w:rFonts w:ascii="David" w:hAnsi="David"/>
          <w:b/>
          <w:bCs/>
          <w:sz w:val="26"/>
          <w:szCs w:val="26"/>
          <w:rtl/>
        </w:rPr>
      </w:pPr>
      <w:r>
        <w:rPr>
          <w:rFonts w:ascii="David" w:hAnsi="David"/>
          <w:b/>
          <w:bCs/>
          <w:sz w:val="26"/>
          <w:szCs w:val="26"/>
          <w:rtl/>
        </w:rPr>
        <w:t>במזומן בכל סניף של בנק הדואר בהצגת תעודת זהות בלבד</w:t>
      </w:r>
    </w:p>
    <w:p w14:paraId="53C4F9D7" w14:textId="77777777" w:rsidR="007E339F" w:rsidRDefault="007E339F" w:rsidP="007E339F">
      <w:pPr>
        <w:spacing w:line="360" w:lineRule="auto"/>
        <w:jc w:val="both"/>
        <w:rPr>
          <w:rFonts w:ascii="David" w:hAnsi="David"/>
          <w:b/>
          <w:bCs/>
          <w:sz w:val="26"/>
          <w:szCs w:val="26"/>
        </w:rPr>
      </w:pPr>
      <w:r>
        <w:rPr>
          <w:rFonts w:ascii="David" w:hAnsi="David"/>
          <w:b/>
          <w:bCs/>
          <w:sz w:val="26"/>
          <w:szCs w:val="26"/>
          <w:rtl/>
        </w:rPr>
        <w:t>לא יונפקו שוברי תשלום.</w:t>
      </w:r>
    </w:p>
    <w:p w14:paraId="46B1A06C" w14:textId="77777777" w:rsidR="007E339F" w:rsidRDefault="007E339F" w:rsidP="007E339F">
      <w:pPr>
        <w:spacing w:line="360" w:lineRule="auto"/>
        <w:jc w:val="both"/>
        <w:rPr>
          <w:b/>
          <w:bCs/>
          <w:sz w:val="26"/>
          <w:szCs w:val="26"/>
        </w:rPr>
      </w:pPr>
      <w:r>
        <w:rPr>
          <w:b/>
          <w:bCs/>
          <w:sz w:val="26"/>
          <w:szCs w:val="26"/>
          <w:rtl/>
        </w:rPr>
        <w:t>ניתן לקזז מכל הפקדה שבתיק או בתיק קשור על אף הודעת עיקול. ככל שקיימות יתרות זכות ואין עיקולים ניתן להשיב למפקיד.</w:t>
      </w:r>
    </w:p>
    <w:p w14:paraId="2764179E" w14:textId="77777777" w:rsidR="007E339F" w:rsidRDefault="007E339F" w:rsidP="007E339F"/>
    <w:p w14:paraId="45EACDB5" w14:textId="77777777" w:rsidR="007E339F" w:rsidRPr="0073585F" w:rsidRDefault="007E339F" w:rsidP="007E339F">
      <w:pPr>
        <w:spacing w:after="160" w:line="360" w:lineRule="auto"/>
        <w:rPr>
          <w:rFonts w:ascii="David" w:hAnsi="David"/>
          <w:b/>
          <w:bCs/>
          <w:sz w:val="26"/>
          <w:szCs w:val="26"/>
          <w:rtl/>
        </w:rPr>
      </w:pPr>
      <w:r w:rsidRPr="0073585F">
        <w:rPr>
          <w:rFonts w:ascii="David" w:hAnsi="David"/>
          <w:b/>
          <w:bCs/>
          <w:sz w:val="26"/>
          <w:szCs w:val="26"/>
          <w:rtl/>
        </w:rPr>
        <w:t>יש לשלוח לשירות המבחן ולממונה על עבודות שירות.</w:t>
      </w:r>
    </w:p>
    <w:p w14:paraId="5BE27344" w14:textId="77777777" w:rsidR="007E339F" w:rsidRPr="009D7E14" w:rsidRDefault="009D7E14" w:rsidP="007E339F">
      <w:pPr>
        <w:spacing w:after="160" w:line="252" w:lineRule="auto"/>
        <w:rPr>
          <w:rFonts w:ascii="David" w:hAnsi="David"/>
          <w:color w:val="FFFFFF"/>
          <w:sz w:val="2"/>
          <w:szCs w:val="2"/>
          <w:rtl/>
        </w:rPr>
      </w:pPr>
      <w:r w:rsidRPr="009D7E14">
        <w:rPr>
          <w:rFonts w:ascii="David" w:hAnsi="David"/>
          <w:color w:val="FFFFFF"/>
          <w:sz w:val="2"/>
          <w:szCs w:val="2"/>
          <w:rtl/>
        </w:rPr>
        <w:t>5129371</w:t>
      </w:r>
    </w:p>
    <w:p w14:paraId="196CE1BB" w14:textId="77777777" w:rsidR="007E339F" w:rsidRDefault="009D7E14" w:rsidP="007E339F">
      <w:pPr>
        <w:spacing w:after="160" w:line="252" w:lineRule="auto"/>
        <w:rPr>
          <w:rFonts w:ascii="David" w:hAnsi="David"/>
          <w:b/>
          <w:bCs/>
          <w:sz w:val="26"/>
          <w:szCs w:val="26"/>
        </w:rPr>
      </w:pPr>
      <w:r w:rsidRPr="009D7E14">
        <w:rPr>
          <w:rFonts w:ascii="David" w:hAnsi="David"/>
          <w:b/>
          <w:bCs/>
          <w:color w:val="FFFFFF"/>
          <w:sz w:val="2"/>
          <w:szCs w:val="2"/>
          <w:rtl/>
        </w:rPr>
        <w:t>54678313</w:t>
      </w:r>
      <w:r w:rsidR="007E339F">
        <w:rPr>
          <w:rFonts w:ascii="David" w:hAnsi="David"/>
          <w:b/>
          <w:bCs/>
          <w:sz w:val="26"/>
          <w:szCs w:val="26"/>
          <w:rtl/>
        </w:rPr>
        <w:t>זכות ערעור כחוק לבית המשפט המחוזי בירושלים בתוך 45 יום מהיום.</w:t>
      </w:r>
    </w:p>
    <w:p w14:paraId="011C773D" w14:textId="77777777" w:rsidR="007E339F" w:rsidRPr="000F2247" w:rsidRDefault="007E339F" w:rsidP="007E339F">
      <w:pPr>
        <w:rPr>
          <w:rFonts w:ascii="Arial" w:hAnsi="Arial"/>
          <w:b/>
          <w:bCs/>
          <w:sz w:val="26"/>
          <w:szCs w:val="26"/>
          <w:rtl/>
        </w:rPr>
      </w:pPr>
    </w:p>
    <w:p w14:paraId="3C170A65" w14:textId="77777777" w:rsidR="007E339F" w:rsidRPr="000F2247" w:rsidRDefault="009D7E14" w:rsidP="007E339F">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י"ג אייר תשפ"ד, 21 מאי 2024, במעמד הצדדים. </w:t>
      </w:r>
      <w:bookmarkEnd w:id="8"/>
      <w:r w:rsidR="007E339F">
        <w:rPr>
          <w:rFonts w:ascii="Arial" w:hAnsi="Arial"/>
          <w:b/>
          <w:bCs/>
          <w:sz w:val="26"/>
          <w:szCs w:val="26"/>
          <w:rtl/>
        </w:rPr>
        <w:tab/>
      </w:r>
      <w:r w:rsidR="007E339F">
        <w:rPr>
          <w:rFonts w:ascii="Arial" w:hAnsi="Arial"/>
          <w:b/>
          <w:bCs/>
          <w:sz w:val="26"/>
          <w:szCs w:val="26"/>
          <w:rtl/>
        </w:rPr>
        <w:tab/>
      </w:r>
      <w:r w:rsidR="007E339F">
        <w:rPr>
          <w:rFonts w:ascii="Arial" w:hAnsi="Arial"/>
          <w:b/>
          <w:bCs/>
          <w:sz w:val="26"/>
          <w:szCs w:val="26"/>
          <w:rtl/>
        </w:rPr>
        <w:tab/>
      </w:r>
      <w:r w:rsidR="007E339F">
        <w:rPr>
          <w:rFonts w:ascii="Arial" w:hAnsi="Arial"/>
          <w:b/>
          <w:bCs/>
          <w:sz w:val="26"/>
          <w:szCs w:val="26"/>
          <w:rtl/>
        </w:rPr>
        <w:tab/>
      </w:r>
      <w:r w:rsidR="007E339F">
        <w:rPr>
          <w:rFonts w:ascii="Arial" w:hAnsi="Arial"/>
          <w:b/>
          <w:bCs/>
          <w:sz w:val="26"/>
          <w:szCs w:val="26"/>
          <w:rtl/>
        </w:rPr>
        <w:tab/>
      </w:r>
      <w:r w:rsidR="007E339F">
        <w:rPr>
          <w:rFonts w:ascii="Arial" w:hAnsi="Arial"/>
          <w:b/>
          <w:bCs/>
          <w:sz w:val="26"/>
          <w:szCs w:val="26"/>
          <w:rtl/>
        </w:rPr>
        <w:tab/>
      </w:r>
      <w:r w:rsidR="007E339F">
        <w:rPr>
          <w:rFonts w:ascii="Arial" w:hAnsi="Arial"/>
          <w:b/>
          <w:bCs/>
          <w:sz w:val="26"/>
          <w:szCs w:val="26"/>
          <w:rtl/>
        </w:rPr>
        <w:tab/>
      </w:r>
      <w:r w:rsidR="007E339F">
        <w:rPr>
          <w:rFonts w:ascii="Arial" w:hAnsi="Arial" w:hint="cs"/>
          <w:b/>
          <w:bCs/>
          <w:sz w:val="26"/>
          <w:szCs w:val="26"/>
          <w:rtl/>
        </w:rPr>
        <w:t xml:space="preserve">         </w:t>
      </w:r>
    </w:p>
    <w:p w14:paraId="5AF6971D" w14:textId="77777777" w:rsidR="007E339F" w:rsidRPr="000F2247" w:rsidRDefault="007E339F" w:rsidP="009D7E14">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1101158" w14:textId="77777777" w:rsidR="007E339F" w:rsidRPr="001B6BEF" w:rsidRDefault="001B6BEF" w:rsidP="007E339F">
      <w:pPr>
        <w:jc w:val="center"/>
        <w:rPr>
          <w:rFonts w:ascii="Arial" w:hAnsi="Arial"/>
          <w:b/>
          <w:bCs/>
          <w:color w:val="FFFFFF"/>
          <w:sz w:val="2"/>
          <w:szCs w:val="2"/>
          <w:rtl/>
        </w:rPr>
      </w:pPr>
      <w:r w:rsidRPr="001B6BEF">
        <w:rPr>
          <w:rFonts w:ascii="Arial" w:hAnsi="Arial"/>
          <w:b/>
          <w:bCs/>
          <w:color w:val="FFFFFF"/>
          <w:sz w:val="2"/>
          <w:szCs w:val="2"/>
          <w:rtl/>
        </w:rPr>
        <w:t>5129371</w:t>
      </w:r>
    </w:p>
    <w:p w14:paraId="207646B2" w14:textId="77777777" w:rsidR="00BA7320" w:rsidRPr="001B6BEF" w:rsidRDefault="001B6BEF" w:rsidP="009D7E14">
      <w:pPr>
        <w:keepNext/>
        <w:rPr>
          <w:rFonts w:ascii="David" w:hAnsi="David"/>
          <w:color w:val="FFFFFF"/>
          <w:sz w:val="2"/>
          <w:szCs w:val="2"/>
          <w:rtl/>
        </w:rPr>
      </w:pPr>
      <w:r w:rsidRPr="001B6BEF">
        <w:rPr>
          <w:rFonts w:ascii="David" w:hAnsi="David"/>
          <w:color w:val="FFFFFF"/>
          <w:sz w:val="2"/>
          <w:szCs w:val="2"/>
          <w:rtl/>
        </w:rPr>
        <w:t>54678313</w:t>
      </w:r>
    </w:p>
    <w:p w14:paraId="7482D973" w14:textId="77777777" w:rsidR="009D7E14" w:rsidRDefault="009D7E14" w:rsidP="009D7E14">
      <w:pPr>
        <w:rPr>
          <w:rtl/>
        </w:rPr>
      </w:pPr>
    </w:p>
    <w:p w14:paraId="5ADD1938" w14:textId="77777777" w:rsidR="009D7E14" w:rsidRDefault="009D7E14" w:rsidP="009D7E14">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6F1D70B4" w14:textId="77777777" w:rsidR="001B6BEF" w:rsidRPr="001B6BEF" w:rsidRDefault="001B6BEF" w:rsidP="001B6BEF">
      <w:pPr>
        <w:keepNext/>
        <w:rPr>
          <w:rFonts w:ascii="David" w:hAnsi="David"/>
          <w:color w:val="000000"/>
          <w:sz w:val="22"/>
          <w:szCs w:val="22"/>
          <w:rtl/>
        </w:rPr>
      </w:pPr>
    </w:p>
    <w:p w14:paraId="577990CA" w14:textId="77777777" w:rsidR="001B6BEF" w:rsidRPr="001B6BEF" w:rsidRDefault="001B6BEF" w:rsidP="001B6BEF">
      <w:pPr>
        <w:keepNext/>
        <w:rPr>
          <w:rFonts w:ascii="David" w:hAnsi="David"/>
          <w:color w:val="000000"/>
          <w:sz w:val="22"/>
          <w:szCs w:val="22"/>
          <w:rtl/>
        </w:rPr>
      </w:pPr>
      <w:r w:rsidRPr="001B6BEF">
        <w:rPr>
          <w:rFonts w:ascii="David" w:hAnsi="David"/>
          <w:color w:val="000000"/>
          <w:sz w:val="22"/>
          <w:szCs w:val="22"/>
          <w:rtl/>
        </w:rPr>
        <w:t>דוד שאול גבאי ריכטר 54678313-/</w:t>
      </w:r>
    </w:p>
    <w:p w14:paraId="6DB488B2" w14:textId="77777777" w:rsidR="009D7E14" w:rsidRPr="009D7E14" w:rsidRDefault="001B6BEF" w:rsidP="001B6BEF">
      <w:pPr>
        <w:rPr>
          <w:color w:val="0000FF"/>
          <w:u w:val="single"/>
        </w:rPr>
      </w:pPr>
      <w:r w:rsidRPr="001B6BEF">
        <w:rPr>
          <w:color w:val="000000"/>
          <w:u w:val="single"/>
          <w:rtl/>
        </w:rPr>
        <w:t>נוסח מסמך זה כפוף לשינויי ניסוח ועריכה</w:t>
      </w:r>
    </w:p>
    <w:sectPr w:rsidR="009D7E14" w:rsidRPr="009D7E14" w:rsidSect="001B6BEF">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3E1811" w14:textId="77777777" w:rsidR="00882BE3" w:rsidRDefault="00882BE3" w:rsidP="00A82239">
      <w:r>
        <w:separator/>
      </w:r>
    </w:p>
  </w:endnote>
  <w:endnote w:type="continuationSeparator" w:id="0">
    <w:p w14:paraId="0DB882D9" w14:textId="77777777" w:rsidR="00882BE3" w:rsidRDefault="00882BE3" w:rsidP="00A82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4A579" w14:textId="77777777" w:rsidR="001B6BEF" w:rsidRDefault="001B6BEF" w:rsidP="001B6BE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3ACE202" w14:textId="77777777" w:rsidR="00F71FCD" w:rsidRPr="001B6BEF" w:rsidRDefault="001B6BEF" w:rsidP="001B6BEF">
    <w:pPr>
      <w:pStyle w:val="a5"/>
      <w:pBdr>
        <w:top w:val="single" w:sz="4" w:space="1" w:color="auto"/>
        <w:between w:val="single" w:sz="4" w:space="0" w:color="auto"/>
      </w:pBdr>
      <w:spacing w:after="60"/>
      <w:jc w:val="center"/>
      <w:rPr>
        <w:rFonts w:ascii="FrankRuehl" w:hAnsi="FrankRuehl" w:cs="FrankRuehl"/>
        <w:color w:val="000000"/>
      </w:rPr>
    </w:pPr>
    <w:r w:rsidRPr="001B6BE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584CA" w14:textId="77777777" w:rsidR="001B6BEF" w:rsidRDefault="001B6BEF" w:rsidP="001B6BE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13337">
      <w:rPr>
        <w:rFonts w:ascii="FrankRuehl" w:hAnsi="FrankRuehl" w:cs="FrankRuehl"/>
        <w:noProof/>
        <w:rtl/>
      </w:rPr>
      <w:t>1</w:t>
    </w:r>
    <w:r>
      <w:rPr>
        <w:rFonts w:ascii="FrankRuehl" w:hAnsi="FrankRuehl" w:cs="FrankRuehl"/>
        <w:rtl/>
      </w:rPr>
      <w:fldChar w:fldCharType="end"/>
    </w:r>
  </w:p>
  <w:p w14:paraId="22C41E63" w14:textId="77777777" w:rsidR="00F71FCD" w:rsidRPr="001B6BEF" w:rsidRDefault="001B6BEF" w:rsidP="001B6BEF">
    <w:pPr>
      <w:pStyle w:val="a5"/>
      <w:pBdr>
        <w:top w:val="single" w:sz="4" w:space="1" w:color="auto"/>
        <w:between w:val="single" w:sz="4" w:space="0" w:color="auto"/>
      </w:pBdr>
      <w:spacing w:after="60"/>
      <w:jc w:val="center"/>
      <w:rPr>
        <w:rFonts w:ascii="FrankRuehl" w:hAnsi="FrankRuehl" w:cs="FrankRuehl"/>
        <w:color w:val="000000"/>
      </w:rPr>
    </w:pPr>
    <w:r w:rsidRPr="001B6BEF">
      <w:rPr>
        <w:rFonts w:ascii="FrankRuehl" w:hAnsi="FrankRuehl" w:cs="FrankRuehl"/>
        <w:color w:val="000000"/>
      </w:rPr>
      <w:pict w14:anchorId="226BD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A8989B" w14:textId="77777777" w:rsidR="00882BE3" w:rsidRDefault="00882BE3" w:rsidP="00A82239">
      <w:r>
        <w:separator/>
      </w:r>
    </w:p>
  </w:footnote>
  <w:footnote w:type="continuationSeparator" w:id="0">
    <w:p w14:paraId="4F2DE879" w14:textId="77777777" w:rsidR="00882BE3" w:rsidRDefault="00882BE3" w:rsidP="00A822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C05E7" w14:textId="77777777" w:rsidR="009D7E14" w:rsidRPr="001B6BEF" w:rsidRDefault="001B6BEF" w:rsidP="001B6BE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21547-12-21</w:t>
    </w:r>
    <w:r>
      <w:rPr>
        <w:rFonts w:ascii="David" w:hAnsi="David"/>
        <w:color w:val="000000"/>
        <w:sz w:val="22"/>
        <w:szCs w:val="22"/>
        <w:rtl/>
      </w:rPr>
      <w:tab/>
      <w:t xml:space="preserve"> מדינת ישראל נ' זיו יושיע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9C066" w14:textId="77777777" w:rsidR="009D7E14" w:rsidRPr="001B6BEF" w:rsidRDefault="001B6BEF" w:rsidP="001B6BE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21547-12-21</w:t>
    </w:r>
    <w:r>
      <w:rPr>
        <w:rFonts w:ascii="David" w:hAnsi="David"/>
        <w:color w:val="000000"/>
        <w:sz w:val="22"/>
        <w:szCs w:val="22"/>
        <w:rtl/>
      </w:rPr>
      <w:tab/>
      <w:t xml:space="preserve"> מדינת ישראל נ' זיו יושיע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E0BEC"/>
    <w:multiLevelType w:val="hybridMultilevel"/>
    <w:tmpl w:val="CCA69B26"/>
    <w:lvl w:ilvl="0" w:tplc="76F065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AD105B"/>
    <w:multiLevelType w:val="hybridMultilevel"/>
    <w:tmpl w:val="706C7A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1A61FA3"/>
    <w:multiLevelType w:val="hybridMultilevel"/>
    <w:tmpl w:val="296ED962"/>
    <w:lvl w:ilvl="0" w:tplc="199CD268">
      <w:start w:val="1"/>
      <w:numFmt w:val="hebrew1"/>
      <w:lvlText w:val="%1."/>
      <w:lvlJc w:val="left"/>
      <w:pPr>
        <w:ind w:left="720" w:hanging="360"/>
      </w:pPr>
      <w:rPr>
        <w:rFonts w:ascii="David" w:hAnsi="David" w:cs="David"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428C3D0F"/>
    <w:multiLevelType w:val="hybridMultilevel"/>
    <w:tmpl w:val="2D42C1EE"/>
    <w:lvl w:ilvl="0" w:tplc="51B622B0">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48DD17FF"/>
    <w:multiLevelType w:val="hybridMultilevel"/>
    <w:tmpl w:val="96D0517C"/>
    <w:lvl w:ilvl="0" w:tplc="D60E86F2">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D960E8"/>
    <w:multiLevelType w:val="hybridMultilevel"/>
    <w:tmpl w:val="7336483C"/>
    <w:lvl w:ilvl="0" w:tplc="B4C0B514">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AC75A1"/>
    <w:multiLevelType w:val="hybridMultilevel"/>
    <w:tmpl w:val="1B4A6082"/>
    <w:lvl w:ilvl="0" w:tplc="CB90D73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6B1209"/>
    <w:multiLevelType w:val="hybridMultilevel"/>
    <w:tmpl w:val="1F22CE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634595"/>
    <w:multiLevelType w:val="hybridMultilevel"/>
    <w:tmpl w:val="18E2E348"/>
    <w:lvl w:ilvl="0" w:tplc="9A08BBD2">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24573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678284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55093715">
    <w:abstractNumId w:val="2"/>
  </w:num>
  <w:num w:numId="4" w16cid:durableId="1705515238">
    <w:abstractNumId w:val="5"/>
  </w:num>
  <w:num w:numId="5" w16cid:durableId="1693145378">
    <w:abstractNumId w:val="0"/>
  </w:num>
  <w:num w:numId="6" w16cid:durableId="962619682">
    <w:abstractNumId w:val="9"/>
  </w:num>
  <w:num w:numId="7" w16cid:durableId="217783618">
    <w:abstractNumId w:val="7"/>
  </w:num>
  <w:num w:numId="8" w16cid:durableId="816728275">
    <w:abstractNumId w:val="8"/>
  </w:num>
  <w:num w:numId="9" w16cid:durableId="2131170891">
    <w:abstractNumId w:val="1"/>
  </w:num>
  <w:num w:numId="10" w16cid:durableId="17117653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E339F"/>
    <w:rsid w:val="001B5A3B"/>
    <w:rsid w:val="001B6BEF"/>
    <w:rsid w:val="001C2561"/>
    <w:rsid w:val="002849AC"/>
    <w:rsid w:val="00513337"/>
    <w:rsid w:val="00647125"/>
    <w:rsid w:val="006A3ED9"/>
    <w:rsid w:val="007B661D"/>
    <w:rsid w:val="007D38EB"/>
    <w:rsid w:val="007E339F"/>
    <w:rsid w:val="00882BE3"/>
    <w:rsid w:val="0099559B"/>
    <w:rsid w:val="009D7E14"/>
    <w:rsid w:val="00A82239"/>
    <w:rsid w:val="00BA7320"/>
    <w:rsid w:val="00F71F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428DD6"/>
  <w15:chartTrackingRefBased/>
  <w15:docId w15:val="{87AC37C2-3831-4232-9BB6-F544E6A6E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E339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E339F"/>
    <w:pPr>
      <w:tabs>
        <w:tab w:val="center" w:pos="4153"/>
        <w:tab w:val="right" w:pos="8306"/>
      </w:tabs>
    </w:pPr>
  </w:style>
  <w:style w:type="character" w:customStyle="1" w:styleId="a4">
    <w:name w:val="כותרת עליונה תו"/>
    <w:link w:val="a3"/>
    <w:rsid w:val="007E339F"/>
    <w:rPr>
      <w:rFonts w:ascii="Times New Roman" w:eastAsia="Times New Roman" w:hAnsi="Times New Roman" w:cs="David"/>
      <w:sz w:val="24"/>
      <w:szCs w:val="24"/>
    </w:rPr>
  </w:style>
  <w:style w:type="paragraph" w:styleId="a5">
    <w:name w:val="footer"/>
    <w:basedOn w:val="a"/>
    <w:link w:val="a6"/>
    <w:rsid w:val="007E339F"/>
    <w:pPr>
      <w:tabs>
        <w:tab w:val="center" w:pos="4153"/>
        <w:tab w:val="right" w:pos="8306"/>
      </w:tabs>
    </w:pPr>
  </w:style>
  <w:style w:type="character" w:customStyle="1" w:styleId="a6">
    <w:name w:val="כותרת תחתונה תו"/>
    <w:link w:val="a5"/>
    <w:rsid w:val="007E339F"/>
    <w:rPr>
      <w:rFonts w:ascii="Times New Roman" w:eastAsia="Times New Roman" w:hAnsi="Times New Roman" w:cs="David"/>
      <w:sz w:val="24"/>
      <w:szCs w:val="24"/>
    </w:rPr>
  </w:style>
  <w:style w:type="table" w:styleId="a7">
    <w:name w:val="Table Grid"/>
    <w:basedOn w:val="a1"/>
    <w:rsid w:val="007E339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E339F"/>
  </w:style>
  <w:style w:type="character" w:styleId="Hyperlink">
    <w:name w:val="Hyperlink"/>
    <w:rsid w:val="007E339F"/>
    <w:rPr>
      <w:noProof w:val="0"/>
      <w:color w:val="0000FF"/>
      <w:u w:val="single"/>
    </w:rPr>
  </w:style>
  <w:style w:type="paragraph" w:styleId="a9">
    <w:name w:val="List Paragraph"/>
    <w:basedOn w:val="a"/>
    <w:qFormat/>
    <w:rsid w:val="007E3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5.a.1" TargetMode="External"/><Relationship Id="rId18" Type="http://schemas.openxmlformats.org/officeDocument/2006/relationships/hyperlink" Target="http://www.nevo.co.il/law/70301/334" TargetMode="External"/><Relationship Id="rId26" Type="http://schemas.openxmlformats.org/officeDocument/2006/relationships/hyperlink" Target="http://www.nevo.co.il/case/29668334" TargetMode="External"/><Relationship Id="rId39" Type="http://schemas.openxmlformats.org/officeDocument/2006/relationships/footer" Target="footer2.xml"/><Relationship Id="rId21" Type="http://schemas.openxmlformats.org/officeDocument/2006/relationships/hyperlink" Target="http://www.nevo.co.il/case/28164320" TargetMode="External"/><Relationship Id="rId34" Type="http://schemas.openxmlformats.org/officeDocument/2006/relationships/hyperlink" Target="http://www.eca.gov.il"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c"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27280733"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33" TargetMode="External"/><Relationship Id="rId24" Type="http://schemas.openxmlformats.org/officeDocument/2006/relationships/hyperlink" Target="http://www.nevo.co.il/law/70301/192" TargetMode="External"/><Relationship Id="rId32" Type="http://schemas.openxmlformats.org/officeDocument/2006/relationships/hyperlink" Target="http://www.nevo.co.il/case/20798650"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7659210"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8148430" TargetMode="External"/><Relationship Id="rId36" Type="http://schemas.openxmlformats.org/officeDocument/2006/relationships/header" Target="header1.xml"/><Relationship Id="rId10" Type="http://schemas.openxmlformats.org/officeDocument/2006/relationships/hyperlink" Target="http://www.nevo.co.il/law/70301/192" TargetMode="External"/><Relationship Id="rId19" Type="http://schemas.openxmlformats.org/officeDocument/2006/relationships/hyperlink" Target="http://www.nevo.co.il/law/70301/335.a.1" TargetMode="External"/><Relationship Id="rId31" Type="http://schemas.openxmlformats.org/officeDocument/2006/relationships/hyperlink" Target="http://www.nevo.co.il/case/21664407"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413e" TargetMode="External"/><Relationship Id="rId22" Type="http://schemas.openxmlformats.org/officeDocument/2006/relationships/hyperlink" Target="http://www.nevo.co.il/law/70301/333" TargetMode="External"/><Relationship Id="rId27" Type="http://schemas.openxmlformats.org/officeDocument/2006/relationships/hyperlink" Target="http://www.nevo.co.il/case/29591896" TargetMode="External"/><Relationship Id="rId30" Type="http://schemas.openxmlformats.org/officeDocument/2006/relationships/hyperlink" Target="http://www.nevo.co.il/case/28653496"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7.a.c" TargetMode="External"/><Relationship Id="rId3" Type="http://schemas.openxmlformats.org/officeDocument/2006/relationships/settings" Target="settings.xml"/><Relationship Id="rId12" Type="http://schemas.openxmlformats.org/officeDocument/2006/relationships/hyperlink" Target="http://www.nevo.co.il/law/70301/334" TargetMode="External"/><Relationship Id="rId17" Type="http://schemas.openxmlformats.org/officeDocument/2006/relationships/hyperlink" Target="http://www.nevo.co.il/case/28212212" TargetMode="External"/><Relationship Id="rId25" Type="http://schemas.openxmlformats.org/officeDocument/2006/relationships/hyperlink" Target="http://www.nevo.co.il/law/70301/413e" TargetMode="External"/><Relationship Id="rId33" Type="http://schemas.openxmlformats.org/officeDocument/2006/relationships/hyperlink" Target="http://www.nevo.co.il/case/22938500"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2626</Words>
  <Characters>13130</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15725</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7864368</vt:i4>
      </vt:variant>
      <vt:variant>
        <vt:i4>81</vt:i4>
      </vt:variant>
      <vt:variant>
        <vt:i4>0</vt:i4>
      </vt:variant>
      <vt:variant>
        <vt:i4>5</vt:i4>
      </vt:variant>
      <vt:variant>
        <vt:lpwstr>http://www.eca.gov.il/</vt:lpwstr>
      </vt:variant>
      <vt:variant>
        <vt:lpwstr/>
      </vt:variant>
      <vt:variant>
        <vt:i4>3342448</vt:i4>
      </vt:variant>
      <vt:variant>
        <vt:i4>78</vt:i4>
      </vt:variant>
      <vt:variant>
        <vt:i4>0</vt:i4>
      </vt:variant>
      <vt:variant>
        <vt:i4>5</vt:i4>
      </vt:variant>
      <vt:variant>
        <vt:lpwstr>http://www.nevo.co.il/case/22938500</vt:lpwstr>
      </vt:variant>
      <vt:variant>
        <vt:lpwstr/>
      </vt:variant>
      <vt:variant>
        <vt:i4>3670139</vt:i4>
      </vt:variant>
      <vt:variant>
        <vt:i4>75</vt:i4>
      </vt:variant>
      <vt:variant>
        <vt:i4>0</vt:i4>
      </vt:variant>
      <vt:variant>
        <vt:i4>5</vt:i4>
      </vt:variant>
      <vt:variant>
        <vt:lpwstr>http://www.nevo.co.il/case/20798650</vt:lpwstr>
      </vt:variant>
      <vt:variant>
        <vt:lpwstr/>
      </vt:variant>
      <vt:variant>
        <vt:i4>3145847</vt:i4>
      </vt:variant>
      <vt:variant>
        <vt:i4>72</vt:i4>
      </vt:variant>
      <vt:variant>
        <vt:i4>0</vt:i4>
      </vt:variant>
      <vt:variant>
        <vt:i4>5</vt:i4>
      </vt:variant>
      <vt:variant>
        <vt:lpwstr>http://www.nevo.co.il/case/21664407</vt:lpwstr>
      </vt:variant>
      <vt:variant>
        <vt:lpwstr/>
      </vt:variant>
      <vt:variant>
        <vt:i4>4063357</vt:i4>
      </vt:variant>
      <vt:variant>
        <vt:i4>69</vt:i4>
      </vt:variant>
      <vt:variant>
        <vt:i4>0</vt:i4>
      </vt:variant>
      <vt:variant>
        <vt:i4>5</vt:i4>
      </vt:variant>
      <vt:variant>
        <vt:lpwstr>http://www.nevo.co.il/case/28653496</vt:lpwstr>
      </vt:variant>
      <vt:variant>
        <vt:lpwstr/>
      </vt:variant>
      <vt:variant>
        <vt:i4>3342460</vt:i4>
      </vt:variant>
      <vt:variant>
        <vt:i4>66</vt:i4>
      </vt:variant>
      <vt:variant>
        <vt:i4>0</vt:i4>
      </vt:variant>
      <vt:variant>
        <vt:i4>5</vt:i4>
      </vt:variant>
      <vt:variant>
        <vt:lpwstr>http://www.nevo.co.il/case/27280733</vt:lpwstr>
      </vt:variant>
      <vt:variant>
        <vt:lpwstr/>
      </vt:variant>
      <vt:variant>
        <vt:i4>3670140</vt:i4>
      </vt:variant>
      <vt:variant>
        <vt:i4>63</vt:i4>
      </vt:variant>
      <vt:variant>
        <vt:i4>0</vt:i4>
      </vt:variant>
      <vt:variant>
        <vt:i4>5</vt:i4>
      </vt:variant>
      <vt:variant>
        <vt:lpwstr>http://www.nevo.co.il/case/28148430</vt:lpwstr>
      </vt:variant>
      <vt:variant>
        <vt:lpwstr/>
      </vt:variant>
      <vt:variant>
        <vt:i4>4128892</vt:i4>
      </vt:variant>
      <vt:variant>
        <vt:i4>60</vt:i4>
      </vt:variant>
      <vt:variant>
        <vt:i4>0</vt:i4>
      </vt:variant>
      <vt:variant>
        <vt:i4>5</vt:i4>
      </vt:variant>
      <vt:variant>
        <vt:lpwstr>http://www.nevo.co.il/case/29591896</vt:lpwstr>
      </vt:variant>
      <vt:variant>
        <vt:lpwstr/>
      </vt:variant>
      <vt:variant>
        <vt:i4>4128888</vt:i4>
      </vt:variant>
      <vt:variant>
        <vt:i4>57</vt:i4>
      </vt:variant>
      <vt:variant>
        <vt:i4>0</vt:i4>
      </vt:variant>
      <vt:variant>
        <vt:i4>5</vt:i4>
      </vt:variant>
      <vt:variant>
        <vt:lpwstr>http://www.nevo.co.il/case/29668334</vt:lpwstr>
      </vt:variant>
      <vt:variant>
        <vt:lpwstr/>
      </vt:variant>
      <vt:variant>
        <vt:i4>65618</vt:i4>
      </vt:variant>
      <vt:variant>
        <vt:i4>54</vt:i4>
      </vt:variant>
      <vt:variant>
        <vt:i4>0</vt:i4>
      </vt:variant>
      <vt:variant>
        <vt:i4>5</vt:i4>
      </vt:variant>
      <vt:variant>
        <vt:lpwstr>http://www.nevo.co.il/law/70301/413e</vt:lpwstr>
      </vt:variant>
      <vt:variant>
        <vt:lpwstr/>
      </vt:variant>
      <vt:variant>
        <vt:i4>7077988</vt:i4>
      </vt:variant>
      <vt:variant>
        <vt:i4>51</vt:i4>
      </vt:variant>
      <vt:variant>
        <vt:i4>0</vt:i4>
      </vt:variant>
      <vt:variant>
        <vt:i4>5</vt:i4>
      </vt:variant>
      <vt:variant>
        <vt:lpwstr>http://www.nevo.co.il/law/70301/192</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6684774</vt:i4>
      </vt:variant>
      <vt:variant>
        <vt:i4>45</vt:i4>
      </vt:variant>
      <vt:variant>
        <vt:i4>0</vt:i4>
      </vt:variant>
      <vt:variant>
        <vt:i4>5</vt:i4>
      </vt:variant>
      <vt:variant>
        <vt:lpwstr>http://www.nevo.co.il/law/70301/333</vt:lpwstr>
      </vt:variant>
      <vt:variant>
        <vt:lpwstr/>
      </vt:variant>
      <vt:variant>
        <vt:i4>3473529</vt:i4>
      </vt:variant>
      <vt:variant>
        <vt:i4>42</vt:i4>
      </vt:variant>
      <vt:variant>
        <vt:i4>0</vt:i4>
      </vt:variant>
      <vt:variant>
        <vt:i4>5</vt:i4>
      </vt:variant>
      <vt:variant>
        <vt:lpwstr>http://www.nevo.co.il/case/28164320</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6684722</vt:i4>
      </vt:variant>
      <vt:variant>
        <vt:i4>36</vt:i4>
      </vt:variant>
      <vt:variant>
        <vt:i4>0</vt:i4>
      </vt:variant>
      <vt:variant>
        <vt:i4>5</vt:i4>
      </vt:variant>
      <vt:variant>
        <vt:lpwstr>http://www.nevo.co.il/law/70301/335.a.1</vt:lpwstr>
      </vt:variant>
      <vt:variant>
        <vt:lpwstr/>
      </vt:variant>
      <vt:variant>
        <vt:i4>6684774</vt:i4>
      </vt:variant>
      <vt:variant>
        <vt:i4>33</vt:i4>
      </vt:variant>
      <vt:variant>
        <vt:i4>0</vt:i4>
      </vt:variant>
      <vt:variant>
        <vt:i4>5</vt:i4>
      </vt:variant>
      <vt:variant>
        <vt:lpwstr>http://www.nevo.co.il/law/70301/334</vt:lpwstr>
      </vt:variant>
      <vt:variant>
        <vt:lpwstr/>
      </vt:variant>
      <vt:variant>
        <vt:i4>3342463</vt:i4>
      </vt:variant>
      <vt:variant>
        <vt:i4>30</vt:i4>
      </vt:variant>
      <vt:variant>
        <vt:i4>0</vt:i4>
      </vt:variant>
      <vt:variant>
        <vt:i4>5</vt:i4>
      </vt:variant>
      <vt:variant>
        <vt:lpwstr>http://www.nevo.co.il/case/28212212</vt:lpwstr>
      </vt:variant>
      <vt:variant>
        <vt:lpwstr/>
      </vt:variant>
      <vt:variant>
        <vt:i4>4915274</vt:i4>
      </vt:variant>
      <vt:variant>
        <vt:i4>27</vt:i4>
      </vt:variant>
      <vt:variant>
        <vt:i4>0</vt:i4>
      </vt:variant>
      <vt:variant>
        <vt:i4>5</vt:i4>
      </vt:variant>
      <vt:variant>
        <vt:lpwstr>http://www.nevo.co.il/law/4216/7.a.c</vt:lpwstr>
      </vt:variant>
      <vt:variant>
        <vt:lpwstr/>
      </vt:variant>
      <vt:variant>
        <vt:i4>3932276</vt:i4>
      </vt:variant>
      <vt:variant>
        <vt:i4>24</vt:i4>
      </vt:variant>
      <vt:variant>
        <vt:i4>0</vt:i4>
      </vt:variant>
      <vt:variant>
        <vt:i4>5</vt:i4>
      </vt:variant>
      <vt:variant>
        <vt:lpwstr>http://www.nevo.co.il/case/27659210</vt:lpwstr>
      </vt:variant>
      <vt:variant>
        <vt:lpwstr/>
      </vt:variant>
      <vt:variant>
        <vt:i4>65618</vt:i4>
      </vt:variant>
      <vt:variant>
        <vt:i4>21</vt:i4>
      </vt:variant>
      <vt:variant>
        <vt:i4>0</vt:i4>
      </vt:variant>
      <vt:variant>
        <vt:i4>5</vt:i4>
      </vt:variant>
      <vt:variant>
        <vt:lpwstr>http://www.nevo.co.il/law/70301/413e</vt:lpwstr>
      </vt:variant>
      <vt:variant>
        <vt:lpwstr/>
      </vt:variant>
      <vt:variant>
        <vt:i4>6684722</vt:i4>
      </vt:variant>
      <vt:variant>
        <vt:i4>18</vt:i4>
      </vt:variant>
      <vt:variant>
        <vt:i4>0</vt:i4>
      </vt:variant>
      <vt:variant>
        <vt:i4>5</vt:i4>
      </vt:variant>
      <vt:variant>
        <vt:lpwstr>http://www.nevo.co.il/law/70301/335.a.1</vt:lpwstr>
      </vt:variant>
      <vt:variant>
        <vt:lpwstr/>
      </vt:variant>
      <vt:variant>
        <vt:i4>6684774</vt:i4>
      </vt:variant>
      <vt:variant>
        <vt:i4>15</vt:i4>
      </vt:variant>
      <vt:variant>
        <vt:i4>0</vt:i4>
      </vt:variant>
      <vt:variant>
        <vt:i4>5</vt:i4>
      </vt:variant>
      <vt:variant>
        <vt:lpwstr>http://www.nevo.co.il/law/70301/334</vt:lpwstr>
      </vt:variant>
      <vt:variant>
        <vt:lpwstr/>
      </vt:variant>
      <vt:variant>
        <vt:i4>6684774</vt:i4>
      </vt:variant>
      <vt:variant>
        <vt:i4>12</vt:i4>
      </vt:variant>
      <vt:variant>
        <vt:i4>0</vt:i4>
      </vt:variant>
      <vt:variant>
        <vt:i4>5</vt:i4>
      </vt:variant>
      <vt:variant>
        <vt:lpwstr>http://www.nevo.co.il/law/70301/333</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7995492</vt:i4>
      </vt:variant>
      <vt:variant>
        <vt:i4>6</vt:i4>
      </vt:variant>
      <vt:variant>
        <vt:i4>0</vt:i4>
      </vt:variant>
      <vt:variant>
        <vt:i4>5</vt:i4>
      </vt:variant>
      <vt:variant>
        <vt:lpwstr>http://www.nevo.co.il/law/70301</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2025-04-23T01:18:00Z</dcterms:created>
  <dcterms:modified xsi:type="dcterms:W3CDTF">2025-04-23T01:18:00Z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21547;60606;67813</vt:lpwstr>
  </property>
  <property fmtid="{D5CDD505-2E9C-101B-9397-08002B2CF9AE}" pid="6" name="NEWPARTB">
    <vt:lpwstr>12;05;12</vt:lpwstr>
  </property>
  <property fmtid="{D5CDD505-2E9C-101B-9397-08002B2CF9AE}" pid="7" name="NEWPARTC">
    <vt:lpwstr>21;21;21</vt:lpwstr>
  </property>
  <property fmtid="{D5CDD505-2E9C-101B-9397-08002B2CF9AE}" pid="8" name="APPELLANT">
    <vt:lpwstr>מדינת ישראל</vt:lpwstr>
  </property>
  <property fmtid="{D5CDD505-2E9C-101B-9397-08002B2CF9AE}" pid="9" name="APPELLEE">
    <vt:lpwstr>זיו יושיע</vt:lpwstr>
  </property>
  <property fmtid="{D5CDD505-2E9C-101B-9397-08002B2CF9AE}" pid="10" name="LAWYER">
    <vt:lpwstr>גבי טרונשווילי </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20240521</vt:lpwstr>
  </property>
  <property fmtid="{D5CDD505-2E9C-101B-9397-08002B2CF9AE}" pid="14" name="TYPE_N_DATE">
    <vt:lpwstr>38020240521</vt:lpwstr>
  </property>
  <property fmtid="{D5CDD505-2E9C-101B-9397-08002B2CF9AE}" pid="15" name="WORDNUMPAGES">
    <vt:lpwstr>10</vt:lpwstr>
  </property>
  <property fmtid="{D5CDD505-2E9C-101B-9397-08002B2CF9AE}" pid="16" name="TYPE_ABS_DATE">
    <vt:lpwstr>380020240521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27659210;28212212;28164320;29668334;29591896;28148430;27280733;28653496;21664407;20798650;22938500</vt:lpwstr>
  </property>
  <property fmtid="{D5CDD505-2E9C-101B-9397-08002B2CF9AE}" pid="36" name="LAWLISTTMP1">
    <vt:lpwstr>4216/007.a.c</vt:lpwstr>
  </property>
  <property fmtid="{D5CDD505-2E9C-101B-9397-08002B2CF9AE}" pid="37" name="LAWLISTTMP2">
    <vt:lpwstr>70301/334;335.a.1;333;192;413e</vt:lpwstr>
  </property>
</Properties>
</file>