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59146A" w:rsidRPr="00723F75" w14:paraId="05908E61" w14:textId="77777777" w:rsidTr="00F35773">
        <w:trPr>
          <w:gridAfter w:val="1"/>
          <w:wAfter w:w="99" w:type="dxa"/>
          <w:trHeight w:hRule="exact" w:val="418"/>
          <w:jc w:val="center"/>
        </w:trPr>
        <w:tc>
          <w:tcPr>
            <w:tcW w:w="8721" w:type="dxa"/>
            <w:gridSpan w:val="4"/>
          </w:tcPr>
          <w:p w14:paraId="2D49DC2E" w14:textId="77777777" w:rsidR="0059146A" w:rsidRPr="00723F75" w:rsidRDefault="0059146A" w:rsidP="003879C6">
            <w:pPr>
              <w:pStyle w:val="a3"/>
              <w:jc w:val="center"/>
              <w:rPr>
                <w:rFonts w:ascii="Tahoma" w:hAnsi="Tahoma" w:cs="Tahoma"/>
                <w:color w:val="000080"/>
                <w:rtl/>
              </w:rPr>
            </w:pPr>
            <w:bookmarkStart w:id="0" w:name="LastJudge"/>
            <w:r w:rsidRPr="00723F75">
              <w:rPr>
                <w:rFonts w:ascii="Tahoma" w:hAnsi="Tahoma" w:cs="Tahoma"/>
                <w:b/>
                <w:bCs/>
                <w:color w:val="000080"/>
                <w:rtl/>
              </w:rPr>
              <w:t>בית משפט השלום בתל אביב -יפו</w:t>
            </w:r>
          </w:p>
        </w:tc>
      </w:tr>
      <w:tr w:rsidR="0059146A" w:rsidRPr="00723F75" w14:paraId="73F1F411" w14:textId="77777777" w:rsidTr="00F35773">
        <w:trPr>
          <w:gridAfter w:val="1"/>
          <w:wAfter w:w="99" w:type="dxa"/>
          <w:trHeight w:val="337"/>
          <w:jc w:val="center"/>
        </w:trPr>
        <w:tc>
          <w:tcPr>
            <w:tcW w:w="5054" w:type="dxa"/>
            <w:gridSpan w:val="3"/>
          </w:tcPr>
          <w:p w14:paraId="15B2E586" w14:textId="77777777" w:rsidR="0059146A" w:rsidRPr="00723F75" w:rsidRDefault="0059146A" w:rsidP="003879C6">
            <w:pPr>
              <w:rPr>
                <w:rFonts w:cs="FrankRuehl"/>
                <w:sz w:val="28"/>
                <w:szCs w:val="28"/>
                <w:rtl/>
              </w:rPr>
            </w:pPr>
            <w:r w:rsidRPr="00723F75">
              <w:rPr>
                <w:rFonts w:cs="FrankRuehl"/>
                <w:sz w:val="28"/>
                <w:szCs w:val="28"/>
                <w:rtl/>
              </w:rPr>
              <w:t>ת"פ</w:t>
            </w:r>
            <w:r w:rsidRPr="00723F75">
              <w:rPr>
                <w:rFonts w:cs="FrankRuehl" w:hint="cs"/>
                <w:sz w:val="28"/>
                <w:szCs w:val="28"/>
                <w:rtl/>
              </w:rPr>
              <w:t xml:space="preserve"> </w:t>
            </w:r>
            <w:r w:rsidRPr="00723F75">
              <w:rPr>
                <w:rFonts w:cs="FrankRuehl"/>
                <w:sz w:val="28"/>
                <w:szCs w:val="28"/>
                <w:rtl/>
              </w:rPr>
              <w:t>30558-12-21</w:t>
            </w:r>
            <w:r w:rsidRPr="00723F75">
              <w:rPr>
                <w:rFonts w:cs="FrankRuehl" w:hint="cs"/>
                <w:sz w:val="28"/>
                <w:szCs w:val="28"/>
                <w:rtl/>
              </w:rPr>
              <w:t xml:space="preserve"> </w:t>
            </w:r>
            <w:r w:rsidRPr="00723F75">
              <w:rPr>
                <w:rFonts w:cs="FrankRuehl"/>
                <w:sz w:val="28"/>
                <w:szCs w:val="28"/>
                <w:rtl/>
              </w:rPr>
              <w:t>מדינת ישראל נ' אדרי</w:t>
            </w:r>
          </w:p>
          <w:p w14:paraId="0B1C07B2" w14:textId="77777777" w:rsidR="0059146A" w:rsidRPr="00723F75" w:rsidRDefault="0059146A" w:rsidP="003879C6">
            <w:pPr>
              <w:pStyle w:val="a3"/>
              <w:rPr>
                <w:rFonts w:cs="FrankRuehl"/>
                <w:sz w:val="28"/>
                <w:szCs w:val="28"/>
                <w:rtl/>
              </w:rPr>
            </w:pPr>
          </w:p>
        </w:tc>
        <w:tc>
          <w:tcPr>
            <w:tcW w:w="3667" w:type="dxa"/>
          </w:tcPr>
          <w:p w14:paraId="4D5FEC1D" w14:textId="77777777" w:rsidR="0059146A" w:rsidRPr="00723F75" w:rsidRDefault="0059146A" w:rsidP="003879C6">
            <w:pPr>
              <w:pStyle w:val="a3"/>
              <w:jc w:val="right"/>
              <w:rPr>
                <w:rFonts w:cs="FrankRuehl"/>
                <w:sz w:val="28"/>
                <w:szCs w:val="28"/>
                <w:rtl/>
              </w:rPr>
            </w:pPr>
          </w:p>
        </w:tc>
      </w:tr>
      <w:tr w:rsidR="0059146A" w:rsidRPr="00723F75" w14:paraId="700D4F0C" w14:textId="77777777" w:rsidTr="00F357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42D20B8" w14:textId="77777777" w:rsidR="0059146A" w:rsidRPr="00723F75" w:rsidRDefault="0059146A" w:rsidP="0059146A">
            <w:pPr>
              <w:spacing w:line="360" w:lineRule="auto"/>
              <w:jc w:val="both"/>
              <w:rPr>
                <w:rFonts w:ascii="David" w:hAnsi="David"/>
                <w:b/>
                <w:bCs/>
                <w:sz w:val="26"/>
                <w:szCs w:val="26"/>
              </w:rPr>
            </w:pPr>
            <w:r w:rsidRPr="00723F75">
              <w:rPr>
                <w:rFonts w:hint="cs"/>
                <w:rtl/>
              </w:rPr>
              <w:t xml:space="preserve"> </w:t>
            </w:r>
            <w:r w:rsidRPr="00723F75">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724D0616" w14:textId="77777777" w:rsidR="0059146A" w:rsidRPr="00723F75" w:rsidRDefault="0059146A" w:rsidP="0059146A">
            <w:pPr>
              <w:spacing w:line="360" w:lineRule="auto"/>
              <w:rPr>
                <w:rFonts w:ascii="David" w:hAnsi="David"/>
                <w:b/>
                <w:bCs/>
                <w:sz w:val="26"/>
                <w:szCs w:val="26"/>
                <w:rtl/>
              </w:rPr>
            </w:pPr>
            <w:r w:rsidRPr="00723F75">
              <w:rPr>
                <w:rFonts w:ascii="David" w:hAnsi="David" w:hint="cs"/>
                <w:b/>
                <w:bCs/>
                <w:sz w:val="26"/>
                <w:szCs w:val="26"/>
                <w:rtl/>
              </w:rPr>
              <w:t>כבוד השופט הבכיר, שאול אבינור</w:t>
            </w:r>
          </w:p>
          <w:p w14:paraId="0FEF72A1" w14:textId="77777777" w:rsidR="0059146A" w:rsidRPr="00723F75" w:rsidRDefault="0059146A" w:rsidP="0059146A">
            <w:pPr>
              <w:spacing w:line="360" w:lineRule="auto"/>
              <w:rPr>
                <w:rFonts w:ascii="David" w:hAnsi="David"/>
                <w:sz w:val="26"/>
                <w:szCs w:val="26"/>
              </w:rPr>
            </w:pPr>
          </w:p>
        </w:tc>
      </w:tr>
      <w:tr w:rsidR="0059146A" w:rsidRPr="00723F75" w14:paraId="04AE6DD8" w14:textId="77777777" w:rsidTr="00F357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99E60EA" w14:textId="77777777" w:rsidR="0059146A" w:rsidRPr="00723F75" w:rsidRDefault="0059146A" w:rsidP="0059146A">
            <w:pPr>
              <w:spacing w:line="360" w:lineRule="auto"/>
              <w:jc w:val="both"/>
              <w:rPr>
                <w:rFonts w:ascii="David" w:hAnsi="David"/>
                <w:sz w:val="26"/>
                <w:szCs w:val="26"/>
              </w:rPr>
            </w:pPr>
            <w:bookmarkStart w:id="1" w:name="FirstAppellant"/>
            <w:bookmarkStart w:id="2" w:name="FirstLawyer"/>
            <w:r w:rsidRPr="00723F75">
              <w:rPr>
                <w:rFonts w:ascii="David" w:hAnsi="David"/>
                <w:sz w:val="26"/>
                <w:szCs w:val="26"/>
                <w:rtl/>
              </w:rPr>
              <w:t>בעניין:</w:t>
            </w:r>
          </w:p>
        </w:tc>
        <w:tc>
          <w:tcPr>
            <w:tcW w:w="3219" w:type="dxa"/>
            <w:tcBorders>
              <w:top w:val="nil"/>
              <w:left w:val="nil"/>
              <w:bottom w:val="nil"/>
              <w:right w:val="nil"/>
            </w:tcBorders>
            <w:shd w:val="clear" w:color="auto" w:fill="auto"/>
          </w:tcPr>
          <w:p w14:paraId="5BF8DE07" w14:textId="77777777" w:rsidR="0059146A" w:rsidRPr="00723F75" w:rsidRDefault="0059146A" w:rsidP="0059146A">
            <w:pPr>
              <w:suppressLineNumbers/>
              <w:spacing w:line="360" w:lineRule="auto"/>
            </w:pPr>
            <w:r w:rsidRPr="00723F75">
              <w:rPr>
                <w:rFonts w:ascii="Arial" w:hAnsi="Arial" w:hint="cs"/>
                <w:b/>
                <w:bCs/>
                <w:sz w:val="26"/>
                <w:szCs w:val="26"/>
                <w:rtl/>
              </w:rPr>
              <w:t>המאשימה:</w:t>
            </w:r>
          </w:p>
          <w:p w14:paraId="756A9765" w14:textId="77777777" w:rsidR="0059146A" w:rsidRPr="00723F75" w:rsidRDefault="0059146A" w:rsidP="0059146A">
            <w:pPr>
              <w:spacing w:line="360" w:lineRule="auto"/>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53EEA44" w14:textId="77777777" w:rsidR="0059146A" w:rsidRPr="00723F75" w:rsidRDefault="0059146A" w:rsidP="0059146A">
            <w:pPr>
              <w:suppressLineNumbers/>
              <w:spacing w:line="360" w:lineRule="auto"/>
              <w:rPr>
                <w:rFonts w:ascii="Arial" w:hAnsi="Arial"/>
                <w:rtl/>
              </w:rPr>
            </w:pPr>
            <w:r w:rsidRPr="00723F75">
              <w:rPr>
                <w:rFonts w:ascii="Arial" w:hAnsi="Arial"/>
                <w:b/>
                <w:bCs/>
                <w:sz w:val="26"/>
                <w:szCs w:val="26"/>
                <w:rtl/>
              </w:rPr>
              <w:t>מדינת ישראל</w:t>
            </w:r>
            <w:r w:rsidRPr="00723F75">
              <w:rPr>
                <w:rFonts w:ascii="Arial" w:hAnsi="Arial" w:hint="cs"/>
                <w:b/>
                <w:bCs/>
                <w:sz w:val="26"/>
                <w:szCs w:val="26"/>
                <w:rtl/>
              </w:rPr>
              <w:t xml:space="preserve"> </w:t>
            </w:r>
          </w:p>
          <w:p w14:paraId="29ADEDD3" w14:textId="77777777" w:rsidR="0059146A" w:rsidRPr="00723F75" w:rsidRDefault="0059146A" w:rsidP="0059146A">
            <w:pPr>
              <w:suppressLineNumbers/>
              <w:spacing w:line="360" w:lineRule="auto"/>
            </w:pPr>
            <w:r w:rsidRPr="00723F75">
              <w:rPr>
                <w:rFonts w:ascii="Arial" w:hAnsi="Arial"/>
                <w:rtl/>
              </w:rPr>
              <w:t>ע"י</w:t>
            </w:r>
            <w:r w:rsidRPr="00723F75">
              <w:rPr>
                <w:rFonts w:ascii="Arial" w:hAnsi="Arial"/>
                <w:b/>
                <w:bCs/>
                <w:sz w:val="26"/>
                <w:szCs w:val="26"/>
                <w:rtl/>
              </w:rPr>
              <w:t xml:space="preserve"> </w:t>
            </w:r>
            <w:r w:rsidRPr="00723F75">
              <w:rPr>
                <w:rFonts w:ascii="Arial" w:hAnsi="Arial"/>
                <w:rtl/>
              </w:rPr>
              <w:t>ב"כ עו"ד</w:t>
            </w:r>
            <w:r w:rsidRPr="00723F75">
              <w:rPr>
                <w:rFonts w:ascii="Arial" w:hAnsi="Arial" w:hint="cs"/>
                <w:rtl/>
              </w:rPr>
              <w:t xml:space="preserve"> רועי חמדני</w:t>
            </w:r>
          </w:p>
          <w:p w14:paraId="10897732" w14:textId="77777777" w:rsidR="0059146A" w:rsidRPr="00723F75" w:rsidRDefault="0059146A" w:rsidP="0059146A">
            <w:pPr>
              <w:spacing w:line="360" w:lineRule="auto"/>
              <w:rPr>
                <w:rFonts w:ascii="David" w:hAnsi="David"/>
                <w:sz w:val="26"/>
                <w:szCs w:val="26"/>
              </w:rPr>
            </w:pPr>
          </w:p>
        </w:tc>
      </w:tr>
      <w:bookmarkEnd w:id="1"/>
      <w:bookmarkEnd w:id="2"/>
      <w:tr w:rsidR="0059146A" w:rsidRPr="00723F75" w14:paraId="2BA0E6BC" w14:textId="77777777" w:rsidTr="00F357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2B89F2F" w14:textId="77777777" w:rsidR="0059146A" w:rsidRPr="00723F75" w:rsidRDefault="0059146A" w:rsidP="0059146A">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14:paraId="6FBF8BE3" w14:textId="77777777" w:rsidR="0059146A" w:rsidRPr="00723F75" w:rsidRDefault="0059146A" w:rsidP="0059146A">
            <w:pPr>
              <w:spacing w:line="360" w:lineRule="auto"/>
              <w:jc w:val="center"/>
              <w:rPr>
                <w:rFonts w:ascii="David" w:hAnsi="David"/>
                <w:b/>
                <w:bCs/>
                <w:sz w:val="26"/>
                <w:szCs w:val="26"/>
                <w:rtl/>
              </w:rPr>
            </w:pPr>
          </w:p>
          <w:p w14:paraId="22667E0D" w14:textId="77777777" w:rsidR="0059146A" w:rsidRPr="00723F75" w:rsidRDefault="0059146A" w:rsidP="0059146A">
            <w:pPr>
              <w:spacing w:line="360" w:lineRule="auto"/>
              <w:jc w:val="center"/>
              <w:rPr>
                <w:rFonts w:ascii="David" w:hAnsi="David"/>
                <w:b/>
                <w:bCs/>
                <w:sz w:val="26"/>
                <w:szCs w:val="26"/>
                <w:rtl/>
              </w:rPr>
            </w:pPr>
            <w:r w:rsidRPr="00723F75">
              <w:rPr>
                <w:rFonts w:ascii="David" w:hAnsi="David"/>
                <w:b/>
                <w:bCs/>
                <w:sz w:val="26"/>
                <w:szCs w:val="26"/>
                <w:rtl/>
              </w:rPr>
              <w:t>נגד</w:t>
            </w:r>
          </w:p>
          <w:p w14:paraId="50FE727E" w14:textId="77777777" w:rsidR="0059146A" w:rsidRPr="00723F75" w:rsidRDefault="0059146A" w:rsidP="0059146A">
            <w:pPr>
              <w:spacing w:line="360" w:lineRule="auto"/>
              <w:jc w:val="both"/>
              <w:rPr>
                <w:rFonts w:ascii="David" w:hAnsi="David"/>
                <w:sz w:val="26"/>
                <w:szCs w:val="26"/>
                <w:rtl/>
              </w:rPr>
            </w:pPr>
          </w:p>
          <w:p w14:paraId="4C7B2756" w14:textId="77777777" w:rsidR="0059146A" w:rsidRPr="00723F75" w:rsidRDefault="0059146A" w:rsidP="0059146A">
            <w:pPr>
              <w:spacing w:line="360" w:lineRule="auto"/>
              <w:jc w:val="both"/>
              <w:rPr>
                <w:rFonts w:ascii="David" w:hAnsi="David"/>
                <w:sz w:val="26"/>
                <w:szCs w:val="26"/>
              </w:rPr>
            </w:pPr>
          </w:p>
        </w:tc>
      </w:tr>
      <w:tr w:rsidR="0059146A" w:rsidRPr="00723F75" w14:paraId="52911F63" w14:textId="77777777" w:rsidTr="00F357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6C081A1" w14:textId="77777777" w:rsidR="0059146A" w:rsidRPr="00723F75" w:rsidRDefault="0059146A" w:rsidP="0059146A">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3239D455" w14:textId="77777777" w:rsidR="0059146A" w:rsidRPr="00723F75" w:rsidRDefault="0059146A" w:rsidP="0059146A">
            <w:pPr>
              <w:spacing w:line="360" w:lineRule="auto"/>
              <w:rPr>
                <w:rFonts w:ascii="Arial" w:hAnsi="Arial"/>
                <w:b/>
                <w:bCs/>
                <w:sz w:val="26"/>
                <w:szCs w:val="26"/>
                <w:rtl/>
              </w:rPr>
            </w:pPr>
            <w:r w:rsidRPr="00723F75">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14:paraId="6F93885C" w14:textId="77777777" w:rsidR="0059146A" w:rsidRPr="00723F75" w:rsidRDefault="0059146A" w:rsidP="0059146A">
            <w:pPr>
              <w:suppressLineNumbers/>
              <w:spacing w:line="360" w:lineRule="auto"/>
              <w:rPr>
                <w:rFonts w:ascii="Arial" w:hAnsi="Arial"/>
                <w:b/>
                <w:bCs/>
                <w:sz w:val="26"/>
                <w:szCs w:val="26"/>
                <w:rtl/>
              </w:rPr>
            </w:pPr>
            <w:r w:rsidRPr="00723F75">
              <w:rPr>
                <w:rFonts w:ascii="Arial" w:hAnsi="Arial"/>
                <w:b/>
                <w:bCs/>
                <w:sz w:val="26"/>
                <w:szCs w:val="26"/>
                <w:rtl/>
              </w:rPr>
              <w:t>יהודה אדרי</w:t>
            </w:r>
            <w:r w:rsidRPr="00723F75">
              <w:rPr>
                <w:rFonts w:ascii="Arial" w:hAnsi="Arial" w:hint="cs"/>
                <w:b/>
                <w:bCs/>
                <w:sz w:val="26"/>
                <w:szCs w:val="26"/>
                <w:rtl/>
              </w:rPr>
              <w:t xml:space="preserve"> </w:t>
            </w:r>
          </w:p>
          <w:p w14:paraId="09E31634" w14:textId="77777777" w:rsidR="0059146A" w:rsidRPr="00723F75" w:rsidRDefault="0059146A" w:rsidP="0059146A">
            <w:pPr>
              <w:suppressLineNumbers/>
              <w:spacing w:line="360" w:lineRule="auto"/>
            </w:pPr>
            <w:r w:rsidRPr="00723F75">
              <w:rPr>
                <w:rFonts w:ascii="Arial" w:hAnsi="Arial"/>
                <w:rtl/>
              </w:rPr>
              <w:t>ע"י</w:t>
            </w:r>
            <w:r w:rsidRPr="00723F75">
              <w:rPr>
                <w:rFonts w:ascii="Arial" w:hAnsi="Arial"/>
                <w:b/>
                <w:bCs/>
                <w:sz w:val="26"/>
                <w:szCs w:val="26"/>
                <w:rtl/>
              </w:rPr>
              <w:t xml:space="preserve"> </w:t>
            </w:r>
            <w:r w:rsidRPr="00723F75">
              <w:rPr>
                <w:rFonts w:ascii="Arial" w:hAnsi="Arial"/>
                <w:rtl/>
              </w:rPr>
              <w:t>ב"כ עו"ד</w:t>
            </w:r>
            <w:r w:rsidRPr="00723F75">
              <w:rPr>
                <w:rFonts w:ascii="Arial" w:hAnsi="Arial" w:hint="cs"/>
                <w:rtl/>
              </w:rPr>
              <w:t xml:space="preserve"> שאדי כבהא</w:t>
            </w:r>
          </w:p>
          <w:p w14:paraId="67D78834" w14:textId="77777777" w:rsidR="0059146A" w:rsidRPr="00723F75" w:rsidRDefault="0059146A" w:rsidP="0059146A">
            <w:pPr>
              <w:spacing w:line="360" w:lineRule="auto"/>
              <w:rPr>
                <w:rFonts w:ascii="David" w:hAnsi="David"/>
                <w:sz w:val="26"/>
                <w:szCs w:val="26"/>
              </w:rPr>
            </w:pPr>
          </w:p>
        </w:tc>
      </w:tr>
    </w:tbl>
    <w:p w14:paraId="246DF368" w14:textId="77777777" w:rsidR="0059146A" w:rsidRPr="00F35773" w:rsidRDefault="0059146A" w:rsidP="0059146A">
      <w:pPr>
        <w:spacing w:line="360" w:lineRule="auto"/>
        <w:rPr>
          <w:sz w:val="26"/>
          <w:szCs w:val="26"/>
          <w:rtl/>
        </w:rPr>
      </w:pPr>
    </w:p>
    <w:p w14:paraId="291F997A" w14:textId="77777777" w:rsidR="00723F75" w:rsidRPr="00723F75" w:rsidRDefault="00723F75" w:rsidP="00723F75">
      <w:pPr>
        <w:spacing w:before="120" w:after="120" w:line="240" w:lineRule="exact"/>
        <w:ind w:left="283" w:hanging="283"/>
        <w:jc w:val="both"/>
        <w:rPr>
          <w:rFonts w:ascii="FrankRuehl" w:hAnsi="FrankRuehl" w:cs="FrankRuehl"/>
          <w:rtl/>
        </w:rPr>
      </w:pPr>
    </w:p>
    <w:p w14:paraId="3C4F95BE" w14:textId="77777777" w:rsidR="00723F75" w:rsidRPr="00723F75" w:rsidRDefault="00723F75" w:rsidP="00723F75">
      <w:pPr>
        <w:spacing w:line="360" w:lineRule="auto"/>
        <w:rPr>
          <w:sz w:val="26"/>
          <w:szCs w:val="26"/>
          <w:rtl/>
        </w:rPr>
      </w:pPr>
    </w:p>
    <w:p w14:paraId="54306B3F" w14:textId="77777777" w:rsidR="00F35773" w:rsidRPr="00F35773" w:rsidRDefault="00F35773" w:rsidP="00F35773">
      <w:pPr>
        <w:spacing w:before="120" w:after="120" w:line="240" w:lineRule="exact"/>
        <w:ind w:left="283" w:hanging="283"/>
        <w:jc w:val="both"/>
        <w:rPr>
          <w:rFonts w:ascii="FrankRuehl" w:hAnsi="FrankRuehl" w:cs="FrankRuehl"/>
          <w:rtl/>
        </w:rPr>
      </w:pPr>
      <w:bookmarkStart w:id="3" w:name="LawTable"/>
      <w:bookmarkEnd w:id="3"/>
    </w:p>
    <w:p w14:paraId="608F25D4" w14:textId="77777777" w:rsidR="00F35773" w:rsidRPr="00F35773" w:rsidRDefault="00F35773" w:rsidP="00F35773">
      <w:pPr>
        <w:spacing w:before="120" w:after="120" w:line="240" w:lineRule="exact"/>
        <w:ind w:left="283" w:hanging="283"/>
        <w:jc w:val="both"/>
        <w:rPr>
          <w:rFonts w:ascii="FrankRuehl" w:hAnsi="FrankRuehl" w:cs="FrankRuehl"/>
          <w:rtl/>
        </w:rPr>
      </w:pPr>
      <w:r w:rsidRPr="00F35773">
        <w:rPr>
          <w:rFonts w:ascii="FrankRuehl" w:hAnsi="FrankRuehl" w:cs="FrankRuehl"/>
          <w:rtl/>
        </w:rPr>
        <w:t xml:space="preserve">חקיקה שאוזכרה: </w:t>
      </w:r>
    </w:p>
    <w:p w14:paraId="6EAB1CF7" w14:textId="77777777" w:rsidR="00F35773" w:rsidRPr="00F35773" w:rsidRDefault="00F35773" w:rsidP="00F35773">
      <w:pPr>
        <w:spacing w:before="120" w:after="120" w:line="240" w:lineRule="exact"/>
        <w:ind w:left="283" w:hanging="283"/>
        <w:jc w:val="both"/>
        <w:rPr>
          <w:rFonts w:ascii="FrankRuehl" w:hAnsi="FrankRuehl" w:cs="FrankRuehl"/>
          <w:color w:val="0000FF"/>
          <w:rtl/>
        </w:rPr>
      </w:pPr>
      <w:hyperlink r:id="rId7" w:history="1">
        <w:r w:rsidRPr="00F35773">
          <w:rPr>
            <w:rStyle w:val="Hyperlink"/>
            <w:rFonts w:ascii="FrankRuehl" w:hAnsi="FrankRuehl" w:cs="FrankRuehl"/>
            <w:u w:val="none"/>
            <w:rtl/>
          </w:rPr>
          <w:t>פקודת הסמים המסוכנים [נוסח חדש], תשל"ג-1973</w:t>
        </w:r>
      </w:hyperlink>
      <w:r w:rsidRPr="00F35773">
        <w:rPr>
          <w:rFonts w:ascii="FrankRuehl" w:hAnsi="FrankRuehl" w:cs="FrankRuehl"/>
          <w:color w:val="0000FF"/>
          <w:rtl/>
        </w:rPr>
        <w:t xml:space="preserve">: סע'  </w:t>
      </w:r>
      <w:hyperlink r:id="rId8" w:history="1">
        <w:r w:rsidRPr="00F35773">
          <w:rPr>
            <w:rStyle w:val="Hyperlink"/>
            <w:rFonts w:ascii="FrankRuehl" w:hAnsi="FrankRuehl" w:cs="FrankRuehl"/>
            <w:u w:val="none"/>
          </w:rPr>
          <w:t>7</w:t>
        </w:r>
      </w:hyperlink>
      <w:r w:rsidRPr="00F35773">
        <w:rPr>
          <w:rFonts w:ascii="FrankRuehl" w:hAnsi="FrankRuehl" w:cs="FrankRuehl"/>
          <w:color w:val="0000FF"/>
          <w:rtl/>
        </w:rPr>
        <w:t xml:space="preserve">(א), </w:t>
      </w:r>
      <w:hyperlink r:id="rId9" w:history="1">
        <w:r w:rsidRPr="00F35773">
          <w:rPr>
            <w:rStyle w:val="Hyperlink"/>
            <w:rFonts w:ascii="FrankRuehl" w:hAnsi="FrankRuehl" w:cs="FrankRuehl"/>
            <w:u w:val="none"/>
          </w:rPr>
          <w:t>7</w:t>
        </w:r>
      </w:hyperlink>
      <w:r w:rsidRPr="00F35773">
        <w:rPr>
          <w:rFonts w:ascii="FrankRuehl" w:hAnsi="FrankRuehl" w:cs="FrankRuehl"/>
          <w:color w:val="0000FF"/>
          <w:rtl/>
        </w:rPr>
        <w:t>(ג)</w:t>
      </w:r>
    </w:p>
    <w:p w14:paraId="35831F99" w14:textId="77777777" w:rsidR="00F35773" w:rsidRPr="00F35773" w:rsidRDefault="00F35773" w:rsidP="00F35773">
      <w:pPr>
        <w:spacing w:before="120" w:after="120" w:line="240" w:lineRule="exact"/>
        <w:ind w:left="283" w:hanging="283"/>
        <w:jc w:val="both"/>
        <w:rPr>
          <w:rFonts w:ascii="FrankRuehl" w:hAnsi="FrankRuehl" w:cs="FrankRuehl"/>
          <w:color w:val="0000FF"/>
          <w:rtl/>
        </w:rPr>
      </w:pPr>
      <w:hyperlink r:id="rId10" w:history="1">
        <w:r w:rsidRPr="00F35773">
          <w:rPr>
            <w:rStyle w:val="Hyperlink"/>
            <w:rFonts w:ascii="FrankRuehl" w:hAnsi="FrankRuehl" w:cs="FrankRuehl"/>
            <w:u w:val="none"/>
            <w:rtl/>
          </w:rPr>
          <w:t>חוק העונשין, תשל"ז-1977</w:t>
        </w:r>
      </w:hyperlink>
    </w:p>
    <w:p w14:paraId="026011C5" w14:textId="77777777" w:rsidR="0059146A" w:rsidRPr="00F35773" w:rsidRDefault="0059146A" w:rsidP="00F35773">
      <w:pPr>
        <w:spacing w:line="360" w:lineRule="auto"/>
        <w:rPr>
          <w:sz w:val="26"/>
          <w:szCs w:val="26"/>
        </w:rPr>
      </w:pPr>
      <w:bookmarkStart w:id="4" w:name="LawTable_End"/>
      <w:bookmarkEnd w:id="4"/>
    </w:p>
    <w:p w14:paraId="3A96563C" w14:textId="77777777" w:rsidR="00F35773" w:rsidRPr="00723F75" w:rsidRDefault="00F35773" w:rsidP="00723F75">
      <w:pPr>
        <w:spacing w:after="120" w:line="360" w:lineRule="auto"/>
        <w:jc w:val="center"/>
        <w:rPr>
          <w:rFonts w:ascii="David" w:hAnsi="David"/>
          <w:b/>
          <w:bCs/>
          <w:sz w:val="36"/>
          <w:szCs w:val="36"/>
          <w:u w:val="single"/>
          <w:rtl/>
        </w:rPr>
      </w:pPr>
      <w:bookmarkStart w:id="5" w:name="PsakDin" w:colFirst="0" w:colLast="0"/>
      <w:bookmarkEnd w:id="0"/>
      <w:r w:rsidRPr="00723F75">
        <w:rPr>
          <w:rFonts w:ascii="David" w:hAnsi="David"/>
          <w:b/>
          <w:bCs/>
          <w:sz w:val="36"/>
          <w:szCs w:val="36"/>
          <w:u w:val="single"/>
          <w:rtl/>
        </w:rPr>
        <w:t>גזר דין</w:t>
      </w:r>
    </w:p>
    <w:p w14:paraId="347700F6" w14:textId="77777777" w:rsidR="00F35773" w:rsidRPr="00723F75" w:rsidRDefault="00F35773" w:rsidP="00723F75">
      <w:pPr>
        <w:spacing w:after="120" w:line="360" w:lineRule="auto"/>
        <w:jc w:val="center"/>
        <w:rPr>
          <w:rFonts w:ascii="David" w:hAnsi="David"/>
          <w:bCs/>
          <w:sz w:val="36"/>
          <w:szCs w:val="36"/>
          <w:u w:val="single"/>
          <w:rtl/>
        </w:rPr>
      </w:pPr>
    </w:p>
    <w:bookmarkEnd w:id="5"/>
    <w:p w14:paraId="546C9A95" w14:textId="77777777" w:rsidR="0059146A" w:rsidRDefault="0059146A" w:rsidP="0059146A">
      <w:pPr>
        <w:pStyle w:val="a9"/>
        <w:numPr>
          <w:ilvl w:val="0"/>
          <w:numId w:val="1"/>
        </w:numPr>
        <w:spacing w:after="120" w:line="360" w:lineRule="auto"/>
        <w:ind w:left="360"/>
        <w:jc w:val="both"/>
        <w:rPr>
          <w:rFonts w:ascii="Tahoma" w:hAnsi="Tahoma"/>
          <w:b/>
          <w:bCs/>
          <w:u w:val="single"/>
        </w:rPr>
      </w:pPr>
      <w:r>
        <w:rPr>
          <w:rFonts w:ascii="Tahoma" w:hAnsi="Tahoma"/>
          <w:b/>
          <w:bCs/>
          <w:u w:val="single"/>
          <w:rtl/>
        </w:rPr>
        <w:t>רקע כללי והשתלשלות ההליכים המשפטיים:</w:t>
      </w:r>
    </w:p>
    <w:p w14:paraId="65732F54" w14:textId="77777777" w:rsidR="0059146A" w:rsidRDefault="0059146A" w:rsidP="0059146A">
      <w:pPr>
        <w:numPr>
          <w:ilvl w:val="0"/>
          <w:numId w:val="2"/>
        </w:numPr>
        <w:spacing w:after="120" w:line="360" w:lineRule="auto"/>
        <w:ind w:left="360"/>
        <w:jc w:val="both"/>
        <w:rPr>
          <w:rFonts w:ascii="Tahoma" w:hAnsi="Tahoma"/>
          <w:rtl/>
        </w:rPr>
      </w:pPr>
      <w:bookmarkStart w:id="6" w:name="ABSTRACT_START"/>
      <w:bookmarkEnd w:id="6"/>
      <w:r>
        <w:rPr>
          <w:rFonts w:ascii="Tahoma" w:hAnsi="Tahoma"/>
          <w:rtl/>
        </w:rPr>
        <w:t>הנאשם הורשע – על יסוד הודאתו בעובדות כתב האישום בתיק העיקרי שבכותרת וכתב האישום המתוקן ב</w:t>
      </w:r>
      <w:hyperlink r:id="rId11" w:history="1">
        <w:r w:rsidR="00723F75" w:rsidRPr="00723F75">
          <w:rPr>
            <w:rFonts w:ascii="Tahoma" w:hAnsi="Tahoma"/>
            <w:color w:val="0000FF"/>
            <w:u w:val="single"/>
            <w:rtl/>
          </w:rPr>
          <w:t>ת"פ (שלום ראשל"צ) 24164-04-21</w:t>
        </w:r>
      </w:hyperlink>
      <w:r>
        <w:rPr>
          <w:rFonts w:ascii="Tahoma" w:hAnsi="Tahoma"/>
          <w:rtl/>
        </w:rPr>
        <w:t xml:space="preserve"> (להלן – התיק המצורף) – בביצוע שתי עבירות של </w:t>
      </w:r>
      <w:r>
        <w:rPr>
          <w:rFonts w:ascii="Tahoma" w:hAnsi="Tahoma"/>
          <w:b/>
          <w:bCs/>
          <w:rtl/>
        </w:rPr>
        <w:t>החזקת סמים מסוכנים שלא לצריכה עצמית</w:t>
      </w:r>
      <w:r>
        <w:rPr>
          <w:rFonts w:ascii="Tahoma" w:hAnsi="Tahoma"/>
          <w:rtl/>
        </w:rPr>
        <w:t xml:space="preserve">, לפי הוראות </w:t>
      </w:r>
      <w:hyperlink r:id="rId12" w:history="1">
        <w:r w:rsidR="00F35773" w:rsidRPr="00F35773">
          <w:rPr>
            <w:rStyle w:val="Hyperlink"/>
            <w:rFonts w:ascii="Tahoma" w:hAnsi="Tahoma"/>
            <w:color w:val="0000FF"/>
            <w:rtl/>
          </w:rPr>
          <w:t>סעיף 7(א)</w:t>
        </w:r>
      </w:hyperlink>
      <w:r>
        <w:rPr>
          <w:rFonts w:ascii="Tahoma" w:hAnsi="Tahoma"/>
          <w:rtl/>
        </w:rPr>
        <w:t xml:space="preserve"> יחד עם סעיף </w:t>
      </w:r>
      <w:hyperlink r:id="rId13" w:history="1">
        <w:r w:rsidR="00F35773" w:rsidRPr="00F35773">
          <w:rPr>
            <w:rStyle w:val="Hyperlink"/>
            <w:rFonts w:ascii="Tahoma" w:hAnsi="Tahoma"/>
            <w:color w:val="0000FF"/>
            <w:rtl/>
          </w:rPr>
          <w:t>7(ג)</w:t>
        </w:r>
      </w:hyperlink>
      <w:r>
        <w:rPr>
          <w:rFonts w:ascii="Tahoma" w:hAnsi="Tahoma"/>
          <w:rtl/>
        </w:rPr>
        <w:t xml:space="preserve"> רישא ל</w:t>
      </w:r>
      <w:hyperlink r:id="rId14" w:history="1">
        <w:r w:rsidR="00723F75" w:rsidRPr="00723F75">
          <w:rPr>
            <w:rFonts w:ascii="Tahoma" w:hAnsi="Tahoma"/>
            <w:color w:val="0000FF"/>
            <w:u w:val="single"/>
            <w:rtl/>
          </w:rPr>
          <w:t>פקודת הסמים המסוכנים</w:t>
        </w:r>
      </w:hyperlink>
      <w:r>
        <w:rPr>
          <w:rFonts w:ascii="Tahoma" w:hAnsi="Tahoma"/>
          <w:rtl/>
        </w:rPr>
        <w:t xml:space="preserve"> [נוסח חדש], תשל"ג-1973 (להלן – פקודת הסמים המסוכנים).</w:t>
      </w:r>
    </w:p>
    <w:p w14:paraId="0EEB8442" w14:textId="77777777" w:rsidR="0059146A" w:rsidRDefault="0059146A" w:rsidP="0059146A">
      <w:pPr>
        <w:numPr>
          <w:ilvl w:val="0"/>
          <w:numId w:val="2"/>
        </w:numPr>
        <w:spacing w:after="120" w:line="360" w:lineRule="auto"/>
        <w:ind w:left="360"/>
        <w:jc w:val="both"/>
        <w:rPr>
          <w:rFonts w:ascii="Tahoma" w:hAnsi="Tahoma"/>
        </w:rPr>
      </w:pPr>
      <w:bookmarkStart w:id="7" w:name="ABSTRACT_END"/>
      <w:bookmarkEnd w:id="7"/>
      <w:r>
        <w:rPr>
          <w:rFonts w:ascii="Tahoma" w:hAnsi="Tahoma"/>
          <w:rtl/>
        </w:rPr>
        <w:lastRenderedPageBreak/>
        <w:t>בעובדות כתבי האישום נטען, בעיקרי הדברים, כלהלן:</w:t>
      </w:r>
    </w:p>
    <w:p w14:paraId="7C3D8A2D" w14:textId="77777777" w:rsidR="0059146A" w:rsidRDefault="0059146A" w:rsidP="0059146A">
      <w:pPr>
        <w:numPr>
          <w:ilvl w:val="0"/>
          <w:numId w:val="3"/>
        </w:numPr>
        <w:spacing w:after="120" w:line="360" w:lineRule="auto"/>
        <w:ind w:left="720"/>
        <w:jc w:val="both"/>
        <w:rPr>
          <w:rFonts w:ascii="Tahoma" w:hAnsi="Tahoma"/>
        </w:rPr>
      </w:pPr>
      <w:r>
        <w:rPr>
          <w:rFonts w:ascii="Tahoma" w:hAnsi="Tahoma"/>
          <w:b/>
          <w:bCs/>
          <w:rtl/>
        </w:rPr>
        <w:t>בתיק העיקרי</w:t>
      </w:r>
      <w:r>
        <w:rPr>
          <w:rFonts w:ascii="Tahoma" w:hAnsi="Tahoma"/>
          <w:rtl/>
        </w:rPr>
        <w:t xml:space="preserve"> – ביום 24.02.2021, בשעה 10:00 או בסמוך לכך, החזיק הנאשם בדירה ברחוב יצחק שדה בבת ים, סמים מסוכנים מסוג </w:t>
      </w:r>
      <w:r>
        <w:rPr>
          <w:rFonts w:ascii="Tahoma" w:hAnsi="Tahoma"/>
          <w:b/>
          <w:bCs/>
          <w:rtl/>
        </w:rPr>
        <w:t>קוקאין</w:t>
      </w:r>
      <w:r>
        <w:rPr>
          <w:rFonts w:ascii="Tahoma" w:hAnsi="Tahoma"/>
          <w:rtl/>
        </w:rPr>
        <w:t xml:space="preserve"> במשקל כולל של </w:t>
      </w:r>
      <w:r>
        <w:rPr>
          <w:rFonts w:ascii="Tahoma" w:hAnsi="Tahoma"/>
          <w:b/>
          <w:bCs/>
          <w:rtl/>
        </w:rPr>
        <w:t>12.97 גרם נטו</w:t>
      </w:r>
      <w:r>
        <w:rPr>
          <w:rFonts w:ascii="Tahoma" w:hAnsi="Tahoma" w:hint="cs"/>
          <w:rtl/>
        </w:rPr>
        <w:t>, שלא לצריכה עצמית</w:t>
      </w:r>
      <w:r>
        <w:rPr>
          <w:rFonts w:ascii="Tahoma" w:hAnsi="Tahoma"/>
          <w:rtl/>
        </w:rPr>
        <w:t>. הסמים חולקו ל-9 שקיות והוחזקו במקומות שונים בדירה.</w:t>
      </w:r>
    </w:p>
    <w:p w14:paraId="5FEAD502" w14:textId="77777777" w:rsidR="0059146A" w:rsidRDefault="0059146A" w:rsidP="0059146A">
      <w:pPr>
        <w:numPr>
          <w:ilvl w:val="0"/>
          <w:numId w:val="3"/>
        </w:numPr>
        <w:spacing w:after="120" w:line="360" w:lineRule="auto"/>
        <w:ind w:left="720"/>
        <w:jc w:val="both"/>
        <w:rPr>
          <w:rFonts w:ascii="Tahoma" w:hAnsi="Tahoma"/>
        </w:rPr>
      </w:pPr>
      <w:r>
        <w:rPr>
          <w:rFonts w:ascii="Tahoma" w:hAnsi="Tahoma"/>
          <w:b/>
          <w:bCs/>
          <w:rtl/>
        </w:rPr>
        <w:t>בתיק המצורף</w:t>
      </w:r>
      <w:r>
        <w:rPr>
          <w:rFonts w:ascii="Tahoma" w:hAnsi="Tahoma"/>
          <w:rtl/>
        </w:rPr>
        <w:t xml:space="preserve"> – ביום 22.07.2018, בשעה 14:30 או בסמוך לכך, החזיק הנאשם ביחידת דיור בה התגורר ברחוב היסמין בבית דגן, בסמים מסוכנים </w:t>
      </w:r>
      <w:r>
        <w:rPr>
          <w:rFonts w:ascii="Tahoma" w:hAnsi="Tahoma" w:hint="cs"/>
          <w:rtl/>
        </w:rPr>
        <w:t>מסוגים שונים ו</w:t>
      </w:r>
      <w:r>
        <w:rPr>
          <w:rFonts w:ascii="Tahoma" w:hAnsi="Tahoma"/>
          <w:rtl/>
        </w:rPr>
        <w:t xml:space="preserve">באריזות שונות כלהלן: </w:t>
      </w:r>
      <w:r>
        <w:rPr>
          <w:rFonts w:ascii="Tahoma" w:hAnsi="Tahoma"/>
          <w:b/>
          <w:bCs/>
          <w:rtl/>
        </w:rPr>
        <w:t>קוקאין</w:t>
      </w:r>
      <w:r>
        <w:rPr>
          <w:rFonts w:ascii="Tahoma" w:hAnsi="Tahoma"/>
          <w:rtl/>
        </w:rPr>
        <w:t xml:space="preserve">, במשקל כולל של </w:t>
      </w:r>
      <w:r>
        <w:rPr>
          <w:rFonts w:ascii="Tahoma" w:hAnsi="Tahoma"/>
          <w:b/>
          <w:bCs/>
          <w:rtl/>
        </w:rPr>
        <w:t>7.4726 גרם</w:t>
      </w:r>
      <w:r>
        <w:rPr>
          <w:rFonts w:ascii="Tahoma" w:hAnsi="Tahoma"/>
          <w:rtl/>
        </w:rPr>
        <w:t xml:space="preserve"> נטו; שתי טבליות </w:t>
      </w:r>
      <w:r w:rsidRPr="0059146A">
        <w:rPr>
          <w:rFonts w:cs="Times New Roman"/>
          <w:b/>
          <w:bCs/>
        </w:rPr>
        <w:t>MDMA</w:t>
      </w:r>
      <w:r>
        <w:rPr>
          <w:rFonts w:ascii="Tahoma" w:hAnsi="Tahoma"/>
          <w:rtl/>
        </w:rPr>
        <w:t xml:space="preserve">; </w:t>
      </w:r>
      <w:r>
        <w:rPr>
          <w:rFonts w:ascii="Tahoma" w:hAnsi="Tahoma"/>
          <w:b/>
          <w:bCs/>
          <w:rtl/>
        </w:rPr>
        <w:t>קנבוס</w:t>
      </w:r>
      <w:r>
        <w:rPr>
          <w:rFonts w:ascii="Tahoma" w:hAnsi="Tahoma"/>
          <w:rtl/>
        </w:rPr>
        <w:t xml:space="preserve">, במשקל כולל של </w:t>
      </w:r>
      <w:r>
        <w:rPr>
          <w:rFonts w:ascii="Tahoma" w:hAnsi="Tahoma"/>
          <w:b/>
          <w:bCs/>
          <w:rtl/>
        </w:rPr>
        <w:t>4.75 גרם</w:t>
      </w:r>
      <w:r>
        <w:rPr>
          <w:rFonts w:ascii="Tahoma" w:hAnsi="Tahoma"/>
          <w:rtl/>
        </w:rPr>
        <w:t xml:space="preserve"> נטו; </w:t>
      </w:r>
      <w:r>
        <w:rPr>
          <w:rFonts w:ascii="Tahoma" w:hAnsi="Tahoma"/>
          <w:b/>
          <w:bCs/>
          <w:rtl/>
        </w:rPr>
        <w:t>חשיש</w:t>
      </w:r>
      <w:r>
        <w:rPr>
          <w:rFonts w:ascii="Tahoma" w:hAnsi="Tahoma"/>
          <w:rtl/>
        </w:rPr>
        <w:t xml:space="preserve">, במשקל כולל של </w:t>
      </w:r>
      <w:r>
        <w:rPr>
          <w:rFonts w:ascii="Tahoma" w:hAnsi="Tahoma"/>
          <w:b/>
          <w:bCs/>
          <w:rtl/>
        </w:rPr>
        <w:t>79.18 גרם</w:t>
      </w:r>
      <w:r>
        <w:rPr>
          <w:rFonts w:ascii="Tahoma" w:hAnsi="Tahoma"/>
          <w:rtl/>
        </w:rPr>
        <w:t xml:space="preserve"> נטו; </w:t>
      </w:r>
      <w:r>
        <w:rPr>
          <w:rFonts w:ascii="Tahoma" w:hAnsi="Tahoma"/>
          <w:b/>
          <w:bCs/>
          <w:rtl/>
        </w:rPr>
        <w:t>קנבוס</w:t>
      </w:r>
      <w:r>
        <w:rPr>
          <w:rFonts w:ascii="Tahoma" w:hAnsi="Tahoma"/>
          <w:rtl/>
        </w:rPr>
        <w:t xml:space="preserve">, במשקל </w:t>
      </w:r>
      <w:r>
        <w:rPr>
          <w:rFonts w:ascii="Tahoma" w:hAnsi="Tahoma"/>
          <w:b/>
          <w:bCs/>
          <w:rtl/>
        </w:rPr>
        <w:t>2.46 גרם</w:t>
      </w:r>
      <w:r>
        <w:rPr>
          <w:rFonts w:ascii="Tahoma" w:hAnsi="Tahoma"/>
          <w:rtl/>
        </w:rPr>
        <w:t xml:space="preserve"> נטו</w:t>
      </w:r>
      <w:r>
        <w:rPr>
          <w:rFonts w:ascii="Tahoma" w:hAnsi="Tahoma" w:hint="cs"/>
          <w:rtl/>
        </w:rPr>
        <w:t xml:space="preserve"> </w:t>
      </w:r>
      <w:r>
        <w:rPr>
          <w:rFonts w:ascii="Tahoma" w:hAnsi="Tahoma"/>
          <w:rtl/>
        </w:rPr>
        <w:t>–</w:t>
      </w:r>
      <w:r>
        <w:rPr>
          <w:rFonts w:ascii="Tahoma" w:hAnsi="Tahoma" w:hint="cs"/>
          <w:rtl/>
        </w:rPr>
        <w:t xml:space="preserve"> והכל שלא לצריכה עצמית.</w:t>
      </w:r>
    </w:p>
    <w:p w14:paraId="4EFAA6E3" w14:textId="77777777" w:rsidR="0059146A" w:rsidRDefault="0059146A" w:rsidP="0059146A">
      <w:pPr>
        <w:numPr>
          <w:ilvl w:val="0"/>
          <w:numId w:val="2"/>
        </w:numPr>
        <w:spacing w:after="120" w:line="360" w:lineRule="auto"/>
        <w:ind w:left="360"/>
        <w:jc w:val="both"/>
        <w:rPr>
          <w:rFonts w:ascii="Tahoma" w:hAnsi="Tahoma"/>
          <w:rtl/>
        </w:rPr>
      </w:pPr>
      <w:r>
        <w:rPr>
          <w:rFonts w:ascii="Tahoma" w:hAnsi="Tahoma"/>
          <w:rtl/>
        </w:rPr>
        <w:t>הדיונים המקדמיים התמשכו לרקע בקשות ההגנה לבחינת מצבו המשפטי של הנאשם ו</w:t>
      </w:r>
      <w:r>
        <w:rPr>
          <w:rFonts w:ascii="Tahoma" w:hAnsi="Tahoma" w:hint="cs"/>
          <w:rtl/>
        </w:rPr>
        <w:t>לבסוף ל</w:t>
      </w:r>
      <w:r>
        <w:rPr>
          <w:rFonts w:ascii="Tahoma" w:hAnsi="Tahoma"/>
          <w:rtl/>
        </w:rPr>
        <w:t>צירוף התיק המצורף</w:t>
      </w:r>
      <w:r>
        <w:rPr>
          <w:rFonts w:ascii="Tahoma" w:hAnsi="Tahoma" w:hint="cs"/>
          <w:rtl/>
        </w:rPr>
        <w:t>;</w:t>
      </w:r>
      <w:r>
        <w:rPr>
          <w:rFonts w:ascii="Tahoma" w:hAnsi="Tahoma"/>
          <w:rtl/>
        </w:rPr>
        <w:t xml:space="preserve"> כאשר בתחילה עתרה ההגנה לביצוע הצירוף בבית משפט השלום בראשון לציון, אך בסופו של דבר ביקשה לבצע הצירוף לפניי. אין צורך לפרט כאן את כל השתלשלות והתמשכות ההליכים, בין השאר לרקע רצון הנאשם להשתלב במסגרת בית המשפט הקהילתי במחוז מרכז, אך </w:t>
      </w:r>
      <w:r>
        <w:rPr>
          <w:rFonts w:ascii="Tahoma" w:hAnsi="Tahoma" w:hint="cs"/>
          <w:rtl/>
        </w:rPr>
        <w:t xml:space="preserve">יצוין כי </w:t>
      </w:r>
      <w:r>
        <w:rPr>
          <w:rFonts w:ascii="Tahoma" w:hAnsi="Tahoma"/>
          <w:rtl/>
        </w:rPr>
        <w:t>בשורה התחתונה ונוכח הסכמות הצדדים הרשעת הנאשם בתיק העיקרי בעינה עומדת, כמו גם הרשעתו בתיק המצורף (ר' בפרוטוקול, עמ' 16-14). יובהר, כי הצדדים לא הודיעו על הסדר טיעון, למעט הסכמה דיונית לגבי תיקון כתב האישום בתיק המצורף.</w:t>
      </w:r>
    </w:p>
    <w:p w14:paraId="00E1214B" w14:textId="77777777" w:rsidR="0059146A" w:rsidRDefault="0059146A" w:rsidP="0059146A">
      <w:pPr>
        <w:numPr>
          <w:ilvl w:val="0"/>
          <w:numId w:val="2"/>
        </w:numPr>
        <w:spacing w:after="120" w:line="360" w:lineRule="auto"/>
        <w:ind w:left="360"/>
        <w:jc w:val="both"/>
        <w:rPr>
          <w:rFonts w:ascii="Tahoma" w:hAnsi="Tahoma"/>
        </w:rPr>
      </w:pPr>
      <w:r>
        <w:rPr>
          <w:rFonts w:ascii="Tahoma" w:hAnsi="Tahoma"/>
          <w:rtl/>
        </w:rPr>
        <w:t xml:space="preserve">עוד יש לציין, כי במעמד הצירוף הנ"ל עתרה ההגנה, בהסכמת המאשימה, לשלוח את הנאשם לבדיקת התאמה לבית המשפט הקהילתי בתל אביב. ואולם, בבדיקה שנערכה (מיום 30.07.2023) נמצא כי הנאשם אינו מתאים לתכנית, בין השאר בשל מצבו הבריאותי המורכב ומיקוד צרכיו במישור ההתמכרות. </w:t>
      </w:r>
      <w:r>
        <w:rPr>
          <w:rFonts w:ascii="Tahoma" w:hAnsi="Tahoma" w:hint="cs"/>
          <w:rtl/>
        </w:rPr>
        <w:t xml:space="preserve">יש לציין כי </w:t>
      </w:r>
      <w:r>
        <w:rPr>
          <w:rFonts w:ascii="Tahoma" w:hAnsi="Tahoma"/>
          <w:rtl/>
        </w:rPr>
        <w:t>שירות המבחן</w:t>
      </w:r>
      <w:r>
        <w:rPr>
          <w:rFonts w:ascii="Tahoma" w:hAnsi="Tahoma" w:hint="cs"/>
          <w:rtl/>
        </w:rPr>
        <w:t xml:space="preserve"> התרשם</w:t>
      </w:r>
      <w:r>
        <w:rPr>
          <w:rFonts w:ascii="Tahoma" w:hAnsi="Tahoma"/>
          <w:rtl/>
        </w:rPr>
        <w:t>, ב</w:t>
      </w:r>
      <w:r>
        <w:rPr>
          <w:rFonts w:ascii="Tahoma" w:hAnsi="Tahoma" w:hint="cs"/>
          <w:rtl/>
        </w:rPr>
        <w:t>בדיקה האמורה</w:t>
      </w:r>
      <w:r>
        <w:rPr>
          <w:rFonts w:ascii="Tahoma" w:hAnsi="Tahoma"/>
          <w:rtl/>
        </w:rPr>
        <w:t>, מסיכון נמוך במצבו של הנאשם לביצוע עבירות חוזרות.</w:t>
      </w:r>
    </w:p>
    <w:p w14:paraId="57C6F104" w14:textId="77777777" w:rsidR="0059146A" w:rsidRPr="00EE76F1" w:rsidRDefault="0059146A" w:rsidP="0059146A">
      <w:pPr>
        <w:spacing w:after="120" w:line="360" w:lineRule="auto"/>
        <w:jc w:val="both"/>
        <w:rPr>
          <w:rFonts w:ascii="Tahoma" w:hAnsi="Tahoma"/>
          <w:b/>
          <w:bCs/>
          <w:u w:val="single"/>
        </w:rPr>
      </w:pPr>
    </w:p>
    <w:p w14:paraId="06191E32" w14:textId="77777777" w:rsidR="0059146A" w:rsidRDefault="0059146A" w:rsidP="0059146A">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תסקיר שירות המבחן:</w:t>
      </w:r>
    </w:p>
    <w:p w14:paraId="0CA806C9" w14:textId="77777777" w:rsidR="0059146A" w:rsidRDefault="0059146A" w:rsidP="0059146A">
      <w:pPr>
        <w:numPr>
          <w:ilvl w:val="0"/>
          <w:numId w:val="2"/>
        </w:numPr>
        <w:spacing w:after="120" w:line="360" w:lineRule="auto"/>
        <w:ind w:left="360"/>
        <w:jc w:val="both"/>
        <w:rPr>
          <w:rFonts w:ascii="Tahoma" w:hAnsi="Tahoma"/>
          <w:rtl/>
        </w:rPr>
      </w:pPr>
      <w:r>
        <w:rPr>
          <w:rFonts w:ascii="Tahoma" w:hAnsi="Tahoma"/>
          <w:rtl/>
        </w:rPr>
        <w:t xml:space="preserve">בית המשפט נעתר לבקשת ההגנה, לה לא התנגדה המאשימה, להורות על עריכת תסקיר שירות המבחן בעניינו של הנאשם (בפרוטוקול, עמ' 10). בתסקיר שהתקבל (מיום 19.04.2023) מפורטות נסיבותיו האישיות של הנאשם, יליד שנת 1959 (בן 65 שנים כיום), נשוי בשנית, אב לשני ילדים בגירים </w:t>
      </w:r>
      <w:r>
        <w:rPr>
          <w:rFonts w:ascii="Tahoma" w:hAnsi="Tahoma" w:hint="cs"/>
          <w:rtl/>
        </w:rPr>
        <w:t>ה</w:t>
      </w:r>
      <w:r>
        <w:rPr>
          <w:rFonts w:ascii="Tahoma" w:hAnsi="Tahoma"/>
          <w:rtl/>
        </w:rPr>
        <w:t>מתגורר עם אשתו ובנו ביפו. מתגורר עם אשתו ובנו ביפו. הנאשם אינו עובד מאז שנת 2017 בשל התדרדרות במצבו הרפואי. המוסד לביטוח לאומי הכיר בנאשם כבעל נכות רפואית בשיעור של 55% והוא מחזיק ברישיון לשימוש בקנבוס רפואי משנת 2020.</w:t>
      </w:r>
    </w:p>
    <w:p w14:paraId="2518FD5A" w14:textId="77777777" w:rsidR="0059146A" w:rsidRDefault="0059146A" w:rsidP="0059146A">
      <w:pPr>
        <w:numPr>
          <w:ilvl w:val="0"/>
          <w:numId w:val="2"/>
        </w:numPr>
        <w:spacing w:after="120" w:line="360" w:lineRule="auto"/>
        <w:ind w:left="360"/>
        <w:jc w:val="both"/>
        <w:rPr>
          <w:rFonts w:ascii="Tahoma" w:hAnsi="Tahoma"/>
        </w:rPr>
      </w:pPr>
      <w:r>
        <w:rPr>
          <w:rFonts w:ascii="Tahoma" w:hAnsi="Tahoma"/>
          <w:rtl/>
        </w:rPr>
        <w:lastRenderedPageBreak/>
        <w:t xml:space="preserve">בשירותו הצבאי התמקצע הנאשם בתחום הטבחות, שבו עבד </w:t>
      </w:r>
      <w:r>
        <w:rPr>
          <w:rFonts w:ascii="Tahoma" w:hAnsi="Tahoma" w:hint="cs"/>
          <w:rtl/>
        </w:rPr>
        <w:t xml:space="preserve">לאחר מכן </w:t>
      </w:r>
      <w:r>
        <w:rPr>
          <w:rFonts w:ascii="Tahoma" w:hAnsi="Tahoma"/>
          <w:rtl/>
        </w:rPr>
        <w:t>במקומות שונים, לרבות בשירות קבע. הנאשם תיאר התמכרות ארוכת-טווח לשימוש בסמים, הן לרקע משברים שחווה והן לרקע בעיות רפואיות שהתפתחו אצלו. עם זאת, הנאשם סיפר כי שולב על ידי בני משפחתו במרכז גמילה והצליח לשמור על ניקיון מסמים תקופה ממושכת, עד למשבר נוסף שחווה.</w:t>
      </w:r>
    </w:p>
    <w:p w14:paraId="4ABC1F3D" w14:textId="77777777" w:rsidR="0059146A" w:rsidRDefault="0059146A" w:rsidP="0059146A">
      <w:pPr>
        <w:numPr>
          <w:ilvl w:val="0"/>
          <w:numId w:val="2"/>
        </w:numPr>
        <w:spacing w:after="120" w:line="360" w:lineRule="auto"/>
        <w:ind w:left="360"/>
        <w:jc w:val="both"/>
        <w:rPr>
          <w:rFonts w:ascii="Tahoma" w:hAnsi="Tahoma"/>
        </w:rPr>
      </w:pPr>
      <w:r>
        <w:rPr>
          <w:rFonts w:ascii="Tahoma" w:hAnsi="Tahoma"/>
          <w:rtl/>
        </w:rPr>
        <w:t xml:space="preserve">הנאשם הוסיף והסביר גם את ביצוע העבירות דנא על רקע אורח חייו ההתמכרותי דאז, תוך שטען כי מאז פתיחת החקירה נגדו (בחודש פברואר 2021) הפסיק כל שימוש בסמים מסוכנים למעט קנבוס רפואי, </w:t>
      </w:r>
      <w:r>
        <w:rPr>
          <w:rFonts w:ascii="Tahoma" w:hAnsi="Tahoma" w:hint="cs"/>
          <w:rtl/>
        </w:rPr>
        <w:t xml:space="preserve">אותו הוא צורך </w:t>
      </w:r>
      <w:r>
        <w:rPr>
          <w:rFonts w:ascii="Tahoma" w:hAnsi="Tahoma"/>
          <w:rtl/>
        </w:rPr>
        <w:t>לפי הרישיון שבידיו. טענות אלה של הנאשם קיבלו אישוש בשלוש בדיקות שתן שנערכו</w:t>
      </w:r>
      <w:r>
        <w:rPr>
          <w:rFonts w:ascii="Tahoma" w:hAnsi="Tahoma" w:hint="cs"/>
          <w:rtl/>
        </w:rPr>
        <w:t xml:space="preserve"> לו</w:t>
      </w:r>
      <w:r>
        <w:rPr>
          <w:rFonts w:ascii="Tahoma" w:hAnsi="Tahoma"/>
          <w:rtl/>
        </w:rPr>
        <w:t>. שירות המבחן שיקף לנאשם את התרשמותו</w:t>
      </w:r>
      <w:r>
        <w:rPr>
          <w:rFonts w:ascii="Tahoma" w:hAnsi="Tahoma" w:hint="cs"/>
          <w:rtl/>
        </w:rPr>
        <w:t>,</w:t>
      </w:r>
      <w:r>
        <w:rPr>
          <w:rFonts w:ascii="Tahoma" w:hAnsi="Tahoma"/>
          <w:rtl/>
        </w:rPr>
        <w:t xml:space="preserve"> שלפיה בתקופות משבר הוא (הנאשם) חוזר לשימוש התמכרותי בסמים ועל כן נדרש לטיפול ייעודי בתחום, אך הנאשם חזר וטען כי אינו צורך עוד סמים אסורים ושלל נזקקות טיפולית.</w:t>
      </w:r>
    </w:p>
    <w:p w14:paraId="2E07542F" w14:textId="77777777" w:rsidR="0059146A" w:rsidRDefault="0059146A" w:rsidP="0059146A">
      <w:pPr>
        <w:numPr>
          <w:ilvl w:val="0"/>
          <w:numId w:val="2"/>
        </w:numPr>
        <w:spacing w:after="120" w:line="360" w:lineRule="auto"/>
        <w:ind w:left="360"/>
        <w:jc w:val="both"/>
        <w:rPr>
          <w:rFonts w:ascii="Tahoma" w:hAnsi="Tahoma"/>
        </w:rPr>
      </w:pPr>
      <w:r>
        <w:rPr>
          <w:rFonts w:ascii="Tahoma" w:hAnsi="Tahoma"/>
          <w:rtl/>
        </w:rPr>
        <w:t>שירות המבחן בחן את גורמי הסיכון והסיכוי בעניינו של הנאשם. כגורמי סיכון צוינו, בין ה</w:t>
      </w:r>
      <w:r>
        <w:rPr>
          <w:rFonts w:ascii="Tahoma" w:hAnsi="Tahoma" w:hint="cs"/>
          <w:rtl/>
        </w:rPr>
        <w:t>שא</w:t>
      </w:r>
      <w:r>
        <w:rPr>
          <w:rFonts w:ascii="Tahoma" w:hAnsi="Tahoma"/>
          <w:rtl/>
        </w:rPr>
        <w:t xml:space="preserve">ר, חומרת העבירות, בעיית ההתמכרות לסמים והקושי של הנאשם לשמר את הישגיו בניקיון מהם, כמו גם נטיית הנאשם להתנהלות בעייתית ולא מחושבת במצבי משבר. מאידך, כגורמי סיכוי צוינו </w:t>
      </w:r>
      <w:r>
        <w:rPr>
          <w:rFonts w:ascii="Tahoma" w:hAnsi="Tahoma" w:hint="cs"/>
          <w:rtl/>
        </w:rPr>
        <w:t xml:space="preserve">נטילת </w:t>
      </w:r>
      <w:r>
        <w:rPr>
          <w:rFonts w:ascii="Tahoma" w:hAnsi="Tahoma"/>
          <w:rtl/>
        </w:rPr>
        <w:t xml:space="preserve">האחריות והכרה בפסול שבמעשים, נכונות </w:t>
      </w:r>
      <w:r>
        <w:rPr>
          <w:rFonts w:ascii="Tahoma" w:hAnsi="Tahoma" w:hint="cs"/>
          <w:rtl/>
        </w:rPr>
        <w:t xml:space="preserve">הנאשם </w:t>
      </w:r>
      <w:r>
        <w:rPr>
          <w:rFonts w:ascii="Tahoma" w:hAnsi="Tahoma"/>
          <w:rtl/>
        </w:rPr>
        <w:t>להיעזר בגורמים מקצועיים בתחום בריאות הנפש וכן גורמי התמיכה בדמות אשתו וילדיו. בנסיבות אלה, ונוכח התמקדות הנאשם במצבו הבריאותי ושלילת נזקקות טיפולית, ציין שירות המבחן כי לא נוצר פתח להתערבות טיפולית בעניינו של הנאשם.</w:t>
      </w:r>
    </w:p>
    <w:p w14:paraId="6A354D90" w14:textId="77777777" w:rsidR="0059146A" w:rsidRDefault="0059146A" w:rsidP="0059146A">
      <w:pPr>
        <w:spacing w:after="120" w:line="360" w:lineRule="auto"/>
        <w:jc w:val="both"/>
        <w:rPr>
          <w:rFonts w:ascii="Tahoma" w:hAnsi="Tahoma"/>
          <w:b/>
          <w:bCs/>
          <w:u w:val="single"/>
        </w:rPr>
      </w:pPr>
    </w:p>
    <w:p w14:paraId="19ED79E3" w14:textId="77777777" w:rsidR="0059146A" w:rsidRDefault="0059146A" w:rsidP="0059146A">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הראיות והטיעונים לעונש:</w:t>
      </w:r>
    </w:p>
    <w:p w14:paraId="4669B482" w14:textId="77777777" w:rsidR="0059146A" w:rsidRDefault="0059146A" w:rsidP="0059146A">
      <w:pPr>
        <w:numPr>
          <w:ilvl w:val="0"/>
          <w:numId w:val="2"/>
        </w:numPr>
        <w:spacing w:after="120" w:line="360" w:lineRule="auto"/>
        <w:ind w:left="360"/>
        <w:jc w:val="both"/>
        <w:rPr>
          <w:rFonts w:ascii="Tahoma" w:hAnsi="Tahoma"/>
          <w:rtl/>
        </w:rPr>
      </w:pPr>
      <w:r>
        <w:rPr>
          <w:rFonts w:ascii="Tahoma" w:hAnsi="Tahoma"/>
          <w:rtl/>
        </w:rPr>
        <w:t xml:space="preserve">ב"כ המאשימה ציין, בפתח טיעוניו, כי אינו מגיש ראיות לקביעת העונש שכן לנאשם אין הרשעות קודמות ואף לא נפתחו נגדו תיקים חדשים. בטיעוניו </w:t>
      </w:r>
      <w:r>
        <w:rPr>
          <w:rFonts w:ascii="Tahoma" w:hAnsi="Tahoma" w:hint="cs"/>
          <w:rtl/>
        </w:rPr>
        <w:t xml:space="preserve">לעונש </w:t>
      </w:r>
      <w:r>
        <w:rPr>
          <w:rFonts w:ascii="Tahoma" w:hAnsi="Tahoma"/>
          <w:rtl/>
        </w:rPr>
        <w:t xml:space="preserve">עמד ב"כ המאשימה </w:t>
      </w:r>
      <w:r>
        <w:rPr>
          <w:rFonts w:ascii="Tahoma" w:hAnsi="Tahoma" w:hint="cs"/>
          <w:rtl/>
        </w:rPr>
        <w:t xml:space="preserve">על </w:t>
      </w:r>
      <w:r>
        <w:rPr>
          <w:rFonts w:ascii="Tahoma" w:hAnsi="Tahoma"/>
          <w:rtl/>
        </w:rPr>
        <w:t>עובדות כתב האישום בתיק העיקרי</w:t>
      </w:r>
      <w:r>
        <w:rPr>
          <w:rFonts w:ascii="Tahoma" w:hAnsi="Tahoma" w:hint="cs"/>
          <w:rtl/>
        </w:rPr>
        <w:t>,</w:t>
      </w:r>
      <w:r>
        <w:rPr>
          <w:rFonts w:ascii="Tahoma" w:hAnsi="Tahoma"/>
          <w:rtl/>
        </w:rPr>
        <w:t xml:space="preserve"> וכתב האישום המתוקן בתיק המצורף</w:t>
      </w:r>
      <w:r>
        <w:rPr>
          <w:rFonts w:ascii="Tahoma" w:hAnsi="Tahoma" w:hint="cs"/>
          <w:rtl/>
        </w:rPr>
        <w:t>,</w:t>
      </w:r>
      <w:r>
        <w:rPr>
          <w:rFonts w:ascii="Tahoma" w:hAnsi="Tahoma"/>
          <w:rtl/>
        </w:rPr>
        <w:t xml:space="preserve"> ועל נסיבות החומרה העולות מהם – בעיקר בתיק המצורף – </w:t>
      </w:r>
      <w:r>
        <w:rPr>
          <w:rFonts w:ascii="Tahoma" w:hAnsi="Tahoma" w:hint="cs"/>
          <w:rtl/>
        </w:rPr>
        <w:t>תוך ש</w:t>
      </w:r>
      <w:r>
        <w:rPr>
          <w:rFonts w:ascii="Tahoma" w:hAnsi="Tahoma"/>
          <w:rtl/>
        </w:rPr>
        <w:t xml:space="preserve">הדגיש </w:t>
      </w:r>
      <w:r>
        <w:rPr>
          <w:rFonts w:ascii="Tahoma" w:hAnsi="Tahoma" w:hint="cs"/>
          <w:rtl/>
        </w:rPr>
        <w:t xml:space="preserve">הן </w:t>
      </w:r>
      <w:r>
        <w:rPr>
          <w:rFonts w:ascii="Tahoma" w:hAnsi="Tahoma"/>
          <w:rtl/>
        </w:rPr>
        <w:t>את סוגי הסמים בהם החזיק הנאשם ו</w:t>
      </w:r>
      <w:r>
        <w:rPr>
          <w:rFonts w:ascii="Tahoma" w:hAnsi="Tahoma" w:hint="cs"/>
          <w:rtl/>
        </w:rPr>
        <w:t xml:space="preserve">הן את </w:t>
      </w:r>
      <w:r>
        <w:rPr>
          <w:rFonts w:ascii="Tahoma" w:hAnsi="Tahoma"/>
          <w:rtl/>
        </w:rPr>
        <w:t>דרך החזקתם במפוזר בשתי דירות בהן התגורר הנאשם.</w:t>
      </w:r>
    </w:p>
    <w:p w14:paraId="603EBE29" w14:textId="77777777" w:rsidR="0059146A" w:rsidRDefault="0059146A" w:rsidP="0059146A">
      <w:pPr>
        <w:numPr>
          <w:ilvl w:val="0"/>
          <w:numId w:val="2"/>
        </w:numPr>
        <w:spacing w:after="120" w:line="360" w:lineRule="auto"/>
        <w:ind w:left="360"/>
        <w:jc w:val="both"/>
        <w:rPr>
          <w:rFonts w:ascii="Tahoma" w:hAnsi="Tahoma"/>
        </w:rPr>
      </w:pPr>
      <w:r>
        <w:rPr>
          <w:rFonts w:ascii="Tahoma" w:hAnsi="Tahoma"/>
          <w:rtl/>
        </w:rPr>
        <w:t xml:space="preserve">אשר לערכים החברתיים שנפגעו כתולדה מביצוע העבירות ציין ב"כ המאשימה את הפגיעה בהגנה על שלום הציבור ועל בריאותו בשל הנזקים הישירים והעקיפים הנגרמים משימוש בסמים מסוכנים. בהקשר זה ציין </w:t>
      </w:r>
      <w:r>
        <w:rPr>
          <w:rFonts w:ascii="Tahoma" w:hAnsi="Tahoma" w:hint="cs"/>
          <w:rtl/>
        </w:rPr>
        <w:t xml:space="preserve">התובע </w:t>
      </w:r>
      <w:r>
        <w:rPr>
          <w:rFonts w:ascii="Tahoma" w:hAnsi="Tahoma"/>
          <w:rtl/>
        </w:rPr>
        <w:t>במיוחד, תוך הפניה לפסיקה, את ההשפעות השליליות של השימוש ב</w:t>
      </w:r>
      <w:r>
        <w:rPr>
          <w:rFonts w:ascii="Tahoma" w:hAnsi="Tahoma" w:hint="cs"/>
          <w:rtl/>
        </w:rPr>
        <w:t xml:space="preserve">סמים מסוכנים מסוג </w:t>
      </w:r>
      <w:r>
        <w:rPr>
          <w:rFonts w:ascii="Tahoma" w:hAnsi="Tahoma"/>
          <w:rtl/>
        </w:rPr>
        <w:t xml:space="preserve">קוקאין. לעניין מדיניות הענישה הנהוגה הפנה התובע לפסיקה, לרבות </w:t>
      </w:r>
      <w:hyperlink r:id="rId15" w:history="1">
        <w:r w:rsidR="00723F75" w:rsidRPr="00723F75">
          <w:rPr>
            <w:rFonts w:ascii="Tahoma" w:hAnsi="Tahoma"/>
            <w:color w:val="0000FF"/>
            <w:u w:val="single"/>
            <w:rtl/>
          </w:rPr>
          <w:t>רע"פ 1473/18</w:t>
        </w:r>
      </w:hyperlink>
      <w:r>
        <w:rPr>
          <w:rFonts w:ascii="Tahoma" w:hAnsi="Tahoma"/>
          <w:rtl/>
        </w:rPr>
        <w:t xml:space="preserve"> </w:t>
      </w:r>
      <w:r>
        <w:rPr>
          <w:rFonts w:ascii="Tahoma" w:hAnsi="Tahoma"/>
          <w:b/>
          <w:bCs/>
          <w:rtl/>
        </w:rPr>
        <w:t>אוחיון נ' מדינת ישראל</w:t>
      </w:r>
      <w:r>
        <w:rPr>
          <w:rFonts w:ascii="Tahoma" w:hAnsi="Tahoma"/>
          <w:rtl/>
        </w:rPr>
        <w:t xml:space="preserve"> (22.04.2018) שם דובר בהחזקת קוקאין בכמות קטנה, שלא לצריכה עצמית, ונקבע מתחם עונש הולם שבין 6 חודשי מאסר בפועל לבין 12 חודשי מאסר בפועל. עוד הפנה התובע, בין השאר, ל</w:t>
      </w:r>
      <w:hyperlink r:id="rId16" w:history="1">
        <w:r w:rsidR="00723F75" w:rsidRPr="00723F75">
          <w:rPr>
            <w:rFonts w:ascii="Tahoma" w:hAnsi="Tahoma"/>
            <w:color w:val="0000FF"/>
            <w:u w:val="single"/>
            <w:rtl/>
          </w:rPr>
          <w:t>רע"פ 5382/22</w:t>
        </w:r>
      </w:hyperlink>
      <w:r>
        <w:rPr>
          <w:rFonts w:ascii="Tahoma" w:hAnsi="Tahoma"/>
          <w:rtl/>
        </w:rPr>
        <w:t xml:space="preserve"> </w:t>
      </w:r>
      <w:r>
        <w:rPr>
          <w:rFonts w:ascii="Tahoma" w:hAnsi="Tahoma"/>
          <w:b/>
          <w:bCs/>
          <w:rtl/>
        </w:rPr>
        <w:t>דסיה נ' מדינת ישראל</w:t>
      </w:r>
      <w:r>
        <w:rPr>
          <w:rFonts w:ascii="Tahoma" w:hAnsi="Tahoma"/>
          <w:rtl/>
        </w:rPr>
        <w:t xml:space="preserve"> (28.08.2022) שם אישר בית המשפט העליון מתחם </w:t>
      </w:r>
      <w:r>
        <w:rPr>
          <w:rFonts w:ascii="Tahoma" w:hAnsi="Tahoma" w:hint="cs"/>
          <w:rtl/>
        </w:rPr>
        <w:t xml:space="preserve">עונש הולם שבין </w:t>
      </w:r>
      <w:r>
        <w:rPr>
          <w:rFonts w:ascii="Tahoma" w:hAnsi="Tahoma"/>
          <w:rtl/>
        </w:rPr>
        <w:t xml:space="preserve">8 </w:t>
      </w:r>
      <w:r>
        <w:rPr>
          <w:rFonts w:ascii="Tahoma" w:hAnsi="Tahoma" w:hint="cs"/>
          <w:rtl/>
        </w:rPr>
        <w:t>חודשי מאסר בפועל לבין 1</w:t>
      </w:r>
      <w:r>
        <w:rPr>
          <w:rFonts w:ascii="Tahoma" w:hAnsi="Tahoma"/>
          <w:rtl/>
        </w:rPr>
        <w:t xml:space="preserve">8 חודשי מאסר </w:t>
      </w:r>
      <w:r>
        <w:rPr>
          <w:rFonts w:ascii="Tahoma" w:hAnsi="Tahoma" w:hint="cs"/>
          <w:rtl/>
        </w:rPr>
        <w:t xml:space="preserve">בפועל </w:t>
      </w:r>
      <w:r>
        <w:rPr>
          <w:rFonts w:ascii="Tahoma" w:hAnsi="Tahoma"/>
          <w:rtl/>
        </w:rPr>
        <w:t>בגין החזקת סמים</w:t>
      </w:r>
      <w:r>
        <w:rPr>
          <w:rFonts w:ascii="Tahoma" w:hAnsi="Tahoma" w:hint="cs"/>
          <w:rtl/>
        </w:rPr>
        <w:t xml:space="preserve"> מסוג קוקאין וקנבוס בכמויות קטנות יחסית</w:t>
      </w:r>
      <w:r>
        <w:rPr>
          <w:rFonts w:ascii="Tahoma" w:hAnsi="Tahoma"/>
          <w:rtl/>
        </w:rPr>
        <w:t>.</w:t>
      </w:r>
    </w:p>
    <w:p w14:paraId="62120A0D" w14:textId="77777777" w:rsidR="0059146A" w:rsidRDefault="0059146A" w:rsidP="0059146A">
      <w:pPr>
        <w:numPr>
          <w:ilvl w:val="0"/>
          <w:numId w:val="2"/>
        </w:numPr>
        <w:spacing w:after="120" w:line="360" w:lineRule="auto"/>
        <w:ind w:left="360"/>
        <w:jc w:val="both"/>
        <w:rPr>
          <w:rFonts w:ascii="Tahoma" w:hAnsi="Tahoma"/>
        </w:rPr>
      </w:pPr>
      <w:r>
        <w:rPr>
          <w:rFonts w:ascii="Tahoma" w:hAnsi="Tahoma"/>
          <w:rtl/>
        </w:rPr>
        <w:t xml:space="preserve">לרקע כל אלה עתר ב"כ המאשימה לקביעת מתחם עונש הולם אחד – לשני התיקים – שבין 16 חודשי מאסר בפועל לבין 32 חודשי מאסר בפועל. ב"כ המאשימה </w:t>
      </w:r>
      <w:r>
        <w:rPr>
          <w:rFonts w:ascii="Tahoma" w:hAnsi="Tahoma" w:hint="cs"/>
          <w:rtl/>
        </w:rPr>
        <w:t xml:space="preserve">אמנם </w:t>
      </w:r>
      <w:r>
        <w:rPr>
          <w:rFonts w:ascii="Tahoma" w:hAnsi="Tahoma"/>
          <w:rtl/>
        </w:rPr>
        <w:t>ער לכך שהמתחמים שנקבעו בפסיקה הנ"ל הם פחותים מהמתחם לו עתר, אך ביקש להסיק מתחם זה מכך שכמויות הסמים שהוחזקו בעניינ</w:t>
      </w:r>
      <w:r>
        <w:rPr>
          <w:rFonts w:ascii="Tahoma" w:hAnsi="Tahoma" w:hint="cs"/>
          <w:rtl/>
        </w:rPr>
        <w:t>נ</w:t>
      </w:r>
      <w:r>
        <w:rPr>
          <w:rFonts w:ascii="Tahoma" w:hAnsi="Tahoma"/>
          <w:rtl/>
        </w:rPr>
        <w:t>ו הן גדולות יותר.</w:t>
      </w:r>
    </w:p>
    <w:p w14:paraId="691888C9" w14:textId="77777777" w:rsidR="0059146A" w:rsidRDefault="0059146A" w:rsidP="0059146A">
      <w:pPr>
        <w:numPr>
          <w:ilvl w:val="0"/>
          <w:numId w:val="2"/>
        </w:numPr>
        <w:spacing w:after="120" w:line="360" w:lineRule="auto"/>
        <w:ind w:left="360"/>
        <w:jc w:val="both"/>
        <w:rPr>
          <w:rFonts w:ascii="Tahoma" w:hAnsi="Tahoma"/>
        </w:rPr>
      </w:pPr>
      <w:r>
        <w:rPr>
          <w:rFonts w:ascii="Tahoma" w:hAnsi="Tahoma"/>
          <w:rtl/>
        </w:rPr>
        <w:t>אשר לגזירת עונשו של הנאשם בתוך מתחם העונש ההולם ציין התובע את היעדר הרישומים הקודמים, כמו גם העובדה שהנאשם לא פתח תיקים חדשים</w:t>
      </w:r>
      <w:r>
        <w:rPr>
          <w:rFonts w:ascii="Tahoma" w:hAnsi="Tahoma" w:hint="cs"/>
          <w:rtl/>
        </w:rPr>
        <w:t xml:space="preserve"> מאז ביצוע העבירות</w:t>
      </w:r>
      <w:r>
        <w:rPr>
          <w:rFonts w:ascii="Tahoma" w:hAnsi="Tahoma"/>
          <w:rtl/>
        </w:rPr>
        <w:t xml:space="preserve">, וכן את ההודאה ונטילת האחריות בשני התיקים. בנסיבות אלה עתר ב"כ המאשימה לגזור את עונשו של הנאשם ברף העליון של השליש התחתון של </w:t>
      </w:r>
      <w:r>
        <w:rPr>
          <w:rFonts w:ascii="Tahoma" w:hAnsi="Tahoma" w:hint="cs"/>
          <w:rtl/>
        </w:rPr>
        <w:t>ה</w:t>
      </w:r>
      <w:r>
        <w:rPr>
          <w:rFonts w:ascii="Tahoma" w:hAnsi="Tahoma"/>
          <w:rtl/>
        </w:rPr>
        <w:t xml:space="preserve">מתחם לו עתר, וכן להשית </w:t>
      </w:r>
      <w:r>
        <w:rPr>
          <w:rFonts w:ascii="Tahoma" w:hAnsi="Tahoma" w:hint="cs"/>
          <w:rtl/>
        </w:rPr>
        <w:t xml:space="preserve">על הנאשם </w:t>
      </w:r>
      <w:r>
        <w:rPr>
          <w:rFonts w:ascii="Tahoma" w:hAnsi="Tahoma"/>
          <w:rtl/>
        </w:rPr>
        <w:t xml:space="preserve">ענישה </w:t>
      </w:r>
      <w:r>
        <w:rPr>
          <w:rFonts w:ascii="Tahoma" w:hAnsi="Tahoma" w:hint="cs"/>
          <w:rtl/>
        </w:rPr>
        <w:t>נ</w:t>
      </w:r>
      <w:r>
        <w:rPr>
          <w:rFonts w:ascii="Tahoma" w:hAnsi="Tahoma"/>
          <w:rtl/>
        </w:rPr>
        <w:t>לווית שתכלול מאסר מותנה, פסילה בפועל ועל תנאי, קנס כספי והתחייבות להימנע מעבירה.</w:t>
      </w:r>
    </w:p>
    <w:p w14:paraId="6D446EB8" w14:textId="77777777" w:rsidR="0059146A" w:rsidRDefault="0059146A" w:rsidP="0059146A">
      <w:pPr>
        <w:numPr>
          <w:ilvl w:val="0"/>
          <w:numId w:val="2"/>
        </w:numPr>
        <w:spacing w:after="120" w:line="360" w:lineRule="auto"/>
        <w:ind w:left="360"/>
        <w:jc w:val="both"/>
        <w:rPr>
          <w:rFonts w:ascii="Tahoma" w:hAnsi="Tahoma"/>
        </w:rPr>
      </w:pPr>
      <w:r>
        <w:rPr>
          <w:rFonts w:ascii="Tahoma" w:hAnsi="Tahoma"/>
          <w:rtl/>
        </w:rPr>
        <w:t>ב"כ הנאשם, מצדו, התמקד בטיעוניו במצבו הרפואי של הנאשם, שהוא כאמור בן 65 שנים וסב לנכדים ואף לנין אחד. ב"כ הנאשם הגיש, בהקשר זה, אסופה רחבת</w:t>
      </w:r>
      <w:r>
        <w:rPr>
          <w:rFonts w:ascii="Tahoma" w:hAnsi="Tahoma" w:hint="cs"/>
          <w:rtl/>
        </w:rPr>
        <w:t>-</w:t>
      </w:r>
      <w:r>
        <w:rPr>
          <w:rFonts w:ascii="Tahoma" w:hAnsi="Tahoma"/>
          <w:rtl/>
        </w:rPr>
        <w:t>היקף של מסמכים רפואיים (סומנה ס/1), והוסיף ופירט את הבעיות הרפואיות הרבות מהן סובל הנאשם ואת הטיפולים שהוא נדרש להם, עקב כך.</w:t>
      </w:r>
    </w:p>
    <w:p w14:paraId="755871AA" w14:textId="77777777" w:rsidR="0059146A" w:rsidRDefault="0059146A" w:rsidP="0059146A">
      <w:pPr>
        <w:numPr>
          <w:ilvl w:val="0"/>
          <w:numId w:val="2"/>
        </w:numPr>
        <w:spacing w:after="120" w:line="360" w:lineRule="auto"/>
        <w:ind w:left="360"/>
        <w:jc w:val="both"/>
        <w:rPr>
          <w:rFonts w:ascii="Tahoma" w:hAnsi="Tahoma"/>
        </w:rPr>
      </w:pPr>
      <w:r>
        <w:rPr>
          <w:rFonts w:ascii="Tahoma" w:hAnsi="Tahoma"/>
          <w:rtl/>
        </w:rPr>
        <w:t>לשיטת הסניגור, מדובר בבעיות רפואיות כה מרובות ו</w:t>
      </w:r>
      <w:r>
        <w:rPr>
          <w:rFonts w:ascii="Tahoma" w:hAnsi="Tahoma" w:hint="cs"/>
          <w:rtl/>
        </w:rPr>
        <w:t xml:space="preserve">כה </w:t>
      </w:r>
      <w:r>
        <w:rPr>
          <w:rFonts w:ascii="Tahoma" w:hAnsi="Tahoma"/>
          <w:rtl/>
        </w:rPr>
        <w:t>חמורות, שיש בהן כדי להצדיק חריגה ממתחם העונש ההולם בהתאם לפסיקה הרלוואנטית. לא למותר אפוא להעיר כי התיעוד הרפואי שהוגש לפניי (ור' במיוחד סיכום המידע הרפואי מיום 21.04.2024)</w:t>
      </w:r>
      <w:r>
        <w:rPr>
          <w:rFonts w:ascii="Tahoma" w:hAnsi="Tahoma" w:hint="cs"/>
          <w:rtl/>
        </w:rPr>
        <w:t xml:space="preserve"> אמנם מלמד על כך </w:t>
      </w:r>
      <w:r>
        <w:rPr>
          <w:rFonts w:ascii="Tahoma" w:hAnsi="Tahoma"/>
          <w:rtl/>
        </w:rPr>
        <w:t>שהנאשם סובל ממגוון של בעיות רפואיות</w:t>
      </w:r>
      <w:r>
        <w:rPr>
          <w:rFonts w:ascii="Tahoma" w:hAnsi="Tahoma" w:hint="cs"/>
          <w:rtl/>
        </w:rPr>
        <w:t xml:space="preserve"> ונדרש לטיפול</w:t>
      </w:r>
      <w:r>
        <w:rPr>
          <w:rFonts w:ascii="Tahoma" w:hAnsi="Tahoma"/>
          <w:rtl/>
        </w:rPr>
        <w:t xml:space="preserve">, </w:t>
      </w:r>
      <w:r>
        <w:rPr>
          <w:rFonts w:ascii="Tahoma" w:hAnsi="Tahoma" w:hint="cs"/>
          <w:rtl/>
        </w:rPr>
        <w:t xml:space="preserve">אך </w:t>
      </w:r>
      <w:r>
        <w:rPr>
          <w:rFonts w:ascii="Tahoma" w:hAnsi="Tahoma"/>
          <w:rtl/>
        </w:rPr>
        <w:t xml:space="preserve">על פני הדברים </w:t>
      </w:r>
      <w:r>
        <w:rPr>
          <w:rFonts w:ascii="Tahoma" w:hAnsi="Tahoma" w:hint="cs"/>
          <w:rtl/>
        </w:rPr>
        <w:t xml:space="preserve">לא מלמד על בעיות רפואיות שיש בהן </w:t>
      </w:r>
      <w:r>
        <w:rPr>
          <w:rFonts w:ascii="Tahoma" w:hAnsi="Tahoma"/>
          <w:rtl/>
        </w:rPr>
        <w:t>כדי להצדיק חריגה ממתחם העונש ההולם, לכף קולה, במסגרת החריג הצר מאוד שנקבע בהקשר זה בהלכה הפסוקה.</w:t>
      </w:r>
    </w:p>
    <w:p w14:paraId="5D0D8B74" w14:textId="77777777" w:rsidR="0059146A" w:rsidRDefault="0059146A" w:rsidP="0059146A">
      <w:pPr>
        <w:numPr>
          <w:ilvl w:val="0"/>
          <w:numId w:val="2"/>
        </w:numPr>
        <w:spacing w:after="120" w:line="360" w:lineRule="auto"/>
        <w:ind w:left="360"/>
        <w:jc w:val="both"/>
        <w:rPr>
          <w:rFonts w:ascii="Tahoma" w:hAnsi="Tahoma"/>
        </w:rPr>
      </w:pPr>
      <w:r>
        <w:rPr>
          <w:rFonts w:ascii="Tahoma" w:hAnsi="Tahoma"/>
          <w:rtl/>
        </w:rPr>
        <w:t>עוד עמד הסניגור על נסיבותיו האישיות המורכבות של הנאשם, על גילו, על מצבו המשפחתי ועל המשברים השונים שחווה בחייו האישיים. בהקשר זה הדגיש הסניגור במיוחד את העובדה שמדובר בנאשם בן 65</w:t>
      </w:r>
      <w:r>
        <w:rPr>
          <w:rFonts w:ascii="Tahoma" w:hAnsi="Tahoma" w:hint="cs"/>
          <w:rtl/>
        </w:rPr>
        <w:t xml:space="preserve">, אשר </w:t>
      </w:r>
      <w:r>
        <w:rPr>
          <w:rFonts w:ascii="Tahoma" w:hAnsi="Tahoma"/>
          <w:rtl/>
        </w:rPr>
        <w:t>אין בעברו כל רישומים קודמים. לשיטת הסניגור, היבט זה מלמד לא רק על כך שהנאשם ניהל ועדיין מנהל אורח חיים נורמטיבי, אלא גם על כך שמדובר במעשים שאינם מתאימים לאורחות חייו של הנאשם וקשורים למשברים אישיים ובריאותיים שאותם חווה.</w:t>
      </w:r>
    </w:p>
    <w:p w14:paraId="6BABD55A" w14:textId="77777777" w:rsidR="0059146A" w:rsidRDefault="0059146A" w:rsidP="0059146A">
      <w:pPr>
        <w:numPr>
          <w:ilvl w:val="0"/>
          <w:numId w:val="2"/>
        </w:numPr>
        <w:spacing w:after="120" w:line="360" w:lineRule="auto"/>
        <w:ind w:left="360"/>
        <w:jc w:val="both"/>
        <w:rPr>
          <w:rFonts w:ascii="Tahoma" w:hAnsi="Tahoma"/>
        </w:rPr>
      </w:pPr>
      <w:r>
        <w:rPr>
          <w:rFonts w:ascii="Tahoma" w:hAnsi="Tahoma"/>
          <w:rtl/>
        </w:rPr>
        <w:t>ב"כ הנאשם הוסיף והדגיש את ההודאה ונטילת האחריות מצד מרשו, בשני התיקים. לא מדובר רק על נטילת אחריות ו</w:t>
      </w:r>
      <w:r>
        <w:rPr>
          <w:rFonts w:ascii="Tahoma" w:hAnsi="Tahoma" w:hint="cs"/>
          <w:rtl/>
        </w:rPr>
        <w:t xml:space="preserve">על </w:t>
      </w:r>
      <w:r>
        <w:rPr>
          <w:rFonts w:ascii="Tahoma" w:hAnsi="Tahoma"/>
          <w:rtl/>
        </w:rPr>
        <w:t>חיסכון בזמן שיפוטי, אלא גם על כך שהנאשם הספציפי דנא מתבייש כיום במעשיו, מבין את הטעויות שעשה ו</w:t>
      </w:r>
      <w:r>
        <w:rPr>
          <w:rFonts w:ascii="Tahoma" w:hAnsi="Tahoma" w:hint="cs"/>
          <w:rtl/>
        </w:rPr>
        <w:t xml:space="preserve">מבטיח שלא לחזור </w:t>
      </w:r>
      <w:r>
        <w:rPr>
          <w:rFonts w:ascii="Tahoma" w:hAnsi="Tahoma"/>
          <w:rtl/>
        </w:rPr>
        <w:t xml:space="preserve">עליהן. בנסיבות אלה, ובפרט בהתחשב בגילו של הנאשם ובמצבו הבריאותי, לא יהא זה צודק – </w:t>
      </w:r>
      <w:r>
        <w:rPr>
          <w:rFonts w:ascii="Tahoma" w:hAnsi="Tahoma" w:hint="cs"/>
          <w:rtl/>
        </w:rPr>
        <w:t xml:space="preserve">כך </w:t>
      </w:r>
      <w:r>
        <w:rPr>
          <w:rFonts w:ascii="Tahoma" w:hAnsi="Tahoma"/>
          <w:rtl/>
        </w:rPr>
        <w:t>לשיטת הסניגור – לשלוח את הנאשם למאסר מאחורי סורג ובריח בבית כלא</w:t>
      </w:r>
      <w:r>
        <w:rPr>
          <w:rFonts w:ascii="Tahoma" w:hAnsi="Tahoma" w:hint="cs"/>
          <w:rtl/>
        </w:rPr>
        <w:t>;</w:t>
      </w:r>
      <w:r>
        <w:rPr>
          <w:rFonts w:ascii="Tahoma" w:hAnsi="Tahoma"/>
          <w:rtl/>
        </w:rPr>
        <w:t xml:space="preserve"> ומכאן עתירתו הנמרצת </w:t>
      </w:r>
      <w:r>
        <w:rPr>
          <w:rFonts w:ascii="Tahoma" w:hAnsi="Tahoma" w:hint="cs"/>
          <w:rtl/>
        </w:rPr>
        <w:t xml:space="preserve">של הסניגור </w:t>
      </w:r>
      <w:r>
        <w:rPr>
          <w:rFonts w:ascii="Tahoma" w:hAnsi="Tahoma"/>
          <w:rtl/>
        </w:rPr>
        <w:t>להסתפקות בענישה שתכלול מספר חודשים בעבודות שירות.</w:t>
      </w:r>
    </w:p>
    <w:p w14:paraId="3A24D355" w14:textId="77777777" w:rsidR="0059146A" w:rsidRDefault="0059146A" w:rsidP="0059146A">
      <w:pPr>
        <w:numPr>
          <w:ilvl w:val="0"/>
          <w:numId w:val="2"/>
        </w:numPr>
        <w:spacing w:after="120" w:line="360" w:lineRule="auto"/>
        <w:ind w:left="360"/>
        <w:jc w:val="both"/>
        <w:rPr>
          <w:rFonts w:ascii="Tahoma" w:hAnsi="Tahoma"/>
        </w:rPr>
      </w:pPr>
      <w:r>
        <w:rPr>
          <w:rFonts w:ascii="Tahoma" w:hAnsi="Tahoma"/>
          <w:rtl/>
        </w:rPr>
        <w:t>לבסוף הנאשם, שהרחיב בדברו האחרון לעונש, סיפר: "</w:t>
      </w:r>
      <w:r>
        <w:rPr>
          <w:rFonts w:ascii="Tahoma" w:hAnsi="Tahoma"/>
          <w:b/>
          <w:bCs/>
          <w:rtl/>
        </w:rPr>
        <w:t>אני שירתתי בצבא הייתי בקבע, התגרשתי התחתנתי... הי[ת]ה תקופה קשה באמת... מצבי התדרדר, אחרי תקופה באה הקורונה ולא יכולתי לצאת הרבה בחוץ ופיתחתי הרבה מחלות... עשיתי שינוי, אני שנה וחודשיים לא מעשן סיגריות</w:t>
      </w:r>
      <w:r>
        <w:rPr>
          <w:rFonts w:ascii="Tahoma" w:hAnsi="Tahoma" w:hint="cs"/>
          <w:b/>
          <w:bCs/>
          <w:rtl/>
        </w:rPr>
        <w:t xml:space="preserve">... </w:t>
      </w:r>
      <w:r>
        <w:rPr>
          <w:rFonts w:ascii="Tahoma" w:hAnsi="Tahoma"/>
          <w:b/>
          <w:bCs/>
          <w:rtl/>
        </w:rPr>
        <w:t>אני במקום אחר היום, אני מצטער על כל מה שהיה, לקחתי אחריות מהתחלה... התביישתי מהמעמד של המשפחה איך אני יעמוד מולם, זה לא היה כחלק מהחיים שלי</w:t>
      </w:r>
      <w:r>
        <w:rPr>
          <w:rFonts w:ascii="Tahoma" w:hAnsi="Tahoma"/>
          <w:rtl/>
        </w:rPr>
        <w:t>" (בפרוטוקול, עמ' 23 שורה 30 ואילך).</w:t>
      </w:r>
    </w:p>
    <w:p w14:paraId="31CC449D" w14:textId="77777777" w:rsidR="0059146A" w:rsidRDefault="0059146A" w:rsidP="0059146A">
      <w:pPr>
        <w:spacing w:after="120" w:line="360" w:lineRule="auto"/>
        <w:jc w:val="both"/>
        <w:rPr>
          <w:rFonts w:ascii="Tahoma" w:hAnsi="Tahoma"/>
          <w:b/>
          <w:bCs/>
          <w:u w:val="single"/>
        </w:rPr>
      </w:pPr>
    </w:p>
    <w:p w14:paraId="0471019F" w14:textId="77777777" w:rsidR="0059146A" w:rsidRDefault="0059146A" w:rsidP="0059146A">
      <w:pPr>
        <w:pStyle w:val="a9"/>
        <w:numPr>
          <w:ilvl w:val="0"/>
          <w:numId w:val="1"/>
        </w:numPr>
        <w:spacing w:after="120" w:line="360" w:lineRule="auto"/>
        <w:ind w:left="360"/>
        <w:jc w:val="both"/>
        <w:rPr>
          <w:rFonts w:ascii="Tahoma" w:hAnsi="Tahoma"/>
          <w:b/>
          <w:bCs/>
          <w:u w:val="single"/>
        </w:rPr>
      </w:pPr>
      <w:r>
        <w:rPr>
          <w:rFonts w:ascii="Tahoma" w:hAnsi="Tahoma"/>
          <w:b/>
          <w:bCs/>
          <w:u w:val="single"/>
          <w:rtl/>
        </w:rPr>
        <w:t>קביעת מתחם העונש ההולם:</w:t>
      </w:r>
    </w:p>
    <w:p w14:paraId="7E57E848" w14:textId="77777777" w:rsidR="0059146A" w:rsidRDefault="0059146A" w:rsidP="0059146A">
      <w:pPr>
        <w:numPr>
          <w:ilvl w:val="0"/>
          <w:numId w:val="2"/>
        </w:numPr>
        <w:spacing w:after="120" w:line="360" w:lineRule="auto"/>
        <w:ind w:left="360"/>
        <w:jc w:val="both"/>
        <w:rPr>
          <w:rFonts w:ascii="Tahoma" w:hAnsi="Tahoma"/>
          <w:rtl/>
        </w:rPr>
      </w:pPr>
      <w:r>
        <w:rPr>
          <w:rFonts w:ascii="Tahoma" w:hAnsi="Tahoma"/>
          <w:rtl/>
        </w:rPr>
        <w:t xml:space="preserve">בהתאם להוראות </w:t>
      </w:r>
      <w:hyperlink r:id="rId17" w:history="1">
        <w:r w:rsidR="00723F75" w:rsidRPr="00723F75">
          <w:rPr>
            <w:rFonts w:ascii="Tahoma" w:hAnsi="Tahoma"/>
            <w:color w:val="0000FF"/>
            <w:u w:val="single"/>
            <w:rtl/>
          </w:rPr>
          <w:t>חוק העונשין</w:t>
        </w:r>
      </w:hyperlink>
      <w:r>
        <w:rPr>
          <w:rFonts w:ascii="Tahoma" w:hAnsi="Tahoma"/>
          <w:rtl/>
        </w:rPr>
        <w:t>, תשל"ז-1977 (להלן – חוק העונשין), בעת גזירת עונשו של נאשם על בית המשפט לקבוע, תחילה, את מתחם העונש ההולם לכל "אירוע עברייני" שבגינו הורשע הנאשם. במקרה דנא מדובר בשני תיקים, שעניינם במקרים הרחוקים בזמן ובמקום זה מזה. עם זאת, מדובר בדיוק באותה העבירה. בנוסף, ב"כ המאשימה התייחס ל</w:t>
      </w:r>
      <w:r>
        <w:rPr>
          <w:rFonts w:ascii="Tahoma" w:hAnsi="Tahoma" w:hint="cs"/>
          <w:rtl/>
        </w:rPr>
        <w:t xml:space="preserve">שני </w:t>
      </w:r>
      <w:r>
        <w:rPr>
          <w:rFonts w:ascii="Tahoma" w:hAnsi="Tahoma"/>
          <w:rtl/>
        </w:rPr>
        <w:t xml:space="preserve">מקרים אלה כאל אירוע </w:t>
      </w:r>
      <w:r>
        <w:rPr>
          <w:rFonts w:ascii="Tahoma" w:hAnsi="Tahoma" w:hint="cs"/>
          <w:rtl/>
        </w:rPr>
        <w:t xml:space="preserve">עברייני </w:t>
      </w:r>
      <w:r>
        <w:rPr>
          <w:rFonts w:ascii="Tahoma" w:hAnsi="Tahoma"/>
          <w:rtl/>
        </w:rPr>
        <w:t xml:space="preserve">אחד ואין מקום שאחמיר עם הנאשם מעבר לכך. </w:t>
      </w:r>
    </w:p>
    <w:p w14:paraId="0D7702DA" w14:textId="77777777" w:rsidR="0059146A" w:rsidRDefault="0059146A" w:rsidP="0059146A">
      <w:pPr>
        <w:numPr>
          <w:ilvl w:val="0"/>
          <w:numId w:val="2"/>
        </w:numPr>
        <w:spacing w:after="120" w:line="360" w:lineRule="auto"/>
        <w:ind w:left="360"/>
        <w:jc w:val="both"/>
        <w:rPr>
          <w:rFonts w:ascii="Tahoma" w:hAnsi="Tahoma"/>
        </w:rPr>
      </w:pPr>
      <w:r>
        <w:rPr>
          <w:rFonts w:ascii="Tahoma" w:hAnsi="Tahoma"/>
          <w:rtl/>
        </w:rPr>
        <w:t>אשר למתחם העונש ההולם ל</w:t>
      </w:r>
      <w:r>
        <w:rPr>
          <w:rFonts w:ascii="Tahoma" w:hAnsi="Tahoma" w:hint="cs"/>
          <w:rtl/>
        </w:rPr>
        <w:t>"</w:t>
      </w:r>
      <w:r>
        <w:rPr>
          <w:rFonts w:ascii="Tahoma" w:hAnsi="Tahoma"/>
          <w:rtl/>
        </w:rPr>
        <w:t>אירוע</w:t>
      </w:r>
      <w:r>
        <w:rPr>
          <w:rFonts w:ascii="Tahoma" w:hAnsi="Tahoma" w:hint="cs"/>
          <w:rtl/>
        </w:rPr>
        <w:t>"</w:t>
      </w:r>
      <w:r>
        <w:rPr>
          <w:rFonts w:ascii="Tahoma" w:hAnsi="Tahoma"/>
          <w:rtl/>
        </w:rPr>
        <w:t xml:space="preserve"> אחד זה, בקביעתו יתחשב בית המשפט, בין השאר, בערכים החברתיים שנפגעו מביצוע העבירה ובמידת הפגיעה בהם, במדיניות הענישה הנהוגה ובנסיבות הקשורות בביצוע העבירה. לעניין הערכים החברתיים, שנפגעו כתולדה מביצוע העבירות, מקובל עליי טיעון ב"כ המאשימה. כידוע, הפסיקה חוזרת ומדגישה את חומרתן של עבירות הסמים, במיוחד כאשר מדובר בעבירות מסוג פשע ובסמים </w:t>
      </w:r>
      <w:r>
        <w:rPr>
          <w:rFonts w:ascii="Tahoma" w:hAnsi="Tahoma" w:hint="cs"/>
          <w:rtl/>
        </w:rPr>
        <w:t xml:space="preserve">הנחשבים </w:t>
      </w:r>
      <w:r>
        <w:rPr>
          <w:rFonts w:ascii="Tahoma" w:hAnsi="Tahoma"/>
          <w:rtl/>
        </w:rPr>
        <w:t xml:space="preserve">"קשים". </w:t>
      </w:r>
    </w:p>
    <w:p w14:paraId="29B51FDE" w14:textId="77777777" w:rsidR="0059146A" w:rsidRPr="007A26B6" w:rsidRDefault="0059146A" w:rsidP="0059146A">
      <w:pPr>
        <w:numPr>
          <w:ilvl w:val="0"/>
          <w:numId w:val="2"/>
        </w:numPr>
        <w:spacing w:after="120" w:line="360" w:lineRule="auto"/>
        <w:ind w:left="360"/>
        <w:jc w:val="both"/>
        <w:rPr>
          <w:rFonts w:ascii="Tahoma" w:hAnsi="Tahoma"/>
        </w:rPr>
      </w:pPr>
      <w:r w:rsidRPr="007A26B6">
        <w:rPr>
          <w:rFonts w:ascii="Tahoma" w:hAnsi="Tahoma"/>
          <w:rtl/>
        </w:rPr>
        <w:t>אשר למדיניות הענישה הנהוגה, כאשר מדובר בהחזקת סמים מסוכנים מסוג קוקאין בכמויות קטנות שלא לצריכה עצמית, גם כאשר נלווית לכך החזקת סמים מסוכנים מסוג קנבוס בכמויות לא גדולות, נקבעים ככלל מתחמי עונש הולמים שתחילתם במאסר בפועל לתקופה ש</w:t>
      </w:r>
      <w:r w:rsidRPr="007A26B6">
        <w:rPr>
          <w:rFonts w:ascii="Tahoma" w:hAnsi="Tahoma" w:hint="cs"/>
          <w:rtl/>
        </w:rPr>
        <w:t xml:space="preserve">ל כשמונה חודשים בעבודות שירות. כעולה מהאסמכתאות אליהן </w:t>
      </w:r>
      <w:r>
        <w:rPr>
          <w:rFonts w:ascii="Tahoma" w:hAnsi="Tahoma" w:hint="cs"/>
          <w:rtl/>
        </w:rPr>
        <w:t>הפנה ב"כ המאשימה</w:t>
      </w:r>
      <w:r w:rsidRPr="007A26B6">
        <w:rPr>
          <w:rFonts w:ascii="Tahoma" w:hAnsi="Tahoma" w:hint="cs"/>
          <w:rtl/>
        </w:rPr>
        <w:t xml:space="preserve"> רף זה נקבע כאשר מדובר בכמויות של גרמים, אך </w:t>
      </w:r>
      <w:r>
        <w:rPr>
          <w:rFonts w:ascii="Tahoma" w:hAnsi="Tahoma" w:hint="cs"/>
          <w:rtl/>
        </w:rPr>
        <w:t xml:space="preserve">רף דומה נקבע </w:t>
      </w:r>
      <w:r w:rsidRPr="007A26B6">
        <w:rPr>
          <w:rFonts w:ascii="Tahoma" w:hAnsi="Tahoma" w:hint="cs"/>
          <w:rtl/>
        </w:rPr>
        <w:t>גם כאשר מדובר בכמויות לא רחוקות מהכמויות בענייננו (</w:t>
      </w:r>
      <w:r>
        <w:rPr>
          <w:rFonts w:ascii="Tahoma" w:hAnsi="Tahoma" w:hint="cs"/>
          <w:rtl/>
        </w:rPr>
        <w:t xml:space="preserve">ר' למשל </w:t>
      </w:r>
      <w:hyperlink r:id="rId18" w:history="1">
        <w:r w:rsidR="00723F75" w:rsidRPr="00723F75">
          <w:rPr>
            <w:rFonts w:ascii="Tahoma" w:hAnsi="Tahoma"/>
            <w:color w:val="0000FF"/>
            <w:u w:val="single"/>
            <w:rtl/>
          </w:rPr>
          <w:t>ת"פ (שלום ת"א) 21280-11-18</w:t>
        </w:r>
      </w:hyperlink>
      <w:r w:rsidR="00723F75">
        <w:rPr>
          <w:rFonts w:ascii="Tahoma" w:hAnsi="Tahoma"/>
          <w:rtl/>
        </w:rPr>
        <w:t xml:space="preserve"> </w:t>
      </w:r>
      <w:r w:rsidRPr="007A26B6">
        <w:rPr>
          <w:rFonts w:ascii="Tahoma" w:hAnsi="Tahoma"/>
          <w:b/>
          <w:bCs/>
          <w:rtl/>
        </w:rPr>
        <w:t>מדינת ישראל נ' לוי</w:t>
      </w:r>
      <w:r w:rsidR="00723F75">
        <w:rPr>
          <w:rFonts w:ascii="Tahoma" w:hAnsi="Tahoma"/>
          <w:rtl/>
        </w:rPr>
        <w:t xml:space="preserve"> </w:t>
      </w:r>
      <w:r w:rsidRPr="007A26B6">
        <w:rPr>
          <w:rFonts w:ascii="Tahoma" w:hAnsi="Tahoma"/>
          <w:rtl/>
        </w:rPr>
        <w:t>(06.02.2024)</w:t>
      </w:r>
      <w:r>
        <w:rPr>
          <w:rFonts w:ascii="Tahoma" w:hAnsi="Tahoma" w:hint="cs"/>
          <w:rtl/>
        </w:rPr>
        <w:t xml:space="preserve">). לבסוף, לעניין מדיניות הענישה הנהוגה </w:t>
      </w:r>
      <w:r w:rsidRPr="007A26B6">
        <w:rPr>
          <w:rFonts w:ascii="Tahoma" w:hAnsi="Tahoma"/>
          <w:rtl/>
        </w:rPr>
        <w:t xml:space="preserve">ראו גם </w:t>
      </w:r>
      <w:hyperlink r:id="rId19" w:history="1">
        <w:r w:rsidR="00723F75" w:rsidRPr="00723F75">
          <w:rPr>
            <w:rFonts w:ascii="Tahoma" w:hAnsi="Tahoma"/>
            <w:color w:val="0000FF"/>
            <w:u w:val="single"/>
            <w:rtl/>
          </w:rPr>
          <w:t>ת"פ (שלום ת"א) 18353-12-19</w:t>
        </w:r>
      </w:hyperlink>
      <w:r w:rsidR="00723F75">
        <w:rPr>
          <w:rFonts w:ascii="Tahoma" w:hAnsi="Tahoma"/>
          <w:rtl/>
        </w:rPr>
        <w:t xml:space="preserve"> </w:t>
      </w:r>
      <w:r w:rsidRPr="007A26B6">
        <w:rPr>
          <w:rFonts w:ascii="Tahoma" w:hAnsi="Tahoma"/>
          <w:b/>
          <w:bCs/>
          <w:rtl/>
        </w:rPr>
        <w:t>מדינת ישראל נ' שבתייב</w:t>
      </w:r>
      <w:r w:rsidR="00723F75">
        <w:rPr>
          <w:rFonts w:ascii="Tahoma" w:hAnsi="Tahoma"/>
          <w:rtl/>
        </w:rPr>
        <w:t xml:space="preserve"> </w:t>
      </w:r>
      <w:r w:rsidRPr="007A26B6">
        <w:rPr>
          <w:rFonts w:ascii="Tahoma" w:hAnsi="Tahoma"/>
          <w:rtl/>
        </w:rPr>
        <w:t>(19.07.2023) והאסמכתאות שם.</w:t>
      </w:r>
    </w:p>
    <w:p w14:paraId="249443BE" w14:textId="77777777" w:rsidR="0059146A" w:rsidRDefault="0059146A" w:rsidP="0059146A">
      <w:pPr>
        <w:numPr>
          <w:ilvl w:val="0"/>
          <w:numId w:val="2"/>
        </w:numPr>
        <w:spacing w:after="120" w:line="360" w:lineRule="auto"/>
        <w:ind w:left="360"/>
        <w:jc w:val="both"/>
        <w:rPr>
          <w:rFonts w:ascii="Tahoma" w:hAnsi="Tahoma"/>
        </w:rPr>
      </w:pPr>
      <w:r>
        <w:rPr>
          <w:rFonts w:ascii="Tahoma" w:hAnsi="Tahoma"/>
          <w:rtl/>
        </w:rPr>
        <w:t xml:space="preserve">בנוסף, קביעת מתחם העונש ההולם נגזרת כאמור לא רק מחומרת העבירה כשלעצמה אלא גם מחומרתה בנסיבות הספציפיות </w:t>
      </w:r>
      <w:r>
        <w:rPr>
          <w:rFonts w:ascii="Tahoma" w:hAnsi="Tahoma" w:hint="cs"/>
          <w:rtl/>
        </w:rPr>
        <w:t>ש</w:t>
      </w:r>
      <w:r>
        <w:rPr>
          <w:rFonts w:ascii="Tahoma" w:hAnsi="Tahoma"/>
          <w:rtl/>
        </w:rPr>
        <w:t xml:space="preserve">בהן </w:t>
      </w:r>
      <w:r>
        <w:rPr>
          <w:rFonts w:ascii="Tahoma" w:hAnsi="Tahoma" w:hint="cs"/>
          <w:rtl/>
        </w:rPr>
        <w:t xml:space="preserve">היא </w:t>
      </w:r>
      <w:r>
        <w:rPr>
          <w:rFonts w:ascii="Tahoma" w:hAnsi="Tahoma"/>
          <w:rtl/>
        </w:rPr>
        <w:t>בוצעה</w:t>
      </w:r>
      <w:r>
        <w:rPr>
          <w:rFonts w:ascii="Tahoma" w:hAnsi="Tahoma" w:hint="cs"/>
          <w:rtl/>
        </w:rPr>
        <w:t>,</w:t>
      </w:r>
      <w:r>
        <w:rPr>
          <w:rFonts w:ascii="Tahoma" w:hAnsi="Tahoma"/>
          <w:rtl/>
        </w:rPr>
        <w:t xml:space="preserve"> הלכה למעשה. בענייננו מדובר כאמור בהחזקת סמים מסוכנים מסוג קוקאין וקנבוס מחולקים, בכמויות קטנות יחסית. אמנם לא מדובר בכמויות של גרמים בודדים של קוקאין</w:t>
      </w:r>
      <w:r>
        <w:rPr>
          <w:rFonts w:ascii="Tahoma" w:hAnsi="Tahoma" w:hint="cs"/>
          <w:rtl/>
        </w:rPr>
        <w:t>,</w:t>
      </w:r>
      <w:r>
        <w:rPr>
          <w:rFonts w:ascii="Tahoma" w:hAnsi="Tahoma"/>
          <w:rtl/>
        </w:rPr>
        <w:t xml:space="preserve"> אלא ביותר מכך, </w:t>
      </w:r>
      <w:r>
        <w:rPr>
          <w:rFonts w:ascii="Tahoma" w:hAnsi="Tahoma" w:hint="cs"/>
          <w:rtl/>
        </w:rPr>
        <w:t xml:space="preserve">ובשני מקרים שונים. עם זאת, בשני המקרים </w:t>
      </w:r>
      <w:r>
        <w:rPr>
          <w:rFonts w:ascii="Tahoma" w:hAnsi="Tahoma"/>
          <w:rtl/>
        </w:rPr>
        <w:t>מדובר בהחזקת הסמים במקו</w:t>
      </w:r>
      <w:r>
        <w:rPr>
          <w:rFonts w:ascii="Tahoma" w:hAnsi="Tahoma" w:hint="cs"/>
          <w:rtl/>
        </w:rPr>
        <w:t xml:space="preserve">מות </w:t>
      </w:r>
      <w:r>
        <w:rPr>
          <w:rFonts w:ascii="Tahoma" w:hAnsi="Tahoma"/>
          <w:rtl/>
        </w:rPr>
        <w:t>מגוריו של הנאשם – החזקה שהיא פחותה בחומרתה מבחינת פוטנציאל ההפצה</w:t>
      </w:r>
      <w:r>
        <w:rPr>
          <w:rFonts w:ascii="Tahoma" w:hAnsi="Tahoma" w:hint="cs"/>
          <w:rtl/>
        </w:rPr>
        <w:t xml:space="preserve">, כמו גם </w:t>
      </w:r>
      <w:r>
        <w:rPr>
          <w:rFonts w:ascii="Tahoma" w:hAnsi="Tahoma"/>
          <w:rtl/>
        </w:rPr>
        <w:t xml:space="preserve">הנזק </w:t>
      </w:r>
      <w:r>
        <w:rPr>
          <w:rFonts w:ascii="Tahoma" w:hAnsi="Tahoma" w:hint="cs"/>
          <w:rtl/>
        </w:rPr>
        <w:t xml:space="preserve">לציבור, </w:t>
      </w:r>
      <w:r>
        <w:rPr>
          <w:rFonts w:ascii="Tahoma" w:hAnsi="Tahoma"/>
          <w:rtl/>
        </w:rPr>
        <w:t xml:space="preserve">בהשוואה להחזקת </w:t>
      </w:r>
      <w:r>
        <w:rPr>
          <w:rFonts w:ascii="Tahoma" w:hAnsi="Tahoma" w:hint="cs"/>
          <w:rtl/>
        </w:rPr>
        <w:t>ה</w:t>
      </w:r>
      <w:r>
        <w:rPr>
          <w:rFonts w:ascii="Tahoma" w:hAnsi="Tahoma"/>
          <w:rtl/>
        </w:rPr>
        <w:t>סמים ברכב או במקום בילוי.</w:t>
      </w:r>
      <w:r>
        <w:rPr>
          <w:rFonts w:ascii="Tahoma" w:hAnsi="Tahoma" w:hint="cs"/>
          <w:rtl/>
        </w:rPr>
        <w:t xml:space="preserve"> בנוסף, הכמויות המצטברות הן ברף נמוך יחסית.</w:t>
      </w:r>
    </w:p>
    <w:p w14:paraId="66F79D6C" w14:textId="77777777" w:rsidR="0059146A" w:rsidRPr="0072704B" w:rsidRDefault="0059146A" w:rsidP="0059146A">
      <w:pPr>
        <w:numPr>
          <w:ilvl w:val="0"/>
          <w:numId w:val="2"/>
        </w:numPr>
        <w:spacing w:after="120" w:line="360" w:lineRule="auto"/>
        <w:ind w:left="360"/>
        <w:jc w:val="both"/>
        <w:rPr>
          <w:rFonts w:ascii="Tahoma" w:hAnsi="Tahoma"/>
        </w:rPr>
      </w:pPr>
      <w:r>
        <w:rPr>
          <w:rFonts w:hint="cs"/>
          <w:rtl/>
        </w:rPr>
        <w:t>לאור כל האמור אני קובע אפוא את מתחם העונש ההולם, במקרה זה, בין 9 חודשי מאסר בפועל, לנשיאה בדרך של עבודות שירות, לבין 20 חודשי מאסר בפועל.</w:t>
      </w:r>
    </w:p>
    <w:p w14:paraId="445F2A6D" w14:textId="77777777" w:rsidR="0059146A" w:rsidRPr="008645B9" w:rsidRDefault="0059146A" w:rsidP="0059146A">
      <w:pPr>
        <w:spacing w:after="120" w:line="360" w:lineRule="auto"/>
        <w:jc w:val="both"/>
        <w:rPr>
          <w:rFonts w:ascii="Tahoma" w:hAnsi="Tahoma"/>
          <w:rtl/>
        </w:rPr>
      </w:pPr>
    </w:p>
    <w:p w14:paraId="11EB6A8C" w14:textId="77777777" w:rsidR="0059146A" w:rsidRPr="008645B9" w:rsidRDefault="0059146A" w:rsidP="0059146A">
      <w:pPr>
        <w:pStyle w:val="a9"/>
        <w:numPr>
          <w:ilvl w:val="0"/>
          <w:numId w:val="1"/>
        </w:numPr>
        <w:spacing w:after="120" w:line="360" w:lineRule="auto"/>
        <w:ind w:left="360"/>
        <w:jc w:val="both"/>
        <w:rPr>
          <w:rFonts w:ascii="Tahoma" w:hAnsi="Tahoma"/>
          <w:b/>
          <w:bCs/>
          <w:u w:val="single"/>
          <w:rtl/>
        </w:rPr>
      </w:pPr>
      <w:r w:rsidRPr="008645B9">
        <w:rPr>
          <w:rFonts w:hint="cs"/>
          <w:b/>
          <w:bCs/>
          <w:u w:val="single"/>
          <w:rtl/>
        </w:rPr>
        <w:t>גזירת עונשו של הנאשם בתוך מתחם העונש ההולם:</w:t>
      </w:r>
    </w:p>
    <w:p w14:paraId="0F633343" w14:textId="77777777" w:rsidR="0059146A" w:rsidRDefault="0059146A" w:rsidP="0059146A">
      <w:pPr>
        <w:numPr>
          <w:ilvl w:val="0"/>
          <w:numId w:val="2"/>
        </w:numPr>
        <w:spacing w:after="120" w:line="360" w:lineRule="auto"/>
        <w:ind w:left="360"/>
        <w:jc w:val="both"/>
        <w:rPr>
          <w:rFonts w:ascii="Tahoma" w:hAnsi="Tahoma"/>
        </w:rPr>
      </w:pPr>
      <w:r>
        <w:rPr>
          <w:rFonts w:hint="cs"/>
          <w:rtl/>
        </w:rPr>
        <w:t xml:space="preserve">לאחר קביעת מתחם העונש ההולם על בית המשפט לגזור את עונשו של הנאשם בתוך מתחם זה </w:t>
      </w:r>
      <w:r>
        <w:rPr>
          <w:rtl/>
        </w:rPr>
        <w:t>–</w:t>
      </w:r>
      <w:r>
        <w:rPr>
          <w:rFonts w:hint="cs"/>
          <w:rtl/>
        </w:rPr>
        <w:t xml:space="preserve"> כאשר, כאמור, כאן לא ניתן לחרוג לכף קולה מהמתחם מטעמי בריאות </w:t>
      </w:r>
      <w:r>
        <w:rPr>
          <w:rtl/>
        </w:rPr>
        <w:t>–</w:t>
      </w:r>
      <w:r>
        <w:rPr>
          <w:rFonts w:hint="cs"/>
          <w:rtl/>
        </w:rPr>
        <w:t xml:space="preserve"> וזאת תוך התחשבות בנסיבות שאינן קשורות בביצוע העבירות.</w:t>
      </w:r>
    </w:p>
    <w:p w14:paraId="6BB23FDE" w14:textId="77777777" w:rsidR="0059146A" w:rsidRPr="00014B6B" w:rsidRDefault="0059146A" w:rsidP="0059146A">
      <w:pPr>
        <w:numPr>
          <w:ilvl w:val="0"/>
          <w:numId w:val="2"/>
        </w:numPr>
        <w:spacing w:after="120" w:line="360" w:lineRule="auto"/>
        <w:ind w:left="360"/>
        <w:jc w:val="both"/>
        <w:rPr>
          <w:rFonts w:ascii="Tahoma" w:hAnsi="Tahoma"/>
        </w:rPr>
      </w:pPr>
      <w:r>
        <w:rPr>
          <w:rFonts w:hint="cs"/>
          <w:rtl/>
        </w:rPr>
        <w:t>אשר לנאשם שלפניי, השיקולים הרלוואנטיים לגזירת עונשו הם כלהלן:</w:t>
      </w:r>
    </w:p>
    <w:p w14:paraId="30492022" w14:textId="77777777" w:rsidR="0059146A" w:rsidRDefault="0059146A" w:rsidP="0059146A">
      <w:pPr>
        <w:snapToGrid w:val="0"/>
        <w:spacing w:after="120" w:line="360" w:lineRule="auto"/>
        <w:ind w:left="720"/>
        <w:jc w:val="both"/>
        <w:rPr>
          <w:rtl/>
        </w:rPr>
      </w:pPr>
      <w:r w:rsidRPr="00627467">
        <w:rPr>
          <w:rFonts w:hint="cs"/>
          <w:b/>
          <w:bCs/>
          <w:rtl/>
        </w:rPr>
        <w:t xml:space="preserve">עברו הפלילי של הנאשם </w:t>
      </w:r>
      <w:r w:rsidRPr="00627467">
        <w:rPr>
          <w:b/>
          <w:bCs/>
          <w:rtl/>
        </w:rPr>
        <w:t>–</w:t>
      </w:r>
      <w:r w:rsidRPr="00627467">
        <w:rPr>
          <w:rFonts w:hint="cs"/>
          <w:b/>
          <w:bCs/>
          <w:rtl/>
        </w:rPr>
        <w:t xml:space="preserve"> </w:t>
      </w:r>
      <w:r>
        <w:rPr>
          <w:rFonts w:hint="cs"/>
          <w:rtl/>
        </w:rPr>
        <w:t>לנאשם אין הרשעות קודמות. מדובר בנסיבה מהותית לקולת העונש, בפרט בהתחשב בגילו של הנאשם, שהוא כאמור יליד שנת 1959.</w:t>
      </w:r>
    </w:p>
    <w:p w14:paraId="00629531" w14:textId="77777777" w:rsidR="0059146A" w:rsidRDefault="0059146A" w:rsidP="0059146A">
      <w:pPr>
        <w:snapToGrid w:val="0"/>
        <w:spacing w:after="120" w:line="360" w:lineRule="auto"/>
        <w:ind w:left="720"/>
        <w:jc w:val="both"/>
        <w:rPr>
          <w:rtl/>
        </w:rPr>
      </w:pPr>
      <w:r w:rsidRPr="0047118D">
        <w:rPr>
          <w:rFonts w:hint="cs"/>
          <w:b/>
          <w:bCs/>
          <w:rtl/>
        </w:rPr>
        <w:t>הפגיעה של העונש בנאשם ובמשפחתו –</w:t>
      </w:r>
      <w:r w:rsidRPr="0047118D">
        <w:rPr>
          <w:rFonts w:hint="cs"/>
          <w:rtl/>
        </w:rPr>
        <w:t xml:space="preserve"> הטלת עונש של מאסר בפועל תפגע הן בנאשם והן במשפחתו</w:t>
      </w:r>
      <w:r>
        <w:rPr>
          <w:rFonts w:hint="cs"/>
          <w:rtl/>
        </w:rPr>
        <w:t>. עם זאת, הטלת מאסר בפועל בדרך של עבודות שירות תגבש פגיעה מתונה בהרבה, בפרט כאשר הנאשם כיום אינו עובד בעבודה אחרת.</w:t>
      </w:r>
    </w:p>
    <w:p w14:paraId="61022E4C" w14:textId="77777777" w:rsidR="0059146A" w:rsidRDefault="0059146A" w:rsidP="0059146A">
      <w:pPr>
        <w:snapToGrid w:val="0"/>
        <w:spacing w:after="120" w:line="360" w:lineRule="auto"/>
        <w:ind w:left="720"/>
        <w:jc w:val="both"/>
        <w:rPr>
          <w:rtl/>
        </w:rPr>
      </w:pPr>
      <w:r w:rsidRPr="00627467">
        <w:rPr>
          <w:rFonts w:hint="cs"/>
          <w:b/>
          <w:bCs/>
          <w:rtl/>
        </w:rPr>
        <w:t xml:space="preserve">הודאה ונטילת אחריות </w:t>
      </w:r>
      <w:r>
        <w:rPr>
          <w:rtl/>
        </w:rPr>
        <w:t>–</w:t>
      </w:r>
      <w:r>
        <w:rPr>
          <w:rFonts w:hint="cs"/>
          <w:rtl/>
        </w:rPr>
        <w:t xml:space="preserve"> הנאשם הודה בעובדות כתבי האישום בשני התיקים. בכך חסך הנאשם מזמנם של העדים, הצדדים ובית המשפט. נסיבות אלה יש כמובן לזקוף לזכותו של הנאשם.</w:t>
      </w:r>
    </w:p>
    <w:p w14:paraId="2BB70DFA" w14:textId="77777777" w:rsidR="0059146A" w:rsidRDefault="0059146A" w:rsidP="0059146A">
      <w:pPr>
        <w:snapToGrid w:val="0"/>
        <w:spacing w:after="120" w:line="360" w:lineRule="auto"/>
        <w:ind w:left="720"/>
        <w:jc w:val="both"/>
        <w:rPr>
          <w:rtl/>
        </w:rPr>
      </w:pPr>
      <w:r w:rsidRPr="00627467">
        <w:rPr>
          <w:rFonts w:hint="cs"/>
          <w:b/>
          <w:bCs/>
          <w:rtl/>
        </w:rPr>
        <w:t xml:space="preserve">נתוניו האישיים של הנאשם ונסיבות חייו </w:t>
      </w:r>
      <w:r>
        <w:rPr>
          <w:rtl/>
        </w:rPr>
        <w:t>–</w:t>
      </w:r>
      <w:r>
        <w:rPr>
          <w:rFonts w:hint="cs"/>
          <w:rtl/>
        </w:rPr>
        <w:t xml:space="preserve"> נסיבות חייו של הנאשם הן מורכבות, כמפורט בתסקיר שירות המבחן. הנאשם גם נטה שוב ושוב לשימוש התמכרותי בסמים מסוכנים בתקופות משבר בחייו. עם זאת, הנאשם טען בפני שירות המבחן כי מתחילת החקירה נגדו הפסיק את השימוש בסמים מסוכנים, למעט קנבוס רפואי אותו הוא צורך ברישיון, ובדיקות שנערכו לו אששו טענה זו. </w:t>
      </w:r>
    </w:p>
    <w:p w14:paraId="289FF50E" w14:textId="77777777" w:rsidR="0059146A" w:rsidRDefault="0059146A" w:rsidP="0059146A">
      <w:pPr>
        <w:snapToGrid w:val="0"/>
        <w:spacing w:after="120" w:line="360" w:lineRule="auto"/>
        <w:ind w:left="720"/>
        <w:jc w:val="both"/>
        <w:rPr>
          <w:rtl/>
        </w:rPr>
      </w:pPr>
      <w:r>
        <w:rPr>
          <w:rFonts w:hint="cs"/>
          <w:b/>
          <w:bCs/>
          <w:rtl/>
        </w:rPr>
        <w:t>חלוף הזמן מעת ביצוע העבירה –</w:t>
      </w:r>
      <w:r>
        <w:rPr>
          <w:rFonts w:hint="cs"/>
          <w:rtl/>
        </w:rPr>
        <w:t xml:space="preserve"> מאז ביצוע העבירות חלף כבר זמן ממושך, אך זאת בעיקר בשל בקשות דחייה חוזרות ונשנות של ההגנה; וממילא אין לזקוף את חלוף הזמן לזכותו של הנאשם. עם זאת לא למותר לציין, כפי שאישר התובע בטיעוניו, כי במהלך תקופה ממושכת זו הנאשם לא חזר והסתבך בביצוע עבירות נוספות.</w:t>
      </w:r>
    </w:p>
    <w:p w14:paraId="1B88EDA2" w14:textId="77777777" w:rsidR="0059146A" w:rsidRDefault="0059146A" w:rsidP="0059146A">
      <w:pPr>
        <w:numPr>
          <w:ilvl w:val="0"/>
          <w:numId w:val="2"/>
        </w:numPr>
        <w:spacing w:after="120" w:line="360" w:lineRule="auto"/>
        <w:ind w:left="360"/>
        <w:jc w:val="both"/>
        <w:rPr>
          <w:rFonts w:ascii="Tahoma" w:hAnsi="Tahoma"/>
        </w:rPr>
      </w:pPr>
      <w:r>
        <w:rPr>
          <w:rFonts w:hint="cs"/>
          <w:rtl/>
        </w:rPr>
        <w:t>המסקנה המתבקשת ממכלול הנסיבות והשיקולים שפורטו לעיל היא כי במקרה זה נסיבות הקולה עולות במשקלן על נסיבות החומרה,</w:t>
      </w:r>
      <w:r w:rsidRPr="00014B6B">
        <w:rPr>
          <w:rFonts w:ascii="Tahoma" w:hAnsi="Tahoma" w:hint="cs"/>
          <w:rtl/>
        </w:rPr>
        <w:t xml:space="preserve"> </w:t>
      </w:r>
      <w:r>
        <w:rPr>
          <w:rFonts w:ascii="Tahoma" w:hAnsi="Tahoma" w:hint="cs"/>
          <w:rtl/>
        </w:rPr>
        <w:t xml:space="preserve">באופן שניתן להסתפק בגזירת </w:t>
      </w:r>
      <w:r w:rsidRPr="00014B6B">
        <w:rPr>
          <w:rFonts w:ascii="Tahoma" w:hAnsi="Tahoma" w:hint="cs"/>
          <w:rtl/>
        </w:rPr>
        <w:t>עונשו ש</w:t>
      </w:r>
      <w:r>
        <w:rPr>
          <w:rFonts w:ascii="Tahoma" w:hAnsi="Tahoma" w:hint="cs"/>
          <w:rtl/>
        </w:rPr>
        <w:t xml:space="preserve">ל הנאשם ברף התחתון </w:t>
      </w:r>
      <w:r w:rsidRPr="00014B6B">
        <w:rPr>
          <w:rFonts w:ascii="Tahoma" w:hAnsi="Tahoma" w:hint="cs"/>
          <w:rtl/>
        </w:rPr>
        <w:t>של</w:t>
      </w:r>
      <w:r>
        <w:rPr>
          <w:rFonts w:ascii="Tahoma" w:hAnsi="Tahoma" w:hint="cs"/>
          <w:rtl/>
        </w:rPr>
        <w:t xml:space="preserve"> מתחם העונש ההולם. כיוון שמדובר בעבירות סמים יש לגזור על הנאשם גם ענישה כלכלית, אך במישור הפסילה ניתן להסתפק בפסילה מותנית בלבד.</w:t>
      </w:r>
    </w:p>
    <w:p w14:paraId="6F1127A1" w14:textId="77777777" w:rsidR="0059146A" w:rsidRPr="00035A66" w:rsidRDefault="0059146A" w:rsidP="0059146A">
      <w:pPr>
        <w:spacing w:after="120" w:line="360" w:lineRule="auto"/>
        <w:jc w:val="both"/>
        <w:rPr>
          <w:rFonts w:ascii="Tahoma" w:hAnsi="Tahoma"/>
          <w:rtl/>
        </w:rPr>
      </w:pPr>
    </w:p>
    <w:p w14:paraId="002A4C25" w14:textId="77777777" w:rsidR="0059146A" w:rsidRDefault="0059146A" w:rsidP="0059146A">
      <w:pPr>
        <w:pStyle w:val="a9"/>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71B7D645" w14:textId="77777777" w:rsidR="0059146A" w:rsidRPr="002059D0" w:rsidRDefault="0059146A" w:rsidP="0059146A">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34A40310" w14:textId="77777777" w:rsidR="0059146A" w:rsidRDefault="0059146A" w:rsidP="0059146A">
      <w:pPr>
        <w:spacing w:after="120" w:line="360" w:lineRule="auto"/>
        <w:ind w:left="1080" w:hanging="720"/>
        <w:jc w:val="both"/>
        <w:rPr>
          <w:rFonts w:ascii="Tahoma" w:hAnsi="Tahoma"/>
          <w:rtl/>
        </w:rPr>
      </w:pPr>
      <w:r>
        <w:rPr>
          <w:rFonts w:hint="cs"/>
          <w:rtl/>
        </w:rPr>
        <w:t>(א)</w:t>
      </w:r>
      <w:r>
        <w:rPr>
          <w:rtl/>
        </w:rPr>
        <w:tab/>
      </w:r>
      <w:r>
        <w:rPr>
          <w:rFonts w:hint="cs"/>
          <w:rtl/>
        </w:rPr>
        <w:t>9 חודשי מאסר בפועל.</w:t>
      </w:r>
    </w:p>
    <w:p w14:paraId="1316578E" w14:textId="77777777" w:rsidR="0059146A" w:rsidRDefault="0059146A" w:rsidP="0059146A">
      <w:pPr>
        <w:spacing w:after="120" w:line="360" w:lineRule="auto"/>
        <w:ind w:left="1080"/>
        <w:jc w:val="both"/>
        <w:rPr>
          <w:rFonts w:ascii="Tahoma" w:hAnsi="Tahoma"/>
          <w:rtl/>
        </w:rPr>
      </w:pPr>
      <w:r>
        <w:rPr>
          <w:rFonts w:ascii="Tahoma" w:hAnsi="Tahoma" w:hint="cs"/>
          <w:rtl/>
        </w:rPr>
        <w:t>הנאשם יישא את עונש המאסר בדרך של עבודות שירות, כאמור בחוות דעתו של הממונה על עבודות השירות בשירות בתי הסוהר מיום 09.05.2024.</w:t>
      </w:r>
    </w:p>
    <w:p w14:paraId="5B2994C9" w14:textId="77777777" w:rsidR="0059146A" w:rsidRDefault="0059146A" w:rsidP="0059146A">
      <w:pPr>
        <w:spacing w:after="120" w:line="360" w:lineRule="auto"/>
        <w:ind w:left="1080"/>
        <w:jc w:val="both"/>
        <w:rPr>
          <w:rFonts w:ascii="Tahoma" w:hAnsi="Tahoma"/>
          <w:rtl/>
        </w:rPr>
      </w:pPr>
      <w:r>
        <w:rPr>
          <w:rFonts w:ascii="Tahoma" w:hAnsi="Tahoma" w:hint="cs"/>
          <w:rtl/>
        </w:rPr>
        <w:t>על הנאשם להתייצב לנשיאת עונשו במשרדי הממונה על עבודות השירות, ביום 31.07.2024 עד השעה 08:00.</w:t>
      </w:r>
    </w:p>
    <w:p w14:paraId="653DD7AE" w14:textId="77777777" w:rsidR="0059146A" w:rsidRDefault="0059146A" w:rsidP="0059146A">
      <w:pPr>
        <w:spacing w:after="120" w:line="360" w:lineRule="auto"/>
        <w:ind w:left="1080"/>
        <w:jc w:val="both"/>
        <w:rPr>
          <w:rFonts w:ascii="Tahoma" w:hAnsi="Tahoma"/>
        </w:rPr>
      </w:pPr>
      <w:r>
        <w:rPr>
          <w:rFonts w:ascii="Tahoma" w:hAnsi="Tahoma" w:hint="cs"/>
          <w:rtl/>
        </w:rPr>
        <w:t>מובהר בזה לנאשם כי בכל הקשור לעבודות השירות עליו לציית להוראות הממונה על עבודות השירות, או למי שהוסמך לכך מטעמו. עוד מובהר לנאשם, כי במידה ולא יציית להוראות כאמור הוא עשוי לשאת את מאסרו, או את יתרת מאסרו, במאסר מאחורי סורג ובריח בבית סוהר.</w:t>
      </w:r>
    </w:p>
    <w:p w14:paraId="1088274C" w14:textId="77777777" w:rsidR="0059146A" w:rsidRDefault="0059146A" w:rsidP="0059146A">
      <w:pPr>
        <w:spacing w:after="120" w:line="360" w:lineRule="auto"/>
        <w:ind w:left="1080" w:hanging="720"/>
        <w:jc w:val="both"/>
        <w:rPr>
          <w:rFonts w:ascii="Tahoma" w:hAnsi="Tahoma"/>
          <w:rtl/>
        </w:rPr>
      </w:pPr>
      <w:r>
        <w:rPr>
          <w:rFonts w:hint="cs"/>
          <w:rtl/>
        </w:rPr>
        <w:t>(ב)</w:t>
      </w:r>
      <w:r>
        <w:rPr>
          <w:rtl/>
        </w:rPr>
        <w:tab/>
      </w:r>
      <w:r>
        <w:rPr>
          <w:rFonts w:hint="cs"/>
          <w:rtl/>
        </w:rPr>
        <w:t xml:space="preserve">מאסר על תנאי למשך 6 חודשים, אותו לא יישא הנאשם אלא אם כן יעבור, תוך שלוש שנים מיום סיום נשיאת המאסר בדרך של עבודות שירות, עבירה לפי הוראות </w:t>
      </w:r>
      <w:hyperlink r:id="rId20" w:history="1">
        <w:r w:rsidR="00723F75" w:rsidRPr="00723F75">
          <w:rPr>
            <w:color w:val="0000FF"/>
            <w:u w:val="single"/>
            <w:rtl/>
          </w:rPr>
          <w:t>פקודת הסמים המסוכנים</w:t>
        </w:r>
      </w:hyperlink>
      <w:r>
        <w:rPr>
          <w:rFonts w:hint="cs"/>
          <w:rtl/>
        </w:rPr>
        <w:t xml:space="preserve"> מסוג פשע</w:t>
      </w:r>
      <w:r>
        <w:rPr>
          <w:rFonts w:ascii="Tahoma" w:hAnsi="Tahoma" w:hint="cs"/>
          <w:rtl/>
        </w:rPr>
        <w:t>.</w:t>
      </w:r>
    </w:p>
    <w:p w14:paraId="52585677" w14:textId="77777777" w:rsidR="0059146A" w:rsidRDefault="0059146A" w:rsidP="0059146A">
      <w:pPr>
        <w:spacing w:after="120" w:line="360" w:lineRule="auto"/>
        <w:ind w:left="1080" w:hanging="720"/>
        <w:jc w:val="both"/>
        <w:rPr>
          <w:rtl/>
        </w:rPr>
      </w:pPr>
      <w:r>
        <w:rPr>
          <w:rFonts w:hint="cs"/>
          <w:rtl/>
        </w:rPr>
        <w:t>(ג)</w:t>
      </w:r>
      <w:r>
        <w:rPr>
          <w:rtl/>
        </w:rPr>
        <w:tab/>
      </w:r>
      <w:r>
        <w:rPr>
          <w:rFonts w:hint="cs"/>
          <w:rtl/>
        </w:rPr>
        <w:t>קנס בסך של 2,000 ₪, או 8 ימי מאסר תמורתו.</w:t>
      </w:r>
    </w:p>
    <w:p w14:paraId="21F9F47D" w14:textId="77777777" w:rsidR="0059146A" w:rsidRDefault="0059146A" w:rsidP="0059146A">
      <w:pPr>
        <w:spacing w:after="120" w:line="360" w:lineRule="auto"/>
        <w:ind w:left="1080"/>
        <w:jc w:val="both"/>
        <w:rPr>
          <w:rFonts w:ascii="Tahoma" w:hAnsi="Tahoma"/>
          <w:rtl/>
        </w:rPr>
      </w:pPr>
      <w:r>
        <w:rPr>
          <w:rFonts w:hint="cs"/>
          <w:rtl/>
        </w:rPr>
        <w:t>הקנס ישולם ב-4 תשלומים חודשיים, שווים ורצופים, החל מיום 01.08.2024 ובכל אחד בחודש שלאחריו. היה והנאשם לא ישלם את אחד התשלומים במועד תועמד כל יתרת הקנס לפירעון מידי.</w:t>
      </w:r>
    </w:p>
    <w:p w14:paraId="0D253069" w14:textId="77777777" w:rsidR="0059146A" w:rsidRDefault="0059146A" w:rsidP="0059146A">
      <w:pPr>
        <w:spacing w:after="120" w:line="360" w:lineRule="auto"/>
        <w:ind w:left="1080" w:hanging="720"/>
        <w:jc w:val="both"/>
        <w:rPr>
          <w:rFonts w:ascii="Tahoma" w:hAnsi="Tahoma"/>
        </w:rPr>
      </w:pPr>
      <w:r>
        <w:rPr>
          <w:rFonts w:hint="cs"/>
          <w:rtl/>
        </w:rPr>
        <w:t>(ד)</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21" w:history="1">
        <w:r w:rsidR="00723F75" w:rsidRPr="00723F75">
          <w:rPr>
            <w:color w:val="0000FF"/>
            <w:u w:val="single"/>
            <w:rtl/>
          </w:rPr>
          <w:t>פקודת הסמים המסוכנים</w:t>
        </w:r>
      </w:hyperlink>
      <w:r>
        <w:rPr>
          <w:rFonts w:hint="cs"/>
          <w:rtl/>
        </w:rPr>
        <w:t>.</w:t>
      </w:r>
    </w:p>
    <w:p w14:paraId="66BEED2E" w14:textId="77777777" w:rsidR="0059146A" w:rsidRDefault="00723F75" w:rsidP="0059146A">
      <w:pPr>
        <w:spacing w:after="120" w:line="360" w:lineRule="auto"/>
        <w:jc w:val="both"/>
        <w:rPr>
          <w:rtl/>
        </w:rPr>
      </w:pPr>
      <w:r w:rsidRPr="00723F75">
        <w:rPr>
          <w:color w:val="FFFFFF"/>
          <w:sz w:val="2"/>
          <w:szCs w:val="2"/>
          <w:rtl/>
        </w:rPr>
        <w:t>5129371</w:t>
      </w:r>
      <w:r w:rsidR="0059146A">
        <w:rPr>
          <w:rFonts w:hint="cs"/>
          <w:rtl/>
        </w:rPr>
        <w:t xml:space="preserve">ניתן בזה צו כללי, לעניין מוצגים, לשיקול דעתו של קצין משטרה. </w:t>
      </w:r>
    </w:p>
    <w:p w14:paraId="459DF107" w14:textId="77777777" w:rsidR="0059146A" w:rsidRDefault="00723F75" w:rsidP="0059146A">
      <w:pPr>
        <w:snapToGrid w:val="0"/>
        <w:spacing w:after="120" w:line="360" w:lineRule="auto"/>
        <w:jc w:val="both"/>
        <w:rPr>
          <w:rtl/>
        </w:rPr>
      </w:pPr>
      <w:r w:rsidRPr="00723F75">
        <w:rPr>
          <w:color w:val="FFFFFF"/>
          <w:sz w:val="2"/>
          <w:szCs w:val="2"/>
          <w:rtl/>
        </w:rPr>
        <w:t>54678313</w:t>
      </w:r>
      <w:r w:rsidR="0059146A">
        <w:rPr>
          <w:rFonts w:hint="cs"/>
          <w:rtl/>
        </w:rPr>
        <w:t>זכות ערעור בתוך 45 יום מהיום.</w:t>
      </w:r>
    </w:p>
    <w:p w14:paraId="573461EC" w14:textId="77777777" w:rsidR="0059146A" w:rsidRPr="00761D70" w:rsidRDefault="0059146A" w:rsidP="0059146A">
      <w:pPr>
        <w:spacing w:after="120" w:line="360" w:lineRule="auto"/>
        <w:jc w:val="both"/>
        <w:rPr>
          <w:rFonts w:ascii="Tahoma" w:hAnsi="Tahoma"/>
          <w:rtl/>
        </w:rPr>
      </w:pPr>
      <w:r>
        <w:rPr>
          <w:rFonts w:hint="cs"/>
          <w:rtl/>
        </w:rPr>
        <w:t>המזכירות תמציא גזר דין זה לשירות המבחן.</w:t>
      </w:r>
    </w:p>
    <w:p w14:paraId="0F9D8669" w14:textId="77777777" w:rsidR="0059146A" w:rsidRPr="000F2247" w:rsidRDefault="00723F75" w:rsidP="0059146A">
      <w:pPr>
        <w:spacing w:line="360" w:lineRule="auto"/>
        <w:jc w:val="both"/>
        <w:rPr>
          <w:rFonts w:ascii="Arial" w:hAnsi="Arial"/>
          <w:b/>
          <w:bCs/>
          <w:sz w:val="26"/>
          <w:szCs w:val="26"/>
          <w:rtl/>
        </w:rPr>
      </w:pPr>
      <w:bookmarkStart w:id="8" w:name="Nitan"/>
      <w:r>
        <w:rPr>
          <w:rFonts w:ascii="Arial" w:hAnsi="Arial"/>
          <w:rtl/>
        </w:rPr>
        <w:t xml:space="preserve">ניתן היום, י"ד סיוון תשפ"ד, 20 יוני 2024, במעמד הצדדים. </w:t>
      </w:r>
      <w:bookmarkEnd w:id="8"/>
      <w:r w:rsidR="0059146A">
        <w:rPr>
          <w:rFonts w:ascii="Arial" w:hAnsi="Arial"/>
          <w:b/>
          <w:bCs/>
          <w:sz w:val="26"/>
          <w:szCs w:val="26"/>
          <w:rtl/>
        </w:rPr>
        <w:tab/>
      </w:r>
      <w:r w:rsidR="0059146A">
        <w:rPr>
          <w:rFonts w:ascii="Arial" w:hAnsi="Arial"/>
          <w:b/>
          <w:bCs/>
          <w:sz w:val="26"/>
          <w:szCs w:val="26"/>
          <w:rtl/>
        </w:rPr>
        <w:tab/>
      </w:r>
      <w:r w:rsidR="0059146A">
        <w:rPr>
          <w:rFonts w:ascii="Arial" w:hAnsi="Arial"/>
          <w:b/>
          <w:bCs/>
          <w:sz w:val="26"/>
          <w:szCs w:val="26"/>
          <w:rtl/>
        </w:rPr>
        <w:tab/>
      </w:r>
      <w:r w:rsidR="0059146A">
        <w:rPr>
          <w:rFonts w:ascii="Arial" w:hAnsi="Arial"/>
          <w:b/>
          <w:bCs/>
          <w:sz w:val="26"/>
          <w:szCs w:val="26"/>
          <w:rtl/>
        </w:rPr>
        <w:tab/>
      </w:r>
      <w:r w:rsidR="0059146A">
        <w:rPr>
          <w:rFonts w:ascii="Arial" w:hAnsi="Arial"/>
          <w:b/>
          <w:bCs/>
          <w:sz w:val="26"/>
          <w:szCs w:val="26"/>
          <w:rtl/>
        </w:rPr>
        <w:tab/>
      </w:r>
      <w:r w:rsidR="0059146A">
        <w:rPr>
          <w:rFonts w:ascii="Arial" w:hAnsi="Arial"/>
          <w:b/>
          <w:bCs/>
          <w:sz w:val="26"/>
          <w:szCs w:val="26"/>
          <w:rtl/>
        </w:rPr>
        <w:tab/>
      </w:r>
      <w:r w:rsidR="0059146A">
        <w:rPr>
          <w:rFonts w:ascii="Arial" w:hAnsi="Arial"/>
          <w:b/>
          <w:bCs/>
          <w:sz w:val="26"/>
          <w:szCs w:val="26"/>
          <w:rtl/>
        </w:rPr>
        <w:tab/>
      </w:r>
      <w:r w:rsidR="0059146A">
        <w:rPr>
          <w:rFonts w:ascii="Arial" w:hAnsi="Arial" w:hint="cs"/>
          <w:b/>
          <w:bCs/>
          <w:sz w:val="26"/>
          <w:szCs w:val="26"/>
          <w:rtl/>
        </w:rPr>
        <w:t xml:space="preserve">         </w:t>
      </w:r>
    </w:p>
    <w:p w14:paraId="293A1E4C" w14:textId="77777777" w:rsidR="0059146A" w:rsidRPr="000F2247" w:rsidRDefault="0059146A" w:rsidP="00723F7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5A90D45" w14:textId="77777777" w:rsidR="0059146A" w:rsidRPr="000F2247" w:rsidRDefault="0059146A" w:rsidP="0059146A">
      <w:pPr>
        <w:jc w:val="center"/>
        <w:rPr>
          <w:rFonts w:ascii="Arial" w:hAnsi="Arial"/>
          <w:b/>
          <w:bCs/>
          <w:sz w:val="26"/>
          <w:szCs w:val="26"/>
          <w:rtl/>
        </w:rPr>
      </w:pPr>
    </w:p>
    <w:p w14:paraId="316EEABB" w14:textId="77777777" w:rsidR="00CD57FC" w:rsidRPr="00723F75" w:rsidRDefault="00CD57FC" w:rsidP="00723F75">
      <w:pPr>
        <w:keepNext/>
        <w:rPr>
          <w:rFonts w:ascii="David" w:hAnsi="David"/>
          <w:color w:val="000000"/>
          <w:sz w:val="22"/>
          <w:szCs w:val="22"/>
          <w:rtl/>
        </w:rPr>
      </w:pPr>
    </w:p>
    <w:p w14:paraId="072FD989" w14:textId="77777777" w:rsidR="00723F75" w:rsidRPr="00723F75" w:rsidRDefault="00723F75" w:rsidP="00723F75">
      <w:pPr>
        <w:keepNext/>
        <w:rPr>
          <w:rFonts w:ascii="David" w:hAnsi="David"/>
          <w:color w:val="000000"/>
          <w:sz w:val="22"/>
          <w:szCs w:val="22"/>
          <w:rtl/>
        </w:rPr>
      </w:pPr>
      <w:r w:rsidRPr="00723F75">
        <w:rPr>
          <w:rFonts w:ascii="David" w:hAnsi="David"/>
          <w:color w:val="000000"/>
          <w:sz w:val="22"/>
          <w:szCs w:val="22"/>
          <w:rtl/>
        </w:rPr>
        <w:t>שאול אבינור 54678313</w:t>
      </w:r>
    </w:p>
    <w:p w14:paraId="51B908D4" w14:textId="77777777" w:rsidR="00723F75" w:rsidRDefault="00723F75" w:rsidP="00723F75">
      <w:r w:rsidRPr="00723F75">
        <w:rPr>
          <w:color w:val="000000"/>
          <w:rtl/>
        </w:rPr>
        <w:t>נוסח מסמך זה כפוף לשינויי ניסוח ועריכה</w:t>
      </w:r>
    </w:p>
    <w:p w14:paraId="42947F5D" w14:textId="77777777" w:rsidR="00723F75" w:rsidRDefault="00723F75" w:rsidP="00723F75">
      <w:pPr>
        <w:rPr>
          <w:rtl/>
        </w:rPr>
      </w:pPr>
    </w:p>
    <w:p w14:paraId="55E6DE29" w14:textId="77777777" w:rsidR="00723F75" w:rsidRDefault="00723F75" w:rsidP="00723F75">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14E5C0C2" w14:textId="77777777" w:rsidR="00723F75" w:rsidRPr="00723F75" w:rsidRDefault="00723F75" w:rsidP="00723F75">
      <w:pPr>
        <w:jc w:val="center"/>
        <w:rPr>
          <w:color w:val="0000FF"/>
          <w:u w:val="single"/>
        </w:rPr>
      </w:pPr>
    </w:p>
    <w:sectPr w:rsidR="00723F75" w:rsidRPr="00723F75" w:rsidSect="00723F75">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26C27" w14:textId="77777777" w:rsidR="00732E36" w:rsidRDefault="00732E36" w:rsidP="00913806">
      <w:r>
        <w:separator/>
      </w:r>
    </w:p>
  </w:endnote>
  <w:endnote w:type="continuationSeparator" w:id="0">
    <w:p w14:paraId="03CB65CA" w14:textId="77777777" w:rsidR="00732E36" w:rsidRDefault="00732E36" w:rsidP="00913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8A607" w14:textId="77777777" w:rsidR="00723F75" w:rsidRDefault="00723F75" w:rsidP="00723F7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265293" w14:textId="77777777" w:rsidR="003879C6" w:rsidRPr="00723F75" w:rsidRDefault="00723F75" w:rsidP="00723F7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6B9C1" w14:textId="77777777" w:rsidR="00723F75" w:rsidRDefault="00723F75" w:rsidP="00723F7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D49F6">
      <w:rPr>
        <w:rFonts w:ascii="FrankRuehl" w:hAnsi="FrankRuehl" w:cs="FrankRuehl"/>
        <w:noProof/>
        <w:rtl/>
      </w:rPr>
      <w:t>1</w:t>
    </w:r>
    <w:r>
      <w:rPr>
        <w:rFonts w:ascii="FrankRuehl" w:hAnsi="FrankRuehl" w:cs="FrankRuehl"/>
        <w:rtl/>
      </w:rPr>
      <w:fldChar w:fldCharType="end"/>
    </w:r>
  </w:p>
  <w:p w14:paraId="23C1133B" w14:textId="77777777" w:rsidR="003879C6" w:rsidRPr="00723F75" w:rsidRDefault="00723F75" w:rsidP="00723F7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0B24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46397" w14:textId="77777777" w:rsidR="00732E36" w:rsidRDefault="00732E36" w:rsidP="00913806">
      <w:r>
        <w:separator/>
      </w:r>
    </w:p>
  </w:footnote>
  <w:footnote w:type="continuationSeparator" w:id="0">
    <w:p w14:paraId="59921456" w14:textId="77777777" w:rsidR="00732E36" w:rsidRDefault="00732E36" w:rsidP="00913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FD88D" w14:textId="77777777" w:rsidR="00723F75" w:rsidRPr="00723F75" w:rsidRDefault="00723F75" w:rsidP="00723F7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30558-12-21</w:t>
    </w:r>
    <w:r>
      <w:rPr>
        <w:rFonts w:ascii="David" w:hAnsi="David"/>
        <w:color w:val="000000"/>
        <w:sz w:val="22"/>
        <w:szCs w:val="22"/>
        <w:rtl/>
      </w:rPr>
      <w:tab/>
      <w:t xml:space="preserve"> מדינת ישראל נ' יהודה אדרי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04D48" w14:textId="77777777" w:rsidR="00723F75" w:rsidRPr="00723F75" w:rsidRDefault="00723F75" w:rsidP="00723F7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30558-12-21</w:t>
    </w:r>
    <w:r>
      <w:rPr>
        <w:rFonts w:ascii="David" w:hAnsi="David"/>
        <w:color w:val="000000"/>
        <w:sz w:val="22"/>
        <w:szCs w:val="22"/>
        <w:rtl/>
      </w:rPr>
      <w:tab/>
      <w:t xml:space="preserve"> מדינת ישראל נ' יהודה אדרי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A6349440"/>
    <w:lvl w:ilvl="0" w:tplc="EF3A0AEC">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E696035"/>
    <w:multiLevelType w:val="hybridMultilevel"/>
    <w:tmpl w:val="0FF0C620"/>
    <w:lvl w:ilvl="0" w:tplc="64300682">
      <w:start w:val="1"/>
      <w:numFmt w:val="hebrew1"/>
      <w:lvlText w:val="%1."/>
      <w:lvlJc w:val="left"/>
      <w:pPr>
        <w:ind w:left="728" w:hanging="360"/>
      </w:p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abstractNum w:abstractNumId="2" w15:restartNumberingAfterBreak="0">
    <w:nsid w:val="7C0C2642"/>
    <w:multiLevelType w:val="hybridMultilevel"/>
    <w:tmpl w:val="F0965202"/>
    <w:lvl w:ilvl="0" w:tplc="04090001">
      <w:start w:val="1"/>
      <w:numFmt w:val="bullet"/>
      <w:lvlText w:val=""/>
      <w:lvlJc w:val="left"/>
      <w:pPr>
        <w:ind w:left="1372" w:hanging="360"/>
      </w:pPr>
      <w:rPr>
        <w:rFonts w:ascii="Symbol" w:hAnsi="Symbol" w:hint="default"/>
      </w:rPr>
    </w:lvl>
    <w:lvl w:ilvl="1" w:tplc="04090003">
      <w:start w:val="1"/>
      <w:numFmt w:val="bullet"/>
      <w:lvlText w:val="o"/>
      <w:lvlJc w:val="left"/>
      <w:pPr>
        <w:ind w:left="2092" w:hanging="360"/>
      </w:pPr>
      <w:rPr>
        <w:rFonts w:ascii="Courier New" w:hAnsi="Courier New" w:cs="Courier New" w:hint="default"/>
      </w:rPr>
    </w:lvl>
    <w:lvl w:ilvl="2" w:tplc="04090005">
      <w:start w:val="1"/>
      <w:numFmt w:val="bullet"/>
      <w:lvlText w:val=""/>
      <w:lvlJc w:val="left"/>
      <w:pPr>
        <w:ind w:left="2812" w:hanging="360"/>
      </w:pPr>
      <w:rPr>
        <w:rFonts w:ascii="Wingdings" w:hAnsi="Wingdings" w:hint="default"/>
      </w:rPr>
    </w:lvl>
    <w:lvl w:ilvl="3" w:tplc="04090001">
      <w:start w:val="1"/>
      <w:numFmt w:val="bullet"/>
      <w:lvlText w:val=""/>
      <w:lvlJc w:val="left"/>
      <w:pPr>
        <w:ind w:left="3532" w:hanging="360"/>
      </w:pPr>
      <w:rPr>
        <w:rFonts w:ascii="Symbol" w:hAnsi="Symbol" w:hint="default"/>
      </w:rPr>
    </w:lvl>
    <w:lvl w:ilvl="4" w:tplc="04090003">
      <w:start w:val="1"/>
      <w:numFmt w:val="bullet"/>
      <w:lvlText w:val="o"/>
      <w:lvlJc w:val="left"/>
      <w:pPr>
        <w:ind w:left="4252" w:hanging="360"/>
      </w:pPr>
      <w:rPr>
        <w:rFonts w:ascii="Courier New" w:hAnsi="Courier New" w:cs="Courier New" w:hint="default"/>
      </w:rPr>
    </w:lvl>
    <w:lvl w:ilvl="5" w:tplc="04090005">
      <w:start w:val="1"/>
      <w:numFmt w:val="bullet"/>
      <w:lvlText w:val=""/>
      <w:lvlJc w:val="left"/>
      <w:pPr>
        <w:ind w:left="4972" w:hanging="360"/>
      </w:pPr>
      <w:rPr>
        <w:rFonts w:ascii="Wingdings" w:hAnsi="Wingdings" w:hint="default"/>
      </w:rPr>
    </w:lvl>
    <w:lvl w:ilvl="6" w:tplc="04090001">
      <w:start w:val="1"/>
      <w:numFmt w:val="bullet"/>
      <w:lvlText w:val=""/>
      <w:lvlJc w:val="left"/>
      <w:pPr>
        <w:ind w:left="5692" w:hanging="360"/>
      </w:pPr>
      <w:rPr>
        <w:rFonts w:ascii="Symbol" w:hAnsi="Symbol" w:hint="default"/>
      </w:rPr>
    </w:lvl>
    <w:lvl w:ilvl="7" w:tplc="04090003">
      <w:start w:val="1"/>
      <w:numFmt w:val="bullet"/>
      <w:lvlText w:val="o"/>
      <w:lvlJc w:val="left"/>
      <w:pPr>
        <w:ind w:left="6412" w:hanging="360"/>
      </w:pPr>
      <w:rPr>
        <w:rFonts w:ascii="Courier New" w:hAnsi="Courier New" w:cs="Courier New" w:hint="default"/>
      </w:rPr>
    </w:lvl>
    <w:lvl w:ilvl="8" w:tplc="04090005">
      <w:start w:val="1"/>
      <w:numFmt w:val="bullet"/>
      <w:lvlText w:val=""/>
      <w:lvlJc w:val="left"/>
      <w:pPr>
        <w:ind w:left="7132" w:hanging="360"/>
      </w:pPr>
      <w:rPr>
        <w:rFonts w:ascii="Wingdings" w:hAnsi="Wingdings" w:hint="default"/>
      </w:rPr>
    </w:lvl>
  </w:abstractNum>
  <w:num w:numId="1" w16cid:durableId="3569776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98399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8497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146A"/>
    <w:rsid w:val="003879C6"/>
    <w:rsid w:val="004D49F6"/>
    <w:rsid w:val="0059146A"/>
    <w:rsid w:val="00723F75"/>
    <w:rsid w:val="00732E36"/>
    <w:rsid w:val="00911D89"/>
    <w:rsid w:val="00913806"/>
    <w:rsid w:val="009A4E4C"/>
    <w:rsid w:val="00CD57FC"/>
    <w:rsid w:val="00F357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942695"/>
  <w15:chartTrackingRefBased/>
  <w15:docId w15:val="{766E4F49-F708-4D8B-9BF2-B59633D9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146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9146A"/>
    <w:pPr>
      <w:tabs>
        <w:tab w:val="center" w:pos="4153"/>
        <w:tab w:val="right" w:pos="8306"/>
      </w:tabs>
    </w:pPr>
  </w:style>
  <w:style w:type="character" w:customStyle="1" w:styleId="a4">
    <w:name w:val="כותרת עליונה תו"/>
    <w:link w:val="a3"/>
    <w:rsid w:val="0059146A"/>
    <w:rPr>
      <w:rFonts w:ascii="Times New Roman" w:eastAsia="Times New Roman" w:hAnsi="Times New Roman" w:cs="David"/>
      <w:sz w:val="24"/>
      <w:szCs w:val="24"/>
    </w:rPr>
  </w:style>
  <w:style w:type="paragraph" w:styleId="a5">
    <w:name w:val="footer"/>
    <w:basedOn w:val="a"/>
    <w:link w:val="a6"/>
    <w:rsid w:val="0059146A"/>
    <w:pPr>
      <w:tabs>
        <w:tab w:val="center" w:pos="4153"/>
        <w:tab w:val="right" w:pos="8306"/>
      </w:tabs>
    </w:pPr>
  </w:style>
  <w:style w:type="character" w:customStyle="1" w:styleId="a6">
    <w:name w:val="כותרת תחתונה תו"/>
    <w:link w:val="a5"/>
    <w:rsid w:val="0059146A"/>
    <w:rPr>
      <w:rFonts w:ascii="Times New Roman" w:eastAsia="Times New Roman" w:hAnsi="Times New Roman" w:cs="David"/>
      <w:sz w:val="24"/>
      <w:szCs w:val="24"/>
    </w:rPr>
  </w:style>
  <w:style w:type="table" w:styleId="a7">
    <w:name w:val="Table Grid"/>
    <w:basedOn w:val="a1"/>
    <w:rsid w:val="0059146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9146A"/>
  </w:style>
  <w:style w:type="paragraph" w:styleId="a9">
    <w:name w:val="List Paragraph"/>
    <w:basedOn w:val="a"/>
    <w:qFormat/>
    <w:rsid w:val="0059146A"/>
    <w:pPr>
      <w:ind w:left="720"/>
      <w:contextualSpacing/>
    </w:pPr>
    <w:rPr>
      <w:rFonts w:ascii="Arial (W1)" w:hAnsi="Arial (W1)"/>
    </w:rPr>
  </w:style>
  <w:style w:type="character" w:styleId="Hyperlink">
    <w:name w:val="Hyperlink"/>
    <w:rsid w:val="00723F7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8" Type="http://schemas.openxmlformats.org/officeDocument/2006/relationships/hyperlink" Target="http://www.nevo.co.il/case/25131323"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7030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8854489"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537399"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3750765"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6252248"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2301</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13783</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3539061</vt:i4>
      </vt:variant>
      <vt:variant>
        <vt:i4>36</vt:i4>
      </vt:variant>
      <vt:variant>
        <vt:i4>0</vt:i4>
      </vt:variant>
      <vt:variant>
        <vt:i4>5</vt:i4>
      </vt:variant>
      <vt:variant>
        <vt:lpwstr>http://www.nevo.co.il/case/26252248</vt:lpwstr>
      </vt:variant>
      <vt:variant>
        <vt:lpwstr/>
      </vt:variant>
      <vt:variant>
        <vt:i4>3145841</vt:i4>
      </vt:variant>
      <vt:variant>
        <vt:i4>33</vt:i4>
      </vt:variant>
      <vt:variant>
        <vt:i4>0</vt:i4>
      </vt:variant>
      <vt:variant>
        <vt:i4>5</vt:i4>
      </vt:variant>
      <vt:variant>
        <vt:lpwstr>http://www.nevo.co.il/case/25131323</vt:lpwstr>
      </vt:variant>
      <vt:variant>
        <vt:lpwstr/>
      </vt:variant>
      <vt:variant>
        <vt:i4>7995492</vt:i4>
      </vt:variant>
      <vt:variant>
        <vt:i4>30</vt:i4>
      </vt:variant>
      <vt:variant>
        <vt:i4>0</vt:i4>
      </vt:variant>
      <vt:variant>
        <vt:i4>5</vt:i4>
      </vt:variant>
      <vt:variant>
        <vt:lpwstr>http://www.nevo.co.il/law/70301</vt:lpwstr>
      </vt:variant>
      <vt:variant>
        <vt:lpwstr/>
      </vt:variant>
      <vt:variant>
        <vt:i4>3539069</vt:i4>
      </vt:variant>
      <vt:variant>
        <vt:i4>27</vt:i4>
      </vt:variant>
      <vt:variant>
        <vt:i4>0</vt:i4>
      </vt:variant>
      <vt:variant>
        <vt:i4>5</vt:i4>
      </vt:variant>
      <vt:variant>
        <vt:lpwstr>http://www.nevo.co.il/case/28854489</vt:lpwstr>
      </vt:variant>
      <vt:variant>
        <vt:lpwstr/>
      </vt:variant>
      <vt:variant>
        <vt:i4>3342453</vt:i4>
      </vt:variant>
      <vt:variant>
        <vt:i4>24</vt:i4>
      </vt:variant>
      <vt:variant>
        <vt:i4>0</vt:i4>
      </vt:variant>
      <vt:variant>
        <vt:i4>5</vt:i4>
      </vt:variant>
      <vt:variant>
        <vt:lpwstr>http://www.nevo.co.il/case/23750765</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3735667</vt:i4>
      </vt:variant>
      <vt:variant>
        <vt:i4>12</vt:i4>
      </vt:variant>
      <vt:variant>
        <vt:i4>0</vt:i4>
      </vt:variant>
      <vt:variant>
        <vt:i4>5</vt:i4>
      </vt:variant>
      <vt:variant>
        <vt:lpwstr>http://www.nevo.co.il/case/27537399</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2025-04-23T01:18:00Z</dcterms:created>
  <dcterms:modified xsi:type="dcterms:W3CDTF">2025-04-23T01:18:00Z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30558</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יהודה אדרי</vt:lpwstr>
  </property>
  <property fmtid="{D5CDD505-2E9C-101B-9397-08002B2CF9AE}" pid="10" name="LAWYER">
    <vt:lpwstr>רועי חמדני;שאדי כבהא</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20240620</vt:lpwstr>
  </property>
  <property fmtid="{D5CDD505-2E9C-101B-9397-08002B2CF9AE}" pid="14" name="TYPE_N_DATE">
    <vt:lpwstr>38020240620</vt:lpwstr>
  </property>
  <property fmtid="{D5CDD505-2E9C-101B-9397-08002B2CF9AE}" pid="15" name="CASESLISTTMP1">
    <vt:lpwstr>27537399;23750765;28854489;25131323;26252248</vt:lpwstr>
  </property>
  <property fmtid="{D5CDD505-2E9C-101B-9397-08002B2CF9AE}" pid="16" name="WORDNUMPAGES">
    <vt:lpwstr>8</vt:lpwstr>
  </property>
  <property fmtid="{D5CDD505-2E9C-101B-9397-08002B2CF9AE}" pid="17" name="TYPE_ABS_DATE">
    <vt:lpwstr>380020240620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70301</vt:lpwstr>
  </property>
</Properties>
</file>