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F77F7D" w:rsidRPr="00015384" w14:paraId="389C007A" w14:textId="77777777" w:rsidTr="00015384">
        <w:trPr>
          <w:gridAfter w:val="1"/>
          <w:wAfter w:w="99" w:type="dxa"/>
          <w:trHeight w:hRule="exact" w:val="418"/>
          <w:jc w:val="center"/>
        </w:trPr>
        <w:tc>
          <w:tcPr>
            <w:tcW w:w="8721" w:type="dxa"/>
            <w:gridSpan w:val="4"/>
          </w:tcPr>
          <w:p w14:paraId="7E6D0D16" w14:textId="77777777" w:rsidR="00F77F7D" w:rsidRPr="00015384" w:rsidRDefault="00F77F7D" w:rsidP="00BE09C9">
            <w:pPr>
              <w:pStyle w:val="a3"/>
              <w:jc w:val="center"/>
              <w:rPr>
                <w:rFonts w:ascii="Tahoma" w:hAnsi="Tahoma"/>
                <w:color w:val="000080"/>
                <w:rtl/>
              </w:rPr>
            </w:pPr>
            <w:bookmarkStart w:id="0" w:name="LastJudge"/>
            <w:r w:rsidRPr="00015384">
              <w:rPr>
                <w:rFonts w:ascii="Tahoma" w:hAnsi="Tahoma"/>
                <w:b/>
                <w:bCs/>
                <w:color w:val="000080"/>
                <w:rtl/>
              </w:rPr>
              <w:t>בית משפט השלום בירושלים</w:t>
            </w:r>
          </w:p>
        </w:tc>
      </w:tr>
      <w:tr w:rsidR="00F77F7D" w:rsidRPr="00015384" w14:paraId="6B76AA45" w14:textId="77777777" w:rsidTr="00015384">
        <w:trPr>
          <w:gridAfter w:val="1"/>
          <w:wAfter w:w="99" w:type="dxa"/>
          <w:trHeight w:val="337"/>
          <w:jc w:val="center"/>
        </w:trPr>
        <w:tc>
          <w:tcPr>
            <w:tcW w:w="5058" w:type="dxa"/>
            <w:gridSpan w:val="3"/>
          </w:tcPr>
          <w:p w14:paraId="53CB08FC" w14:textId="77777777" w:rsidR="00F77F7D" w:rsidRPr="00015384" w:rsidRDefault="00F77F7D" w:rsidP="00BE09C9">
            <w:pPr>
              <w:rPr>
                <w:sz w:val="28"/>
                <w:szCs w:val="28"/>
                <w:rtl/>
              </w:rPr>
            </w:pPr>
            <w:r w:rsidRPr="00015384">
              <w:rPr>
                <w:sz w:val="28"/>
                <w:szCs w:val="28"/>
                <w:rtl/>
              </w:rPr>
              <w:t>ת"פ</w:t>
            </w:r>
            <w:r w:rsidRPr="00015384">
              <w:rPr>
                <w:rFonts w:hint="cs"/>
                <w:sz w:val="28"/>
                <w:szCs w:val="28"/>
                <w:rtl/>
              </w:rPr>
              <w:t xml:space="preserve"> </w:t>
            </w:r>
            <w:r w:rsidRPr="00015384">
              <w:rPr>
                <w:sz w:val="28"/>
                <w:szCs w:val="28"/>
                <w:rtl/>
              </w:rPr>
              <w:t>41970-12-21</w:t>
            </w:r>
            <w:r w:rsidRPr="00015384">
              <w:rPr>
                <w:rFonts w:hint="cs"/>
                <w:sz w:val="28"/>
                <w:szCs w:val="28"/>
                <w:rtl/>
              </w:rPr>
              <w:t xml:space="preserve"> </w:t>
            </w:r>
            <w:r w:rsidRPr="00015384">
              <w:rPr>
                <w:sz w:val="28"/>
                <w:szCs w:val="28"/>
                <w:rtl/>
              </w:rPr>
              <w:t>מדינת ישראל נ' חגאב(עציר)</w:t>
            </w:r>
          </w:p>
          <w:p w14:paraId="2F247C05" w14:textId="77777777" w:rsidR="00F77F7D" w:rsidRPr="00015384" w:rsidRDefault="00F77F7D" w:rsidP="00BE09C9">
            <w:pPr>
              <w:pStyle w:val="a3"/>
              <w:rPr>
                <w:sz w:val="28"/>
                <w:szCs w:val="28"/>
                <w:rtl/>
              </w:rPr>
            </w:pPr>
          </w:p>
        </w:tc>
        <w:tc>
          <w:tcPr>
            <w:tcW w:w="3663" w:type="dxa"/>
          </w:tcPr>
          <w:p w14:paraId="25B6A8CE" w14:textId="77777777" w:rsidR="00F77F7D" w:rsidRPr="00015384" w:rsidRDefault="00F77F7D" w:rsidP="00BE09C9">
            <w:pPr>
              <w:pStyle w:val="a3"/>
              <w:jc w:val="right"/>
              <w:rPr>
                <w:sz w:val="28"/>
                <w:szCs w:val="28"/>
                <w:rtl/>
              </w:rPr>
            </w:pPr>
          </w:p>
        </w:tc>
      </w:tr>
      <w:tr w:rsidR="00F77F7D" w:rsidRPr="00015384" w14:paraId="663D8C57" w14:textId="77777777" w:rsidTr="000153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26F0530" w14:textId="77777777" w:rsidR="00F77F7D" w:rsidRPr="00015384" w:rsidRDefault="00F77F7D" w:rsidP="00F77F7D">
            <w:pPr>
              <w:jc w:val="both"/>
              <w:rPr>
                <w:rFonts w:ascii="David" w:hAnsi="David"/>
                <w:sz w:val="26"/>
                <w:szCs w:val="26"/>
              </w:rPr>
            </w:pPr>
            <w:r w:rsidRPr="00015384">
              <w:rPr>
                <w:rFonts w:hint="cs"/>
                <w:rtl/>
              </w:rPr>
              <w:t xml:space="preserve"> </w:t>
            </w:r>
            <w:r w:rsidRPr="0001538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826E079" w14:textId="77777777" w:rsidR="00F77F7D" w:rsidRPr="00015384" w:rsidRDefault="00F77F7D" w:rsidP="00BE09C9">
            <w:pPr>
              <w:rPr>
                <w:rFonts w:ascii="David" w:hAnsi="David"/>
                <w:b/>
                <w:bCs/>
                <w:sz w:val="26"/>
                <w:szCs w:val="26"/>
                <w:rtl/>
              </w:rPr>
            </w:pPr>
            <w:r w:rsidRPr="00015384">
              <w:rPr>
                <w:rFonts w:ascii="David" w:hAnsi="David"/>
                <w:b/>
                <w:bCs/>
                <w:sz w:val="26"/>
                <w:szCs w:val="26"/>
                <w:rtl/>
              </w:rPr>
              <w:t>כבוד הנשיא  שמואל הרבסט</w:t>
            </w:r>
          </w:p>
          <w:p w14:paraId="467E5A39" w14:textId="77777777" w:rsidR="00F77F7D" w:rsidRPr="00015384" w:rsidRDefault="00F77F7D" w:rsidP="00BE09C9">
            <w:pPr>
              <w:rPr>
                <w:rFonts w:ascii="David" w:hAnsi="David"/>
                <w:sz w:val="26"/>
                <w:szCs w:val="26"/>
                <w:rtl/>
              </w:rPr>
            </w:pPr>
          </w:p>
          <w:p w14:paraId="7858157E" w14:textId="77777777" w:rsidR="00F77F7D" w:rsidRPr="00015384" w:rsidRDefault="00F77F7D" w:rsidP="00F77F7D">
            <w:pPr>
              <w:jc w:val="both"/>
              <w:rPr>
                <w:rFonts w:ascii="David" w:hAnsi="David"/>
                <w:sz w:val="26"/>
                <w:szCs w:val="26"/>
              </w:rPr>
            </w:pPr>
          </w:p>
        </w:tc>
      </w:tr>
      <w:tr w:rsidR="00F77F7D" w:rsidRPr="00015384" w14:paraId="6D8A2FDB" w14:textId="77777777" w:rsidTr="000153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3DD253" w14:textId="77777777" w:rsidR="00F77F7D" w:rsidRPr="00015384" w:rsidRDefault="00F77F7D" w:rsidP="00F77F7D">
            <w:pPr>
              <w:jc w:val="both"/>
              <w:rPr>
                <w:rFonts w:ascii="David" w:hAnsi="David"/>
                <w:sz w:val="26"/>
                <w:szCs w:val="26"/>
              </w:rPr>
            </w:pPr>
            <w:bookmarkStart w:id="1" w:name="FirstAppellant"/>
            <w:r w:rsidRPr="00015384">
              <w:rPr>
                <w:rFonts w:ascii="David" w:hAnsi="David"/>
                <w:sz w:val="26"/>
                <w:szCs w:val="26"/>
                <w:rtl/>
              </w:rPr>
              <w:t>בעניין:</w:t>
            </w:r>
          </w:p>
        </w:tc>
        <w:tc>
          <w:tcPr>
            <w:tcW w:w="3219" w:type="dxa"/>
            <w:tcBorders>
              <w:top w:val="nil"/>
              <w:left w:val="nil"/>
              <w:bottom w:val="nil"/>
              <w:right w:val="nil"/>
            </w:tcBorders>
            <w:shd w:val="clear" w:color="auto" w:fill="auto"/>
          </w:tcPr>
          <w:p w14:paraId="78BAA97E" w14:textId="77777777" w:rsidR="00F77F7D" w:rsidRPr="00015384" w:rsidRDefault="00F77F7D" w:rsidP="00F77F7D">
            <w:pPr>
              <w:suppressLineNumbers/>
            </w:pPr>
            <w:r w:rsidRPr="00015384">
              <w:rPr>
                <w:rFonts w:ascii="Arial" w:hAnsi="Arial" w:hint="cs"/>
                <w:b/>
                <w:bCs/>
                <w:sz w:val="26"/>
                <w:szCs w:val="26"/>
                <w:rtl/>
              </w:rPr>
              <w:t>ה</w:t>
            </w:r>
            <w:r w:rsidRPr="00015384">
              <w:rPr>
                <w:rFonts w:ascii="Arial" w:hAnsi="Arial"/>
                <w:b/>
                <w:bCs/>
                <w:sz w:val="26"/>
                <w:szCs w:val="26"/>
                <w:rtl/>
              </w:rPr>
              <w:t>מאשימה</w:t>
            </w:r>
          </w:p>
          <w:p w14:paraId="2C0543D5" w14:textId="77777777" w:rsidR="00F77F7D" w:rsidRPr="00015384" w:rsidRDefault="00F77F7D" w:rsidP="00BE09C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107FBFF" w14:textId="77777777" w:rsidR="00F77F7D" w:rsidRPr="00015384" w:rsidRDefault="00F77F7D" w:rsidP="00F77F7D">
            <w:pPr>
              <w:suppressLineNumbers/>
            </w:pPr>
            <w:r w:rsidRPr="00015384">
              <w:rPr>
                <w:rFonts w:ascii="Arial" w:hAnsi="Arial"/>
                <w:b/>
                <w:bCs/>
                <w:sz w:val="26"/>
                <w:szCs w:val="26"/>
                <w:rtl/>
              </w:rPr>
              <w:br/>
            </w:r>
            <w:r w:rsidRPr="00015384">
              <w:rPr>
                <w:rFonts w:ascii="Arial" w:hAnsi="Arial"/>
                <w:b/>
                <w:bCs/>
                <w:sz w:val="26"/>
                <w:szCs w:val="26"/>
                <w:rtl/>
              </w:rPr>
              <w:br/>
              <w:t>מדינת ישראל</w:t>
            </w:r>
            <w:r w:rsidRPr="00015384">
              <w:rPr>
                <w:rFonts w:ascii="Arial" w:hAnsi="Arial" w:hint="cs"/>
                <w:b/>
                <w:bCs/>
                <w:sz w:val="26"/>
                <w:szCs w:val="26"/>
                <w:rtl/>
              </w:rPr>
              <w:t xml:space="preserve"> </w:t>
            </w:r>
            <w:r w:rsidRPr="00015384">
              <w:rPr>
                <w:rFonts w:ascii="Arial" w:hAnsi="Arial"/>
                <w:b/>
                <w:bCs/>
                <w:sz w:val="26"/>
                <w:szCs w:val="26"/>
                <w:rtl/>
              </w:rPr>
              <w:t xml:space="preserve">ע"י </w:t>
            </w:r>
            <w:r w:rsidRPr="00015384">
              <w:rPr>
                <w:rFonts w:ascii="Arial" w:hAnsi="Arial" w:hint="cs"/>
                <w:b/>
                <w:bCs/>
                <w:sz w:val="26"/>
                <w:szCs w:val="26"/>
                <w:rtl/>
              </w:rPr>
              <w:t>ענף תביעות ירושלים</w:t>
            </w:r>
          </w:p>
          <w:p w14:paraId="0A5B59A1" w14:textId="77777777" w:rsidR="00F77F7D" w:rsidRPr="00015384" w:rsidRDefault="00F77F7D" w:rsidP="00BE09C9">
            <w:pPr>
              <w:rPr>
                <w:rFonts w:ascii="David" w:hAnsi="David"/>
                <w:sz w:val="26"/>
                <w:szCs w:val="26"/>
              </w:rPr>
            </w:pPr>
          </w:p>
        </w:tc>
      </w:tr>
      <w:bookmarkEnd w:id="1"/>
      <w:tr w:rsidR="00F77F7D" w:rsidRPr="00015384" w14:paraId="5693F18B" w14:textId="77777777" w:rsidTr="000153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5AD181" w14:textId="77777777" w:rsidR="00F77F7D" w:rsidRPr="00015384" w:rsidRDefault="00F77F7D" w:rsidP="00F77F7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C241FE6" w14:textId="77777777" w:rsidR="00F77F7D" w:rsidRPr="00015384" w:rsidRDefault="00F77F7D" w:rsidP="00F77F7D">
            <w:pPr>
              <w:jc w:val="center"/>
              <w:rPr>
                <w:rFonts w:ascii="David" w:hAnsi="David"/>
                <w:b/>
                <w:bCs/>
                <w:sz w:val="26"/>
                <w:szCs w:val="26"/>
                <w:rtl/>
              </w:rPr>
            </w:pPr>
          </w:p>
          <w:p w14:paraId="70E892D1" w14:textId="77777777" w:rsidR="00F77F7D" w:rsidRPr="00015384" w:rsidRDefault="00F77F7D" w:rsidP="00F77F7D">
            <w:pPr>
              <w:jc w:val="center"/>
              <w:rPr>
                <w:rFonts w:ascii="David" w:hAnsi="David"/>
                <w:b/>
                <w:bCs/>
                <w:sz w:val="26"/>
                <w:szCs w:val="26"/>
                <w:rtl/>
              </w:rPr>
            </w:pPr>
            <w:r w:rsidRPr="00015384">
              <w:rPr>
                <w:rFonts w:ascii="David" w:hAnsi="David"/>
                <w:b/>
                <w:bCs/>
                <w:sz w:val="26"/>
                <w:szCs w:val="26"/>
                <w:rtl/>
              </w:rPr>
              <w:t>נגד</w:t>
            </w:r>
          </w:p>
          <w:p w14:paraId="25555B15" w14:textId="77777777" w:rsidR="00F77F7D" w:rsidRPr="00015384" w:rsidRDefault="00F77F7D" w:rsidP="00F77F7D">
            <w:pPr>
              <w:jc w:val="both"/>
              <w:rPr>
                <w:rFonts w:ascii="David" w:hAnsi="David"/>
                <w:sz w:val="26"/>
                <w:szCs w:val="26"/>
              </w:rPr>
            </w:pPr>
          </w:p>
        </w:tc>
      </w:tr>
      <w:tr w:rsidR="00F77F7D" w:rsidRPr="00015384" w14:paraId="627257F4" w14:textId="77777777" w:rsidTr="000153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A65530" w14:textId="77777777" w:rsidR="00F77F7D" w:rsidRPr="00015384" w:rsidRDefault="00F77F7D" w:rsidP="00BE09C9">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C1ED74B" w14:textId="77777777" w:rsidR="00F77F7D" w:rsidRPr="00015384" w:rsidRDefault="00F77F7D" w:rsidP="00BE09C9">
            <w:pPr>
              <w:rPr>
                <w:rFonts w:ascii="Arial" w:hAnsi="Arial"/>
                <w:b/>
                <w:bCs/>
                <w:sz w:val="26"/>
                <w:szCs w:val="26"/>
                <w:rtl/>
              </w:rPr>
            </w:pPr>
            <w:r w:rsidRPr="0001538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63655AD" w14:textId="77777777" w:rsidR="00F77F7D" w:rsidRPr="00015384" w:rsidRDefault="00F77F7D" w:rsidP="00F77F7D">
            <w:pPr>
              <w:suppressLineNumbers/>
            </w:pPr>
            <w:r w:rsidRPr="00015384">
              <w:rPr>
                <w:rFonts w:ascii="Arial" w:hAnsi="Arial"/>
                <w:b/>
                <w:bCs/>
                <w:sz w:val="26"/>
                <w:szCs w:val="26"/>
                <w:rtl/>
              </w:rPr>
              <w:br/>
            </w:r>
            <w:r w:rsidRPr="00015384">
              <w:rPr>
                <w:rFonts w:ascii="Arial" w:hAnsi="Arial"/>
                <w:b/>
                <w:bCs/>
                <w:sz w:val="26"/>
                <w:szCs w:val="26"/>
                <w:rtl/>
              </w:rPr>
              <w:br/>
              <w:t>עומר חגאב (עציר)</w:t>
            </w:r>
            <w:r w:rsidRPr="00015384">
              <w:rPr>
                <w:rFonts w:ascii="Arial" w:hAnsi="Arial" w:hint="cs"/>
                <w:b/>
                <w:bCs/>
                <w:sz w:val="26"/>
                <w:szCs w:val="26"/>
                <w:rtl/>
              </w:rPr>
              <w:t xml:space="preserve"> </w:t>
            </w:r>
            <w:r w:rsidRPr="00015384">
              <w:rPr>
                <w:rFonts w:ascii="Arial" w:hAnsi="Arial"/>
                <w:b/>
                <w:bCs/>
                <w:sz w:val="26"/>
                <w:szCs w:val="26"/>
                <w:rtl/>
              </w:rPr>
              <w:t>ע"י ב"כ עוה"ד</w:t>
            </w:r>
            <w:r w:rsidRPr="00015384">
              <w:rPr>
                <w:rFonts w:hint="cs"/>
                <w:rtl/>
              </w:rPr>
              <w:t xml:space="preserve"> מונא שיח'</w:t>
            </w:r>
          </w:p>
          <w:p w14:paraId="2D81AA63" w14:textId="77777777" w:rsidR="00F77F7D" w:rsidRPr="00015384" w:rsidRDefault="00F77F7D" w:rsidP="00BE09C9">
            <w:pPr>
              <w:rPr>
                <w:rFonts w:ascii="David" w:hAnsi="David"/>
                <w:sz w:val="26"/>
                <w:szCs w:val="26"/>
              </w:rPr>
            </w:pPr>
          </w:p>
        </w:tc>
      </w:tr>
      <w:bookmarkEnd w:id="2"/>
    </w:tbl>
    <w:p w14:paraId="57A50A20" w14:textId="77777777" w:rsidR="00015384" w:rsidRDefault="00015384" w:rsidP="001E5873">
      <w:pPr>
        <w:rPr>
          <w:sz w:val="26"/>
          <w:szCs w:val="26"/>
          <w:rtl/>
        </w:rPr>
      </w:pPr>
    </w:p>
    <w:p w14:paraId="71824956" w14:textId="77777777" w:rsidR="00015384" w:rsidRPr="00015384" w:rsidRDefault="00015384" w:rsidP="00015384">
      <w:pPr>
        <w:spacing w:after="120" w:line="240" w:lineRule="exact"/>
        <w:ind w:left="283" w:hanging="283"/>
        <w:jc w:val="both"/>
        <w:rPr>
          <w:rFonts w:ascii="FrankRuehl" w:hAnsi="FrankRuehl" w:cs="FrankRuehl"/>
          <w:rtl/>
        </w:rPr>
      </w:pPr>
    </w:p>
    <w:p w14:paraId="2E444EAC" w14:textId="77777777" w:rsidR="00230491" w:rsidRPr="00230491" w:rsidRDefault="00230491" w:rsidP="00230491">
      <w:pPr>
        <w:spacing w:before="120" w:after="120" w:line="240" w:lineRule="exact"/>
        <w:ind w:left="283" w:hanging="283"/>
        <w:jc w:val="both"/>
        <w:rPr>
          <w:rFonts w:ascii="FrankRuehl" w:hAnsi="FrankRuehl" w:cs="FrankRuehl"/>
          <w:rtl/>
        </w:rPr>
      </w:pPr>
    </w:p>
    <w:p w14:paraId="0D8ADBA7" w14:textId="77777777" w:rsidR="005B6091" w:rsidRDefault="005B6091" w:rsidP="005B6091">
      <w:pPr>
        <w:rPr>
          <w:sz w:val="26"/>
          <w:szCs w:val="26"/>
          <w:rtl/>
        </w:rPr>
      </w:pPr>
      <w:bookmarkStart w:id="3" w:name="LawTable"/>
      <w:bookmarkEnd w:id="3"/>
    </w:p>
    <w:p w14:paraId="23194DDE" w14:textId="77777777" w:rsidR="005B6091" w:rsidRPr="005B6091" w:rsidRDefault="005B6091" w:rsidP="005B6091">
      <w:pPr>
        <w:spacing w:before="120" w:after="120" w:line="240" w:lineRule="exact"/>
        <w:ind w:left="283" w:hanging="283"/>
        <w:jc w:val="both"/>
        <w:rPr>
          <w:rFonts w:ascii="FrankRuehl" w:hAnsi="FrankRuehl" w:cs="FrankRuehl"/>
          <w:rtl/>
        </w:rPr>
      </w:pPr>
    </w:p>
    <w:p w14:paraId="1CCCF9F8" w14:textId="77777777" w:rsidR="005B6091" w:rsidRPr="005B6091" w:rsidRDefault="005B6091" w:rsidP="005B6091">
      <w:pPr>
        <w:spacing w:before="120" w:after="120" w:line="240" w:lineRule="exact"/>
        <w:ind w:left="283" w:hanging="283"/>
        <w:jc w:val="both"/>
        <w:rPr>
          <w:rFonts w:ascii="FrankRuehl" w:hAnsi="FrankRuehl" w:cs="FrankRuehl"/>
          <w:rtl/>
        </w:rPr>
      </w:pPr>
    </w:p>
    <w:p w14:paraId="7E9E5B08" w14:textId="77777777" w:rsidR="005B6091" w:rsidRPr="005B6091" w:rsidRDefault="005B6091" w:rsidP="005B6091">
      <w:pPr>
        <w:spacing w:before="120" w:after="120" w:line="240" w:lineRule="exact"/>
        <w:ind w:left="283" w:hanging="283"/>
        <w:jc w:val="both"/>
        <w:rPr>
          <w:rFonts w:ascii="FrankRuehl" w:hAnsi="FrankRuehl" w:cs="FrankRuehl"/>
          <w:rtl/>
        </w:rPr>
      </w:pPr>
      <w:r w:rsidRPr="005B6091">
        <w:rPr>
          <w:rFonts w:ascii="FrankRuehl" w:hAnsi="FrankRuehl" w:cs="FrankRuehl"/>
          <w:rtl/>
        </w:rPr>
        <w:t xml:space="preserve">חקיקה שאוזכרה: </w:t>
      </w:r>
    </w:p>
    <w:p w14:paraId="1C174E19" w14:textId="77777777" w:rsidR="005B6091" w:rsidRPr="005B6091" w:rsidRDefault="005B6091" w:rsidP="005B6091">
      <w:pPr>
        <w:spacing w:before="120" w:after="120" w:line="240" w:lineRule="exact"/>
        <w:ind w:left="283" w:hanging="283"/>
        <w:jc w:val="both"/>
        <w:rPr>
          <w:rFonts w:ascii="FrankRuehl" w:hAnsi="FrankRuehl" w:cs="FrankRuehl"/>
          <w:rtl/>
        </w:rPr>
      </w:pPr>
      <w:hyperlink r:id="rId7" w:history="1">
        <w:r w:rsidRPr="005B6091">
          <w:rPr>
            <w:rFonts w:ascii="FrankRuehl" w:hAnsi="FrankRuehl" w:cs="FrankRuehl"/>
            <w:color w:val="0000FF"/>
            <w:rtl/>
          </w:rPr>
          <w:t>חוק העונשין, תשל"ז-1977</w:t>
        </w:r>
      </w:hyperlink>
      <w:r w:rsidRPr="005B6091">
        <w:rPr>
          <w:rFonts w:ascii="FrankRuehl" w:hAnsi="FrankRuehl" w:cs="FrankRuehl"/>
          <w:rtl/>
        </w:rPr>
        <w:t xml:space="preserve">: סע'  </w:t>
      </w:r>
      <w:hyperlink r:id="rId8" w:history="1">
        <w:r w:rsidRPr="005B6091">
          <w:rPr>
            <w:rFonts w:ascii="FrankRuehl" w:hAnsi="FrankRuehl" w:cs="FrankRuehl"/>
            <w:color w:val="0000FF"/>
            <w:rtl/>
          </w:rPr>
          <w:t>40(ב)(1)</w:t>
        </w:r>
      </w:hyperlink>
      <w:r w:rsidRPr="005B6091">
        <w:rPr>
          <w:rFonts w:ascii="FrankRuehl" w:hAnsi="FrankRuehl" w:cs="FrankRuehl"/>
          <w:rtl/>
        </w:rPr>
        <w:t xml:space="preserve">, </w:t>
      </w:r>
      <w:hyperlink r:id="rId9" w:history="1">
        <w:r w:rsidRPr="005B6091">
          <w:rPr>
            <w:rFonts w:ascii="FrankRuehl" w:hAnsi="FrankRuehl" w:cs="FrankRuehl"/>
            <w:color w:val="0000FF"/>
            <w:rtl/>
          </w:rPr>
          <w:t>384</w:t>
        </w:r>
      </w:hyperlink>
      <w:r w:rsidRPr="005B6091">
        <w:rPr>
          <w:rFonts w:ascii="FrankRuehl" w:hAnsi="FrankRuehl" w:cs="FrankRuehl"/>
          <w:rtl/>
        </w:rPr>
        <w:t xml:space="preserve">, </w:t>
      </w:r>
      <w:hyperlink r:id="rId10" w:history="1">
        <w:r w:rsidRPr="005B6091">
          <w:rPr>
            <w:rFonts w:ascii="FrankRuehl" w:hAnsi="FrankRuehl" w:cs="FrankRuehl"/>
            <w:color w:val="0000FF"/>
            <w:rtl/>
          </w:rPr>
          <w:t>406(ב)</w:t>
        </w:r>
      </w:hyperlink>
      <w:r w:rsidRPr="005B6091">
        <w:rPr>
          <w:rFonts w:ascii="FrankRuehl" w:hAnsi="FrankRuehl" w:cs="FrankRuehl"/>
          <w:rtl/>
        </w:rPr>
        <w:t xml:space="preserve">, </w:t>
      </w:r>
      <w:hyperlink r:id="rId11" w:history="1">
        <w:r w:rsidRPr="005B6091">
          <w:rPr>
            <w:rFonts w:ascii="FrankRuehl" w:hAnsi="FrankRuehl" w:cs="FrankRuehl"/>
            <w:color w:val="0000FF"/>
            <w:rtl/>
          </w:rPr>
          <w:t>407(א)</w:t>
        </w:r>
      </w:hyperlink>
      <w:r w:rsidRPr="005B6091">
        <w:rPr>
          <w:rFonts w:ascii="FrankRuehl" w:hAnsi="FrankRuehl" w:cs="FrankRuehl"/>
          <w:rtl/>
        </w:rPr>
        <w:t xml:space="preserve">, </w:t>
      </w:r>
      <w:hyperlink r:id="rId12" w:history="1">
        <w:r w:rsidRPr="005B6091">
          <w:rPr>
            <w:rFonts w:ascii="FrankRuehl" w:hAnsi="FrankRuehl" w:cs="FrankRuehl"/>
            <w:color w:val="0000FF"/>
            <w:rtl/>
          </w:rPr>
          <w:t>413ד(א)</w:t>
        </w:r>
      </w:hyperlink>
      <w:r w:rsidRPr="005B6091">
        <w:rPr>
          <w:rFonts w:ascii="FrankRuehl" w:hAnsi="FrankRuehl" w:cs="FrankRuehl"/>
          <w:rtl/>
        </w:rPr>
        <w:t xml:space="preserve">, </w:t>
      </w:r>
      <w:hyperlink r:id="rId13" w:history="1">
        <w:r w:rsidRPr="005B6091">
          <w:rPr>
            <w:rFonts w:ascii="FrankRuehl" w:hAnsi="FrankRuehl" w:cs="FrankRuehl"/>
            <w:color w:val="0000FF"/>
            <w:rtl/>
          </w:rPr>
          <w:t>413ו</w:t>
        </w:r>
      </w:hyperlink>
    </w:p>
    <w:p w14:paraId="451BE93A" w14:textId="77777777" w:rsidR="005B6091" w:rsidRPr="005B6091" w:rsidRDefault="005B6091" w:rsidP="005B6091">
      <w:pPr>
        <w:spacing w:before="120" w:after="120" w:line="240" w:lineRule="exact"/>
        <w:ind w:left="283" w:hanging="283"/>
        <w:jc w:val="both"/>
        <w:rPr>
          <w:rFonts w:ascii="FrankRuehl" w:hAnsi="FrankRuehl" w:cs="FrankRuehl"/>
          <w:rtl/>
        </w:rPr>
      </w:pPr>
      <w:hyperlink r:id="rId14" w:history="1">
        <w:r w:rsidRPr="005B6091">
          <w:rPr>
            <w:rFonts w:ascii="FrankRuehl" w:hAnsi="FrankRuehl" w:cs="FrankRuehl"/>
            <w:color w:val="0000FF"/>
            <w:rtl/>
          </w:rPr>
          <w:t>חוק שירותי תשלום, תשע"ט-2019</w:t>
        </w:r>
      </w:hyperlink>
      <w:r w:rsidRPr="005B6091">
        <w:rPr>
          <w:rFonts w:ascii="FrankRuehl" w:hAnsi="FrankRuehl" w:cs="FrankRuehl"/>
          <w:rtl/>
        </w:rPr>
        <w:t xml:space="preserve">: סע'  </w:t>
      </w:r>
      <w:hyperlink r:id="rId15" w:history="1">
        <w:r w:rsidRPr="005B6091">
          <w:rPr>
            <w:rFonts w:ascii="FrankRuehl" w:hAnsi="FrankRuehl" w:cs="FrankRuehl"/>
            <w:color w:val="0000FF"/>
            <w:rtl/>
          </w:rPr>
          <w:t>40(ב)(2)</w:t>
        </w:r>
      </w:hyperlink>
    </w:p>
    <w:p w14:paraId="5ACF2F3C" w14:textId="77777777" w:rsidR="005B6091" w:rsidRPr="005B6091" w:rsidRDefault="005B6091" w:rsidP="005B6091">
      <w:pPr>
        <w:spacing w:before="120" w:after="120" w:line="240" w:lineRule="exact"/>
        <w:ind w:left="283" w:hanging="283"/>
        <w:jc w:val="both"/>
        <w:rPr>
          <w:rFonts w:ascii="FrankRuehl" w:hAnsi="FrankRuehl" w:cs="FrankRuehl"/>
          <w:rtl/>
        </w:rPr>
      </w:pPr>
      <w:hyperlink r:id="rId16" w:history="1">
        <w:r w:rsidRPr="005B6091">
          <w:rPr>
            <w:rFonts w:ascii="FrankRuehl" w:hAnsi="FrankRuehl" w:cs="FrankRuehl"/>
            <w:color w:val="0000FF"/>
            <w:rtl/>
          </w:rPr>
          <w:t>פקודת הסמים המסוכנים [נוסח חדש], תשל"ג-1973</w:t>
        </w:r>
      </w:hyperlink>
      <w:r w:rsidRPr="005B6091">
        <w:rPr>
          <w:rFonts w:ascii="FrankRuehl" w:hAnsi="FrankRuehl" w:cs="FrankRuehl"/>
          <w:rtl/>
        </w:rPr>
        <w:t xml:space="preserve">: סע'  </w:t>
      </w:r>
      <w:hyperlink r:id="rId17" w:history="1">
        <w:r w:rsidRPr="005B6091">
          <w:rPr>
            <w:rFonts w:ascii="FrankRuehl" w:hAnsi="FrankRuehl" w:cs="FrankRuehl"/>
            <w:color w:val="0000FF"/>
            <w:rtl/>
          </w:rPr>
          <w:t>7.א.</w:t>
        </w:r>
      </w:hyperlink>
      <w:r w:rsidRPr="005B6091">
        <w:rPr>
          <w:rFonts w:ascii="FrankRuehl" w:hAnsi="FrankRuehl" w:cs="FrankRuehl"/>
          <w:rtl/>
        </w:rPr>
        <w:t xml:space="preserve">, </w:t>
      </w:r>
      <w:hyperlink r:id="rId18" w:history="1">
        <w:r w:rsidRPr="005B6091">
          <w:rPr>
            <w:rFonts w:ascii="FrankRuehl" w:hAnsi="FrankRuehl" w:cs="FrankRuehl"/>
            <w:color w:val="0000FF"/>
            <w:rtl/>
          </w:rPr>
          <w:t>7.ג</w:t>
        </w:r>
      </w:hyperlink>
    </w:p>
    <w:p w14:paraId="5953F07B" w14:textId="77777777" w:rsidR="005B6091" w:rsidRPr="005B6091" w:rsidRDefault="005B6091" w:rsidP="005B6091">
      <w:pPr>
        <w:rPr>
          <w:sz w:val="26"/>
          <w:szCs w:val="26"/>
          <w:rtl/>
        </w:rPr>
      </w:pPr>
      <w:bookmarkStart w:id="4" w:name="LawTable_End"/>
      <w:bookmarkEnd w:id="4"/>
    </w:p>
    <w:p w14:paraId="043D76CE" w14:textId="77777777" w:rsidR="00F77F7D" w:rsidRPr="00230491" w:rsidRDefault="00F77F7D" w:rsidP="0023049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7F7D" w:rsidRPr="00015384" w14:paraId="4420118E" w14:textId="77777777" w:rsidTr="00F77F7D">
        <w:trPr>
          <w:trHeight w:val="355"/>
          <w:jc w:val="center"/>
        </w:trPr>
        <w:tc>
          <w:tcPr>
            <w:tcW w:w="8820" w:type="dxa"/>
            <w:tcBorders>
              <w:top w:val="nil"/>
              <w:left w:val="nil"/>
              <w:bottom w:val="nil"/>
              <w:right w:val="nil"/>
            </w:tcBorders>
            <w:shd w:val="clear" w:color="auto" w:fill="auto"/>
          </w:tcPr>
          <w:p w14:paraId="45036153" w14:textId="77777777" w:rsidR="001E5873" w:rsidRPr="00015384" w:rsidRDefault="001E5873" w:rsidP="001E5873">
            <w:pPr>
              <w:jc w:val="center"/>
              <w:rPr>
                <w:rFonts w:ascii="David" w:hAnsi="David"/>
                <w:b/>
                <w:bCs/>
                <w:sz w:val="32"/>
                <w:szCs w:val="32"/>
                <w:u w:val="single"/>
                <w:rtl/>
              </w:rPr>
            </w:pPr>
            <w:bookmarkStart w:id="5" w:name="PsakDin" w:colFirst="0" w:colLast="0"/>
            <w:bookmarkEnd w:id="0"/>
            <w:r w:rsidRPr="00015384">
              <w:rPr>
                <w:rFonts w:ascii="David" w:hAnsi="David"/>
                <w:b/>
                <w:bCs/>
                <w:sz w:val="32"/>
                <w:szCs w:val="32"/>
                <w:u w:val="single"/>
                <w:rtl/>
              </w:rPr>
              <w:t>גזר דין</w:t>
            </w:r>
          </w:p>
          <w:p w14:paraId="2DB9989A" w14:textId="77777777" w:rsidR="00F77F7D" w:rsidRPr="00015384" w:rsidRDefault="00F77F7D" w:rsidP="001E5873">
            <w:pPr>
              <w:jc w:val="center"/>
              <w:rPr>
                <w:rFonts w:ascii="David" w:hAnsi="David"/>
                <w:bCs/>
                <w:sz w:val="32"/>
                <w:szCs w:val="32"/>
                <w:u w:val="single"/>
                <w:rtl/>
              </w:rPr>
            </w:pPr>
          </w:p>
        </w:tc>
      </w:tr>
      <w:bookmarkEnd w:id="5"/>
    </w:tbl>
    <w:p w14:paraId="1D4E449D" w14:textId="77777777" w:rsidR="00F77F7D" w:rsidRPr="00015384" w:rsidRDefault="00F77F7D" w:rsidP="00F77F7D">
      <w:pPr>
        <w:rPr>
          <w:rFonts w:ascii="Arial" w:hAnsi="Arial"/>
          <w:b/>
          <w:bCs/>
          <w:sz w:val="26"/>
          <w:szCs w:val="26"/>
          <w:rtl/>
        </w:rPr>
      </w:pPr>
    </w:p>
    <w:p w14:paraId="5EAAEE36" w14:textId="77777777" w:rsidR="00F77F7D" w:rsidRPr="00015384" w:rsidRDefault="00F77F7D" w:rsidP="00F77F7D">
      <w:pPr>
        <w:spacing w:line="360" w:lineRule="auto"/>
        <w:jc w:val="both"/>
        <w:rPr>
          <w:rFonts w:ascii="David" w:hAnsi="David"/>
          <w:b/>
          <w:bCs/>
          <w:u w:val="single"/>
          <w:rtl/>
        </w:rPr>
      </w:pPr>
    </w:p>
    <w:p w14:paraId="5E8169C7" w14:textId="77777777" w:rsidR="00F77F7D" w:rsidRPr="00015384" w:rsidRDefault="00F77F7D" w:rsidP="00F77F7D">
      <w:pPr>
        <w:spacing w:line="360" w:lineRule="auto"/>
        <w:jc w:val="both"/>
        <w:rPr>
          <w:rFonts w:ascii="David" w:hAnsi="David"/>
          <w:b/>
          <w:bCs/>
          <w:u w:val="single"/>
        </w:rPr>
      </w:pPr>
      <w:r w:rsidRPr="00015384">
        <w:rPr>
          <w:rFonts w:ascii="David" w:hAnsi="David"/>
          <w:b/>
          <w:bCs/>
          <w:u w:val="single"/>
          <w:rtl/>
        </w:rPr>
        <w:t>כתבי האישום והסדר הטיעון</w:t>
      </w:r>
    </w:p>
    <w:p w14:paraId="25C3E12B" w14:textId="77777777" w:rsidR="00F77F7D" w:rsidRPr="00015384" w:rsidRDefault="00F77F7D" w:rsidP="00F77F7D">
      <w:pPr>
        <w:spacing w:line="360" w:lineRule="auto"/>
        <w:jc w:val="both"/>
        <w:rPr>
          <w:rFonts w:ascii="David" w:hAnsi="David"/>
          <w:rtl/>
        </w:rPr>
      </w:pPr>
      <w:bookmarkStart w:id="6" w:name="ABSTRACT_START"/>
      <w:bookmarkEnd w:id="6"/>
      <w:r w:rsidRPr="00015384">
        <w:rPr>
          <w:rFonts w:ascii="David" w:hAnsi="David"/>
          <w:rtl/>
        </w:rPr>
        <w:t>הנאשם הורשע על פי הודאתו בעבירות המיוחסות לו בכתב האישום, צירף תיקים נוספים העומדים נגדו, הודה והורשע גם במיוחס לו בהם, הכל במסגרת הסדר טיעון בין הצדדים.</w:t>
      </w:r>
    </w:p>
    <w:p w14:paraId="66A1FB58" w14:textId="77777777" w:rsidR="00F77F7D" w:rsidRPr="00015384" w:rsidRDefault="00F77F7D" w:rsidP="00F77F7D">
      <w:pPr>
        <w:spacing w:line="360" w:lineRule="auto"/>
        <w:jc w:val="both"/>
        <w:rPr>
          <w:rFonts w:ascii="David" w:hAnsi="David"/>
          <w:rtl/>
        </w:rPr>
      </w:pPr>
    </w:p>
    <w:p w14:paraId="6F345F2B" w14:textId="77777777" w:rsidR="00F77F7D" w:rsidRPr="00015384" w:rsidRDefault="00F77F7D" w:rsidP="00F77F7D">
      <w:pPr>
        <w:spacing w:line="360" w:lineRule="auto"/>
        <w:jc w:val="both"/>
        <w:rPr>
          <w:rFonts w:ascii="David" w:hAnsi="David"/>
          <w:b/>
          <w:bCs/>
          <w:u w:val="single"/>
          <w:rtl/>
        </w:rPr>
      </w:pPr>
      <w:r w:rsidRPr="00015384">
        <w:rPr>
          <w:rFonts w:ascii="David" w:hAnsi="David"/>
          <w:b/>
          <w:bCs/>
          <w:u w:val="single"/>
          <w:rtl/>
        </w:rPr>
        <w:t xml:space="preserve">התיק העיקרי: </w:t>
      </w:r>
      <w:hyperlink r:id="rId19" w:history="1">
        <w:r w:rsidR="001E5873" w:rsidRPr="00015384">
          <w:rPr>
            <w:rFonts w:ascii="David" w:hAnsi="David"/>
            <w:b/>
            <w:bCs/>
            <w:color w:val="0000FF"/>
            <w:u w:val="single"/>
            <w:rtl/>
          </w:rPr>
          <w:t>ת"פ 41970-12-21</w:t>
        </w:r>
      </w:hyperlink>
      <w:r w:rsidRPr="00015384">
        <w:rPr>
          <w:rFonts w:ascii="David" w:hAnsi="David"/>
          <w:b/>
          <w:bCs/>
          <w:u w:val="single"/>
          <w:rtl/>
        </w:rPr>
        <w:t xml:space="preserve"> </w:t>
      </w:r>
    </w:p>
    <w:p w14:paraId="4733ECA8" w14:textId="77777777" w:rsidR="00F77F7D" w:rsidRPr="00015384" w:rsidRDefault="00F77F7D" w:rsidP="00F77F7D">
      <w:pPr>
        <w:spacing w:line="360" w:lineRule="auto"/>
        <w:jc w:val="both"/>
        <w:rPr>
          <w:rFonts w:ascii="David" w:hAnsi="David"/>
          <w:rtl/>
        </w:rPr>
      </w:pPr>
      <w:r w:rsidRPr="00015384">
        <w:rPr>
          <w:rFonts w:ascii="David" w:hAnsi="David"/>
          <w:rtl/>
        </w:rPr>
        <w:t>כתב האישום בתיק זה כולל שני אישומים.</w:t>
      </w:r>
    </w:p>
    <w:p w14:paraId="2E0AC292" w14:textId="77777777" w:rsidR="00F77F7D" w:rsidRPr="00015384" w:rsidRDefault="00F77F7D" w:rsidP="00F77F7D">
      <w:pPr>
        <w:spacing w:line="360" w:lineRule="auto"/>
        <w:jc w:val="both"/>
        <w:rPr>
          <w:rFonts w:ascii="David" w:hAnsi="David"/>
          <w:rtl/>
        </w:rPr>
      </w:pPr>
      <w:r w:rsidRPr="00015384">
        <w:rPr>
          <w:rFonts w:ascii="David" w:hAnsi="David"/>
          <w:b/>
          <w:bCs/>
          <w:rtl/>
        </w:rPr>
        <w:lastRenderedPageBreak/>
        <w:t>האישום הראשון</w:t>
      </w:r>
      <w:r w:rsidRPr="00015384">
        <w:rPr>
          <w:rFonts w:ascii="David" w:hAnsi="David"/>
          <w:rtl/>
        </w:rPr>
        <w:t xml:space="preserve"> מתייחס ליום 7.12.21, אז התפרץ הנאשם לבית משפחת זקס ברחוב יצחק טבנקין בירושלים, בכך שפתח את דלת הכניסה שהייתה סגורה ונכנס פנימה. בבית שהו אלעזר ובנו ציון זקס (להלן: </w:t>
      </w:r>
      <w:r w:rsidRPr="00015384">
        <w:rPr>
          <w:rFonts w:ascii="David" w:hAnsi="David"/>
          <w:b/>
          <w:bCs/>
          <w:rtl/>
        </w:rPr>
        <w:t>"המתלוננים"</w:t>
      </w:r>
      <w:r w:rsidRPr="00015384">
        <w:rPr>
          <w:rFonts w:ascii="David" w:hAnsi="David"/>
          <w:rtl/>
        </w:rPr>
        <w:t>).</w:t>
      </w:r>
    </w:p>
    <w:p w14:paraId="6DD73733" w14:textId="77777777" w:rsidR="00F77F7D" w:rsidRPr="00015384" w:rsidRDefault="00F77F7D" w:rsidP="00F77F7D">
      <w:pPr>
        <w:spacing w:line="360" w:lineRule="auto"/>
        <w:jc w:val="both"/>
        <w:rPr>
          <w:rFonts w:ascii="David" w:hAnsi="David"/>
          <w:rtl/>
        </w:rPr>
      </w:pPr>
      <w:bookmarkStart w:id="7" w:name="ABSTRACT_END"/>
      <w:bookmarkEnd w:id="7"/>
      <w:r w:rsidRPr="00015384">
        <w:rPr>
          <w:rFonts w:ascii="David" w:hAnsi="David"/>
          <w:rtl/>
        </w:rPr>
        <w:t>הנאשם נכנס לחדרו של אלעזר אשר ישן בחדר וגנב משם כרטיס חיוב מסוג "ישראכרט".</w:t>
      </w:r>
    </w:p>
    <w:p w14:paraId="746D8966" w14:textId="77777777" w:rsidR="00F77F7D" w:rsidRPr="00015384" w:rsidRDefault="00F77F7D" w:rsidP="00F77F7D">
      <w:pPr>
        <w:spacing w:line="360" w:lineRule="auto"/>
        <w:jc w:val="both"/>
        <w:rPr>
          <w:rFonts w:ascii="David" w:hAnsi="David"/>
          <w:rtl/>
        </w:rPr>
      </w:pPr>
      <w:r w:rsidRPr="00015384">
        <w:rPr>
          <w:rFonts w:ascii="David" w:hAnsi="David"/>
          <w:rtl/>
        </w:rPr>
        <w:t>בהמשך אותו היום, ביצע הנאשם 12 עסקאות באמצעות הכרטיס במרכולים וחנויות שונות, בסכומים הנעים בין 8 ל- 900 ₪. סך כל העסקאות שביצע הינו 1,373 ₪ וסך העסקאות אשר אותן ניסה לבצע אך לא השלימן הינו 1,410 ₪.</w:t>
      </w:r>
    </w:p>
    <w:p w14:paraId="293D0139" w14:textId="77777777" w:rsidR="00F77F7D" w:rsidRPr="00015384" w:rsidRDefault="00F77F7D" w:rsidP="00F77F7D">
      <w:pPr>
        <w:spacing w:line="360" w:lineRule="auto"/>
        <w:jc w:val="both"/>
        <w:rPr>
          <w:rFonts w:ascii="David" w:hAnsi="David"/>
          <w:rtl/>
        </w:rPr>
      </w:pPr>
      <w:r w:rsidRPr="00015384">
        <w:rPr>
          <w:rFonts w:ascii="David" w:hAnsi="David"/>
          <w:rtl/>
        </w:rPr>
        <w:t xml:space="preserve">בשל מעשיו אלה הורשע הנאשם בעבירות של התפרצות לבית מגורים במטרה לבצע עבירה לפי </w:t>
      </w:r>
      <w:hyperlink r:id="rId20" w:history="1">
        <w:r w:rsidR="00015384" w:rsidRPr="00015384">
          <w:rPr>
            <w:rStyle w:val="Hyperlink"/>
            <w:rFonts w:ascii="David" w:hAnsi="David"/>
            <w:rtl/>
          </w:rPr>
          <w:t>סעיף 406(ב)</w:t>
        </w:r>
      </w:hyperlink>
      <w:r w:rsidRPr="00015384">
        <w:rPr>
          <w:rFonts w:ascii="David" w:hAnsi="David"/>
          <w:rtl/>
        </w:rPr>
        <w:t xml:space="preserve"> ל</w:t>
      </w:r>
      <w:hyperlink r:id="rId21" w:history="1">
        <w:r w:rsidR="001E5873" w:rsidRPr="00015384">
          <w:rPr>
            <w:rFonts w:ascii="David" w:hAnsi="David"/>
            <w:color w:val="0000FF"/>
            <w:u w:val="single"/>
            <w:rtl/>
          </w:rPr>
          <w:t>חוק העונשין</w:t>
        </w:r>
      </w:hyperlink>
      <w:r w:rsidRPr="00015384">
        <w:rPr>
          <w:rFonts w:ascii="David" w:hAnsi="David"/>
          <w:rtl/>
        </w:rPr>
        <w:t xml:space="preserve">, תשל"ז-1977 (להלן: </w:t>
      </w:r>
      <w:r w:rsidRPr="00015384">
        <w:rPr>
          <w:rFonts w:ascii="David" w:hAnsi="David"/>
          <w:b/>
          <w:bCs/>
          <w:rtl/>
        </w:rPr>
        <w:t>"חוק העונשין"</w:t>
      </w:r>
      <w:r w:rsidRPr="00015384">
        <w:rPr>
          <w:rFonts w:ascii="David" w:hAnsi="David"/>
          <w:rtl/>
        </w:rPr>
        <w:t xml:space="preserve">) ובעבירות לפי </w:t>
      </w:r>
      <w:hyperlink r:id="rId22" w:history="1">
        <w:r w:rsidR="00015384" w:rsidRPr="00015384">
          <w:rPr>
            <w:rStyle w:val="Hyperlink"/>
            <w:rFonts w:ascii="David" w:hAnsi="David"/>
            <w:rtl/>
          </w:rPr>
          <w:t>סעיפים 40(ב)(1)</w:t>
        </w:r>
      </w:hyperlink>
      <w:r w:rsidRPr="00015384">
        <w:rPr>
          <w:rFonts w:ascii="David" w:hAnsi="David"/>
          <w:rtl/>
        </w:rPr>
        <w:t xml:space="preserve">, </w:t>
      </w:r>
      <w:hyperlink r:id="rId23" w:history="1">
        <w:r w:rsidR="00015384" w:rsidRPr="00015384">
          <w:rPr>
            <w:rStyle w:val="Hyperlink"/>
            <w:rFonts w:ascii="David" w:hAnsi="David"/>
            <w:rtl/>
          </w:rPr>
          <w:t>40(ב)(2)</w:t>
        </w:r>
      </w:hyperlink>
      <w:r w:rsidRPr="00015384">
        <w:rPr>
          <w:rFonts w:ascii="David" w:hAnsi="David"/>
          <w:rtl/>
        </w:rPr>
        <w:t xml:space="preserve"> ל</w:t>
      </w:r>
      <w:hyperlink r:id="rId24" w:history="1">
        <w:r w:rsidR="001E5873" w:rsidRPr="00015384">
          <w:rPr>
            <w:rFonts w:ascii="David" w:hAnsi="David"/>
            <w:color w:val="0000FF"/>
            <w:u w:val="single"/>
            <w:rtl/>
          </w:rPr>
          <w:t>חוק שירותי תשלום, תשע"ט-2019</w:t>
        </w:r>
      </w:hyperlink>
      <w:r w:rsidRPr="00015384">
        <w:rPr>
          <w:rFonts w:ascii="David" w:hAnsi="David"/>
          <w:rtl/>
        </w:rPr>
        <w:t xml:space="preserve"> (להלן: </w:t>
      </w:r>
      <w:r w:rsidRPr="00015384">
        <w:rPr>
          <w:rFonts w:ascii="David" w:hAnsi="David"/>
          <w:b/>
          <w:bCs/>
          <w:rtl/>
        </w:rPr>
        <w:t>"חוק שירותי תשלום"</w:t>
      </w:r>
      <w:r w:rsidRPr="00015384">
        <w:rPr>
          <w:rFonts w:ascii="David" w:hAnsi="David"/>
          <w:rtl/>
        </w:rPr>
        <w:t>) - נטילת רכיב חיוני באמצעי תשלום שלא בהסכמת המשלם בכוונה להשתמש בו, שימוש ברכיב חיוני באמצעי תשלום (5 עבירות) וניסיון לביצוע עבירה זו(7 עבירות).</w:t>
      </w:r>
    </w:p>
    <w:p w14:paraId="2464A23A" w14:textId="77777777" w:rsidR="00F77F7D" w:rsidRPr="00015384" w:rsidRDefault="00F77F7D" w:rsidP="00F77F7D">
      <w:pPr>
        <w:spacing w:line="360" w:lineRule="auto"/>
        <w:jc w:val="both"/>
        <w:rPr>
          <w:rFonts w:ascii="David" w:hAnsi="David"/>
          <w:rtl/>
        </w:rPr>
      </w:pPr>
      <w:r w:rsidRPr="00015384">
        <w:rPr>
          <w:rFonts w:ascii="David" w:hAnsi="David"/>
          <w:b/>
          <w:bCs/>
          <w:rtl/>
        </w:rPr>
        <w:t>אישום שני</w:t>
      </w:r>
      <w:r w:rsidRPr="00015384">
        <w:rPr>
          <w:rFonts w:ascii="David" w:hAnsi="David"/>
          <w:rtl/>
        </w:rPr>
        <w:t xml:space="preserve"> בכתב אישום זה מתייחס ליום 13.12.21 בקניון עטרות, אז פרץ הנאשם לרכב חונה  השייך למוהנד בדראן (להלן: </w:t>
      </w:r>
      <w:r w:rsidRPr="00015384">
        <w:rPr>
          <w:rFonts w:ascii="David" w:hAnsi="David"/>
          <w:b/>
          <w:bCs/>
          <w:rtl/>
        </w:rPr>
        <w:t>"המתלונן"</w:t>
      </w:r>
      <w:r w:rsidRPr="00015384">
        <w:rPr>
          <w:rFonts w:ascii="David" w:hAnsi="David"/>
          <w:rtl/>
        </w:rPr>
        <w:t xml:space="preserve">), בכך שפתח את דלת הנוסע מצד ימין של הרכב, נכנס לתוכו וגנב סכום כסף שאינו ידוע במדויק למאשימה. </w:t>
      </w:r>
    </w:p>
    <w:p w14:paraId="43B05F97" w14:textId="77777777" w:rsidR="00F77F7D" w:rsidRPr="00015384" w:rsidRDefault="00F77F7D" w:rsidP="00F77F7D">
      <w:pPr>
        <w:spacing w:line="360" w:lineRule="auto"/>
        <w:jc w:val="both"/>
        <w:rPr>
          <w:rFonts w:ascii="David" w:hAnsi="David"/>
          <w:rtl/>
        </w:rPr>
      </w:pPr>
      <w:r w:rsidRPr="00015384">
        <w:rPr>
          <w:rFonts w:ascii="David" w:hAnsi="David"/>
          <w:rtl/>
        </w:rPr>
        <w:t xml:space="preserve">בגין כך הורשע הנאשם בעבירה של גניבה מרכב ופריצה לרכב לפי </w:t>
      </w:r>
      <w:hyperlink r:id="rId25" w:history="1">
        <w:r w:rsidR="00015384" w:rsidRPr="00015384">
          <w:rPr>
            <w:rStyle w:val="Hyperlink"/>
            <w:rFonts w:ascii="David" w:hAnsi="David"/>
            <w:rtl/>
          </w:rPr>
          <w:t>סעיפים 413ד(א)</w:t>
        </w:r>
      </w:hyperlink>
      <w:r w:rsidRPr="00015384">
        <w:rPr>
          <w:rFonts w:ascii="David" w:hAnsi="David"/>
          <w:rtl/>
        </w:rPr>
        <w:t xml:space="preserve"> ו-</w:t>
      </w:r>
      <w:hyperlink r:id="rId26" w:history="1">
        <w:r w:rsidR="00015384" w:rsidRPr="00015384">
          <w:rPr>
            <w:rStyle w:val="Hyperlink"/>
            <w:rFonts w:ascii="David" w:hAnsi="David"/>
            <w:rtl/>
          </w:rPr>
          <w:t>413ו</w:t>
        </w:r>
      </w:hyperlink>
      <w:r w:rsidRPr="00015384">
        <w:rPr>
          <w:rFonts w:ascii="David" w:hAnsi="David"/>
          <w:rtl/>
        </w:rPr>
        <w:t xml:space="preserve"> רישא ל</w:t>
      </w:r>
      <w:hyperlink r:id="rId27" w:history="1">
        <w:r w:rsidR="001E5873" w:rsidRPr="00015384">
          <w:rPr>
            <w:rFonts w:ascii="David" w:hAnsi="David"/>
            <w:color w:val="0000FF"/>
            <w:u w:val="single"/>
            <w:rtl/>
          </w:rPr>
          <w:t>חוק העונשין</w:t>
        </w:r>
      </w:hyperlink>
      <w:r w:rsidRPr="00015384">
        <w:rPr>
          <w:rFonts w:ascii="David" w:hAnsi="David"/>
          <w:rtl/>
        </w:rPr>
        <w:t xml:space="preserve">. </w:t>
      </w:r>
    </w:p>
    <w:p w14:paraId="604FF97F" w14:textId="77777777" w:rsidR="00F77F7D" w:rsidRPr="00015384" w:rsidRDefault="00F77F7D" w:rsidP="00F77F7D">
      <w:pPr>
        <w:spacing w:line="360" w:lineRule="auto"/>
        <w:jc w:val="both"/>
        <w:rPr>
          <w:rFonts w:ascii="David" w:hAnsi="David"/>
          <w:rtl/>
        </w:rPr>
      </w:pPr>
    </w:p>
    <w:p w14:paraId="77236E93" w14:textId="77777777" w:rsidR="00F77F7D" w:rsidRPr="00015384" w:rsidRDefault="00F77F7D" w:rsidP="00F77F7D">
      <w:pPr>
        <w:spacing w:line="360" w:lineRule="auto"/>
        <w:jc w:val="both"/>
        <w:rPr>
          <w:rFonts w:ascii="David" w:hAnsi="David"/>
          <w:rtl/>
        </w:rPr>
      </w:pPr>
      <w:r w:rsidRPr="00015384">
        <w:rPr>
          <w:rFonts w:ascii="David" w:hAnsi="David"/>
          <w:rtl/>
        </w:rPr>
        <w:t>כאמור, הנאשם צירף שלושה תיקים נוספים:</w:t>
      </w:r>
    </w:p>
    <w:p w14:paraId="2555FDC2" w14:textId="77777777" w:rsidR="00F77F7D" w:rsidRPr="00015384" w:rsidRDefault="001E5873" w:rsidP="00F77F7D">
      <w:pPr>
        <w:spacing w:line="360" w:lineRule="auto"/>
        <w:jc w:val="both"/>
        <w:rPr>
          <w:rFonts w:ascii="David" w:hAnsi="David"/>
          <w:rtl/>
        </w:rPr>
      </w:pPr>
      <w:hyperlink r:id="rId28" w:history="1">
        <w:r w:rsidRPr="00015384">
          <w:rPr>
            <w:rFonts w:ascii="David" w:hAnsi="David"/>
            <w:b/>
            <w:bCs/>
            <w:color w:val="0000FF"/>
            <w:u w:val="single"/>
            <w:rtl/>
          </w:rPr>
          <w:t>ת"פ 19611-03-21</w:t>
        </w:r>
        <w:r w:rsidRPr="00015384">
          <w:rPr>
            <w:rFonts w:ascii="David" w:hAnsi="David"/>
            <w:b/>
            <w:bCs/>
            <w:color w:val="0000FF"/>
            <w:u w:val="single"/>
            <w:rtl/>
          </w:rPr>
          <w:cr/>
        </w:r>
      </w:hyperlink>
      <w:r w:rsidR="00F77F7D" w:rsidRPr="00015384">
        <w:rPr>
          <w:rFonts w:ascii="David" w:hAnsi="David"/>
          <w:rtl/>
        </w:rPr>
        <w:t xml:space="preserve">כתב האישום בתיק זה מתאר כי ביום 6.1.20 בשכונת בית חנינא בירושלים, החזיק הנאשם במושב הנוסע הקדמי של רכב מסוג פורד, סם מסוכן מסוג חשיש במשקל 37.20 גרם שלא לצריכתו העצמית. </w:t>
      </w:r>
    </w:p>
    <w:p w14:paraId="6EF4B4CB" w14:textId="77777777" w:rsidR="00F77F7D" w:rsidRPr="00015384" w:rsidRDefault="00F77F7D" w:rsidP="00F77F7D">
      <w:pPr>
        <w:spacing w:line="360" w:lineRule="auto"/>
        <w:jc w:val="both"/>
        <w:rPr>
          <w:rFonts w:ascii="David" w:hAnsi="David"/>
          <w:rtl/>
        </w:rPr>
      </w:pPr>
      <w:r w:rsidRPr="00015384">
        <w:rPr>
          <w:rFonts w:ascii="David" w:hAnsi="David"/>
          <w:rtl/>
        </w:rPr>
        <w:t xml:space="preserve">בגין כך הורשע בעבירה של החזקת סמים לצריכה עצמית לפי </w:t>
      </w:r>
      <w:hyperlink r:id="rId29" w:history="1">
        <w:r w:rsidR="00015384" w:rsidRPr="00015384">
          <w:rPr>
            <w:rStyle w:val="Hyperlink"/>
            <w:rFonts w:ascii="David" w:hAnsi="David"/>
            <w:rtl/>
          </w:rPr>
          <w:t>סעיפים 7(א)+(ג)</w:t>
        </w:r>
      </w:hyperlink>
      <w:r w:rsidRPr="00015384">
        <w:rPr>
          <w:rFonts w:ascii="David" w:hAnsi="David"/>
          <w:rtl/>
        </w:rPr>
        <w:t xml:space="preserve"> סיפא ל</w:t>
      </w:r>
      <w:hyperlink r:id="rId30" w:history="1">
        <w:r w:rsidR="001E5873" w:rsidRPr="00015384">
          <w:rPr>
            <w:rFonts w:ascii="David" w:hAnsi="David"/>
            <w:color w:val="0000FF"/>
            <w:u w:val="single"/>
            <w:rtl/>
          </w:rPr>
          <w:t>פקודת הסמים המסוכנים</w:t>
        </w:r>
      </w:hyperlink>
      <w:r w:rsidRPr="00015384">
        <w:rPr>
          <w:rFonts w:ascii="David" w:hAnsi="David"/>
          <w:rtl/>
        </w:rPr>
        <w:t xml:space="preserve"> [נוסח חדש], תשל"ג-1973 (להלן: </w:t>
      </w:r>
      <w:r w:rsidRPr="00015384">
        <w:rPr>
          <w:rFonts w:ascii="David" w:hAnsi="David"/>
          <w:b/>
          <w:bCs/>
          <w:rtl/>
        </w:rPr>
        <w:t>"פקודת הסמים המסוכנים"</w:t>
      </w:r>
      <w:r w:rsidRPr="00015384">
        <w:rPr>
          <w:rFonts w:ascii="David" w:hAnsi="David"/>
          <w:rtl/>
        </w:rPr>
        <w:t>).</w:t>
      </w:r>
    </w:p>
    <w:p w14:paraId="3CC8CE3A" w14:textId="77777777" w:rsidR="00F77F7D" w:rsidRPr="00015384" w:rsidRDefault="00F77F7D" w:rsidP="00F77F7D">
      <w:pPr>
        <w:spacing w:line="360" w:lineRule="auto"/>
        <w:jc w:val="both"/>
        <w:rPr>
          <w:rFonts w:ascii="David" w:hAnsi="David"/>
          <w:rtl/>
        </w:rPr>
      </w:pPr>
    </w:p>
    <w:p w14:paraId="7E9C51EC" w14:textId="77777777" w:rsidR="00F77F7D" w:rsidRPr="00015384" w:rsidRDefault="001E5873" w:rsidP="00F77F7D">
      <w:pPr>
        <w:spacing w:line="360" w:lineRule="auto"/>
        <w:jc w:val="both"/>
        <w:rPr>
          <w:rFonts w:ascii="David" w:hAnsi="David"/>
          <w:b/>
          <w:bCs/>
          <w:u w:val="single"/>
          <w:rtl/>
        </w:rPr>
      </w:pPr>
      <w:hyperlink r:id="rId31" w:history="1">
        <w:r w:rsidRPr="00015384">
          <w:rPr>
            <w:rFonts w:ascii="David" w:hAnsi="David"/>
            <w:b/>
            <w:bCs/>
            <w:color w:val="0000FF"/>
            <w:u w:val="single"/>
            <w:rtl/>
          </w:rPr>
          <w:t>ת"פ 48545-11-21</w:t>
        </w:r>
      </w:hyperlink>
      <w:r w:rsidR="00F77F7D" w:rsidRPr="00015384">
        <w:rPr>
          <w:rFonts w:ascii="David" w:hAnsi="David"/>
          <w:b/>
          <w:bCs/>
          <w:u w:val="single"/>
          <w:rtl/>
        </w:rPr>
        <w:t xml:space="preserve"> </w:t>
      </w:r>
    </w:p>
    <w:p w14:paraId="4DFFB62E" w14:textId="77777777" w:rsidR="00F77F7D" w:rsidRPr="00015384" w:rsidRDefault="00F77F7D" w:rsidP="00F77F7D">
      <w:pPr>
        <w:spacing w:line="360" w:lineRule="auto"/>
        <w:jc w:val="both"/>
        <w:rPr>
          <w:rFonts w:ascii="David" w:hAnsi="David"/>
          <w:rtl/>
        </w:rPr>
      </w:pPr>
      <w:r w:rsidRPr="00015384">
        <w:rPr>
          <w:rFonts w:ascii="David" w:hAnsi="David"/>
          <w:rtl/>
        </w:rPr>
        <w:t xml:space="preserve">בתיק זה הורשע הנאשם בעבירה של גניבה לפי </w:t>
      </w:r>
      <w:hyperlink r:id="rId32" w:history="1">
        <w:r w:rsidR="00015384" w:rsidRPr="00015384">
          <w:rPr>
            <w:rStyle w:val="Hyperlink"/>
            <w:rFonts w:ascii="David" w:hAnsi="David"/>
            <w:rtl/>
          </w:rPr>
          <w:t>סעיף 384</w:t>
        </w:r>
      </w:hyperlink>
      <w:r w:rsidRPr="00015384">
        <w:rPr>
          <w:rFonts w:ascii="David" w:hAnsi="David"/>
          <w:rtl/>
        </w:rPr>
        <w:t xml:space="preserve"> ל</w:t>
      </w:r>
      <w:hyperlink r:id="rId33" w:history="1">
        <w:r w:rsidR="001E5873" w:rsidRPr="00015384">
          <w:rPr>
            <w:rFonts w:ascii="David" w:hAnsi="David"/>
            <w:color w:val="0000FF"/>
            <w:u w:val="single"/>
            <w:rtl/>
          </w:rPr>
          <w:t>חוק העונשין</w:t>
        </w:r>
      </w:hyperlink>
      <w:r w:rsidRPr="00015384">
        <w:rPr>
          <w:rFonts w:ascii="David" w:hAnsi="David"/>
          <w:rtl/>
        </w:rPr>
        <w:t xml:space="preserve">, לאחר שביום 20.6.21 הגיע  לרחוב באב אל חדיד 5 בירושלים, נכנס למקום, נטל ממנו קורקינט חשמלי ועזב את המקום. </w:t>
      </w:r>
    </w:p>
    <w:p w14:paraId="65FCEED5" w14:textId="77777777" w:rsidR="00F77F7D" w:rsidRPr="00015384" w:rsidRDefault="00F77F7D" w:rsidP="00F77F7D">
      <w:pPr>
        <w:spacing w:line="360" w:lineRule="auto"/>
        <w:jc w:val="both"/>
        <w:rPr>
          <w:rFonts w:ascii="David" w:hAnsi="David"/>
          <w:rtl/>
        </w:rPr>
      </w:pPr>
    </w:p>
    <w:p w14:paraId="33633F57" w14:textId="77777777" w:rsidR="00F77F7D" w:rsidRPr="00015384" w:rsidRDefault="001E5873" w:rsidP="00F77F7D">
      <w:pPr>
        <w:spacing w:line="360" w:lineRule="auto"/>
        <w:jc w:val="both"/>
        <w:rPr>
          <w:rFonts w:ascii="David" w:hAnsi="David"/>
          <w:rtl/>
        </w:rPr>
      </w:pPr>
      <w:hyperlink r:id="rId34" w:history="1">
        <w:r w:rsidRPr="00015384">
          <w:rPr>
            <w:rFonts w:ascii="David" w:hAnsi="David"/>
            <w:b/>
            <w:bCs/>
            <w:color w:val="0000FF"/>
            <w:u w:val="single"/>
            <w:rtl/>
          </w:rPr>
          <w:t>ת"פ 16653-10-21</w:t>
        </w:r>
        <w:r w:rsidRPr="00015384">
          <w:rPr>
            <w:rFonts w:ascii="David" w:hAnsi="David"/>
            <w:b/>
            <w:bCs/>
            <w:color w:val="0000FF"/>
            <w:u w:val="single"/>
            <w:rtl/>
          </w:rPr>
          <w:cr/>
        </w:r>
      </w:hyperlink>
      <w:r w:rsidR="00F77F7D" w:rsidRPr="00015384">
        <w:rPr>
          <w:rFonts w:ascii="David" w:hAnsi="David"/>
          <w:rtl/>
        </w:rPr>
        <w:t>עובדות האישום המתוקן בתיק זה מתייחסות לליל ה-31.8.21, אז הגיע הנאשם לבית העסק "זואדי מינימרקט" בירושלים, איתר שלט אלקטרוני הפותח את שער הברזל אשר היה מוטמן בסמוך לכניסה אליו, פתח באמצעותו את השער ונכנס לבית העסק.</w:t>
      </w:r>
    </w:p>
    <w:p w14:paraId="0181BDE8" w14:textId="77777777" w:rsidR="00F77F7D" w:rsidRPr="00015384" w:rsidRDefault="00F77F7D" w:rsidP="00F77F7D">
      <w:pPr>
        <w:spacing w:line="360" w:lineRule="auto"/>
        <w:jc w:val="both"/>
        <w:rPr>
          <w:rFonts w:ascii="David" w:hAnsi="David"/>
          <w:rtl/>
        </w:rPr>
      </w:pPr>
      <w:r w:rsidRPr="00015384">
        <w:rPr>
          <w:rFonts w:ascii="David" w:hAnsi="David"/>
          <w:rtl/>
        </w:rPr>
        <w:lastRenderedPageBreak/>
        <w:t>הנאשם ניגש למגירה הסמוכה לקופה, פתח אותה ואיתר מפתח לקופה. הוא פתח את הקופה באמצעות המפתח והתכוון לקחת מתוכה 2,000 ₪ במזומן. בהמשך, ניגב באמצעות חולצתו את המקומות בהן נגע בידו ועזב את בית העסק.</w:t>
      </w:r>
    </w:p>
    <w:p w14:paraId="695F23D4" w14:textId="77777777" w:rsidR="00F77F7D" w:rsidRPr="00015384" w:rsidRDefault="00F77F7D" w:rsidP="00F77F7D">
      <w:pPr>
        <w:spacing w:line="360" w:lineRule="auto"/>
        <w:jc w:val="both"/>
        <w:rPr>
          <w:rFonts w:ascii="David" w:hAnsi="David"/>
          <w:rtl/>
        </w:rPr>
      </w:pPr>
      <w:r w:rsidRPr="00015384">
        <w:rPr>
          <w:rFonts w:ascii="David" w:hAnsi="David"/>
          <w:rtl/>
        </w:rPr>
        <w:t xml:space="preserve">בגין כך הנאשם הורשע בעבירה של פריצה לבניין שאינו דירה בכוונה לבצע גניבה, לפי </w:t>
      </w:r>
      <w:hyperlink r:id="rId35" w:history="1">
        <w:r w:rsidR="00015384" w:rsidRPr="00015384">
          <w:rPr>
            <w:rStyle w:val="Hyperlink"/>
            <w:rFonts w:ascii="David" w:hAnsi="David"/>
            <w:rtl/>
          </w:rPr>
          <w:t>סעיף 407(א)</w:t>
        </w:r>
      </w:hyperlink>
      <w:r w:rsidRPr="00015384">
        <w:rPr>
          <w:rFonts w:ascii="David" w:hAnsi="David"/>
          <w:rtl/>
        </w:rPr>
        <w:t xml:space="preserve"> ל</w:t>
      </w:r>
      <w:hyperlink r:id="rId36" w:history="1">
        <w:r w:rsidR="001E5873" w:rsidRPr="00015384">
          <w:rPr>
            <w:rFonts w:ascii="David" w:hAnsi="David"/>
            <w:color w:val="0000FF"/>
            <w:u w:val="single"/>
            <w:rtl/>
          </w:rPr>
          <w:t>חוק העונשין</w:t>
        </w:r>
      </w:hyperlink>
      <w:r w:rsidRPr="00015384">
        <w:rPr>
          <w:rFonts w:ascii="David" w:hAnsi="David"/>
          <w:rtl/>
        </w:rPr>
        <w:t xml:space="preserve">. </w:t>
      </w:r>
    </w:p>
    <w:p w14:paraId="01EE5EDA" w14:textId="77777777" w:rsidR="00F77F7D" w:rsidRPr="00015384" w:rsidRDefault="00F77F7D" w:rsidP="00F77F7D">
      <w:pPr>
        <w:spacing w:line="360" w:lineRule="auto"/>
        <w:jc w:val="both"/>
        <w:rPr>
          <w:rFonts w:ascii="David" w:hAnsi="David"/>
          <w:rtl/>
        </w:rPr>
      </w:pPr>
    </w:p>
    <w:p w14:paraId="30B9802D" w14:textId="77777777" w:rsidR="00F77F7D" w:rsidRPr="00015384" w:rsidRDefault="00F77F7D" w:rsidP="00F77F7D">
      <w:pPr>
        <w:spacing w:line="360" w:lineRule="auto"/>
        <w:jc w:val="both"/>
        <w:rPr>
          <w:rFonts w:ascii="David" w:hAnsi="David"/>
          <w:rtl/>
        </w:rPr>
      </w:pPr>
      <w:r w:rsidRPr="00015384">
        <w:rPr>
          <w:rFonts w:ascii="David" w:hAnsi="David"/>
          <w:rtl/>
        </w:rPr>
        <w:t>הסדר הטיעון אשר במסגרתו הודה הנאשם, לא כלל בתוכו הסכמה לעניין העונש והצדדים טענו טיעוניהם לעונש לאחר שהוגש תסקיר שירות המבחן בעניינו.</w:t>
      </w:r>
    </w:p>
    <w:p w14:paraId="577713EB" w14:textId="77777777" w:rsidR="00F77F7D" w:rsidRPr="00015384" w:rsidRDefault="00F77F7D" w:rsidP="00F77F7D">
      <w:pPr>
        <w:spacing w:line="360" w:lineRule="auto"/>
        <w:jc w:val="both"/>
        <w:rPr>
          <w:rFonts w:ascii="David" w:hAnsi="David"/>
          <w:b/>
          <w:bCs/>
          <w:u w:val="single"/>
          <w:rtl/>
        </w:rPr>
      </w:pPr>
    </w:p>
    <w:p w14:paraId="0E43F97D" w14:textId="77777777" w:rsidR="00F77F7D" w:rsidRPr="00015384" w:rsidRDefault="00F77F7D" w:rsidP="00F77F7D">
      <w:pPr>
        <w:spacing w:line="360" w:lineRule="auto"/>
        <w:jc w:val="both"/>
        <w:rPr>
          <w:rFonts w:ascii="David" w:hAnsi="David"/>
          <w:b/>
          <w:bCs/>
          <w:u w:val="single"/>
          <w:rtl/>
        </w:rPr>
      </w:pPr>
    </w:p>
    <w:p w14:paraId="60C6DF17" w14:textId="77777777" w:rsidR="00F77F7D" w:rsidRPr="00015384" w:rsidRDefault="00F77F7D" w:rsidP="00F77F7D">
      <w:pPr>
        <w:spacing w:line="360" w:lineRule="auto"/>
        <w:jc w:val="both"/>
        <w:rPr>
          <w:rFonts w:ascii="David" w:hAnsi="David"/>
          <w:b/>
          <w:bCs/>
          <w:u w:val="single"/>
          <w:rtl/>
        </w:rPr>
      </w:pPr>
    </w:p>
    <w:p w14:paraId="4869556A" w14:textId="77777777" w:rsidR="00F77F7D" w:rsidRPr="00015384" w:rsidRDefault="00F77F7D" w:rsidP="00F77F7D">
      <w:pPr>
        <w:spacing w:line="360" w:lineRule="auto"/>
        <w:jc w:val="both"/>
        <w:rPr>
          <w:rFonts w:ascii="David" w:hAnsi="David"/>
          <w:b/>
          <w:bCs/>
          <w:u w:val="single"/>
          <w:rtl/>
        </w:rPr>
      </w:pPr>
    </w:p>
    <w:p w14:paraId="0BFE981B" w14:textId="77777777" w:rsidR="00F77F7D" w:rsidRPr="00015384" w:rsidRDefault="00F77F7D" w:rsidP="00F77F7D">
      <w:pPr>
        <w:spacing w:line="360" w:lineRule="auto"/>
        <w:jc w:val="both"/>
        <w:rPr>
          <w:rFonts w:ascii="David" w:hAnsi="David"/>
          <w:b/>
          <w:bCs/>
          <w:u w:val="single"/>
          <w:rtl/>
        </w:rPr>
      </w:pPr>
    </w:p>
    <w:p w14:paraId="411DFA0F" w14:textId="77777777" w:rsidR="00F77F7D" w:rsidRPr="00015384" w:rsidRDefault="00F77F7D" w:rsidP="00F77F7D">
      <w:pPr>
        <w:spacing w:line="360" w:lineRule="auto"/>
        <w:jc w:val="both"/>
        <w:rPr>
          <w:rFonts w:ascii="David" w:hAnsi="David"/>
          <w:b/>
          <w:bCs/>
          <w:u w:val="single"/>
          <w:rtl/>
        </w:rPr>
      </w:pPr>
      <w:r w:rsidRPr="00015384">
        <w:rPr>
          <w:rFonts w:ascii="David" w:hAnsi="David"/>
          <w:b/>
          <w:bCs/>
          <w:u w:val="single"/>
          <w:rtl/>
        </w:rPr>
        <w:t>תסקיר שירות המבחן</w:t>
      </w:r>
    </w:p>
    <w:p w14:paraId="360ED868" w14:textId="77777777" w:rsidR="00F77F7D" w:rsidRPr="00015384" w:rsidRDefault="00F77F7D" w:rsidP="00F77F7D">
      <w:pPr>
        <w:spacing w:line="360" w:lineRule="auto"/>
        <w:jc w:val="both"/>
        <w:rPr>
          <w:rFonts w:ascii="David" w:hAnsi="David"/>
          <w:rtl/>
        </w:rPr>
      </w:pPr>
      <w:r w:rsidRPr="00015384">
        <w:rPr>
          <w:rFonts w:ascii="David" w:hAnsi="David"/>
          <w:rtl/>
        </w:rPr>
        <w:t>תסקיר שירות המבחן מיום 24.7.22 מלמדנו כי הנאשם, רווק בן 38 שנים. טרם מעצרו הנוכחי היה מחוסר מקום דיור קבוע ונהג לישון לסירוגין אצל חברים או אצל אמו וכן בתחנה המרכזית בתל אביב.</w:t>
      </w:r>
    </w:p>
    <w:p w14:paraId="7290E824" w14:textId="77777777" w:rsidR="00F77F7D" w:rsidRPr="00015384" w:rsidRDefault="00F77F7D" w:rsidP="00F77F7D">
      <w:pPr>
        <w:spacing w:line="360" w:lineRule="auto"/>
        <w:jc w:val="both"/>
        <w:rPr>
          <w:rFonts w:ascii="David" w:hAnsi="David"/>
          <w:rtl/>
        </w:rPr>
      </w:pPr>
      <w:r w:rsidRPr="00015384">
        <w:rPr>
          <w:rFonts w:ascii="David" w:hAnsi="David"/>
          <w:rtl/>
        </w:rPr>
        <w:t>משפחתו מונה זוג הורים ו-11 ילדים. הוריו שאינם עובדים, נפרדו לאחרונה ושניים מאחיו בעלי רקע פלילי.</w:t>
      </w:r>
    </w:p>
    <w:p w14:paraId="3C26AF87" w14:textId="77777777" w:rsidR="00F77F7D" w:rsidRPr="00015384" w:rsidRDefault="00F77F7D" w:rsidP="00F77F7D">
      <w:pPr>
        <w:spacing w:line="360" w:lineRule="auto"/>
        <w:jc w:val="both"/>
        <w:rPr>
          <w:rFonts w:ascii="David" w:hAnsi="David"/>
          <w:rtl/>
        </w:rPr>
      </w:pPr>
      <w:r w:rsidRPr="00015384">
        <w:rPr>
          <w:rFonts w:ascii="David" w:hAnsi="David"/>
          <w:rtl/>
        </w:rPr>
        <w:t>בגיל 12 נשר הנאשם ממסגרת חינוכית על מנת לסייע בפרנסת המשפחה, על רקע מאסרי אחיו הגדולים. לאורך שנים עבד בעבודות זמניות והיה חשוף ובקשר ישיר עם חברה שולית צורכת וסוחרת בסמים. לאחר ריצוי עונש מאסר בן 13 חודשים, בהיותו בן 23 שנים, החל לנדוד במגוריו וקשריו עם חברה שולית התחזקו. הוא החל לצרוך סמים באופן אינטנסיבי ורציף, לאורך כל היום, על רקע תחושת בדידות והיעדר דמות מכוונת.</w:t>
      </w:r>
    </w:p>
    <w:p w14:paraId="3328B106" w14:textId="77777777" w:rsidR="00F77F7D" w:rsidRPr="00015384" w:rsidRDefault="00F77F7D" w:rsidP="00F77F7D">
      <w:pPr>
        <w:spacing w:line="360" w:lineRule="auto"/>
        <w:jc w:val="both"/>
        <w:rPr>
          <w:rFonts w:ascii="David" w:hAnsi="David"/>
          <w:rtl/>
        </w:rPr>
      </w:pPr>
      <w:r w:rsidRPr="00015384">
        <w:rPr>
          <w:rFonts w:ascii="David" w:hAnsi="David"/>
          <w:rtl/>
        </w:rPr>
        <w:t>בשנת 2015 הנאשם הורשע בעבירות רכוש, אלימות והפרת הוראה חוקית עליהן נשפט למספר מאסרים בפועל.</w:t>
      </w:r>
    </w:p>
    <w:p w14:paraId="3B1C0AFF" w14:textId="77777777" w:rsidR="00F77F7D" w:rsidRPr="00015384" w:rsidRDefault="00F77F7D" w:rsidP="00F77F7D">
      <w:pPr>
        <w:spacing w:line="360" w:lineRule="auto"/>
        <w:jc w:val="both"/>
        <w:rPr>
          <w:rFonts w:ascii="David" w:hAnsi="David"/>
          <w:rtl/>
        </w:rPr>
      </w:pPr>
      <w:r w:rsidRPr="00015384">
        <w:rPr>
          <w:rFonts w:ascii="David" w:hAnsi="David"/>
          <w:rtl/>
        </w:rPr>
        <w:t xml:space="preserve">בשנת 2020 החל בהליך טיפולי אולם לאחר 13 ימים, הועזב על רקע רצונו להמשיך לצרוך סמים. </w:t>
      </w:r>
    </w:p>
    <w:p w14:paraId="3DDEADFB" w14:textId="77777777" w:rsidR="00F77F7D" w:rsidRPr="00015384" w:rsidRDefault="00F77F7D" w:rsidP="00F77F7D">
      <w:pPr>
        <w:spacing w:line="360" w:lineRule="auto"/>
        <w:jc w:val="both"/>
        <w:rPr>
          <w:rFonts w:ascii="David" w:hAnsi="David"/>
          <w:rtl/>
        </w:rPr>
      </w:pPr>
      <w:r w:rsidRPr="00015384">
        <w:rPr>
          <w:rFonts w:ascii="David" w:hAnsi="David"/>
          <w:rtl/>
        </w:rPr>
        <w:t>הנאשם נטל אחריות על חלק מהעבירות המיוחסות לו ולגבי חלק מהן טען שלא ביצע אותן. הוא ביטא חרטה ואמפטיה כלפי בני משפחתו, אשר לדבריו נפגעים ממעורבותו הפלילית החוזרת.</w:t>
      </w:r>
    </w:p>
    <w:p w14:paraId="22C54BC1" w14:textId="77777777" w:rsidR="00F77F7D" w:rsidRPr="00015384" w:rsidRDefault="00F77F7D" w:rsidP="00F77F7D">
      <w:pPr>
        <w:spacing w:line="360" w:lineRule="auto"/>
        <w:jc w:val="both"/>
        <w:rPr>
          <w:rFonts w:ascii="David" w:hAnsi="David"/>
          <w:rtl/>
        </w:rPr>
      </w:pPr>
      <w:r w:rsidRPr="00015384">
        <w:rPr>
          <w:rFonts w:ascii="David" w:hAnsi="David"/>
          <w:rtl/>
        </w:rPr>
        <w:t xml:space="preserve">הנאשם תיאר כי התמכרותו לסמים משפיעה עליו באופן משמעותי כך שהוא חש חסר שליטה ביחס להתנהגותו ופועל מתוך רצון לצרוך סמים. </w:t>
      </w:r>
    </w:p>
    <w:p w14:paraId="05F7EF3A" w14:textId="77777777" w:rsidR="00F77F7D" w:rsidRPr="00015384" w:rsidRDefault="00F77F7D" w:rsidP="00F77F7D">
      <w:pPr>
        <w:spacing w:line="360" w:lineRule="auto"/>
        <w:jc w:val="both"/>
        <w:rPr>
          <w:rFonts w:ascii="David" w:hAnsi="David"/>
          <w:rtl/>
        </w:rPr>
      </w:pPr>
      <w:r w:rsidRPr="00015384">
        <w:rPr>
          <w:rFonts w:ascii="David" w:hAnsi="David"/>
          <w:rtl/>
        </w:rPr>
        <w:t>שירות המבחן התרשם כי הנאשם עייף מניהול אורח חיים שולי ומראה מודעות ראשונית לבעיותיו.</w:t>
      </w:r>
    </w:p>
    <w:p w14:paraId="13A13BD2" w14:textId="77777777" w:rsidR="00F77F7D" w:rsidRPr="00015384" w:rsidRDefault="00F77F7D" w:rsidP="00F77F7D">
      <w:pPr>
        <w:spacing w:line="360" w:lineRule="auto"/>
        <w:jc w:val="both"/>
        <w:rPr>
          <w:rFonts w:ascii="David" w:hAnsi="David"/>
          <w:rtl/>
        </w:rPr>
      </w:pPr>
      <w:r w:rsidRPr="00015384">
        <w:rPr>
          <w:rFonts w:ascii="David" w:hAnsi="David"/>
          <w:rtl/>
        </w:rPr>
        <w:t>מאידך, דפוסי התמכרותו ואורח חייו השולי משמעותיים ומאפיינים את מהלך חייו החל משנות ה-20 המוקדמות כאשר מלבד ניסיון טיפולי קצר אשר לא צלח, לא פנה להשתלב בהליך טיפולי אחר. הוא חשוף תדיר לחברה שולית ולהתנהגות עבריינית במשפחת המוצא. עונשיו הקודמים לא יצרו אפקט הרתעה וגורם מניע לשינוי והפרת תנאי מעצרו בעבר מקשה על ההתרשמות כי ניתן לתת בו אמון שיצליח בכללי מסגרת נוקשים במסגרת חלופת מעצר שיקומית.</w:t>
      </w:r>
    </w:p>
    <w:p w14:paraId="2B80A029" w14:textId="77777777" w:rsidR="00F77F7D" w:rsidRPr="00015384" w:rsidRDefault="00F77F7D" w:rsidP="00F77F7D">
      <w:pPr>
        <w:spacing w:line="360" w:lineRule="auto"/>
        <w:jc w:val="both"/>
        <w:rPr>
          <w:rFonts w:ascii="David" w:hAnsi="David"/>
          <w:rtl/>
        </w:rPr>
      </w:pPr>
      <w:r w:rsidRPr="00015384">
        <w:rPr>
          <w:rFonts w:ascii="David" w:hAnsi="David"/>
          <w:rtl/>
        </w:rPr>
        <w:t>משום כך, על אף ביטוי מוטיבציה מילולית להשתלבות בהליך בקהילה טיפולית,  שירות המבחן נמנע מהמלצה טיפולית בעניינו והמליץ על ענישה מוחשית בדמות מאסר לתקופה ממושכת, על מנת שהנאשם יוכל לעבור הליך טיפולי במסגרת מאסרו.</w:t>
      </w:r>
      <w:r w:rsidRPr="00015384">
        <w:rPr>
          <w:rFonts w:ascii="David" w:hAnsi="David"/>
          <w:b/>
          <w:bCs/>
          <w:rtl/>
        </w:rPr>
        <w:t xml:space="preserve"> </w:t>
      </w:r>
    </w:p>
    <w:p w14:paraId="008D1991" w14:textId="77777777" w:rsidR="00F77F7D" w:rsidRPr="00015384" w:rsidRDefault="00F77F7D" w:rsidP="00F77F7D">
      <w:pPr>
        <w:spacing w:line="360" w:lineRule="auto"/>
        <w:jc w:val="both"/>
        <w:rPr>
          <w:rFonts w:ascii="David" w:hAnsi="David"/>
          <w:b/>
          <w:bCs/>
          <w:rtl/>
        </w:rPr>
      </w:pPr>
    </w:p>
    <w:p w14:paraId="401A8CE4" w14:textId="77777777" w:rsidR="00F77F7D" w:rsidRPr="00015384" w:rsidRDefault="00F77F7D" w:rsidP="00F77F7D">
      <w:pPr>
        <w:spacing w:line="360" w:lineRule="auto"/>
        <w:jc w:val="both"/>
        <w:rPr>
          <w:rFonts w:ascii="David" w:hAnsi="David"/>
          <w:b/>
          <w:bCs/>
          <w:u w:val="single"/>
          <w:rtl/>
        </w:rPr>
      </w:pPr>
      <w:r w:rsidRPr="00015384">
        <w:rPr>
          <w:rFonts w:ascii="David" w:hAnsi="David"/>
          <w:b/>
          <w:bCs/>
          <w:u w:val="single"/>
          <w:rtl/>
        </w:rPr>
        <w:t>הטיעונים לעונש</w:t>
      </w:r>
    </w:p>
    <w:p w14:paraId="559BF007" w14:textId="77777777" w:rsidR="00F77F7D" w:rsidRPr="00015384" w:rsidRDefault="00F77F7D" w:rsidP="00F77F7D">
      <w:pPr>
        <w:spacing w:line="360" w:lineRule="auto"/>
        <w:jc w:val="both"/>
        <w:rPr>
          <w:rFonts w:ascii="David" w:hAnsi="David"/>
          <w:rtl/>
        </w:rPr>
      </w:pPr>
      <w:r w:rsidRPr="00015384">
        <w:rPr>
          <w:rFonts w:ascii="David" w:hAnsi="David"/>
          <w:rtl/>
        </w:rPr>
        <w:t>המאשימה התייחסה לנסיבות העבירות כפי שהן מתוארות בכתבי האישום וביקשה לקבוע מתחמי ענישה נפרדים לכל אחד מכתבי האישום, שכן מדובר באירועים נפרדים.</w:t>
      </w:r>
    </w:p>
    <w:p w14:paraId="5A5422BE" w14:textId="77777777" w:rsidR="00F77F7D" w:rsidRPr="00015384" w:rsidRDefault="00F77F7D" w:rsidP="00F77F7D">
      <w:pPr>
        <w:spacing w:line="360" w:lineRule="auto"/>
        <w:jc w:val="both"/>
        <w:rPr>
          <w:rFonts w:ascii="David" w:hAnsi="David"/>
          <w:rtl/>
        </w:rPr>
      </w:pPr>
      <w:r w:rsidRPr="00015384">
        <w:rPr>
          <w:rFonts w:ascii="David" w:hAnsi="David"/>
          <w:rtl/>
        </w:rPr>
        <w:t xml:space="preserve">לשיטתה, מתחם העונש ההולם עבור התיק העיקרי נע בין </w:t>
      </w:r>
      <w:r w:rsidRPr="00015384">
        <w:rPr>
          <w:rFonts w:ascii="David" w:hAnsi="David"/>
          <w:b/>
          <w:bCs/>
          <w:rtl/>
        </w:rPr>
        <w:t>18 ל-36</w:t>
      </w:r>
      <w:r w:rsidRPr="00015384">
        <w:rPr>
          <w:rFonts w:ascii="David" w:hAnsi="David"/>
          <w:rtl/>
        </w:rPr>
        <w:t xml:space="preserve"> חודשים באישום הראשון,                  </w:t>
      </w:r>
      <w:r w:rsidRPr="00015384">
        <w:rPr>
          <w:rFonts w:ascii="David" w:hAnsi="David"/>
          <w:b/>
          <w:bCs/>
          <w:rtl/>
        </w:rPr>
        <w:t>ו-6 -12</w:t>
      </w:r>
      <w:r w:rsidRPr="00015384">
        <w:rPr>
          <w:rFonts w:ascii="David" w:hAnsi="David"/>
          <w:rtl/>
        </w:rPr>
        <w:t xml:space="preserve"> חודשים עבור האישום השני.</w:t>
      </w:r>
    </w:p>
    <w:p w14:paraId="68C5C9EF" w14:textId="77777777" w:rsidR="00F77F7D" w:rsidRPr="00015384" w:rsidRDefault="00F77F7D" w:rsidP="00F77F7D">
      <w:pPr>
        <w:spacing w:line="360" w:lineRule="auto"/>
        <w:jc w:val="both"/>
        <w:rPr>
          <w:rFonts w:ascii="David" w:hAnsi="David"/>
          <w:rtl/>
        </w:rPr>
      </w:pPr>
    </w:p>
    <w:p w14:paraId="06E0B9C8" w14:textId="77777777" w:rsidR="00F77F7D" w:rsidRPr="00015384" w:rsidRDefault="00F77F7D" w:rsidP="00F77F7D">
      <w:pPr>
        <w:spacing w:line="360" w:lineRule="auto"/>
        <w:jc w:val="both"/>
        <w:rPr>
          <w:rFonts w:ascii="David" w:hAnsi="David"/>
          <w:rtl/>
        </w:rPr>
      </w:pPr>
    </w:p>
    <w:p w14:paraId="7643ECF8" w14:textId="77777777" w:rsidR="00F77F7D" w:rsidRPr="00015384" w:rsidRDefault="00F77F7D" w:rsidP="00F77F7D">
      <w:pPr>
        <w:spacing w:line="360" w:lineRule="auto"/>
        <w:jc w:val="both"/>
        <w:rPr>
          <w:rFonts w:ascii="David" w:hAnsi="David"/>
          <w:rtl/>
        </w:rPr>
      </w:pPr>
      <w:r w:rsidRPr="00015384">
        <w:rPr>
          <w:rFonts w:ascii="David" w:hAnsi="David"/>
          <w:rtl/>
        </w:rPr>
        <w:t xml:space="preserve">עבור כל אחד מהתיקים 48545-11-21 ו-16653-10-21 נטען למתחם ענישה הנע בין </w:t>
      </w:r>
      <w:r w:rsidRPr="00015384">
        <w:rPr>
          <w:rFonts w:ascii="David" w:hAnsi="David"/>
          <w:b/>
          <w:bCs/>
          <w:rtl/>
        </w:rPr>
        <w:t>6 עד 12</w:t>
      </w:r>
      <w:r w:rsidRPr="00015384">
        <w:rPr>
          <w:rFonts w:ascii="David" w:hAnsi="David"/>
          <w:rtl/>
        </w:rPr>
        <w:t xml:space="preserve"> חודשים.</w:t>
      </w:r>
    </w:p>
    <w:p w14:paraId="26E6D297" w14:textId="77777777" w:rsidR="00F77F7D" w:rsidRPr="00015384" w:rsidRDefault="00F77F7D" w:rsidP="00F77F7D">
      <w:pPr>
        <w:spacing w:line="360" w:lineRule="auto"/>
        <w:jc w:val="both"/>
        <w:rPr>
          <w:rFonts w:ascii="David" w:hAnsi="David"/>
          <w:rtl/>
        </w:rPr>
      </w:pPr>
      <w:r w:rsidRPr="00015384">
        <w:rPr>
          <w:rFonts w:ascii="David" w:hAnsi="David"/>
          <w:rtl/>
        </w:rPr>
        <w:t xml:space="preserve">עבור </w:t>
      </w:r>
      <w:hyperlink r:id="rId37" w:history="1">
        <w:r w:rsidR="001E5873" w:rsidRPr="00015384">
          <w:rPr>
            <w:rFonts w:ascii="David" w:hAnsi="David"/>
            <w:color w:val="0000FF"/>
            <w:u w:val="single"/>
            <w:rtl/>
          </w:rPr>
          <w:t>תפ 19611-03-21</w:t>
        </w:r>
      </w:hyperlink>
      <w:r w:rsidRPr="00015384">
        <w:rPr>
          <w:rFonts w:ascii="David" w:hAnsi="David"/>
          <w:rtl/>
        </w:rPr>
        <w:t xml:space="preserve"> נטען למתחם הנע בין </w:t>
      </w:r>
      <w:r w:rsidRPr="00015384">
        <w:rPr>
          <w:rFonts w:ascii="David" w:hAnsi="David"/>
          <w:b/>
          <w:bCs/>
          <w:rtl/>
        </w:rPr>
        <w:t>מאסר על תנאי ועד מאסר למשך מספר חודשים</w:t>
      </w:r>
      <w:r w:rsidRPr="00015384">
        <w:rPr>
          <w:rFonts w:ascii="David" w:hAnsi="David"/>
          <w:rtl/>
        </w:rPr>
        <w:t>.</w:t>
      </w:r>
    </w:p>
    <w:p w14:paraId="0029C54C" w14:textId="77777777" w:rsidR="00F77F7D" w:rsidRPr="00015384" w:rsidRDefault="00F77F7D" w:rsidP="00F77F7D">
      <w:pPr>
        <w:spacing w:line="360" w:lineRule="auto"/>
        <w:jc w:val="both"/>
        <w:rPr>
          <w:rFonts w:ascii="David" w:hAnsi="David"/>
          <w:b/>
          <w:bCs/>
          <w:rtl/>
        </w:rPr>
      </w:pPr>
      <w:r w:rsidRPr="00015384">
        <w:rPr>
          <w:rFonts w:ascii="David" w:hAnsi="David"/>
          <w:rtl/>
        </w:rPr>
        <w:t xml:space="preserve">לשיטת המאשימה, תסקיר שירות המבחן אינו חיובי ולכן יש למקם את הנאשם באמצע המתחמים שהוצגו, </w:t>
      </w:r>
      <w:r w:rsidRPr="00015384">
        <w:rPr>
          <w:rFonts w:ascii="David" w:hAnsi="David"/>
          <w:b/>
          <w:bCs/>
          <w:rtl/>
        </w:rPr>
        <w:t>וסך הכל להשית עליו עונש שלא יפחת מ-50 חודשי מאסר בפועל וענישה נלווית הכוללת גם פיצוי למתלוננים.</w:t>
      </w:r>
    </w:p>
    <w:p w14:paraId="5D82B14D" w14:textId="77777777" w:rsidR="00F77F7D" w:rsidRPr="00015384" w:rsidRDefault="00F77F7D" w:rsidP="00F77F7D">
      <w:pPr>
        <w:spacing w:line="360" w:lineRule="auto"/>
        <w:jc w:val="both"/>
        <w:rPr>
          <w:rFonts w:ascii="David" w:hAnsi="David"/>
          <w:b/>
          <w:bCs/>
          <w:rtl/>
        </w:rPr>
      </w:pPr>
    </w:p>
    <w:p w14:paraId="79D8B5C1" w14:textId="77777777" w:rsidR="00F77F7D" w:rsidRPr="00015384" w:rsidRDefault="00F77F7D" w:rsidP="00F77F7D">
      <w:pPr>
        <w:spacing w:line="360" w:lineRule="auto"/>
        <w:jc w:val="both"/>
        <w:rPr>
          <w:rFonts w:ascii="David" w:hAnsi="David"/>
          <w:rtl/>
        </w:rPr>
      </w:pPr>
      <w:r w:rsidRPr="00015384">
        <w:rPr>
          <w:rFonts w:ascii="David" w:hAnsi="David"/>
          <w:b/>
          <w:bCs/>
          <w:rtl/>
        </w:rPr>
        <w:t>ב"כ הנאשם טענה</w:t>
      </w:r>
      <w:r w:rsidRPr="00015384">
        <w:rPr>
          <w:rFonts w:ascii="David" w:hAnsi="David"/>
          <w:rtl/>
        </w:rPr>
        <w:t xml:space="preserve"> כי הנאשם נטל אחריות על מעשיו כבר בשלב החקירה, עוד בטרם הודאתו בבית המשפט ולכן יש להתעלם מקביעת שירות המבחן לפיה הנאשם לא לוקח אחריות.</w:t>
      </w:r>
    </w:p>
    <w:p w14:paraId="09C1B317" w14:textId="77777777" w:rsidR="00F77F7D" w:rsidRPr="00015384" w:rsidRDefault="00F77F7D" w:rsidP="00F77F7D">
      <w:pPr>
        <w:spacing w:line="360" w:lineRule="auto"/>
        <w:jc w:val="both"/>
        <w:rPr>
          <w:rFonts w:ascii="David" w:hAnsi="David"/>
          <w:rtl/>
        </w:rPr>
      </w:pPr>
      <w:r w:rsidRPr="00015384">
        <w:rPr>
          <w:rFonts w:ascii="David" w:hAnsi="David"/>
          <w:rtl/>
        </w:rPr>
        <w:t>הנאשם החליט מתוך החלטה מושכלת להודות, לנקות שולחן, להתמקד בטיפול בעניינו ומאז מעצרו הוא שומר על עצמו מצריכת סמים ומביע רצון להתנקות ולקבל טיפול.</w:t>
      </w:r>
    </w:p>
    <w:p w14:paraId="67002423" w14:textId="77777777" w:rsidR="00F77F7D" w:rsidRPr="00015384" w:rsidRDefault="00F77F7D" w:rsidP="00F77F7D">
      <w:pPr>
        <w:spacing w:line="360" w:lineRule="auto"/>
        <w:jc w:val="both"/>
        <w:rPr>
          <w:rFonts w:ascii="David" w:hAnsi="David"/>
          <w:rtl/>
        </w:rPr>
      </w:pPr>
      <w:r w:rsidRPr="00015384">
        <w:rPr>
          <w:rFonts w:ascii="David" w:hAnsi="David"/>
          <w:rtl/>
        </w:rPr>
        <w:t xml:space="preserve">לשיטת ב"כ הנאשם, מכלול העבירות מהוות אירוע אחד שכן הנאשם ביצע אותן ברצף, על רקע שימוש בסמים, מתוך מחשבה שהוא צריך להשיג את הסמים וביניהם קשר הדוק המתאר תוכנית עבריינית אחת, ולכן יש לקבוע מתחם עונש אחד. </w:t>
      </w:r>
    </w:p>
    <w:p w14:paraId="0B77480E" w14:textId="77777777" w:rsidR="00F77F7D" w:rsidRPr="00015384" w:rsidRDefault="00F77F7D" w:rsidP="00F77F7D">
      <w:pPr>
        <w:spacing w:line="360" w:lineRule="auto"/>
        <w:jc w:val="both"/>
        <w:rPr>
          <w:rFonts w:ascii="David" w:hAnsi="David"/>
          <w:rtl/>
        </w:rPr>
      </w:pPr>
      <w:r w:rsidRPr="00015384">
        <w:rPr>
          <w:rFonts w:ascii="David" w:hAnsi="David"/>
          <w:rtl/>
        </w:rPr>
        <w:t xml:space="preserve">מאז הרשעתו בשנת 2015, לא הורשע הנאשם שוב ומכאן שהוא הצליח לשמור על עצמו, ללא סיוע גורם מקצועי. </w:t>
      </w:r>
    </w:p>
    <w:p w14:paraId="7A1405CB" w14:textId="77777777" w:rsidR="00F77F7D" w:rsidRPr="00015384" w:rsidRDefault="00F77F7D" w:rsidP="00F77F7D">
      <w:pPr>
        <w:spacing w:line="360" w:lineRule="auto"/>
        <w:jc w:val="both"/>
        <w:rPr>
          <w:rFonts w:ascii="David" w:hAnsi="David"/>
          <w:rtl/>
        </w:rPr>
      </w:pPr>
      <w:r w:rsidRPr="00015384">
        <w:rPr>
          <w:rFonts w:ascii="David" w:hAnsi="David"/>
          <w:rtl/>
        </w:rPr>
        <w:t xml:space="preserve">הנאשם הוא קורבן של נסיבות חייו ושל משפחתו. הוא לא טופל כנדרש בילדותו וכבר בגיל צעיר נדרש לעזוב את ספסל הלימודים כדי לפרנס את המשפחה וחי חיים אומללים. הוא אינו יודע קרוא וכתוב, גדל בחסכים ונשא באחריות כלכלית על משפחתו. בהעדר דמויות מכילות בחייו החל בשימוש בסמים, אשר הוביל אותו למקומות אפלים ולבסוף- לביצוע העבירות. </w:t>
      </w:r>
    </w:p>
    <w:p w14:paraId="6D2F2C3D" w14:textId="77777777" w:rsidR="00F77F7D" w:rsidRPr="00015384" w:rsidRDefault="00F77F7D" w:rsidP="00F77F7D">
      <w:pPr>
        <w:spacing w:line="360" w:lineRule="auto"/>
        <w:jc w:val="both"/>
        <w:rPr>
          <w:rFonts w:ascii="David" w:hAnsi="David"/>
          <w:rtl/>
        </w:rPr>
      </w:pPr>
      <w:r w:rsidRPr="00015384">
        <w:rPr>
          <w:rFonts w:ascii="David" w:hAnsi="David"/>
          <w:rtl/>
        </w:rPr>
        <w:t>בהתחשב בכל זאת, על שירות המבחן היה להתגייס לטובתו, לעמוד לצדו ולסייע לו להיגמל, אך תחת זאת המליץ שירות המבחן על השמתו מאחורי סורג ובריח.</w:t>
      </w:r>
    </w:p>
    <w:p w14:paraId="45C104CA" w14:textId="77777777" w:rsidR="00F77F7D" w:rsidRPr="00015384" w:rsidRDefault="00F77F7D" w:rsidP="00F77F7D">
      <w:pPr>
        <w:spacing w:line="360" w:lineRule="auto"/>
        <w:jc w:val="both"/>
        <w:rPr>
          <w:rFonts w:ascii="David" w:hAnsi="David"/>
          <w:rtl/>
        </w:rPr>
      </w:pPr>
      <w:r w:rsidRPr="00015384">
        <w:rPr>
          <w:rFonts w:ascii="David" w:hAnsi="David"/>
          <w:rtl/>
        </w:rPr>
        <w:t>עוד הודגש כי הנאשם עצור מזה 10 חודשים.</w:t>
      </w:r>
    </w:p>
    <w:p w14:paraId="18E19120" w14:textId="77777777" w:rsidR="00F77F7D" w:rsidRPr="00015384" w:rsidRDefault="00F77F7D" w:rsidP="00F77F7D">
      <w:pPr>
        <w:spacing w:line="360" w:lineRule="auto"/>
        <w:jc w:val="both"/>
        <w:rPr>
          <w:rFonts w:ascii="David" w:hAnsi="David"/>
          <w:rtl/>
        </w:rPr>
      </w:pPr>
      <w:r w:rsidRPr="00015384">
        <w:rPr>
          <w:rFonts w:ascii="David" w:hAnsi="David"/>
          <w:rtl/>
        </w:rPr>
        <w:t xml:space="preserve">כדי להמחיש את מצבו המשפחתי המורכב של הנאשם, מסרה הסנגורית כי אביו ביקש לקבל את ההפקדה שהופקדה, על אף שלא הוא שילם אותה. </w:t>
      </w:r>
    </w:p>
    <w:p w14:paraId="20894701" w14:textId="77777777" w:rsidR="00F77F7D" w:rsidRPr="00015384" w:rsidRDefault="00F77F7D" w:rsidP="00F77F7D">
      <w:pPr>
        <w:spacing w:line="360" w:lineRule="auto"/>
        <w:jc w:val="both"/>
        <w:rPr>
          <w:rFonts w:ascii="David" w:hAnsi="David"/>
          <w:b/>
          <w:bCs/>
          <w:rtl/>
        </w:rPr>
      </w:pPr>
      <w:r w:rsidRPr="00015384">
        <w:rPr>
          <w:rFonts w:ascii="David" w:hAnsi="David"/>
          <w:b/>
          <w:bCs/>
          <w:rtl/>
        </w:rPr>
        <w:t xml:space="preserve">נוכח טיעוניה אלה, ביקשה ההגנה לקבוע מתחם עונש אחד לכלל התיקים אשר ינוע בן 10 ל-24 חודשים ולגזור על הנאשם עונש שלא יחרוג מ-15 חודשי מאסר וגם בקביעת העונשים הנלווים להתחשב במצבו ולא למצות עמו את הדין. </w:t>
      </w:r>
    </w:p>
    <w:p w14:paraId="4D75A4B0" w14:textId="77777777" w:rsidR="00F77F7D" w:rsidRPr="00015384" w:rsidRDefault="00F77F7D" w:rsidP="00F77F7D">
      <w:pPr>
        <w:spacing w:line="360" w:lineRule="auto"/>
        <w:jc w:val="both"/>
        <w:rPr>
          <w:rFonts w:ascii="David" w:hAnsi="David"/>
          <w:rtl/>
        </w:rPr>
      </w:pPr>
    </w:p>
    <w:p w14:paraId="353BDE09" w14:textId="77777777" w:rsidR="00F77F7D" w:rsidRPr="00015384" w:rsidRDefault="00F77F7D" w:rsidP="00F77F7D">
      <w:pPr>
        <w:spacing w:line="360" w:lineRule="auto"/>
        <w:jc w:val="both"/>
        <w:rPr>
          <w:rFonts w:ascii="David" w:hAnsi="David"/>
          <w:rtl/>
        </w:rPr>
      </w:pPr>
      <w:r w:rsidRPr="00015384">
        <w:rPr>
          <w:rFonts w:ascii="David" w:hAnsi="David"/>
          <w:b/>
          <w:bCs/>
          <w:rtl/>
        </w:rPr>
        <w:t>הנאשם הביע את צערו על מעשיו בדברו האחרון.</w:t>
      </w:r>
      <w:r w:rsidRPr="00015384">
        <w:rPr>
          <w:rFonts w:ascii="David" w:hAnsi="David"/>
          <w:rtl/>
        </w:rPr>
        <w:t xml:space="preserve"> הוא אמר שלא היה מודע וער למעשיו וביקש ליתן לו הזדמנות ללכת בדרך הישר מבלי שישוב לבצע מעשים דומים.</w:t>
      </w:r>
    </w:p>
    <w:p w14:paraId="54C1E0E6" w14:textId="77777777" w:rsidR="00F77F7D" w:rsidRPr="00015384" w:rsidRDefault="00F77F7D" w:rsidP="00F77F7D">
      <w:pPr>
        <w:spacing w:line="360" w:lineRule="auto"/>
        <w:jc w:val="both"/>
        <w:rPr>
          <w:rFonts w:ascii="David" w:hAnsi="David"/>
          <w:rtl/>
        </w:rPr>
      </w:pPr>
    </w:p>
    <w:p w14:paraId="2CDDCB65" w14:textId="77777777" w:rsidR="00F77F7D" w:rsidRPr="00015384" w:rsidRDefault="00F77F7D" w:rsidP="00F77F7D">
      <w:pPr>
        <w:spacing w:line="360" w:lineRule="auto"/>
        <w:jc w:val="both"/>
        <w:rPr>
          <w:rFonts w:ascii="David" w:hAnsi="David"/>
          <w:rtl/>
        </w:rPr>
      </w:pPr>
    </w:p>
    <w:p w14:paraId="53D0B47C" w14:textId="77777777" w:rsidR="00F77F7D" w:rsidRPr="00015384" w:rsidRDefault="00F77F7D" w:rsidP="00F77F7D">
      <w:pPr>
        <w:spacing w:line="360" w:lineRule="auto"/>
        <w:jc w:val="both"/>
        <w:rPr>
          <w:rFonts w:ascii="David" w:hAnsi="David"/>
          <w:rtl/>
        </w:rPr>
      </w:pPr>
    </w:p>
    <w:p w14:paraId="08A8EE3D" w14:textId="77777777" w:rsidR="00F77F7D" w:rsidRPr="00015384" w:rsidRDefault="00F77F7D" w:rsidP="00F77F7D">
      <w:pPr>
        <w:spacing w:line="360" w:lineRule="auto"/>
        <w:jc w:val="both"/>
        <w:rPr>
          <w:rFonts w:ascii="David" w:hAnsi="David"/>
          <w:rtl/>
        </w:rPr>
      </w:pPr>
    </w:p>
    <w:p w14:paraId="53C850EF" w14:textId="77777777" w:rsidR="00F77F7D" w:rsidRPr="00015384" w:rsidRDefault="00F77F7D" w:rsidP="00F77F7D">
      <w:pPr>
        <w:spacing w:line="360" w:lineRule="auto"/>
        <w:jc w:val="both"/>
        <w:rPr>
          <w:rFonts w:ascii="David" w:hAnsi="David"/>
          <w:rtl/>
        </w:rPr>
      </w:pPr>
    </w:p>
    <w:p w14:paraId="46D5B232" w14:textId="77777777" w:rsidR="00F77F7D" w:rsidRPr="00015384" w:rsidRDefault="00F77F7D" w:rsidP="00F77F7D">
      <w:pPr>
        <w:spacing w:line="360" w:lineRule="auto"/>
        <w:jc w:val="both"/>
        <w:rPr>
          <w:rFonts w:ascii="David" w:hAnsi="David"/>
          <w:rtl/>
        </w:rPr>
      </w:pPr>
    </w:p>
    <w:p w14:paraId="0F220C0C" w14:textId="77777777" w:rsidR="00F77F7D" w:rsidRPr="00015384" w:rsidRDefault="00F77F7D" w:rsidP="00F77F7D">
      <w:pPr>
        <w:spacing w:line="360" w:lineRule="auto"/>
        <w:jc w:val="both"/>
        <w:rPr>
          <w:rFonts w:ascii="David" w:hAnsi="David"/>
          <w:b/>
          <w:bCs/>
          <w:u w:val="single"/>
          <w:rtl/>
        </w:rPr>
      </w:pPr>
      <w:r w:rsidRPr="00015384">
        <w:rPr>
          <w:rFonts w:ascii="David" w:hAnsi="David"/>
          <w:b/>
          <w:bCs/>
          <w:u w:val="single"/>
          <w:rtl/>
        </w:rPr>
        <w:t>דיון והכרעה</w:t>
      </w:r>
    </w:p>
    <w:p w14:paraId="2834E0B5" w14:textId="77777777" w:rsidR="00F77F7D" w:rsidRPr="00015384" w:rsidRDefault="00F77F7D" w:rsidP="00F77F7D">
      <w:pPr>
        <w:spacing w:line="360" w:lineRule="auto"/>
        <w:jc w:val="both"/>
        <w:rPr>
          <w:rFonts w:ascii="David" w:hAnsi="David"/>
          <w:rtl/>
        </w:rPr>
      </w:pPr>
      <w:r w:rsidRPr="00015384">
        <w:rPr>
          <w:rFonts w:ascii="David" w:hAnsi="David"/>
          <w:rtl/>
        </w:rPr>
        <w:t xml:space="preserve">כמצוות </w:t>
      </w:r>
      <w:hyperlink r:id="rId38" w:history="1">
        <w:r w:rsidR="001E5873" w:rsidRPr="00015384">
          <w:rPr>
            <w:rFonts w:ascii="David" w:hAnsi="David"/>
            <w:color w:val="0000FF"/>
            <w:u w:val="single"/>
            <w:rtl/>
          </w:rPr>
          <w:t>חוק העונשין</w:t>
        </w:r>
      </w:hyperlink>
      <w:r w:rsidRPr="00015384">
        <w:rPr>
          <w:rFonts w:ascii="David" w:hAnsi="David"/>
          <w:rtl/>
        </w:rPr>
        <w:t>, העיקרון המנחה בענישה הוא עקרון ההלימה, אשר על פיו קובע בית המשפט את העונש ההולם לעבירות בהתחשב בערכים המוגנים, מידת הפגיעה בהם, נסיבות ביצוע העבירות ומדיניות הענישה הנוהגת.</w:t>
      </w:r>
    </w:p>
    <w:p w14:paraId="0F9D4A03" w14:textId="77777777" w:rsidR="00F77F7D" w:rsidRPr="00015384" w:rsidRDefault="00F77F7D" w:rsidP="00F77F7D">
      <w:pPr>
        <w:spacing w:line="360" w:lineRule="auto"/>
        <w:jc w:val="both"/>
        <w:rPr>
          <w:rFonts w:ascii="David" w:hAnsi="David"/>
          <w:rtl/>
        </w:rPr>
      </w:pPr>
      <w:r w:rsidRPr="00015384">
        <w:rPr>
          <w:rFonts w:ascii="David" w:hAnsi="David"/>
          <w:rtl/>
        </w:rPr>
        <w:t xml:space="preserve">הנאשם הורשע בארבעה כתבי אישום נפרדים. כל אחד מהם מתאר עבירות שונות אשר בוצעו במועדים שונים, במקומות ובנסיבות שונים וגם הנפגעים מהם, הם מתלוננים שונים. </w:t>
      </w:r>
    </w:p>
    <w:p w14:paraId="202D08CB" w14:textId="77777777" w:rsidR="00F77F7D" w:rsidRPr="00015384" w:rsidRDefault="00F77F7D" w:rsidP="00F77F7D">
      <w:pPr>
        <w:spacing w:line="360" w:lineRule="auto"/>
        <w:jc w:val="both"/>
        <w:rPr>
          <w:rFonts w:ascii="David" w:hAnsi="David"/>
          <w:u w:val="single"/>
          <w:rtl/>
        </w:rPr>
      </w:pPr>
      <w:r w:rsidRPr="00015384">
        <w:rPr>
          <w:rFonts w:ascii="David" w:hAnsi="David"/>
          <w:rtl/>
        </w:rPr>
        <w:t xml:space="preserve">הרקע לביצוע העבירות הוא ככל הנראה השימוש שהנאשם עושה בסמים, אולם הדבר לא קושר את המעשים בקשר הדוק לכדי אירוע פלילי אחד ומשום כך, </w:t>
      </w:r>
      <w:r w:rsidRPr="00015384">
        <w:rPr>
          <w:rFonts w:ascii="David" w:hAnsi="David"/>
          <w:u w:val="single"/>
          <w:rtl/>
        </w:rPr>
        <w:t>לכל אחד מכתבי האישום אקבע מתחם עונשי נפרד.</w:t>
      </w:r>
    </w:p>
    <w:p w14:paraId="7AB713F5" w14:textId="77777777" w:rsidR="00F77F7D" w:rsidRPr="00015384" w:rsidRDefault="00F77F7D" w:rsidP="00F77F7D">
      <w:pPr>
        <w:spacing w:line="360" w:lineRule="auto"/>
        <w:jc w:val="both"/>
        <w:rPr>
          <w:rFonts w:ascii="David" w:hAnsi="David"/>
          <w:rtl/>
        </w:rPr>
      </w:pPr>
    </w:p>
    <w:p w14:paraId="5C859164" w14:textId="77777777" w:rsidR="00F77F7D" w:rsidRPr="00015384" w:rsidRDefault="00F77F7D" w:rsidP="00F77F7D">
      <w:pPr>
        <w:spacing w:line="360" w:lineRule="auto"/>
        <w:jc w:val="both"/>
        <w:rPr>
          <w:rFonts w:ascii="David" w:hAnsi="David"/>
          <w:b/>
          <w:bCs/>
          <w:u w:val="single"/>
          <w:rtl/>
        </w:rPr>
      </w:pPr>
      <w:r w:rsidRPr="00015384">
        <w:rPr>
          <w:rFonts w:ascii="David" w:hAnsi="David"/>
          <w:b/>
          <w:bCs/>
          <w:u w:val="single"/>
          <w:rtl/>
        </w:rPr>
        <w:t>מתחמי הענישה ההולמים</w:t>
      </w:r>
    </w:p>
    <w:p w14:paraId="0B279F0B" w14:textId="77777777" w:rsidR="00F77F7D" w:rsidRPr="00015384" w:rsidRDefault="00F77F7D" w:rsidP="00F77F7D">
      <w:pPr>
        <w:spacing w:line="360" w:lineRule="auto"/>
        <w:jc w:val="both"/>
        <w:rPr>
          <w:rFonts w:ascii="David" w:hAnsi="David"/>
          <w:rtl/>
        </w:rPr>
      </w:pPr>
      <w:r w:rsidRPr="00015384">
        <w:rPr>
          <w:rFonts w:ascii="David" w:hAnsi="David"/>
          <w:b/>
          <w:bCs/>
          <w:rtl/>
        </w:rPr>
        <w:t>בתיק העיקרי שני אישומים</w:t>
      </w:r>
      <w:r w:rsidRPr="00015384">
        <w:rPr>
          <w:rFonts w:ascii="David" w:hAnsi="David"/>
          <w:rtl/>
        </w:rPr>
        <w:t xml:space="preserve"> אשר כל אחד מהם מתאר אירוע נפרד ועבירות שונות, שביניהם פער זמנים של כשבוע ואין ביניהם חוליות מקשרות.</w:t>
      </w:r>
    </w:p>
    <w:p w14:paraId="0A0D2A30" w14:textId="77777777" w:rsidR="00F77F7D" w:rsidRPr="00015384" w:rsidRDefault="00F77F7D" w:rsidP="00F77F7D">
      <w:pPr>
        <w:spacing w:line="360" w:lineRule="auto"/>
        <w:jc w:val="both"/>
        <w:rPr>
          <w:rFonts w:ascii="David" w:hAnsi="David"/>
          <w:rtl/>
        </w:rPr>
      </w:pPr>
      <w:r w:rsidRPr="00015384">
        <w:rPr>
          <w:rFonts w:ascii="David" w:hAnsi="David"/>
          <w:b/>
          <w:bCs/>
          <w:rtl/>
        </w:rPr>
        <w:t>האישום הראשון</w:t>
      </w:r>
      <w:r w:rsidRPr="00015384">
        <w:rPr>
          <w:rFonts w:ascii="David" w:hAnsi="David"/>
          <w:rtl/>
        </w:rPr>
        <w:t xml:space="preserve"> מתאר עבירה של התפרצות לבית מגורים ועבירות לפי חוק שירותי תשלום.</w:t>
      </w:r>
    </w:p>
    <w:p w14:paraId="361827F7" w14:textId="77777777" w:rsidR="00F77F7D" w:rsidRPr="00015384" w:rsidRDefault="00F77F7D" w:rsidP="00F77F7D">
      <w:pPr>
        <w:spacing w:before="100" w:beforeAutospacing="1" w:after="100" w:afterAutospacing="1" w:line="360" w:lineRule="auto"/>
        <w:jc w:val="both"/>
        <w:rPr>
          <w:rFonts w:ascii="David" w:hAnsi="David"/>
          <w:rtl/>
        </w:rPr>
      </w:pPr>
      <w:r w:rsidRPr="00015384">
        <w:rPr>
          <w:rFonts w:ascii="David" w:hAnsi="David"/>
          <w:rtl/>
        </w:rPr>
        <w:t xml:space="preserve">עבירות ההתפרצות לבתים הן תופעה רווחת וקשה ועל חומרתן עמדו בתי המשפט השונים, תוך גזירת עונשים מרתיעים בגינן. </w:t>
      </w:r>
    </w:p>
    <w:p w14:paraId="57C1EEDE" w14:textId="77777777" w:rsidR="00F77F7D" w:rsidRPr="00015384" w:rsidRDefault="00F77F7D" w:rsidP="00F77F7D">
      <w:pPr>
        <w:spacing w:before="100" w:beforeAutospacing="1" w:after="100" w:afterAutospacing="1" w:line="360" w:lineRule="auto"/>
        <w:jc w:val="both"/>
        <w:rPr>
          <w:rFonts w:ascii="David" w:hAnsi="David"/>
          <w:rtl/>
        </w:rPr>
      </w:pPr>
      <w:r w:rsidRPr="00015384">
        <w:rPr>
          <w:rFonts w:ascii="David" w:hAnsi="David"/>
          <w:rtl/>
        </w:rPr>
        <w:t>על מהותה של עבירה זו עמד בית המשפט העליון ב</w:t>
      </w:r>
      <w:hyperlink r:id="rId39" w:history="1">
        <w:r w:rsidR="001E5873" w:rsidRPr="00015384">
          <w:rPr>
            <w:rFonts w:ascii="David" w:hAnsi="David"/>
            <w:color w:val="0000FF"/>
            <w:u w:val="single"/>
            <w:rtl/>
          </w:rPr>
          <w:t>ע"פ 7453/08</w:t>
        </w:r>
      </w:hyperlink>
      <w:r w:rsidRPr="00015384">
        <w:rPr>
          <w:rFonts w:ascii="David" w:hAnsi="David"/>
          <w:rtl/>
        </w:rPr>
        <w:t xml:space="preserve"> </w:t>
      </w:r>
      <w:r w:rsidRPr="00015384">
        <w:rPr>
          <w:rFonts w:ascii="David" w:hAnsi="David"/>
          <w:b/>
          <w:bCs/>
          <w:rtl/>
        </w:rPr>
        <w:t>מדינת ישראל נ' אואזנה</w:t>
      </w:r>
      <w:r w:rsidRPr="00015384">
        <w:rPr>
          <w:rFonts w:ascii="David" w:hAnsi="David"/>
          <w:rtl/>
        </w:rPr>
        <w:t>, מיום 31.12.08:</w:t>
      </w:r>
    </w:p>
    <w:p w14:paraId="45F5A712" w14:textId="77777777" w:rsidR="00F77F7D" w:rsidRPr="00015384" w:rsidRDefault="00F77F7D" w:rsidP="00F77F7D">
      <w:pPr>
        <w:spacing w:before="100" w:beforeAutospacing="1" w:after="100" w:afterAutospacing="1" w:line="360" w:lineRule="auto"/>
        <w:jc w:val="both"/>
        <w:rPr>
          <w:b/>
          <w:bCs/>
          <w:rtl/>
        </w:rPr>
      </w:pPr>
      <w:r w:rsidRPr="00015384">
        <w:rPr>
          <w:rFonts w:ascii="David" w:hAnsi="David"/>
          <w:b/>
          <w:bCs/>
          <w:rtl/>
        </w:rPr>
        <w:t xml:space="preserve">"אין צורך להכביר מילים על נפיצותן, חומרתן והנזק הנגרם לציבור מעבירות הרכוש, כדוגמת זו שביצעו המשיבים. </w:t>
      </w:r>
      <w:r w:rsidR="001E5873" w:rsidRPr="00015384">
        <w:rPr>
          <w:rFonts w:ascii="David" w:hAnsi="David"/>
          <w:b/>
          <w:bCs/>
          <w:rtl/>
        </w:rPr>
        <w:t xml:space="preserve"> </w:t>
      </w:r>
      <w:r w:rsidRPr="00015384">
        <w:rPr>
          <w:rFonts w:ascii="David" w:hAnsi="David"/>
          <w:b/>
          <w:bCs/>
          <w:rtl/>
        </w:rPr>
        <w:t xml:space="preserve">לגישתי, כינוי עבירות של פריצה וגניבה מבתים, רק כ"עבירות נגד הרכוש" (כפי שמקובל לקרוא </w:t>
      </w:r>
      <w:r w:rsidR="001E5873" w:rsidRPr="00015384">
        <w:rPr>
          <w:rFonts w:ascii="David" w:hAnsi="David"/>
          <w:b/>
          <w:bCs/>
          <w:rtl/>
        </w:rPr>
        <w:t xml:space="preserve"> </w:t>
      </w:r>
      <w:r w:rsidRPr="00015384">
        <w:rPr>
          <w:rFonts w:ascii="David" w:hAnsi="David"/>
          <w:b/>
          <w:bCs/>
          <w:rtl/>
        </w:rPr>
        <w:t>לעבירות מסוג זה), הינה הגדרה מוטעית. זאת מאחר שפריצה לביתו של אדם, טומנת בחובה לעיתים קרובות לא רק נזק כלכלי רב, אלא גם צער ועוגמת הנפש הנגרמים לקרבנות של עבירות אלה. הנה כי כן, אין מדובר בעבירות נגד רכוש גרידא, אלא בעבירות המפרות את פרטיותו של האדם בצורה הגבוהה ביותר. זאת ועוד הגדרת עבירות אלו כ"עבירות רכוש", נותנת תחושה מצמצמת וקונוטציה שגויה – לסובבים, באשר למהות העבירות שהתבצעו, הפוגעות במהות המתמצית באמירה: "ביתו של האדם – מבצרו". ברגע שביתו של אדם נפרץ, תחושת חוסר אונים וחוסר ביטחון ממלאת את ליבו. הנה כי כן, הפריצה אינה רק לבית – מבחינה פיזית, אלא בעיקרה חדירה לתוך התא האישי-משפחתי השמור ביותר של האדם".</w:t>
      </w:r>
    </w:p>
    <w:p w14:paraId="7C173101" w14:textId="77777777" w:rsidR="00F77F7D" w:rsidRPr="00015384" w:rsidRDefault="00F77F7D" w:rsidP="00F77F7D">
      <w:pPr>
        <w:spacing w:line="360" w:lineRule="auto"/>
        <w:jc w:val="both"/>
        <w:rPr>
          <w:rFonts w:ascii="David" w:eastAsia="Calibri" w:hAnsi="David"/>
          <w:rtl/>
        </w:rPr>
      </w:pPr>
      <w:r w:rsidRPr="00015384">
        <w:rPr>
          <w:rFonts w:ascii="David" w:hAnsi="David"/>
          <w:rtl/>
        </w:rPr>
        <w:t>עבירת ההתפרצות פוגעת בזכות קניין, בפרטיות ובתחושת הביטחון. בדרך כלל מטרתו של מבצע העבירה היא השגת ממון או דברי ערך אחרים, אך מעצם טבעה היא עשויה להביא למפגש בלתי רצוי בין הפורץ לבעלי הבית, אשר עשוי להסתיים בפגיעה בגוף ובנפש.  עצם התפרצותו של אדם זר לבית הפרטי, מערערת את השלווה והרוגע של בני הבית, ומכאן שהפגיעה כתוצאה מעבירה זו, הינה משמעותית.</w:t>
      </w:r>
    </w:p>
    <w:p w14:paraId="20C000E8" w14:textId="77777777" w:rsidR="00F77F7D" w:rsidRPr="00015384" w:rsidRDefault="00F77F7D" w:rsidP="00F77F7D">
      <w:pPr>
        <w:spacing w:line="360" w:lineRule="auto"/>
        <w:jc w:val="both"/>
        <w:rPr>
          <w:rFonts w:ascii="David" w:hAnsi="David"/>
          <w:rtl/>
        </w:rPr>
      </w:pPr>
      <w:r w:rsidRPr="00015384">
        <w:rPr>
          <w:rFonts w:ascii="David" w:hAnsi="David"/>
          <w:rtl/>
        </w:rPr>
        <w:t>עבירות לפי חוק שירותי תשלום נועדו להגן על חיי מסחר תקינים ועל אמצעי התשלום המודרני של כרטיס החיוב. כיום, כאשר מרבית הסחר מתבצע באמצעים אלקטרוניים, השימוש הבלתי מורשה בהם פוגע באמון שרוכשים לו בעלי העסקים ובשימוש התדיר שעושים בו בעלי הכרטיסים.</w:t>
      </w:r>
    </w:p>
    <w:p w14:paraId="00EF7C68" w14:textId="77777777" w:rsidR="00F77F7D" w:rsidRPr="00015384" w:rsidRDefault="00F77F7D" w:rsidP="00F77F7D">
      <w:pPr>
        <w:spacing w:line="360" w:lineRule="auto"/>
        <w:jc w:val="both"/>
        <w:rPr>
          <w:rFonts w:ascii="David" w:hAnsi="David"/>
          <w:rtl/>
        </w:rPr>
      </w:pPr>
      <w:r w:rsidRPr="00015384">
        <w:rPr>
          <w:rFonts w:ascii="David" w:hAnsi="David"/>
          <w:rtl/>
        </w:rPr>
        <w:t>האישום הראשון מתאר כיצד בתעוזה רבה, התפרץ הנאשם לבית מגורים בשעת צהריים, בעת שבני הבית שוהים בו. העובדה שבחדר ישן אחד מבני הבית, לא עצרה את הנאשם מלהיכנס לחדר ולגנוב מתוכו את כרטיס האשראי, הכל כאשר לידו נמצא אותו אדם. המקרה ממחיש את חוסר המורא של הנאשם, את תעוזתו ואת המניע החזק שהפעיל אותו- הרצון להשיג רכוש שאינו שייך לו, לצרכיו האישיים.</w:t>
      </w:r>
    </w:p>
    <w:p w14:paraId="7E845720" w14:textId="77777777" w:rsidR="00F77F7D" w:rsidRPr="00015384" w:rsidRDefault="00F77F7D" w:rsidP="00F77F7D">
      <w:pPr>
        <w:spacing w:line="360" w:lineRule="auto"/>
        <w:jc w:val="both"/>
        <w:rPr>
          <w:rFonts w:ascii="David" w:hAnsi="David"/>
          <w:rtl/>
        </w:rPr>
      </w:pPr>
      <w:r w:rsidRPr="00015384">
        <w:rPr>
          <w:rFonts w:ascii="David" w:hAnsi="David"/>
          <w:rtl/>
        </w:rPr>
        <w:t xml:space="preserve">בכך לא תם האירוע והנאשם המשיך לבצע את תוכניתו העבריינית, כאשר פנה לחנויות שונות ובהן ביצע  באמצעות כרטיס החיוב שגנב, רכישות בסכום של 1,373 ₪, וניסה לבצע רכישות נוספות שלא הושלמו. </w:t>
      </w:r>
    </w:p>
    <w:p w14:paraId="360F736B" w14:textId="77777777" w:rsidR="00F77F7D" w:rsidRPr="00015384" w:rsidRDefault="00F77F7D" w:rsidP="00F77F7D">
      <w:pPr>
        <w:spacing w:line="360" w:lineRule="auto"/>
        <w:jc w:val="both"/>
        <w:rPr>
          <w:rFonts w:ascii="David" w:hAnsi="David"/>
          <w:rtl/>
        </w:rPr>
      </w:pPr>
      <w:r w:rsidRPr="00015384">
        <w:rPr>
          <w:rFonts w:ascii="David" w:hAnsi="David"/>
          <w:rtl/>
        </w:rPr>
        <w:t>הפגיעה בבני הבית, מעצם ההתפרצות לתוכו, היא קשה ומשמעותית. פוטנציאל הנזק הטמון במעשים- גבוה אף יותר. הפגיעה הקניינית אינה עניין של מה בכך, אך קשה הימנה היא הפגיעה בתחושת השלווה של בני הבית, אשר אדם זר פרץ לתוכו, בעוד אחד מהם ישן בחדרו, ובהמשך הפר את פרטיותם בשנית, בכך שעשה שימוש בכרטיס החיוב הפרטי שלהם.</w:t>
      </w:r>
    </w:p>
    <w:p w14:paraId="09CB9A94" w14:textId="77777777" w:rsidR="00F77F7D" w:rsidRPr="00015384" w:rsidRDefault="00F77F7D" w:rsidP="00F77F7D">
      <w:pPr>
        <w:spacing w:line="360" w:lineRule="auto"/>
        <w:jc w:val="both"/>
        <w:rPr>
          <w:rFonts w:ascii="David" w:hAnsi="David"/>
          <w:b/>
          <w:bCs/>
          <w:rtl/>
        </w:rPr>
      </w:pPr>
      <w:r w:rsidRPr="00015384">
        <w:rPr>
          <w:rFonts w:ascii="David" w:hAnsi="David"/>
          <w:rtl/>
        </w:rPr>
        <w:t xml:space="preserve">לאחר שבחנתי את כל האמור ונתתי דעתי גם לענישה שהושתה במקרים דומים, אני קובע כי </w:t>
      </w:r>
      <w:r w:rsidRPr="00015384">
        <w:rPr>
          <w:rFonts w:ascii="David" w:hAnsi="David"/>
          <w:b/>
          <w:bCs/>
          <w:rtl/>
        </w:rPr>
        <w:t>מתחם העונש ההולם אירוע זה נע בין 12 ל-22 חודשי מאסר לריצוי בפועל, נוסף לעונשים נלווים.</w:t>
      </w:r>
    </w:p>
    <w:p w14:paraId="62F5D6E9" w14:textId="77777777" w:rsidR="00F77F7D" w:rsidRPr="00015384" w:rsidRDefault="00F77F7D" w:rsidP="00F77F7D">
      <w:pPr>
        <w:spacing w:line="360" w:lineRule="auto"/>
        <w:jc w:val="both"/>
        <w:rPr>
          <w:rFonts w:ascii="David" w:hAnsi="David"/>
          <w:rtl/>
        </w:rPr>
      </w:pPr>
      <w:r w:rsidRPr="00015384">
        <w:rPr>
          <w:rFonts w:ascii="David" w:hAnsi="David"/>
          <w:b/>
          <w:bCs/>
          <w:rtl/>
        </w:rPr>
        <w:t xml:space="preserve">האישום השני </w:t>
      </w:r>
      <w:r w:rsidRPr="00015384">
        <w:rPr>
          <w:rFonts w:ascii="David" w:hAnsi="David"/>
          <w:rtl/>
        </w:rPr>
        <w:t xml:space="preserve">בתיק העיקרי מתאר עבירות של פריצה וגניבה מרכב. מדובר בעבירות בקשר לרכב, שהיו למכת מדינה, ואשר בגינן בעלי רכבים המחנים את רכבם במרחב הציבורי חשופים תדיר לפגיעה בקניינם ובפרטיותם. </w:t>
      </w:r>
    </w:p>
    <w:p w14:paraId="0C429CDD" w14:textId="77777777" w:rsidR="00F77F7D" w:rsidRPr="00015384" w:rsidRDefault="00F77F7D" w:rsidP="00F77F7D">
      <w:pPr>
        <w:spacing w:line="360" w:lineRule="auto"/>
        <w:jc w:val="both"/>
        <w:rPr>
          <w:rFonts w:ascii="David" w:hAnsi="David"/>
          <w:b/>
          <w:bCs/>
          <w:rtl/>
        </w:rPr>
      </w:pPr>
      <w:r w:rsidRPr="00015384">
        <w:rPr>
          <w:rFonts w:ascii="David" w:hAnsi="David"/>
          <w:rtl/>
        </w:rPr>
        <w:t xml:space="preserve">במקרה זה, הנאשם פרץ לרכב חונה וגנב מתוכו סכום כסף כלשהו. מבלי להפחית מחומרת המעשה, הרי שבהתחשב במנעד הרחב הקיים בסוג זה של עבירות, מדובר ברף הנמוך של עבירה זו ולכן נע </w:t>
      </w:r>
      <w:r w:rsidRPr="00015384">
        <w:rPr>
          <w:rFonts w:ascii="David" w:hAnsi="David"/>
          <w:b/>
          <w:bCs/>
          <w:rtl/>
        </w:rPr>
        <w:t xml:space="preserve">מתחם העונש ההולם אירוע זה בין  6 חודשי מאסר אשר יכול שירוצו בעבודות שירות ועד 12 חודשי מאסר. </w:t>
      </w:r>
    </w:p>
    <w:p w14:paraId="72887331" w14:textId="77777777" w:rsidR="00F77F7D" w:rsidRPr="00015384" w:rsidRDefault="00F77F7D" w:rsidP="00F77F7D">
      <w:pPr>
        <w:spacing w:line="360" w:lineRule="auto"/>
        <w:jc w:val="both"/>
        <w:rPr>
          <w:rFonts w:ascii="David" w:hAnsi="David"/>
          <w:b/>
          <w:bCs/>
          <w:rtl/>
        </w:rPr>
      </w:pPr>
    </w:p>
    <w:p w14:paraId="77B825BE" w14:textId="77777777" w:rsidR="00F77F7D" w:rsidRPr="00015384" w:rsidRDefault="001E5873" w:rsidP="00F77F7D">
      <w:pPr>
        <w:spacing w:line="360" w:lineRule="auto"/>
        <w:jc w:val="both"/>
        <w:rPr>
          <w:rFonts w:ascii="David" w:hAnsi="David"/>
          <w:b/>
          <w:bCs/>
          <w:rtl/>
        </w:rPr>
      </w:pPr>
      <w:hyperlink r:id="rId40" w:history="1">
        <w:r w:rsidRPr="00015384">
          <w:rPr>
            <w:rFonts w:ascii="David" w:hAnsi="David"/>
            <w:b/>
            <w:bCs/>
            <w:color w:val="0000FF"/>
            <w:u w:val="single"/>
            <w:rtl/>
          </w:rPr>
          <w:t>ת"פ 19611-03-21</w:t>
        </w:r>
      </w:hyperlink>
      <w:r w:rsidR="00F77F7D" w:rsidRPr="00015384">
        <w:rPr>
          <w:rFonts w:ascii="David" w:hAnsi="David"/>
          <w:b/>
          <w:bCs/>
          <w:rtl/>
        </w:rPr>
        <w:t xml:space="preserve"> עוסק בעבירת החזקת סמים שלא לצריכה עצמית. </w:t>
      </w:r>
    </w:p>
    <w:p w14:paraId="6E8CEF78" w14:textId="77777777" w:rsidR="00F77F7D" w:rsidRPr="00015384" w:rsidRDefault="00F77F7D" w:rsidP="00F77F7D">
      <w:pPr>
        <w:spacing w:line="360" w:lineRule="auto"/>
        <w:jc w:val="both"/>
        <w:rPr>
          <w:rFonts w:ascii="David" w:hAnsi="David"/>
          <w:rtl/>
        </w:rPr>
      </w:pPr>
      <w:r w:rsidRPr="00015384">
        <w:rPr>
          <w:rFonts w:ascii="David" w:hAnsi="David"/>
          <w:rtl/>
        </w:rPr>
        <w:t>נגע הסמים פוגע בציבור קשות. קטינים, צעירים ובוגרים נחשפים אליו, לעתים באקראי, מתנסים בשימוש בסם ובמקרים רבים מתמכרים לו. השימוש בסם פוגע לא רק במשתמשים בו ובבריאותם, אלא גם במעגלים הקרובים והרחוקים מהם, בשל ההשלכות הפוגעניות של השימוש בו- ההתמכרות, העבריינות הנלוות לשימוש במקרים רבים, והשפעות שליליות נוספות.</w:t>
      </w:r>
    </w:p>
    <w:p w14:paraId="2FCBBBC4" w14:textId="77777777" w:rsidR="00F77F7D" w:rsidRPr="00015384" w:rsidRDefault="00F77F7D" w:rsidP="00F77F7D">
      <w:pPr>
        <w:spacing w:line="360" w:lineRule="auto"/>
        <w:jc w:val="both"/>
        <w:rPr>
          <w:rFonts w:ascii="David" w:hAnsi="David"/>
          <w:rtl/>
        </w:rPr>
      </w:pPr>
      <w:r w:rsidRPr="00015384">
        <w:rPr>
          <w:rFonts w:ascii="David" w:hAnsi="David"/>
          <w:rtl/>
        </w:rPr>
        <w:t>עבירות ההפצה והסחר בסמים, הן אלה המביאות להתפשטות הנגע ולהיותו זמין לכל, ומכאן החומרה שיש בהן. ככל שהעבריין ממקום גבוה יותר בשרשרת הפצת הסם, חלקו בהפצתו גדול יותר, ובהתאמה- עונשו יהא חמור יותר.</w:t>
      </w:r>
    </w:p>
    <w:p w14:paraId="35EF1AB5" w14:textId="77777777" w:rsidR="00F77F7D" w:rsidRPr="00015384" w:rsidRDefault="00F77F7D" w:rsidP="00F77F7D">
      <w:pPr>
        <w:spacing w:line="360" w:lineRule="auto"/>
        <w:jc w:val="both"/>
        <w:rPr>
          <w:rFonts w:ascii="David" w:hAnsi="David"/>
          <w:b/>
          <w:bCs/>
          <w:rtl/>
        </w:rPr>
      </w:pPr>
      <w:r w:rsidRPr="00015384">
        <w:rPr>
          <w:rFonts w:ascii="David" w:hAnsi="David"/>
          <w:rtl/>
        </w:rPr>
        <w:t xml:space="preserve">במקרה זה הנאשם הורשע בסחר בסם מסוג חשיש, שאינו אחד הסמים הקשים, וגם כמות הסם, 37.20 גרם, אינה מן הגדולות, ולכן בהתחשב בנסיבות שאינן מן החמורות ובשים לב לענישה הנוהגת בפסיקה, </w:t>
      </w:r>
      <w:r w:rsidRPr="00015384">
        <w:rPr>
          <w:rFonts w:ascii="David" w:hAnsi="David"/>
          <w:b/>
          <w:bCs/>
          <w:rtl/>
        </w:rPr>
        <w:t>נע מתחם העונש ההולם בין מאסר על תנאי ועד מאסר למשך מספר חודשים.</w:t>
      </w:r>
    </w:p>
    <w:p w14:paraId="30E056B0" w14:textId="77777777" w:rsidR="00F77F7D" w:rsidRPr="00015384" w:rsidRDefault="00F77F7D" w:rsidP="00F77F7D">
      <w:pPr>
        <w:spacing w:line="360" w:lineRule="auto"/>
        <w:jc w:val="both"/>
        <w:rPr>
          <w:rFonts w:ascii="David" w:hAnsi="David"/>
          <w:b/>
          <w:bCs/>
          <w:rtl/>
        </w:rPr>
      </w:pPr>
    </w:p>
    <w:p w14:paraId="296A7BF9" w14:textId="77777777" w:rsidR="00F77F7D" w:rsidRPr="00015384" w:rsidRDefault="00F77F7D" w:rsidP="00F77F7D">
      <w:pPr>
        <w:spacing w:line="360" w:lineRule="auto"/>
        <w:jc w:val="both"/>
        <w:rPr>
          <w:rFonts w:ascii="David" w:hAnsi="David"/>
          <w:rtl/>
        </w:rPr>
      </w:pPr>
      <w:r w:rsidRPr="00015384">
        <w:rPr>
          <w:rFonts w:ascii="David" w:hAnsi="David"/>
          <w:b/>
          <w:bCs/>
          <w:rtl/>
        </w:rPr>
        <w:t>ב</w:t>
      </w:r>
      <w:hyperlink r:id="rId41" w:history="1">
        <w:r w:rsidR="001E5873" w:rsidRPr="00015384">
          <w:rPr>
            <w:rFonts w:ascii="David" w:hAnsi="David"/>
            <w:b/>
            <w:bCs/>
            <w:color w:val="0000FF"/>
            <w:u w:val="single"/>
            <w:rtl/>
          </w:rPr>
          <w:t>ת"פ 48545-11-21</w:t>
        </w:r>
      </w:hyperlink>
      <w:r w:rsidRPr="00015384">
        <w:rPr>
          <w:rFonts w:ascii="David" w:hAnsi="David"/>
          <w:b/>
          <w:bCs/>
          <w:rtl/>
        </w:rPr>
        <w:t xml:space="preserve"> הורשע הנאשם בעבירה של גניבה</w:t>
      </w:r>
      <w:r w:rsidRPr="00015384">
        <w:rPr>
          <w:rFonts w:ascii="David" w:hAnsi="David"/>
          <w:rtl/>
        </w:rPr>
        <w:t xml:space="preserve">, בה מוגן הערך החברתי של הגנה על זכות הקניין.  </w:t>
      </w:r>
    </w:p>
    <w:p w14:paraId="7522D7B8" w14:textId="77777777" w:rsidR="00F77F7D" w:rsidRPr="00015384" w:rsidRDefault="00F77F7D" w:rsidP="00F77F7D">
      <w:pPr>
        <w:spacing w:line="360" w:lineRule="auto"/>
        <w:jc w:val="both"/>
        <w:rPr>
          <w:rFonts w:ascii="David" w:hAnsi="David"/>
          <w:rtl/>
        </w:rPr>
      </w:pPr>
      <w:r w:rsidRPr="00015384">
        <w:rPr>
          <w:rFonts w:ascii="David" w:hAnsi="David"/>
          <w:rtl/>
        </w:rPr>
        <w:t>בנוטלו את הרכב הדו גלגלי, פגע הנאשם ברכושו של בעליו, הפגין זלזול ובוז בזכותו של בעל הרכוש, מתוך מטרה להשיג לעצמו רווח כלכלי וכך פגע במתלונן.</w:t>
      </w:r>
    </w:p>
    <w:p w14:paraId="54BAACFF" w14:textId="77777777" w:rsidR="00F77F7D" w:rsidRPr="00015384" w:rsidRDefault="00F77F7D" w:rsidP="00F77F7D">
      <w:pPr>
        <w:spacing w:line="360" w:lineRule="auto"/>
        <w:jc w:val="both"/>
        <w:rPr>
          <w:rFonts w:ascii="David" w:hAnsi="David"/>
          <w:b/>
          <w:bCs/>
          <w:rtl/>
        </w:rPr>
      </w:pPr>
      <w:r w:rsidRPr="00015384">
        <w:rPr>
          <w:rFonts w:ascii="David" w:hAnsi="David"/>
          <w:rtl/>
        </w:rPr>
        <w:t xml:space="preserve">בהתחשב בנסיבות אלה, בפגיעה בערך המוגן ובענישה הנוהגת, </w:t>
      </w:r>
      <w:r w:rsidRPr="00015384">
        <w:rPr>
          <w:rFonts w:ascii="David" w:hAnsi="David"/>
          <w:b/>
          <w:bCs/>
          <w:rtl/>
        </w:rPr>
        <w:t xml:space="preserve">נע מתחם העונש ההולם אירוע זה בין מאסר על תנאי ועד מספר חודשי מאסר לריצוי בפועל. </w:t>
      </w:r>
    </w:p>
    <w:p w14:paraId="188B95EB" w14:textId="77777777" w:rsidR="00F77F7D" w:rsidRPr="00015384" w:rsidRDefault="00F77F7D" w:rsidP="00F77F7D">
      <w:pPr>
        <w:spacing w:line="360" w:lineRule="auto"/>
        <w:jc w:val="both"/>
        <w:rPr>
          <w:rFonts w:ascii="David" w:hAnsi="David"/>
          <w:b/>
          <w:bCs/>
          <w:rtl/>
        </w:rPr>
      </w:pPr>
    </w:p>
    <w:p w14:paraId="3E0325B3" w14:textId="77777777" w:rsidR="00F77F7D" w:rsidRPr="00015384" w:rsidRDefault="00F77F7D" w:rsidP="00F77F7D">
      <w:pPr>
        <w:spacing w:line="360" w:lineRule="auto"/>
        <w:jc w:val="both"/>
        <w:rPr>
          <w:rFonts w:ascii="David" w:hAnsi="David"/>
          <w:b/>
          <w:bCs/>
          <w:rtl/>
        </w:rPr>
      </w:pPr>
      <w:r w:rsidRPr="00015384">
        <w:rPr>
          <w:rFonts w:ascii="David" w:hAnsi="David"/>
          <w:b/>
          <w:bCs/>
          <w:rtl/>
        </w:rPr>
        <w:t>ב</w:t>
      </w:r>
      <w:hyperlink r:id="rId42" w:history="1">
        <w:r w:rsidR="001E5873" w:rsidRPr="00015384">
          <w:rPr>
            <w:rFonts w:ascii="David" w:hAnsi="David"/>
            <w:b/>
            <w:bCs/>
            <w:color w:val="0000FF"/>
            <w:u w:val="single"/>
            <w:rtl/>
          </w:rPr>
          <w:t>ת"פ 16653-10-21</w:t>
        </w:r>
      </w:hyperlink>
      <w:r w:rsidRPr="00015384">
        <w:rPr>
          <w:rFonts w:ascii="David" w:hAnsi="David"/>
          <w:b/>
          <w:bCs/>
          <w:rtl/>
        </w:rPr>
        <w:t xml:space="preserve"> </w:t>
      </w:r>
      <w:r w:rsidRPr="00015384">
        <w:rPr>
          <w:rFonts w:ascii="David" w:hAnsi="David"/>
          <w:rtl/>
        </w:rPr>
        <w:t>הורשע הנאשם בעבירה של פריצה לבניין שאינו דירה בכוונה לבצע גניבה.</w:t>
      </w:r>
    </w:p>
    <w:p w14:paraId="19CA08E4" w14:textId="77777777" w:rsidR="00F77F7D" w:rsidRPr="00015384" w:rsidRDefault="00F77F7D" w:rsidP="00F77F7D">
      <w:pPr>
        <w:spacing w:line="360" w:lineRule="auto"/>
        <w:jc w:val="both"/>
        <w:rPr>
          <w:rFonts w:ascii="David" w:hAnsi="David"/>
          <w:rtl/>
        </w:rPr>
      </w:pPr>
      <w:r w:rsidRPr="00015384">
        <w:rPr>
          <w:rFonts w:ascii="David" w:hAnsi="David"/>
          <w:rtl/>
        </w:rPr>
        <w:t>נסיבות כתב האישום מתארות שהנאשם תכנן את מעשיו מראש- הוא הגיע למקום, איתר שלט הפותח את שער הברזל של בית העסק שהיה מוטמן במקום ופתח את שער הברזל.</w:t>
      </w:r>
    </w:p>
    <w:p w14:paraId="76C3C387" w14:textId="77777777" w:rsidR="00F77F7D" w:rsidRPr="00015384" w:rsidRDefault="00F77F7D" w:rsidP="00F77F7D">
      <w:pPr>
        <w:spacing w:line="360" w:lineRule="auto"/>
        <w:jc w:val="both"/>
        <w:rPr>
          <w:rFonts w:ascii="David" w:hAnsi="David"/>
          <w:rtl/>
        </w:rPr>
      </w:pPr>
      <w:r w:rsidRPr="00015384">
        <w:rPr>
          <w:rFonts w:ascii="David" w:hAnsi="David"/>
          <w:rtl/>
        </w:rPr>
        <w:t xml:space="preserve">הנאשם גילה תעוזה רבה כאשר נכנס לתוך בית העסק ואיתר מפתח לקופה, פתח את הקופה והתכוון לקחת מתוכה סך של 2,000 ₪. </w:t>
      </w:r>
    </w:p>
    <w:p w14:paraId="4F3114CB" w14:textId="77777777" w:rsidR="00F77F7D" w:rsidRPr="00015384" w:rsidRDefault="00F77F7D" w:rsidP="00F77F7D">
      <w:pPr>
        <w:spacing w:line="360" w:lineRule="auto"/>
        <w:jc w:val="both"/>
        <w:rPr>
          <w:rFonts w:ascii="David" w:hAnsi="David"/>
          <w:rtl/>
        </w:rPr>
      </w:pPr>
      <w:r w:rsidRPr="00015384">
        <w:rPr>
          <w:rFonts w:ascii="David" w:hAnsi="David"/>
          <w:rtl/>
        </w:rPr>
        <w:t>ניכר שהנאשם הבין היטב את הפסול במעשיו ואת החומרה שבהם, שכן הוא ביקש לטשטש את עקבותיו במקום וניגב באמצעות חולצתו את המקומות בהם נגע בידו.</w:t>
      </w:r>
    </w:p>
    <w:p w14:paraId="28F7883D" w14:textId="77777777" w:rsidR="00F77F7D" w:rsidRPr="00015384" w:rsidRDefault="00F77F7D" w:rsidP="00F77F7D">
      <w:pPr>
        <w:spacing w:line="360" w:lineRule="auto"/>
        <w:jc w:val="both"/>
        <w:rPr>
          <w:rFonts w:ascii="David" w:hAnsi="David"/>
          <w:rtl/>
        </w:rPr>
      </w:pPr>
      <w:r w:rsidRPr="00015384">
        <w:rPr>
          <w:rFonts w:ascii="David" w:hAnsi="David"/>
          <w:rtl/>
        </w:rPr>
        <w:t xml:space="preserve">ההתפרצות למקום פרטי, התכנון והעורמה שהנאשם נקט בהם וכוונתו ליטול סכום כסף משמעותי- מרווחיו של בעל העסק אשר וודאי השקיע מאמצים בהשגתם, היות האירוע אירוע מתוכנן ובעל מספר מהלכים – כל אלה הן נסיבות שבהן התחשבתי בעת קביעת </w:t>
      </w:r>
      <w:r w:rsidRPr="00015384">
        <w:rPr>
          <w:rFonts w:ascii="David" w:hAnsi="David"/>
          <w:b/>
          <w:bCs/>
          <w:rtl/>
        </w:rPr>
        <w:t>המתחם העונש ההולם, אשר נע במקרה זה בין 6 ל-12 חודשי מאסר.</w:t>
      </w:r>
    </w:p>
    <w:p w14:paraId="3B32537E" w14:textId="77777777" w:rsidR="00F77F7D" w:rsidRPr="00015384" w:rsidRDefault="00F77F7D" w:rsidP="00F77F7D">
      <w:pPr>
        <w:spacing w:line="360" w:lineRule="auto"/>
        <w:jc w:val="both"/>
        <w:rPr>
          <w:rFonts w:ascii="David" w:hAnsi="David"/>
          <w:rtl/>
        </w:rPr>
      </w:pPr>
    </w:p>
    <w:p w14:paraId="14B9DF9E" w14:textId="77777777" w:rsidR="00F77F7D" w:rsidRPr="00015384" w:rsidRDefault="00F77F7D" w:rsidP="00F77F7D">
      <w:pPr>
        <w:spacing w:line="360" w:lineRule="auto"/>
        <w:jc w:val="both"/>
        <w:rPr>
          <w:rFonts w:ascii="David" w:hAnsi="David"/>
          <w:b/>
          <w:bCs/>
          <w:u w:val="single"/>
          <w:rtl/>
        </w:rPr>
      </w:pPr>
      <w:r w:rsidRPr="00015384">
        <w:rPr>
          <w:rFonts w:ascii="David" w:hAnsi="David"/>
          <w:b/>
          <w:bCs/>
          <w:u w:val="single"/>
          <w:rtl/>
        </w:rPr>
        <w:t xml:space="preserve">העונש המתאים </w:t>
      </w:r>
    </w:p>
    <w:p w14:paraId="39C477E1" w14:textId="77777777" w:rsidR="00F77F7D" w:rsidRPr="00015384" w:rsidRDefault="00F77F7D" w:rsidP="00F77F7D">
      <w:pPr>
        <w:spacing w:line="360" w:lineRule="auto"/>
        <w:jc w:val="both"/>
        <w:rPr>
          <w:rFonts w:ascii="David" w:hAnsi="David"/>
          <w:rtl/>
        </w:rPr>
      </w:pPr>
      <w:r w:rsidRPr="00015384">
        <w:rPr>
          <w:rFonts w:ascii="David" w:hAnsi="David"/>
          <w:rtl/>
        </w:rPr>
        <w:t>הנאשם, יליד שנת 1994, רווק בן 28 שנים.</w:t>
      </w:r>
    </w:p>
    <w:p w14:paraId="4137D784" w14:textId="77777777" w:rsidR="00F77F7D" w:rsidRPr="00015384" w:rsidRDefault="00F77F7D" w:rsidP="00F77F7D">
      <w:pPr>
        <w:spacing w:line="360" w:lineRule="auto"/>
        <w:jc w:val="both"/>
        <w:rPr>
          <w:rFonts w:ascii="David" w:hAnsi="David"/>
          <w:rtl/>
        </w:rPr>
      </w:pPr>
      <w:r w:rsidRPr="00015384">
        <w:rPr>
          <w:rFonts w:ascii="David" w:hAnsi="David"/>
          <w:rtl/>
        </w:rPr>
        <w:t>הנאשם הודה בעבירות המיוחסות לו בראשית ההליכים בתיק העיקרי ובתיקים הנוספים אשר צירף, וזאת שקלתי לזכותו.</w:t>
      </w:r>
    </w:p>
    <w:p w14:paraId="1653C88F" w14:textId="77777777" w:rsidR="00F77F7D" w:rsidRPr="00015384" w:rsidRDefault="00F77F7D" w:rsidP="00F77F7D">
      <w:pPr>
        <w:spacing w:line="360" w:lineRule="auto"/>
        <w:jc w:val="both"/>
        <w:rPr>
          <w:rFonts w:ascii="David" w:hAnsi="David"/>
          <w:rtl/>
        </w:rPr>
      </w:pPr>
      <w:r w:rsidRPr="00015384">
        <w:rPr>
          <w:rFonts w:ascii="David" w:hAnsi="David"/>
          <w:rtl/>
        </w:rPr>
        <w:t>הודאת הנאשם מהווה נטילת אחריות מצדו של הנאשם ומלמדת על רצונו לסיים פרק זה של עבריינות, תוך נשיאה בעונש שייגזר עליו ויש בה גם משום שיתוף פעולה עם רשויות אכיפת החוק.</w:t>
      </w:r>
    </w:p>
    <w:p w14:paraId="2741D51E" w14:textId="77777777" w:rsidR="00F77F7D" w:rsidRPr="00015384" w:rsidRDefault="00F77F7D" w:rsidP="00F77F7D">
      <w:pPr>
        <w:spacing w:line="360" w:lineRule="auto"/>
        <w:jc w:val="both"/>
        <w:rPr>
          <w:rFonts w:ascii="David" w:hAnsi="David"/>
          <w:rtl/>
        </w:rPr>
      </w:pPr>
      <w:r w:rsidRPr="00015384">
        <w:rPr>
          <w:rFonts w:ascii="David" w:hAnsi="David"/>
          <w:rtl/>
        </w:rPr>
        <w:t xml:space="preserve">נסיבות חייו של הנאשם השפיעו והביאו להתדרדרותו לביצוע העבירות: גדילתו במשפחה שקיימות בה נורמות עברייניות, חשיפתו לחברה שולית, אילוצו לעזוב את המסגרת החינוכית בגיל צעיר בשל קשיי פרנסה של המשפחה ולבסוף התמכרותו לסמים וביצוע העבירות, וגם בכך התחשבתי. </w:t>
      </w:r>
    </w:p>
    <w:p w14:paraId="23999819" w14:textId="77777777" w:rsidR="00F77F7D" w:rsidRPr="00015384" w:rsidRDefault="00F77F7D" w:rsidP="00F77F7D">
      <w:pPr>
        <w:spacing w:line="360" w:lineRule="auto"/>
        <w:jc w:val="both"/>
        <w:rPr>
          <w:rFonts w:ascii="David" w:hAnsi="David"/>
          <w:rtl/>
        </w:rPr>
      </w:pPr>
      <w:r w:rsidRPr="00015384">
        <w:rPr>
          <w:rFonts w:ascii="David" w:hAnsi="David"/>
          <w:rtl/>
        </w:rPr>
        <w:t>כפי שעולה מהתסקיר, הנאשם עייף מאורח חייו השולי ומגלה מודעות ראשונית לבעיותיו, אולם בשל מצבו ונסיבות חייו, ניסיון השיקום שהחל בו ואשר לא צלח, מאסריו הקודמים וחשיפתו לגורמים שוליים ועבריינות- נמנע שירות המבחן מלהמליץ על מסלול טיפולי וחלופה עונשית-שיקומית בעניינו. משכך, לא מדובר במקרה המתאים לסטייה ממתחם הענישה בשל שיקולי שיקום.</w:t>
      </w:r>
    </w:p>
    <w:p w14:paraId="566CB366" w14:textId="77777777" w:rsidR="00F77F7D" w:rsidRPr="00015384" w:rsidRDefault="00F77F7D" w:rsidP="00F77F7D">
      <w:pPr>
        <w:spacing w:line="360" w:lineRule="auto"/>
        <w:jc w:val="both"/>
        <w:rPr>
          <w:rFonts w:ascii="David" w:hAnsi="David"/>
          <w:rtl/>
        </w:rPr>
      </w:pPr>
      <w:r w:rsidRPr="00015384">
        <w:rPr>
          <w:rFonts w:ascii="David" w:hAnsi="David"/>
          <w:rtl/>
        </w:rPr>
        <w:t xml:space="preserve">לחובת הנאשם עבר פלילי הכולל שלוש הרשעות קודמות, כולם משנת 2015, ואשר הן כוללות הרשעות בעבירות של גניבה, התפרצות, היזק לרכוש, הפרת הוראה חוקית והחזקת אגרופן. </w:t>
      </w:r>
    </w:p>
    <w:p w14:paraId="232B325D" w14:textId="77777777" w:rsidR="00F77F7D" w:rsidRPr="00015384" w:rsidRDefault="00F77F7D" w:rsidP="00F77F7D">
      <w:pPr>
        <w:spacing w:line="360" w:lineRule="auto"/>
        <w:jc w:val="both"/>
        <w:rPr>
          <w:rFonts w:ascii="David" w:hAnsi="David"/>
          <w:rtl/>
        </w:rPr>
      </w:pPr>
      <w:r w:rsidRPr="00015384">
        <w:rPr>
          <w:rFonts w:ascii="David" w:hAnsi="David"/>
          <w:rtl/>
        </w:rPr>
        <w:t>בחינת סוג העבירות שהנאשם הורשע בהן בעבר מעידה על כך שמדובר בנאשם אשר עבריינות הרכוש אינו זרה לו. פעם אחר פעם הוא שב ומבצע עבירות רכוש שונות, אשר המשותף להן והחמור בהן הוא שהן מבוצעות תוך התפרצות לבית פרטי ומקומות נוספים. כלומר, הנאשם פוגע ומסכן את הציבור והפגיעה הצפויה ממנו אינה קניינית בלבד, אלא יש בה פוטנציאל לפגיעה בנפש.</w:t>
      </w:r>
    </w:p>
    <w:p w14:paraId="4B37D940" w14:textId="77777777" w:rsidR="00F77F7D" w:rsidRPr="00015384" w:rsidRDefault="00F77F7D" w:rsidP="00F77F7D">
      <w:pPr>
        <w:spacing w:line="360" w:lineRule="auto"/>
        <w:jc w:val="both"/>
        <w:rPr>
          <w:rFonts w:ascii="David" w:hAnsi="David"/>
          <w:rtl/>
        </w:rPr>
      </w:pPr>
      <w:r w:rsidRPr="00015384">
        <w:rPr>
          <w:rFonts w:ascii="David" w:hAnsi="David"/>
          <w:rtl/>
        </w:rPr>
        <w:t xml:space="preserve">הנאשם ריצה עונשי מאסר בגין הרשעותיו הקודמות, אך למרבה הצער לא הגיע לתובנות המתאימות והמאסרים לא הביאוהו לזנוח את העבריינות, הפשיעה והסמים. </w:t>
      </w:r>
    </w:p>
    <w:p w14:paraId="38964052" w14:textId="77777777" w:rsidR="00F77F7D" w:rsidRPr="00015384" w:rsidRDefault="00F77F7D" w:rsidP="00F77F7D">
      <w:pPr>
        <w:spacing w:line="360" w:lineRule="auto"/>
        <w:jc w:val="both"/>
        <w:rPr>
          <w:rFonts w:ascii="David" w:hAnsi="David"/>
          <w:rtl/>
        </w:rPr>
      </w:pPr>
      <w:r w:rsidRPr="00015384">
        <w:rPr>
          <w:rFonts w:ascii="David" w:hAnsi="David"/>
          <w:rtl/>
        </w:rPr>
        <w:t xml:space="preserve">מאז ריצוי המאסרים ועד ביצוע העבירות כאן חלפו להן מספר שנים, שבהן הנאשם נותר מחוץ למעגל העבריינות, אולם החזרה על רצף העבירות בתיקים שלפניי מעידה שהנאשם שוב נקלע למעגל ההתמכרות והפשיעה. </w:t>
      </w:r>
    </w:p>
    <w:p w14:paraId="772E5BFB" w14:textId="77777777" w:rsidR="00F77F7D" w:rsidRPr="00015384" w:rsidRDefault="00F77F7D" w:rsidP="00F77F7D">
      <w:pPr>
        <w:spacing w:line="360" w:lineRule="auto"/>
        <w:jc w:val="both"/>
        <w:rPr>
          <w:rFonts w:ascii="David" w:hAnsi="David"/>
          <w:rtl/>
        </w:rPr>
      </w:pPr>
      <w:r w:rsidRPr="00015384">
        <w:rPr>
          <w:rFonts w:ascii="David" w:hAnsi="David"/>
          <w:rtl/>
        </w:rPr>
        <w:t xml:space="preserve">על העונש שיושת לעצור את המעגל העגום שבו הנאשם צועד כעת. </w:t>
      </w:r>
    </w:p>
    <w:p w14:paraId="488BB65A" w14:textId="77777777" w:rsidR="00F77F7D" w:rsidRPr="00015384" w:rsidRDefault="00F77F7D" w:rsidP="00F77F7D">
      <w:pPr>
        <w:spacing w:line="360" w:lineRule="auto"/>
        <w:jc w:val="both"/>
        <w:rPr>
          <w:rFonts w:ascii="David" w:hAnsi="David"/>
          <w:rtl/>
        </w:rPr>
      </w:pPr>
      <w:r w:rsidRPr="00015384">
        <w:rPr>
          <w:rFonts w:ascii="David" w:hAnsi="David"/>
          <w:rtl/>
        </w:rPr>
        <w:t>לנוכח המלצת שירות המבחן, המסלול השיקומי מחוץ לכותלי בית הסוהר אינו אפשרות עבור הנאשם, אך הנאשם יוכל להשכיל ולנצל את הגורמים המקצועיים – טיפוליים שבין כתלי בית הסוהר להליך טיפולי של גמילה, וכך, יש לקוות שמאסר זה יהיה הפרק האחרון במסכת הפשיעה שהנאשם נטל בה חלק לאחרונה.</w:t>
      </w:r>
    </w:p>
    <w:p w14:paraId="32DF7270" w14:textId="77777777" w:rsidR="00F77F7D" w:rsidRPr="00015384" w:rsidRDefault="00F77F7D" w:rsidP="00F77F7D">
      <w:pPr>
        <w:spacing w:line="360" w:lineRule="auto"/>
        <w:jc w:val="both"/>
        <w:rPr>
          <w:rFonts w:ascii="David" w:hAnsi="David"/>
          <w:rtl/>
        </w:rPr>
      </w:pPr>
      <w:r w:rsidRPr="00015384">
        <w:rPr>
          <w:rFonts w:ascii="David" w:hAnsi="David"/>
          <w:rtl/>
        </w:rPr>
        <w:t>במכלול הנסיבות התחשבתי גם בתקופת מעצרו של הנאשם במסגרת הליכים אלה.</w:t>
      </w:r>
    </w:p>
    <w:p w14:paraId="41360110" w14:textId="77777777" w:rsidR="00F77F7D" w:rsidRPr="00015384" w:rsidRDefault="00F77F7D" w:rsidP="00F77F7D">
      <w:pPr>
        <w:spacing w:line="360" w:lineRule="auto"/>
        <w:jc w:val="both"/>
        <w:rPr>
          <w:rFonts w:ascii="David" w:hAnsi="David"/>
          <w:rtl/>
        </w:rPr>
      </w:pPr>
      <w:r w:rsidRPr="00015384">
        <w:rPr>
          <w:rFonts w:ascii="David" w:hAnsi="David"/>
          <w:rtl/>
        </w:rPr>
        <w:t xml:space="preserve">משכך, לזכותו של הנאשם אזקוף את הודאתו ואת האחריות אשר נטל, אך לחובתו יעמוד עברו הפלילי וכן העובדה כי נשא עונשי מאסר בעבר ולא הפנים את הלקח הנדרש. משום כך, הרי שמקומו של הנאשם הוא </w:t>
      </w:r>
      <w:r w:rsidRPr="00015384">
        <w:rPr>
          <w:rFonts w:ascii="David" w:hAnsi="David"/>
          <w:b/>
          <w:bCs/>
          <w:rtl/>
        </w:rPr>
        <w:t xml:space="preserve">במרכזם של מתחמי הענישה הרלוונטיים </w:t>
      </w:r>
      <w:r w:rsidRPr="00015384">
        <w:rPr>
          <w:rFonts w:ascii="David" w:hAnsi="David"/>
          <w:rtl/>
        </w:rPr>
        <w:t>תוך חפיפה חלקית בין מתחמי הענישה אשר מקורה בנסיבות חייו הסבוכות של הנאשם.</w:t>
      </w:r>
    </w:p>
    <w:p w14:paraId="4FD39C80" w14:textId="77777777" w:rsidR="00F77F7D" w:rsidRPr="00015384" w:rsidRDefault="00F77F7D" w:rsidP="00F77F7D">
      <w:pPr>
        <w:spacing w:line="360" w:lineRule="auto"/>
        <w:jc w:val="both"/>
        <w:rPr>
          <w:rFonts w:ascii="David" w:hAnsi="David"/>
          <w:rtl/>
        </w:rPr>
      </w:pPr>
    </w:p>
    <w:p w14:paraId="0427C49A" w14:textId="77777777" w:rsidR="00F77F7D" w:rsidRPr="00015384" w:rsidRDefault="00F77F7D" w:rsidP="00F77F7D">
      <w:pPr>
        <w:spacing w:line="360" w:lineRule="auto"/>
        <w:jc w:val="both"/>
        <w:rPr>
          <w:rFonts w:ascii="David" w:hAnsi="David"/>
          <w:rtl/>
        </w:rPr>
      </w:pPr>
    </w:p>
    <w:p w14:paraId="04AE0338" w14:textId="77777777" w:rsidR="00F77F7D" w:rsidRPr="00015384" w:rsidRDefault="00F77F7D" w:rsidP="00F77F7D">
      <w:pPr>
        <w:spacing w:line="360" w:lineRule="auto"/>
        <w:jc w:val="both"/>
        <w:rPr>
          <w:rFonts w:ascii="David" w:hAnsi="David"/>
          <w:rtl/>
        </w:rPr>
      </w:pPr>
    </w:p>
    <w:p w14:paraId="22BE2275" w14:textId="77777777" w:rsidR="00F77F7D" w:rsidRPr="00015384" w:rsidRDefault="00F77F7D" w:rsidP="00F77F7D">
      <w:pPr>
        <w:spacing w:line="360" w:lineRule="auto"/>
        <w:jc w:val="both"/>
        <w:rPr>
          <w:rFonts w:ascii="David" w:hAnsi="David"/>
          <w:rtl/>
        </w:rPr>
      </w:pPr>
    </w:p>
    <w:p w14:paraId="733CB54C" w14:textId="77777777" w:rsidR="00F77F7D" w:rsidRPr="00015384" w:rsidRDefault="00F77F7D" w:rsidP="00F77F7D">
      <w:pPr>
        <w:spacing w:line="360" w:lineRule="auto"/>
        <w:jc w:val="both"/>
        <w:rPr>
          <w:rFonts w:ascii="David" w:hAnsi="David"/>
          <w:rtl/>
        </w:rPr>
      </w:pPr>
    </w:p>
    <w:p w14:paraId="7B0419CB" w14:textId="77777777" w:rsidR="00F77F7D" w:rsidRPr="00015384" w:rsidRDefault="00F77F7D" w:rsidP="00F77F7D">
      <w:pPr>
        <w:spacing w:line="360" w:lineRule="auto"/>
        <w:jc w:val="both"/>
        <w:rPr>
          <w:rFonts w:ascii="David" w:hAnsi="David"/>
          <w:rtl/>
        </w:rPr>
      </w:pPr>
    </w:p>
    <w:p w14:paraId="675E843E" w14:textId="77777777" w:rsidR="00F77F7D" w:rsidRPr="00015384" w:rsidRDefault="00F77F7D" w:rsidP="00F77F7D">
      <w:pPr>
        <w:spacing w:line="360" w:lineRule="auto"/>
        <w:jc w:val="both"/>
        <w:rPr>
          <w:rFonts w:ascii="David" w:hAnsi="David"/>
          <w:b/>
          <w:bCs/>
          <w:u w:val="single"/>
          <w:rtl/>
        </w:rPr>
      </w:pPr>
      <w:r w:rsidRPr="00015384">
        <w:rPr>
          <w:rFonts w:ascii="David" w:hAnsi="David"/>
          <w:b/>
          <w:bCs/>
          <w:u w:val="single"/>
          <w:rtl/>
        </w:rPr>
        <w:t>סוף דבר</w:t>
      </w:r>
    </w:p>
    <w:p w14:paraId="30043656" w14:textId="77777777" w:rsidR="00F77F7D" w:rsidRPr="00015384" w:rsidRDefault="00F77F7D" w:rsidP="00F77F7D">
      <w:pPr>
        <w:spacing w:line="360" w:lineRule="auto"/>
        <w:jc w:val="both"/>
        <w:rPr>
          <w:rFonts w:ascii="David" w:hAnsi="David"/>
          <w:b/>
          <w:bCs/>
          <w:u w:val="single"/>
          <w:rtl/>
        </w:rPr>
      </w:pPr>
    </w:p>
    <w:p w14:paraId="2CA545BA" w14:textId="77777777" w:rsidR="00F77F7D" w:rsidRPr="00015384" w:rsidRDefault="00F77F7D" w:rsidP="00F77F7D">
      <w:pPr>
        <w:spacing w:line="360" w:lineRule="auto"/>
        <w:jc w:val="both"/>
        <w:rPr>
          <w:rFonts w:ascii="David" w:hAnsi="David"/>
          <w:rtl/>
        </w:rPr>
      </w:pPr>
      <w:r w:rsidRPr="00015384">
        <w:rPr>
          <w:rFonts w:ascii="David" w:hAnsi="David"/>
          <w:rtl/>
        </w:rPr>
        <w:t>לנוכח כל האמור, לאחר שנתתי דעתי לכל האמור כאן, למכלול שיקולי הענישה הנדרשים ולשיקוליו של הנאשם, אני גוזר על הנאשם את העונשים הבאים:</w:t>
      </w:r>
    </w:p>
    <w:p w14:paraId="5B70CB28" w14:textId="77777777" w:rsidR="00F77F7D" w:rsidRPr="00015384" w:rsidRDefault="00F77F7D" w:rsidP="00F77F7D">
      <w:pPr>
        <w:spacing w:line="360" w:lineRule="auto"/>
        <w:jc w:val="both"/>
        <w:rPr>
          <w:rFonts w:ascii="David" w:hAnsi="David"/>
          <w:rtl/>
        </w:rPr>
      </w:pPr>
    </w:p>
    <w:p w14:paraId="112EAE87" w14:textId="77777777" w:rsidR="00F77F7D" w:rsidRPr="00015384" w:rsidRDefault="00F77F7D" w:rsidP="00F77F7D">
      <w:pPr>
        <w:pStyle w:val="a9"/>
        <w:numPr>
          <w:ilvl w:val="0"/>
          <w:numId w:val="1"/>
        </w:numPr>
        <w:spacing w:line="360" w:lineRule="auto"/>
        <w:jc w:val="both"/>
        <w:rPr>
          <w:rFonts w:ascii="David" w:hAnsi="David" w:cs="David"/>
          <w:b/>
          <w:bCs/>
          <w:sz w:val="24"/>
          <w:szCs w:val="24"/>
          <w:rtl/>
        </w:rPr>
      </w:pPr>
      <w:r w:rsidRPr="00015384">
        <w:rPr>
          <w:rFonts w:ascii="David" w:hAnsi="David" w:cs="David" w:hint="cs"/>
          <w:b/>
          <w:bCs/>
          <w:sz w:val="24"/>
          <w:szCs w:val="24"/>
          <w:rtl/>
        </w:rPr>
        <w:t>27</w:t>
      </w:r>
      <w:r w:rsidRPr="00015384">
        <w:rPr>
          <w:rFonts w:ascii="David" w:hAnsi="David" w:cs="David"/>
          <w:b/>
          <w:bCs/>
          <w:sz w:val="24"/>
          <w:szCs w:val="24"/>
          <w:rtl/>
        </w:rPr>
        <w:t xml:space="preserve"> חודשי מאסר בפועל בניכוי ימי מעצרו בכל התיקים אשר צורפו.</w:t>
      </w:r>
    </w:p>
    <w:p w14:paraId="46EA2139" w14:textId="77777777" w:rsidR="00F77F7D" w:rsidRPr="00015384" w:rsidRDefault="00F77F7D" w:rsidP="00F77F7D">
      <w:pPr>
        <w:pStyle w:val="a9"/>
        <w:numPr>
          <w:ilvl w:val="0"/>
          <w:numId w:val="1"/>
        </w:numPr>
        <w:spacing w:line="360" w:lineRule="auto"/>
        <w:jc w:val="both"/>
        <w:rPr>
          <w:rFonts w:ascii="David" w:hAnsi="David" w:cs="David"/>
          <w:b/>
          <w:bCs/>
          <w:sz w:val="24"/>
          <w:szCs w:val="24"/>
          <w:rtl/>
        </w:rPr>
      </w:pPr>
      <w:r w:rsidRPr="00015384">
        <w:rPr>
          <w:rFonts w:ascii="David" w:hAnsi="David" w:cs="David"/>
          <w:b/>
          <w:bCs/>
          <w:sz w:val="24"/>
          <w:szCs w:val="24"/>
          <w:rtl/>
        </w:rPr>
        <w:t>5 חודשי מאסר אשר אותם הנאשם לא ירצה אלא אם יעבור על כל אחת מהעבירות שבהן הורשע בהליך זה, וזאת תוך 3 שנים מיום שחרורו ממאסרו.</w:t>
      </w:r>
    </w:p>
    <w:p w14:paraId="1F0959AE" w14:textId="77777777" w:rsidR="00F77F7D" w:rsidRPr="00015384" w:rsidRDefault="00F77F7D" w:rsidP="00F77F7D">
      <w:pPr>
        <w:pStyle w:val="a9"/>
        <w:numPr>
          <w:ilvl w:val="0"/>
          <w:numId w:val="1"/>
        </w:numPr>
        <w:spacing w:line="360" w:lineRule="auto"/>
        <w:jc w:val="both"/>
        <w:rPr>
          <w:rFonts w:ascii="David" w:hAnsi="David" w:cs="David"/>
          <w:b/>
          <w:bCs/>
          <w:sz w:val="24"/>
          <w:szCs w:val="24"/>
        </w:rPr>
      </w:pPr>
      <w:r w:rsidRPr="00015384">
        <w:rPr>
          <w:rFonts w:ascii="David" w:hAnsi="David" w:cs="David"/>
          <w:b/>
          <w:bCs/>
          <w:sz w:val="24"/>
          <w:szCs w:val="24"/>
          <w:rtl/>
        </w:rPr>
        <w:t>פיצוי לכל אחד משלושת המתלוננים בתיק העיקרי בסך של 800 ₪. הפיצוי ישולם לקופת בית המשפט עד ליום 1.6.23.</w:t>
      </w:r>
    </w:p>
    <w:p w14:paraId="44C2371C" w14:textId="77777777" w:rsidR="00F77F7D" w:rsidRPr="00015384" w:rsidRDefault="00F77F7D" w:rsidP="00F77F7D">
      <w:pPr>
        <w:pStyle w:val="a9"/>
        <w:numPr>
          <w:ilvl w:val="0"/>
          <w:numId w:val="1"/>
        </w:numPr>
        <w:spacing w:line="360" w:lineRule="auto"/>
        <w:jc w:val="both"/>
        <w:rPr>
          <w:rFonts w:ascii="David" w:hAnsi="David" w:cs="David"/>
          <w:b/>
          <w:bCs/>
          <w:sz w:val="24"/>
          <w:szCs w:val="24"/>
        </w:rPr>
      </w:pPr>
      <w:r w:rsidRPr="00015384">
        <w:rPr>
          <w:rFonts w:ascii="David" w:hAnsi="David" w:cs="David"/>
          <w:b/>
          <w:bCs/>
          <w:sz w:val="24"/>
          <w:szCs w:val="24"/>
          <w:rtl/>
        </w:rPr>
        <w:t>פיצוי למתלונן ב</w:t>
      </w:r>
      <w:hyperlink r:id="rId43" w:history="1">
        <w:r w:rsidR="001E5873" w:rsidRPr="00015384">
          <w:rPr>
            <w:rFonts w:ascii="David" w:hAnsi="David" w:cs="David"/>
            <w:b/>
            <w:bCs/>
            <w:color w:val="0000FF"/>
            <w:sz w:val="24"/>
            <w:szCs w:val="24"/>
            <w:u w:val="single"/>
            <w:rtl/>
          </w:rPr>
          <w:t>ת"פ 48545-11-21</w:t>
        </w:r>
      </w:hyperlink>
      <w:r w:rsidRPr="00015384">
        <w:rPr>
          <w:rFonts w:ascii="David" w:hAnsi="David" w:cs="David"/>
          <w:b/>
          <w:bCs/>
          <w:sz w:val="24"/>
          <w:szCs w:val="24"/>
          <w:rtl/>
        </w:rPr>
        <w:t xml:space="preserve"> בסך 800 ₪. הפיצוי ישולם עד יום 1.6.23.</w:t>
      </w:r>
    </w:p>
    <w:p w14:paraId="69C91146" w14:textId="77777777" w:rsidR="00F77F7D" w:rsidRPr="00015384" w:rsidRDefault="00F77F7D" w:rsidP="00F77F7D">
      <w:pPr>
        <w:pStyle w:val="a9"/>
        <w:numPr>
          <w:ilvl w:val="0"/>
          <w:numId w:val="1"/>
        </w:numPr>
        <w:spacing w:line="360" w:lineRule="auto"/>
        <w:jc w:val="both"/>
        <w:rPr>
          <w:rFonts w:ascii="David" w:hAnsi="David" w:cs="David"/>
          <w:b/>
          <w:bCs/>
          <w:sz w:val="24"/>
          <w:szCs w:val="24"/>
        </w:rPr>
      </w:pPr>
      <w:r w:rsidRPr="00015384">
        <w:rPr>
          <w:rFonts w:ascii="David" w:hAnsi="David" w:cs="David"/>
          <w:b/>
          <w:bCs/>
          <w:sz w:val="24"/>
          <w:szCs w:val="24"/>
          <w:rtl/>
        </w:rPr>
        <w:t>קנס בסך 2,000 ₪ או 30 ימי מאסר תמורתו. הקנס ישולם עד יום 1.6.23.</w:t>
      </w:r>
    </w:p>
    <w:p w14:paraId="61A89E0B" w14:textId="77777777" w:rsidR="00F77F7D" w:rsidRPr="00015384" w:rsidRDefault="00F77F7D" w:rsidP="00F77F7D">
      <w:pPr>
        <w:pStyle w:val="a9"/>
        <w:numPr>
          <w:ilvl w:val="0"/>
          <w:numId w:val="1"/>
        </w:numPr>
        <w:spacing w:line="360" w:lineRule="auto"/>
        <w:jc w:val="both"/>
        <w:rPr>
          <w:rFonts w:ascii="David" w:hAnsi="David" w:cs="David"/>
          <w:b/>
          <w:bCs/>
          <w:sz w:val="24"/>
          <w:szCs w:val="24"/>
        </w:rPr>
      </w:pPr>
      <w:r w:rsidRPr="00015384">
        <w:rPr>
          <w:rFonts w:ascii="David" w:hAnsi="David" w:cs="David"/>
          <w:b/>
          <w:bCs/>
          <w:sz w:val="24"/>
          <w:szCs w:val="24"/>
          <w:rtl/>
        </w:rPr>
        <w:t>הנאשם יתחייב סך 5,000 ₪ שלא לעבור אחת מן העבירות בהן הורשע, וזאת תוך שנתיים מיום שחרורו ממאסרו. הנאשם הבין והתחייב.</w:t>
      </w:r>
    </w:p>
    <w:p w14:paraId="1CC3F041" w14:textId="77777777" w:rsidR="00F77F7D" w:rsidRPr="00015384" w:rsidRDefault="00F77F7D" w:rsidP="00F77F7D">
      <w:pPr>
        <w:spacing w:line="360" w:lineRule="auto"/>
        <w:jc w:val="both"/>
        <w:rPr>
          <w:rFonts w:ascii="David" w:hAnsi="David"/>
        </w:rPr>
      </w:pPr>
    </w:p>
    <w:p w14:paraId="23E4A271" w14:textId="77777777" w:rsidR="00F77F7D" w:rsidRPr="00015384" w:rsidRDefault="001E5873" w:rsidP="00F77F7D">
      <w:pPr>
        <w:spacing w:line="360" w:lineRule="auto"/>
        <w:jc w:val="both"/>
        <w:rPr>
          <w:rFonts w:ascii="David" w:hAnsi="David"/>
        </w:rPr>
      </w:pPr>
      <w:r w:rsidRPr="00015384">
        <w:rPr>
          <w:rFonts w:ascii="David" w:hAnsi="David"/>
          <w:color w:val="FFFFFF"/>
          <w:sz w:val="2"/>
          <w:szCs w:val="2"/>
          <w:rtl/>
        </w:rPr>
        <w:t>5129371</w:t>
      </w:r>
      <w:r w:rsidR="00F77F7D" w:rsidRPr="00015384">
        <w:rPr>
          <w:rFonts w:ascii="David" w:hAnsi="David"/>
          <w:rtl/>
        </w:rPr>
        <w:t>זכות ערעור לבית המשפט המחוזי תוך 45 יום.</w:t>
      </w:r>
    </w:p>
    <w:p w14:paraId="15387EB4" w14:textId="77777777" w:rsidR="00F77F7D" w:rsidRPr="00015384" w:rsidRDefault="001E5873" w:rsidP="00F77F7D">
      <w:pPr>
        <w:rPr>
          <w:rFonts w:ascii="Arial" w:hAnsi="Arial"/>
          <w:b/>
          <w:bCs/>
          <w:color w:val="FFFFFF"/>
          <w:sz w:val="2"/>
          <w:szCs w:val="2"/>
          <w:rtl/>
        </w:rPr>
      </w:pPr>
      <w:r w:rsidRPr="00015384">
        <w:rPr>
          <w:rFonts w:ascii="Arial" w:hAnsi="Arial"/>
          <w:b/>
          <w:bCs/>
          <w:color w:val="FFFFFF"/>
          <w:sz w:val="2"/>
          <w:szCs w:val="2"/>
          <w:rtl/>
        </w:rPr>
        <w:t>54678313</w:t>
      </w:r>
    </w:p>
    <w:p w14:paraId="336174F7" w14:textId="77777777" w:rsidR="00F77F7D" w:rsidRPr="00015384" w:rsidRDefault="00F77F7D" w:rsidP="00F77F7D">
      <w:pPr>
        <w:rPr>
          <w:rFonts w:ascii="Arial" w:hAnsi="Arial"/>
          <w:b/>
          <w:bCs/>
          <w:sz w:val="26"/>
          <w:szCs w:val="26"/>
          <w:rtl/>
        </w:rPr>
      </w:pPr>
    </w:p>
    <w:p w14:paraId="3CD0FCB3" w14:textId="77777777" w:rsidR="00F77F7D" w:rsidRPr="00015384" w:rsidRDefault="001E5873" w:rsidP="00F77F7D">
      <w:pPr>
        <w:rPr>
          <w:rFonts w:ascii="Arial" w:hAnsi="Arial"/>
          <w:b/>
          <w:bCs/>
          <w:sz w:val="26"/>
          <w:szCs w:val="26"/>
          <w:rtl/>
        </w:rPr>
      </w:pPr>
      <w:bookmarkStart w:id="8" w:name="Nitan"/>
      <w:r w:rsidRPr="00015384">
        <w:rPr>
          <w:rFonts w:ascii="Arial" w:hAnsi="Arial"/>
          <w:b/>
          <w:bCs/>
          <w:sz w:val="26"/>
          <w:szCs w:val="26"/>
          <w:rtl/>
        </w:rPr>
        <w:t xml:space="preserve">ניתן היום,  ה' חשוון תשפ"ג, 30 אוקטובר 2022, בנוכחות הצדדים ובאי כוחם. </w:t>
      </w:r>
      <w:bookmarkEnd w:id="8"/>
    </w:p>
    <w:p w14:paraId="387B381E" w14:textId="77777777" w:rsidR="00F77F7D" w:rsidRPr="00015384" w:rsidRDefault="00F77F7D" w:rsidP="001E5873">
      <w:pPr>
        <w:jc w:val="center"/>
      </w:pPr>
      <w:r w:rsidRPr="00015384">
        <w:rPr>
          <w:rFonts w:ascii="Arial" w:hAnsi="Arial"/>
          <w:b/>
          <w:bCs/>
          <w:sz w:val="26"/>
          <w:szCs w:val="26"/>
          <w:rtl/>
        </w:rPr>
        <w:t xml:space="preserve">   </w:t>
      </w:r>
      <w:r w:rsidRPr="00015384">
        <w:rPr>
          <w:rFonts w:ascii="Arial" w:hAnsi="Arial"/>
          <w:b/>
          <w:bCs/>
          <w:sz w:val="26"/>
          <w:szCs w:val="26"/>
          <w:rtl/>
        </w:rPr>
        <w:tab/>
      </w:r>
      <w:r w:rsidRPr="00015384">
        <w:rPr>
          <w:rFonts w:ascii="Arial" w:hAnsi="Arial"/>
          <w:b/>
          <w:bCs/>
          <w:sz w:val="26"/>
          <w:szCs w:val="26"/>
          <w:rtl/>
        </w:rPr>
        <w:tab/>
      </w:r>
      <w:r w:rsidRPr="00015384">
        <w:rPr>
          <w:rFonts w:ascii="Arial" w:hAnsi="Arial"/>
          <w:b/>
          <w:bCs/>
          <w:sz w:val="26"/>
          <w:szCs w:val="26"/>
          <w:rtl/>
        </w:rPr>
        <w:tab/>
      </w:r>
      <w:r w:rsidRPr="00015384">
        <w:rPr>
          <w:rFonts w:ascii="Arial" w:hAnsi="Arial"/>
          <w:b/>
          <w:bCs/>
          <w:sz w:val="26"/>
          <w:szCs w:val="26"/>
          <w:rtl/>
        </w:rPr>
        <w:tab/>
      </w:r>
      <w:r w:rsidRPr="00015384">
        <w:rPr>
          <w:rFonts w:ascii="Arial" w:hAnsi="Arial"/>
          <w:b/>
          <w:bCs/>
          <w:sz w:val="26"/>
          <w:szCs w:val="26"/>
          <w:rtl/>
        </w:rPr>
        <w:tab/>
      </w:r>
    </w:p>
    <w:p w14:paraId="6A24AF9C" w14:textId="77777777" w:rsidR="00F77F7D" w:rsidRPr="00015384" w:rsidRDefault="00015384" w:rsidP="00F77F7D">
      <w:pPr>
        <w:jc w:val="center"/>
        <w:rPr>
          <w:rFonts w:ascii="Arial" w:hAnsi="Arial"/>
          <w:b/>
          <w:bCs/>
          <w:color w:val="FFFFFF"/>
          <w:sz w:val="2"/>
          <w:szCs w:val="2"/>
          <w:rtl/>
        </w:rPr>
      </w:pPr>
      <w:r w:rsidRPr="00015384">
        <w:rPr>
          <w:rFonts w:ascii="Arial" w:hAnsi="Arial"/>
          <w:b/>
          <w:bCs/>
          <w:color w:val="FFFFFF"/>
          <w:sz w:val="2"/>
          <w:szCs w:val="2"/>
          <w:rtl/>
        </w:rPr>
        <w:t>5129371</w:t>
      </w:r>
    </w:p>
    <w:p w14:paraId="1C71F646" w14:textId="77777777" w:rsidR="001E5873" w:rsidRPr="00015384" w:rsidRDefault="00015384" w:rsidP="001E5873">
      <w:pPr>
        <w:keepNext/>
        <w:rPr>
          <w:rFonts w:ascii="David" w:hAnsi="David"/>
          <w:color w:val="000000"/>
          <w:sz w:val="22"/>
          <w:szCs w:val="22"/>
          <w:rtl/>
        </w:rPr>
      </w:pPr>
      <w:r w:rsidRPr="00015384">
        <w:rPr>
          <w:rFonts w:ascii="David" w:hAnsi="David"/>
          <w:color w:val="FFFFFF"/>
          <w:sz w:val="2"/>
          <w:szCs w:val="2"/>
          <w:rtl/>
        </w:rPr>
        <w:t>54678313</w:t>
      </w:r>
    </w:p>
    <w:p w14:paraId="5B01A5E8" w14:textId="77777777" w:rsidR="001E5873" w:rsidRPr="00015384" w:rsidRDefault="001E5873" w:rsidP="001E5873">
      <w:pPr>
        <w:rPr>
          <w:rtl/>
        </w:rPr>
      </w:pPr>
    </w:p>
    <w:p w14:paraId="6946A43F" w14:textId="77777777" w:rsidR="001E5873" w:rsidRPr="00015384" w:rsidRDefault="001E5873" w:rsidP="001E5873">
      <w:pPr>
        <w:jc w:val="center"/>
        <w:rPr>
          <w:color w:val="0000FF"/>
          <w:u w:val="single"/>
        </w:rPr>
      </w:pPr>
      <w:hyperlink r:id="rId44" w:history="1">
        <w:r w:rsidRPr="00015384">
          <w:rPr>
            <w:color w:val="0000FF"/>
            <w:u w:val="single"/>
            <w:rtl/>
          </w:rPr>
          <w:t>בעניין עריכה ושינויים במסמכי פסיקה, חקיקה ועוד באתר נבו – הקש כאן</w:t>
        </w:r>
      </w:hyperlink>
    </w:p>
    <w:p w14:paraId="56180576" w14:textId="77777777" w:rsidR="00015384" w:rsidRPr="00015384" w:rsidRDefault="00015384" w:rsidP="00015384">
      <w:pPr>
        <w:keepNext/>
        <w:rPr>
          <w:rFonts w:ascii="David" w:hAnsi="David"/>
          <w:color w:val="000000"/>
          <w:sz w:val="22"/>
          <w:szCs w:val="22"/>
          <w:rtl/>
        </w:rPr>
      </w:pPr>
    </w:p>
    <w:p w14:paraId="72967461" w14:textId="77777777" w:rsidR="00015384" w:rsidRPr="00015384" w:rsidRDefault="00015384" w:rsidP="00015384">
      <w:pPr>
        <w:keepNext/>
        <w:rPr>
          <w:rFonts w:ascii="David" w:hAnsi="David"/>
          <w:color w:val="000000"/>
          <w:sz w:val="22"/>
          <w:szCs w:val="22"/>
          <w:rtl/>
        </w:rPr>
      </w:pPr>
      <w:r w:rsidRPr="00015384">
        <w:rPr>
          <w:rFonts w:ascii="David" w:hAnsi="David"/>
          <w:color w:val="000000"/>
          <w:sz w:val="22"/>
          <w:szCs w:val="22"/>
          <w:rtl/>
        </w:rPr>
        <w:t>שמואל הרבסט 54678313-/</w:t>
      </w:r>
    </w:p>
    <w:p w14:paraId="10FB9864" w14:textId="77777777" w:rsidR="001E5873" w:rsidRPr="00015384" w:rsidRDefault="00015384" w:rsidP="00015384">
      <w:pPr>
        <w:rPr>
          <w:color w:val="0000FF"/>
          <w:u w:val="single"/>
        </w:rPr>
      </w:pPr>
      <w:r w:rsidRPr="00015384">
        <w:rPr>
          <w:color w:val="000000"/>
          <w:u w:val="single"/>
          <w:rtl/>
        </w:rPr>
        <w:t>נוסח מסמך זה כפוף לשינויי ניסוח ועריכה</w:t>
      </w:r>
    </w:p>
    <w:sectPr w:rsidR="001E5873" w:rsidRPr="00015384" w:rsidSect="00015384">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D62C3" w14:textId="77777777" w:rsidR="00D27A79" w:rsidRDefault="00D27A79" w:rsidP="009F2980">
      <w:r>
        <w:separator/>
      </w:r>
    </w:p>
  </w:endnote>
  <w:endnote w:type="continuationSeparator" w:id="0">
    <w:p w14:paraId="3860B730" w14:textId="77777777" w:rsidR="00D27A79" w:rsidRDefault="00D27A79" w:rsidP="009F2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E8D48" w14:textId="77777777" w:rsidR="00015384" w:rsidRDefault="00015384" w:rsidP="000153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6EEDA1" w14:textId="77777777" w:rsidR="00BE09C9" w:rsidRPr="00015384" w:rsidRDefault="00015384" w:rsidP="00015384">
    <w:pPr>
      <w:pStyle w:val="a5"/>
      <w:pBdr>
        <w:top w:val="single" w:sz="4" w:space="1" w:color="auto"/>
        <w:between w:val="single" w:sz="4" w:space="0" w:color="auto"/>
      </w:pBdr>
      <w:spacing w:after="60"/>
      <w:jc w:val="center"/>
      <w:rPr>
        <w:rFonts w:ascii="FrankRuehl" w:hAnsi="FrankRuehl" w:cs="FrankRuehl"/>
        <w:color w:val="000000"/>
      </w:rPr>
    </w:pPr>
    <w:r w:rsidRPr="000153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C07B0" w14:textId="77777777" w:rsidR="00015384" w:rsidRDefault="00015384" w:rsidP="000153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0AD1">
      <w:rPr>
        <w:rFonts w:ascii="FrankRuehl" w:hAnsi="FrankRuehl" w:cs="FrankRuehl"/>
        <w:noProof/>
        <w:rtl/>
      </w:rPr>
      <w:t>1</w:t>
    </w:r>
    <w:r>
      <w:rPr>
        <w:rFonts w:ascii="FrankRuehl" w:hAnsi="FrankRuehl" w:cs="FrankRuehl"/>
        <w:rtl/>
      </w:rPr>
      <w:fldChar w:fldCharType="end"/>
    </w:r>
  </w:p>
  <w:p w14:paraId="579FBB7C" w14:textId="77777777" w:rsidR="00BE09C9" w:rsidRPr="00015384" w:rsidRDefault="00015384" w:rsidP="00015384">
    <w:pPr>
      <w:pStyle w:val="a5"/>
      <w:pBdr>
        <w:top w:val="single" w:sz="4" w:space="1" w:color="auto"/>
        <w:between w:val="single" w:sz="4" w:space="0" w:color="auto"/>
      </w:pBdr>
      <w:spacing w:after="60"/>
      <w:jc w:val="center"/>
      <w:rPr>
        <w:rFonts w:ascii="FrankRuehl" w:hAnsi="FrankRuehl" w:cs="FrankRuehl"/>
        <w:color w:val="000000"/>
      </w:rPr>
    </w:pPr>
    <w:r w:rsidRPr="00015384">
      <w:rPr>
        <w:rFonts w:ascii="FrankRuehl" w:hAnsi="FrankRuehl" w:cs="FrankRuehl"/>
        <w:color w:val="000000"/>
      </w:rPr>
      <w:pict w14:anchorId="4915B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6AC11" w14:textId="77777777" w:rsidR="00D27A79" w:rsidRDefault="00D27A79" w:rsidP="009F2980">
      <w:r>
        <w:separator/>
      </w:r>
    </w:p>
  </w:footnote>
  <w:footnote w:type="continuationSeparator" w:id="0">
    <w:p w14:paraId="7F4198AA" w14:textId="77777777" w:rsidR="00D27A79" w:rsidRDefault="00D27A79" w:rsidP="009F2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04290" w14:textId="77777777" w:rsidR="001E5873" w:rsidRPr="00015384" w:rsidRDefault="00015384" w:rsidP="000153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41970-12-21</w:t>
    </w:r>
    <w:r>
      <w:rPr>
        <w:rFonts w:ascii="David" w:hAnsi="David"/>
        <w:color w:val="000000"/>
        <w:sz w:val="22"/>
        <w:szCs w:val="22"/>
        <w:rtl/>
      </w:rPr>
      <w:tab/>
      <w:t xml:space="preserve"> מדינת ישראל נ' עומר חגאב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6448" w14:textId="77777777" w:rsidR="001E5873" w:rsidRPr="00015384" w:rsidRDefault="00015384" w:rsidP="000153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41970-12-21</w:t>
    </w:r>
    <w:r>
      <w:rPr>
        <w:rFonts w:ascii="David" w:hAnsi="David"/>
        <w:color w:val="000000"/>
        <w:sz w:val="22"/>
        <w:szCs w:val="22"/>
        <w:rtl/>
      </w:rPr>
      <w:tab/>
      <w:t xml:space="preserve"> מדינת ישראל נ' עומר חגאב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1B2F02"/>
    <w:multiLevelType w:val="hybridMultilevel"/>
    <w:tmpl w:val="22CC5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545508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7F7D"/>
    <w:rsid w:val="00015384"/>
    <w:rsid w:val="001E5873"/>
    <w:rsid w:val="00230491"/>
    <w:rsid w:val="00236F77"/>
    <w:rsid w:val="00360AD1"/>
    <w:rsid w:val="005B6091"/>
    <w:rsid w:val="00744462"/>
    <w:rsid w:val="008150A3"/>
    <w:rsid w:val="0099565C"/>
    <w:rsid w:val="009A4E4C"/>
    <w:rsid w:val="009F2980"/>
    <w:rsid w:val="00AA0D6A"/>
    <w:rsid w:val="00BE09C9"/>
    <w:rsid w:val="00C508F2"/>
    <w:rsid w:val="00D27A79"/>
    <w:rsid w:val="00F77F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80DCD7"/>
  <w15:chartTrackingRefBased/>
  <w15:docId w15:val="{90AE4DC2-30CD-4A85-9F96-CB6377D7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7F7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7F7D"/>
    <w:pPr>
      <w:tabs>
        <w:tab w:val="center" w:pos="4153"/>
        <w:tab w:val="right" w:pos="8306"/>
      </w:tabs>
    </w:pPr>
  </w:style>
  <w:style w:type="character" w:customStyle="1" w:styleId="a4">
    <w:name w:val="כותרת עליונה תו"/>
    <w:link w:val="a3"/>
    <w:rsid w:val="00F77F7D"/>
    <w:rPr>
      <w:rFonts w:ascii="Times New Roman" w:eastAsia="Times New Roman" w:hAnsi="Times New Roman" w:cs="David"/>
      <w:sz w:val="24"/>
      <w:szCs w:val="24"/>
    </w:rPr>
  </w:style>
  <w:style w:type="paragraph" w:styleId="a5">
    <w:name w:val="footer"/>
    <w:basedOn w:val="a"/>
    <w:link w:val="a6"/>
    <w:rsid w:val="00F77F7D"/>
    <w:pPr>
      <w:tabs>
        <w:tab w:val="center" w:pos="4153"/>
        <w:tab w:val="right" w:pos="8306"/>
      </w:tabs>
    </w:pPr>
  </w:style>
  <w:style w:type="character" w:customStyle="1" w:styleId="a6">
    <w:name w:val="כותרת תחתונה תו"/>
    <w:link w:val="a5"/>
    <w:rsid w:val="00F77F7D"/>
    <w:rPr>
      <w:rFonts w:ascii="Times New Roman" w:eastAsia="Times New Roman" w:hAnsi="Times New Roman" w:cs="David"/>
      <w:sz w:val="24"/>
      <w:szCs w:val="24"/>
    </w:rPr>
  </w:style>
  <w:style w:type="table" w:styleId="a7">
    <w:name w:val="Table Grid"/>
    <w:basedOn w:val="a1"/>
    <w:rsid w:val="00F77F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77F7D"/>
  </w:style>
  <w:style w:type="paragraph" w:styleId="a9">
    <w:name w:val="List Paragraph"/>
    <w:basedOn w:val="a"/>
    <w:qFormat/>
    <w:rsid w:val="00F77F7D"/>
    <w:pPr>
      <w:spacing w:after="160" w:line="254" w:lineRule="auto"/>
      <w:ind w:left="720"/>
      <w:contextualSpacing/>
    </w:pPr>
    <w:rPr>
      <w:rFonts w:ascii="Calibri" w:eastAsia="Calibri" w:hAnsi="Calibri" w:cs="Arial"/>
      <w:sz w:val="22"/>
      <w:szCs w:val="22"/>
    </w:rPr>
  </w:style>
  <w:style w:type="character" w:styleId="Hyperlink">
    <w:name w:val="Hyperlink"/>
    <w:rsid w:val="001E58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f"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413f" TargetMode="External"/><Relationship Id="rId39" Type="http://schemas.openxmlformats.org/officeDocument/2006/relationships/hyperlink" Target="http://www.nevo.co.il/case/570123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948794" TargetMode="External"/><Relationship Id="rId42" Type="http://schemas.openxmlformats.org/officeDocument/2006/relationships/hyperlink" Target="http://www.nevo.co.il/case/2794879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4216/7.a.;7.c" TargetMode="External"/><Relationship Id="rId11" Type="http://schemas.openxmlformats.org/officeDocument/2006/relationships/hyperlink" Target="http://www.nevo.co.il/law/70301/407.a" TargetMode="External"/><Relationship Id="rId24" Type="http://schemas.openxmlformats.org/officeDocument/2006/relationships/hyperlink" Target="http://www.nevo.co.il/law/159510" TargetMode="External"/><Relationship Id="rId32" Type="http://schemas.openxmlformats.org/officeDocument/2006/relationships/hyperlink" Target="http://www.nevo.co.il/law/70301/384" TargetMode="External"/><Relationship Id="rId37" Type="http://schemas.openxmlformats.org/officeDocument/2006/relationships/hyperlink" Target="http://www.nevo.co.il/case/27459329" TargetMode="External"/><Relationship Id="rId40" Type="http://schemas.openxmlformats.org/officeDocument/2006/relationships/hyperlink" Target="http://www.nevo.co.il/case/27459329"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159510/40.b.2" TargetMode="External"/><Relationship Id="rId23" Type="http://schemas.openxmlformats.org/officeDocument/2006/relationships/hyperlink" Target="http://www.nevo.co.il/law/159510/40.b.2" TargetMode="External"/><Relationship Id="rId28" Type="http://schemas.openxmlformats.org/officeDocument/2006/relationships/hyperlink" Target="http://www.nevo.co.il/case/27459329" TargetMode="External"/><Relationship Id="rId36" Type="http://schemas.openxmlformats.org/officeDocument/2006/relationships/hyperlink" Target="http://www.nevo.co.il/law/70301" TargetMode="External"/><Relationship Id="rId49" Type="http://schemas.openxmlformats.org/officeDocument/2006/relationships/fontTable" Target="fontTable.xml"/><Relationship Id="rId10" Type="http://schemas.openxmlformats.org/officeDocument/2006/relationships/hyperlink" Target="http://www.nevo.co.il/law/70301/406.b" TargetMode="External"/><Relationship Id="rId19" Type="http://schemas.openxmlformats.org/officeDocument/2006/relationships/hyperlink" Target="http://www.nevo.co.il/case/28185222" TargetMode="External"/><Relationship Id="rId31" Type="http://schemas.openxmlformats.org/officeDocument/2006/relationships/hyperlink" Target="http://www.nevo.co.il/case/28111403"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law/159510" TargetMode="External"/><Relationship Id="rId22" Type="http://schemas.openxmlformats.org/officeDocument/2006/relationships/hyperlink" Target="http://www.nevo.co.il/law/70301/40.b.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yperlink" Target="http://www.nevo.co.il/law/70301/407.a" TargetMode="External"/><Relationship Id="rId43" Type="http://schemas.openxmlformats.org/officeDocument/2006/relationships/hyperlink" Target="http://www.nevo.co.il/case/28111403" TargetMode="External"/><Relationship Id="rId48" Type="http://schemas.openxmlformats.org/officeDocument/2006/relationships/footer" Target="footer2.xml"/><Relationship Id="rId8" Type="http://schemas.openxmlformats.org/officeDocument/2006/relationships/hyperlink" Target="http://www.nevo.co.il/law/70301/40.b.1" TargetMode="External"/><Relationship Id="rId3" Type="http://schemas.openxmlformats.org/officeDocument/2006/relationships/settings" Target="settings.xml"/><Relationship Id="rId12" Type="http://schemas.openxmlformats.org/officeDocument/2006/relationships/hyperlink" Target="http://www.nevo.co.il/law/70301/413d.a"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413d.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law/70301/406.b" TargetMode="External"/><Relationship Id="rId41" Type="http://schemas.openxmlformats.org/officeDocument/2006/relationships/hyperlink" Target="http://www.nevo.co.il/case/2811140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3025</Words>
  <Characters>15129</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18118</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3276921</vt:i4>
      </vt:variant>
      <vt:variant>
        <vt:i4>108</vt:i4>
      </vt:variant>
      <vt:variant>
        <vt:i4>0</vt:i4>
      </vt:variant>
      <vt:variant>
        <vt:i4>5</vt:i4>
      </vt:variant>
      <vt:variant>
        <vt:lpwstr>http://www.nevo.co.il/case/28111403</vt:lpwstr>
      </vt:variant>
      <vt:variant>
        <vt:lpwstr/>
      </vt:variant>
      <vt:variant>
        <vt:i4>3801200</vt:i4>
      </vt:variant>
      <vt:variant>
        <vt:i4>105</vt:i4>
      </vt:variant>
      <vt:variant>
        <vt:i4>0</vt:i4>
      </vt:variant>
      <vt:variant>
        <vt:i4>5</vt:i4>
      </vt:variant>
      <vt:variant>
        <vt:lpwstr>http://www.nevo.co.il/case/27948794</vt:lpwstr>
      </vt:variant>
      <vt:variant>
        <vt:lpwstr/>
      </vt:variant>
      <vt:variant>
        <vt:i4>3276921</vt:i4>
      </vt:variant>
      <vt:variant>
        <vt:i4>102</vt:i4>
      </vt:variant>
      <vt:variant>
        <vt:i4>0</vt:i4>
      </vt:variant>
      <vt:variant>
        <vt:i4>5</vt:i4>
      </vt:variant>
      <vt:variant>
        <vt:lpwstr>http://www.nevo.co.il/case/28111403</vt:lpwstr>
      </vt:variant>
      <vt:variant>
        <vt:lpwstr/>
      </vt:variant>
      <vt:variant>
        <vt:i4>3997813</vt:i4>
      </vt:variant>
      <vt:variant>
        <vt:i4>99</vt:i4>
      </vt:variant>
      <vt:variant>
        <vt:i4>0</vt:i4>
      </vt:variant>
      <vt:variant>
        <vt:i4>5</vt:i4>
      </vt:variant>
      <vt:variant>
        <vt:lpwstr>http://www.nevo.co.il/case/27459329</vt:lpwstr>
      </vt:variant>
      <vt:variant>
        <vt:lpwstr/>
      </vt:variant>
      <vt:variant>
        <vt:i4>3211377</vt:i4>
      </vt:variant>
      <vt:variant>
        <vt:i4>96</vt:i4>
      </vt:variant>
      <vt:variant>
        <vt:i4>0</vt:i4>
      </vt:variant>
      <vt:variant>
        <vt:i4>5</vt:i4>
      </vt:variant>
      <vt:variant>
        <vt:lpwstr>http://www.nevo.co.il/case/5701236</vt:lpwstr>
      </vt:variant>
      <vt:variant>
        <vt:lpwstr/>
      </vt:variant>
      <vt:variant>
        <vt:i4>7995492</vt:i4>
      </vt:variant>
      <vt:variant>
        <vt:i4>93</vt:i4>
      </vt:variant>
      <vt:variant>
        <vt:i4>0</vt:i4>
      </vt:variant>
      <vt:variant>
        <vt:i4>5</vt:i4>
      </vt:variant>
      <vt:variant>
        <vt:lpwstr>http://www.nevo.co.il/law/70301</vt:lpwstr>
      </vt:variant>
      <vt:variant>
        <vt:lpwstr/>
      </vt:variant>
      <vt:variant>
        <vt:i4>3997813</vt:i4>
      </vt:variant>
      <vt:variant>
        <vt:i4>90</vt:i4>
      </vt:variant>
      <vt:variant>
        <vt:i4>0</vt:i4>
      </vt:variant>
      <vt:variant>
        <vt:i4>5</vt:i4>
      </vt:variant>
      <vt:variant>
        <vt:lpwstr>http://www.nevo.co.il/case/27459329</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4915286</vt:i4>
      </vt:variant>
      <vt:variant>
        <vt:i4>84</vt:i4>
      </vt:variant>
      <vt:variant>
        <vt:i4>0</vt:i4>
      </vt:variant>
      <vt:variant>
        <vt:i4>5</vt:i4>
      </vt:variant>
      <vt:variant>
        <vt:lpwstr>http://www.nevo.co.il/law/70301/407.a</vt:lpwstr>
      </vt:variant>
      <vt:variant>
        <vt:lpwstr/>
      </vt:variant>
      <vt:variant>
        <vt:i4>3801200</vt:i4>
      </vt:variant>
      <vt:variant>
        <vt:i4>81</vt:i4>
      </vt:variant>
      <vt:variant>
        <vt:i4>0</vt:i4>
      </vt:variant>
      <vt:variant>
        <vt:i4>5</vt:i4>
      </vt:variant>
      <vt:variant>
        <vt:lpwstr>http://www.nevo.co.il/case/27948794</vt:lpwstr>
      </vt:variant>
      <vt:variant>
        <vt:lpwstr/>
      </vt:variant>
      <vt:variant>
        <vt:i4>7995492</vt:i4>
      </vt:variant>
      <vt:variant>
        <vt:i4>78</vt:i4>
      </vt:variant>
      <vt:variant>
        <vt:i4>0</vt:i4>
      </vt:variant>
      <vt:variant>
        <vt:i4>5</vt:i4>
      </vt:variant>
      <vt:variant>
        <vt:lpwstr>http://www.nevo.co.il/law/70301</vt:lpwstr>
      </vt:variant>
      <vt:variant>
        <vt:lpwstr/>
      </vt:variant>
      <vt:variant>
        <vt:i4>7143526</vt:i4>
      </vt:variant>
      <vt:variant>
        <vt:i4>75</vt:i4>
      </vt:variant>
      <vt:variant>
        <vt:i4>0</vt:i4>
      </vt:variant>
      <vt:variant>
        <vt:i4>5</vt:i4>
      </vt:variant>
      <vt:variant>
        <vt:lpwstr>http://www.nevo.co.il/law/70301/384</vt:lpwstr>
      </vt:variant>
      <vt:variant>
        <vt:lpwstr/>
      </vt:variant>
      <vt:variant>
        <vt:i4>3276921</vt:i4>
      </vt:variant>
      <vt:variant>
        <vt:i4>72</vt:i4>
      </vt:variant>
      <vt:variant>
        <vt:i4>0</vt:i4>
      </vt:variant>
      <vt:variant>
        <vt:i4>5</vt:i4>
      </vt:variant>
      <vt:variant>
        <vt:lpwstr>http://www.nevo.co.il/case/28111403</vt:lpwstr>
      </vt:variant>
      <vt:variant>
        <vt:lpwstr/>
      </vt:variant>
      <vt:variant>
        <vt:i4>8257637</vt:i4>
      </vt:variant>
      <vt:variant>
        <vt:i4>69</vt:i4>
      </vt:variant>
      <vt:variant>
        <vt:i4>0</vt:i4>
      </vt:variant>
      <vt:variant>
        <vt:i4>5</vt:i4>
      </vt:variant>
      <vt:variant>
        <vt:lpwstr>http://www.nevo.co.il/law/4216</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3997813</vt:i4>
      </vt:variant>
      <vt:variant>
        <vt:i4>63</vt:i4>
      </vt:variant>
      <vt:variant>
        <vt:i4>0</vt:i4>
      </vt:variant>
      <vt:variant>
        <vt:i4>5</vt:i4>
      </vt:variant>
      <vt:variant>
        <vt:lpwstr>http://www.nevo.co.il/case/27459329</vt:lpwstr>
      </vt:variant>
      <vt:variant>
        <vt:lpwstr/>
      </vt:variant>
      <vt:variant>
        <vt:i4>7995492</vt:i4>
      </vt:variant>
      <vt:variant>
        <vt:i4>60</vt:i4>
      </vt:variant>
      <vt:variant>
        <vt:i4>0</vt:i4>
      </vt:variant>
      <vt:variant>
        <vt:i4>5</vt:i4>
      </vt:variant>
      <vt:variant>
        <vt:lpwstr>http://www.nevo.co.il/law/70301</vt:lpwstr>
      </vt:variant>
      <vt:variant>
        <vt:lpwstr/>
      </vt:variant>
      <vt:variant>
        <vt:i4>131154</vt:i4>
      </vt:variant>
      <vt:variant>
        <vt:i4>57</vt:i4>
      </vt:variant>
      <vt:variant>
        <vt:i4>0</vt:i4>
      </vt:variant>
      <vt:variant>
        <vt:i4>5</vt:i4>
      </vt:variant>
      <vt:variant>
        <vt:lpwstr>http://www.nevo.co.il/law/70301/413f</vt:lpwstr>
      </vt:variant>
      <vt:variant>
        <vt:lpwstr/>
      </vt:variant>
      <vt:variant>
        <vt:i4>6357116</vt:i4>
      </vt:variant>
      <vt:variant>
        <vt:i4>54</vt:i4>
      </vt:variant>
      <vt:variant>
        <vt:i4>0</vt:i4>
      </vt:variant>
      <vt:variant>
        <vt:i4>5</vt:i4>
      </vt:variant>
      <vt:variant>
        <vt:lpwstr>http://www.nevo.co.il/law/70301/413d.a</vt:lpwstr>
      </vt:variant>
      <vt:variant>
        <vt:lpwstr/>
      </vt:variant>
      <vt:variant>
        <vt:i4>4849753</vt:i4>
      </vt:variant>
      <vt:variant>
        <vt:i4>51</vt:i4>
      </vt:variant>
      <vt:variant>
        <vt:i4>0</vt:i4>
      </vt:variant>
      <vt:variant>
        <vt:i4>5</vt:i4>
      </vt:variant>
      <vt:variant>
        <vt:lpwstr>http://www.nevo.co.il/law/159510</vt:lpwstr>
      </vt:variant>
      <vt:variant>
        <vt:lpwstr/>
      </vt:variant>
      <vt:variant>
        <vt:i4>8257572</vt:i4>
      </vt:variant>
      <vt:variant>
        <vt:i4>48</vt:i4>
      </vt:variant>
      <vt:variant>
        <vt:i4>0</vt:i4>
      </vt:variant>
      <vt:variant>
        <vt:i4>5</vt:i4>
      </vt:variant>
      <vt:variant>
        <vt:lpwstr>http://www.nevo.co.il/law/159510/40.b.2</vt:lpwstr>
      </vt:variant>
      <vt:variant>
        <vt:lpwstr/>
      </vt:variant>
      <vt:variant>
        <vt:i4>3539041</vt:i4>
      </vt:variant>
      <vt:variant>
        <vt:i4>45</vt:i4>
      </vt:variant>
      <vt:variant>
        <vt:i4>0</vt:i4>
      </vt:variant>
      <vt:variant>
        <vt:i4>5</vt:i4>
      </vt:variant>
      <vt:variant>
        <vt:lpwstr>http://www.nevo.co.il/law/70301/40.b.1</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4915287</vt:i4>
      </vt:variant>
      <vt:variant>
        <vt:i4>39</vt:i4>
      </vt:variant>
      <vt:variant>
        <vt:i4>0</vt:i4>
      </vt:variant>
      <vt:variant>
        <vt:i4>5</vt:i4>
      </vt:variant>
      <vt:variant>
        <vt:lpwstr>http://www.nevo.co.il/law/70301/406.b</vt:lpwstr>
      </vt:variant>
      <vt:variant>
        <vt:lpwstr/>
      </vt:variant>
      <vt:variant>
        <vt:i4>3407990</vt:i4>
      </vt:variant>
      <vt:variant>
        <vt:i4>36</vt:i4>
      </vt:variant>
      <vt:variant>
        <vt:i4>0</vt:i4>
      </vt:variant>
      <vt:variant>
        <vt:i4>5</vt:i4>
      </vt:variant>
      <vt:variant>
        <vt:lpwstr>http://www.nevo.co.il/case/28185222</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8257572</vt:i4>
      </vt:variant>
      <vt:variant>
        <vt:i4>24</vt:i4>
      </vt:variant>
      <vt:variant>
        <vt:i4>0</vt:i4>
      </vt:variant>
      <vt:variant>
        <vt:i4>5</vt:i4>
      </vt:variant>
      <vt:variant>
        <vt:lpwstr>http://www.nevo.co.il/law/159510/40.b.2</vt:lpwstr>
      </vt:variant>
      <vt:variant>
        <vt:lpwstr/>
      </vt:variant>
      <vt:variant>
        <vt:i4>4849753</vt:i4>
      </vt:variant>
      <vt:variant>
        <vt:i4>21</vt:i4>
      </vt:variant>
      <vt:variant>
        <vt:i4>0</vt:i4>
      </vt:variant>
      <vt:variant>
        <vt:i4>5</vt:i4>
      </vt:variant>
      <vt:variant>
        <vt:lpwstr>http://www.nevo.co.il/law/159510</vt:lpwstr>
      </vt:variant>
      <vt:variant>
        <vt:lpwstr/>
      </vt:variant>
      <vt:variant>
        <vt:i4>131154</vt:i4>
      </vt:variant>
      <vt:variant>
        <vt:i4>18</vt:i4>
      </vt:variant>
      <vt:variant>
        <vt:i4>0</vt:i4>
      </vt:variant>
      <vt:variant>
        <vt:i4>5</vt:i4>
      </vt:variant>
      <vt:variant>
        <vt:lpwstr>http://www.nevo.co.il/law/70301/413f</vt:lpwstr>
      </vt:variant>
      <vt:variant>
        <vt:lpwstr/>
      </vt:variant>
      <vt:variant>
        <vt:i4>6357116</vt:i4>
      </vt:variant>
      <vt:variant>
        <vt:i4>15</vt:i4>
      </vt:variant>
      <vt:variant>
        <vt:i4>0</vt:i4>
      </vt:variant>
      <vt:variant>
        <vt:i4>5</vt:i4>
      </vt:variant>
      <vt:variant>
        <vt:lpwstr>http://www.nevo.co.il/law/70301/413d.a</vt:lpwstr>
      </vt:variant>
      <vt:variant>
        <vt:lpwstr/>
      </vt:variant>
      <vt:variant>
        <vt:i4>4915286</vt:i4>
      </vt:variant>
      <vt:variant>
        <vt:i4>12</vt:i4>
      </vt:variant>
      <vt:variant>
        <vt:i4>0</vt:i4>
      </vt:variant>
      <vt:variant>
        <vt:i4>5</vt:i4>
      </vt:variant>
      <vt:variant>
        <vt:lpwstr>http://www.nevo.co.il/law/70301/407.a</vt:lpwstr>
      </vt:variant>
      <vt:variant>
        <vt:lpwstr/>
      </vt:variant>
      <vt:variant>
        <vt:i4>4915287</vt:i4>
      </vt:variant>
      <vt:variant>
        <vt:i4>9</vt:i4>
      </vt:variant>
      <vt:variant>
        <vt:i4>0</vt:i4>
      </vt:variant>
      <vt:variant>
        <vt:i4>5</vt:i4>
      </vt:variant>
      <vt:variant>
        <vt:lpwstr>http://www.nevo.co.il/law/70301/406.b</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3539041</vt:i4>
      </vt:variant>
      <vt:variant>
        <vt:i4>3</vt:i4>
      </vt:variant>
      <vt:variant>
        <vt:i4>0</vt:i4>
      </vt:variant>
      <vt:variant>
        <vt:i4>5</vt:i4>
      </vt:variant>
      <vt:variant>
        <vt:lpwstr>http://www.nevo.co.il/law/70301/40.b.1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2025-04-23T01:18:00Z</dcterms:created>
  <dcterms:modified xsi:type="dcterms:W3CDTF">2025-04-23T01:18:00Z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41970</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עומר חגאב</vt:lpwstr>
  </property>
  <property fmtid="{D5CDD505-2E9C-101B-9397-08002B2CF9AE}" pid="10" name="LAWYER">
    <vt:lpwstr>מונא</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20221030</vt:lpwstr>
  </property>
  <property fmtid="{D5CDD505-2E9C-101B-9397-08002B2CF9AE}" pid="14" name="TYPE_N_DATE">
    <vt:lpwstr>38020221030</vt:lpwstr>
  </property>
  <property fmtid="{D5CDD505-2E9C-101B-9397-08002B2CF9AE}" pid="15" name="WORDNUMPAGES">
    <vt:lpwstr>9</vt:lpwstr>
  </property>
  <property fmtid="{D5CDD505-2E9C-101B-9397-08002B2CF9AE}" pid="16" name="TYPE_ABS_DATE">
    <vt:lpwstr>380020221030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28185222;27459329:3;28111403:3;27948794:2;5701236</vt:lpwstr>
  </property>
  <property fmtid="{D5CDD505-2E9C-101B-9397-08002B2CF9AE}" pid="36" name="LAWLISTTMP1">
    <vt:lpwstr>70301/406.b;040.b.1;413d.a;413f;384;407.a</vt:lpwstr>
  </property>
  <property fmtid="{D5CDD505-2E9C-101B-9397-08002B2CF9AE}" pid="37" name="LAWLISTTMP2">
    <vt:lpwstr>159510/040.b.2</vt:lpwstr>
  </property>
  <property fmtid="{D5CDD505-2E9C-101B-9397-08002B2CF9AE}" pid="38" name="LAWLISTTMP3">
    <vt:lpwstr>4216/007.a;007.c</vt:lpwstr>
  </property>
</Properties>
</file>