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73"/>
        <w:gridCol w:w="3550"/>
      </w:tblGrid>
      <w:tr w:rsidR="00FF7714" w:rsidRPr="00485001" w14:paraId="071A5288" w14:textId="77777777" w:rsidTr="00023EE6">
        <w:trPr>
          <w:trHeight w:hRule="exact" w:val="418"/>
          <w:jc w:val="center"/>
        </w:trPr>
        <w:tc>
          <w:tcPr>
            <w:tcW w:w="8523" w:type="dxa"/>
            <w:gridSpan w:val="2"/>
          </w:tcPr>
          <w:p w14:paraId="418E31D3" w14:textId="77777777" w:rsidR="00FF7714" w:rsidRPr="00485001" w:rsidRDefault="00FF7714" w:rsidP="00DB56B0">
            <w:pPr>
              <w:pStyle w:val="a3"/>
              <w:jc w:val="center"/>
              <w:rPr>
                <w:rFonts w:ascii="Tahoma" w:hAnsi="Tahoma" w:cs="Tahoma"/>
                <w:color w:val="000080"/>
                <w:rtl/>
              </w:rPr>
            </w:pPr>
            <w:bookmarkStart w:id="0" w:name="LastJudge"/>
            <w:r w:rsidRPr="00485001">
              <w:rPr>
                <w:rFonts w:ascii="Tahoma" w:hAnsi="Tahoma" w:cs="Tahoma"/>
                <w:b/>
                <w:bCs/>
                <w:color w:val="000080"/>
                <w:rtl/>
              </w:rPr>
              <w:t>בית משפט השלום בירושלים</w:t>
            </w:r>
          </w:p>
        </w:tc>
      </w:tr>
      <w:tr w:rsidR="00FF7714" w:rsidRPr="00485001" w14:paraId="6CB38A57" w14:textId="77777777" w:rsidTr="00023EE6">
        <w:trPr>
          <w:trHeight w:val="850"/>
          <w:jc w:val="center"/>
        </w:trPr>
        <w:tc>
          <w:tcPr>
            <w:tcW w:w="4973" w:type="dxa"/>
          </w:tcPr>
          <w:p w14:paraId="17DCEDF2" w14:textId="77777777" w:rsidR="00FF7714" w:rsidRPr="00485001" w:rsidRDefault="00FF7714" w:rsidP="00DB56B0">
            <w:pPr>
              <w:rPr>
                <w:sz w:val="26"/>
                <w:szCs w:val="26"/>
                <w:rtl/>
              </w:rPr>
            </w:pPr>
            <w:r w:rsidRPr="00485001">
              <w:rPr>
                <w:sz w:val="26"/>
                <w:szCs w:val="26"/>
                <w:rtl/>
              </w:rPr>
              <w:t>ת"פ</w:t>
            </w:r>
            <w:r w:rsidRPr="00485001">
              <w:rPr>
                <w:rFonts w:hint="cs"/>
                <w:sz w:val="26"/>
                <w:szCs w:val="26"/>
                <w:rtl/>
              </w:rPr>
              <w:t xml:space="preserve"> </w:t>
            </w:r>
            <w:r w:rsidRPr="00485001">
              <w:rPr>
                <w:sz w:val="26"/>
                <w:szCs w:val="26"/>
                <w:rtl/>
              </w:rPr>
              <w:t>5043-12-21</w:t>
            </w:r>
            <w:r w:rsidRPr="00485001">
              <w:rPr>
                <w:rFonts w:hint="cs"/>
                <w:sz w:val="26"/>
                <w:szCs w:val="26"/>
                <w:rtl/>
              </w:rPr>
              <w:t xml:space="preserve"> </w:t>
            </w:r>
            <w:r w:rsidRPr="00485001">
              <w:rPr>
                <w:sz w:val="26"/>
                <w:szCs w:val="26"/>
                <w:rtl/>
              </w:rPr>
              <w:t>מדינת ישראל נ' מרציאנו(אחר/נוסף)</w:t>
            </w:r>
          </w:p>
        </w:tc>
        <w:tc>
          <w:tcPr>
            <w:tcW w:w="3550" w:type="dxa"/>
          </w:tcPr>
          <w:p w14:paraId="11A11BC8" w14:textId="77777777" w:rsidR="00FF7714" w:rsidRPr="00485001" w:rsidRDefault="00FF7714" w:rsidP="00DB56B0">
            <w:pPr>
              <w:pStyle w:val="a3"/>
              <w:jc w:val="right"/>
              <w:rPr>
                <w:sz w:val="26"/>
                <w:szCs w:val="26"/>
                <w:rtl/>
              </w:rPr>
            </w:pPr>
          </w:p>
        </w:tc>
      </w:tr>
    </w:tbl>
    <w:p w14:paraId="3ECF1EC5" w14:textId="77777777" w:rsidR="00FF7714" w:rsidRPr="00485001" w:rsidRDefault="00FF7714" w:rsidP="00FF7714">
      <w:pPr>
        <w:pStyle w:val="a3"/>
        <w:rPr>
          <w:rtl/>
        </w:rPr>
      </w:pPr>
    </w:p>
    <w:p w14:paraId="2ADC4C73" w14:textId="77777777" w:rsidR="00FF7714" w:rsidRPr="00485001" w:rsidRDefault="00FF7714" w:rsidP="00FF7714">
      <w:pPr>
        <w:rPr>
          <w:rtl/>
        </w:rPr>
      </w:pPr>
    </w:p>
    <w:p w14:paraId="606DAC4B" w14:textId="77777777" w:rsidR="00FF7714" w:rsidRPr="00485001" w:rsidRDefault="00FF7714" w:rsidP="00FF771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FF7714" w:rsidRPr="00485001" w14:paraId="4E24E54A" w14:textId="77777777" w:rsidTr="00FF7714">
        <w:trPr>
          <w:trHeight w:val="295"/>
          <w:jc w:val="center"/>
        </w:trPr>
        <w:tc>
          <w:tcPr>
            <w:tcW w:w="8820" w:type="dxa"/>
            <w:gridSpan w:val="3"/>
            <w:tcBorders>
              <w:top w:val="nil"/>
              <w:left w:val="nil"/>
              <w:bottom w:val="nil"/>
              <w:right w:val="nil"/>
            </w:tcBorders>
            <w:shd w:val="clear" w:color="auto" w:fill="auto"/>
          </w:tcPr>
          <w:p w14:paraId="6A77B540" w14:textId="77777777" w:rsidR="00FF7714" w:rsidRPr="00485001" w:rsidRDefault="00FF7714" w:rsidP="00FF7714">
            <w:pPr>
              <w:jc w:val="both"/>
              <w:rPr>
                <w:rFonts w:ascii="Arial" w:hAnsi="Arial"/>
                <w:b/>
                <w:bCs/>
                <w:sz w:val="26"/>
                <w:szCs w:val="26"/>
                <w:rtl/>
              </w:rPr>
            </w:pPr>
            <w:r w:rsidRPr="00485001">
              <w:rPr>
                <w:rFonts w:ascii="Arial" w:hAnsi="Arial" w:hint="cs"/>
                <w:b/>
                <w:bCs/>
                <w:sz w:val="26"/>
                <w:szCs w:val="26"/>
                <w:rtl/>
              </w:rPr>
              <w:t>ל</w:t>
            </w:r>
            <w:r w:rsidRPr="00485001">
              <w:rPr>
                <w:rFonts w:ascii="Arial" w:hAnsi="Arial"/>
                <w:b/>
                <w:bCs/>
                <w:sz w:val="26"/>
                <w:szCs w:val="26"/>
                <w:rtl/>
              </w:rPr>
              <w:t xml:space="preserve">פני </w:t>
            </w:r>
            <w:r w:rsidRPr="00485001">
              <w:rPr>
                <w:rFonts w:ascii="Arial" w:hAnsi="Arial" w:hint="cs"/>
                <w:b/>
                <w:bCs/>
                <w:sz w:val="26"/>
                <w:szCs w:val="26"/>
                <w:rtl/>
              </w:rPr>
              <w:t>כבוד ה</w:t>
            </w:r>
            <w:r w:rsidRPr="00485001">
              <w:rPr>
                <w:rFonts w:ascii="Arial" w:hAnsi="Arial"/>
                <w:b/>
                <w:bCs/>
                <w:sz w:val="26"/>
                <w:szCs w:val="26"/>
                <w:rtl/>
              </w:rPr>
              <w:t>שופט</w:t>
            </w:r>
            <w:r w:rsidRPr="00485001">
              <w:rPr>
                <w:rFonts w:ascii="Arial" w:hAnsi="Arial" w:hint="cs"/>
                <w:b/>
                <w:bCs/>
                <w:sz w:val="26"/>
                <w:szCs w:val="26"/>
                <w:rtl/>
              </w:rPr>
              <w:t xml:space="preserve">  </w:t>
            </w:r>
            <w:r w:rsidRPr="00485001">
              <w:rPr>
                <w:rFonts w:ascii="Arial" w:hAnsi="Arial"/>
                <w:b/>
                <w:bCs/>
                <w:sz w:val="26"/>
                <w:szCs w:val="26"/>
                <w:rtl/>
              </w:rPr>
              <w:t>אביחי דורון</w:t>
            </w:r>
          </w:p>
          <w:p w14:paraId="0D7149B2" w14:textId="77777777" w:rsidR="00FF7714" w:rsidRPr="00485001" w:rsidRDefault="00FF7714" w:rsidP="00FF7714">
            <w:pPr>
              <w:jc w:val="both"/>
              <w:rPr>
                <w:rFonts w:ascii="Arial" w:hAnsi="Arial"/>
                <w:sz w:val="26"/>
                <w:szCs w:val="26"/>
              </w:rPr>
            </w:pPr>
          </w:p>
        </w:tc>
      </w:tr>
      <w:tr w:rsidR="00FF7714" w:rsidRPr="00485001" w14:paraId="68696BC5" w14:textId="77777777" w:rsidTr="00FF7714">
        <w:trPr>
          <w:trHeight w:val="355"/>
          <w:jc w:val="center"/>
        </w:trPr>
        <w:tc>
          <w:tcPr>
            <w:tcW w:w="923" w:type="dxa"/>
            <w:tcBorders>
              <w:top w:val="nil"/>
              <w:left w:val="nil"/>
              <w:bottom w:val="nil"/>
              <w:right w:val="nil"/>
            </w:tcBorders>
            <w:shd w:val="clear" w:color="auto" w:fill="auto"/>
          </w:tcPr>
          <w:p w14:paraId="787D277D" w14:textId="77777777" w:rsidR="00FF7714" w:rsidRPr="00485001" w:rsidRDefault="00FF7714" w:rsidP="00FF7714">
            <w:pPr>
              <w:jc w:val="both"/>
              <w:rPr>
                <w:rFonts w:ascii="Arial" w:hAnsi="Arial"/>
                <w:b/>
                <w:bCs/>
                <w:sz w:val="26"/>
                <w:szCs w:val="26"/>
              </w:rPr>
            </w:pPr>
            <w:bookmarkStart w:id="1" w:name="FirstAppellant"/>
            <w:r w:rsidRPr="00485001">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7460DDEB" w14:textId="77777777" w:rsidR="00FF7714" w:rsidRPr="00485001" w:rsidRDefault="00FF7714" w:rsidP="00DB56B0">
            <w:pPr>
              <w:rPr>
                <w:sz w:val="26"/>
                <w:szCs w:val="26"/>
              </w:rPr>
            </w:pPr>
            <w:r w:rsidRPr="00485001">
              <w:rPr>
                <w:rFonts w:ascii="Arial" w:hAnsi="Arial"/>
                <w:sz w:val="26"/>
                <w:szCs w:val="26"/>
                <w:rtl/>
              </w:rPr>
              <w:t>מדינת ישראל</w:t>
            </w:r>
          </w:p>
        </w:tc>
        <w:tc>
          <w:tcPr>
            <w:tcW w:w="4820" w:type="dxa"/>
            <w:tcBorders>
              <w:top w:val="nil"/>
              <w:left w:val="nil"/>
              <w:bottom w:val="nil"/>
              <w:right w:val="nil"/>
            </w:tcBorders>
            <w:shd w:val="clear" w:color="auto" w:fill="auto"/>
          </w:tcPr>
          <w:p w14:paraId="432E75C9" w14:textId="77777777" w:rsidR="00FF7714" w:rsidRPr="00485001" w:rsidRDefault="00FF7714" w:rsidP="00FF7714">
            <w:pPr>
              <w:jc w:val="both"/>
              <w:rPr>
                <w:rFonts w:ascii="Arial" w:hAnsi="Arial"/>
                <w:sz w:val="26"/>
                <w:szCs w:val="26"/>
              </w:rPr>
            </w:pPr>
          </w:p>
        </w:tc>
      </w:tr>
      <w:bookmarkEnd w:id="1"/>
      <w:tr w:rsidR="00FF7714" w:rsidRPr="00485001" w14:paraId="39DA25F0" w14:textId="77777777" w:rsidTr="00FF7714">
        <w:trPr>
          <w:trHeight w:val="355"/>
          <w:jc w:val="center"/>
        </w:trPr>
        <w:tc>
          <w:tcPr>
            <w:tcW w:w="923" w:type="dxa"/>
            <w:tcBorders>
              <w:top w:val="nil"/>
              <w:left w:val="nil"/>
              <w:bottom w:val="nil"/>
              <w:right w:val="nil"/>
            </w:tcBorders>
            <w:shd w:val="clear" w:color="auto" w:fill="auto"/>
          </w:tcPr>
          <w:p w14:paraId="2F5856E9" w14:textId="77777777" w:rsidR="00FF7714" w:rsidRPr="00485001" w:rsidRDefault="00FF7714" w:rsidP="00FF7714">
            <w:pPr>
              <w:jc w:val="both"/>
              <w:rPr>
                <w:rFonts w:ascii="Arial" w:hAnsi="Arial"/>
                <w:sz w:val="26"/>
                <w:szCs w:val="26"/>
                <w:rtl/>
              </w:rPr>
            </w:pPr>
          </w:p>
        </w:tc>
        <w:tc>
          <w:tcPr>
            <w:tcW w:w="3077" w:type="dxa"/>
            <w:tcBorders>
              <w:top w:val="nil"/>
              <w:left w:val="nil"/>
              <w:bottom w:val="nil"/>
              <w:right w:val="nil"/>
            </w:tcBorders>
            <w:shd w:val="clear" w:color="auto" w:fill="auto"/>
          </w:tcPr>
          <w:p w14:paraId="6B0AE329" w14:textId="77777777" w:rsidR="00FF7714" w:rsidRPr="00485001" w:rsidRDefault="00FF7714" w:rsidP="00FF7714">
            <w:pPr>
              <w:jc w:val="both"/>
              <w:rPr>
                <w:sz w:val="26"/>
                <w:szCs w:val="26"/>
                <w:rtl/>
              </w:rPr>
            </w:pPr>
          </w:p>
        </w:tc>
        <w:tc>
          <w:tcPr>
            <w:tcW w:w="4820" w:type="dxa"/>
            <w:tcBorders>
              <w:top w:val="nil"/>
              <w:left w:val="nil"/>
              <w:bottom w:val="nil"/>
              <w:right w:val="nil"/>
            </w:tcBorders>
            <w:shd w:val="clear" w:color="auto" w:fill="auto"/>
          </w:tcPr>
          <w:p w14:paraId="1BB996C8" w14:textId="77777777" w:rsidR="00FF7714" w:rsidRPr="00485001" w:rsidRDefault="00FF7714" w:rsidP="00FF7714">
            <w:pPr>
              <w:jc w:val="right"/>
              <w:rPr>
                <w:rFonts w:ascii="Arial" w:hAnsi="Arial"/>
                <w:sz w:val="26"/>
                <w:szCs w:val="26"/>
                <w:rtl/>
              </w:rPr>
            </w:pPr>
            <w:r w:rsidRPr="00485001">
              <w:rPr>
                <w:rFonts w:ascii="Arial" w:hAnsi="Arial" w:hint="cs"/>
                <w:sz w:val="26"/>
                <w:szCs w:val="26"/>
                <w:rtl/>
              </w:rPr>
              <w:t>ה</w:t>
            </w:r>
            <w:r w:rsidRPr="00485001">
              <w:rPr>
                <w:rFonts w:ascii="Arial" w:hAnsi="Arial"/>
                <w:sz w:val="26"/>
                <w:szCs w:val="26"/>
                <w:rtl/>
              </w:rPr>
              <w:t>מאשימה</w:t>
            </w:r>
          </w:p>
        </w:tc>
      </w:tr>
      <w:tr w:rsidR="00FF7714" w:rsidRPr="00485001" w14:paraId="13BB17F0" w14:textId="77777777" w:rsidTr="00FF7714">
        <w:trPr>
          <w:trHeight w:val="355"/>
          <w:jc w:val="center"/>
        </w:trPr>
        <w:tc>
          <w:tcPr>
            <w:tcW w:w="923" w:type="dxa"/>
            <w:tcBorders>
              <w:top w:val="nil"/>
              <w:left w:val="nil"/>
              <w:bottom w:val="nil"/>
              <w:right w:val="nil"/>
            </w:tcBorders>
            <w:shd w:val="clear" w:color="auto" w:fill="auto"/>
          </w:tcPr>
          <w:p w14:paraId="00EE3345" w14:textId="77777777" w:rsidR="00FF7714" w:rsidRPr="00485001" w:rsidRDefault="00FF7714" w:rsidP="00FF7714">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4D3191B1" w14:textId="77777777" w:rsidR="00FF7714" w:rsidRPr="00485001" w:rsidRDefault="00FF7714" w:rsidP="00FF7714">
            <w:pPr>
              <w:jc w:val="center"/>
              <w:rPr>
                <w:rFonts w:ascii="Arial" w:hAnsi="Arial"/>
                <w:b/>
                <w:bCs/>
                <w:sz w:val="26"/>
                <w:szCs w:val="26"/>
                <w:rtl/>
              </w:rPr>
            </w:pPr>
          </w:p>
          <w:p w14:paraId="01AF12EA" w14:textId="77777777" w:rsidR="00FF7714" w:rsidRPr="00485001" w:rsidRDefault="00FF7714" w:rsidP="00FF7714">
            <w:pPr>
              <w:jc w:val="center"/>
              <w:rPr>
                <w:rFonts w:ascii="Arial" w:hAnsi="Arial"/>
                <w:b/>
                <w:bCs/>
                <w:sz w:val="26"/>
                <w:szCs w:val="26"/>
                <w:rtl/>
              </w:rPr>
            </w:pPr>
            <w:r w:rsidRPr="00485001">
              <w:rPr>
                <w:rFonts w:ascii="Arial" w:hAnsi="Arial"/>
                <w:b/>
                <w:bCs/>
                <w:sz w:val="26"/>
                <w:szCs w:val="26"/>
                <w:rtl/>
              </w:rPr>
              <w:t>נגד</w:t>
            </w:r>
          </w:p>
          <w:p w14:paraId="34755142" w14:textId="77777777" w:rsidR="00FF7714" w:rsidRPr="00485001" w:rsidRDefault="00FF7714" w:rsidP="00FF7714">
            <w:pPr>
              <w:jc w:val="both"/>
              <w:rPr>
                <w:rFonts w:ascii="Arial" w:hAnsi="Arial"/>
                <w:sz w:val="26"/>
                <w:szCs w:val="26"/>
              </w:rPr>
            </w:pPr>
          </w:p>
        </w:tc>
      </w:tr>
      <w:tr w:rsidR="00FF7714" w:rsidRPr="00485001" w14:paraId="532C87AA" w14:textId="77777777" w:rsidTr="00FF7714">
        <w:trPr>
          <w:trHeight w:val="355"/>
          <w:jc w:val="center"/>
        </w:trPr>
        <w:tc>
          <w:tcPr>
            <w:tcW w:w="923" w:type="dxa"/>
            <w:tcBorders>
              <w:top w:val="nil"/>
              <w:left w:val="nil"/>
              <w:bottom w:val="nil"/>
              <w:right w:val="nil"/>
            </w:tcBorders>
            <w:shd w:val="clear" w:color="auto" w:fill="auto"/>
          </w:tcPr>
          <w:p w14:paraId="0B921D32" w14:textId="77777777" w:rsidR="00FF7714" w:rsidRPr="00485001" w:rsidRDefault="00FF7714" w:rsidP="00DB56B0">
            <w:pPr>
              <w:rPr>
                <w:rFonts w:ascii="Arial" w:hAnsi="Arial"/>
                <w:sz w:val="26"/>
                <w:szCs w:val="26"/>
                <w:rtl/>
              </w:rPr>
            </w:pPr>
          </w:p>
        </w:tc>
        <w:tc>
          <w:tcPr>
            <w:tcW w:w="3077" w:type="dxa"/>
            <w:tcBorders>
              <w:top w:val="nil"/>
              <w:left w:val="nil"/>
              <w:bottom w:val="nil"/>
              <w:right w:val="nil"/>
            </w:tcBorders>
            <w:shd w:val="clear" w:color="auto" w:fill="auto"/>
          </w:tcPr>
          <w:p w14:paraId="7F76B3D1" w14:textId="77777777" w:rsidR="00FF7714" w:rsidRPr="00485001" w:rsidRDefault="00FF7714" w:rsidP="00DB56B0">
            <w:pPr>
              <w:rPr>
                <w:sz w:val="26"/>
                <w:szCs w:val="26"/>
                <w:rtl/>
              </w:rPr>
            </w:pPr>
            <w:r w:rsidRPr="00485001">
              <w:rPr>
                <w:rFonts w:ascii="Arial" w:hAnsi="Arial"/>
                <w:sz w:val="26"/>
                <w:szCs w:val="26"/>
                <w:rtl/>
              </w:rPr>
              <w:t>שי מרציאנו (אחר/נוסף)</w:t>
            </w:r>
          </w:p>
        </w:tc>
        <w:tc>
          <w:tcPr>
            <w:tcW w:w="4820" w:type="dxa"/>
            <w:tcBorders>
              <w:top w:val="nil"/>
              <w:left w:val="nil"/>
              <w:bottom w:val="nil"/>
              <w:right w:val="nil"/>
            </w:tcBorders>
            <w:shd w:val="clear" w:color="auto" w:fill="auto"/>
          </w:tcPr>
          <w:p w14:paraId="07DD6306" w14:textId="77777777" w:rsidR="00FF7714" w:rsidRPr="00485001" w:rsidRDefault="00FF7714" w:rsidP="00FF7714">
            <w:pPr>
              <w:jc w:val="right"/>
              <w:rPr>
                <w:rFonts w:ascii="Arial" w:hAnsi="Arial"/>
                <w:sz w:val="26"/>
                <w:szCs w:val="26"/>
              </w:rPr>
            </w:pPr>
          </w:p>
        </w:tc>
      </w:tr>
      <w:tr w:rsidR="00FF7714" w:rsidRPr="00485001" w14:paraId="0387EB73" w14:textId="77777777" w:rsidTr="00FF7714">
        <w:trPr>
          <w:trHeight w:val="355"/>
          <w:jc w:val="center"/>
        </w:trPr>
        <w:tc>
          <w:tcPr>
            <w:tcW w:w="923" w:type="dxa"/>
            <w:tcBorders>
              <w:top w:val="nil"/>
              <w:left w:val="nil"/>
              <w:bottom w:val="nil"/>
              <w:right w:val="nil"/>
            </w:tcBorders>
            <w:shd w:val="clear" w:color="auto" w:fill="auto"/>
          </w:tcPr>
          <w:p w14:paraId="6E5D5E38" w14:textId="77777777" w:rsidR="00FF7714" w:rsidRPr="00485001" w:rsidRDefault="00FF7714" w:rsidP="00FF7714">
            <w:pPr>
              <w:jc w:val="both"/>
              <w:rPr>
                <w:rFonts w:ascii="Arial" w:hAnsi="Arial"/>
                <w:sz w:val="26"/>
                <w:szCs w:val="26"/>
                <w:rtl/>
              </w:rPr>
            </w:pPr>
          </w:p>
        </w:tc>
        <w:tc>
          <w:tcPr>
            <w:tcW w:w="3077" w:type="dxa"/>
            <w:tcBorders>
              <w:top w:val="nil"/>
              <w:left w:val="nil"/>
              <w:bottom w:val="nil"/>
              <w:right w:val="nil"/>
            </w:tcBorders>
            <w:shd w:val="clear" w:color="auto" w:fill="auto"/>
          </w:tcPr>
          <w:p w14:paraId="0EF485E7" w14:textId="77777777" w:rsidR="00FF7714" w:rsidRPr="00485001" w:rsidRDefault="00FF7714" w:rsidP="00FF7714">
            <w:pPr>
              <w:jc w:val="both"/>
              <w:rPr>
                <w:sz w:val="26"/>
                <w:szCs w:val="26"/>
                <w:rtl/>
              </w:rPr>
            </w:pPr>
          </w:p>
        </w:tc>
        <w:tc>
          <w:tcPr>
            <w:tcW w:w="4820" w:type="dxa"/>
            <w:tcBorders>
              <w:top w:val="nil"/>
              <w:left w:val="nil"/>
              <w:bottom w:val="nil"/>
              <w:right w:val="nil"/>
            </w:tcBorders>
            <w:shd w:val="clear" w:color="auto" w:fill="auto"/>
          </w:tcPr>
          <w:p w14:paraId="55C1B6A0" w14:textId="77777777" w:rsidR="00FF7714" w:rsidRPr="00485001" w:rsidRDefault="00FF7714" w:rsidP="00FF7714">
            <w:pPr>
              <w:jc w:val="right"/>
              <w:rPr>
                <w:rFonts w:ascii="Arial" w:hAnsi="Arial"/>
                <w:sz w:val="26"/>
                <w:szCs w:val="26"/>
              </w:rPr>
            </w:pPr>
            <w:r w:rsidRPr="00485001">
              <w:rPr>
                <w:rFonts w:ascii="Arial" w:hAnsi="Arial" w:hint="cs"/>
                <w:sz w:val="26"/>
                <w:szCs w:val="26"/>
                <w:rtl/>
              </w:rPr>
              <w:t>ה</w:t>
            </w:r>
            <w:r w:rsidRPr="00485001">
              <w:rPr>
                <w:rFonts w:ascii="Arial" w:hAnsi="Arial"/>
                <w:sz w:val="26"/>
                <w:szCs w:val="26"/>
                <w:rtl/>
              </w:rPr>
              <w:t>נאשמים</w:t>
            </w:r>
          </w:p>
        </w:tc>
      </w:tr>
    </w:tbl>
    <w:p w14:paraId="10604DA8" w14:textId="77777777" w:rsidR="00023EE6" w:rsidRDefault="00023EE6" w:rsidP="00485001">
      <w:pPr>
        <w:rPr>
          <w:rtl/>
        </w:rPr>
      </w:pPr>
      <w:bookmarkStart w:id="2" w:name="LawTable"/>
      <w:bookmarkEnd w:id="2"/>
    </w:p>
    <w:p w14:paraId="598FE652" w14:textId="77777777" w:rsidR="00023EE6" w:rsidRDefault="00023EE6" w:rsidP="00023EE6">
      <w:pPr>
        <w:spacing w:after="120" w:line="240" w:lineRule="exact"/>
        <w:ind w:left="283" w:hanging="283"/>
        <w:jc w:val="both"/>
        <w:rPr>
          <w:rFonts w:ascii="FrankRuehl" w:hAnsi="FrankRuehl" w:cs="FrankRuehl" w:hint="cs"/>
          <w:rtl/>
        </w:rPr>
      </w:pPr>
    </w:p>
    <w:p w14:paraId="0083ABCA" w14:textId="77777777" w:rsidR="00023EE6" w:rsidRDefault="00023EE6" w:rsidP="00023EE6">
      <w:pPr>
        <w:spacing w:after="120" w:line="240" w:lineRule="exact"/>
        <w:ind w:left="283" w:hanging="283"/>
        <w:jc w:val="both"/>
        <w:rPr>
          <w:rFonts w:ascii="FrankRuehl" w:hAnsi="FrankRuehl" w:cs="FrankRuehl" w:hint="cs"/>
          <w:rtl/>
        </w:rPr>
      </w:pPr>
    </w:p>
    <w:p w14:paraId="5662093F" w14:textId="77777777" w:rsidR="00023EE6" w:rsidRPr="00023EE6" w:rsidRDefault="00023EE6" w:rsidP="00023EE6">
      <w:pPr>
        <w:spacing w:after="120" w:line="240" w:lineRule="exact"/>
        <w:ind w:left="283" w:hanging="283"/>
        <w:jc w:val="both"/>
        <w:rPr>
          <w:rFonts w:ascii="FrankRuehl" w:hAnsi="FrankRuehl" w:cs="FrankRuehl" w:hint="cs"/>
          <w:rtl/>
        </w:rPr>
      </w:pPr>
    </w:p>
    <w:p w14:paraId="0A099DD1" w14:textId="77777777" w:rsidR="00023EE6" w:rsidRPr="00023EE6" w:rsidRDefault="00023EE6" w:rsidP="00023EE6">
      <w:pPr>
        <w:spacing w:after="120" w:line="240" w:lineRule="exact"/>
        <w:ind w:left="283" w:hanging="283"/>
        <w:jc w:val="both"/>
        <w:rPr>
          <w:rFonts w:ascii="FrankRuehl" w:hAnsi="FrankRuehl" w:cs="FrankRuehl"/>
          <w:rtl/>
        </w:rPr>
      </w:pPr>
      <w:r w:rsidRPr="00023EE6">
        <w:rPr>
          <w:rFonts w:ascii="FrankRuehl" w:hAnsi="FrankRuehl" w:cs="FrankRuehl"/>
          <w:rtl/>
        </w:rPr>
        <w:t xml:space="preserve">חקיקה שאוזכרה: </w:t>
      </w:r>
    </w:p>
    <w:p w14:paraId="2DF81765" w14:textId="77777777" w:rsidR="00023EE6" w:rsidRPr="00023EE6" w:rsidRDefault="00023EE6" w:rsidP="00023EE6">
      <w:pPr>
        <w:spacing w:after="120" w:line="240" w:lineRule="exact"/>
        <w:ind w:left="283" w:hanging="283"/>
        <w:jc w:val="both"/>
        <w:rPr>
          <w:rFonts w:ascii="FrankRuehl" w:hAnsi="FrankRuehl" w:cs="FrankRuehl"/>
          <w:rtl/>
        </w:rPr>
      </w:pPr>
      <w:hyperlink r:id="rId7" w:history="1">
        <w:r w:rsidRPr="00023EE6">
          <w:rPr>
            <w:rFonts w:ascii="FrankRuehl" w:hAnsi="FrankRuehl" w:cs="FrankRuehl"/>
            <w:color w:val="0000FF"/>
            <w:u w:val="single"/>
            <w:rtl/>
          </w:rPr>
          <w:t>פקודת הסמים המסוכנים [נוסח חדש], תשל"ג-1973</w:t>
        </w:r>
      </w:hyperlink>
    </w:p>
    <w:p w14:paraId="21A64793" w14:textId="77777777" w:rsidR="00023EE6" w:rsidRPr="00023EE6" w:rsidRDefault="00023EE6" w:rsidP="00023EE6">
      <w:pPr>
        <w:spacing w:after="120" w:line="240" w:lineRule="exact"/>
        <w:ind w:left="283" w:hanging="283"/>
        <w:jc w:val="both"/>
        <w:rPr>
          <w:rFonts w:ascii="FrankRuehl" w:hAnsi="FrankRuehl" w:cs="FrankRuehl"/>
          <w:rtl/>
        </w:rPr>
      </w:pPr>
    </w:p>
    <w:p w14:paraId="031489A1" w14:textId="77777777" w:rsidR="00023EE6" w:rsidRPr="00023EE6" w:rsidRDefault="00023EE6" w:rsidP="00485001">
      <w:pPr>
        <w:rPr>
          <w:rtl/>
        </w:rPr>
      </w:pPr>
      <w:bookmarkStart w:id="3" w:name="LawTable_End"/>
      <w:bookmarkEnd w:id="3"/>
    </w:p>
    <w:p w14:paraId="45F093F2" w14:textId="77777777" w:rsidR="00485001" w:rsidRPr="00485001" w:rsidRDefault="00485001" w:rsidP="00485001">
      <w:pPr>
        <w:rPr>
          <w:rtl/>
        </w:rPr>
      </w:pPr>
    </w:p>
    <w:p w14:paraId="39687612" w14:textId="77777777" w:rsidR="00FF7714" w:rsidRDefault="00FF7714" w:rsidP="00FF7714">
      <w:pPr>
        <w:rPr>
          <w:rFonts w:hint="cs"/>
          <w:rtl/>
        </w:rPr>
      </w:pPr>
    </w:p>
    <w:p w14:paraId="77866222" w14:textId="77777777" w:rsidR="00023EE6" w:rsidRDefault="00023EE6" w:rsidP="00FF7714">
      <w:pPr>
        <w:rPr>
          <w:rFonts w:hint="cs"/>
          <w:rtl/>
        </w:rPr>
      </w:pPr>
    </w:p>
    <w:p w14:paraId="796FAB22" w14:textId="77777777" w:rsidR="00023EE6" w:rsidRPr="00485001" w:rsidRDefault="00023EE6" w:rsidP="00FF7714">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7714" w14:paraId="0564842D" w14:textId="77777777" w:rsidTr="00FF7714">
        <w:trPr>
          <w:trHeight w:val="355"/>
          <w:jc w:val="center"/>
        </w:trPr>
        <w:tc>
          <w:tcPr>
            <w:tcW w:w="8820" w:type="dxa"/>
            <w:tcBorders>
              <w:top w:val="nil"/>
              <w:left w:val="nil"/>
              <w:bottom w:val="nil"/>
              <w:right w:val="nil"/>
            </w:tcBorders>
            <w:shd w:val="clear" w:color="auto" w:fill="auto"/>
          </w:tcPr>
          <w:p w14:paraId="4C053010" w14:textId="77777777" w:rsidR="00485001" w:rsidRPr="00485001" w:rsidRDefault="00485001" w:rsidP="00485001">
            <w:pPr>
              <w:jc w:val="center"/>
              <w:rPr>
                <w:rFonts w:ascii="Arial" w:hAnsi="Arial"/>
                <w:b/>
                <w:bCs/>
                <w:sz w:val="28"/>
                <w:szCs w:val="28"/>
                <w:u w:val="single"/>
                <w:rtl/>
              </w:rPr>
            </w:pPr>
            <w:bookmarkStart w:id="4" w:name="PsakDin" w:colFirst="0" w:colLast="0"/>
            <w:bookmarkEnd w:id="0"/>
            <w:r w:rsidRPr="00485001">
              <w:rPr>
                <w:rFonts w:ascii="Arial" w:hAnsi="Arial"/>
                <w:b/>
                <w:bCs/>
                <w:sz w:val="28"/>
                <w:szCs w:val="28"/>
                <w:u w:val="single"/>
                <w:rtl/>
              </w:rPr>
              <w:t>גזר דין</w:t>
            </w:r>
          </w:p>
          <w:p w14:paraId="7E11A143" w14:textId="77777777" w:rsidR="00FF7714" w:rsidRPr="00485001" w:rsidRDefault="00FF7714" w:rsidP="00485001">
            <w:pPr>
              <w:jc w:val="center"/>
              <w:rPr>
                <w:rFonts w:ascii="Arial" w:hAnsi="Arial"/>
                <w:bCs/>
                <w:sz w:val="28"/>
                <w:szCs w:val="28"/>
                <w:u w:val="single"/>
                <w:rtl/>
              </w:rPr>
            </w:pPr>
          </w:p>
        </w:tc>
      </w:tr>
      <w:bookmarkEnd w:id="4"/>
    </w:tbl>
    <w:p w14:paraId="7C2F5722" w14:textId="77777777" w:rsidR="00FF7714" w:rsidRPr="00B05847" w:rsidRDefault="00FF7714" w:rsidP="00FF7714">
      <w:pPr>
        <w:rPr>
          <w:rFonts w:ascii="Arial" w:hAnsi="Arial"/>
          <w:rtl/>
        </w:rPr>
      </w:pPr>
    </w:p>
    <w:p w14:paraId="3F2EBAAC" w14:textId="77777777" w:rsidR="00FF7714" w:rsidRDefault="00FF7714" w:rsidP="00FF7714">
      <w:pPr>
        <w:rPr>
          <w:rFonts w:ascii="Arial" w:hAnsi="Arial"/>
          <w:rtl/>
        </w:rPr>
      </w:pPr>
      <w:bookmarkStart w:id="5" w:name="ABSTRACT_START"/>
      <w:bookmarkEnd w:id="5"/>
      <w:r>
        <w:rPr>
          <w:rFonts w:ascii="Arial" w:hAnsi="Arial" w:hint="cs"/>
          <w:rtl/>
        </w:rPr>
        <w:t>הנאשם הודה והורשע בכתב אישום מתוקן במסגרת הסדר טיעון, ביום 21.12.22 בשש עבירות של סחר בסם מסוכן.</w:t>
      </w:r>
    </w:p>
    <w:p w14:paraId="7EBC341E" w14:textId="77777777" w:rsidR="00FF7714" w:rsidRDefault="00FF7714" w:rsidP="00FF7714">
      <w:pPr>
        <w:rPr>
          <w:rFonts w:ascii="Arial" w:hAnsi="Arial"/>
          <w:rtl/>
        </w:rPr>
      </w:pPr>
    </w:p>
    <w:p w14:paraId="152868B9" w14:textId="77777777" w:rsidR="00FF7714" w:rsidRDefault="00FF7714" w:rsidP="00FF7714">
      <w:pPr>
        <w:rPr>
          <w:rFonts w:ascii="Arial" w:hAnsi="Arial"/>
          <w:rtl/>
        </w:rPr>
      </w:pPr>
      <w:bookmarkStart w:id="6" w:name="ABSTRACT_END"/>
      <w:bookmarkEnd w:id="6"/>
      <w:r>
        <w:rPr>
          <w:rFonts w:ascii="Arial" w:hAnsi="Arial" w:hint="cs"/>
          <w:rtl/>
        </w:rPr>
        <w:t>על פי עובדות כתב האישום הנאשם שימש שליח להפצת סמים מסוכנים באמצעות רשת הטלגרם ובמועדים שונים, על פי רשימת כתובות שקיבל, מכר סם מסוג קנביס, במשקלים שונים ללקוחות שונים. בתמורה לכל מכירה קיבל 80 ₪ ואת יתרת התמורה העביר לאחר, שזהותו אינה ידועה ושהפעיל את הנאשם.</w:t>
      </w:r>
    </w:p>
    <w:p w14:paraId="4A464491" w14:textId="77777777" w:rsidR="00FF7714" w:rsidRDefault="00FF7714" w:rsidP="00FF7714">
      <w:pPr>
        <w:rPr>
          <w:rFonts w:ascii="Arial" w:hAnsi="Arial"/>
          <w:rtl/>
        </w:rPr>
      </w:pPr>
    </w:p>
    <w:p w14:paraId="04C153D5" w14:textId="77777777" w:rsidR="00FF7714" w:rsidRDefault="00FF7714" w:rsidP="00FF7714">
      <w:pPr>
        <w:rPr>
          <w:rFonts w:ascii="Arial" w:hAnsi="Arial"/>
          <w:rtl/>
        </w:rPr>
      </w:pPr>
      <w:r>
        <w:rPr>
          <w:rFonts w:ascii="Arial" w:hAnsi="Arial" w:hint="cs"/>
          <w:rtl/>
        </w:rPr>
        <w:t xml:space="preserve">סה"כ מכר הנאשם קנביס במשקלים שנעו בין 35ג' ועד 5ג' בששה מקרים שונים, ובתמורה ל </w:t>
      </w:r>
      <w:r>
        <w:rPr>
          <w:rFonts w:ascii="Arial" w:hAnsi="Arial"/>
          <w:rtl/>
        </w:rPr>
        <w:t>–</w:t>
      </w:r>
      <w:r>
        <w:rPr>
          <w:rFonts w:ascii="Arial" w:hAnsi="Arial" w:hint="cs"/>
          <w:rtl/>
        </w:rPr>
        <w:t xml:space="preserve"> 3,500 ₪, מקרה ראשון ביום  12.11.21, וחמשת האחרים כולם ביום 28.11.21. </w:t>
      </w:r>
    </w:p>
    <w:p w14:paraId="07B9CE1A" w14:textId="77777777" w:rsidR="00FF7714" w:rsidRDefault="00FF7714" w:rsidP="00FF7714">
      <w:pPr>
        <w:rPr>
          <w:rFonts w:ascii="Arial" w:hAnsi="Arial"/>
          <w:rtl/>
        </w:rPr>
      </w:pPr>
    </w:p>
    <w:p w14:paraId="7E246600" w14:textId="77777777" w:rsidR="00FF7714" w:rsidRPr="00146863" w:rsidRDefault="00FF7714" w:rsidP="00FF7714">
      <w:pPr>
        <w:rPr>
          <w:rFonts w:ascii="Arial" w:hAnsi="Arial"/>
        </w:rPr>
      </w:pPr>
      <w:r>
        <w:rPr>
          <w:rFonts w:ascii="Arial" w:hAnsi="Arial" w:hint="cs"/>
          <w:rtl/>
        </w:rPr>
        <w:t>על פי הסדר הטיעון נשלח הנאשם לשירות המבחן, לא הושגה הסכמה עונשית כל שהיא בין הצדדים.</w:t>
      </w:r>
    </w:p>
    <w:p w14:paraId="556A14CC" w14:textId="77777777" w:rsidR="00FF7714" w:rsidRPr="00B05847" w:rsidRDefault="00FF7714" w:rsidP="00FF7714">
      <w:pPr>
        <w:rPr>
          <w:rtl/>
        </w:rPr>
      </w:pPr>
    </w:p>
    <w:p w14:paraId="61ACA741" w14:textId="77777777" w:rsidR="00FF7714" w:rsidRDefault="00FF7714" w:rsidP="00FF7714">
      <w:pPr>
        <w:rPr>
          <w:rtl/>
        </w:rPr>
      </w:pPr>
      <w:r>
        <w:rPr>
          <w:rFonts w:hint="cs"/>
          <w:rtl/>
        </w:rPr>
        <w:t>הנאשם נעצר בגין עבירותיו וסה"כ היה עצור 107 יום לאחריהם שוחרר בתנאים מגבילים שנותרו בעינם עד עצם היום הזה.</w:t>
      </w:r>
    </w:p>
    <w:p w14:paraId="37995DF4" w14:textId="77777777" w:rsidR="00FF7714" w:rsidRDefault="00FF7714" w:rsidP="00FF7714">
      <w:pPr>
        <w:rPr>
          <w:rtl/>
        </w:rPr>
      </w:pPr>
    </w:p>
    <w:p w14:paraId="11B61E5A" w14:textId="77777777" w:rsidR="00FF7714" w:rsidRPr="00577227" w:rsidRDefault="00FF7714" w:rsidP="00FF7714">
      <w:pPr>
        <w:rPr>
          <w:b/>
          <w:bCs/>
          <w:rtl/>
        </w:rPr>
      </w:pPr>
      <w:r w:rsidRPr="00577227">
        <w:rPr>
          <w:rFonts w:hint="cs"/>
          <w:b/>
          <w:bCs/>
          <w:rtl/>
        </w:rPr>
        <w:t>תסקירי פיקוח המעצר שהוגשו:</w:t>
      </w:r>
    </w:p>
    <w:p w14:paraId="12B72BD4" w14:textId="77777777" w:rsidR="00FF7714" w:rsidRDefault="00FF7714" w:rsidP="00FF7714">
      <w:pPr>
        <w:rPr>
          <w:rtl/>
        </w:rPr>
      </w:pPr>
    </w:p>
    <w:p w14:paraId="18192249" w14:textId="77777777" w:rsidR="00FF7714" w:rsidRDefault="00FF7714" w:rsidP="00FF7714">
      <w:pPr>
        <w:pStyle w:val="a9"/>
        <w:numPr>
          <w:ilvl w:val="0"/>
          <w:numId w:val="1"/>
        </w:numPr>
      </w:pPr>
      <w:r>
        <w:rPr>
          <w:rFonts w:hint="cs"/>
          <w:rtl/>
        </w:rPr>
        <w:lastRenderedPageBreak/>
        <w:t xml:space="preserve">טרם אעסוק בתסקירים ומסקנותיהם אציין כי הנאשם הורשע, בהיותו קטין, ביום 7.11.18 בבית משפט השלום לנוער בעבירה של סחר בסם מסוכן, ונדון, בין היתר, למאסר מותנה בן חודשיים לשלוש שנים, שפג </w:t>
      </w:r>
      <w:r>
        <w:rPr>
          <w:rtl/>
        </w:rPr>
        <w:t>–</w:t>
      </w:r>
      <w:r>
        <w:rPr>
          <w:rFonts w:hint="cs"/>
          <w:rtl/>
        </w:rPr>
        <w:t xml:space="preserve"> מסתבר </w:t>
      </w:r>
      <w:r>
        <w:rPr>
          <w:rtl/>
        </w:rPr>
        <w:t>–</w:t>
      </w:r>
      <w:r>
        <w:rPr>
          <w:rFonts w:hint="cs"/>
          <w:rtl/>
        </w:rPr>
        <w:t xml:space="preserve"> 5 ימים לפני העבירה הראשונה שאירעה בתיק דנן.</w:t>
      </w:r>
    </w:p>
    <w:p w14:paraId="1744FBD3" w14:textId="77777777" w:rsidR="00FF7714" w:rsidRDefault="00FF7714" w:rsidP="00FF7714">
      <w:pPr>
        <w:pStyle w:val="a9"/>
        <w:numPr>
          <w:ilvl w:val="0"/>
          <w:numId w:val="1"/>
        </w:numPr>
        <w:rPr>
          <w:rtl/>
        </w:rPr>
      </w:pPr>
      <w:r>
        <w:rPr>
          <w:rFonts w:hint="cs"/>
          <w:rtl/>
        </w:rPr>
        <w:t>עוד יצוין כי הנאשם נדון בבימ"ש לתעבורה ביום 12.6.23, בין היתר, למאסר בן 14 יום בעבודות שירות (אותן טרם ריצה בהיותו נתון בתנאים מגבילים) בגין נהיגה תחת השפעת סמים שנעברה ביום 26.6.2020.</w:t>
      </w:r>
    </w:p>
    <w:p w14:paraId="4C7D950F" w14:textId="77777777" w:rsidR="00FF7714" w:rsidRDefault="00FF7714" w:rsidP="00FF7714">
      <w:pPr>
        <w:rPr>
          <w:rtl/>
        </w:rPr>
      </w:pPr>
    </w:p>
    <w:p w14:paraId="08CC3E43" w14:textId="77777777" w:rsidR="00FF7714" w:rsidRDefault="00FF7714" w:rsidP="00FF7714">
      <w:pPr>
        <w:pStyle w:val="a9"/>
        <w:numPr>
          <w:ilvl w:val="0"/>
          <w:numId w:val="1"/>
        </w:numPr>
        <w:rPr>
          <w:rtl/>
        </w:rPr>
      </w:pPr>
      <w:r>
        <w:rPr>
          <w:rtl/>
        </w:rPr>
        <w:t>תחילה, במסגרת הליך המ"ת, הוגשו 11 תסקירי פיקוח מעצר אודות הנאשם, בין היתר על מנת לבחון אפשרויות שחרורו, וההגבלות בהן ימצא.</w:t>
      </w:r>
    </w:p>
    <w:p w14:paraId="1E7D53B4" w14:textId="77777777" w:rsidR="00FF7714" w:rsidRDefault="00FF7714" w:rsidP="00FF7714">
      <w:pPr>
        <w:rPr>
          <w:rtl/>
        </w:rPr>
      </w:pPr>
      <w:r>
        <w:rPr>
          <w:rFonts w:hint="cs"/>
          <w:rtl/>
        </w:rPr>
        <w:t xml:space="preserve">             </w:t>
      </w:r>
      <w:r>
        <w:rPr>
          <w:rtl/>
        </w:rPr>
        <w:t xml:space="preserve">הנאשם שולב, עוד ביום 15.2.22 בטיפול אמבולטורי במרכז יום ובטיפול פרטני בקידום </w:t>
      </w:r>
    </w:p>
    <w:p w14:paraId="4900DF2E" w14:textId="77777777" w:rsidR="00FF7714" w:rsidRDefault="00FF7714" w:rsidP="00FF7714">
      <w:pPr>
        <w:rPr>
          <w:rtl/>
        </w:rPr>
      </w:pPr>
      <w:r>
        <w:rPr>
          <w:rFonts w:hint="cs"/>
          <w:rtl/>
        </w:rPr>
        <w:t xml:space="preserve">             </w:t>
      </w:r>
      <w:r>
        <w:rPr>
          <w:rtl/>
        </w:rPr>
        <w:t>נוער</w:t>
      </w:r>
      <w:r>
        <w:rPr>
          <w:rFonts w:hint="cs"/>
          <w:rtl/>
        </w:rPr>
        <w:t>.</w:t>
      </w:r>
    </w:p>
    <w:p w14:paraId="417EC9CB" w14:textId="77777777" w:rsidR="00FF7714" w:rsidRDefault="00FF7714" w:rsidP="00FF7714">
      <w:pPr>
        <w:rPr>
          <w:rtl/>
        </w:rPr>
      </w:pPr>
    </w:p>
    <w:p w14:paraId="381041AB" w14:textId="77777777" w:rsidR="00FF7714" w:rsidRDefault="00FF7714" w:rsidP="00FF7714">
      <w:pPr>
        <w:pStyle w:val="a9"/>
        <w:numPr>
          <w:ilvl w:val="0"/>
          <w:numId w:val="1"/>
        </w:numPr>
        <w:rPr>
          <w:rtl/>
        </w:rPr>
      </w:pPr>
      <w:r>
        <w:rPr>
          <w:rFonts w:hint="cs"/>
          <w:rtl/>
        </w:rPr>
        <w:t>בתסקיר פיקוח המעצר הראשון התרשם השירות כי הנאשם נעדר דפוסי עבריינות מושרשים אך נמצא בשלב של בניית זהותו בכל ההיבטים, וטוען כי הוא אינו נזקק לטיפול.</w:t>
      </w:r>
    </w:p>
    <w:p w14:paraId="62B41D8D" w14:textId="77777777" w:rsidR="00FF7714" w:rsidRDefault="00FF7714" w:rsidP="00FF7714">
      <w:pPr>
        <w:rPr>
          <w:rtl/>
        </w:rPr>
      </w:pPr>
    </w:p>
    <w:p w14:paraId="32DEA1A9" w14:textId="77777777" w:rsidR="00FF7714" w:rsidRDefault="00FF7714" w:rsidP="00FF7714">
      <w:pPr>
        <w:pStyle w:val="a9"/>
        <w:numPr>
          <w:ilvl w:val="0"/>
          <w:numId w:val="1"/>
        </w:numPr>
        <w:rPr>
          <w:rtl/>
        </w:rPr>
      </w:pPr>
      <w:r>
        <w:rPr>
          <w:rFonts w:hint="cs"/>
          <w:rtl/>
        </w:rPr>
        <w:t>לאחר חודש נוסף של חקירה ודרישה נמצא הנאשם מתאים ואף נקלט במרכז לטיפול בהתמכרויות "של"מ מערב".</w:t>
      </w:r>
    </w:p>
    <w:p w14:paraId="21EC9867" w14:textId="77777777" w:rsidR="00FF7714" w:rsidRDefault="00FF7714" w:rsidP="00FF7714">
      <w:pPr>
        <w:rPr>
          <w:rtl/>
        </w:rPr>
      </w:pPr>
      <w:r>
        <w:rPr>
          <w:rFonts w:hint="cs"/>
          <w:rtl/>
        </w:rPr>
        <w:t xml:space="preserve">             בנוסף, החל הנאשם בטיפול פרטני במסגרת היחידה לקידום נוער.</w:t>
      </w:r>
    </w:p>
    <w:p w14:paraId="0C9F7040" w14:textId="77777777" w:rsidR="00FF7714" w:rsidRDefault="00FF7714" w:rsidP="00FF7714">
      <w:pPr>
        <w:rPr>
          <w:rtl/>
        </w:rPr>
      </w:pPr>
    </w:p>
    <w:p w14:paraId="5BA21001" w14:textId="77777777" w:rsidR="00FF7714" w:rsidRDefault="00FF7714" w:rsidP="00FF7714">
      <w:pPr>
        <w:pStyle w:val="a9"/>
        <w:numPr>
          <w:ilvl w:val="0"/>
          <w:numId w:val="1"/>
        </w:numPr>
        <w:rPr>
          <w:rtl/>
        </w:rPr>
      </w:pPr>
      <w:r>
        <w:rPr>
          <w:rFonts w:hint="cs"/>
          <w:rtl/>
        </w:rPr>
        <w:t xml:space="preserve">באפריל 2022 תיאר השירות את התרשמותו כי הנאשם מקפיד להגיע בזמן למפגשים, שומר על בדיקות נקיות לאיתור סמים, משתף פעולה באופן מלא, מקפיד על תנאי שחרורו ועורך התבוננות </w:t>
      </w:r>
      <w:r>
        <w:rPr>
          <w:rtl/>
        </w:rPr>
        <w:t>–</w:t>
      </w:r>
      <w:r>
        <w:rPr>
          <w:rFonts w:hint="cs"/>
          <w:rtl/>
        </w:rPr>
        <w:t xml:space="preserve"> גם אם ראשונית </w:t>
      </w:r>
      <w:r>
        <w:rPr>
          <w:rtl/>
        </w:rPr>
        <w:t>–</w:t>
      </w:r>
      <w:r>
        <w:rPr>
          <w:rFonts w:hint="cs"/>
          <w:rtl/>
        </w:rPr>
        <w:t xml:space="preserve"> במהלך חייו טרם מעצרו.</w:t>
      </w:r>
    </w:p>
    <w:p w14:paraId="734CDE83" w14:textId="77777777" w:rsidR="00FF7714" w:rsidRDefault="00FF7714" w:rsidP="00FF7714">
      <w:pPr>
        <w:pStyle w:val="a9"/>
        <w:rPr>
          <w:rtl/>
        </w:rPr>
      </w:pPr>
      <w:r>
        <w:rPr>
          <w:rFonts w:hint="cs"/>
          <w:rtl/>
        </w:rPr>
        <w:t>השירות התרשם כי הנאשם אינטיליגנטי ונמרץ, עם נטיה לבדיקת גבולות והתנהלות שולית, חוויית המעצר היתה לו קשה ומשברית ועודדה אותו להתבוננות הפנימית.</w:t>
      </w:r>
    </w:p>
    <w:p w14:paraId="670133DC" w14:textId="77777777" w:rsidR="00FF7714" w:rsidRDefault="00FF7714" w:rsidP="00FF7714">
      <w:pPr>
        <w:rPr>
          <w:rtl/>
        </w:rPr>
      </w:pPr>
    </w:p>
    <w:p w14:paraId="342F6AE5" w14:textId="77777777" w:rsidR="00FF7714" w:rsidRDefault="00FF7714" w:rsidP="00FF7714">
      <w:pPr>
        <w:pStyle w:val="a9"/>
        <w:numPr>
          <w:ilvl w:val="0"/>
          <w:numId w:val="1"/>
        </w:numPr>
        <w:rPr>
          <w:rtl/>
        </w:rPr>
      </w:pPr>
      <w:r>
        <w:rPr>
          <w:rFonts w:hint="cs"/>
          <w:rtl/>
        </w:rPr>
        <w:t>בחודש מאי 2022 זיהה השירות תחילת התרופפות במחויבות הנאשם לטיפול בדמות הגעה ספורדית לפגישות. בצד זאת התרשם השירות מהפחתה במידת המסוכנות הנשקפת לחזרתיות לעבירות.</w:t>
      </w:r>
    </w:p>
    <w:p w14:paraId="1A24A338" w14:textId="77777777" w:rsidR="00FF7714" w:rsidRDefault="00FF7714" w:rsidP="00FF7714">
      <w:pPr>
        <w:rPr>
          <w:rtl/>
        </w:rPr>
      </w:pPr>
    </w:p>
    <w:p w14:paraId="0A964E86" w14:textId="77777777" w:rsidR="00FF7714" w:rsidRDefault="00FF7714" w:rsidP="00FF7714">
      <w:pPr>
        <w:pStyle w:val="a9"/>
        <w:numPr>
          <w:ilvl w:val="0"/>
          <w:numId w:val="1"/>
        </w:numPr>
        <w:rPr>
          <w:rtl/>
        </w:rPr>
      </w:pPr>
      <w:r>
        <w:rPr>
          <w:rFonts w:hint="cs"/>
          <w:rtl/>
        </w:rPr>
        <w:t xml:space="preserve">באוקטובר 2022 התחזקה תחושת ההתרופפות נוכח היעדרויות חוזרות מהטיפול האמבולטורי והאישי, בשל כך הוארכה תקופת צו המבחן הפיקוחי בחצי שנה נוספת ואכן, בדיון במסגרת המ"ת בנובמבר 2022 הובהרה לנאשם משמעות שיתוף הפעולה החלקי והוא התחייב לשתף פעולה ולעמוד בתנאי המבחן.  </w:t>
      </w:r>
      <w:r w:rsidRPr="00577227">
        <w:rPr>
          <w:rtl/>
        </w:rPr>
        <w:t>. עם זאת – כל בדיקות הסמים שנתן הנאשם נמצאו נקיות.</w:t>
      </w:r>
    </w:p>
    <w:p w14:paraId="434F207A" w14:textId="77777777" w:rsidR="00FF7714" w:rsidRDefault="00FF7714" w:rsidP="00FF7714">
      <w:pPr>
        <w:pStyle w:val="a9"/>
        <w:rPr>
          <w:rtl/>
        </w:rPr>
      </w:pPr>
    </w:p>
    <w:p w14:paraId="4D9DD232" w14:textId="77777777" w:rsidR="00FF7714" w:rsidRDefault="00FF7714" w:rsidP="00FF7714">
      <w:pPr>
        <w:pStyle w:val="a9"/>
        <w:rPr>
          <w:rtl/>
        </w:rPr>
      </w:pPr>
      <w:r>
        <w:rPr>
          <w:rFonts w:hint="cs"/>
          <w:rtl/>
        </w:rPr>
        <w:t>לטענת הנאשם וסנגורו הנאשם עבד כדי</w:t>
      </w:r>
      <w:r w:rsidRPr="00043C7C">
        <w:rPr>
          <w:rtl/>
        </w:rPr>
        <w:t xml:space="preserve"> להחזיר חובות</w:t>
      </w:r>
      <w:r>
        <w:rPr>
          <w:rFonts w:hint="cs"/>
          <w:rtl/>
        </w:rPr>
        <w:t xml:space="preserve"> והיה מאוים</w:t>
      </w:r>
      <w:r w:rsidRPr="00043C7C">
        <w:rPr>
          <w:rtl/>
        </w:rPr>
        <w:t xml:space="preserve"> על ידי גורמים עברייניים</w:t>
      </w:r>
      <w:r>
        <w:rPr>
          <w:rFonts w:hint="cs"/>
          <w:rtl/>
        </w:rPr>
        <w:t>.</w:t>
      </w:r>
    </w:p>
    <w:p w14:paraId="3A9594E4" w14:textId="77777777" w:rsidR="00FF7714" w:rsidRDefault="00FF7714" w:rsidP="00FF7714">
      <w:pPr>
        <w:pStyle w:val="a9"/>
        <w:rPr>
          <w:rtl/>
        </w:rPr>
      </w:pPr>
    </w:p>
    <w:p w14:paraId="177DC8AC" w14:textId="77777777" w:rsidR="00FF7714" w:rsidRPr="00B153EC" w:rsidRDefault="00FF7714" w:rsidP="00FF7714">
      <w:pPr>
        <w:rPr>
          <w:b/>
          <w:bCs/>
          <w:rtl/>
        </w:rPr>
      </w:pPr>
      <w:r w:rsidRPr="00B153EC">
        <w:rPr>
          <w:rFonts w:hint="cs"/>
          <w:b/>
          <w:bCs/>
          <w:rtl/>
        </w:rPr>
        <w:t>תסקיר שירות המבחן:</w:t>
      </w:r>
    </w:p>
    <w:p w14:paraId="4F8819CB" w14:textId="77777777" w:rsidR="00FF7714" w:rsidRDefault="00FF7714" w:rsidP="00FF7714">
      <w:pPr>
        <w:rPr>
          <w:rtl/>
        </w:rPr>
      </w:pPr>
    </w:p>
    <w:p w14:paraId="33525A23" w14:textId="77777777" w:rsidR="00FF7714" w:rsidRDefault="00FF7714" w:rsidP="00FF7714">
      <w:pPr>
        <w:rPr>
          <w:rtl/>
        </w:rPr>
      </w:pPr>
      <w:r w:rsidRPr="00043C7C">
        <w:rPr>
          <w:rtl/>
        </w:rPr>
        <w:t>במסגרת תיק הת"פ ניסה שירות המבחן 3 פעמים לזמן את הנאשם לפגישות מחו</w:t>
      </w:r>
      <w:r>
        <w:rPr>
          <w:rtl/>
        </w:rPr>
        <w:t>דש יוני 2023 ועד אוגוסט 2024 אך</w:t>
      </w:r>
      <w:r>
        <w:rPr>
          <w:rFonts w:hint="cs"/>
          <w:rtl/>
        </w:rPr>
        <w:t xml:space="preserve"> הלכה למעשה</w:t>
      </w:r>
      <w:r>
        <w:rPr>
          <w:rtl/>
        </w:rPr>
        <w:t xml:space="preserve"> </w:t>
      </w:r>
      <w:r w:rsidRPr="00043C7C">
        <w:rPr>
          <w:rtl/>
        </w:rPr>
        <w:t xml:space="preserve">רק באוקטובר 2024 </w:t>
      </w:r>
      <w:r>
        <w:rPr>
          <w:rFonts w:hint="cs"/>
          <w:rtl/>
        </w:rPr>
        <w:t>נענה לשירות המבחן ו</w:t>
      </w:r>
      <w:r w:rsidRPr="00043C7C">
        <w:rPr>
          <w:rtl/>
        </w:rPr>
        <w:t>הוגש בעניינו תסקיר מקיף שהתבסס על חלק ניכר מתסקירי פיקוח המעצר, סקר את דרכו של הנאשם וסיכם את המלצותיו.</w:t>
      </w:r>
    </w:p>
    <w:p w14:paraId="7958BEF0" w14:textId="77777777" w:rsidR="00FF7714" w:rsidRDefault="00FF7714" w:rsidP="00FF7714">
      <w:pPr>
        <w:rPr>
          <w:rtl/>
        </w:rPr>
      </w:pPr>
    </w:p>
    <w:p w14:paraId="5CA1EF4D" w14:textId="77777777" w:rsidR="00FF7714" w:rsidRDefault="00FF7714" w:rsidP="00FF7714">
      <w:pPr>
        <w:rPr>
          <w:rtl/>
        </w:rPr>
      </w:pPr>
      <w:r>
        <w:rPr>
          <w:rFonts w:hint="cs"/>
          <w:rtl/>
        </w:rPr>
        <w:t>בשל העובדה שבסופו של יום הוגש רק תסקיר אחד בתיקו של הנאשם הפלגתי, שלא כהרגלי, בסקירת התסקירים שהוגשו במסגרת צו פיקוח המעצרים שהוטל על הנאשם.</w:t>
      </w:r>
    </w:p>
    <w:p w14:paraId="4B664F63" w14:textId="77777777" w:rsidR="00FF7714" w:rsidRDefault="00FF7714" w:rsidP="00FF7714">
      <w:pPr>
        <w:rPr>
          <w:rtl/>
        </w:rPr>
      </w:pPr>
    </w:p>
    <w:p w14:paraId="2F0070D1" w14:textId="77777777" w:rsidR="00FF7714" w:rsidRDefault="00FF7714" w:rsidP="00FF7714">
      <w:pPr>
        <w:rPr>
          <w:rtl/>
        </w:rPr>
      </w:pPr>
    </w:p>
    <w:p w14:paraId="3EF4D253" w14:textId="77777777" w:rsidR="00FF7714" w:rsidRDefault="00FF7714" w:rsidP="00FF7714">
      <w:pPr>
        <w:rPr>
          <w:rtl/>
        </w:rPr>
      </w:pPr>
      <w:r>
        <w:rPr>
          <w:rFonts w:hint="cs"/>
          <w:rtl/>
        </w:rPr>
        <w:t>שירות המבחן מצא כי הנאשם עלה לארץ מצרפת, עקב מעורבותו הפלילית לא גויס לצבא וכשיצא לחיים עצמאיים לא הצליח להגיע לאיזון כלכלי ונקלע לחובות.</w:t>
      </w:r>
    </w:p>
    <w:p w14:paraId="5135902B" w14:textId="77777777" w:rsidR="00FF7714" w:rsidRDefault="00FF7714" w:rsidP="00FF7714">
      <w:pPr>
        <w:rPr>
          <w:rtl/>
        </w:rPr>
      </w:pPr>
    </w:p>
    <w:p w14:paraId="0EE8AF8B" w14:textId="77777777" w:rsidR="00FF7714" w:rsidRDefault="00FF7714" w:rsidP="00FF7714">
      <w:pPr>
        <w:rPr>
          <w:rtl/>
        </w:rPr>
      </w:pPr>
      <w:r>
        <w:rPr>
          <w:rFonts w:hint="cs"/>
          <w:rtl/>
        </w:rPr>
        <w:t>השירות התרשם כי הנאשם הביע חרטה וצער על העבירות שביצע והכיר בחומרתן.</w:t>
      </w:r>
    </w:p>
    <w:p w14:paraId="0FA32CE2" w14:textId="77777777" w:rsidR="00FF7714" w:rsidRDefault="00FF7714" w:rsidP="00FF7714">
      <w:pPr>
        <w:rPr>
          <w:rtl/>
        </w:rPr>
      </w:pPr>
      <w:r>
        <w:rPr>
          <w:rFonts w:hint="cs"/>
          <w:rtl/>
        </w:rPr>
        <w:lastRenderedPageBreak/>
        <w:t>עוד מצא כי העבירות בוצעו על רקע גילו הצעיר ומצבו הכלכלי הדחוק שהוביל אותו לפיתוי להשיג "רווח קל ומהיר".</w:t>
      </w:r>
    </w:p>
    <w:p w14:paraId="01FD9539" w14:textId="77777777" w:rsidR="00FF7714" w:rsidRDefault="00FF7714" w:rsidP="00FF7714">
      <w:pPr>
        <w:rPr>
          <w:rtl/>
        </w:rPr>
      </w:pPr>
    </w:p>
    <w:p w14:paraId="78526B3E" w14:textId="77777777" w:rsidR="00FF7714" w:rsidRDefault="00FF7714" w:rsidP="00FF7714">
      <w:pPr>
        <w:rPr>
          <w:rtl/>
        </w:rPr>
      </w:pPr>
      <w:r>
        <w:rPr>
          <w:rFonts w:hint="cs"/>
          <w:rtl/>
        </w:rPr>
        <w:t>להתרשמות השירות הן מעצרו הממושך והן הטיפול הביאו להפקת לקחים, עריכת שינוי בחייו והשתתפות בטיפול משמעותי.</w:t>
      </w:r>
    </w:p>
    <w:p w14:paraId="0CE92AEE" w14:textId="77777777" w:rsidR="00FF7714" w:rsidRDefault="00FF7714" w:rsidP="00FF7714">
      <w:pPr>
        <w:rPr>
          <w:rtl/>
        </w:rPr>
      </w:pPr>
      <w:r>
        <w:rPr>
          <w:rFonts w:hint="cs"/>
          <w:rtl/>
        </w:rPr>
        <w:t>התרשמות גורמי הטיפול היתה כי במוקדו הוגברה מודעותו של הנאשם והתמודדותו עם דפוסי התנהגות הורסניים. עוד ניכר כי הנאשם התמיד בהתנזרותו מסמים מאז מעצרו ועד היום.</w:t>
      </w:r>
    </w:p>
    <w:p w14:paraId="6820AB2C" w14:textId="77777777" w:rsidR="00FF7714" w:rsidRDefault="00FF7714" w:rsidP="00FF7714">
      <w:pPr>
        <w:rPr>
          <w:rtl/>
        </w:rPr>
      </w:pPr>
      <w:r>
        <w:rPr>
          <w:rFonts w:hint="cs"/>
          <w:rtl/>
        </w:rPr>
        <w:t>השירות סיכם כי רמת הסיכון הנשקפת מהנאשם הופחתה.</w:t>
      </w:r>
    </w:p>
    <w:p w14:paraId="4853B876" w14:textId="77777777" w:rsidR="00FF7714" w:rsidRDefault="00FF7714" w:rsidP="00FF7714">
      <w:pPr>
        <w:rPr>
          <w:noProof/>
          <w:rtl/>
        </w:rPr>
      </w:pPr>
    </w:p>
    <w:p w14:paraId="4ED85BE9" w14:textId="77777777" w:rsidR="00FF7714" w:rsidRDefault="00FF7714" w:rsidP="00FF7714">
      <w:pPr>
        <w:rPr>
          <w:noProof/>
          <w:rtl/>
        </w:rPr>
      </w:pPr>
      <w:r>
        <w:rPr>
          <w:rFonts w:hint="cs"/>
          <w:noProof/>
          <w:rtl/>
        </w:rPr>
        <w:t>לסיכום מצא השירות כי גם בהתחשב באופי העבירות והחזרתיות שלהן, אך בהתחשב בגילו הצעיר והיותו מצוי עדיין בבניית דרכו בחיים, ובתהליך המשמעותי של טיפול ושיקום שעבר, ממליץ השירות על גישה שיקומית ומצמצמת נזקים עתידיים, כשלהערכתם השבתו של הנאשם למאסר וחשיפתו לאסירים נוספים תביא לנסיגה ניכרת במצבו ונגררות אחר דפוסים שוליים.</w:t>
      </w:r>
    </w:p>
    <w:p w14:paraId="5D4AD9B3" w14:textId="77777777" w:rsidR="00FF7714" w:rsidRDefault="00FF7714" w:rsidP="00FF7714">
      <w:pPr>
        <w:rPr>
          <w:noProof/>
          <w:rtl/>
        </w:rPr>
      </w:pPr>
    </w:p>
    <w:p w14:paraId="1B8EA2FD" w14:textId="77777777" w:rsidR="00FF7714" w:rsidRDefault="00FF7714" w:rsidP="00FF7714">
      <w:pPr>
        <w:rPr>
          <w:noProof/>
          <w:rtl/>
        </w:rPr>
      </w:pPr>
      <w:r>
        <w:rPr>
          <w:rFonts w:hint="cs"/>
          <w:noProof/>
          <w:rtl/>
        </w:rPr>
        <w:t>לכן המליץ השירות על הטלת מאסר שירוצה בעבודות שירות, ענישה הרתעתית, קנס וחתימה על התחייבות בצד העמדתו בצו מבחן בעל אופי פיקוחי.</w:t>
      </w:r>
    </w:p>
    <w:p w14:paraId="4A0F7A28" w14:textId="77777777" w:rsidR="00FF7714" w:rsidRDefault="00FF7714" w:rsidP="00FF7714">
      <w:pPr>
        <w:rPr>
          <w:noProof/>
          <w:rtl/>
        </w:rPr>
      </w:pPr>
      <w:r w:rsidRPr="00904CA6">
        <w:rPr>
          <w:rFonts w:hint="cs"/>
          <w:b/>
          <w:bCs/>
          <w:noProof/>
          <w:rtl/>
        </w:rPr>
        <w:t>הממונה על עבודות השירות</w:t>
      </w:r>
      <w:r>
        <w:rPr>
          <w:rFonts w:hint="cs"/>
          <w:noProof/>
          <w:rtl/>
        </w:rPr>
        <w:t xml:space="preserve"> מצא את הנאשם מתאים לריצוי מאסר בעבודות שירות.</w:t>
      </w:r>
    </w:p>
    <w:p w14:paraId="4ECE3DDA" w14:textId="77777777" w:rsidR="00FF7714" w:rsidRDefault="00FF7714" w:rsidP="00FF7714">
      <w:pPr>
        <w:rPr>
          <w:noProof/>
          <w:rtl/>
        </w:rPr>
      </w:pPr>
    </w:p>
    <w:p w14:paraId="5927AE8F" w14:textId="77777777" w:rsidR="00FF7714" w:rsidRDefault="00FF7714" w:rsidP="00FF7714">
      <w:pPr>
        <w:rPr>
          <w:noProof/>
          <w:rtl/>
        </w:rPr>
      </w:pPr>
    </w:p>
    <w:p w14:paraId="62608009" w14:textId="77777777" w:rsidR="00FF7714" w:rsidRPr="004D4171" w:rsidRDefault="00FF7714" w:rsidP="00FF7714">
      <w:pPr>
        <w:rPr>
          <w:b/>
          <w:bCs/>
          <w:rtl/>
        </w:rPr>
      </w:pPr>
      <w:r w:rsidRPr="004D4171">
        <w:rPr>
          <w:rFonts w:hint="cs"/>
          <w:b/>
          <w:bCs/>
          <w:noProof/>
          <w:rtl/>
        </w:rPr>
        <w:t>טיעוני הצדדים:</w:t>
      </w:r>
    </w:p>
    <w:p w14:paraId="2B1CBC2D" w14:textId="77777777" w:rsidR="00FF7714" w:rsidRDefault="00FF7714" w:rsidP="00FF7714">
      <w:pPr>
        <w:rPr>
          <w:rtl/>
        </w:rPr>
      </w:pPr>
    </w:p>
    <w:p w14:paraId="086BDB33" w14:textId="77777777" w:rsidR="00FF7714" w:rsidRDefault="00FF7714" w:rsidP="00FF7714">
      <w:pPr>
        <w:rPr>
          <w:rtl/>
        </w:rPr>
      </w:pPr>
      <w:r w:rsidRPr="00904CA6">
        <w:rPr>
          <w:rFonts w:hint="cs"/>
          <w:b/>
          <w:bCs/>
          <w:rtl/>
        </w:rPr>
        <w:t xml:space="preserve">המאשימה </w:t>
      </w:r>
      <w:r>
        <w:rPr>
          <w:rFonts w:hint="cs"/>
          <w:b/>
          <w:bCs/>
          <w:rtl/>
        </w:rPr>
        <w:t xml:space="preserve">  </w:t>
      </w:r>
      <w:r>
        <w:rPr>
          <w:rFonts w:hint="cs"/>
          <w:rtl/>
        </w:rPr>
        <w:t>המאשימה פירטה את עובדות כתב האישום, ציינה את תקנות הסדר הציבורי ובריאותו כערכים מוגנים שנפגעו מעבירות הנאשם., ציינה לחומרא את שורת העבירות שביצע הנאשם והדגישה את התיאום והתכנון שאפיינו אותן ואת התמורה שקיבל בגינן.</w:t>
      </w:r>
    </w:p>
    <w:p w14:paraId="2CC4E6A1" w14:textId="77777777" w:rsidR="00FF7714" w:rsidRDefault="00FF7714" w:rsidP="00FF7714">
      <w:pPr>
        <w:rPr>
          <w:rtl/>
        </w:rPr>
      </w:pPr>
      <w:r>
        <w:rPr>
          <w:rFonts w:hint="cs"/>
          <w:rtl/>
        </w:rPr>
        <w:t>בהתייחסה לשירות המבחן טענה, אף שאישרה את הטפול היעודי שקיבל והפחתת הסיכון מהנאשם, הדגישה כי רק בתחילת ההליך הנאשם לא שיתף עימו פעולה ולא ביטא מוטיבציה להשתקם.</w:t>
      </w:r>
    </w:p>
    <w:p w14:paraId="18D083AF" w14:textId="77777777" w:rsidR="00FF7714" w:rsidRDefault="00FF7714" w:rsidP="00FF7714">
      <w:pPr>
        <w:rPr>
          <w:rtl/>
        </w:rPr>
      </w:pPr>
      <w:r>
        <w:rPr>
          <w:rFonts w:hint="cs"/>
          <w:rtl/>
        </w:rPr>
        <w:t>המאשימה התוותה מתחם ענישה הנע בין 6-12 חודשי מאסר עבור כל אישום וציינה פסיקה התומכת בעניין.</w:t>
      </w:r>
    </w:p>
    <w:p w14:paraId="12589835" w14:textId="77777777" w:rsidR="00FF7714" w:rsidRDefault="00FF7714" w:rsidP="00FF7714">
      <w:pPr>
        <w:rPr>
          <w:rtl/>
        </w:rPr>
      </w:pPr>
      <w:r>
        <w:rPr>
          <w:rFonts w:hint="cs"/>
          <w:rtl/>
        </w:rPr>
        <w:t>לבסוף, בשל הנסיבות המקלות עימו, עתרה למאסר בן 20 חודשים, מאסר על תנאי, פסילה בפועל ועל תנאי, הכרזת הנאשם כסוחר סמים וביקשה לחלט את הסכומים שנתפסו עליו כמופיע בכתב האישום.</w:t>
      </w:r>
    </w:p>
    <w:p w14:paraId="6BD3F59A" w14:textId="77777777" w:rsidR="00FF7714" w:rsidRDefault="00FF7714" w:rsidP="00FF7714">
      <w:pPr>
        <w:rPr>
          <w:rtl/>
        </w:rPr>
      </w:pPr>
    </w:p>
    <w:p w14:paraId="3D8218AB" w14:textId="77777777" w:rsidR="00FF7714" w:rsidRDefault="00FF7714" w:rsidP="00FF7714">
      <w:pPr>
        <w:rPr>
          <w:rtl/>
        </w:rPr>
      </w:pPr>
      <w:r w:rsidRPr="002568F8">
        <w:rPr>
          <w:rFonts w:hint="cs"/>
          <w:b/>
          <w:bCs/>
          <w:rtl/>
        </w:rPr>
        <w:t>ב"כ הנאשם</w:t>
      </w:r>
      <w:r>
        <w:rPr>
          <w:rFonts w:hint="cs"/>
          <w:rtl/>
        </w:rPr>
        <w:t xml:space="preserve"> הפנה תחילה לפסיקה שתוצאתה ענישה קלה מזו לה עותרת המאשימה, בהינתן כתבי אישום חמורים מאלו שלפניי.</w:t>
      </w:r>
    </w:p>
    <w:p w14:paraId="42F93E8C" w14:textId="77777777" w:rsidR="00FF7714" w:rsidRDefault="00FF7714" w:rsidP="00FF7714">
      <w:pPr>
        <w:rPr>
          <w:rtl/>
        </w:rPr>
      </w:pPr>
      <w:r>
        <w:rPr>
          <w:rFonts w:hint="cs"/>
          <w:rtl/>
        </w:rPr>
        <w:t>הסנגור עתר לראות את כל האישומים נגד הנאשם כאירוע אחד ולקבוע עבורו מתחם עונש אחד.</w:t>
      </w:r>
    </w:p>
    <w:p w14:paraId="6EE1664F" w14:textId="77777777" w:rsidR="00FF7714" w:rsidRDefault="00FF7714" w:rsidP="00FF7714">
      <w:pPr>
        <w:rPr>
          <w:rtl/>
        </w:rPr>
      </w:pPr>
      <w:r>
        <w:rPr>
          <w:rFonts w:hint="cs"/>
          <w:rtl/>
        </w:rPr>
        <w:t>עיקר טענת הסנגור הינה כי גם אם מתחמי הענישה שהותוו בפסיקה דומים לזה לו טענה המאשימה, יש להחריג את הנאשם מתוכם מטעמי שיקום.</w:t>
      </w:r>
    </w:p>
    <w:p w14:paraId="581EE2A7" w14:textId="77777777" w:rsidR="00FF7714" w:rsidRDefault="00FF7714" w:rsidP="00FF7714">
      <w:pPr>
        <w:rPr>
          <w:rtl/>
        </w:rPr>
      </w:pPr>
    </w:p>
    <w:p w14:paraId="33EA078C" w14:textId="77777777" w:rsidR="00FF7714" w:rsidRDefault="00FF7714" w:rsidP="00FF7714">
      <w:pPr>
        <w:rPr>
          <w:rtl/>
        </w:rPr>
      </w:pPr>
      <w:r>
        <w:rPr>
          <w:rFonts w:hint="cs"/>
          <w:rtl/>
        </w:rPr>
        <w:t>הסנגור ציין את סוג הסם ה"קל" בו סחר הנאשם, את הכמויות 5-30 ג' כל אחת בהן סחר.</w:t>
      </w:r>
    </w:p>
    <w:p w14:paraId="34304866" w14:textId="77777777" w:rsidR="00FF7714" w:rsidRDefault="00FF7714" w:rsidP="00FF7714">
      <w:pPr>
        <w:rPr>
          <w:rtl/>
        </w:rPr>
      </w:pPr>
      <w:r w:rsidRPr="008405F2">
        <w:rPr>
          <w:rtl/>
        </w:rPr>
        <w:t>הסנגור הדגיש את חרטת הנאשם, הפקת הלקחים והטיפול המשמעותי בו היה משולב משך חודשים ארוכים ואותו סיים בהצלחה.</w:t>
      </w:r>
    </w:p>
    <w:p w14:paraId="3B562FEC" w14:textId="77777777" w:rsidR="00FF7714" w:rsidRDefault="00FF7714" w:rsidP="00FF7714">
      <w:pPr>
        <w:rPr>
          <w:rtl/>
        </w:rPr>
      </w:pPr>
      <w:r>
        <w:rPr>
          <w:rFonts w:hint="cs"/>
          <w:rtl/>
        </w:rPr>
        <w:t>הסנגור ציטט מתסקיר שירות המבחן את הגברת מודעות הנאשם למעשיו, יכולות ההתמודדות החדשות שרכש מול דפוסי ההתנהגות ההרסנייים שנבעו מגילו הצעיר בעת ביצוע העבירות.</w:t>
      </w:r>
    </w:p>
    <w:p w14:paraId="7479336B" w14:textId="77777777" w:rsidR="00FF7714" w:rsidRDefault="00FF7714" w:rsidP="00FF7714">
      <w:pPr>
        <w:rPr>
          <w:rtl/>
        </w:rPr>
      </w:pPr>
    </w:p>
    <w:p w14:paraId="68B68309" w14:textId="77777777" w:rsidR="00FF7714" w:rsidRDefault="00FF7714" w:rsidP="00FF7714">
      <w:pPr>
        <w:rPr>
          <w:rtl/>
        </w:rPr>
      </w:pPr>
      <w:r>
        <w:rPr>
          <w:rFonts w:hint="cs"/>
          <w:rtl/>
        </w:rPr>
        <w:t>עוד טען כי בעייתו המרכזית של הנאשם היתה התמכרותו לסמים, ממנה נגמל לחלוטין, ועתר לאמץ את הגישה השיקומית עליה המליץ שירות המבחן בסיכום תסקירו, ולהטיל על הנאשם מאסר בעבודות שירות תוך האזהרה כי שליחתו למאסר תביא לרגרסיה קשה במצבו ועלולה לפגוע גם בציבור.</w:t>
      </w:r>
    </w:p>
    <w:p w14:paraId="3CCDD127" w14:textId="77777777" w:rsidR="00FF7714" w:rsidRDefault="00FF7714" w:rsidP="00FF7714">
      <w:pPr>
        <w:rPr>
          <w:rtl/>
        </w:rPr>
      </w:pPr>
    </w:p>
    <w:p w14:paraId="3EDD99B0" w14:textId="77777777" w:rsidR="00FF7714" w:rsidRDefault="00FF7714" w:rsidP="00FF7714">
      <w:pPr>
        <w:rPr>
          <w:rtl/>
        </w:rPr>
      </w:pPr>
      <w:r>
        <w:rPr>
          <w:rFonts w:hint="cs"/>
          <w:rtl/>
        </w:rPr>
        <w:t>לכן, סיכם הסנגור, יש להטיל על הנאשם מאסר בעבודות שירות תוך ניכוי תקופת ימי מאסרו, בין היתר נוכח היותו נתון בתנאים מגבילים זה שלוש וחצי שנים.</w:t>
      </w:r>
    </w:p>
    <w:p w14:paraId="565DCA94" w14:textId="77777777" w:rsidR="00FF7714" w:rsidRDefault="00FF7714" w:rsidP="00FF7714">
      <w:pPr>
        <w:rPr>
          <w:rtl/>
        </w:rPr>
      </w:pPr>
    </w:p>
    <w:p w14:paraId="67318134" w14:textId="77777777" w:rsidR="00FF7714" w:rsidRDefault="00FF7714" w:rsidP="00FF7714">
      <w:pPr>
        <w:rPr>
          <w:rtl/>
        </w:rPr>
      </w:pPr>
      <w:r w:rsidRPr="00727BA5">
        <w:rPr>
          <w:rFonts w:hint="cs"/>
          <w:b/>
          <w:bCs/>
          <w:rtl/>
        </w:rPr>
        <w:t>הנאשם</w:t>
      </w:r>
      <w:r>
        <w:rPr>
          <w:rFonts w:hint="cs"/>
          <w:rtl/>
        </w:rPr>
        <w:t xml:space="preserve"> בדבריו לפני אמר כי מאז ביצוע העבירות השתנה לחלוטין, אינו נוגע בסמים, יש לו בת זוג ועסק שהוא עובד בו, וביקש הזדמנות להישאר במקום הטוב בו נמצא היום ולהמשיך בדרך החדשה שהחל בה.</w:t>
      </w:r>
    </w:p>
    <w:p w14:paraId="7136A83D" w14:textId="77777777" w:rsidR="00FF7714" w:rsidRDefault="00FF7714" w:rsidP="00FF7714">
      <w:pPr>
        <w:rPr>
          <w:rtl/>
        </w:rPr>
      </w:pPr>
    </w:p>
    <w:p w14:paraId="58E13221" w14:textId="77777777" w:rsidR="00FF7714" w:rsidRPr="004D4171" w:rsidRDefault="00FF7714" w:rsidP="00FF7714">
      <w:pPr>
        <w:rPr>
          <w:b/>
          <w:bCs/>
          <w:rtl/>
        </w:rPr>
      </w:pPr>
      <w:r w:rsidRPr="004D4171">
        <w:rPr>
          <w:rFonts w:hint="cs"/>
          <w:b/>
          <w:bCs/>
          <w:rtl/>
        </w:rPr>
        <w:t>דיון והכרעה:</w:t>
      </w:r>
    </w:p>
    <w:p w14:paraId="524D1380" w14:textId="77777777" w:rsidR="00FF7714" w:rsidRDefault="00FF7714" w:rsidP="00FF7714">
      <w:pPr>
        <w:rPr>
          <w:rtl/>
        </w:rPr>
      </w:pPr>
    </w:p>
    <w:p w14:paraId="71F1E479" w14:textId="77777777" w:rsidR="00FF7714" w:rsidRDefault="00FF7714" w:rsidP="00FF7714">
      <w:pPr>
        <w:rPr>
          <w:rtl/>
        </w:rPr>
      </w:pPr>
      <w:r>
        <w:rPr>
          <w:rFonts w:hint="cs"/>
          <w:rtl/>
        </w:rPr>
        <w:t xml:space="preserve">ראשית אני מקבל את הערכים המוגנים להם טענה המאשימה, וקובע כי רציפות העבירות, התכנון והביצוע שליוו אותן, גם כמויות הסם שנמכרו (דעתי בעניין זה שונה מזו של הסנגור) </w:t>
      </w:r>
      <w:r>
        <w:rPr>
          <w:rtl/>
        </w:rPr>
        <w:t>–</w:t>
      </w:r>
      <w:r>
        <w:rPr>
          <w:rFonts w:hint="cs"/>
          <w:rtl/>
        </w:rPr>
        <w:t xml:space="preserve"> כולן מורות כי מידת הפגיעה בערכים המוגנים היתה בינונית גבוהה.</w:t>
      </w:r>
    </w:p>
    <w:p w14:paraId="67D6E107" w14:textId="77777777" w:rsidR="00FF7714" w:rsidRDefault="00FF7714" w:rsidP="00FF7714">
      <w:pPr>
        <w:rPr>
          <w:rtl/>
        </w:rPr>
      </w:pPr>
    </w:p>
    <w:p w14:paraId="3983B91D" w14:textId="77777777" w:rsidR="00FF7714" w:rsidRDefault="00FF7714" w:rsidP="00FF7714">
      <w:pPr>
        <w:rPr>
          <w:rtl/>
        </w:rPr>
      </w:pPr>
      <w:r>
        <w:rPr>
          <w:rFonts w:hint="cs"/>
          <w:rtl/>
        </w:rPr>
        <w:t>אני גם מקבל את מתחם הענישה לו טענה המאשימה והוא אכן עולה בקנה אחד עם רוב הפסיקה שהוגשה, בשינויים קלים ולא משמעותיים.</w:t>
      </w:r>
    </w:p>
    <w:p w14:paraId="0D6152C6" w14:textId="77777777" w:rsidR="00FF7714" w:rsidRDefault="00FF7714" w:rsidP="00FF7714">
      <w:pPr>
        <w:rPr>
          <w:rtl/>
        </w:rPr>
      </w:pPr>
      <w:r>
        <w:rPr>
          <w:rFonts w:hint="cs"/>
          <w:rtl/>
        </w:rPr>
        <w:t>עיינתי בתשומת לב גם בפסיקה שהגיש הסנגור ומסקנתי היא כי מגוון השיקולים שנדונו בכל אחד מפסקי הדין אינו מאפשר לראות באיזה מהם אסמכתא, מעבר לשאלות העקרוניות העולות בתיק.</w:t>
      </w:r>
    </w:p>
    <w:p w14:paraId="69B1231C" w14:textId="77777777" w:rsidR="00FF7714" w:rsidRDefault="00FF7714" w:rsidP="00FF7714">
      <w:pPr>
        <w:rPr>
          <w:rtl/>
        </w:rPr>
      </w:pPr>
    </w:p>
    <w:p w14:paraId="4B9CD751" w14:textId="77777777" w:rsidR="00FF7714" w:rsidRDefault="00FF7714" w:rsidP="00FF7714">
      <w:pPr>
        <w:rPr>
          <w:rtl/>
        </w:rPr>
      </w:pPr>
      <w:r>
        <w:rPr>
          <w:rFonts w:hint="cs"/>
          <w:rtl/>
        </w:rPr>
        <w:t>עם זאת, אני קובע (ובמשתמע מעתירת המאשימה לעונש גם המאשימה סבורה כך) כי יש לראות את שלל האישומים כאירוע אחד ולקבוע בגינו מתחם אחד.</w:t>
      </w:r>
    </w:p>
    <w:p w14:paraId="5AFD18B7" w14:textId="77777777" w:rsidR="00FF7714" w:rsidRDefault="00FF7714" w:rsidP="00FF7714">
      <w:pPr>
        <w:rPr>
          <w:rtl/>
        </w:rPr>
      </w:pPr>
    </w:p>
    <w:p w14:paraId="3AA9F99A" w14:textId="77777777" w:rsidR="00FF7714" w:rsidRDefault="00FF7714" w:rsidP="00FF7714">
      <w:pPr>
        <w:rPr>
          <w:rtl/>
        </w:rPr>
      </w:pPr>
      <w:r>
        <w:rPr>
          <w:rFonts w:hint="cs"/>
          <w:rtl/>
        </w:rPr>
        <w:t>בעיניי, המתחם הראוי לכלל האישומים צריך להימתח בין 14 -24 חודשי מאסר.</w:t>
      </w:r>
    </w:p>
    <w:p w14:paraId="25D9499C" w14:textId="77777777" w:rsidR="00FF7714" w:rsidRDefault="00FF7714" w:rsidP="00FF7714">
      <w:pPr>
        <w:rPr>
          <w:rtl/>
        </w:rPr>
      </w:pPr>
    </w:p>
    <w:p w14:paraId="1BE9B626" w14:textId="77777777" w:rsidR="00FF7714" w:rsidRDefault="00FF7714" w:rsidP="00FF7714">
      <w:pPr>
        <w:rPr>
          <w:rtl/>
        </w:rPr>
      </w:pPr>
      <w:r>
        <w:rPr>
          <w:rFonts w:hint="cs"/>
          <w:rtl/>
        </w:rPr>
        <w:t>עם זאת, מוקשית בעיניי עמדת המאשימה שהלכה למעשה לא התייחסה לשיקום אותו עבר הנאשם כשיקול להחרגה מהמתחם לו עתרה, (אלא אם כן עתירתה ל20 חודשי מאסר בפועל היתה ביסודה תוצאה של החרגה שלא אוזכרה בטיעוניה).</w:t>
      </w:r>
    </w:p>
    <w:p w14:paraId="6FFD866D" w14:textId="77777777" w:rsidR="00FF7714" w:rsidRDefault="00FF7714" w:rsidP="00FF7714">
      <w:pPr>
        <w:rPr>
          <w:rtl/>
        </w:rPr>
      </w:pPr>
    </w:p>
    <w:p w14:paraId="6C1AED65" w14:textId="77777777" w:rsidR="00FF7714" w:rsidRDefault="00FF7714" w:rsidP="00FF7714">
      <w:pPr>
        <w:rPr>
          <w:rtl/>
        </w:rPr>
      </w:pPr>
      <w:r>
        <w:rPr>
          <w:rFonts w:hint="cs"/>
          <w:rtl/>
        </w:rPr>
        <w:t>הרחבתי בסקירת תסקירי המעצר שהוגשו אודות הנאשם על מנת לעמוד ביתר שאת על תהליך השתלבותו בטיפולים, כולל התרופפות המחוייבות והקשר עם השירות בסוף התהליך, ולרבות הזמן שלקח לנאשם להגיע לשירות המבחן במסגרת הת"פ עד שהוגש התסקיר (היחיד והמסכם) סופסוף.</w:t>
      </w:r>
    </w:p>
    <w:p w14:paraId="601227D0" w14:textId="77777777" w:rsidR="00FF7714" w:rsidRDefault="00FF7714" w:rsidP="00FF7714">
      <w:pPr>
        <w:rPr>
          <w:rtl/>
        </w:rPr>
      </w:pPr>
    </w:p>
    <w:p w14:paraId="338E3499" w14:textId="77777777" w:rsidR="00FF7714" w:rsidRDefault="00FF7714" w:rsidP="00FF7714">
      <w:pPr>
        <w:rPr>
          <w:rtl/>
        </w:rPr>
      </w:pPr>
      <w:r>
        <w:rPr>
          <w:rFonts w:hint="cs"/>
          <w:rtl/>
        </w:rPr>
        <w:t xml:space="preserve">אינני סבור כי התנגדותו הראשונית של הנאשם לטיפול והבעת "אי נזקקות" מצידו צריכים להילקח בחשבון לרעתו, למעשה </w:t>
      </w:r>
      <w:r>
        <w:rPr>
          <w:rtl/>
        </w:rPr>
        <w:t>–</w:t>
      </w:r>
      <w:r>
        <w:rPr>
          <w:rFonts w:hint="cs"/>
          <w:rtl/>
        </w:rPr>
        <w:t xml:space="preserve"> ברוב המקרים שחזיתי בהם כך נראתה תחילת הקשר בינם לשירות המבחן, ולוקח זמן עד שהם עומדים על מצבם.</w:t>
      </w:r>
    </w:p>
    <w:p w14:paraId="7184A9D8" w14:textId="77777777" w:rsidR="00FF7714" w:rsidRDefault="00FF7714" w:rsidP="00FF7714">
      <w:pPr>
        <w:rPr>
          <w:rtl/>
        </w:rPr>
      </w:pPr>
    </w:p>
    <w:p w14:paraId="0974C2A0" w14:textId="77777777" w:rsidR="00FF7714" w:rsidRDefault="00FF7714" w:rsidP="00FF7714">
      <w:pPr>
        <w:rPr>
          <w:rtl/>
        </w:rPr>
      </w:pPr>
      <w:r>
        <w:rPr>
          <w:rFonts w:hint="cs"/>
          <w:rtl/>
        </w:rPr>
        <w:t>לחובת הנאשם, בעיניי, עומדים עברו הפלילי, שלוש שנים בדיוק לפני ביצוע העבירות בתיק דנן ביצע הנאשם עבירה דומה עליה נשפט בבית המשפט לנוער, ולהתרשמות שירות המבחן לא סבר כי הוא נזקק לטיפול וגם לא שיתף איתו פעולה. תצוין גם נהיגתו תחת השפעת סם שאירעה שנתיים לאחר שנשפט בביהמש לנוער, ברור כי כשמציבים סימנים אלה על דרכו של הנאשם, שסופם בכתב האישום בו הורשע לפניי, ואף שנחלשה מגמת הסיכון הנובעת ממנו, השילוב הנכון של שיקום והרתעה הוא בעיניי ה"פורמולה"</w:t>
      </w:r>
      <w:r>
        <w:rPr>
          <w:rFonts w:hint="cs"/>
        </w:rPr>
        <w:t xml:space="preserve"> </w:t>
      </w:r>
      <w:r>
        <w:rPr>
          <w:rFonts w:hint="cs"/>
          <w:rtl/>
        </w:rPr>
        <w:t>הראויה במקרה זה.</w:t>
      </w:r>
    </w:p>
    <w:p w14:paraId="5F5B310A" w14:textId="77777777" w:rsidR="00FF7714" w:rsidRDefault="00FF7714" w:rsidP="00FF7714">
      <w:pPr>
        <w:rPr>
          <w:rtl/>
        </w:rPr>
      </w:pPr>
    </w:p>
    <w:p w14:paraId="48754052" w14:textId="77777777" w:rsidR="00FF7714" w:rsidRDefault="00FF7714" w:rsidP="00FF7714">
      <w:pPr>
        <w:rPr>
          <w:rtl/>
        </w:rPr>
      </w:pPr>
      <w:r>
        <w:rPr>
          <w:rFonts w:hint="cs"/>
          <w:rtl/>
        </w:rPr>
        <w:t xml:space="preserve">אני לוקח בחשבון את 107 הימים בהם היה הנאשם עצור ואת התנאים המגבילים בהם שהה כשלוש וחצי שנים, עיקר משמעותם, בשקילת עונשו הסופי של הנאשם </w:t>
      </w:r>
      <w:r>
        <w:rPr>
          <w:rtl/>
        </w:rPr>
        <w:t>–</w:t>
      </w:r>
      <w:r>
        <w:rPr>
          <w:rFonts w:hint="cs"/>
          <w:rtl/>
        </w:rPr>
        <w:t xml:space="preserve"> בעיניי </w:t>
      </w:r>
      <w:r>
        <w:rPr>
          <w:rtl/>
        </w:rPr>
        <w:t>–</w:t>
      </w:r>
      <w:r>
        <w:rPr>
          <w:rFonts w:hint="cs"/>
          <w:rtl/>
        </w:rPr>
        <w:t xml:space="preserve"> אינו רק ב"מקדמת העונש" שהיוותה עבורו (אף שכל תכליתה היה ניטרול מסוכנותו)</w:t>
      </w:r>
      <w:r>
        <w:rPr>
          <w:rFonts w:hint="cs"/>
        </w:rPr>
        <w:t xml:space="preserve"> </w:t>
      </w:r>
      <w:r>
        <w:rPr>
          <w:rFonts w:hint="cs"/>
          <w:rtl/>
        </w:rPr>
        <w:t>אלא גם במידת ההרתעה שהיתה להם על הנאשם, אף שלא היה בה משקל מספיק כדי לשתף פעולה עם שירות המבחן באופן מושלם לחלוטין.</w:t>
      </w:r>
    </w:p>
    <w:p w14:paraId="55317503" w14:textId="77777777" w:rsidR="00FF7714" w:rsidRDefault="00FF7714" w:rsidP="00FF7714">
      <w:pPr>
        <w:rPr>
          <w:rtl/>
        </w:rPr>
      </w:pPr>
    </w:p>
    <w:p w14:paraId="6562CB28" w14:textId="77777777" w:rsidR="00FF7714" w:rsidRDefault="00FF7714" w:rsidP="00FF7714">
      <w:pPr>
        <w:rPr>
          <w:rtl/>
        </w:rPr>
      </w:pPr>
      <w:r>
        <w:rPr>
          <w:rFonts w:hint="cs"/>
          <w:rtl/>
        </w:rPr>
        <w:t>עוד טרם ניגשו הצדדים לטיעונים לעונש, ולאחר שעיינתי בכתב האישום המתוקן וביתר שאת בכל התסקירים שהוגשו אודות הנאשם, הצעתי לצדדים כי עונשו של הנאשם יעמוד על 9 חודשי מאסר שירוצו בעבודות שירות.</w:t>
      </w:r>
    </w:p>
    <w:p w14:paraId="1A1899EC" w14:textId="77777777" w:rsidR="00FF7714" w:rsidRDefault="00FF7714" w:rsidP="00FF7714">
      <w:pPr>
        <w:rPr>
          <w:rtl/>
        </w:rPr>
      </w:pPr>
      <w:r>
        <w:rPr>
          <w:rFonts w:hint="cs"/>
          <w:rtl/>
        </w:rPr>
        <w:t>שני הצדדים סירבו (בנימוס) להצעתי, המאשימה סברה כי עונש שאינו כולל מאסר בפועל אינו ראוי במקרה זה והנאשם וסנגורו סברו כי מדובר בתקופת מאסר בעבודות שירות ממושכת מדי.</w:t>
      </w:r>
    </w:p>
    <w:p w14:paraId="3CD5A4C9" w14:textId="77777777" w:rsidR="00FF7714" w:rsidRDefault="00FF7714" w:rsidP="00FF7714">
      <w:pPr>
        <w:rPr>
          <w:rtl/>
        </w:rPr>
      </w:pPr>
    </w:p>
    <w:p w14:paraId="6B1F99BE" w14:textId="77777777" w:rsidR="00FF7714" w:rsidRDefault="00FF7714" w:rsidP="00FF7714">
      <w:pPr>
        <w:rPr>
          <w:rtl/>
        </w:rPr>
      </w:pPr>
      <w:r>
        <w:rPr>
          <w:rFonts w:hint="cs"/>
          <w:rtl/>
        </w:rPr>
        <w:t>סופו של מעשה שאלה השיקולים שיעמדו ביסוד החלטתי:</w:t>
      </w:r>
    </w:p>
    <w:p w14:paraId="365A0F5A" w14:textId="77777777" w:rsidR="00FF7714" w:rsidRDefault="00FF7714" w:rsidP="00FF7714">
      <w:pPr>
        <w:rPr>
          <w:rtl/>
        </w:rPr>
      </w:pPr>
    </w:p>
    <w:p w14:paraId="380BB6F4" w14:textId="77777777" w:rsidR="00FF7714" w:rsidRDefault="00FF7714" w:rsidP="00FF7714">
      <w:pPr>
        <w:rPr>
          <w:rtl/>
        </w:rPr>
      </w:pPr>
    </w:p>
    <w:p w14:paraId="34767E84" w14:textId="77777777" w:rsidR="00FF7714" w:rsidRDefault="00FF7714" w:rsidP="00FF7714">
      <w:pPr>
        <w:rPr>
          <w:rtl/>
        </w:rPr>
      </w:pPr>
      <w:r>
        <w:rPr>
          <w:rFonts w:hint="cs"/>
          <w:rtl/>
        </w:rPr>
        <w:t>לחומרא:</w:t>
      </w:r>
    </w:p>
    <w:p w14:paraId="40E0598E" w14:textId="77777777" w:rsidR="00FF7714" w:rsidRDefault="00FF7714" w:rsidP="00FF7714">
      <w:pPr>
        <w:pStyle w:val="a9"/>
        <w:numPr>
          <w:ilvl w:val="0"/>
          <w:numId w:val="1"/>
        </w:numPr>
      </w:pPr>
      <w:r>
        <w:rPr>
          <w:rFonts w:hint="cs"/>
          <w:rtl/>
        </w:rPr>
        <w:t>מידת הפגיעה בערכים המוגנים שקבעתי שהתקיימה.</w:t>
      </w:r>
    </w:p>
    <w:p w14:paraId="79D880FD" w14:textId="77777777" w:rsidR="00FF7714" w:rsidRDefault="00FF7714" w:rsidP="00FF7714">
      <w:pPr>
        <w:pStyle w:val="a9"/>
        <w:numPr>
          <w:ilvl w:val="0"/>
          <w:numId w:val="1"/>
        </w:numPr>
      </w:pPr>
      <w:r>
        <w:rPr>
          <w:rFonts w:hint="cs"/>
          <w:rtl/>
        </w:rPr>
        <w:t>עברו הפלילי והתעבורתי (הקשור אף הוא בסמים).</w:t>
      </w:r>
    </w:p>
    <w:p w14:paraId="01D9530A" w14:textId="77777777" w:rsidR="00FF7714" w:rsidRDefault="00FF7714" w:rsidP="00FF7714">
      <w:pPr>
        <w:pStyle w:val="a9"/>
        <w:numPr>
          <w:ilvl w:val="0"/>
          <w:numId w:val="1"/>
        </w:numPr>
      </w:pPr>
      <w:r>
        <w:rPr>
          <w:rFonts w:hint="cs"/>
          <w:rtl/>
        </w:rPr>
        <w:t>המניע לביצוע העבירות (רווח קל ומהיר</w:t>
      </w:r>
      <w:r>
        <w:t>(</w:t>
      </w:r>
      <w:r>
        <w:rPr>
          <w:rFonts w:hint="cs"/>
          <w:rtl/>
        </w:rPr>
        <w:t>.</w:t>
      </w:r>
    </w:p>
    <w:p w14:paraId="0953541E" w14:textId="77777777" w:rsidR="00FF7714" w:rsidRDefault="00FF7714" w:rsidP="00FF7714">
      <w:pPr>
        <w:pStyle w:val="a9"/>
        <w:numPr>
          <w:ilvl w:val="0"/>
          <w:numId w:val="1"/>
        </w:numPr>
      </w:pPr>
      <w:r>
        <w:rPr>
          <w:rFonts w:hint="cs"/>
          <w:rtl/>
        </w:rPr>
        <w:t>היעדר איבחון מעמיק ביחס לגורמים שאיפשרו או אף הביאו, נפשית, את הנאשם לעבור את עבירותיו ומתן מענה טיפולי להם, כשכיום רוב הגורמים מונעי החזרתיות על העבירות הן הטראומה מהמעצר והגמילה הבסיסית (והשלמה)</w:t>
      </w:r>
      <w:r>
        <w:rPr>
          <w:rFonts w:hint="cs"/>
        </w:rPr>
        <w:t xml:space="preserve"> </w:t>
      </w:r>
      <w:r>
        <w:rPr>
          <w:rFonts w:hint="cs"/>
          <w:rtl/>
        </w:rPr>
        <w:t>מצריכת סמים.</w:t>
      </w:r>
    </w:p>
    <w:p w14:paraId="5CCEC031" w14:textId="77777777" w:rsidR="00FF7714" w:rsidRDefault="00FF7714" w:rsidP="00FF7714">
      <w:pPr>
        <w:pStyle w:val="a9"/>
        <w:numPr>
          <w:ilvl w:val="0"/>
          <w:numId w:val="1"/>
        </w:numPr>
      </w:pPr>
      <w:r>
        <w:rPr>
          <w:rFonts w:hint="cs"/>
          <w:rtl/>
        </w:rPr>
        <w:t>מתן מבט גם להרתעה הציבורית וגם לאלמנט ההלימה.</w:t>
      </w:r>
    </w:p>
    <w:p w14:paraId="02AFF89A" w14:textId="77777777" w:rsidR="00FF7714" w:rsidRDefault="00FF7714" w:rsidP="00FF7714">
      <w:pPr>
        <w:rPr>
          <w:rtl/>
        </w:rPr>
      </w:pPr>
    </w:p>
    <w:p w14:paraId="33E0EA36" w14:textId="77777777" w:rsidR="00FF7714" w:rsidRDefault="00FF7714" w:rsidP="00FF7714">
      <w:pPr>
        <w:rPr>
          <w:rtl/>
        </w:rPr>
      </w:pPr>
    </w:p>
    <w:p w14:paraId="5685F149" w14:textId="77777777" w:rsidR="00FF7714" w:rsidRDefault="00FF7714" w:rsidP="00FF7714">
      <w:pPr>
        <w:rPr>
          <w:rtl/>
        </w:rPr>
      </w:pPr>
    </w:p>
    <w:p w14:paraId="6B865BED" w14:textId="77777777" w:rsidR="00FF7714" w:rsidRDefault="00FF7714" w:rsidP="00FF7714">
      <w:pPr>
        <w:rPr>
          <w:rtl/>
        </w:rPr>
      </w:pPr>
    </w:p>
    <w:p w14:paraId="1C818E35" w14:textId="77777777" w:rsidR="00FF7714" w:rsidRDefault="00FF7714" w:rsidP="00FF7714">
      <w:pPr>
        <w:rPr>
          <w:rtl/>
        </w:rPr>
      </w:pPr>
      <w:r>
        <w:rPr>
          <w:rFonts w:hint="cs"/>
          <w:rtl/>
        </w:rPr>
        <w:t>לקולא:</w:t>
      </w:r>
    </w:p>
    <w:p w14:paraId="31394B84" w14:textId="77777777" w:rsidR="00FF7714" w:rsidRDefault="00FF7714" w:rsidP="00FF7714">
      <w:pPr>
        <w:pStyle w:val="a9"/>
        <w:numPr>
          <w:ilvl w:val="0"/>
          <w:numId w:val="1"/>
        </w:numPr>
      </w:pPr>
      <w:r>
        <w:rPr>
          <w:rFonts w:hint="cs"/>
          <w:rtl/>
        </w:rPr>
        <w:t>גילו של הנאשם בעת ביצוע העבירות ואישיותו הלא מגובשת שבעטיה עבר עבירותיו.</w:t>
      </w:r>
    </w:p>
    <w:p w14:paraId="7E12CCA2" w14:textId="77777777" w:rsidR="00FF7714" w:rsidRDefault="00FF7714" w:rsidP="00FF7714">
      <w:pPr>
        <w:pStyle w:val="a9"/>
        <w:numPr>
          <w:ilvl w:val="0"/>
          <w:numId w:val="1"/>
        </w:numPr>
      </w:pPr>
      <w:r>
        <w:rPr>
          <w:rFonts w:hint="cs"/>
          <w:rtl/>
        </w:rPr>
        <w:t>השיקום (המוחלט) מצריכת סמים והטיפול הממושך והמשמעותי שעבר הנאשם, ובגררא היכולת (ואף הצורך מבחינת האינטרס הציבורי)</w:t>
      </w:r>
      <w:r>
        <w:rPr>
          <w:rFonts w:hint="cs"/>
        </w:rPr>
        <w:t xml:space="preserve"> </w:t>
      </w:r>
      <w:r>
        <w:rPr>
          <w:rFonts w:hint="cs"/>
          <w:rtl/>
        </w:rPr>
        <w:t xml:space="preserve"> להחריגו ממתחם הענישה.</w:t>
      </w:r>
    </w:p>
    <w:p w14:paraId="32416035" w14:textId="77777777" w:rsidR="00FF7714" w:rsidRDefault="00FF7714" w:rsidP="00FF7714">
      <w:pPr>
        <w:pStyle w:val="a9"/>
        <w:numPr>
          <w:ilvl w:val="0"/>
          <w:numId w:val="1"/>
        </w:numPr>
      </w:pPr>
      <w:r>
        <w:rPr>
          <w:rFonts w:hint="cs"/>
          <w:rtl/>
        </w:rPr>
        <w:t>שאיפותיו הנורמטיביות של הנאשם ואישיותו הנעדרת דפוסים עברייניי</w:t>
      </w:r>
      <w:r>
        <w:rPr>
          <w:rFonts w:hint="eastAsia"/>
          <w:rtl/>
        </w:rPr>
        <w:t>ם</w:t>
      </w:r>
      <w:r>
        <w:rPr>
          <w:rFonts w:hint="cs"/>
          <w:rtl/>
        </w:rPr>
        <w:t xml:space="preserve"> כפי שאובחנה עוד בתחילת התהליך על ידי שירות המבחן.</w:t>
      </w:r>
    </w:p>
    <w:p w14:paraId="1114A6C0" w14:textId="77777777" w:rsidR="00FF7714" w:rsidRDefault="00FF7714" w:rsidP="00FF7714">
      <w:pPr>
        <w:pStyle w:val="a9"/>
        <w:numPr>
          <w:ilvl w:val="0"/>
          <w:numId w:val="1"/>
        </w:numPr>
        <w:rPr>
          <w:rtl/>
        </w:rPr>
      </w:pPr>
      <w:r>
        <w:rPr>
          <w:rFonts w:hint="cs"/>
          <w:rtl/>
        </w:rPr>
        <w:t>הדרך החדשה בה החל לצעוד לאחרונה.</w:t>
      </w:r>
    </w:p>
    <w:p w14:paraId="604DD0E4" w14:textId="77777777" w:rsidR="00FF7714" w:rsidRDefault="00FF7714" w:rsidP="00FF7714">
      <w:pPr>
        <w:rPr>
          <w:rtl/>
        </w:rPr>
      </w:pPr>
    </w:p>
    <w:p w14:paraId="24539D10" w14:textId="77777777" w:rsidR="00FF7714" w:rsidRDefault="00FF7714" w:rsidP="00FF7714">
      <w:pPr>
        <w:rPr>
          <w:rtl/>
        </w:rPr>
      </w:pPr>
      <w:r>
        <w:rPr>
          <w:rFonts w:hint="cs"/>
          <w:rtl/>
        </w:rPr>
        <w:t xml:space="preserve">לסיכום </w:t>
      </w:r>
      <w:r>
        <w:rPr>
          <w:rtl/>
        </w:rPr>
        <w:t>–</w:t>
      </w:r>
      <w:r>
        <w:rPr>
          <w:rFonts w:hint="cs"/>
          <w:rtl/>
        </w:rPr>
        <w:t xml:space="preserve"> דומני שנדרשת תוספת הרתעה לנאשם, אך שליחתו למאסר ממש לא תשרת אינטרס ציבורי כלשהו, ואף עלולה לעמוד בעוכריו. האיזון הנכון בין השיקולים מתבטא בתוצאה להלן.</w:t>
      </w:r>
    </w:p>
    <w:p w14:paraId="36BD274F" w14:textId="77777777" w:rsidR="00FF7714" w:rsidRDefault="00FF7714" w:rsidP="00FF7714">
      <w:pPr>
        <w:rPr>
          <w:rtl/>
        </w:rPr>
      </w:pPr>
    </w:p>
    <w:p w14:paraId="1199D9E5" w14:textId="77777777" w:rsidR="00FF7714" w:rsidRDefault="00FF7714" w:rsidP="00FF7714">
      <w:pPr>
        <w:rPr>
          <w:rtl/>
        </w:rPr>
      </w:pPr>
      <w:r>
        <w:rPr>
          <w:rFonts w:hint="cs"/>
          <w:rtl/>
        </w:rPr>
        <w:t>לאחר ששקלתי שיקולים אלה החלטתי לגזור על הנאשם את העונשים הבאים:</w:t>
      </w:r>
    </w:p>
    <w:p w14:paraId="5648D1A6" w14:textId="77777777" w:rsidR="00FF7714" w:rsidRDefault="00FF7714" w:rsidP="00FF7714">
      <w:pPr>
        <w:rPr>
          <w:rtl/>
        </w:rPr>
      </w:pPr>
    </w:p>
    <w:p w14:paraId="429FB4A2" w14:textId="77777777" w:rsidR="00FF7714" w:rsidRDefault="00FF7714" w:rsidP="00FF7714">
      <w:pPr>
        <w:pStyle w:val="a9"/>
        <w:numPr>
          <w:ilvl w:val="0"/>
          <w:numId w:val="2"/>
        </w:numPr>
        <w:rPr>
          <w:b/>
          <w:bCs/>
        </w:rPr>
      </w:pPr>
      <w:r w:rsidRPr="000F4739">
        <w:rPr>
          <w:rFonts w:hint="cs"/>
          <w:b/>
          <w:bCs/>
          <w:rtl/>
        </w:rPr>
        <w:t>שמונה חודשי מאסר שירוצו בעבודות שירות לפי חוו"ד הממונה על עבודות השירות. הנאשם יחל בריצויים ביום 15.5.25.</w:t>
      </w:r>
      <w:r>
        <w:rPr>
          <w:rFonts w:hint="cs"/>
          <w:b/>
          <w:bCs/>
          <w:rtl/>
        </w:rPr>
        <w:t xml:space="preserve"> למען הסר ספק אינני מפחית את ימי מעצרו של הנאשם מהמאסר (בע"ש) שנגזר עליו.</w:t>
      </w:r>
    </w:p>
    <w:p w14:paraId="03E170D7" w14:textId="77777777" w:rsidR="00FF7714" w:rsidRPr="000F4739" w:rsidRDefault="00FF7714" w:rsidP="00FF7714">
      <w:pPr>
        <w:pStyle w:val="a9"/>
        <w:rPr>
          <w:b/>
          <w:bCs/>
        </w:rPr>
      </w:pPr>
    </w:p>
    <w:p w14:paraId="7AB28E3E" w14:textId="77777777" w:rsidR="00FF7714" w:rsidRDefault="00FF7714" w:rsidP="00FF7714">
      <w:pPr>
        <w:pStyle w:val="a9"/>
        <w:numPr>
          <w:ilvl w:val="0"/>
          <w:numId w:val="2"/>
        </w:numPr>
        <w:rPr>
          <w:b/>
          <w:bCs/>
        </w:rPr>
      </w:pPr>
      <w:r w:rsidRPr="000F4739">
        <w:rPr>
          <w:rFonts w:hint="cs"/>
          <w:b/>
          <w:bCs/>
          <w:rtl/>
        </w:rPr>
        <w:t xml:space="preserve">שבעה חודשי מאסר אותם לא ירצה הנאשם אלא אם יעבור בתוך 3 שנים מסיום ריצוי עבודות השירות כל עבירה מסוג פשע לפי </w:t>
      </w:r>
      <w:hyperlink r:id="rId8" w:history="1">
        <w:r w:rsidR="00485001" w:rsidRPr="00485001">
          <w:rPr>
            <w:b/>
            <w:bCs/>
            <w:color w:val="0000FF"/>
            <w:u w:val="single"/>
            <w:rtl/>
          </w:rPr>
          <w:t>פקודת הסמים המסוכנים</w:t>
        </w:r>
      </w:hyperlink>
      <w:r w:rsidRPr="000F4739">
        <w:rPr>
          <w:rFonts w:hint="cs"/>
          <w:b/>
          <w:bCs/>
          <w:rtl/>
        </w:rPr>
        <w:t>.</w:t>
      </w:r>
    </w:p>
    <w:p w14:paraId="2F07CBD2" w14:textId="77777777" w:rsidR="00FF7714" w:rsidRPr="000F4739" w:rsidRDefault="00FF7714" w:rsidP="00FF7714">
      <w:pPr>
        <w:pStyle w:val="a9"/>
        <w:rPr>
          <w:b/>
          <w:bCs/>
          <w:rtl/>
        </w:rPr>
      </w:pPr>
    </w:p>
    <w:p w14:paraId="59231553" w14:textId="77777777" w:rsidR="00FF7714" w:rsidRDefault="00FF7714" w:rsidP="00FF7714">
      <w:pPr>
        <w:pStyle w:val="a9"/>
        <w:numPr>
          <w:ilvl w:val="0"/>
          <w:numId w:val="2"/>
        </w:numPr>
        <w:rPr>
          <w:b/>
          <w:bCs/>
        </w:rPr>
      </w:pPr>
      <w:r w:rsidRPr="000F4739">
        <w:rPr>
          <w:rFonts w:hint="cs"/>
          <w:b/>
          <w:bCs/>
          <w:rtl/>
        </w:rPr>
        <w:t>שלושה</w:t>
      </w:r>
      <w:r w:rsidRPr="000F4739">
        <w:rPr>
          <w:b/>
          <w:bCs/>
          <w:rtl/>
        </w:rPr>
        <w:t xml:space="preserve"> חודשי מאסר אותם לא ירצה הנאשם אלא אם יעבור בתוך 3 שנים מסיום ריצוי עבודות השירות כל עבירה מסוג </w:t>
      </w:r>
      <w:r w:rsidRPr="000F4739">
        <w:rPr>
          <w:rFonts w:hint="cs"/>
          <w:b/>
          <w:bCs/>
          <w:rtl/>
        </w:rPr>
        <w:t>עוון</w:t>
      </w:r>
      <w:r w:rsidRPr="000F4739">
        <w:rPr>
          <w:b/>
          <w:bCs/>
          <w:rtl/>
        </w:rPr>
        <w:t xml:space="preserve"> לפי </w:t>
      </w:r>
      <w:hyperlink r:id="rId9" w:history="1">
        <w:r w:rsidR="00485001" w:rsidRPr="00485001">
          <w:rPr>
            <w:b/>
            <w:bCs/>
            <w:color w:val="0000FF"/>
            <w:u w:val="single"/>
            <w:rtl/>
          </w:rPr>
          <w:t>פקודת הסמים המסוכנים</w:t>
        </w:r>
      </w:hyperlink>
      <w:r w:rsidRPr="000F4739">
        <w:rPr>
          <w:rFonts w:hint="cs"/>
          <w:b/>
          <w:bCs/>
          <w:rtl/>
        </w:rPr>
        <w:t>.</w:t>
      </w:r>
    </w:p>
    <w:p w14:paraId="31F5E96B" w14:textId="77777777" w:rsidR="00FF7714" w:rsidRPr="000F4739" w:rsidRDefault="00FF7714" w:rsidP="00FF7714">
      <w:pPr>
        <w:pStyle w:val="a9"/>
        <w:rPr>
          <w:b/>
          <w:bCs/>
          <w:rtl/>
        </w:rPr>
      </w:pPr>
    </w:p>
    <w:p w14:paraId="420886A9" w14:textId="77777777" w:rsidR="00FF7714" w:rsidRDefault="00FF7714" w:rsidP="00FF7714">
      <w:pPr>
        <w:pStyle w:val="a9"/>
        <w:numPr>
          <w:ilvl w:val="0"/>
          <w:numId w:val="2"/>
        </w:numPr>
        <w:rPr>
          <w:b/>
          <w:bCs/>
        </w:rPr>
      </w:pPr>
      <w:r w:rsidRPr="000F4739">
        <w:rPr>
          <w:rFonts w:hint="cs"/>
          <w:b/>
          <w:bCs/>
          <w:rtl/>
        </w:rPr>
        <w:t>אני פוסל את הנאשם מלהחזיק ברישיון נהיגה לתקופה בת 5 חודשים. הנאשם יפקיד רישיונו במזכירות בית המשפט מיד עם סיום ריצוי עבודות השירות.</w:t>
      </w:r>
    </w:p>
    <w:p w14:paraId="5C22E499" w14:textId="77777777" w:rsidR="00FF7714" w:rsidRPr="000F4739" w:rsidRDefault="00FF7714" w:rsidP="00FF7714">
      <w:pPr>
        <w:pStyle w:val="a9"/>
        <w:rPr>
          <w:b/>
          <w:bCs/>
          <w:rtl/>
        </w:rPr>
      </w:pPr>
    </w:p>
    <w:p w14:paraId="41A8AE4E" w14:textId="77777777" w:rsidR="00FF7714" w:rsidRDefault="00FF7714" w:rsidP="00FF7714">
      <w:pPr>
        <w:pStyle w:val="a9"/>
        <w:numPr>
          <w:ilvl w:val="0"/>
          <w:numId w:val="2"/>
        </w:numPr>
        <w:rPr>
          <w:b/>
          <w:bCs/>
        </w:rPr>
      </w:pPr>
      <w:r w:rsidRPr="000F4739">
        <w:rPr>
          <w:rFonts w:hint="cs"/>
          <w:b/>
          <w:bCs/>
          <w:rtl/>
        </w:rPr>
        <w:t>אני פוסל את הנאשם מלהחזיק ברישיון נהיגה לתקופה בת 6 חודשים אך הנאשם לא ירצה עונש זה אלא אם יעבור בתוך 3 שנים מסיום ריצוי עבודות השירות כל אחת מעבירות התנאי.</w:t>
      </w:r>
    </w:p>
    <w:p w14:paraId="7F33AF50" w14:textId="77777777" w:rsidR="00FF7714" w:rsidRPr="000F4739" w:rsidRDefault="00FF7714" w:rsidP="00FF7714">
      <w:pPr>
        <w:pStyle w:val="a9"/>
        <w:rPr>
          <w:b/>
          <w:bCs/>
          <w:rtl/>
        </w:rPr>
      </w:pPr>
    </w:p>
    <w:p w14:paraId="7CD98D1D" w14:textId="77777777" w:rsidR="00FF7714" w:rsidRDefault="00FF7714" w:rsidP="00FF7714">
      <w:pPr>
        <w:pStyle w:val="a9"/>
        <w:numPr>
          <w:ilvl w:val="0"/>
          <w:numId w:val="2"/>
        </w:numPr>
        <w:rPr>
          <w:b/>
          <w:bCs/>
        </w:rPr>
      </w:pPr>
      <w:r w:rsidRPr="000F4739">
        <w:rPr>
          <w:rFonts w:hint="cs"/>
          <w:b/>
          <w:bCs/>
          <w:rtl/>
        </w:rPr>
        <w:t xml:space="preserve">אני מחייב את הנאשם להצהיר כי אם יעבור בתוך שנה מסיום ריצוי עבודות השירות כל עבירה לפי </w:t>
      </w:r>
      <w:hyperlink r:id="rId10" w:history="1">
        <w:r w:rsidR="00485001" w:rsidRPr="00485001">
          <w:rPr>
            <w:b/>
            <w:bCs/>
            <w:color w:val="0000FF"/>
            <w:u w:val="single"/>
            <w:rtl/>
          </w:rPr>
          <w:t>פקודת הסמים המסוכנים</w:t>
        </w:r>
      </w:hyperlink>
      <w:r w:rsidRPr="000F4739">
        <w:rPr>
          <w:rFonts w:hint="cs"/>
          <w:b/>
          <w:bCs/>
          <w:rtl/>
        </w:rPr>
        <w:t xml:space="preserve"> ישלם סך 15000 ₪. הצהרת הנאשם נרשמה לפניי.</w:t>
      </w:r>
    </w:p>
    <w:p w14:paraId="410797E2" w14:textId="77777777" w:rsidR="00FF7714" w:rsidRPr="000F4739" w:rsidRDefault="00FF7714" w:rsidP="00FF7714">
      <w:pPr>
        <w:pStyle w:val="a9"/>
        <w:rPr>
          <w:b/>
          <w:bCs/>
          <w:rtl/>
        </w:rPr>
      </w:pPr>
    </w:p>
    <w:p w14:paraId="5B5A86CD" w14:textId="77777777" w:rsidR="00FF7714" w:rsidRDefault="00FF7714" w:rsidP="00FF7714">
      <w:pPr>
        <w:pStyle w:val="a9"/>
        <w:numPr>
          <w:ilvl w:val="0"/>
          <w:numId w:val="2"/>
        </w:numPr>
        <w:rPr>
          <w:b/>
          <w:bCs/>
        </w:rPr>
      </w:pPr>
      <w:r w:rsidRPr="007C0BD1">
        <w:rPr>
          <w:rFonts w:hint="cs"/>
          <w:b/>
          <w:bCs/>
          <w:rtl/>
        </w:rPr>
        <w:t>קנס בסך 1500 ₪ או 15 ימי מאסר תמורתו. הקנס יקוזז כנגד הפקדה שהפקיד הנאשם בתיקו או נגזרותיו</w:t>
      </w:r>
      <w:r>
        <w:rPr>
          <w:rFonts w:hint="cs"/>
          <w:b/>
          <w:bCs/>
          <w:rtl/>
        </w:rPr>
        <w:t>, ככל שישנה יתרה להפקדה היא תוחזר לנאשם, ככל שאין הפקדה ישולם הקנס עד יום 01.01.26.</w:t>
      </w:r>
    </w:p>
    <w:p w14:paraId="3AF24E2D" w14:textId="77777777" w:rsidR="00FF7714" w:rsidRPr="007C0BD1" w:rsidRDefault="00FF7714" w:rsidP="00FF7714">
      <w:pPr>
        <w:pStyle w:val="a9"/>
        <w:rPr>
          <w:b/>
          <w:bCs/>
          <w:rtl/>
        </w:rPr>
      </w:pPr>
    </w:p>
    <w:p w14:paraId="7CADD6CE" w14:textId="77777777" w:rsidR="00FF7714" w:rsidRDefault="00FF7714" w:rsidP="00FF7714">
      <w:pPr>
        <w:pStyle w:val="a9"/>
        <w:numPr>
          <w:ilvl w:val="0"/>
          <w:numId w:val="2"/>
        </w:numPr>
        <w:rPr>
          <w:b/>
          <w:bCs/>
        </w:rPr>
      </w:pPr>
      <w:r w:rsidRPr="000F4739">
        <w:rPr>
          <w:rFonts w:hint="cs"/>
          <w:b/>
          <w:bCs/>
          <w:rtl/>
        </w:rPr>
        <w:t>אני מכריז על הנאשם סוחר סמים.</w:t>
      </w:r>
    </w:p>
    <w:p w14:paraId="3416A176" w14:textId="77777777" w:rsidR="00FF7714" w:rsidRPr="000F4739" w:rsidRDefault="00FF7714" w:rsidP="00FF7714">
      <w:pPr>
        <w:pStyle w:val="a9"/>
        <w:rPr>
          <w:b/>
          <w:bCs/>
          <w:rtl/>
        </w:rPr>
      </w:pPr>
    </w:p>
    <w:p w14:paraId="633CF2D3" w14:textId="77777777" w:rsidR="00FF7714" w:rsidRPr="000F4739" w:rsidRDefault="00FF7714" w:rsidP="00FF7714">
      <w:pPr>
        <w:pStyle w:val="a9"/>
        <w:numPr>
          <w:ilvl w:val="0"/>
          <w:numId w:val="2"/>
        </w:numPr>
        <w:rPr>
          <w:b/>
          <w:bCs/>
        </w:rPr>
      </w:pPr>
      <w:r w:rsidRPr="000F4739">
        <w:rPr>
          <w:rFonts w:hint="cs"/>
          <w:b/>
          <w:bCs/>
          <w:rtl/>
        </w:rPr>
        <w:t>אני מחלט בזאת את הכספים שנתפסו על הנאשם, את הטלפון שנתפס עליו ואת הקטנוע עליו רכב.</w:t>
      </w:r>
    </w:p>
    <w:p w14:paraId="343C6304" w14:textId="77777777" w:rsidR="00FF7714" w:rsidRPr="000F4739" w:rsidRDefault="00FF7714" w:rsidP="00FF7714">
      <w:pPr>
        <w:rPr>
          <w:b/>
          <w:bCs/>
          <w:rtl/>
        </w:rPr>
      </w:pPr>
    </w:p>
    <w:p w14:paraId="0BAF6C8B" w14:textId="77777777" w:rsidR="00FF7714" w:rsidRDefault="00FF7714" w:rsidP="00FF7714">
      <w:pPr>
        <w:rPr>
          <w:rtl/>
        </w:rPr>
      </w:pPr>
      <w:r>
        <w:rPr>
          <w:rFonts w:hint="cs"/>
          <w:rtl/>
        </w:rPr>
        <w:t>המוצגים יושמדו.</w:t>
      </w:r>
    </w:p>
    <w:p w14:paraId="63E3CD09" w14:textId="77777777" w:rsidR="00FF7714" w:rsidRDefault="00485001" w:rsidP="00FF7714">
      <w:pPr>
        <w:rPr>
          <w:rtl/>
        </w:rPr>
      </w:pPr>
      <w:r w:rsidRPr="00485001">
        <w:rPr>
          <w:color w:val="FFFFFF"/>
          <w:sz w:val="2"/>
          <w:szCs w:val="2"/>
          <w:rtl/>
        </w:rPr>
        <w:t>5129371</w:t>
      </w:r>
      <w:r w:rsidR="00FF7714">
        <w:rPr>
          <w:rFonts w:hint="cs"/>
          <w:rtl/>
        </w:rPr>
        <w:t>זכות ערעור כחוק.</w:t>
      </w:r>
    </w:p>
    <w:p w14:paraId="353DC97B" w14:textId="77777777" w:rsidR="00FF7714" w:rsidRDefault="00485001" w:rsidP="00FF7714">
      <w:pPr>
        <w:rPr>
          <w:rFonts w:cs="FrankRuehl"/>
          <w:sz w:val="28"/>
          <w:szCs w:val="28"/>
          <w:rtl/>
        </w:rPr>
      </w:pPr>
      <w:bookmarkStart w:id="7" w:name="Nitan"/>
      <w:r w:rsidRPr="00485001">
        <w:rPr>
          <w:rFonts w:ascii="Arial" w:hAnsi="Arial"/>
          <w:color w:val="FFFFFF"/>
          <w:sz w:val="2"/>
          <w:szCs w:val="2"/>
          <w:rtl/>
        </w:rPr>
        <w:t>54678313</w:t>
      </w:r>
      <w:r>
        <w:rPr>
          <w:rFonts w:ascii="Arial" w:hAnsi="Arial"/>
          <w:rtl/>
        </w:rPr>
        <w:t xml:space="preserve">ניתן היום,  כ"ג אדר תשפ"ה, 23 מרץ 2025, בהעדר הצדדים. </w:t>
      </w:r>
      <w:bookmarkEnd w:id="7"/>
    </w:p>
    <w:p w14:paraId="1E674D26" w14:textId="77777777" w:rsidR="00FF7714" w:rsidRDefault="00FF7714" w:rsidP="0048500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077FFF" w14:textId="77777777" w:rsidR="00FF7714" w:rsidRDefault="00FF7714" w:rsidP="00FF7714">
      <w:pPr>
        <w:jc w:val="center"/>
        <w:rPr>
          <w:rFonts w:ascii="Arial" w:hAnsi="Arial" w:cs="FrankRuehl"/>
          <w:sz w:val="28"/>
          <w:szCs w:val="28"/>
          <w:rtl/>
        </w:rPr>
      </w:pPr>
    </w:p>
    <w:p w14:paraId="46C647A2" w14:textId="77777777" w:rsidR="00FF7714" w:rsidRDefault="00FF7714" w:rsidP="00FF7714">
      <w:pPr>
        <w:rPr>
          <w:rFonts w:cs="FrankRuehl"/>
          <w:sz w:val="28"/>
          <w:szCs w:val="28"/>
          <w:rtl/>
        </w:rPr>
      </w:pPr>
    </w:p>
    <w:p w14:paraId="3FB6DE34" w14:textId="77777777" w:rsidR="00FF7714" w:rsidRPr="00023EE6" w:rsidRDefault="00023EE6" w:rsidP="00FF7714">
      <w:pPr>
        <w:pStyle w:val="a3"/>
        <w:jc w:val="center"/>
        <w:rPr>
          <w:color w:val="FFFFFF"/>
          <w:sz w:val="2"/>
          <w:szCs w:val="2"/>
          <w:rtl/>
        </w:rPr>
      </w:pPr>
      <w:r w:rsidRPr="00023EE6">
        <w:rPr>
          <w:color w:val="FFFFFF"/>
          <w:sz w:val="2"/>
          <w:szCs w:val="2"/>
          <w:rtl/>
        </w:rPr>
        <w:t>5129371</w:t>
      </w:r>
    </w:p>
    <w:p w14:paraId="65774E40" w14:textId="77777777" w:rsidR="00956D1E" w:rsidRPr="00023EE6" w:rsidRDefault="00023EE6" w:rsidP="00485001">
      <w:pPr>
        <w:keepNext/>
        <w:rPr>
          <w:rFonts w:ascii="David" w:hAnsi="David"/>
          <w:color w:val="FFFFFF"/>
          <w:sz w:val="2"/>
          <w:szCs w:val="2"/>
          <w:rtl/>
        </w:rPr>
      </w:pPr>
      <w:r w:rsidRPr="00023EE6">
        <w:rPr>
          <w:rFonts w:ascii="David" w:hAnsi="David"/>
          <w:color w:val="FFFFFF"/>
          <w:sz w:val="2"/>
          <w:szCs w:val="2"/>
          <w:rtl/>
        </w:rPr>
        <w:t>54678313</w:t>
      </w:r>
    </w:p>
    <w:p w14:paraId="2D01D387" w14:textId="77777777" w:rsidR="00485001" w:rsidRDefault="00485001" w:rsidP="00485001">
      <w:pPr>
        <w:rPr>
          <w:rtl/>
        </w:rPr>
      </w:pPr>
    </w:p>
    <w:p w14:paraId="3A1CB98F" w14:textId="77777777" w:rsidR="00485001" w:rsidRDefault="00485001" w:rsidP="00485001">
      <w:pPr>
        <w:jc w:val="center"/>
        <w:rPr>
          <w:color w:val="0000FF"/>
          <w:u w:val="single"/>
        </w:rPr>
      </w:pPr>
      <w:hyperlink r:id="rId11" w:history="1">
        <w:r>
          <w:rPr>
            <w:color w:val="0000FF"/>
            <w:u w:val="single"/>
            <w:rtl/>
          </w:rPr>
          <w:t>בעניין עריכה ושינויים במסמכי פסיקה, חקיקה ועוד באתר נבו – הקש כאן</w:t>
        </w:r>
      </w:hyperlink>
    </w:p>
    <w:p w14:paraId="7B0782C7" w14:textId="77777777" w:rsidR="00023EE6" w:rsidRPr="00023EE6" w:rsidRDefault="00023EE6" w:rsidP="00023EE6">
      <w:pPr>
        <w:keepNext/>
        <w:rPr>
          <w:rFonts w:ascii="David" w:hAnsi="David"/>
          <w:color w:val="000000"/>
          <w:sz w:val="22"/>
          <w:szCs w:val="22"/>
          <w:rtl/>
        </w:rPr>
      </w:pPr>
    </w:p>
    <w:p w14:paraId="6A3118B5" w14:textId="77777777" w:rsidR="00023EE6" w:rsidRPr="00023EE6" w:rsidRDefault="00023EE6" w:rsidP="00023EE6">
      <w:pPr>
        <w:keepNext/>
        <w:rPr>
          <w:rFonts w:ascii="David" w:hAnsi="David"/>
          <w:color w:val="000000"/>
          <w:sz w:val="22"/>
          <w:szCs w:val="22"/>
          <w:rtl/>
        </w:rPr>
      </w:pPr>
      <w:r w:rsidRPr="00023EE6">
        <w:rPr>
          <w:rFonts w:ascii="David" w:hAnsi="David"/>
          <w:color w:val="000000"/>
          <w:sz w:val="22"/>
          <w:szCs w:val="22"/>
          <w:rtl/>
        </w:rPr>
        <w:t>אביחי דורון 54678313-/</w:t>
      </w:r>
    </w:p>
    <w:p w14:paraId="788DC0E0" w14:textId="77777777" w:rsidR="00485001" w:rsidRPr="00485001" w:rsidRDefault="00023EE6" w:rsidP="00023EE6">
      <w:pPr>
        <w:rPr>
          <w:color w:val="0000FF"/>
          <w:u w:val="single"/>
        </w:rPr>
      </w:pPr>
      <w:r w:rsidRPr="00023EE6">
        <w:rPr>
          <w:color w:val="000000"/>
          <w:u w:val="single"/>
          <w:rtl/>
        </w:rPr>
        <w:t>נוסח מסמך זה כפוף לשינויי ניסוח ועריכה</w:t>
      </w:r>
    </w:p>
    <w:sectPr w:rsidR="00485001" w:rsidRPr="00485001" w:rsidSect="00023EE6">
      <w:headerReference w:type="even" r:id="rId12"/>
      <w:headerReference w:type="default" r:id="rId13"/>
      <w:footerReference w:type="even" r:id="rId14"/>
      <w:footerReference w:type="default" r:id="rId15"/>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A6895" w14:textId="77777777" w:rsidR="0010167C" w:rsidRDefault="0010167C" w:rsidP="006B12BD">
      <w:r>
        <w:separator/>
      </w:r>
    </w:p>
  </w:endnote>
  <w:endnote w:type="continuationSeparator" w:id="0">
    <w:p w14:paraId="7E9F2202" w14:textId="77777777" w:rsidR="0010167C" w:rsidRDefault="0010167C" w:rsidP="006B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C3043" w14:textId="77777777" w:rsidR="00023EE6" w:rsidRDefault="00023EE6" w:rsidP="00023E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0247286" w14:textId="77777777" w:rsidR="00DB56B0" w:rsidRPr="00023EE6" w:rsidRDefault="00023EE6" w:rsidP="00023EE6">
    <w:pPr>
      <w:pStyle w:val="a5"/>
      <w:pBdr>
        <w:top w:val="single" w:sz="4" w:space="1" w:color="auto"/>
        <w:between w:val="single" w:sz="4" w:space="0" w:color="auto"/>
      </w:pBdr>
      <w:spacing w:after="60"/>
      <w:jc w:val="center"/>
      <w:rPr>
        <w:rFonts w:ascii="FrankRuehl" w:hAnsi="FrankRuehl" w:cs="FrankRuehl"/>
        <w:color w:val="000000"/>
      </w:rPr>
    </w:pPr>
    <w:r w:rsidRPr="00023EE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820B6" w14:textId="77777777" w:rsidR="00023EE6" w:rsidRDefault="00023EE6" w:rsidP="00023EE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437C3">
      <w:rPr>
        <w:rFonts w:ascii="FrankRuehl" w:hAnsi="FrankRuehl" w:cs="FrankRuehl"/>
        <w:noProof/>
        <w:rtl/>
      </w:rPr>
      <w:t>1</w:t>
    </w:r>
    <w:r>
      <w:rPr>
        <w:rFonts w:ascii="FrankRuehl" w:hAnsi="FrankRuehl" w:cs="FrankRuehl"/>
        <w:rtl/>
      </w:rPr>
      <w:fldChar w:fldCharType="end"/>
    </w:r>
  </w:p>
  <w:p w14:paraId="3A4BB29F" w14:textId="77777777" w:rsidR="00DB56B0" w:rsidRPr="00023EE6" w:rsidRDefault="00023EE6" w:rsidP="00023EE6">
    <w:pPr>
      <w:pStyle w:val="a5"/>
      <w:pBdr>
        <w:top w:val="single" w:sz="4" w:space="1" w:color="auto"/>
        <w:between w:val="single" w:sz="4" w:space="0" w:color="auto"/>
      </w:pBdr>
      <w:spacing w:after="60"/>
      <w:jc w:val="center"/>
      <w:rPr>
        <w:rFonts w:ascii="FrankRuehl" w:hAnsi="FrankRuehl" w:cs="FrankRuehl"/>
        <w:color w:val="000000"/>
      </w:rPr>
    </w:pPr>
    <w:r w:rsidRPr="00023EE6">
      <w:rPr>
        <w:rFonts w:ascii="FrankRuehl" w:hAnsi="FrankRuehl" w:cs="FrankRuehl"/>
        <w:color w:val="000000"/>
      </w:rPr>
      <w:pict w14:anchorId="0F7E9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6970F" w14:textId="77777777" w:rsidR="0010167C" w:rsidRDefault="0010167C" w:rsidP="006B12BD">
      <w:r>
        <w:separator/>
      </w:r>
    </w:p>
  </w:footnote>
  <w:footnote w:type="continuationSeparator" w:id="0">
    <w:p w14:paraId="7231C6CA" w14:textId="77777777" w:rsidR="0010167C" w:rsidRDefault="0010167C" w:rsidP="006B1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B8F20" w14:textId="77777777" w:rsidR="00485001" w:rsidRPr="00023EE6" w:rsidRDefault="00023EE6" w:rsidP="00023E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5043-12-21</w:t>
    </w:r>
    <w:r>
      <w:rPr>
        <w:rFonts w:ascii="David" w:hAnsi="David"/>
        <w:color w:val="000000"/>
        <w:sz w:val="22"/>
        <w:szCs w:val="22"/>
        <w:rtl/>
      </w:rPr>
      <w:tab/>
      <w:t xml:space="preserve"> מדינת ישראל נ' שי מרציאנו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EF06F" w14:textId="77777777" w:rsidR="00485001" w:rsidRPr="00023EE6" w:rsidRDefault="00023EE6" w:rsidP="00023EE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5043-12-21</w:t>
    </w:r>
    <w:r>
      <w:rPr>
        <w:rFonts w:ascii="David" w:hAnsi="David"/>
        <w:color w:val="000000"/>
        <w:sz w:val="22"/>
        <w:szCs w:val="22"/>
        <w:rtl/>
      </w:rPr>
      <w:tab/>
      <w:t xml:space="preserve"> מדינת ישראל נ' שי מרציאנו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7EA8"/>
    <w:multiLevelType w:val="hybridMultilevel"/>
    <w:tmpl w:val="DF4E3E3E"/>
    <w:lvl w:ilvl="0" w:tplc="44E67D3C">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F31E7"/>
    <w:multiLevelType w:val="hybridMultilevel"/>
    <w:tmpl w:val="E3A82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601131">
    <w:abstractNumId w:val="0"/>
  </w:num>
  <w:num w:numId="2" w16cid:durableId="170853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7714"/>
    <w:rsid w:val="00023EE6"/>
    <w:rsid w:val="0010167C"/>
    <w:rsid w:val="00485001"/>
    <w:rsid w:val="005B0C6D"/>
    <w:rsid w:val="006B12BD"/>
    <w:rsid w:val="006E673E"/>
    <w:rsid w:val="00956D1E"/>
    <w:rsid w:val="00BF595A"/>
    <w:rsid w:val="00DB56B0"/>
    <w:rsid w:val="00E437C3"/>
    <w:rsid w:val="00FF77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E01179"/>
  <w15:chartTrackingRefBased/>
  <w15:docId w15:val="{BBF29DF3-63F5-4A52-AE32-311967AF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771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7714"/>
    <w:pPr>
      <w:tabs>
        <w:tab w:val="center" w:pos="4153"/>
        <w:tab w:val="right" w:pos="8306"/>
      </w:tabs>
    </w:pPr>
  </w:style>
  <w:style w:type="character" w:customStyle="1" w:styleId="a4">
    <w:name w:val="כותרת עליונה תו"/>
    <w:link w:val="a3"/>
    <w:rsid w:val="00FF7714"/>
    <w:rPr>
      <w:rFonts w:ascii="Times New Roman" w:eastAsia="Times New Roman" w:hAnsi="Times New Roman" w:cs="David"/>
      <w:sz w:val="24"/>
      <w:szCs w:val="24"/>
    </w:rPr>
  </w:style>
  <w:style w:type="paragraph" w:styleId="a5">
    <w:name w:val="footer"/>
    <w:basedOn w:val="a"/>
    <w:link w:val="a6"/>
    <w:rsid w:val="00FF7714"/>
    <w:pPr>
      <w:tabs>
        <w:tab w:val="center" w:pos="4153"/>
        <w:tab w:val="right" w:pos="8306"/>
      </w:tabs>
    </w:pPr>
  </w:style>
  <w:style w:type="character" w:customStyle="1" w:styleId="a6">
    <w:name w:val="כותרת תחתונה תו"/>
    <w:link w:val="a5"/>
    <w:rsid w:val="00FF7714"/>
    <w:rPr>
      <w:rFonts w:ascii="Times New Roman" w:eastAsia="Times New Roman" w:hAnsi="Times New Roman" w:cs="David"/>
      <w:sz w:val="24"/>
      <w:szCs w:val="24"/>
    </w:rPr>
  </w:style>
  <w:style w:type="table" w:styleId="a7">
    <w:name w:val="Table Grid"/>
    <w:basedOn w:val="a1"/>
    <w:rsid w:val="00FF771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7714"/>
  </w:style>
  <w:style w:type="paragraph" w:styleId="a9">
    <w:name w:val="List Paragraph"/>
    <w:basedOn w:val="a"/>
    <w:qFormat/>
    <w:rsid w:val="00FF7714"/>
    <w:pPr>
      <w:ind w:left="720"/>
      <w:contextualSpacing/>
    </w:pPr>
  </w:style>
  <w:style w:type="character" w:styleId="Hyperlink">
    <w:name w:val="Hyperlink"/>
    <w:rsid w:val="0048500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1926</Words>
  <Characters>9634</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11537</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2025-04-23T01:18:00Z</dcterms:created>
  <dcterms:modified xsi:type="dcterms:W3CDTF">2025-04-23T01:18:00Z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5043</vt:lpwstr>
  </property>
  <property fmtid="{D5CDD505-2E9C-101B-9397-08002B2CF9AE}" pid="6" name="NEWPARTB">
    <vt:lpwstr>12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שי מרציאנו</vt:lpwstr>
  </property>
  <property fmtid="{D5CDD505-2E9C-101B-9397-08002B2CF9AE}" pid="10" name="JUDGE">
    <vt:lpwstr>אביחי דורון</vt:lpwstr>
  </property>
  <property fmtid="{D5CDD505-2E9C-101B-9397-08002B2CF9AE}" pid="11" name="CITY">
    <vt:lpwstr>י-ם</vt:lpwstr>
  </property>
  <property fmtid="{D5CDD505-2E9C-101B-9397-08002B2CF9AE}" pid="12" name="DATE">
    <vt:lpwstr>20250323</vt:lpwstr>
  </property>
  <property fmtid="{D5CDD505-2E9C-101B-9397-08002B2CF9AE}" pid="13" name="TYPE_N_DATE">
    <vt:lpwstr>38020250323</vt:lpwstr>
  </property>
  <property fmtid="{D5CDD505-2E9C-101B-9397-08002B2CF9AE}" pid="14" name="WORDNUMPAGES">
    <vt:lpwstr>6</vt:lpwstr>
  </property>
  <property fmtid="{D5CDD505-2E9C-101B-9397-08002B2CF9AE}" pid="15" name="TYPE_ABS_DATE">
    <vt:lpwstr>380020250323</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4216:3</vt:lpwstr>
  </property>
</Properties>
</file>