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91E26" w:rsidRPr="00E417A5" w14:paraId="486064EF" w14:textId="77777777" w:rsidTr="006C3726">
        <w:trPr>
          <w:trHeight w:hRule="exact" w:val="418"/>
          <w:jc w:val="center"/>
        </w:trPr>
        <w:tc>
          <w:tcPr>
            <w:tcW w:w="8721" w:type="dxa"/>
            <w:gridSpan w:val="2"/>
          </w:tcPr>
          <w:p w14:paraId="6354D446" w14:textId="77777777" w:rsidR="00691E26" w:rsidRPr="00E417A5" w:rsidRDefault="00691E26" w:rsidP="00B0259F">
            <w:pPr>
              <w:pStyle w:val="a4"/>
              <w:jc w:val="center"/>
              <w:rPr>
                <w:rFonts w:ascii="Tahoma" w:hAnsi="Tahoma" w:cs="Tahoma"/>
                <w:color w:val="000080"/>
                <w:rtl/>
              </w:rPr>
            </w:pPr>
            <w:bookmarkStart w:id="0" w:name="FirstLawyer"/>
            <w:bookmarkStart w:id="1" w:name="LastJudge"/>
            <w:r w:rsidRPr="00E417A5">
              <w:rPr>
                <w:rFonts w:ascii="Tahoma" w:hAnsi="Tahoma" w:cs="Tahoma"/>
                <w:b/>
                <w:bCs/>
                <w:color w:val="000080"/>
                <w:rtl/>
              </w:rPr>
              <w:t>בית משפט השלום בבאר שבע</w:t>
            </w:r>
          </w:p>
        </w:tc>
      </w:tr>
      <w:tr w:rsidR="00691E26" w:rsidRPr="00E417A5" w14:paraId="55E41BA1" w14:textId="77777777" w:rsidTr="006C3726">
        <w:trPr>
          <w:trHeight w:val="337"/>
          <w:jc w:val="center"/>
        </w:trPr>
        <w:tc>
          <w:tcPr>
            <w:tcW w:w="5054" w:type="dxa"/>
          </w:tcPr>
          <w:p w14:paraId="350D070E" w14:textId="77777777" w:rsidR="00691E26" w:rsidRPr="00E417A5" w:rsidRDefault="00691E26" w:rsidP="00B0259F">
            <w:pPr>
              <w:rPr>
                <w:rFonts w:cs="FrankRuehl"/>
                <w:sz w:val="28"/>
                <w:szCs w:val="28"/>
                <w:rtl/>
              </w:rPr>
            </w:pPr>
            <w:r w:rsidRPr="00E417A5">
              <w:rPr>
                <w:rFonts w:cs="FrankRuehl"/>
                <w:sz w:val="28"/>
                <w:szCs w:val="28"/>
                <w:rtl/>
              </w:rPr>
              <w:t>ת"פ</w:t>
            </w:r>
            <w:r w:rsidRPr="00E417A5">
              <w:rPr>
                <w:rFonts w:cs="FrankRuehl" w:hint="cs"/>
                <w:sz w:val="28"/>
                <w:szCs w:val="28"/>
                <w:rtl/>
              </w:rPr>
              <w:t xml:space="preserve"> </w:t>
            </w:r>
            <w:r w:rsidRPr="00E417A5">
              <w:rPr>
                <w:rFonts w:cs="FrankRuehl"/>
                <w:sz w:val="28"/>
                <w:szCs w:val="28"/>
                <w:rtl/>
              </w:rPr>
              <w:t>52204-12-21</w:t>
            </w:r>
            <w:r w:rsidRPr="00E417A5">
              <w:rPr>
                <w:rFonts w:cs="FrankRuehl" w:hint="cs"/>
                <w:sz w:val="28"/>
                <w:szCs w:val="28"/>
                <w:rtl/>
              </w:rPr>
              <w:t xml:space="preserve"> </w:t>
            </w:r>
            <w:r w:rsidRPr="00E417A5">
              <w:rPr>
                <w:rFonts w:cs="FrankRuehl"/>
                <w:sz w:val="28"/>
                <w:szCs w:val="28"/>
                <w:rtl/>
              </w:rPr>
              <w:t>מדינת ישראל נ' אואקנין</w:t>
            </w:r>
          </w:p>
          <w:p w14:paraId="4FD482F2" w14:textId="77777777" w:rsidR="00691E26" w:rsidRPr="00E417A5" w:rsidRDefault="00691E26" w:rsidP="00B0259F">
            <w:pPr>
              <w:pStyle w:val="a4"/>
              <w:rPr>
                <w:rFonts w:cs="FrankRuehl"/>
                <w:sz w:val="28"/>
                <w:szCs w:val="28"/>
                <w:rtl/>
              </w:rPr>
            </w:pPr>
          </w:p>
        </w:tc>
        <w:tc>
          <w:tcPr>
            <w:tcW w:w="3667" w:type="dxa"/>
          </w:tcPr>
          <w:p w14:paraId="26B0561B" w14:textId="77777777" w:rsidR="00691E26" w:rsidRPr="00E417A5" w:rsidRDefault="00691E26" w:rsidP="00B0259F">
            <w:pPr>
              <w:pStyle w:val="a4"/>
              <w:jc w:val="right"/>
              <w:rPr>
                <w:rFonts w:cs="FrankRuehl"/>
                <w:sz w:val="28"/>
                <w:szCs w:val="28"/>
                <w:rtl/>
              </w:rPr>
            </w:pPr>
          </w:p>
        </w:tc>
      </w:tr>
    </w:tbl>
    <w:p w14:paraId="2B04D6D1" w14:textId="77777777" w:rsidR="00691E26" w:rsidRPr="00E417A5" w:rsidRDefault="00691E26" w:rsidP="00691E26">
      <w:pPr>
        <w:pStyle w:val="a4"/>
        <w:rPr>
          <w:rtl/>
        </w:rPr>
      </w:pPr>
      <w:r w:rsidRPr="00E417A5">
        <w:rPr>
          <w:rFonts w:hint="cs"/>
          <w:rtl/>
        </w:rPr>
        <w:t xml:space="preserve"> </w:t>
      </w:r>
    </w:p>
    <w:p w14:paraId="73B1D5E8" w14:textId="77777777" w:rsidR="00691E26" w:rsidRPr="00E417A5" w:rsidRDefault="00691E26" w:rsidP="00691E26">
      <w:pPr>
        <w:rPr>
          <w:rtl/>
        </w:rPr>
      </w:pPr>
    </w:p>
    <w:p w14:paraId="08681826" w14:textId="77777777" w:rsidR="00691E26" w:rsidRPr="00E417A5" w:rsidRDefault="00691E26" w:rsidP="00691E2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91E26" w:rsidRPr="00E417A5" w14:paraId="471C0AD3" w14:textId="77777777" w:rsidTr="00691E26">
        <w:trPr>
          <w:trHeight w:val="295"/>
          <w:jc w:val="center"/>
        </w:trPr>
        <w:tc>
          <w:tcPr>
            <w:tcW w:w="923" w:type="dxa"/>
            <w:tcBorders>
              <w:top w:val="nil"/>
              <w:left w:val="nil"/>
              <w:bottom w:val="nil"/>
              <w:right w:val="nil"/>
            </w:tcBorders>
            <w:shd w:val="clear" w:color="auto" w:fill="auto"/>
          </w:tcPr>
          <w:p w14:paraId="1C732ED1" w14:textId="77777777" w:rsidR="00691E26" w:rsidRPr="00E417A5" w:rsidRDefault="00691E26" w:rsidP="00691E26">
            <w:pPr>
              <w:jc w:val="both"/>
              <w:rPr>
                <w:rFonts w:ascii="David" w:hAnsi="David"/>
                <w:sz w:val="26"/>
                <w:szCs w:val="26"/>
              </w:rPr>
            </w:pPr>
            <w:r w:rsidRPr="00E417A5">
              <w:rPr>
                <w:rFonts w:ascii="David" w:hAnsi="David" w:hint="cs"/>
                <w:sz w:val="26"/>
                <w:szCs w:val="26"/>
                <w:rtl/>
              </w:rPr>
              <w:t>ל</w:t>
            </w:r>
            <w:r w:rsidRPr="00E417A5">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9D7C692" w14:textId="77777777" w:rsidR="00691E26" w:rsidRPr="00E417A5" w:rsidRDefault="00691E26" w:rsidP="00B0259F">
            <w:pPr>
              <w:rPr>
                <w:rFonts w:ascii="David" w:hAnsi="David"/>
                <w:b/>
                <w:bCs/>
                <w:sz w:val="26"/>
                <w:szCs w:val="26"/>
                <w:rtl/>
              </w:rPr>
            </w:pPr>
            <w:r w:rsidRPr="00E417A5">
              <w:rPr>
                <w:rFonts w:ascii="David" w:hAnsi="David"/>
                <w:b/>
                <w:bCs/>
                <w:sz w:val="26"/>
                <w:szCs w:val="26"/>
                <w:rtl/>
              </w:rPr>
              <w:t>כבוד השופט  אריה דורני-דורון</w:t>
            </w:r>
          </w:p>
          <w:p w14:paraId="35E97CD2" w14:textId="77777777" w:rsidR="00691E26" w:rsidRPr="00E417A5" w:rsidRDefault="00691E26" w:rsidP="00B0259F">
            <w:pPr>
              <w:rPr>
                <w:rFonts w:ascii="David" w:hAnsi="David"/>
                <w:sz w:val="26"/>
                <w:szCs w:val="26"/>
                <w:rtl/>
              </w:rPr>
            </w:pPr>
          </w:p>
          <w:p w14:paraId="59665D74" w14:textId="77777777" w:rsidR="00691E26" w:rsidRPr="00E417A5" w:rsidRDefault="00691E26" w:rsidP="00691E26">
            <w:pPr>
              <w:jc w:val="both"/>
              <w:rPr>
                <w:rFonts w:ascii="David" w:hAnsi="David"/>
                <w:sz w:val="26"/>
                <w:szCs w:val="26"/>
              </w:rPr>
            </w:pPr>
          </w:p>
        </w:tc>
      </w:tr>
      <w:tr w:rsidR="00691E26" w:rsidRPr="00E417A5" w14:paraId="7C57E0AC" w14:textId="77777777" w:rsidTr="00691E26">
        <w:trPr>
          <w:trHeight w:val="355"/>
          <w:jc w:val="center"/>
        </w:trPr>
        <w:tc>
          <w:tcPr>
            <w:tcW w:w="923" w:type="dxa"/>
            <w:tcBorders>
              <w:top w:val="nil"/>
              <w:left w:val="nil"/>
              <w:bottom w:val="nil"/>
              <w:right w:val="nil"/>
            </w:tcBorders>
            <w:shd w:val="clear" w:color="auto" w:fill="auto"/>
          </w:tcPr>
          <w:p w14:paraId="19D818C5" w14:textId="77777777" w:rsidR="00691E26" w:rsidRPr="00E417A5" w:rsidRDefault="00691E26" w:rsidP="00691E26">
            <w:pPr>
              <w:jc w:val="both"/>
              <w:rPr>
                <w:rFonts w:ascii="David" w:hAnsi="David"/>
                <w:sz w:val="26"/>
                <w:szCs w:val="26"/>
              </w:rPr>
            </w:pPr>
            <w:bookmarkStart w:id="2" w:name="FirstAppellant"/>
            <w:r w:rsidRPr="00E417A5">
              <w:rPr>
                <w:rFonts w:ascii="David" w:hAnsi="David"/>
                <w:sz w:val="26"/>
                <w:szCs w:val="26"/>
                <w:rtl/>
              </w:rPr>
              <w:t>בעניין:</w:t>
            </w:r>
          </w:p>
        </w:tc>
        <w:tc>
          <w:tcPr>
            <w:tcW w:w="3219" w:type="dxa"/>
            <w:tcBorders>
              <w:top w:val="nil"/>
              <w:left w:val="nil"/>
              <w:bottom w:val="nil"/>
              <w:right w:val="nil"/>
            </w:tcBorders>
            <w:shd w:val="clear" w:color="auto" w:fill="auto"/>
          </w:tcPr>
          <w:p w14:paraId="123B086C" w14:textId="77777777" w:rsidR="00691E26" w:rsidRPr="00E417A5" w:rsidRDefault="00691E26" w:rsidP="00691E26">
            <w:pPr>
              <w:suppressLineNumbers/>
            </w:pPr>
            <w:r w:rsidRPr="00E417A5">
              <w:rPr>
                <w:rFonts w:ascii="Arial" w:hAnsi="Arial" w:hint="cs"/>
                <w:b/>
                <w:bCs/>
                <w:sz w:val="26"/>
                <w:szCs w:val="26"/>
                <w:rtl/>
              </w:rPr>
              <w:t>ה</w:t>
            </w:r>
            <w:r w:rsidRPr="00E417A5">
              <w:rPr>
                <w:rFonts w:ascii="Arial" w:hAnsi="Arial"/>
                <w:b/>
                <w:bCs/>
                <w:sz w:val="26"/>
                <w:szCs w:val="26"/>
                <w:rtl/>
              </w:rPr>
              <w:t>מאשימה</w:t>
            </w:r>
          </w:p>
          <w:p w14:paraId="7DBEDC51" w14:textId="77777777" w:rsidR="00691E26" w:rsidRPr="00E417A5" w:rsidRDefault="00691E26" w:rsidP="00B0259F">
            <w:pPr>
              <w:rPr>
                <w:rFonts w:ascii="David" w:hAnsi="David"/>
                <w:sz w:val="26"/>
                <w:szCs w:val="26"/>
              </w:rPr>
            </w:pPr>
          </w:p>
        </w:tc>
        <w:tc>
          <w:tcPr>
            <w:tcW w:w="4678" w:type="dxa"/>
            <w:tcBorders>
              <w:top w:val="nil"/>
              <w:left w:val="nil"/>
              <w:bottom w:val="nil"/>
              <w:right w:val="nil"/>
            </w:tcBorders>
            <w:shd w:val="clear" w:color="auto" w:fill="auto"/>
            <w:vAlign w:val="center"/>
          </w:tcPr>
          <w:p w14:paraId="1E16FB66" w14:textId="77777777" w:rsidR="00691E26" w:rsidRPr="00E417A5" w:rsidRDefault="00691E26" w:rsidP="00691E26">
            <w:pPr>
              <w:suppressLineNumbers/>
            </w:pPr>
            <w:r w:rsidRPr="00E417A5">
              <w:rPr>
                <w:rFonts w:ascii="Arial" w:hAnsi="Arial"/>
                <w:b/>
                <w:bCs/>
                <w:sz w:val="26"/>
                <w:szCs w:val="26"/>
                <w:rtl/>
              </w:rPr>
              <w:t>מדינת ישראל</w:t>
            </w:r>
            <w:r w:rsidRPr="00E417A5">
              <w:rPr>
                <w:rFonts w:ascii="Arial" w:hAnsi="Arial" w:hint="cs"/>
                <w:b/>
                <w:bCs/>
                <w:sz w:val="26"/>
                <w:szCs w:val="26"/>
                <w:rtl/>
              </w:rPr>
              <w:t xml:space="preserve"> </w:t>
            </w:r>
            <w:r w:rsidRPr="00E417A5">
              <w:rPr>
                <w:rFonts w:ascii="Arial" w:hAnsi="Arial"/>
                <w:b/>
                <w:bCs/>
                <w:sz w:val="26"/>
                <w:szCs w:val="26"/>
                <w:rtl/>
              </w:rPr>
              <w:t>ע"י ב"כ עוה"</w:t>
            </w:r>
            <w:r w:rsidRPr="00E417A5">
              <w:rPr>
                <w:rFonts w:ascii="Arial" w:hAnsi="Arial" w:hint="cs"/>
                <w:b/>
                <w:bCs/>
                <w:sz w:val="26"/>
                <w:szCs w:val="26"/>
                <w:rtl/>
              </w:rPr>
              <w:t xml:space="preserve">ד זוהר נאור </w:t>
            </w:r>
          </w:p>
          <w:p w14:paraId="72B74826" w14:textId="77777777" w:rsidR="00691E26" w:rsidRPr="00E417A5" w:rsidRDefault="00691E26" w:rsidP="00B0259F">
            <w:pPr>
              <w:rPr>
                <w:rFonts w:ascii="David" w:hAnsi="David"/>
                <w:sz w:val="26"/>
                <w:szCs w:val="26"/>
              </w:rPr>
            </w:pPr>
          </w:p>
        </w:tc>
      </w:tr>
      <w:bookmarkEnd w:id="2"/>
      <w:tr w:rsidR="00691E26" w:rsidRPr="00E417A5" w14:paraId="5CFFD3BB" w14:textId="77777777" w:rsidTr="00691E26">
        <w:trPr>
          <w:trHeight w:val="355"/>
          <w:jc w:val="center"/>
        </w:trPr>
        <w:tc>
          <w:tcPr>
            <w:tcW w:w="923" w:type="dxa"/>
            <w:tcBorders>
              <w:top w:val="nil"/>
              <w:left w:val="nil"/>
              <w:bottom w:val="nil"/>
              <w:right w:val="nil"/>
            </w:tcBorders>
            <w:shd w:val="clear" w:color="auto" w:fill="auto"/>
          </w:tcPr>
          <w:p w14:paraId="525324E3" w14:textId="77777777" w:rsidR="00691E26" w:rsidRPr="00E417A5" w:rsidRDefault="00691E26" w:rsidP="00691E2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ABB02C9" w14:textId="77777777" w:rsidR="00691E26" w:rsidRPr="00E417A5" w:rsidRDefault="00691E26" w:rsidP="00691E26">
            <w:pPr>
              <w:jc w:val="center"/>
              <w:rPr>
                <w:rFonts w:ascii="David" w:hAnsi="David"/>
                <w:b/>
                <w:bCs/>
                <w:sz w:val="26"/>
                <w:szCs w:val="26"/>
                <w:rtl/>
              </w:rPr>
            </w:pPr>
          </w:p>
          <w:p w14:paraId="5366CF8E" w14:textId="77777777" w:rsidR="00691E26" w:rsidRPr="00E417A5" w:rsidRDefault="00691E26" w:rsidP="00691E26">
            <w:pPr>
              <w:jc w:val="center"/>
              <w:rPr>
                <w:rFonts w:ascii="David" w:hAnsi="David"/>
                <w:b/>
                <w:bCs/>
                <w:sz w:val="26"/>
                <w:szCs w:val="26"/>
                <w:rtl/>
              </w:rPr>
            </w:pPr>
            <w:r w:rsidRPr="00E417A5">
              <w:rPr>
                <w:rFonts w:ascii="David" w:hAnsi="David"/>
                <w:b/>
                <w:bCs/>
                <w:sz w:val="26"/>
                <w:szCs w:val="26"/>
                <w:rtl/>
              </w:rPr>
              <w:t>נגד</w:t>
            </w:r>
          </w:p>
          <w:p w14:paraId="2A356210" w14:textId="77777777" w:rsidR="00691E26" w:rsidRPr="00E417A5" w:rsidRDefault="00691E26" w:rsidP="00691E26">
            <w:pPr>
              <w:jc w:val="both"/>
              <w:rPr>
                <w:rFonts w:ascii="David" w:hAnsi="David"/>
                <w:sz w:val="26"/>
                <w:szCs w:val="26"/>
              </w:rPr>
            </w:pPr>
          </w:p>
        </w:tc>
      </w:tr>
      <w:tr w:rsidR="00691E26" w:rsidRPr="00E417A5" w14:paraId="59027300" w14:textId="77777777" w:rsidTr="00691E26">
        <w:trPr>
          <w:trHeight w:val="355"/>
          <w:jc w:val="center"/>
        </w:trPr>
        <w:tc>
          <w:tcPr>
            <w:tcW w:w="923" w:type="dxa"/>
            <w:tcBorders>
              <w:top w:val="nil"/>
              <w:left w:val="nil"/>
              <w:bottom w:val="nil"/>
              <w:right w:val="nil"/>
            </w:tcBorders>
            <w:shd w:val="clear" w:color="auto" w:fill="auto"/>
          </w:tcPr>
          <w:p w14:paraId="5D6A978E" w14:textId="77777777" w:rsidR="00691E26" w:rsidRPr="00E417A5" w:rsidRDefault="00691E26" w:rsidP="00B0259F">
            <w:pPr>
              <w:rPr>
                <w:rFonts w:ascii="David" w:hAnsi="David"/>
                <w:sz w:val="26"/>
                <w:szCs w:val="26"/>
                <w:rtl/>
              </w:rPr>
            </w:pPr>
          </w:p>
        </w:tc>
        <w:tc>
          <w:tcPr>
            <w:tcW w:w="3219" w:type="dxa"/>
            <w:tcBorders>
              <w:top w:val="nil"/>
              <w:left w:val="nil"/>
              <w:bottom w:val="nil"/>
              <w:right w:val="nil"/>
            </w:tcBorders>
            <w:shd w:val="clear" w:color="auto" w:fill="auto"/>
          </w:tcPr>
          <w:p w14:paraId="5D450EA2" w14:textId="77777777" w:rsidR="00691E26" w:rsidRPr="00E417A5" w:rsidRDefault="00691E26" w:rsidP="00B0259F">
            <w:pPr>
              <w:rPr>
                <w:rFonts w:ascii="Arial" w:hAnsi="Arial"/>
                <w:b/>
                <w:bCs/>
                <w:sz w:val="26"/>
                <w:szCs w:val="26"/>
                <w:rtl/>
              </w:rPr>
            </w:pPr>
            <w:r w:rsidRPr="00E417A5">
              <w:rPr>
                <w:rFonts w:ascii="Arial" w:hAnsi="Arial"/>
                <w:b/>
                <w:bCs/>
                <w:sz w:val="26"/>
                <w:szCs w:val="26"/>
                <w:rtl/>
              </w:rPr>
              <w:t>הנאש</w:t>
            </w:r>
            <w:r w:rsidRPr="00E417A5">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3D4F33D8" w14:textId="77777777" w:rsidR="00691E26" w:rsidRPr="00E417A5" w:rsidRDefault="00691E26" w:rsidP="00B0259F">
            <w:pPr>
              <w:rPr>
                <w:b/>
                <w:bCs/>
                <w:sz w:val="26"/>
                <w:szCs w:val="26"/>
              </w:rPr>
            </w:pPr>
            <w:r w:rsidRPr="00E417A5">
              <w:rPr>
                <w:b/>
                <w:bCs/>
                <w:sz w:val="26"/>
                <w:szCs w:val="26"/>
                <w:rtl/>
              </w:rPr>
              <w:t xml:space="preserve">מרדכי נתנאל אואקנין ת"ז </w:t>
            </w:r>
            <w:r w:rsidR="00E417A5">
              <w:rPr>
                <w:b/>
                <w:bCs/>
                <w:sz w:val="26"/>
                <w:szCs w:val="26"/>
              </w:rPr>
              <w:t>xxxxxxxxx</w:t>
            </w:r>
          </w:p>
          <w:p w14:paraId="2284BAE4" w14:textId="77777777" w:rsidR="00691E26" w:rsidRPr="00E417A5" w:rsidRDefault="00691E26" w:rsidP="00B0259F">
            <w:pPr>
              <w:rPr>
                <w:rFonts w:ascii="David" w:hAnsi="David"/>
                <w:sz w:val="26"/>
                <w:szCs w:val="26"/>
              </w:rPr>
            </w:pPr>
            <w:r w:rsidRPr="00E417A5">
              <w:rPr>
                <w:b/>
                <w:bCs/>
                <w:sz w:val="26"/>
                <w:szCs w:val="26"/>
                <w:rtl/>
              </w:rPr>
              <w:t xml:space="preserve">ע"י ב"כ עו"ד עמית דוישטר </w:t>
            </w:r>
          </w:p>
        </w:tc>
      </w:tr>
    </w:tbl>
    <w:p w14:paraId="4E02AD5A" w14:textId="77777777" w:rsidR="00967647" w:rsidRPr="00967647" w:rsidRDefault="00967647" w:rsidP="00967647">
      <w:pPr>
        <w:spacing w:before="120" w:after="120" w:line="240" w:lineRule="exact"/>
        <w:ind w:left="283" w:hanging="283"/>
        <w:jc w:val="both"/>
        <w:rPr>
          <w:rFonts w:ascii="FrankRuehl" w:hAnsi="FrankRuehl" w:cs="FrankRuehl"/>
          <w:rtl/>
        </w:rPr>
      </w:pPr>
    </w:p>
    <w:p w14:paraId="57C1342E" w14:textId="77777777" w:rsidR="00B07564" w:rsidRDefault="00B07564" w:rsidP="00B07564">
      <w:pPr>
        <w:rPr>
          <w:rtl/>
        </w:rPr>
      </w:pPr>
      <w:bookmarkStart w:id="3" w:name="LawTable"/>
      <w:bookmarkEnd w:id="3"/>
    </w:p>
    <w:p w14:paraId="29FBA46D" w14:textId="77777777" w:rsidR="00B07564" w:rsidRPr="00B07564" w:rsidRDefault="00B07564" w:rsidP="00B07564">
      <w:pPr>
        <w:spacing w:before="120" w:after="120" w:line="240" w:lineRule="exact"/>
        <w:ind w:left="283" w:hanging="283"/>
        <w:jc w:val="both"/>
        <w:rPr>
          <w:rFonts w:ascii="FrankRuehl" w:hAnsi="FrankRuehl" w:cs="FrankRuehl"/>
          <w:rtl/>
        </w:rPr>
      </w:pPr>
    </w:p>
    <w:p w14:paraId="35DFA9AA" w14:textId="77777777" w:rsidR="00B07564" w:rsidRPr="00B07564" w:rsidRDefault="00B07564" w:rsidP="00B07564">
      <w:pPr>
        <w:spacing w:before="120" w:after="120" w:line="240" w:lineRule="exact"/>
        <w:ind w:left="283" w:hanging="283"/>
        <w:jc w:val="both"/>
        <w:rPr>
          <w:rFonts w:ascii="FrankRuehl" w:hAnsi="FrankRuehl" w:cs="FrankRuehl"/>
          <w:rtl/>
        </w:rPr>
      </w:pPr>
    </w:p>
    <w:p w14:paraId="607C9DD9" w14:textId="77777777" w:rsidR="00B07564" w:rsidRPr="00B07564" w:rsidRDefault="00B07564" w:rsidP="00B07564">
      <w:pPr>
        <w:spacing w:before="120" w:after="120" w:line="240" w:lineRule="exact"/>
        <w:ind w:left="283" w:hanging="283"/>
        <w:jc w:val="both"/>
        <w:rPr>
          <w:rFonts w:ascii="FrankRuehl" w:hAnsi="FrankRuehl" w:cs="FrankRuehl"/>
          <w:rtl/>
        </w:rPr>
      </w:pPr>
      <w:r w:rsidRPr="00B07564">
        <w:rPr>
          <w:rFonts w:ascii="FrankRuehl" w:hAnsi="FrankRuehl" w:cs="FrankRuehl"/>
          <w:rtl/>
        </w:rPr>
        <w:t xml:space="preserve">חקיקה שאוזכרה: </w:t>
      </w:r>
    </w:p>
    <w:p w14:paraId="27C0656D" w14:textId="77777777" w:rsidR="00B07564" w:rsidRPr="00B07564" w:rsidRDefault="00B07564" w:rsidP="00B07564">
      <w:pPr>
        <w:spacing w:before="120" w:after="120" w:line="240" w:lineRule="exact"/>
        <w:ind w:left="283" w:hanging="283"/>
        <w:jc w:val="both"/>
        <w:rPr>
          <w:rFonts w:ascii="FrankRuehl" w:hAnsi="FrankRuehl" w:cs="FrankRuehl"/>
          <w:rtl/>
        </w:rPr>
      </w:pPr>
      <w:hyperlink r:id="rId7" w:history="1">
        <w:r w:rsidRPr="00B07564">
          <w:rPr>
            <w:rFonts w:ascii="FrankRuehl" w:hAnsi="FrankRuehl" w:cs="FrankRuehl"/>
            <w:color w:val="0000FF"/>
            <w:rtl/>
          </w:rPr>
          <w:t>פקודת הסמים המסוכנים [נוסח חדש], תשל"ג-1973</w:t>
        </w:r>
      </w:hyperlink>
      <w:r w:rsidRPr="00B07564">
        <w:rPr>
          <w:rFonts w:ascii="FrankRuehl" w:hAnsi="FrankRuehl" w:cs="FrankRuehl"/>
          <w:rtl/>
        </w:rPr>
        <w:t xml:space="preserve">: סע'  </w:t>
      </w:r>
      <w:hyperlink r:id="rId8" w:history="1">
        <w:r w:rsidRPr="00B07564">
          <w:rPr>
            <w:rFonts w:ascii="FrankRuehl" w:hAnsi="FrankRuehl" w:cs="FrankRuehl"/>
            <w:color w:val="0000FF"/>
            <w:rtl/>
          </w:rPr>
          <w:t>7.א.</w:t>
        </w:r>
      </w:hyperlink>
      <w:r w:rsidRPr="00B07564">
        <w:rPr>
          <w:rFonts w:ascii="FrankRuehl" w:hAnsi="FrankRuehl" w:cs="FrankRuehl"/>
          <w:rtl/>
        </w:rPr>
        <w:t xml:space="preserve">, </w:t>
      </w:r>
      <w:hyperlink r:id="rId9" w:history="1">
        <w:r w:rsidRPr="00B07564">
          <w:rPr>
            <w:rFonts w:ascii="FrankRuehl" w:hAnsi="FrankRuehl" w:cs="FrankRuehl"/>
            <w:color w:val="0000FF"/>
            <w:rtl/>
          </w:rPr>
          <w:t>7.ג</w:t>
        </w:r>
      </w:hyperlink>
    </w:p>
    <w:p w14:paraId="1AFFC70A" w14:textId="77777777" w:rsidR="00B07564" w:rsidRPr="00B07564" w:rsidRDefault="00B07564" w:rsidP="00B07564">
      <w:pPr>
        <w:rPr>
          <w:rtl/>
        </w:rPr>
      </w:pPr>
      <w:bookmarkStart w:id="4" w:name="LawTable_End"/>
      <w:bookmarkEnd w:id="4"/>
    </w:p>
    <w:p w14:paraId="61838633" w14:textId="77777777" w:rsidR="00E417A5" w:rsidRPr="00967647" w:rsidRDefault="00E417A5" w:rsidP="0096764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91E26" w14:paraId="1D8A680C" w14:textId="77777777" w:rsidTr="00691E26">
        <w:trPr>
          <w:trHeight w:val="355"/>
          <w:jc w:val="center"/>
        </w:trPr>
        <w:tc>
          <w:tcPr>
            <w:tcW w:w="8820" w:type="dxa"/>
            <w:tcBorders>
              <w:top w:val="nil"/>
              <w:left w:val="nil"/>
              <w:bottom w:val="nil"/>
              <w:right w:val="nil"/>
            </w:tcBorders>
            <w:shd w:val="clear" w:color="auto" w:fill="auto"/>
          </w:tcPr>
          <w:p w14:paraId="0DC03BE1" w14:textId="77777777" w:rsidR="00E417A5" w:rsidRPr="00E417A5" w:rsidRDefault="00E417A5" w:rsidP="00E417A5">
            <w:pPr>
              <w:jc w:val="center"/>
              <w:rPr>
                <w:rFonts w:ascii="David" w:hAnsi="David"/>
                <w:b/>
                <w:bCs/>
                <w:sz w:val="32"/>
                <w:szCs w:val="32"/>
                <w:u w:val="single"/>
                <w:rtl/>
              </w:rPr>
            </w:pPr>
            <w:bookmarkStart w:id="5" w:name="PsakDin" w:colFirst="0" w:colLast="0"/>
            <w:bookmarkEnd w:id="0"/>
            <w:bookmarkEnd w:id="1"/>
            <w:r w:rsidRPr="00E417A5">
              <w:rPr>
                <w:rFonts w:ascii="David" w:hAnsi="David"/>
                <w:b/>
                <w:bCs/>
                <w:sz w:val="32"/>
                <w:szCs w:val="32"/>
                <w:u w:val="single"/>
                <w:rtl/>
              </w:rPr>
              <w:t>גזר דין</w:t>
            </w:r>
          </w:p>
          <w:p w14:paraId="22C5E90D" w14:textId="77777777" w:rsidR="00691E26" w:rsidRPr="00E417A5" w:rsidRDefault="00691E26" w:rsidP="00E417A5">
            <w:pPr>
              <w:jc w:val="center"/>
              <w:rPr>
                <w:rFonts w:ascii="David" w:hAnsi="David"/>
                <w:bCs/>
                <w:sz w:val="32"/>
                <w:szCs w:val="32"/>
                <w:u w:val="single"/>
                <w:rtl/>
              </w:rPr>
            </w:pPr>
          </w:p>
        </w:tc>
      </w:tr>
      <w:bookmarkEnd w:id="5"/>
    </w:tbl>
    <w:p w14:paraId="61C66368" w14:textId="77777777" w:rsidR="00691E26" w:rsidRPr="000F2247" w:rsidRDefault="00691E26" w:rsidP="00691E26">
      <w:pPr>
        <w:rPr>
          <w:rFonts w:ascii="Arial" w:hAnsi="Arial"/>
          <w:b/>
          <w:bCs/>
          <w:sz w:val="26"/>
          <w:szCs w:val="26"/>
          <w:rtl/>
        </w:rPr>
      </w:pPr>
    </w:p>
    <w:p w14:paraId="12E07ED3" w14:textId="77777777" w:rsidR="00691E26" w:rsidRDefault="00691E26" w:rsidP="00691E26">
      <w:pPr>
        <w:rPr>
          <w:rFonts w:ascii="Arial" w:hAnsi="Arial"/>
          <w:b/>
          <w:bCs/>
          <w:sz w:val="26"/>
          <w:szCs w:val="26"/>
          <w:rtl/>
        </w:rPr>
      </w:pPr>
    </w:p>
    <w:p w14:paraId="496E29A9" w14:textId="77777777" w:rsidR="00691E26" w:rsidRDefault="00691E26" w:rsidP="00691E26">
      <w:pPr>
        <w:spacing w:line="360" w:lineRule="auto"/>
        <w:ind w:firstLine="720"/>
        <w:jc w:val="both"/>
        <w:rPr>
          <w:rFonts w:ascii="David" w:hAnsi="David"/>
          <w:b/>
          <w:bCs/>
        </w:rPr>
      </w:pPr>
      <w:r>
        <w:rPr>
          <w:rFonts w:ascii="David" w:hAnsi="David"/>
          <w:b/>
          <w:bCs/>
          <w:rtl/>
        </w:rPr>
        <w:t>רקע:</w:t>
      </w:r>
    </w:p>
    <w:p w14:paraId="22411D66" w14:textId="77777777" w:rsidR="00691E26" w:rsidRDefault="00691E26" w:rsidP="00691E26">
      <w:pPr>
        <w:pStyle w:val="ab"/>
        <w:numPr>
          <w:ilvl w:val="0"/>
          <w:numId w:val="2"/>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על-יסוד הודאתו בעובדות כתב האישום המתוקן, בביצוע עבירה של החזקת סמים שלא לצריכה עצמית לפי </w:t>
      </w:r>
      <w:hyperlink r:id="rId10" w:history="1">
        <w:r w:rsidR="006C3726" w:rsidRPr="006C3726">
          <w:rPr>
            <w:rStyle w:val="Hyperlink"/>
            <w:rFonts w:ascii="David" w:hAnsi="David" w:cs="David"/>
            <w:sz w:val="24"/>
            <w:szCs w:val="24"/>
            <w:rtl/>
          </w:rPr>
          <w:t>סעיפים 7(א)+(ג)</w:t>
        </w:r>
      </w:hyperlink>
      <w:r>
        <w:rPr>
          <w:rFonts w:ascii="David" w:hAnsi="David" w:cs="David"/>
          <w:sz w:val="24"/>
          <w:szCs w:val="24"/>
          <w:rtl/>
        </w:rPr>
        <w:t xml:space="preserve"> ב</w:t>
      </w:r>
      <w:hyperlink r:id="rId11" w:history="1">
        <w:r w:rsidR="00E417A5" w:rsidRPr="00E417A5">
          <w:rPr>
            <w:rFonts w:ascii="David" w:hAnsi="David" w:cs="David"/>
            <w:color w:val="0000FF"/>
            <w:sz w:val="24"/>
            <w:szCs w:val="24"/>
            <w:u w:val="single"/>
            <w:rtl/>
          </w:rPr>
          <w:t>פקודת הסמים המסוכנים</w:t>
        </w:r>
      </w:hyperlink>
      <w:r>
        <w:rPr>
          <w:rFonts w:ascii="David" w:hAnsi="David" w:cs="David"/>
          <w:sz w:val="24"/>
          <w:szCs w:val="24"/>
          <w:rtl/>
        </w:rPr>
        <w:t xml:space="preserve"> (נ"ח) תשל"ג-1973. </w:t>
      </w:r>
    </w:p>
    <w:p w14:paraId="3711A633" w14:textId="77777777" w:rsidR="00691E26" w:rsidRDefault="00691E26" w:rsidP="00691E26">
      <w:pPr>
        <w:pStyle w:val="ab"/>
        <w:spacing w:line="360" w:lineRule="auto"/>
        <w:jc w:val="both"/>
        <w:rPr>
          <w:rFonts w:ascii="David" w:hAnsi="David" w:cs="David"/>
          <w:sz w:val="24"/>
          <w:szCs w:val="24"/>
        </w:rPr>
      </w:pPr>
      <w:bookmarkStart w:id="7" w:name="ABSTRACT_END"/>
      <w:bookmarkEnd w:id="7"/>
    </w:p>
    <w:p w14:paraId="3B21CBB1" w14:textId="77777777" w:rsidR="00691E26" w:rsidRDefault="00691E26" w:rsidP="00691E26">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בהתאם לעובדות כתב האישום המתוקן, הנאשם, במועדים הרלוונטיים לכתב האישום היה נתון במשמורת שב"ס. בין התאריכים 26.2.19-27.12.19 שהה הנאשם בחופשה מבית הסוהר ולאחר חזרתו מחופשתו, ביום 27.02.19, סמוך לשעה 11:53, במכלול הקליטה שבבית הסוהר "אלה" החזיק הנאשם ב70 טבליות של סם מסוכן מסוג בופרנופין שנפלטו מגופו בצואה, החזקת הסם בגופו הייתה שלא לצריכתו העצמית ושלא כדין. </w:t>
      </w:r>
    </w:p>
    <w:p w14:paraId="1A9024FD" w14:textId="77777777" w:rsidR="00691E26" w:rsidRDefault="00691E26" w:rsidP="00691E26">
      <w:pPr>
        <w:pStyle w:val="ab"/>
        <w:rPr>
          <w:rFonts w:ascii="David" w:hAnsi="David" w:cs="David"/>
          <w:sz w:val="24"/>
          <w:szCs w:val="24"/>
        </w:rPr>
      </w:pPr>
    </w:p>
    <w:p w14:paraId="26E7AFAA" w14:textId="77777777" w:rsidR="00691E26" w:rsidRPr="00EF047F" w:rsidRDefault="00691E26" w:rsidP="00691E26">
      <w:pPr>
        <w:rPr>
          <w:rFonts w:ascii="David" w:hAnsi="David"/>
          <w:rtl/>
        </w:rPr>
      </w:pPr>
    </w:p>
    <w:p w14:paraId="214AD79D" w14:textId="77777777" w:rsidR="00691E26" w:rsidRDefault="00691E26" w:rsidP="00691E26">
      <w:pPr>
        <w:spacing w:line="360" w:lineRule="auto"/>
        <w:jc w:val="both"/>
        <w:rPr>
          <w:rFonts w:ascii="David" w:hAnsi="David"/>
          <w:b/>
          <w:bCs/>
          <w:rtl/>
        </w:rPr>
      </w:pPr>
      <w:r>
        <w:rPr>
          <w:rFonts w:ascii="David" w:hAnsi="David"/>
          <w:b/>
          <w:bCs/>
          <w:rtl/>
        </w:rPr>
        <w:lastRenderedPageBreak/>
        <w:t>תמצית תסקירי שירות המבחן:</w:t>
      </w:r>
    </w:p>
    <w:p w14:paraId="4F3E671E" w14:textId="77777777" w:rsidR="00691E26" w:rsidRDefault="00691E26" w:rsidP="00691E26">
      <w:pPr>
        <w:pStyle w:val="ab"/>
        <w:rPr>
          <w:rFonts w:ascii="David" w:hAnsi="David" w:cs="David"/>
          <w:sz w:val="24"/>
          <w:szCs w:val="24"/>
        </w:rPr>
      </w:pPr>
    </w:p>
    <w:p w14:paraId="2806D5DF" w14:textId="77777777" w:rsidR="00691E26" w:rsidRDefault="00691E26" w:rsidP="00691E26">
      <w:pPr>
        <w:pStyle w:val="ab"/>
        <w:numPr>
          <w:ilvl w:val="0"/>
          <w:numId w:val="2"/>
        </w:numPr>
        <w:spacing w:line="360" w:lineRule="auto"/>
        <w:jc w:val="both"/>
        <w:rPr>
          <w:rFonts w:ascii="David" w:hAnsi="David" w:cs="David"/>
          <w:sz w:val="24"/>
          <w:szCs w:val="24"/>
          <w:rtl/>
        </w:rPr>
      </w:pPr>
      <w:r>
        <w:rPr>
          <w:rFonts w:cs="David"/>
          <w:sz w:val="24"/>
          <w:szCs w:val="24"/>
          <w:rtl/>
        </w:rPr>
        <w:t xml:space="preserve">בתסקיר מיום 23.4.23, סקר שירות המבחן אורחות חיי הנאשם, עובר ולאחר הגשת כתב האישום נגדו. סקירה זו, כללה מצבו המשפחתי, התעסוקתי, ההשכלתי תוך התייחסות לעברו הפלילי וכן לשירותו הצבאי החלקי. הנאשם היה בהליך טיפולי בהוסטל בירושלים מטעם הרשות לשיקום האסיר, הוא השתתף בתכנית למשך 16 חודשיים וערך שינויים משמעותיים בחייו בעקבות ההליך הטיפולי. הוא סיים את ההליך הטיפולי בהוסטל לפני הזמן בעקבות חשדות שעלו כנגדו על רקע מציאת סמים בהוסטל. </w:t>
      </w:r>
    </w:p>
    <w:p w14:paraId="29479C09" w14:textId="77777777" w:rsidR="00691E26" w:rsidRDefault="00691E26" w:rsidP="00691E26">
      <w:pPr>
        <w:pStyle w:val="ab"/>
        <w:spacing w:line="360" w:lineRule="auto"/>
        <w:jc w:val="both"/>
        <w:rPr>
          <w:rFonts w:ascii="David" w:hAnsi="David" w:cs="David"/>
          <w:sz w:val="24"/>
          <w:szCs w:val="24"/>
        </w:rPr>
      </w:pPr>
    </w:p>
    <w:p w14:paraId="3B39DECF" w14:textId="77777777" w:rsidR="00691E26" w:rsidRDefault="00691E26" w:rsidP="00691E26">
      <w:pPr>
        <w:pStyle w:val="ab"/>
        <w:numPr>
          <w:ilvl w:val="0"/>
          <w:numId w:val="2"/>
        </w:numPr>
        <w:spacing w:line="360" w:lineRule="auto"/>
        <w:jc w:val="both"/>
        <w:rPr>
          <w:rFonts w:ascii="David" w:hAnsi="David" w:cs="David"/>
          <w:sz w:val="24"/>
          <w:szCs w:val="24"/>
        </w:rPr>
      </w:pPr>
      <w:r>
        <w:rPr>
          <w:rFonts w:cs="David"/>
          <w:sz w:val="24"/>
          <w:szCs w:val="24"/>
          <w:rtl/>
        </w:rPr>
        <w:t>העולה מהתסקיר מגיל צעיר החל הנאשם לצרוך סמים ואהב את השפעת הסם על מצב רוחו וכמקור להרגעה, במהלך מאסרו שקע בדיכאון, התמכר לסבוטקס ו כדי להשיג סם זה בבית הסוהר היה צריך לשלם 500 ₪ כאשר מחוץ לכותלי בית הסוהר העלות הינה 20 ₪ ולכן, במהלך החופשה השיג הסם, לדבריו לשימוש עצמי בלבד, בכדי שלא יאלץ לשלם סכום גבוה יותר.</w:t>
      </w:r>
    </w:p>
    <w:p w14:paraId="3625875D" w14:textId="77777777" w:rsidR="00691E26" w:rsidRDefault="00691E26" w:rsidP="00691E26">
      <w:pPr>
        <w:pStyle w:val="ab"/>
        <w:rPr>
          <w:rFonts w:cs="David"/>
          <w:sz w:val="24"/>
          <w:szCs w:val="24"/>
        </w:rPr>
      </w:pPr>
    </w:p>
    <w:p w14:paraId="58C6BE4B" w14:textId="77777777" w:rsidR="00691E26" w:rsidRDefault="00691E26" w:rsidP="00691E26">
      <w:pPr>
        <w:pStyle w:val="ab"/>
        <w:numPr>
          <w:ilvl w:val="0"/>
          <w:numId w:val="2"/>
        </w:numPr>
        <w:spacing w:line="360" w:lineRule="auto"/>
        <w:jc w:val="both"/>
        <w:rPr>
          <w:rFonts w:ascii="David" w:hAnsi="David" w:cs="David"/>
          <w:sz w:val="24"/>
          <w:szCs w:val="24"/>
          <w:rtl/>
        </w:rPr>
      </w:pPr>
      <w:r>
        <w:rPr>
          <w:rFonts w:cs="David"/>
          <w:sz w:val="24"/>
          <w:szCs w:val="24"/>
          <w:rtl/>
        </w:rPr>
        <w:t xml:space="preserve">עוד עולה כי הנאשם חבר לחברה שולית, התמכר לסמים, הורשע במספר רב של עבירות מגוונות וריצה עונשים משמעותיים בדמות מאסר ממושך, החליף מספר רב של מסגרות תעסוקתיות וכן תחומי עיסוק, דבר המעיד על חוסר יציבות גם בתחום הזה. </w:t>
      </w:r>
    </w:p>
    <w:p w14:paraId="5B7F3656" w14:textId="77777777" w:rsidR="00691E26" w:rsidRDefault="00691E26" w:rsidP="00691E26">
      <w:pPr>
        <w:pStyle w:val="ab"/>
        <w:spacing w:line="360" w:lineRule="auto"/>
        <w:jc w:val="both"/>
        <w:rPr>
          <w:rFonts w:cs="David"/>
          <w:sz w:val="24"/>
          <w:szCs w:val="24"/>
          <w:rtl/>
        </w:rPr>
      </w:pPr>
    </w:p>
    <w:p w14:paraId="3A545B15" w14:textId="77777777" w:rsidR="00691E26" w:rsidRDefault="00691E26" w:rsidP="00691E26">
      <w:pPr>
        <w:pStyle w:val="ab"/>
        <w:numPr>
          <w:ilvl w:val="0"/>
          <w:numId w:val="2"/>
        </w:numPr>
        <w:spacing w:line="360" w:lineRule="auto"/>
        <w:jc w:val="both"/>
        <w:rPr>
          <w:rFonts w:cs="David"/>
          <w:sz w:val="24"/>
          <w:szCs w:val="24"/>
          <w:rtl/>
        </w:rPr>
      </w:pPr>
      <w:r>
        <w:rPr>
          <w:rFonts w:cs="David"/>
          <w:sz w:val="24"/>
          <w:szCs w:val="24"/>
          <w:rtl/>
        </w:rPr>
        <w:t xml:space="preserve">עם זאת, שירות המבחן התרשם כי מאז ביצע העבירה ועד היום, הנאשם שינה מסלול חייו הן בהתמדה בטיפול, חידוש הקשר עם בנו, לימוד אילוף כלבים והשקעה בהתפתחות אישית ומקצועית.  המלצת שירות המבחן הייתה להטיל על הנאשם צו מבחן למשך שנה, שבמהלכו יפקחו אחר מתן בדיקות שתן, שיעידו על המשך ניקיונו של הנאשם מסמים. נוסף לאמור, המליץ שירות המבחן על הטלת צו של"צ בהיקף של 120 שעות. לטענתם, כניסתו למאסר עלולה להוריד לטמיון מאמציו והישגיו, ולאור זאת הם ממליצים על הארכת המאסר המותנה בעניינו. </w:t>
      </w:r>
    </w:p>
    <w:p w14:paraId="5137064D" w14:textId="77777777" w:rsidR="00691E26" w:rsidRDefault="00691E26" w:rsidP="00691E26">
      <w:pPr>
        <w:pStyle w:val="ab"/>
        <w:spacing w:line="360" w:lineRule="auto"/>
        <w:jc w:val="both"/>
        <w:rPr>
          <w:rFonts w:ascii="David" w:hAnsi="David" w:cs="David"/>
          <w:sz w:val="24"/>
          <w:szCs w:val="24"/>
          <w:rtl/>
        </w:rPr>
      </w:pPr>
    </w:p>
    <w:p w14:paraId="46F9915D" w14:textId="77777777" w:rsidR="00691E26" w:rsidRDefault="00691E26" w:rsidP="00691E26">
      <w:pPr>
        <w:pStyle w:val="ab"/>
        <w:numPr>
          <w:ilvl w:val="0"/>
          <w:numId w:val="2"/>
        </w:numPr>
        <w:spacing w:line="360" w:lineRule="auto"/>
        <w:jc w:val="both"/>
        <w:rPr>
          <w:rFonts w:cs="David"/>
          <w:sz w:val="24"/>
          <w:szCs w:val="24"/>
        </w:rPr>
      </w:pPr>
      <w:r>
        <w:rPr>
          <w:rFonts w:cs="David"/>
          <w:sz w:val="24"/>
          <w:szCs w:val="24"/>
          <w:rtl/>
        </w:rPr>
        <w:t>בתסקיר מיום 17.08.23, במסגרת החלטה שיפוטית, הנאשם הוזמן לחמישה בדיקות שתן אשר נמצאו נקיות משרידי סם. שירות המבחן התרשם כי הנאשם מתאמץ לשמר את ההישגים הטיפוליים אליהם הגיע , נקי מסמים, מתפרנס בכוחות עצמו מעבודה, משכיר דירה ומשמש עבור בנו כאב משמעותי בחייו. לכן שירות המבחן שב וחזר על המלצתו כפי שהייתה בתסקיר מיום 23.4.23.</w:t>
      </w:r>
    </w:p>
    <w:p w14:paraId="6F4A6B02" w14:textId="77777777" w:rsidR="00691E26" w:rsidRDefault="00691E26" w:rsidP="00691E26">
      <w:pPr>
        <w:pStyle w:val="ab"/>
        <w:spacing w:line="360" w:lineRule="auto"/>
        <w:jc w:val="both"/>
        <w:rPr>
          <w:rFonts w:ascii="David" w:hAnsi="David" w:cs="David"/>
          <w:sz w:val="24"/>
          <w:szCs w:val="24"/>
        </w:rPr>
      </w:pPr>
    </w:p>
    <w:p w14:paraId="14F81DD8" w14:textId="77777777" w:rsidR="00691E26" w:rsidRDefault="00691E26" w:rsidP="00691E26">
      <w:pPr>
        <w:spacing w:line="360" w:lineRule="auto"/>
        <w:jc w:val="both"/>
        <w:rPr>
          <w:rFonts w:ascii="David" w:hAnsi="David"/>
          <w:b/>
          <w:bCs/>
        </w:rPr>
      </w:pPr>
      <w:r>
        <w:rPr>
          <w:rFonts w:ascii="David" w:hAnsi="David"/>
          <w:b/>
          <w:bCs/>
          <w:rtl/>
        </w:rPr>
        <w:t>הראיות לעונש:</w:t>
      </w:r>
    </w:p>
    <w:p w14:paraId="0D9DB386" w14:textId="77777777" w:rsidR="00691E26" w:rsidRDefault="00691E26" w:rsidP="00691E26">
      <w:pPr>
        <w:pStyle w:val="ab"/>
        <w:spacing w:line="360" w:lineRule="auto"/>
        <w:jc w:val="both"/>
        <w:rPr>
          <w:rFonts w:ascii="David" w:hAnsi="David" w:cs="David"/>
          <w:sz w:val="24"/>
          <w:szCs w:val="24"/>
          <w:rtl/>
        </w:rPr>
      </w:pPr>
      <w:r>
        <w:rPr>
          <w:rFonts w:ascii="David" w:hAnsi="David" w:cs="David"/>
          <w:sz w:val="24"/>
          <w:szCs w:val="24"/>
          <w:rtl/>
        </w:rPr>
        <w:t>מטעם המאשימה הוגשו רישומו הפלילי של הנאשם (</w:t>
      </w:r>
      <w:r>
        <w:rPr>
          <w:rFonts w:ascii="David" w:hAnsi="David" w:cs="David"/>
          <w:b/>
          <w:bCs/>
          <w:sz w:val="24"/>
          <w:szCs w:val="24"/>
          <w:rtl/>
        </w:rPr>
        <w:t>ת/1)</w:t>
      </w:r>
      <w:r>
        <w:rPr>
          <w:rFonts w:ascii="David" w:hAnsi="David" w:cs="David"/>
          <w:sz w:val="24"/>
          <w:szCs w:val="24"/>
          <w:rtl/>
        </w:rPr>
        <w:t xml:space="preserve"> וטיעוניה לעונש בכתב (</w:t>
      </w:r>
      <w:r>
        <w:rPr>
          <w:rFonts w:ascii="David" w:hAnsi="David" w:cs="David"/>
          <w:b/>
          <w:bCs/>
          <w:sz w:val="24"/>
          <w:szCs w:val="24"/>
          <w:rtl/>
        </w:rPr>
        <w:t>ת/2</w:t>
      </w:r>
      <w:r>
        <w:rPr>
          <w:rFonts w:ascii="David" w:hAnsi="David" w:cs="David"/>
          <w:sz w:val="24"/>
          <w:szCs w:val="24"/>
          <w:rtl/>
        </w:rPr>
        <w:t>).</w:t>
      </w:r>
    </w:p>
    <w:p w14:paraId="75FCDD2A" w14:textId="77777777" w:rsidR="00691E26" w:rsidRDefault="00691E26" w:rsidP="00691E26">
      <w:pPr>
        <w:pStyle w:val="ab"/>
        <w:spacing w:line="360" w:lineRule="auto"/>
        <w:jc w:val="both"/>
        <w:rPr>
          <w:rFonts w:ascii="David" w:hAnsi="David" w:cs="David"/>
          <w:sz w:val="24"/>
          <w:szCs w:val="24"/>
        </w:rPr>
      </w:pPr>
      <w:r>
        <w:rPr>
          <w:rFonts w:ascii="David" w:hAnsi="David" w:cs="David"/>
          <w:sz w:val="24"/>
          <w:szCs w:val="24"/>
          <w:rtl/>
        </w:rPr>
        <w:lastRenderedPageBreak/>
        <w:t xml:space="preserve">מטעם הנאשם לא הוגשו ראיות לעונש. </w:t>
      </w:r>
    </w:p>
    <w:p w14:paraId="00BD8B06" w14:textId="77777777" w:rsidR="00691E26" w:rsidRDefault="00691E26" w:rsidP="00691E26">
      <w:pPr>
        <w:pStyle w:val="ab"/>
        <w:spacing w:line="360" w:lineRule="auto"/>
        <w:jc w:val="both"/>
        <w:rPr>
          <w:rFonts w:ascii="David" w:hAnsi="David" w:cs="David"/>
          <w:sz w:val="24"/>
          <w:szCs w:val="24"/>
        </w:rPr>
      </w:pPr>
    </w:p>
    <w:p w14:paraId="028B14EA" w14:textId="77777777" w:rsidR="00691E26" w:rsidRDefault="00691E26" w:rsidP="00691E26">
      <w:pPr>
        <w:spacing w:line="360" w:lineRule="auto"/>
        <w:jc w:val="both"/>
        <w:rPr>
          <w:rFonts w:ascii="David" w:hAnsi="David"/>
          <w:b/>
          <w:bCs/>
        </w:rPr>
      </w:pPr>
      <w:r>
        <w:rPr>
          <w:rFonts w:ascii="David" w:hAnsi="David"/>
          <w:b/>
          <w:bCs/>
          <w:rtl/>
        </w:rPr>
        <w:t>תמצית טיעוני הצדדים:</w:t>
      </w:r>
    </w:p>
    <w:p w14:paraId="2CADFD2C" w14:textId="77777777" w:rsidR="00691E26" w:rsidRDefault="00691E26" w:rsidP="00691E26">
      <w:pPr>
        <w:spacing w:line="360" w:lineRule="auto"/>
        <w:jc w:val="both"/>
        <w:rPr>
          <w:rFonts w:ascii="David" w:hAnsi="David"/>
          <w:b/>
          <w:bCs/>
          <w:rtl/>
        </w:rPr>
      </w:pPr>
      <w:r>
        <w:rPr>
          <w:rFonts w:ascii="David" w:hAnsi="David"/>
          <w:b/>
          <w:bCs/>
          <w:rtl/>
        </w:rPr>
        <w:t>טיעוני המאשימה:</w:t>
      </w:r>
    </w:p>
    <w:p w14:paraId="29D64DBF" w14:textId="77777777" w:rsidR="00691E26" w:rsidRDefault="00691E26" w:rsidP="00691E26">
      <w:pPr>
        <w:pStyle w:val="ab"/>
        <w:numPr>
          <w:ilvl w:val="0"/>
          <w:numId w:val="2"/>
        </w:numPr>
        <w:spacing w:line="360" w:lineRule="auto"/>
        <w:jc w:val="both"/>
        <w:rPr>
          <w:rFonts w:ascii="David" w:hAnsi="David" w:cs="David"/>
          <w:b/>
          <w:bCs/>
          <w:sz w:val="24"/>
          <w:szCs w:val="24"/>
          <w:u w:val="single"/>
          <w:rtl/>
        </w:rPr>
      </w:pPr>
      <w:r>
        <w:rPr>
          <w:rFonts w:ascii="David" w:hAnsi="David" w:cs="David"/>
          <w:sz w:val="24"/>
          <w:szCs w:val="24"/>
          <w:rtl/>
        </w:rPr>
        <w:t xml:space="preserve">המאשימה עמדה על הערכים המוגנים בהם פגע הנאשם וטענה כי מידת הפגיעה הינה משמעותית בשל החזקת סמים קשים בכמות גדולה, בנסיבות החזקה חמורות של הכנסת סמים לכלא, לדידה, יש לקבוע מתחם ענישה שינוע מ- 10 חודשי מאסר ברף התחתון, ועד ל- 20 חודשי מאסר ברף העליון. יש לקחת בחשבון את סוג הסם- סם מסוג בופרנורפין, כמות הסם שנתפסה עליו הגדולה פי כמה מכמות הנחשבת לצריכה עצמית, נסיבות ההחזקה- בגופו של הנאשם בעת ששב מחופשה קצרה אותה קיבל כאסיר. עוד ציינה כי מדובר בנאשם בעל עבר פלילי רלוונטי, לחובת הנאשם הרשעות קודמות והוא ריצה 6 שנים בפועל, ובעת שהוא מרצה מאסר בתחום הסמים שב ומבצע עבירות סמים מסוג פשע. </w:t>
      </w:r>
    </w:p>
    <w:p w14:paraId="1D7171E4" w14:textId="77777777" w:rsidR="00691E26" w:rsidRDefault="00691E26" w:rsidP="00691E26">
      <w:pPr>
        <w:pStyle w:val="ab"/>
        <w:spacing w:line="360" w:lineRule="auto"/>
        <w:jc w:val="both"/>
        <w:rPr>
          <w:rFonts w:ascii="David" w:hAnsi="David" w:cs="David"/>
          <w:b/>
          <w:bCs/>
          <w:sz w:val="24"/>
          <w:szCs w:val="24"/>
          <w:u w:val="single"/>
        </w:rPr>
      </w:pPr>
    </w:p>
    <w:p w14:paraId="242AFD53" w14:textId="77777777" w:rsidR="00691E26" w:rsidRDefault="00691E26" w:rsidP="00691E26">
      <w:pPr>
        <w:pStyle w:val="ab"/>
        <w:numPr>
          <w:ilvl w:val="0"/>
          <w:numId w:val="2"/>
        </w:numPr>
        <w:spacing w:line="360" w:lineRule="auto"/>
        <w:jc w:val="both"/>
        <w:rPr>
          <w:rFonts w:ascii="David" w:hAnsi="David" w:cs="David"/>
          <w:b/>
          <w:bCs/>
          <w:sz w:val="24"/>
          <w:szCs w:val="24"/>
          <w:u w:val="single"/>
        </w:rPr>
      </w:pPr>
      <w:r>
        <w:rPr>
          <w:rFonts w:ascii="David" w:hAnsi="David" w:cs="David"/>
          <w:sz w:val="24"/>
          <w:szCs w:val="24"/>
          <w:rtl/>
        </w:rPr>
        <w:t xml:space="preserve">המלצת שירות המבחן עומדת בסטייה משמעותית וחריגה ממתחם העונש ההולם בשל נסיבות מחמירות של הסלקת הסמים בגופו של הנאשם בתוך הכלא. נוסף לאמור, הנאשם לא סיים את ההליך הטיפולי כי עלו חשדות כנגדו על החזקת סמים. ב"כ המאשימה טענה כי נוכח נסיבות התסקיר תסכים לגזור את עונשו ברף הבינוני לצד רכיבי ענישה נלווים ועתרה לענישה של מאסר מותנה בן 12 חודשיים למשך 3 שנים שלא יעבור עבירות סמים מסוג פשע, מאסר מותנה בן 6 חודשיים למשך 3 שנים שלא יעבור עבירות סמים מסוג עוון, פסילה בפועל לשיקול דעת ביהמ"ש, פסילה על תנאי, קנס מרתיע והתחייבות. </w:t>
      </w:r>
    </w:p>
    <w:p w14:paraId="204531E8" w14:textId="77777777" w:rsidR="00691E26" w:rsidRDefault="00691E26" w:rsidP="00691E26">
      <w:pPr>
        <w:spacing w:line="360" w:lineRule="auto"/>
        <w:ind w:left="360"/>
        <w:jc w:val="both"/>
        <w:rPr>
          <w:rFonts w:ascii="David" w:hAnsi="David"/>
          <w:b/>
          <w:bCs/>
          <w:u w:val="single"/>
        </w:rPr>
      </w:pPr>
      <w:r>
        <w:rPr>
          <w:rFonts w:ascii="David" w:hAnsi="David"/>
          <w:b/>
          <w:bCs/>
          <w:rtl/>
        </w:rPr>
        <w:t>טיעוני ב"כ הנאשם:</w:t>
      </w:r>
    </w:p>
    <w:p w14:paraId="19985DD3" w14:textId="77777777" w:rsidR="00691E26" w:rsidRDefault="00691E26" w:rsidP="00691E26">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ב"כ הנאשם, ביקש לאמץ המלצת שירות המבחן לצו של"צ בהיקף של 120 שעות, ואף הציע מספר שעות גדול יותר. ציין חלוף הזמן: העבירה התבצעה בפברואר 2019 וכתב האישום הוגש בסוף 2021.  הנאשם שוחרר שחרור מוקדם למרות הגשת כתב האישום. עוד ציין כי היה בהוסטל וסיים השהות בו בהצלחה והחשד לגביו שם היה כללי ולא ספציפי. הפנה לפסיקה ממנה עולה כי יש לחרוג מהמתחם כשאדם מפגין מוטיבציה להשתקם, עובר גמילה מהתמכרות, מביע חרטה ומשתלב באופן מוצלח בהליך טיפולי. </w:t>
      </w:r>
    </w:p>
    <w:p w14:paraId="05541CE5" w14:textId="77777777" w:rsidR="00691E26" w:rsidRDefault="00691E26" w:rsidP="00691E26">
      <w:pPr>
        <w:pStyle w:val="ab"/>
        <w:spacing w:line="360" w:lineRule="auto"/>
        <w:jc w:val="both"/>
        <w:rPr>
          <w:rFonts w:ascii="David" w:hAnsi="David" w:cs="David"/>
          <w:sz w:val="24"/>
          <w:szCs w:val="24"/>
        </w:rPr>
      </w:pPr>
    </w:p>
    <w:p w14:paraId="06E51FA0" w14:textId="77777777" w:rsidR="00691E26" w:rsidRDefault="00691E26" w:rsidP="00691E26">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 עוד צוין, כי חלפו שנתיים ולא נפתחו כנגד הנאשם תיקים נוספים דבר המשמש כאינדיקציה לשינוי משמעותי בחייו, כפי ששירות המבחן התרשם. </w:t>
      </w:r>
    </w:p>
    <w:p w14:paraId="1EFAEF38" w14:textId="77777777" w:rsidR="00691E26" w:rsidRDefault="00691E26" w:rsidP="00691E26">
      <w:pPr>
        <w:pStyle w:val="ab"/>
        <w:spacing w:line="360" w:lineRule="auto"/>
        <w:jc w:val="both"/>
        <w:rPr>
          <w:rFonts w:ascii="David" w:hAnsi="David" w:cs="David"/>
          <w:sz w:val="24"/>
          <w:szCs w:val="24"/>
        </w:rPr>
      </w:pPr>
    </w:p>
    <w:p w14:paraId="1BB7E803" w14:textId="77777777" w:rsidR="00691E26" w:rsidRDefault="00691E26" w:rsidP="00691E26">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הנאשם, הביע חרטה על מעשיו, ציין שהוא אב לילד. קיווה שביהמ"ש יראה את ההליך ההישרדותי שהוא עובר, והשינוי שחל בו מבן אדם שמכר בעבר סמים, וכיום הוא קם בבוקר לעבודה מסודרת, ומנסה לנהל אורח חיים תקין. </w:t>
      </w:r>
    </w:p>
    <w:p w14:paraId="794C80CF" w14:textId="77777777" w:rsidR="00691E26" w:rsidRDefault="00691E26" w:rsidP="00691E26">
      <w:pPr>
        <w:pStyle w:val="ab"/>
        <w:rPr>
          <w:rFonts w:ascii="David" w:hAnsi="David" w:cs="David"/>
          <w:sz w:val="24"/>
          <w:szCs w:val="24"/>
        </w:rPr>
      </w:pPr>
    </w:p>
    <w:p w14:paraId="06F672DC" w14:textId="77777777" w:rsidR="00691E26" w:rsidRDefault="00691E26" w:rsidP="00691E26">
      <w:pPr>
        <w:spacing w:line="360" w:lineRule="auto"/>
        <w:jc w:val="both"/>
        <w:rPr>
          <w:rFonts w:ascii="David" w:hAnsi="David"/>
          <w:b/>
          <w:bCs/>
          <w:rtl/>
        </w:rPr>
      </w:pPr>
      <w:r>
        <w:rPr>
          <w:rFonts w:ascii="David" w:hAnsi="David"/>
          <w:b/>
          <w:bCs/>
          <w:rtl/>
        </w:rPr>
        <w:t>קביעת מתחם העונש ההולם:</w:t>
      </w:r>
    </w:p>
    <w:p w14:paraId="37A12223" w14:textId="77777777" w:rsidR="00691E26" w:rsidRDefault="00691E26" w:rsidP="00691E26">
      <w:pPr>
        <w:pStyle w:val="ab"/>
        <w:numPr>
          <w:ilvl w:val="0"/>
          <w:numId w:val="2"/>
        </w:numPr>
        <w:spacing w:line="360" w:lineRule="auto"/>
        <w:jc w:val="both"/>
        <w:rPr>
          <w:rFonts w:cs="David"/>
          <w:sz w:val="24"/>
          <w:szCs w:val="24"/>
          <w:rtl/>
          <w:lang w:eastAsia="he-IL"/>
        </w:rPr>
      </w:pPr>
      <w:r>
        <w:rPr>
          <w:rFonts w:cs="David"/>
          <w:sz w:val="24"/>
          <w:szCs w:val="24"/>
          <w:rtl/>
          <w:lang w:eastAsia="he-IL"/>
        </w:rPr>
        <w:t>מתחם העונש ההולם למעשה העבירה נקבע בהתאם לעיקרון ההלימה ולפיו נדרש יחס הולם בין חומרת מעשה העבירה בנסיבותיו ומידת האשם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נסיבות הקשורות בביצוע העבירה.</w:t>
      </w:r>
    </w:p>
    <w:p w14:paraId="3BA765BE" w14:textId="77777777" w:rsidR="00691E26" w:rsidRDefault="00691E26" w:rsidP="00691E26">
      <w:pPr>
        <w:pStyle w:val="ab"/>
        <w:spacing w:line="360" w:lineRule="auto"/>
        <w:jc w:val="both"/>
        <w:rPr>
          <w:rFonts w:ascii="David" w:hAnsi="David" w:cs="David"/>
          <w:sz w:val="24"/>
          <w:szCs w:val="24"/>
          <w:highlight w:val="yellow"/>
          <w:lang w:eastAsia="he-IL"/>
        </w:rPr>
      </w:pPr>
    </w:p>
    <w:p w14:paraId="1FF6F960" w14:textId="77777777" w:rsidR="00691E26" w:rsidRDefault="00691E26" w:rsidP="00691E26">
      <w:pPr>
        <w:pStyle w:val="ab"/>
        <w:numPr>
          <w:ilvl w:val="0"/>
          <w:numId w:val="2"/>
        </w:numPr>
        <w:spacing w:line="360" w:lineRule="auto"/>
        <w:jc w:val="both"/>
        <w:rPr>
          <w:rFonts w:ascii="David" w:hAnsi="David" w:cs="David"/>
          <w:sz w:val="24"/>
          <w:szCs w:val="24"/>
          <w:lang w:eastAsia="he-IL"/>
        </w:rPr>
      </w:pPr>
      <w:r>
        <w:rPr>
          <w:rFonts w:ascii="David" w:hAnsi="David" w:cs="David"/>
          <w:sz w:val="24"/>
          <w:szCs w:val="24"/>
          <w:rtl/>
          <w:lang w:eastAsia="he-IL"/>
        </w:rPr>
        <w:t>הערכים המוגנים בעבירות סמים הם הגנה על בריאות הציבור, ועל שלומו הפיזי והנפשי מפני הנזקים הישירים והעקיפים הנגרמים עקב השימוש בסמים. חקיקת חוקי הסמים נועדה לעקור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60C99910" w14:textId="77777777" w:rsidR="00691E26" w:rsidRDefault="00691E26" w:rsidP="00691E26">
      <w:pPr>
        <w:pStyle w:val="ab"/>
        <w:rPr>
          <w:rFonts w:ascii="David" w:hAnsi="David" w:cs="David"/>
          <w:sz w:val="24"/>
          <w:szCs w:val="24"/>
          <w:lang w:eastAsia="he-IL"/>
        </w:rPr>
      </w:pPr>
    </w:p>
    <w:p w14:paraId="3101D5B4" w14:textId="77777777" w:rsidR="00691E26" w:rsidRDefault="00691E26" w:rsidP="00691E26">
      <w:pPr>
        <w:pStyle w:val="ab"/>
        <w:numPr>
          <w:ilvl w:val="0"/>
          <w:numId w:val="2"/>
        </w:numPr>
        <w:spacing w:line="360" w:lineRule="auto"/>
        <w:jc w:val="both"/>
        <w:rPr>
          <w:rFonts w:ascii="David" w:hAnsi="David" w:cs="David"/>
          <w:sz w:val="24"/>
          <w:szCs w:val="24"/>
          <w:rtl/>
          <w:lang w:eastAsia="he-IL"/>
        </w:rPr>
      </w:pPr>
      <w:r>
        <w:rPr>
          <w:rFonts w:ascii="David" w:hAnsi="David" w:cs="David"/>
          <w:sz w:val="24"/>
          <w:szCs w:val="24"/>
          <w:rtl/>
          <w:lang w:eastAsia="he-IL"/>
        </w:rPr>
        <w:t xml:space="preserve">נגזרות עבירה זו חולשות על תחומי החיים כולם, כמו גם המאבק והמלחמה מחויבת המציאות בנגע זה. ועדות כנסת, חקיקה לאורך השנים, ופוטנציאל האלימות בשל הכסף הקל הנקשר לעבירה זו מחייבים באותה מידה הגנה של ממש של החברה מפני עבירה זו והשלכותיה. </w:t>
      </w:r>
    </w:p>
    <w:p w14:paraId="2E701A88" w14:textId="77777777" w:rsidR="00691E26" w:rsidRDefault="00691E26" w:rsidP="00691E26">
      <w:pPr>
        <w:pStyle w:val="ab"/>
        <w:spacing w:line="360" w:lineRule="auto"/>
        <w:jc w:val="both"/>
        <w:rPr>
          <w:rFonts w:ascii="David" w:hAnsi="David" w:cs="David"/>
          <w:sz w:val="24"/>
          <w:szCs w:val="24"/>
          <w:highlight w:val="yellow"/>
          <w:lang w:eastAsia="he-IL"/>
        </w:rPr>
      </w:pPr>
    </w:p>
    <w:p w14:paraId="1DB69977" w14:textId="77777777" w:rsidR="00691E26" w:rsidRDefault="00691E26" w:rsidP="00691E26">
      <w:pPr>
        <w:pStyle w:val="ab"/>
        <w:numPr>
          <w:ilvl w:val="0"/>
          <w:numId w:val="2"/>
        </w:numPr>
        <w:spacing w:line="360" w:lineRule="auto"/>
        <w:jc w:val="both"/>
        <w:rPr>
          <w:rFonts w:ascii="David" w:hAnsi="David" w:cs="David"/>
          <w:sz w:val="24"/>
          <w:szCs w:val="24"/>
          <w:rtl/>
        </w:rPr>
      </w:pPr>
      <w:r>
        <w:rPr>
          <w:rFonts w:ascii="David" w:hAnsi="David" w:cs="David"/>
          <w:sz w:val="24"/>
          <w:szCs w:val="24"/>
          <w:rtl/>
        </w:rPr>
        <w:t>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w:t>
      </w:r>
    </w:p>
    <w:p w14:paraId="012A3DB4" w14:textId="77777777" w:rsidR="00691E26" w:rsidRDefault="00691E26" w:rsidP="00691E26">
      <w:pPr>
        <w:spacing w:after="200" w:line="360" w:lineRule="auto"/>
        <w:jc w:val="both"/>
        <w:rPr>
          <w:rFonts w:ascii="FrankRuehl" w:hAnsi="FrankRuehl"/>
        </w:rPr>
      </w:pPr>
      <w:r>
        <w:rPr>
          <w:rFonts w:ascii="David" w:hAnsi="David"/>
          <w:rtl/>
        </w:rPr>
        <w:t xml:space="preserve">לעניין זה ראו </w:t>
      </w:r>
      <w:hyperlink r:id="rId12" w:history="1">
        <w:r w:rsidR="00E417A5" w:rsidRPr="00E417A5">
          <w:rPr>
            <w:rFonts w:ascii="David" w:hAnsi="David"/>
            <w:color w:val="0000FF"/>
            <w:u w:val="single"/>
            <w:rtl/>
          </w:rPr>
          <w:t>ע"פ 972/11</w:t>
        </w:r>
      </w:hyperlink>
      <w:r>
        <w:rPr>
          <w:rFonts w:ascii="David" w:hAnsi="David"/>
          <w:rtl/>
        </w:rPr>
        <w:t xml:space="preserve"> </w:t>
      </w:r>
      <w:r>
        <w:rPr>
          <w:rFonts w:ascii="David" w:hAnsi="David"/>
          <w:b/>
          <w:bCs/>
          <w:rtl/>
        </w:rPr>
        <w:t xml:space="preserve">מדינת ישראל נגד יניב יונה </w:t>
      </w:r>
      <w:r>
        <w:rPr>
          <w:rFonts w:ascii="David" w:hAnsi="David"/>
          <w:rtl/>
        </w:rPr>
        <w:t>[פורסם במאגרים] (4.7.12) :</w:t>
      </w:r>
    </w:p>
    <w:p w14:paraId="4C8DE334" w14:textId="77777777" w:rsidR="00691E26" w:rsidRPr="00691E26" w:rsidRDefault="00691E26" w:rsidP="00691E26">
      <w:pPr>
        <w:pStyle w:val="ab"/>
        <w:spacing w:after="0" w:line="360" w:lineRule="auto"/>
        <w:ind w:left="2880" w:right="851"/>
        <w:jc w:val="both"/>
        <w:rPr>
          <w:rFonts w:ascii="Times New Roman" w:hAnsi="Times New Roman" w:cs="Times New Roman"/>
          <w:sz w:val="24"/>
          <w:szCs w:val="24"/>
          <w:rtl/>
        </w:rPr>
      </w:pPr>
      <w:r w:rsidRPr="00691E26">
        <w:rPr>
          <w:rFonts w:ascii="Times New Roman" w:hAnsi="Times New Roman" w:cs="Times New Roman"/>
          <w:sz w:val="24"/>
          <w:szCs w:val="24"/>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7A52204C" w14:textId="77777777" w:rsidR="00691E26" w:rsidRDefault="00691E26" w:rsidP="00691E26">
      <w:pPr>
        <w:ind w:left="1440" w:right="851"/>
        <w:jc w:val="both"/>
        <w:rPr>
          <w:rFonts w:ascii="FrankRuehl" w:hAnsi="FrankRuehl"/>
          <w:b/>
          <w:bCs/>
          <w:rtl/>
        </w:rPr>
      </w:pPr>
    </w:p>
    <w:p w14:paraId="3BAE0A2E" w14:textId="77777777" w:rsidR="00691E26" w:rsidRDefault="00691E26" w:rsidP="00691E26">
      <w:pPr>
        <w:pStyle w:val="ac"/>
        <w:numPr>
          <w:ilvl w:val="0"/>
          <w:numId w:val="2"/>
        </w:numPr>
        <w:rPr>
          <w:rtl/>
        </w:rPr>
      </w:pPr>
      <w:r>
        <w:rPr>
          <w:rFonts w:hint="cs"/>
          <w:rtl/>
        </w:rPr>
        <w:t>אשר לחומרה המיוחדת והערכים המוגנים הספציפיים, הנוגעים לעבירות שעניינן החדרת סמים לתוך כותלי בית-סוהר, ראוי לצטט היגדיו הנורמטיביים של בית-המשפט העליון ב</w:t>
      </w:r>
      <w:hyperlink r:id="rId13" w:history="1">
        <w:r w:rsidR="00E417A5" w:rsidRPr="00E417A5">
          <w:rPr>
            <w:color w:val="0000FF"/>
            <w:u w:val="single"/>
            <w:rtl/>
          </w:rPr>
          <w:t>ע"פ 3244/22</w:t>
        </w:r>
      </w:hyperlink>
      <w:r>
        <w:rPr>
          <w:rFonts w:hint="cs"/>
          <w:rtl/>
        </w:rPr>
        <w:t xml:space="preserve"> </w:t>
      </w:r>
      <w:r>
        <w:rPr>
          <w:rFonts w:hint="cs"/>
          <w:b/>
          <w:bCs/>
          <w:rtl/>
        </w:rPr>
        <w:t>מדינת ישראל נ' אלירן ערן</w:t>
      </w:r>
      <w:r>
        <w:rPr>
          <w:rFonts w:hint="cs"/>
          <w:rtl/>
        </w:rPr>
        <w:t xml:space="preserve"> (נבו 20.09.2022):</w:t>
      </w:r>
    </w:p>
    <w:p w14:paraId="1EC9693E" w14:textId="77777777" w:rsidR="00691E26" w:rsidRPr="00691E26" w:rsidRDefault="00691E26" w:rsidP="00691E26">
      <w:pPr>
        <w:pStyle w:val="ad"/>
        <w:spacing w:line="360" w:lineRule="auto"/>
        <w:ind w:left="2880"/>
        <w:rPr>
          <w:rFonts w:ascii="Times New Roman" w:hAnsi="Times New Roman" w:cs="Times New Roman"/>
          <w:i w:val="0"/>
          <w:iCs w:val="0"/>
          <w:rtl/>
        </w:rPr>
      </w:pPr>
      <w:r w:rsidRPr="00691E26">
        <w:rPr>
          <w:rFonts w:ascii="Times New Roman" w:hAnsi="Times New Roman" w:cs="Times New Roman"/>
          <w:i w:val="0"/>
          <w:iCs w:val="0"/>
          <w:rtl/>
        </w:rPr>
        <w:t>"חומרה של ממש נודעת אף לעבירות החדרת סמים וחומרים מסוכנים אסורים לבין כותלי בית הכלא, וביתר שאת, כשזו נעשית בידי סוהרים. אחוז משמעותי מהאסירים בבתי הכלא מרצים את עונשם בגין עבירות סמים ... וחלק ניכר מהאסירים מכורים לסמים בעודם בבית הכלא ... הברחת והחדרת חומרים מעין אלו לבתי הכלא פוגעת בהליך שיקומם של האסירים; משפיעה לרעה על הסדר והמשמעת הדרושים בבית הסוהר, באופן העלול לפגוע בזכויות האסירים עצמם ובאיכות החיים שלהם; מייצרת ומגבירה פשיעה בתוככי הכלא – ומחוצה לו; ומסכנת הלכה למעשה את הסוהרים והאסירים גם יחד"</w:t>
      </w:r>
    </w:p>
    <w:p w14:paraId="2FD743E5" w14:textId="77777777" w:rsidR="00691E26" w:rsidRDefault="00691E26" w:rsidP="00691E26">
      <w:pPr>
        <w:pStyle w:val="ac"/>
        <w:rPr>
          <w:rtl/>
        </w:rPr>
      </w:pPr>
    </w:p>
    <w:p w14:paraId="70546FE5" w14:textId="77777777" w:rsidR="00691E26" w:rsidRDefault="00691E26" w:rsidP="00691E26">
      <w:pPr>
        <w:spacing w:after="200" w:line="360" w:lineRule="auto"/>
        <w:jc w:val="both"/>
        <w:rPr>
          <w:rFonts w:ascii="David" w:hAnsi="David"/>
          <w:b/>
          <w:bCs/>
          <w:rtl/>
        </w:rPr>
      </w:pPr>
      <w:r>
        <w:rPr>
          <w:rFonts w:ascii="David" w:hAnsi="David"/>
          <w:b/>
          <w:bCs/>
          <w:rtl/>
        </w:rPr>
        <w:t>מדיניות הענישה הנוהגת:</w:t>
      </w:r>
    </w:p>
    <w:p w14:paraId="72559DDF" w14:textId="77777777" w:rsidR="00691E26" w:rsidRPr="00EF047F" w:rsidRDefault="00691E26" w:rsidP="00691E26">
      <w:pPr>
        <w:pStyle w:val="ab"/>
        <w:numPr>
          <w:ilvl w:val="0"/>
          <w:numId w:val="2"/>
        </w:numPr>
        <w:spacing w:line="360" w:lineRule="auto"/>
        <w:jc w:val="both"/>
        <w:rPr>
          <w:rFonts w:ascii="David" w:hAnsi="David" w:cs="David"/>
          <w:sz w:val="24"/>
          <w:szCs w:val="24"/>
          <w:lang w:eastAsia="he-IL"/>
        </w:rPr>
      </w:pPr>
      <w:r>
        <w:rPr>
          <w:rFonts w:ascii="David" w:hAnsi="David" w:cs="David"/>
          <w:sz w:val="24"/>
          <w:szCs w:val="24"/>
          <w:rtl/>
          <w:lang w:eastAsia="he-IL"/>
        </w:rPr>
        <w:t>פסיקת בתי המשפט מלמדת, כי במקרים שונים נקבעו מתחמי ענישה במנעד מסוים, שאינו מושפע אך ורק ממשקל הסמים, אלא גם מהנסיבות שברקע להחזקה.</w:t>
      </w:r>
    </w:p>
    <w:p w14:paraId="5996739D" w14:textId="77777777" w:rsidR="00691E26" w:rsidRDefault="00691E26" w:rsidP="00691E26">
      <w:pPr>
        <w:spacing w:line="360" w:lineRule="auto"/>
        <w:jc w:val="both"/>
        <w:rPr>
          <w:rFonts w:ascii="David" w:hAnsi="David"/>
          <w:rtl/>
          <w:lang w:eastAsia="he-IL"/>
        </w:rPr>
      </w:pPr>
    </w:p>
    <w:p w14:paraId="7BDE34C2" w14:textId="77777777" w:rsidR="00691E26" w:rsidRDefault="00691E26" w:rsidP="00691E26">
      <w:pPr>
        <w:pStyle w:val="-"/>
        <w:numPr>
          <w:ilvl w:val="0"/>
          <w:numId w:val="3"/>
        </w:numPr>
        <w:jc w:val="left"/>
      </w:pPr>
      <w:r>
        <w:rPr>
          <w:rFonts w:hint="cs"/>
          <w:rtl/>
        </w:rPr>
        <w:t>ב</w:t>
      </w:r>
      <w:hyperlink r:id="rId14" w:history="1">
        <w:r w:rsidR="00E417A5" w:rsidRPr="00E417A5">
          <w:rPr>
            <w:color w:val="0000FF"/>
            <w:u w:val="single"/>
            <w:rtl/>
          </w:rPr>
          <w:t>רע"פ 10361/08</w:t>
        </w:r>
      </w:hyperlink>
      <w:r>
        <w:rPr>
          <w:rFonts w:hint="cs"/>
          <w:rtl/>
        </w:rPr>
        <w:t xml:space="preserve"> </w:t>
      </w:r>
      <w:r>
        <w:rPr>
          <w:rFonts w:hint="cs"/>
          <w:b/>
          <w:bCs/>
          <w:rtl/>
        </w:rPr>
        <w:t>זלוצבסקי נ' מדינת ישראל</w:t>
      </w:r>
      <w:r>
        <w:rPr>
          <w:rFonts w:hint="cs"/>
          <w:rtl/>
        </w:rPr>
        <w:t xml:space="preserve"> (14.12.2008)- </w:t>
      </w:r>
    </w:p>
    <w:p w14:paraId="169AF7CE" w14:textId="77777777" w:rsidR="00691E26" w:rsidRDefault="00691E26" w:rsidP="00691E26">
      <w:pPr>
        <w:pStyle w:val="-"/>
        <w:rPr>
          <w:rtl/>
        </w:rPr>
      </w:pPr>
      <w:r>
        <w:rPr>
          <w:rFonts w:hint="cs"/>
          <w:rtl/>
        </w:rPr>
        <w:t>הנאשם הורשע על פי הודאתו בביצוע עבירות החזקת סם שלא לצריכה עצמית, ניסיון לסחר בסם וקשירת קשר לביצוע פשע, בכך שניסה להבריח 3.2 גרם הרואין לאסיר הנמצא בכלא. בשים לב לקיומו של עבר פלילי מכביד, נגזרו על הנאשם 18 חודשי מאסר והופעלו 9 חודשי מאסר מותנה במצטבר. ערעורו של הנאשם נדחה, ובדחותו את בקשת הרשות לערעור, חזר בית-המשפט העליון על הצורך בהחמרת הענישה:</w:t>
      </w:r>
    </w:p>
    <w:p w14:paraId="52216118" w14:textId="77777777" w:rsidR="00691E26" w:rsidRPr="00691E26" w:rsidRDefault="00691E26" w:rsidP="00691E26">
      <w:pPr>
        <w:pStyle w:val="ad"/>
        <w:spacing w:line="360" w:lineRule="auto"/>
        <w:ind w:left="3240"/>
        <w:rPr>
          <w:rFonts w:ascii="Times New Roman" w:hAnsi="Times New Roman" w:cs="Times New Roman"/>
          <w:i w:val="0"/>
          <w:iCs w:val="0"/>
        </w:rPr>
      </w:pPr>
      <w:r w:rsidRPr="00691E26">
        <w:rPr>
          <w:rFonts w:ascii="Times New Roman" w:hAnsi="Times New Roman" w:cs="Times New Roman"/>
          <w:i w:val="0"/>
          <w:iCs w:val="0"/>
          <w:rtl/>
        </w:rPr>
        <w:t>"המעשה בו הודה המערער הנו חמור, וההלכה הפסוקה קבעה לא אחת כי יש להחמיר בענישתם של עברייני סם, ומקל וחומר שיש לנהוג כך במי שמנסה להחדיר סמים אל תוך בתי-הכלא"</w:t>
      </w:r>
    </w:p>
    <w:p w14:paraId="6596A597" w14:textId="77777777" w:rsidR="00691E26" w:rsidRDefault="00691E26" w:rsidP="00691E26">
      <w:pPr>
        <w:pStyle w:val="a"/>
        <w:numPr>
          <w:ilvl w:val="0"/>
          <w:numId w:val="3"/>
        </w:numPr>
        <w:rPr>
          <w:rtl/>
        </w:rPr>
      </w:pPr>
      <w:r>
        <w:rPr>
          <w:rFonts w:hint="cs"/>
          <w:rtl/>
        </w:rPr>
        <w:t>ב</w:t>
      </w:r>
      <w:hyperlink r:id="rId15" w:history="1">
        <w:r w:rsidR="00E417A5" w:rsidRPr="00E417A5">
          <w:rPr>
            <w:color w:val="0000FF"/>
            <w:u w:val="single"/>
            <w:rtl/>
          </w:rPr>
          <w:t>עפ"ג (מחוזי מרכז) 10121-05-22</w:t>
        </w:r>
      </w:hyperlink>
      <w:r>
        <w:rPr>
          <w:rFonts w:hint="cs"/>
          <w:rtl/>
        </w:rPr>
        <w:t xml:space="preserve"> </w:t>
      </w:r>
      <w:r>
        <w:rPr>
          <w:rFonts w:hint="cs"/>
          <w:b/>
          <w:bCs/>
          <w:rtl/>
        </w:rPr>
        <w:t>שווכי נ' מדינת ישראל</w:t>
      </w:r>
      <w:r>
        <w:rPr>
          <w:rFonts w:hint="cs"/>
          <w:rtl/>
        </w:rPr>
        <w:t xml:space="preserve"> (לא פורסם, 8.3.23)</w:t>
      </w:r>
    </w:p>
    <w:p w14:paraId="5F5B83D2" w14:textId="77777777" w:rsidR="00691E26" w:rsidRDefault="00691E26" w:rsidP="00691E26">
      <w:pPr>
        <w:pStyle w:val="-"/>
        <w:rPr>
          <w:rtl/>
        </w:rPr>
      </w:pPr>
      <w:r>
        <w:rPr>
          <w:rFonts w:hint="cs"/>
          <w:rtl/>
        </w:rPr>
        <w:t xml:space="preserve">הנאשם הורשע על פי הודאתו בעבירת החזקת סם שלא לצריכה עצמית, בכך שבהיותו נתון תחת משמורת שב"ס, החזיק בתחתוניו 50 יחידות סם </w:t>
      </w:r>
      <w:r>
        <w:t>LSD</w:t>
      </w:r>
      <w:r>
        <w:rPr>
          <w:rFonts w:hint="cs"/>
          <w:rtl/>
        </w:rPr>
        <w:t xml:space="preserve">. המתחם שנקבע נע בין 8 ל-20 חודשי מאסר בפועל. מדובר בהרשעה יחידה בעבירות הסמים, הגם שמדובר במי שנכנס ויוצא מבתי-הסוהר במרבית ימיו הבוגרים, נגזרו על הנאשם 12 חודשי מאסר בפועל באופן מצטבר למאסרו הנוכחי. הערעור על גזר הדין נדחה. </w:t>
      </w:r>
    </w:p>
    <w:p w14:paraId="54DCF3B1" w14:textId="77777777" w:rsidR="00691E26" w:rsidRDefault="00691E26" w:rsidP="00691E26">
      <w:pPr>
        <w:pStyle w:val="a"/>
        <w:numPr>
          <w:ilvl w:val="0"/>
          <w:numId w:val="3"/>
        </w:numPr>
        <w:rPr>
          <w:rtl/>
        </w:rPr>
      </w:pPr>
      <w:r>
        <w:rPr>
          <w:rFonts w:hint="cs"/>
          <w:rtl/>
        </w:rPr>
        <w:t>ב</w:t>
      </w:r>
      <w:hyperlink r:id="rId16" w:history="1">
        <w:r w:rsidR="00E417A5" w:rsidRPr="00E417A5">
          <w:rPr>
            <w:color w:val="0000FF"/>
            <w:u w:val="single"/>
            <w:rtl/>
          </w:rPr>
          <w:t>ת"פ (שלום טב') 9841-04-09</w:t>
        </w:r>
      </w:hyperlink>
      <w:r>
        <w:rPr>
          <w:rFonts w:hint="cs"/>
          <w:rtl/>
        </w:rPr>
        <w:t xml:space="preserve"> </w:t>
      </w:r>
      <w:r>
        <w:rPr>
          <w:rFonts w:hint="cs"/>
          <w:b/>
          <w:bCs/>
          <w:rtl/>
        </w:rPr>
        <w:t>מדינת ישראל נ' מזאוי</w:t>
      </w:r>
      <w:r>
        <w:rPr>
          <w:rFonts w:hint="cs"/>
          <w:rtl/>
        </w:rPr>
        <w:t xml:space="preserve"> (נבו 18.11.2009)</w:t>
      </w:r>
    </w:p>
    <w:p w14:paraId="3B7DB66D" w14:textId="77777777" w:rsidR="00691E26" w:rsidRDefault="00691E26" w:rsidP="00691E26">
      <w:pPr>
        <w:pStyle w:val="-"/>
        <w:rPr>
          <w:rtl/>
        </w:rPr>
      </w:pPr>
      <w:r>
        <w:rPr>
          <w:rFonts w:hint="cs"/>
          <w:rtl/>
        </w:rPr>
        <w:t>הנאשם הורשע על פי הודאתו בעבירת החזקת סמים שלא לצריכה עצמית, בכך שהחזיק בכ-5 גרם חשיש בתוך כתלי בית-הסוהר. נקבע כי הנאשם קיבל הסמים לידיו מאת אחיו אשר הגיע לבקרו בבית-הכלא. בשים לב לעבר פלילי שכלל אך הרשעה אחת בעבירת אלימות, בית-משפט השלום גזר על הנאשם 12 חודשי מאסר, כך שמתוכם 8 חודשים הצטברו למאסר אותו ריצה באותה העת.</w:t>
      </w:r>
    </w:p>
    <w:p w14:paraId="60CC475E" w14:textId="77777777" w:rsidR="00691E26" w:rsidRDefault="00691E26" w:rsidP="00691E26">
      <w:pPr>
        <w:pStyle w:val="-"/>
        <w:rPr>
          <w:rtl/>
        </w:rPr>
      </w:pPr>
    </w:p>
    <w:p w14:paraId="17DABDD6" w14:textId="77777777" w:rsidR="00691E26" w:rsidRDefault="00691E26" w:rsidP="00691E26">
      <w:pPr>
        <w:pStyle w:val="-"/>
        <w:numPr>
          <w:ilvl w:val="0"/>
          <w:numId w:val="3"/>
        </w:numPr>
        <w:jc w:val="left"/>
        <w:rPr>
          <w:rtl/>
        </w:rPr>
      </w:pPr>
      <w:r>
        <w:rPr>
          <w:rFonts w:hint="cs"/>
          <w:rtl/>
        </w:rPr>
        <w:t>ב</w:t>
      </w:r>
      <w:hyperlink r:id="rId17" w:history="1">
        <w:r w:rsidR="00E417A5" w:rsidRPr="00E417A5">
          <w:rPr>
            <w:color w:val="0000FF"/>
            <w:u w:val="single"/>
            <w:rtl/>
          </w:rPr>
          <w:t>ע"פ (מחוזי נצרת) 1277/06</w:t>
        </w:r>
      </w:hyperlink>
      <w:r>
        <w:rPr>
          <w:rFonts w:hint="cs"/>
          <w:b/>
          <w:bCs/>
          <w:rtl/>
        </w:rPr>
        <w:t xml:space="preserve"> סחאר נ' מדינת ישראל</w:t>
      </w:r>
      <w:r>
        <w:rPr>
          <w:rFonts w:hint="cs"/>
          <w:rtl/>
        </w:rPr>
        <w:t xml:space="preserve"> (24.10.2006) הנאשם הורשע בעבירת החזקת סמים שלא לצריכה עצמית, בכך שבזמן שהותו בבית הסוהר כאסיר, החזיק ב-12 גרם הרואין בתוך כתלי בית-הסוהר. בעל עבר פלילי נרחב, בית-משפט השלום גזר על הנאשם 18 חודשי מאסר שמתוכם 15 חודשים הצטברו למאסר אותו ריצה באותה העת. בית-המשפט המחוזי דחה הטענות לעניין חומרת הענישה.</w:t>
      </w:r>
    </w:p>
    <w:p w14:paraId="3DB188AB" w14:textId="77777777" w:rsidR="00691E26" w:rsidRDefault="00691E26" w:rsidP="00691E26">
      <w:pPr>
        <w:pStyle w:val="-"/>
        <w:ind w:left="1578"/>
        <w:jc w:val="left"/>
      </w:pPr>
    </w:p>
    <w:p w14:paraId="5ED4DE5D" w14:textId="77777777" w:rsidR="00691E26" w:rsidRDefault="00691E26" w:rsidP="00691E26">
      <w:pPr>
        <w:pStyle w:val="ab"/>
        <w:numPr>
          <w:ilvl w:val="0"/>
          <w:numId w:val="3"/>
        </w:numPr>
        <w:spacing w:line="360" w:lineRule="auto"/>
        <w:jc w:val="both"/>
        <w:rPr>
          <w:rFonts w:ascii="David" w:hAnsi="David" w:cs="David"/>
          <w:sz w:val="24"/>
          <w:szCs w:val="24"/>
        </w:rPr>
      </w:pPr>
      <w:r>
        <w:rPr>
          <w:rFonts w:ascii="David" w:hAnsi="David" w:cs="David"/>
          <w:sz w:val="24"/>
          <w:szCs w:val="24"/>
          <w:rtl/>
        </w:rPr>
        <w:t>ב</w:t>
      </w:r>
      <w:hyperlink r:id="rId18" w:history="1">
        <w:r w:rsidR="00E417A5" w:rsidRPr="00E417A5">
          <w:rPr>
            <w:rFonts w:ascii="David" w:hAnsi="David" w:cs="David"/>
            <w:color w:val="0000FF"/>
            <w:sz w:val="24"/>
            <w:szCs w:val="24"/>
            <w:u w:val="single"/>
            <w:rtl/>
          </w:rPr>
          <w:t>ת"פ (שלום ב"ש) 61368-05-19</w:t>
        </w:r>
      </w:hyperlink>
      <w:r>
        <w:rPr>
          <w:rFonts w:ascii="David" w:hAnsi="David" w:cs="David"/>
          <w:sz w:val="24"/>
          <w:szCs w:val="24"/>
          <w:rtl/>
        </w:rPr>
        <w:t xml:space="preserve"> </w:t>
      </w:r>
      <w:r>
        <w:rPr>
          <w:rFonts w:ascii="David" w:hAnsi="David" w:cs="David"/>
          <w:b/>
          <w:bCs/>
          <w:sz w:val="24"/>
          <w:szCs w:val="24"/>
          <w:rtl/>
        </w:rPr>
        <w:t xml:space="preserve">מדינת ישראל נ' חדידה </w:t>
      </w:r>
      <w:r>
        <w:rPr>
          <w:rFonts w:ascii="David" w:hAnsi="David" w:cs="David"/>
          <w:sz w:val="24"/>
          <w:szCs w:val="24"/>
          <w:rtl/>
        </w:rPr>
        <w:t>(19.7.23, לא פורסם)</w:t>
      </w:r>
      <w:r>
        <w:rPr>
          <w:rFonts w:ascii="David" w:hAnsi="David" w:cs="David"/>
          <w:b/>
          <w:bCs/>
          <w:sz w:val="24"/>
          <w:szCs w:val="24"/>
          <w:rtl/>
        </w:rPr>
        <w:t xml:space="preserve"> </w:t>
      </w:r>
      <w:r>
        <w:rPr>
          <w:rFonts w:ascii="David" w:hAnsi="David" w:cs="David"/>
          <w:sz w:val="24"/>
          <w:szCs w:val="24"/>
          <w:rtl/>
        </w:rPr>
        <w:t xml:space="preserve">הנאשם הורשע בעבירת החזקת סמים שלא לצריכה עצמית, בכך שכשהביאו לו ציוד לבית הסוהר בהיותו אסיר הוסלקו בתוך מכנסיו שתי יחידות סם מסוכן מסוג בופרנורפין במשקל 10.0282 גרם. נגזר על הנאשם 16 חודשי מאסר בפועל אשר מתוכם 12 יצטברו במלואם לכל עונש אחר אותו מרצה הנאשם, מאסר מותנה וקנס כספי. </w:t>
      </w:r>
    </w:p>
    <w:p w14:paraId="27637240" w14:textId="77777777" w:rsidR="00691E26" w:rsidRDefault="00691E26" w:rsidP="00691E26">
      <w:pPr>
        <w:pStyle w:val="ab"/>
        <w:spacing w:line="360" w:lineRule="auto"/>
        <w:ind w:left="1578"/>
        <w:rPr>
          <w:rFonts w:ascii="David" w:hAnsi="David" w:cs="David"/>
          <w:sz w:val="24"/>
          <w:szCs w:val="24"/>
        </w:rPr>
      </w:pPr>
    </w:p>
    <w:p w14:paraId="2D22BA46" w14:textId="77777777" w:rsidR="00691E26" w:rsidRDefault="00691E26" w:rsidP="00691E26">
      <w:pPr>
        <w:pStyle w:val="ab"/>
        <w:numPr>
          <w:ilvl w:val="0"/>
          <w:numId w:val="3"/>
        </w:numPr>
        <w:spacing w:line="360" w:lineRule="auto"/>
        <w:jc w:val="both"/>
        <w:rPr>
          <w:rFonts w:ascii="David" w:hAnsi="David" w:cs="David"/>
          <w:sz w:val="24"/>
          <w:szCs w:val="24"/>
        </w:rPr>
      </w:pPr>
      <w:r>
        <w:rPr>
          <w:rFonts w:ascii="David" w:hAnsi="David" w:cs="David"/>
          <w:sz w:val="24"/>
          <w:szCs w:val="24"/>
          <w:rtl/>
        </w:rPr>
        <w:t>ב</w:t>
      </w:r>
      <w:hyperlink r:id="rId19" w:history="1">
        <w:r w:rsidR="00E417A5" w:rsidRPr="00E417A5">
          <w:rPr>
            <w:rFonts w:ascii="David" w:hAnsi="David" w:cs="David"/>
            <w:color w:val="0000FF"/>
            <w:sz w:val="24"/>
            <w:szCs w:val="24"/>
            <w:u w:val="single"/>
            <w:rtl/>
          </w:rPr>
          <w:t>ת"פ (נת') 16312-10-12</w:t>
        </w:r>
      </w:hyperlink>
      <w:r>
        <w:rPr>
          <w:rFonts w:ascii="David" w:hAnsi="David" w:cs="David"/>
          <w:sz w:val="24"/>
          <w:szCs w:val="24"/>
          <w:rtl/>
        </w:rPr>
        <w:t xml:space="preserve"> </w:t>
      </w:r>
      <w:r>
        <w:rPr>
          <w:rFonts w:ascii="David" w:hAnsi="David" w:cs="David"/>
          <w:b/>
          <w:bCs/>
          <w:sz w:val="24"/>
          <w:szCs w:val="24"/>
          <w:rtl/>
        </w:rPr>
        <w:t>מדינת ישראל נ' ואקים</w:t>
      </w:r>
      <w:r>
        <w:rPr>
          <w:rFonts w:ascii="David" w:hAnsi="David" w:cs="David"/>
          <w:sz w:val="24"/>
          <w:szCs w:val="24"/>
          <w:rtl/>
        </w:rPr>
        <w:t xml:space="preserve"> (29.6.2016) הנאשם הורשע על פי הודאתו בשני כתבי אישום המייחסים לו עבירות של החזקת סמים בזמן ריצוי עונשו:</w:t>
      </w:r>
      <w:r>
        <w:rPr>
          <w:rtl/>
        </w:rPr>
        <w:t xml:space="preserve"> </w:t>
      </w:r>
      <w:r>
        <w:rPr>
          <w:rFonts w:ascii="David" w:hAnsi="David" w:cs="David"/>
          <w:sz w:val="24"/>
          <w:szCs w:val="24"/>
          <w:rtl/>
        </w:rPr>
        <w:t xml:space="preserve">הירואין במשקל 12.246 גרם נטו בעבירה זו הורשע בהחזקת סם שלא לצריכה עצמית  וסם מסוכן מסוג בופרנורפין במשקל של 0.1099 גרם נטו שבעבירה זו הורשע בהחזקת סם לצריכה עצמית, נקבע מתם ענישה שנע בין 10-24 חודשי מאסר בפועל ונגזר על הנאשם 12 חודשי מאסר בפועל, הפעלת מאסר מותנה ומאסר מותנה. </w:t>
      </w:r>
    </w:p>
    <w:p w14:paraId="2850CBAC" w14:textId="77777777" w:rsidR="00691E26" w:rsidRDefault="00691E26" w:rsidP="00691E26">
      <w:pPr>
        <w:pStyle w:val="ab"/>
        <w:rPr>
          <w:rFonts w:ascii="David" w:hAnsi="David" w:cs="David"/>
          <w:sz w:val="24"/>
          <w:szCs w:val="24"/>
        </w:rPr>
      </w:pPr>
    </w:p>
    <w:p w14:paraId="3EA260D3" w14:textId="77777777" w:rsidR="00691E26" w:rsidRDefault="00691E26" w:rsidP="00691E26">
      <w:pPr>
        <w:pStyle w:val="ab"/>
        <w:spacing w:line="360" w:lineRule="auto"/>
        <w:ind w:left="1578"/>
        <w:jc w:val="both"/>
        <w:rPr>
          <w:rFonts w:ascii="David" w:hAnsi="David" w:cs="David"/>
          <w:sz w:val="24"/>
          <w:szCs w:val="24"/>
          <w:rtl/>
        </w:rPr>
      </w:pPr>
    </w:p>
    <w:p w14:paraId="7669423C" w14:textId="77777777" w:rsidR="00691E26" w:rsidRDefault="00691E26" w:rsidP="00691E26">
      <w:pPr>
        <w:pStyle w:val="ab"/>
        <w:numPr>
          <w:ilvl w:val="0"/>
          <w:numId w:val="3"/>
        </w:numPr>
        <w:spacing w:line="360" w:lineRule="auto"/>
        <w:jc w:val="both"/>
        <w:rPr>
          <w:rFonts w:ascii="David" w:hAnsi="David" w:cs="David"/>
          <w:sz w:val="24"/>
          <w:szCs w:val="24"/>
          <w:rtl/>
        </w:rPr>
      </w:pPr>
      <w:r>
        <w:rPr>
          <w:rFonts w:ascii="David" w:hAnsi="David" w:cs="David"/>
          <w:sz w:val="24"/>
          <w:szCs w:val="24"/>
          <w:rtl/>
        </w:rPr>
        <w:t>ב</w:t>
      </w:r>
      <w:hyperlink r:id="rId20" w:history="1">
        <w:r w:rsidR="00E417A5" w:rsidRPr="00E417A5">
          <w:rPr>
            <w:rFonts w:ascii="David" w:hAnsi="David" w:cs="David"/>
            <w:color w:val="0000FF"/>
            <w:sz w:val="24"/>
            <w:szCs w:val="24"/>
            <w:u w:val="single"/>
            <w:rtl/>
          </w:rPr>
          <w:t>ת"פ (שלום ב"ש) 50474-02-21</w:t>
        </w:r>
      </w:hyperlink>
      <w:r>
        <w:rPr>
          <w:rFonts w:ascii="David" w:hAnsi="David" w:cs="David"/>
          <w:sz w:val="24"/>
          <w:szCs w:val="24"/>
          <w:rtl/>
        </w:rPr>
        <w:t xml:space="preserve"> </w:t>
      </w:r>
      <w:r>
        <w:rPr>
          <w:rFonts w:ascii="David" w:hAnsi="David" w:cs="David"/>
          <w:b/>
          <w:bCs/>
          <w:sz w:val="24"/>
          <w:szCs w:val="24"/>
          <w:rtl/>
        </w:rPr>
        <w:t>מדינת ישראל נ' ביטון</w:t>
      </w:r>
      <w:r>
        <w:rPr>
          <w:rFonts w:ascii="David" w:hAnsi="David" w:cs="David"/>
          <w:sz w:val="24"/>
          <w:szCs w:val="24"/>
          <w:rtl/>
        </w:rPr>
        <w:t xml:space="preserve"> (05.03.2023) כבוד השופט רון סולקין קבע מתחם ענישה שינוע בין 12 ל24 חודשי מאסר בפועל וגזר על הנאשם שהחזיק בכלא 60 גרם חשיש ו48 יחידות סם מסוכן מסוג בופרנורפין : 8 חודשי מאסר בפועל, מאסר מותנה, קנס בסך 3000 ₪, פסילת רישיון בפועל ועל תנאי. </w:t>
      </w:r>
    </w:p>
    <w:p w14:paraId="3F1EF1DB" w14:textId="77777777" w:rsidR="00691E26" w:rsidRDefault="00691E26" w:rsidP="00691E26">
      <w:pPr>
        <w:pStyle w:val="ab"/>
        <w:spacing w:line="360" w:lineRule="auto"/>
        <w:ind w:left="1578"/>
        <w:jc w:val="both"/>
        <w:rPr>
          <w:rFonts w:ascii="David" w:hAnsi="David" w:cs="David"/>
          <w:sz w:val="24"/>
          <w:szCs w:val="24"/>
        </w:rPr>
      </w:pPr>
    </w:p>
    <w:p w14:paraId="2131345B" w14:textId="77777777" w:rsidR="00691E26" w:rsidRDefault="00691E26" w:rsidP="00691E26">
      <w:pPr>
        <w:spacing w:line="360" w:lineRule="auto"/>
        <w:jc w:val="both"/>
        <w:rPr>
          <w:rFonts w:ascii="David" w:hAnsi="David"/>
          <w:b/>
          <w:bCs/>
          <w:rtl/>
        </w:rPr>
      </w:pPr>
      <w:r>
        <w:rPr>
          <w:rFonts w:ascii="David" w:hAnsi="David"/>
          <w:b/>
          <w:bCs/>
          <w:rtl/>
        </w:rPr>
        <w:t>הנסיבות הקשורות בביצוע העבירה</w:t>
      </w:r>
    </w:p>
    <w:p w14:paraId="77B239B5" w14:textId="77777777" w:rsidR="00691E26" w:rsidRDefault="00691E26" w:rsidP="00691E26">
      <w:pPr>
        <w:pStyle w:val="ab"/>
        <w:numPr>
          <w:ilvl w:val="0"/>
          <w:numId w:val="2"/>
        </w:numPr>
        <w:spacing w:line="360" w:lineRule="auto"/>
        <w:jc w:val="both"/>
        <w:rPr>
          <w:rFonts w:ascii="David" w:hAnsi="David" w:cs="David"/>
          <w:b/>
          <w:bCs/>
          <w:sz w:val="24"/>
          <w:szCs w:val="24"/>
          <w:u w:val="single"/>
        </w:rPr>
      </w:pPr>
      <w:r>
        <w:rPr>
          <w:rFonts w:ascii="David" w:hAnsi="David" w:cs="David"/>
          <w:sz w:val="24"/>
          <w:szCs w:val="24"/>
          <w:rtl/>
        </w:rPr>
        <w:t xml:space="preserve">הנאשם החזיק בסם  בכמות גדולה 70 כדורים של סמים כאמור בכתב האישום בו הודה . אין המדובר בכמות זניחה, אלא כמות המחמירה את נסיבות ביצוע העבירה. </w:t>
      </w:r>
    </w:p>
    <w:p w14:paraId="0B5CCCDE" w14:textId="77777777" w:rsidR="00691E26" w:rsidRDefault="00691E26" w:rsidP="00691E26">
      <w:pPr>
        <w:pStyle w:val="ab"/>
        <w:spacing w:line="360" w:lineRule="auto"/>
        <w:jc w:val="both"/>
        <w:rPr>
          <w:rFonts w:ascii="David" w:hAnsi="David" w:cs="David"/>
          <w:b/>
          <w:bCs/>
          <w:sz w:val="24"/>
          <w:szCs w:val="24"/>
          <w:u w:val="single"/>
        </w:rPr>
      </w:pPr>
    </w:p>
    <w:p w14:paraId="022C1AB9" w14:textId="77777777" w:rsidR="00691E26" w:rsidRDefault="00691E26" w:rsidP="00691E26">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הנאשם היה מודע לאיסור הפלילי והמוסרי שלצד העבירה, וזו נסיבה מחמירה. </w:t>
      </w:r>
    </w:p>
    <w:p w14:paraId="7109D5EA" w14:textId="77777777" w:rsidR="00691E26" w:rsidRDefault="00691E26" w:rsidP="00691E26">
      <w:pPr>
        <w:pStyle w:val="ab"/>
        <w:rPr>
          <w:rFonts w:ascii="David" w:hAnsi="David" w:cs="David"/>
          <w:sz w:val="24"/>
          <w:szCs w:val="24"/>
        </w:rPr>
      </w:pPr>
    </w:p>
    <w:p w14:paraId="21606062" w14:textId="77777777" w:rsidR="00691E26" w:rsidRDefault="00691E26" w:rsidP="00691E26">
      <w:pPr>
        <w:pStyle w:val="ab"/>
        <w:spacing w:line="360" w:lineRule="auto"/>
        <w:jc w:val="both"/>
        <w:rPr>
          <w:rFonts w:ascii="David" w:hAnsi="David" w:cs="David"/>
          <w:sz w:val="24"/>
          <w:szCs w:val="24"/>
          <w:rtl/>
        </w:rPr>
      </w:pPr>
    </w:p>
    <w:p w14:paraId="095E4913" w14:textId="77777777" w:rsidR="00691E26" w:rsidRDefault="00691E26" w:rsidP="00691E26">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התכנון שקדם לביצוע העבירה: ניסיון החדרת הסמים לבית-הסוהר בענייננו מתוכנן היטב ומתוחכם, שכן מדובר בנאשם אשר החזיק 70 טבליות של סם שנפלטו מגופו בצואה. התעוזה מלמדת על האופי העברייני, ועל המסוכנות לחברה  ביחס למי שגם בית הכלא אינו רמזור אדום עבורו. </w:t>
      </w:r>
    </w:p>
    <w:p w14:paraId="01261D98" w14:textId="77777777" w:rsidR="00691E26" w:rsidRDefault="00691E26" w:rsidP="00691E26">
      <w:pPr>
        <w:pStyle w:val="ab"/>
        <w:spacing w:line="360" w:lineRule="auto"/>
        <w:jc w:val="both"/>
        <w:rPr>
          <w:rFonts w:ascii="David" w:hAnsi="David" w:cs="David"/>
          <w:sz w:val="24"/>
          <w:szCs w:val="24"/>
        </w:rPr>
      </w:pPr>
    </w:p>
    <w:p w14:paraId="2E4A12D5" w14:textId="77777777" w:rsidR="00691E26" w:rsidRDefault="00691E26" w:rsidP="00691E26">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מי שמכניס סמים לכלא אינו רואה את החוק לנגד עיניו. מי שמחזיק סמים בגופו, מבקש להונות את רשויות המדינה. מי שרואה את שלט הכניסה לכלא ועובר אותה משפחת עבירות בשלן בא בשערי הכלא, קורא דרור לביצוע עבירה זו, מעיד על זילות ולעג כלפי החוק ואוכפיו. </w:t>
      </w:r>
    </w:p>
    <w:p w14:paraId="6AC13B36" w14:textId="77777777" w:rsidR="00691E26" w:rsidRDefault="00691E26" w:rsidP="00691E26">
      <w:pPr>
        <w:pStyle w:val="ab"/>
        <w:spacing w:line="360" w:lineRule="auto"/>
        <w:ind w:firstLine="60"/>
        <w:jc w:val="both"/>
        <w:rPr>
          <w:rFonts w:ascii="David" w:hAnsi="David" w:cs="David"/>
          <w:sz w:val="24"/>
          <w:szCs w:val="24"/>
        </w:rPr>
      </w:pPr>
    </w:p>
    <w:p w14:paraId="1209770D" w14:textId="77777777" w:rsidR="00691E26" w:rsidRDefault="00691E26" w:rsidP="00691E26">
      <w:pPr>
        <w:pStyle w:val="ab"/>
        <w:numPr>
          <w:ilvl w:val="0"/>
          <w:numId w:val="2"/>
        </w:numPr>
        <w:spacing w:line="360" w:lineRule="auto"/>
        <w:jc w:val="both"/>
        <w:rPr>
          <w:rFonts w:ascii="David" w:hAnsi="David" w:cs="David"/>
          <w:sz w:val="24"/>
          <w:szCs w:val="24"/>
          <w:rtl/>
        </w:rPr>
      </w:pPr>
      <w:r>
        <w:rPr>
          <w:rFonts w:ascii="David" w:hAnsi="David" w:cs="David"/>
          <w:sz w:val="24"/>
          <w:szCs w:val="24"/>
          <w:rtl/>
        </w:rPr>
        <w:t>מדובר בסם מסוכן, מהסוגים החמורים הקיימים ולכן תחשב כנסיבה מחמירה יותר.</w:t>
      </w:r>
    </w:p>
    <w:p w14:paraId="1028E33A" w14:textId="77777777" w:rsidR="00691E26" w:rsidRDefault="00691E26" w:rsidP="00691E26">
      <w:pPr>
        <w:pStyle w:val="ab"/>
        <w:rPr>
          <w:rFonts w:ascii="David" w:hAnsi="David" w:cs="David"/>
          <w:sz w:val="24"/>
          <w:szCs w:val="24"/>
        </w:rPr>
      </w:pPr>
    </w:p>
    <w:p w14:paraId="0BA1CFB6" w14:textId="77777777" w:rsidR="00691E26" w:rsidRDefault="00691E26" w:rsidP="00691E26">
      <w:pPr>
        <w:pStyle w:val="ab"/>
        <w:spacing w:line="360" w:lineRule="auto"/>
        <w:jc w:val="both"/>
        <w:rPr>
          <w:rFonts w:ascii="David" w:hAnsi="David" w:cs="David"/>
          <w:sz w:val="24"/>
          <w:szCs w:val="24"/>
          <w:rtl/>
        </w:rPr>
      </w:pPr>
    </w:p>
    <w:p w14:paraId="59AA2FF7" w14:textId="77777777" w:rsidR="00691E26" w:rsidRDefault="00691E26" w:rsidP="00691E26">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לא הוכח כי הנאשם לא היה מודע למעשיו, או לפסול בהם. נהפוך הוא, הנאשם הודה כי החזיק הסמים במודע  מטעמים כספיים. נכון הוא כי הודאתו פועלת גם לטובתו כמי שחסך מזמנו של בית המשפט וקיבל על עצמו את הדין, אולם הימצאות הסמים בגופו וטיבם מעשה חמור הוא בראייתו של האינטרס הציבורי . </w:t>
      </w:r>
    </w:p>
    <w:p w14:paraId="70FEEF11" w14:textId="77777777" w:rsidR="00691E26" w:rsidRDefault="00691E26" w:rsidP="00691E26">
      <w:pPr>
        <w:pStyle w:val="ab"/>
        <w:spacing w:line="360" w:lineRule="auto"/>
        <w:jc w:val="both"/>
        <w:rPr>
          <w:rFonts w:ascii="David" w:hAnsi="David" w:cs="David"/>
          <w:sz w:val="24"/>
          <w:szCs w:val="24"/>
        </w:rPr>
      </w:pPr>
    </w:p>
    <w:p w14:paraId="7F26654B" w14:textId="77777777" w:rsidR="00691E26" w:rsidRDefault="00691E26" w:rsidP="00691E26">
      <w:pPr>
        <w:pStyle w:val="ab"/>
        <w:numPr>
          <w:ilvl w:val="0"/>
          <w:numId w:val="2"/>
        </w:numPr>
        <w:spacing w:line="360" w:lineRule="auto"/>
        <w:jc w:val="both"/>
        <w:rPr>
          <w:rFonts w:ascii="David" w:hAnsi="David" w:cs="David"/>
          <w:sz w:val="24"/>
          <w:szCs w:val="24"/>
        </w:rPr>
      </w:pPr>
      <w:r>
        <w:rPr>
          <w:rFonts w:ascii="David" w:hAnsi="David" w:cs="David"/>
          <w:sz w:val="24"/>
          <w:szCs w:val="24"/>
          <w:rtl/>
        </w:rPr>
        <w:t>הנזק שהיה צפוי להיגרם מביצוע העבירה (פוטנציאל הנזק) בדגש על הכנסתו לבית הכלא שם סמים הם מצרך מבוקש ביותר,  כאשר בענייננו מדובר ב-70 טבליות של סם מסוג בופרנורפין סם ממשפחת האופיואידים , משמעותי ביותר.</w:t>
      </w:r>
    </w:p>
    <w:p w14:paraId="7F08F3D7" w14:textId="77777777" w:rsidR="00691E26" w:rsidRDefault="00691E26" w:rsidP="00691E26">
      <w:pPr>
        <w:pStyle w:val="ab"/>
        <w:rPr>
          <w:rFonts w:ascii="David" w:hAnsi="David" w:cs="David"/>
          <w:sz w:val="24"/>
          <w:szCs w:val="24"/>
        </w:rPr>
      </w:pPr>
    </w:p>
    <w:p w14:paraId="157F7A37" w14:textId="77777777" w:rsidR="00691E26" w:rsidRDefault="00691E26" w:rsidP="00691E26">
      <w:pPr>
        <w:pStyle w:val="ab"/>
        <w:spacing w:line="360" w:lineRule="auto"/>
        <w:jc w:val="both"/>
        <w:rPr>
          <w:rFonts w:ascii="David" w:hAnsi="David" w:cs="David"/>
          <w:sz w:val="24"/>
          <w:szCs w:val="24"/>
          <w:rtl/>
        </w:rPr>
      </w:pPr>
    </w:p>
    <w:p w14:paraId="5680543D" w14:textId="77777777" w:rsidR="00691E26" w:rsidRDefault="00691E26" w:rsidP="00691E26">
      <w:pPr>
        <w:pStyle w:val="ab"/>
        <w:numPr>
          <w:ilvl w:val="0"/>
          <w:numId w:val="2"/>
        </w:numPr>
        <w:spacing w:line="360" w:lineRule="auto"/>
        <w:jc w:val="both"/>
        <w:rPr>
          <w:rFonts w:ascii="David" w:hAnsi="David" w:cs="David"/>
          <w:sz w:val="24"/>
          <w:szCs w:val="24"/>
          <w:rtl/>
        </w:rPr>
      </w:pPr>
      <w:r>
        <w:rPr>
          <w:rFonts w:cs="David"/>
          <w:sz w:val="24"/>
          <w:szCs w:val="24"/>
          <w:rtl/>
        </w:rPr>
        <w:t xml:space="preserve">מכל המפורט לעיל ולאחר ההתאמות הנדרשות ביחס לכמות הסם שנתפס ברשות הנאשם וסוגו, סבורני כי מתחם הענישה ההולם לעבירה אותה ביצע הנאשם בנסיבות המתוארות נע בין 10-20 חודשי מאסר בפועל, ובצמוד לכך מאסר על תנאי ורכיבי ענישה נוספים. </w:t>
      </w:r>
    </w:p>
    <w:p w14:paraId="142C9436" w14:textId="77777777" w:rsidR="00691E26" w:rsidRDefault="00691E26" w:rsidP="00691E26">
      <w:pPr>
        <w:pStyle w:val="ab"/>
        <w:spacing w:line="360" w:lineRule="auto"/>
        <w:jc w:val="both"/>
        <w:rPr>
          <w:rFonts w:ascii="David" w:hAnsi="David" w:cs="David"/>
          <w:sz w:val="24"/>
          <w:szCs w:val="24"/>
          <w:rtl/>
        </w:rPr>
      </w:pPr>
    </w:p>
    <w:p w14:paraId="0D3E8C40" w14:textId="77777777" w:rsidR="00691E26" w:rsidRDefault="00691E26" w:rsidP="00691E26">
      <w:pPr>
        <w:spacing w:line="360" w:lineRule="auto"/>
        <w:jc w:val="both"/>
        <w:rPr>
          <w:rFonts w:ascii="Calibri" w:hAnsi="Calibri"/>
          <w:b/>
          <w:bCs/>
          <w:rtl/>
        </w:rPr>
      </w:pPr>
      <w:r>
        <w:rPr>
          <w:b/>
          <w:bCs/>
          <w:rtl/>
        </w:rPr>
        <w:t xml:space="preserve">בחינת הנסיבות שאינן קשורות בביצוע העבירה: </w:t>
      </w:r>
    </w:p>
    <w:p w14:paraId="3397224E" w14:textId="77777777" w:rsidR="00691E26" w:rsidRDefault="00691E26" w:rsidP="00691E26">
      <w:pPr>
        <w:pStyle w:val="ab"/>
        <w:numPr>
          <w:ilvl w:val="0"/>
          <w:numId w:val="2"/>
        </w:numPr>
        <w:spacing w:line="360" w:lineRule="auto"/>
        <w:jc w:val="both"/>
        <w:rPr>
          <w:rFonts w:cs="David"/>
          <w:sz w:val="24"/>
          <w:szCs w:val="24"/>
        </w:rPr>
      </w:pPr>
      <w:r>
        <w:rPr>
          <w:rFonts w:cs="David"/>
          <w:sz w:val="24"/>
          <w:szCs w:val="24"/>
          <w:rtl/>
        </w:rPr>
        <w:t>מדובר בנאשם שהודה בכתב אישום מתוקן, חסך זמן שיפוטי ניכר וקיבל אחריות על מעשיו.</w:t>
      </w:r>
    </w:p>
    <w:p w14:paraId="480BE6DF" w14:textId="77777777" w:rsidR="00691E26" w:rsidRDefault="00691E26" w:rsidP="00691E26">
      <w:pPr>
        <w:pStyle w:val="ab"/>
        <w:spacing w:line="360" w:lineRule="auto"/>
        <w:jc w:val="both"/>
        <w:rPr>
          <w:rFonts w:cs="David"/>
          <w:sz w:val="24"/>
          <w:szCs w:val="24"/>
        </w:rPr>
      </w:pPr>
    </w:p>
    <w:p w14:paraId="0BA4DF5E" w14:textId="77777777" w:rsidR="00691E26" w:rsidRDefault="00691E26" w:rsidP="00691E26">
      <w:pPr>
        <w:pStyle w:val="ab"/>
        <w:numPr>
          <w:ilvl w:val="0"/>
          <w:numId w:val="2"/>
        </w:numPr>
        <w:spacing w:line="360" w:lineRule="auto"/>
        <w:jc w:val="both"/>
        <w:rPr>
          <w:rFonts w:cs="David"/>
          <w:sz w:val="24"/>
          <w:szCs w:val="24"/>
        </w:rPr>
      </w:pPr>
      <w:r>
        <w:rPr>
          <w:rFonts w:cs="David"/>
          <w:sz w:val="24"/>
          <w:szCs w:val="24"/>
          <w:rtl/>
        </w:rPr>
        <w:t xml:space="preserve">הנאשם שהה בהליך טיפולי במסגרת הוסטל בירושלים, והתמיד בו כ16 מפגשים מתוך 21, חשוב לציין כי הנאשם התקדם בהליך טיפולי זה, אך סיים את המפגשים בשל חשדות שעלו על רקע מציאת סמים בהוסטל. נסיבה זו אינה פועלת לטובתו , כאשר חרב מונחת על צווארו. </w:t>
      </w:r>
    </w:p>
    <w:p w14:paraId="4F19D145" w14:textId="77777777" w:rsidR="00691E26" w:rsidRDefault="00691E26" w:rsidP="00691E26">
      <w:pPr>
        <w:pStyle w:val="ac"/>
        <w:numPr>
          <w:ilvl w:val="0"/>
          <w:numId w:val="2"/>
        </w:numPr>
        <w:rPr>
          <w:rtl/>
        </w:rPr>
      </w:pPr>
      <w:r>
        <w:rPr>
          <w:rFonts w:hint="cs"/>
          <w:rtl/>
        </w:rPr>
        <w:t xml:space="preserve">לחובת הנאשם עבר פלילי מכביד הכולל 6 הרשעות, 5 מהם בעבירות הסמים. אין מדובר במעידה חד פעמית של מי שהושפע נגרר ושגה, אלא במי שלחובתו עבר מכביד, ויתירה מכך ובעת ביצוע העבירה היה אסיר בעבירה של סחר בסמים, ונגזרו עליו 6 שנות מאסר.  </w:t>
      </w:r>
    </w:p>
    <w:p w14:paraId="2C7E1FC8" w14:textId="77777777" w:rsidR="00691E26" w:rsidRDefault="00691E26" w:rsidP="00691E26">
      <w:pPr>
        <w:pStyle w:val="ac"/>
        <w:numPr>
          <w:ilvl w:val="0"/>
          <w:numId w:val="2"/>
        </w:numPr>
      </w:pPr>
      <w:r>
        <w:rPr>
          <w:rFonts w:hint="cs"/>
          <w:rtl/>
        </w:rPr>
        <w:t>חלוף הזמן: העבירה בוצעה ב27.02.2019, כתב האישום הוגש ביום 15.12.21, כשנתיים ועשרה חודשיים לאחר מכן. לפיכך, סבורני, כי יש לשקול במקרה זה את  חלוף הזמן במסגרת השיקולים לקולא.</w:t>
      </w:r>
    </w:p>
    <w:p w14:paraId="7D95FBB7" w14:textId="77777777" w:rsidR="00691E26" w:rsidRDefault="00691E26" w:rsidP="00691E26">
      <w:pPr>
        <w:pStyle w:val="ac"/>
        <w:numPr>
          <w:ilvl w:val="0"/>
          <w:numId w:val="2"/>
        </w:numPr>
      </w:pPr>
      <w:r>
        <w:rPr>
          <w:rFonts w:hint="cs"/>
          <w:rtl/>
        </w:rPr>
        <w:t xml:space="preserve">לדברי ב"כ הנאשם, למרות שהוגש כתב אישום בשיהוי יחסי, שוחרר הנאשם בתום שני שליש מריצוי מאסרו, עובדה הפועלת לטובתו בהתייחס להתנהגותו הכללית בעת מאסרו. </w:t>
      </w:r>
    </w:p>
    <w:p w14:paraId="7DE6A74B" w14:textId="77777777" w:rsidR="00691E26" w:rsidRDefault="00691E26" w:rsidP="00691E26">
      <w:pPr>
        <w:pStyle w:val="ac"/>
        <w:numPr>
          <w:ilvl w:val="0"/>
          <w:numId w:val="2"/>
        </w:numPr>
      </w:pPr>
      <w:r>
        <w:rPr>
          <w:rFonts w:hint="cs"/>
          <w:rtl/>
        </w:rPr>
        <w:t xml:space="preserve">כמבוקש, הנאשם עבר 5 בדיקות לאיתור שרידי סם, הנאשם מצוי בתהליך ובמסגרתו בדיקותיו נמצאו נקיות משרידי סם.  הנאשם אב לילד קטין ומשלם עבורו מזונות. </w:t>
      </w:r>
    </w:p>
    <w:p w14:paraId="14ACE65A" w14:textId="77777777" w:rsidR="00691E26" w:rsidRDefault="00691E26" w:rsidP="00691E26">
      <w:pPr>
        <w:pStyle w:val="ac"/>
        <w:rPr>
          <w:b/>
          <w:bCs/>
        </w:rPr>
      </w:pPr>
      <w:r>
        <w:rPr>
          <w:rFonts w:hint="cs"/>
          <w:b/>
          <w:bCs/>
          <w:rtl/>
        </w:rPr>
        <w:t>שקלול האינטרסים לקולא ולחומרא :</w:t>
      </w:r>
    </w:p>
    <w:p w14:paraId="480DD925" w14:textId="77777777" w:rsidR="00691E26" w:rsidRDefault="00691E26" w:rsidP="00691E26">
      <w:pPr>
        <w:pStyle w:val="ac"/>
        <w:numPr>
          <w:ilvl w:val="0"/>
          <w:numId w:val="2"/>
        </w:numPr>
      </w:pPr>
      <w:r>
        <w:rPr>
          <w:rFonts w:hint="cs"/>
          <w:rtl/>
        </w:rPr>
        <w:t xml:space="preserve">במכלול השיקולים, נראה כי נסיבותיה של העבירה החמורה בהיותה מבוצעת ביודעין במתחם הכלא תוך הכנסת סמים מסוכנים לתוך מתחם הכלא, ע"י מי שעברו מכביד כל אלו מטים הכף לחומרה ואינם מאפשרים התייחסות מקלה שאינה עולה בקנה אחד עם "מלחמה בנגע הסמים". </w:t>
      </w:r>
    </w:p>
    <w:p w14:paraId="56504119" w14:textId="77777777" w:rsidR="00691E26" w:rsidRDefault="00691E26" w:rsidP="00691E26">
      <w:pPr>
        <w:pStyle w:val="ac"/>
        <w:numPr>
          <w:ilvl w:val="0"/>
          <w:numId w:val="2"/>
        </w:numPr>
      </w:pPr>
      <w:r>
        <w:rPr>
          <w:rFonts w:hint="cs"/>
          <w:rtl/>
        </w:rPr>
        <w:t xml:space="preserve">כדי לשרש, להרתיע ולמנוע זילות באכיפת החוק בכל הנוגע לעיסוק בתחום הסמים, ובוודאי להכנסת סמים לתוככי בית הכלא, שאמור היה להיות גורם מרתיע במסגרת אכיפת החוק, אין בית-המשפט סבור, כי יש להטות את הכף למאסר בדמות עבודות שירות, בוודאי לא צו של"צ ואלו אינם מבטאים נכונה במכלול השיקולים והנסיבות את הנכון והראוי במקרה הספציפי הזה.  </w:t>
      </w:r>
    </w:p>
    <w:p w14:paraId="5FDE420F" w14:textId="77777777" w:rsidR="00691E26" w:rsidRDefault="00691E26" w:rsidP="00691E26">
      <w:pPr>
        <w:pStyle w:val="ac"/>
        <w:numPr>
          <w:ilvl w:val="0"/>
          <w:numId w:val="2"/>
        </w:numPr>
      </w:pPr>
      <w:r>
        <w:rPr>
          <w:rFonts w:hint="cs"/>
          <w:rtl/>
        </w:rPr>
        <w:t xml:space="preserve">כיצד תבוא לידי ביטוי הרתעת אסירים אם הכנסת סמים או כל האסור לתוככי הכלא, אינה מסכנת  את חופשתם , שחרורם לאורך זמן, פרנסתם, חירותם, טענותיהם  לשיקום, הסיכוי לזכות בחמלתו של בית המשפט, שהרי לא נורא המקום הזה, כשעוברים בו ובמסגרתו עבירות, שיש בהן התרסה כלפי החוק ואוכפיו. </w:t>
      </w:r>
    </w:p>
    <w:p w14:paraId="6C991B74" w14:textId="77777777" w:rsidR="00691E26" w:rsidRDefault="00691E26" w:rsidP="00691E26">
      <w:pPr>
        <w:pStyle w:val="ac"/>
        <w:numPr>
          <w:ilvl w:val="0"/>
          <w:numId w:val="2"/>
        </w:numPr>
      </w:pPr>
      <w:r>
        <w:rPr>
          <w:rFonts w:hint="cs"/>
          <w:rtl/>
        </w:rPr>
        <w:t xml:space="preserve">מנגד, עדיין כל מקרה לגופו וגם במקרה דנן, קיימים שיקולים לקולה ובכללם חלוף הזמן, המלצה שיקומית, ניקיון מספר בדיקות מסם, טענות למאמצים לשיקום, הודאה באשמה גם אם נתפס , כל אלו  מאפשרים לבית-המשפט שלא למצות הדין עם הנאשם ולהציב את רף הענישה בשליש התחתון של המתחם, ולא ברף העליון שם מקומה בהעדר הנימוקים לקולה. רף עליון אינו קצה מתחם כדי ניהול משא ומתן תחת אימת הדין הקיצוני, אלא מדובר ברף ריאלי שאלמלא הנסיבות לקולה היה מקום להשיתו.   </w:t>
      </w:r>
    </w:p>
    <w:p w14:paraId="48BF2175" w14:textId="77777777" w:rsidR="00691E26" w:rsidRDefault="00691E26" w:rsidP="00691E26">
      <w:pPr>
        <w:pStyle w:val="ac"/>
        <w:numPr>
          <w:ilvl w:val="0"/>
          <w:numId w:val="2"/>
        </w:numPr>
      </w:pPr>
      <w:r>
        <w:rPr>
          <w:rFonts w:hint="cs"/>
          <w:rtl/>
        </w:rPr>
        <w:t xml:space="preserve">בית המשפט סבור, כי על רקע עברו המכביד ונסיבות העבירה בחומרתן, המלצת שירות המבחן לצו של"צ אינה הולמת את אותו אינטרס ציבורי לביטחונו ושלומו של הציבור, מפני מבצעי עבירות סמים באופן חוזר ונשנה, כאשר גם מתקן הכלא הציבורי אינו מהווה גורם מרתיע. לאור האמור המאסר בפועל הגם שהוא לאחר שחרורו של המשיב ממאסר אחר מבטא נכונה את הכנסת הסמים לתוך הכלא לאחר השחרור לחופשה. </w:t>
      </w:r>
    </w:p>
    <w:p w14:paraId="67736A21" w14:textId="77777777" w:rsidR="00691E26" w:rsidRDefault="00691E26" w:rsidP="00691E26">
      <w:pPr>
        <w:pStyle w:val="ab"/>
        <w:numPr>
          <w:ilvl w:val="0"/>
          <w:numId w:val="2"/>
        </w:numPr>
        <w:spacing w:line="360" w:lineRule="auto"/>
        <w:jc w:val="both"/>
        <w:rPr>
          <w:rFonts w:ascii="David" w:hAnsi="David" w:cs="David"/>
          <w:sz w:val="24"/>
          <w:szCs w:val="24"/>
        </w:rPr>
      </w:pPr>
      <w:r>
        <w:rPr>
          <w:rFonts w:ascii="David" w:hAnsi="David" w:cs="David"/>
          <w:sz w:val="24"/>
          <w:szCs w:val="24"/>
          <w:rtl/>
        </w:rPr>
        <w:t>העובדה שהעבירה לא בוצעה אגב שימוש ברכב, איני מוצא מקום לקבוע רכיב של שלילת רישיון נהיגה בפועל. מנגד, אני מורה על שלילת רישיון הנהיגה של הנאשם, שלילה  על תנאי. למסקנה זו הגעתי גם בשל המגמה לאפשר למשיב להיערך להמשך שיקומו במסלול חייו, במציאת עבודה ולהקל לאחר מאסרו על פתיחתו דף חדש בחייו.</w:t>
      </w:r>
    </w:p>
    <w:p w14:paraId="51BB7204" w14:textId="77777777" w:rsidR="00691E26" w:rsidRDefault="00691E26" w:rsidP="00691E26">
      <w:pPr>
        <w:pStyle w:val="ac"/>
        <w:numPr>
          <w:ilvl w:val="0"/>
          <w:numId w:val="2"/>
        </w:numPr>
        <w:rPr>
          <w:rtl/>
        </w:rPr>
      </w:pPr>
      <w:r>
        <w:rPr>
          <w:rFonts w:hint="cs"/>
          <w:rtl/>
        </w:rPr>
        <w:t xml:space="preserve">לעניין רכיב הקנס הכספי בכל הנוגע לעבירות הסמים ונגזרותיהם תוך שמירת האיזון בין סכום הקנס בפועל להיערכותו של המשיב לשיקום חייו עם סיום מאסרו, ומנגד התחייבות משמעותית יותר שלא לשוב ולסכן עצמו, את משפחתו ואת החברה כולה בעבירות הסמים נקבעו הסכומים שלא במדרג הגבוה במיוחד. </w:t>
      </w:r>
    </w:p>
    <w:p w14:paraId="1F11F13A" w14:textId="77777777" w:rsidR="00691E26" w:rsidRDefault="00691E26" w:rsidP="00691E26">
      <w:pPr>
        <w:pStyle w:val="ac"/>
        <w:numPr>
          <w:ilvl w:val="0"/>
          <w:numId w:val="2"/>
        </w:numPr>
      </w:pPr>
      <w:r>
        <w:rPr>
          <w:rFonts w:hint="cs"/>
          <w:rtl/>
        </w:rPr>
        <w:t xml:space="preserve">חופשה היא  מתן אמון באסיר. חופשה המסתיימת בהכנסת סמים בכלא מלמדת על אובדן אמון זה, ופגיעה במוסד החופשה, שהיא נשמת אפו של אסיר בכלא . הפגיעה היא בכלל, והאינטרס הציבורי מחייב בהירות בענישה. מנעדים שאינם ברורים משווקים בקרב אסירים ובלדרי הסמים, כהרמת ידיים של  רשויות האכיפה, החברה והמדינה.  טרם הגענו לעת הזו, שמלאה הארץ סמים ודמים כבמדינות בהן אפסה כל תקווה. </w:t>
      </w:r>
    </w:p>
    <w:p w14:paraId="0E5FF585" w14:textId="77777777" w:rsidR="00691E26" w:rsidRDefault="00691E26" w:rsidP="00691E26">
      <w:pPr>
        <w:pStyle w:val="ac"/>
        <w:numPr>
          <w:ilvl w:val="0"/>
          <w:numId w:val="2"/>
        </w:numPr>
      </w:pPr>
      <w:r>
        <w:rPr>
          <w:rFonts w:hint="cs"/>
          <w:rtl/>
        </w:rPr>
        <w:t xml:space="preserve">מושכות הרסן בידי בית המשפט, גם אם רחק עד מאד התסקיר בהעדר משקל לאינטרס הציבורי. סמים אל תוככי הכלא בצואתם של אסירים מחופשתם ,אינה גזירת שמיים. סוהרים צריכים לדעת שבתי המשפט בוטחים במאמציהם להבטיח מקום שניתן לחיות בו לריצוי עונש חיים מוגנים.  גזירת הדין אל לה לרחף בחלל אשליית השיקום, מקום שהעובדות זועקות למעשה הונאה וחובת ההגנה, גם במעשה ותעוזתו וגם בהפסקת רצף תקופת " שיקומו" ב" הוסטל" באותו חשד.  הנאשם ריצה מאסר של סחר בסמים הצליח ליצור מצג של אסיר הראוי לחופשתו. 70 כדורי הסמים המסוכנים בגופו מחופשתו, משיבים אותו שוב להרחקתו; </w:t>
      </w:r>
    </w:p>
    <w:p w14:paraId="125AB2AE" w14:textId="77777777" w:rsidR="00691E26" w:rsidRDefault="00691E26" w:rsidP="00691E26">
      <w:pPr>
        <w:pStyle w:val="ac"/>
        <w:numPr>
          <w:ilvl w:val="0"/>
          <w:numId w:val="2"/>
        </w:numPr>
      </w:pPr>
      <w:r>
        <w:rPr>
          <w:rFonts w:hint="cs"/>
          <w:rtl/>
        </w:rPr>
        <w:t xml:space="preserve">הרתעת הרבים משימוש בגופם להעברת סמים אינה יכולה להסתפק בציטוט פסקי דין של בית המשפט העליון וסטייה מתכלית כל מסר והיגד הקורא למעש. גופו של אדם היום יכול לשמש בנק סמים מרצונו ומחר יהא שליח בעל כורחו. הסיכון גם לחייו של אדם בגופו מוחזקים סמים וכבר עלה זה כדי סכנת חיים, מחייב הרתעה כפולה, רשויות הכלא אינן צריכות לבצע פעולות תכופות לבדיקות דחופות תוך פגיעה בניהול שגרת מאסר, רק משום שצרכי היחיד בעבירתו גברו על צורכי הרבים לשיקום בתוך מתקני הכליאה. מי שמבקש לשלם חובו לחברה לא יכול לעשות כן, ביצירת חוב חדש בהונאתה. נותר חוב שפרעונו הוא במקום בו בוצע. </w:t>
      </w:r>
    </w:p>
    <w:p w14:paraId="3C857C00" w14:textId="77777777" w:rsidR="00691E26" w:rsidRDefault="00691E26" w:rsidP="00691E26">
      <w:pPr>
        <w:pStyle w:val="ac"/>
        <w:numPr>
          <w:ilvl w:val="0"/>
          <w:numId w:val="2"/>
        </w:numPr>
      </w:pPr>
      <w:r>
        <w:rPr>
          <w:rFonts w:hint="cs"/>
          <w:rtl/>
        </w:rPr>
        <w:t>עבירות הסמים כרוכות וקשורות ברווח קל. גם במקרה דנן עולה מהתסקיר מפיו של הנאשם עצמו, כי כדורי הסמים עולים מחוץ לכלא 20 ₪ כל כדור ובתוך הכלא 500 ₪ כל כדור. דהיינו, במסגרת ההחזקה שלא לשימוש עצמי של 70 כדורי סם מסוכן בתוך הכלא, הרי ערכם הכספי מגיע כדי 35,000 ₪. הרכיב הכספי שבענישה אמור היה להיות משמעותי ביותר, אלא שדווקא הנימוקים שהובאו לטובת הנאשם, מאפשרות בנסיבות כי מקץ מאסרו הנגזר בזה לא יידרש לשעבד את עתידו שוב לעולם הסמים והרווחים הקלים הקורצים ממנו, כדי לשלם קנס כספי גדול בהרבה מהנפסק בזה.</w:t>
      </w:r>
    </w:p>
    <w:p w14:paraId="67F2EE14" w14:textId="77777777" w:rsidR="00691E26" w:rsidRPr="00EF047F" w:rsidRDefault="00691E26" w:rsidP="00691E26">
      <w:pPr>
        <w:pStyle w:val="ac"/>
        <w:numPr>
          <w:ilvl w:val="0"/>
          <w:numId w:val="2"/>
        </w:numPr>
      </w:pPr>
      <w:r>
        <w:rPr>
          <w:rFonts w:hint="cs"/>
          <w:rtl/>
        </w:rPr>
        <w:t xml:space="preserve">נגע הסמים מחייב ענישה מחמירה, הרחובות איבדו דרך, האכיפה מבקשת כלים בריבוי התיקים לסוגיהם. אם רק במלל עסקינן, אאלם דום , ואם בהגנה על החיים, על אסירים, סוהרים, תושבי הערים ומשפחותיהם ועל כלל המעגלים,  יחתום בזה קולמוסי על  חודשי המאסר בפועל בחומרתו, גם אם משיקולי האיזון אינו ברף הענישה העליון, בהתקיים החובה להטות הכף כלפי האינטרס הציבורי ולהעניק משקל לשיקום האמון בהרתעת הרבים, כי מלאה הארץ סמים. </w:t>
      </w:r>
    </w:p>
    <w:p w14:paraId="6DA46C8D" w14:textId="77777777" w:rsidR="00691E26" w:rsidRDefault="00691E26" w:rsidP="00691E26">
      <w:pPr>
        <w:pStyle w:val="ab"/>
        <w:numPr>
          <w:ilvl w:val="0"/>
          <w:numId w:val="2"/>
        </w:numPr>
        <w:spacing w:line="360" w:lineRule="auto"/>
        <w:jc w:val="both"/>
        <w:rPr>
          <w:rFonts w:cs="David"/>
          <w:sz w:val="24"/>
          <w:szCs w:val="24"/>
        </w:rPr>
      </w:pPr>
      <w:r>
        <w:rPr>
          <w:rFonts w:cs="David"/>
          <w:sz w:val="24"/>
          <w:szCs w:val="24"/>
          <w:rtl/>
        </w:rPr>
        <w:t>לאחר ששקלתי מכלול השיקולים, לחומרה ולקולא, גוזר אני על הנאשם העונשים הבאים:</w:t>
      </w:r>
    </w:p>
    <w:p w14:paraId="57E53DA7" w14:textId="77777777" w:rsidR="00691E26" w:rsidRDefault="00691E26" w:rsidP="00691E26">
      <w:pPr>
        <w:pStyle w:val="ab"/>
        <w:spacing w:line="360" w:lineRule="auto"/>
        <w:jc w:val="both"/>
        <w:rPr>
          <w:rFonts w:cs="David"/>
          <w:sz w:val="24"/>
          <w:szCs w:val="24"/>
          <w:rtl/>
        </w:rPr>
      </w:pPr>
    </w:p>
    <w:p w14:paraId="107B272F" w14:textId="77777777" w:rsidR="00691E26" w:rsidRDefault="00691E26" w:rsidP="00691E26">
      <w:pPr>
        <w:pStyle w:val="ab"/>
        <w:numPr>
          <w:ilvl w:val="0"/>
          <w:numId w:val="4"/>
        </w:numPr>
        <w:tabs>
          <w:tab w:val="left" w:pos="3061"/>
        </w:tabs>
        <w:spacing w:line="360" w:lineRule="auto"/>
        <w:ind w:left="2235"/>
        <w:jc w:val="both"/>
        <w:rPr>
          <w:rFonts w:ascii="David" w:hAnsi="David" w:cs="David"/>
          <w:b/>
          <w:bCs/>
          <w:sz w:val="24"/>
          <w:szCs w:val="24"/>
          <w:rtl/>
        </w:rPr>
      </w:pPr>
      <w:r>
        <w:rPr>
          <w:rFonts w:ascii="David" w:hAnsi="David" w:cs="David"/>
          <w:b/>
          <w:bCs/>
          <w:sz w:val="24"/>
          <w:szCs w:val="24"/>
          <w:rtl/>
        </w:rPr>
        <w:t xml:space="preserve">12  חודשי מאסר בפועל . </w:t>
      </w:r>
    </w:p>
    <w:p w14:paraId="5F9ADEAF" w14:textId="77777777" w:rsidR="00691E26" w:rsidRDefault="00691E26" w:rsidP="00691E26">
      <w:pPr>
        <w:pStyle w:val="ab"/>
        <w:tabs>
          <w:tab w:val="left" w:pos="3061"/>
        </w:tabs>
        <w:spacing w:line="360" w:lineRule="auto"/>
        <w:ind w:left="3210" w:hanging="1785"/>
        <w:jc w:val="both"/>
        <w:rPr>
          <w:rFonts w:ascii="David" w:hAnsi="David" w:cs="David"/>
          <w:b/>
          <w:bCs/>
          <w:sz w:val="24"/>
          <w:szCs w:val="24"/>
        </w:rPr>
      </w:pPr>
    </w:p>
    <w:p w14:paraId="535DCAA5" w14:textId="77777777" w:rsidR="00691E26" w:rsidRDefault="00691E26" w:rsidP="00691E26">
      <w:pPr>
        <w:pStyle w:val="ab"/>
        <w:numPr>
          <w:ilvl w:val="0"/>
          <w:numId w:val="4"/>
        </w:numPr>
        <w:tabs>
          <w:tab w:val="left" w:pos="3061"/>
        </w:tabs>
        <w:spacing w:line="360" w:lineRule="auto"/>
        <w:ind w:left="2235"/>
        <w:jc w:val="both"/>
        <w:rPr>
          <w:rFonts w:ascii="David" w:hAnsi="David" w:cs="David"/>
          <w:b/>
          <w:bCs/>
          <w:sz w:val="24"/>
          <w:szCs w:val="24"/>
          <w:rtl/>
        </w:rPr>
      </w:pPr>
      <w:r>
        <w:rPr>
          <w:rFonts w:ascii="David" w:hAnsi="David" w:cs="David"/>
          <w:b/>
          <w:bCs/>
          <w:sz w:val="24"/>
          <w:szCs w:val="24"/>
          <w:rtl/>
        </w:rPr>
        <w:t xml:space="preserve">6 חודשי מאסר על תנאי, לתקופה של 3 שנים מהיום, שלא יעבור כל עבֵרה מסוג עוון מתוך </w:t>
      </w:r>
      <w:hyperlink r:id="rId21" w:history="1">
        <w:r w:rsidR="00E417A5" w:rsidRPr="00E417A5">
          <w:rPr>
            <w:rFonts w:ascii="David" w:hAnsi="David" w:cs="David"/>
            <w:b/>
            <w:bCs/>
            <w:color w:val="0000FF"/>
            <w:sz w:val="24"/>
            <w:szCs w:val="24"/>
            <w:u w:val="single"/>
            <w:rtl/>
          </w:rPr>
          <w:t>פקודת הסמים המסוכנים</w:t>
        </w:r>
      </w:hyperlink>
      <w:r>
        <w:rPr>
          <w:rFonts w:ascii="David" w:hAnsi="David" w:cs="David"/>
          <w:b/>
          <w:bCs/>
          <w:sz w:val="24"/>
          <w:szCs w:val="24"/>
          <w:rtl/>
        </w:rPr>
        <w:t xml:space="preserve"> [נוסח חדש], תשל"ג- 1973.</w:t>
      </w:r>
    </w:p>
    <w:p w14:paraId="50340B6F" w14:textId="77777777" w:rsidR="00691E26" w:rsidRDefault="00691E26" w:rsidP="00691E26">
      <w:pPr>
        <w:pStyle w:val="ab"/>
        <w:tabs>
          <w:tab w:val="left" w:pos="3061"/>
        </w:tabs>
        <w:ind w:left="3210" w:hanging="1785"/>
        <w:jc w:val="both"/>
        <w:rPr>
          <w:rFonts w:ascii="David" w:hAnsi="David" w:cs="David"/>
          <w:b/>
          <w:bCs/>
          <w:sz w:val="24"/>
          <w:szCs w:val="24"/>
        </w:rPr>
      </w:pPr>
    </w:p>
    <w:p w14:paraId="77A785F3" w14:textId="77777777" w:rsidR="00691E26" w:rsidRDefault="00691E26" w:rsidP="00691E26">
      <w:pPr>
        <w:pStyle w:val="ab"/>
        <w:tabs>
          <w:tab w:val="left" w:pos="3061"/>
        </w:tabs>
        <w:spacing w:line="360" w:lineRule="auto"/>
        <w:ind w:left="3210" w:hanging="1785"/>
        <w:jc w:val="both"/>
        <w:rPr>
          <w:rFonts w:ascii="David" w:hAnsi="David" w:cs="David"/>
          <w:b/>
          <w:bCs/>
          <w:sz w:val="24"/>
          <w:szCs w:val="24"/>
          <w:rtl/>
        </w:rPr>
      </w:pPr>
    </w:p>
    <w:p w14:paraId="70CAB94E" w14:textId="77777777" w:rsidR="00691E26" w:rsidRDefault="00691E26" w:rsidP="00691E26">
      <w:pPr>
        <w:pStyle w:val="ab"/>
        <w:numPr>
          <w:ilvl w:val="0"/>
          <w:numId w:val="4"/>
        </w:numPr>
        <w:tabs>
          <w:tab w:val="left" w:pos="3061"/>
        </w:tabs>
        <w:spacing w:line="360" w:lineRule="auto"/>
        <w:ind w:left="2235"/>
        <w:jc w:val="both"/>
        <w:rPr>
          <w:rFonts w:ascii="David" w:hAnsi="David" w:cs="David"/>
          <w:b/>
          <w:bCs/>
          <w:sz w:val="24"/>
          <w:szCs w:val="24"/>
        </w:rPr>
      </w:pPr>
      <w:r>
        <w:rPr>
          <w:rFonts w:ascii="David" w:hAnsi="David" w:cs="David"/>
          <w:b/>
          <w:bCs/>
          <w:sz w:val="24"/>
          <w:szCs w:val="24"/>
          <w:rtl/>
        </w:rPr>
        <w:t xml:space="preserve">12 חודשי מאסר על תנאי, לתקופה של 3 שנים מהיום, שלא יעבור כל עבֵרה מסוג פשע מתוך </w:t>
      </w:r>
      <w:hyperlink r:id="rId22" w:history="1">
        <w:r w:rsidR="00E417A5" w:rsidRPr="00E417A5">
          <w:rPr>
            <w:rFonts w:ascii="David" w:hAnsi="David" w:cs="David"/>
            <w:b/>
            <w:bCs/>
            <w:color w:val="0000FF"/>
            <w:sz w:val="24"/>
            <w:szCs w:val="24"/>
            <w:u w:val="single"/>
            <w:rtl/>
          </w:rPr>
          <w:t>פקודת הסמים המסוכנים</w:t>
        </w:r>
      </w:hyperlink>
      <w:r>
        <w:rPr>
          <w:rFonts w:ascii="David" w:hAnsi="David" w:cs="David"/>
          <w:b/>
          <w:bCs/>
          <w:sz w:val="24"/>
          <w:szCs w:val="24"/>
          <w:rtl/>
        </w:rPr>
        <w:t xml:space="preserve"> [נוסח חדש], תשל"ג- 1973.</w:t>
      </w:r>
    </w:p>
    <w:p w14:paraId="2C33D342" w14:textId="77777777" w:rsidR="00691E26" w:rsidRDefault="00691E26" w:rsidP="00691E26">
      <w:pPr>
        <w:pStyle w:val="ab"/>
        <w:tabs>
          <w:tab w:val="left" w:pos="3061"/>
        </w:tabs>
        <w:spacing w:line="360" w:lineRule="auto"/>
        <w:ind w:left="3210" w:hanging="1785"/>
        <w:jc w:val="both"/>
        <w:rPr>
          <w:rFonts w:ascii="David" w:hAnsi="David" w:cs="David"/>
          <w:b/>
          <w:bCs/>
          <w:sz w:val="24"/>
          <w:szCs w:val="24"/>
        </w:rPr>
      </w:pPr>
    </w:p>
    <w:p w14:paraId="5B3C506F" w14:textId="77777777" w:rsidR="00691E26" w:rsidRDefault="00E417A5" w:rsidP="00691E26">
      <w:pPr>
        <w:pStyle w:val="ab"/>
        <w:numPr>
          <w:ilvl w:val="0"/>
          <w:numId w:val="4"/>
        </w:numPr>
        <w:tabs>
          <w:tab w:val="left" w:pos="3061"/>
        </w:tabs>
        <w:spacing w:after="200" w:line="360" w:lineRule="auto"/>
        <w:ind w:left="2235"/>
        <w:jc w:val="both"/>
        <w:rPr>
          <w:rFonts w:cs="David"/>
          <w:b/>
          <w:bCs/>
          <w:sz w:val="24"/>
          <w:szCs w:val="24"/>
        </w:rPr>
      </w:pPr>
      <w:r>
        <w:rPr>
          <w:rFonts w:ascii="David" w:hAnsi="David" w:cs="David"/>
          <w:b/>
          <w:bCs/>
          <w:sz w:val="24"/>
          <w:szCs w:val="24"/>
          <w:rtl/>
        </w:rPr>
        <w:t xml:space="preserve">  </w:t>
      </w:r>
      <w:r w:rsidR="00691E26">
        <w:rPr>
          <w:rFonts w:cs="David"/>
          <w:b/>
          <w:bCs/>
          <w:sz w:val="24"/>
          <w:szCs w:val="24"/>
          <w:rtl/>
        </w:rPr>
        <w:t xml:space="preserve">אני מורה בזאת על פסילת רישיון הנהיגה של הנאשם, פסילה על תנאי בת 6 חודשים למשך 3 שנים, והתנאי שלא יעבור הנאשם כל עבירה לפי </w:t>
      </w:r>
      <w:hyperlink r:id="rId23" w:history="1">
        <w:r w:rsidRPr="00E417A5">
          <w:rPr>
            <w:rFonts w:cs="David" w:hint="cs"/>
            <w:b/>
            <w:bCs/>
            <w:color w:val="0000FF"/>
            <w:sz w:val="24"/>
            <w:szCs w:val="24"/>
            <w:u w:val="single"/>
            <w:rtl/>
          </w:rPr>
          <w:t>פקודת</w:t>
        </w:r>
        <w:r w:rsidRPr="00E417A5">
          <w:rPr>
            <w:rFonts w:cs="David"/>
            <w:b/>
            <w:bCs/>
            <w:color w:val="0000FF"/>
            <w:sz w:val="24"/>
            <w:szCs w:val="24"/>
            <w:u w:val="single"/>
            <w:rtl/>
          </w:rPr>
          <w:t xml:space="preserve"> </w:t>
        </w:r>
        <w:r w:rsidRPr="00E417A5">
          <w:rPr>
            <w:rFonts w:cs="David" w:hint="cs"/>
            <w:b/>
            <w:bCs/>
            <w:color w:val="0000FF"/>
            <w:sz w:val="24"/>
            <w:szCs w:val="24"/>
            <w:u w:val="single"/>
            <w:rtl/>
          </w:rPr>
          <w:t>הסמים</w:t>
        </w:r>
        <w:r w:rsidRPr="00E417A5">
          <w:rPr>
            <w:rFonts w:cs="David"/>
            <w:b/>
            <w:bCs/>
            <w:color w:val="0000FF"/>
            <w:sz w:val="24"/>
            <w:szCs w:val="24"/>
            <w:u w:val="single"/>
            <w:rtl/>
          </w:rPr>
          <w:t xml:space="preserve"> </w:t>
        </w:r>
        <w:r w:rsidRPr="00E417A5">
          <w:rPr>
            <w:rFonts w:cs="David" w:hint="cs"/>
            <w:b/>
            <w:bCs/>
            <w:color w:val="0000FF"/>
            <w:sz w:val="24"/>
            <w:szCs w:val="24"/>
            <w:u w:val="single"/>
            <w:rtl/>
          </w:rPr>
          <w:t>המסוכנים</w:t>
        </w:r>
      </w:hyperlink>
      <w:r w:rsidR="00691E26">
        <w:rPr>
          <w:rFonts w:cs="David"/>
          <w:b/>
          <w:bCs/>
          <w:sz w:val="24"/>
          <w:szCs w:val="24"/>
          <w:rtl/>
        </w:rPr>
        <w:t xml:space="preserve">. </w:t>
      </w:r>
    </w:p>
    <w:p w14:paraId="33E69AC6" w14:textId="77777777" w:rsidR="00691E26" w:rsidRDefault="00691E26" w:rsidP="00691E26">
      <w:pPr>
        <w:pStyle w:val="ab"/>
        <w:tabs>
          <w:tab w:val="left" w:pos="3061"/>
        </w:tabs>
        <w:spacing w:line="360" w:lineRule="auto"/>
        <w:ind w:left="3210" w:hanging="1785"/>
        <w:jc w:val="both"/>
        <w:rPr>
          <w:rFonts w:ascii="David" w:hAnsi="David" w:cs="David"/>
          <w:b/>
          <w:bCs/>
          <w:sz w:val="24"/>
          <w:szCs w:val="24"/>
        </w:rPr>
      </w:pPr>
    </w:p>
    <w:p w14:paraId="30CC7FB6" w14:textId="77777777" w:rsidR="00691E26" w:rsidRPr="00EF047F" w:rsidRDefault="00E417A5" w:rsidP="00691E26">
      <w:pPr>
        <w:pStyle w:val="ab"/>
        <w:numPr>
          <w:ilvl w:val="0"/>
          <w:numId w:val="4"/>
        </w:numPr>
        <w:tabs>
          <w:tab w:val="left" w:pos="3061"/>
        </w:tabs>
        <w:spacing w:line="360" w:lineRule="auto"/>
        <w:ind w:left="2235"/>
        <w:jc w:val="both"/>
        <w:rPr>
          <w:rFonts w:ascii="David" w:hAnsi="David" w:cs="David"/>
          <w:b/>
          <w:bCs/>
          <w:sz w:val="24"/>
          <w:szCs w:val="24"/>
          <w:rtl/>
        </w:rPr>
      </w:pPr>
      <w:r>
        <w:rPr>
          <w:b/>
          <w:bCs/>
          <w:sz w:val="24"/>
          <w:szCs w:val="24"/>
        </w:rPr>
        <w:t xml:space="preserve">   </w:t>
      </w:r>
      <w:r w:rsidR="00691E26">
        <w:rPr>
          <w:rFonts w:ascii="David" w:hAnsi="David" w:cs="David"/>
          <w:b/>
          <w:bCs/>
          <w:sz w:val="24"/>
          <w:szCs w:val="24"/>
          <w:rtl/>
        </w:rPr>
        <w:t>הנאשם יצהיר בהתאם ל</w:t>
      </w:r>
      <w:r w:rsidR="00691E26" w:rsidRPr="00E417A5">
        <w:rPr>
          <w:rFonts w:ascii="David" w:hAnsi="David" w:cs="David"/>
          <w:b/>
          <w:bCs/>
          <w:color w:val="000000"/>
          <w:sz w:val="24"/>
          <w:szCs w:val="24"/>
          <w:rtl/>
        </w:rPr>
        <w:t>תקנות העונשין (התחייבות להימנע מעבירה)</w:t>
      </w:r>
      <w:r w:rsidR="00691E26">
        <w:rPr>
          <w:rFonts w:ascii="David" w:hAnsi="David" w:cs="David"/>
          <w:b/>
          <w:bCs/>
          <w:sz w:val="24"/>
          <w:szCs w:val="24"/>
        </w:rPr>
        <w:t xml:space="preserve">, </w:t>
      </w:r>
      <w:r w:rsidR="00691E26">
        <w:rPr>
          <w:rFonts w:ascii="David" w:hAnsi="David" w:cs="David"/>
          <w:b/>
          <w:bCs/>
          <w:sz w:val="24"/>
          <w:szCs w:val="24"/>
          <w:rtl/>
        </w:rPr>
        <w:t xml:space="preserve">התש"ף-2019, על התחייבות כספית שלא לעבור כל עבירה על פי </w:t>
      </w:r>
      <w:hyperlink r:id="rId24" w:history="1">
        <w:r w:rsidRPr="00E417A5">
          <w:rPr>
            <w:rFonts w:ascii="David" w:hAnsi="David" w:cs="David"/>
            <w:b/>
            <w:bCs/>
            <w:color w:val="0000FF"/>
            <w:sz w:val="24"/>
            <w:szCs w:val="24"/>
            <w:u w:val="single"/>
            <w:rtl/>
          </w:rPr>
          <w:t>פקודת הסמים המסוכנים</w:t>
        </w:r>
      </w:hyperlink>
      <w:r w:rsidR="00691E26">
        <w:rPr>
          <w:rFonts w:ascii="David" w:hAnsi="David" w:cs="David"/>
          <w:b/>
          <w:bCs/>
          <w:sz w:val="24"/>
          <w:szCs w:val="24"/>
        </w:rPr>
        <w:t xml:space="preserve">. </w:t>
      </w:r>
      <w:r w:rsidR="00691E26">
        <w:rPr>
          <w:rFonts w:ascii="David" w:hAnsi="David" w:cs="David"/>
          <w:b/>
          <w:bCs/>
          <w:sz w:val="24"/>
          <w:szCs w:val="24"/>
          <w:rtl/>
        </w:rPr>
        <w:t xml:space="preserve">ההתחייבות תהא לתקופה של </w:t>
      </w:r>
      <w:r w:rsidR="00691E26">
        <w:rPr>
          <w:rFonts w:ascii="David" w:hAnsi="David" w:cs="David" w:hint="cs"/>
          <w:b/>
          <w:bCs/>
          <w:sz w:val="24"/>
          <w:szCs w:val="24"/>
          <w:rtl/>
        </w:rPr>
        <w:t>שלוש שנים</w:t>
      </w:r>
      <w:r w:rsidR="00691E26">
        <w:rPr>
          <w:rFonts w:ascii="David" w:hAnsi="David" w:cs="David"/>
          <w:b/>
          <w:bCs/>
          <w:sz w:val="24"/>
          <w:szCs w:val="24"/>
          <w:rtl/>
        </w:rPr>
        <w:t xml:space="preserve"> מהיום ובסך של 8000 ₪ ההתחייבות תוצהר לפרוטוקול.</w:t>
      </w:r>
    </w:p>
    <w:p w14:paraId="304C4488" w14:textId="77777777" w:rsidR="00691E26" w:rsidRDefault="00691E26" w:rsidP="00691E26">
      <w:pPr>
        <w:pStyle w:val="ab"/>
        <w:tabs>
          <w:tab w:val="left" w:pos="3061"/>
        </w:tabs>
        <w:spacing w:line="360" w:lineRule="auto"/>
        <w:ind w:left="3210" w:hanging="1785"/>
        <w:jc w:val="both"/>
        <w:rPr>
          <w:rFonts w:cs="David"/>
          <w:b/>
          <w:bCs/>
          <w:sz w:val="24"/>
          <w:szCs w:val="24"/>
        </w:rPr>
      </w:pPr>
    </w:p>
    <w:p w14:paraId="78EDDFF5" w14:textId="77777777" w:rsidR="00691E26" w:rsidRDefault="00691E26" w:rsidP="00691E26">
      <w:pPr>
        <w:pStyle w:val="ab"/>
        <w:numPr>
          <w:ilvl w:val="0"/>
          <w:numId w:val="4"/>
        </w:numPr>
        <w:tabs>
          <w:tab w:val="left" w:pos="3061"/>
        </w:tabs>
        <w:spacing w:line="360" w:lineRule="auto"/>
        <w:ind w:left="2235"/>
        <w:jc w:val="both"/>
        <w:rPr>
          <w:rFonts w:ascii="David" w:hAnsi="David" w:cs="David"/>
          <w:b/>
          <w:bCs/>
          <w:sz w:val="24"/>
          <w:szCs w:val="24"/>
          <w:rtl/>
        </w:rPr>
      </w:pPr>
      <w:r>
        <w:rPr>
          <w:rFonts w:ascii="David" w:hAnsi="David" w:cs="David"/>
          <w:b/>
          <w:bCs/>
          <w:sz w:val="24"/>
          <w:szCs w:val="24"/>
          <w:rtl/>
        </w:rPr>
        <w:t xml:space="preserve">קנס כספי בסך 4,000 ₪ או 30  ימי מאסר תמורתו. הקנס ישולם ב-5 </w:t>
      </w:r>
    </w:p>
    <w:p w14:paraId="58B5AFF1" w14:textId="77777777" w:rsidR="00691E26" w:rsidRDefault="00691E26" w:rsidP="00691E26">
      <w:pPr>
        <w:pStyle w:val="ab"/>
        <w:tabs>
          <w:tab w:val="left" w:pos="3061"/>
        </w:tabs>
        <w:spacing w:line="360" w:lineRule="auto"/>
        <w:ind w:left="2235"/>
        <w:jc w:val="both"/>
        <w:rPr>
          <w:rFonts w:ascii="David" w:hAnsi="David" w:cs="David"/>
          <w:b/>
          <w:bCs/>
          <w:sz w:val="24"/>
          <w:szCs w:val="24"/>
        </w:rPr>
      </w:pPr>
      <w:r>
        <w:rPr>
          <w:rFonts w:ascii="David" w:hAnsi="David" w:cs="David"/>
          <w:b/>
          <w:bCs/>
          <w:sz w:val="24"/>
          <w:szCs w:val="24"/>
          <w:rtl/>
        </w:rPr>
        <w:t>תשלומים חודשיים שווים ורצופים, החל מיום 10.3.25 יום ובמשך כל 10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4D2B86CB" w14:textId="77777777" w:rsidR="00691E26" w:rsidRDefault="00691E26" w:rsidP="00691E26">
      <w:pPr>
        <w:spacing w:line="360" w:lineRule="auto"/>
        <w:rPr>
          <w:rFonts w:ascii="David" w:hAnsi="David"/>
          <w:b/>
          <w:bCs/>
          <w:rtl/>
        </w:rPr>
      </w:pPr>
      <w:r>
        <w:rPr>
          <w:rFonts w:ascii="David" w:hAnsi="David"/>
          <w:b/>
          <w:bCs/>
          <w:rtl/>
        </w:rPr>
        <w:t>את הקנס ניתן לשלם באחת מהדרכים הבאות:</w:t>
      </w:r>
    </w:p>
    <w:p w14:paraId="19DEF636" w14:textId="77777777" w:rsidR="00691E26" w:rsidRDefault="00691E26" w:rsidP="00691E26">
      <w:pPr>
        <w:spacing w:line="360" w:lineRule="auto"/>
        <w:ind w:left="2636"/>
        <w:rPr>
          <w:rFonts w:ascii="David" w:hAnsi="David"/>
          <w:sz w:val="22"/>
          <w:szCs w:val="22"/>
          <w:rtl/>
        </w:rPr>
      </w:pPr>
      <w:r>
        <w:rPr>
          <w:rFonts w:ascii="David" w:hAnsi="David"/>
          <w:rtl/>
        </w:rPr>
        <w:t>•</w:t>
      </w:r>
      <w:r>
        <w:rPr>
          <w:rFonts w:ascii="David" w:hAnsi="David"/>
          <w:rtl/>
        </w:rPr>
        <w:tab/>
        <w:t>תשלום בכרטיס אשראי באמצעות האתר המקוון של רשות האכיפה והגבייה בכתובת:-</w:t>
      </w:r>
      <w:r>
        <w:rPr>
          <w:rFonts w:ascii="David" w:hAnsi="David"/>
        </w:rPr>
        <w:t>Hyperlink Removed</w:t>
      </w:r>
      <w:r>
        <w:rPr>
          <w:rFonts w:ascii="David" w:hAnsi="David"/>
          <w:rtl/>
        </w:rPr>
        <w:t>- .</w:t>
      </w:r>
    </w:p>
    <w:p w14:paraId="19982EA4" w14:textId="77777777" w:rsidR="00691E26" w:rsidRDefault="00691E26" w:rsidP="00691E26">
      <w:pPr>
        <w:spacing w:line="360" w:lineRule="auto"/>
        <w:ind w:left="2636"/>
        <w:rPr>
          <w:rFonts w:ascii="David" w:hAnsi="David"/>
          <w:rtl/>
        </w:rPr>
      </w:pPr>
      <w:r>
        <w:rPr>
          <w:rFonts w:ascii="David" w:hAnsi="David"/>
          <w:rtl/>
        </w:rPr>
        <w:t>•</w:t>
      </w:r>
      <w:r>
        <w:rPr>
          <w:rFonts w:ascii="David" w:hAnsi="David"/>
          <w:rtl/>
        </w:rPr>
        <w:tab/>
        <w:t>תשלום בשירות עצמי באמצעות מוקד שירות טלפוני של מרכז הגבייה, בטלפון שמספרו 35592* או, 073-205-5000.</w:t>
      </w:r>
    </w:p>
    <w:p w14:paraId="7E4205D1" w14:textId="77777777" w:rsidR="00691E26" w:rsidRDefault="00691E26" w:rsidP="00691E26">
      <w:pPr>
        <w:spacing w:line="360" w:lineRule="auto"/>
        <w:ind w:left="2636"/>
        <w:jc w:val="both"/>
        <w:rPr>
          <w:rFonts w:ascii="David" w:hAnsi="David"/>
          <w:rtl/>
        </w:rPr>
      </w:pPr>
      <w:r>
        <w:rPr>
          <w:rFonts w:ascii="David" w:hAnsi="David"/>
          <w:rtl/>
        </w:rPr>
        <w:t>•</w:t>
      </w:r>
      <w:r>
        <w:rPr>
          <w:rFonts w:ascii="David" w:hAnsi="David"/>
          <w:rtl/>
        </w:rPr>
        <w:tab/>
        <w:t>תשלום במזומן בכל סניף של בנק הדואר, בהצגת תעודת זהות בלבד (אין צורך בהצגת שוברי תשלום).</w:t>
      </w:r>
    </w:p>
    <w:p w14:paraId="45E624A0" w14:textId="77777777" w:rsidR="00691E26" w:rsidRDefault="00691E26" w:rsidP="00691E26">
      <w:pPr>
        <w:spacing w:line="360" w:lineRule="auto"/>
        <w:jc w:val="both"/>
        <w:rPr>
          <w:rFonts w:ascii="David" w:hAnsi="David"/>
          <w:b/>
          <w:bCs/>
          <w:u w:val="single"/>
          <w:rtl/>
        </w:rPr>
      </w:pPr>
      <w:r>
        <w:rPr>
          <w:rFonts w:ascii="David" w:hAnsi="David"/>
          <w:b/>
          <w:bCs/>
          <w:u w:val="single"/>
          <w:rtl/>
        </w:rPr>
        <w:t>הסמים המסוכנים מושא תיק זה יושמדו בחלוף תקופת הערעור.</w:t>
      </w:r>
    </w:p>
    <w:p w14:paraId="2917F826" w14:textId="77777777" w:rsidR="00691E26" w:rsidRDefault="00691E26" w:rsidP="00691E26">
      <w:pPr>
        <w:spacing w:line="360" w:lineRule="auto"/>
        <w:jc w:val="both"/>
        <w:rPr>
          <w:rFonts w:ascii="Calibri" w:hAnsi="Calibri"/>
        </w:rPr>
      </w:pPr>
      <w:r>
        <w:rPr>
          <w:rtl/>
        </w:rPr>
        <w:t>זכות ערעור כחוק.</w:t>
      </w:r>
    </w:p>
    <w:p w14:paraId="1797A479" w14:textId="77777777" w:rsidR="00691E26" w:rsidRPr="000F2247" w:rsidRDefault="00691E26" w:rsidP="00691E26">
      <w:pPr>
        <w:rPr>
          <w:rFonts w:ascii="Arial" w:hAnsi="Arial"/>
          <w:b/>
          <w:bCs/>
          <w:sz w:val="26"/>
          <w:szCs w:val="26"/>
          <w:rtl/>
        </w:rPr>
      </w:pPr>
    </w:p>
    <w:p w14:paraId="2F8D6131" w14:textId="77777777" w:rsidR="00691E26" w:rsidRPr="00E417A5" w:rsidRDefault="00E417A5" w:rsidP="00691E26">
      <w:pPr>
        <w:rPr>
          <w:rFonts w:ascii="Arial" w:hAnsi="Arial"/>
          <w:b/>
          <w:bCs/>
          <w:color w:val="FFFFFF"/>
          <w:sz w:val="2"/>
          <w:szCs w:val="2"/>
          <w:rtl/>
        </w:rPr>
      </w:pPr>
      <w:r w:rsidRPr="00E417A5">
        <w:rPr>
          <w:rFonts w:ascii="Arial" w:hAnsi="Arial"/>
          <w:b/>
          <w:bCs/>
          <w:color w:val="FFFFFF"/>
          <w:sz w:val="2"/>
          <w:szCs w:val="2"/>
          <w:rtl/>
        </w:rPr>
        <w:t>5129371</w:t>
      </w:r>
    </w:p>
    <w:tbl>
      <w:tblPr>
        <w:tblpPr w:leftFromText="180" w:rightFromText="180" w:vertAnchor="text" w:horzAnchor="page" w:tblpX="613" w:tblpY="744"/>
        <w:bidiVisual/>
        <w:tblW w:w="3936" w:type="dxa"/>
        <w:tblCellMar>
          <w:left w:w="0" w:type="dxa"/>
          <w:right w:w="0" w:type="dxa"/>
        </w:tblCellMar>
        <w:tblLook w:val="04A0" w:firstRow="1" w:lastRow="0" w:firstColumn="1" w:lastColumn="0" w:noHBand="0" w:noVBand="1"/>
      </w:tblPr>
      <w:tblGrid>
        <w:gridCol w:w="3936"/>
      </w:tblGrid>
      <w:tr w:rsidR="00691E26" w14:paraId="6E018C76" w14:textId="77777777" w:rsidTr="00B0259F">
        <w:trPr>
          <w:trHeight w:val="316"/>
        </w:trPr>
        <w:tc>
          <w:tcPr>
            <w:tcW w:w="3936" w:type="dxa"/>
            <w:tcBorders>
              <w:top w:val="nil"/>
              <w:left w:val="nil"/>
              <w:bottom w:val="single" w:sz="8" w:space="0" w:color="auto"/>
              <w:right w:val="nil"/>
            </w:tcBorders>
            <w:tcMar>
              <w:top w:w="0" w:type="dxa"/>
              <w:left w:w="108" w:type="dxa"/>
              <w:bottom w:w="0" w:type="dxa"/>
              <w:right w:w="108" w:type="dxa"/>
            </w:tcMar>
            <w:vAlign w:val="center"/>
          </w:tcPr>
          <w:p w14:paraId="5DD66738" w14:textId="77777777" w:rsidR="00691E26" w:rsidRDefault="00E417A5" w:rsidP="00E417A5">
            <w:pPr>
              <w:jc w:val="center"/>
              <w:rPr>
                <w:rFonts w:cs="Arial"/>
                <w:sz w:val="20"/>
                <w:szCs w:val="20"/>
                <w:rtl/>
              </w:rPr>
            </w:pPr>
            <w:bookmarkStart w:id="8" w:name="Nitan"/>
            <w:r w:rsidRPr="00E417A5">
              <w:rPr>
                <w:rFonts w:ascii="Arial" w:hAnsi="Arial"/>
                <w:b/>
                <w:bCs/>
                <w:color w:val="FFFFFF"/>
                <w:sz w:val="2"/>
                <w:szCs w:val="2"/>
                <w:rtl/>
              </w:rPr>
              <w:t>54678313</w:t>
            </w:r>
            <w:r>
              <w:rPr>
                <w:rFonts w:ascii="Arial" w:hAnsi="Arial"/>
                <w:b/>
                <w:bCs/>
                <w:sz w:val="26"/>
                <w:szCs w:val="26"/>
                <w:rtl/>
              </w:rPr>
              <w:t xml:space="preserve">ניתן היום,  ב' טבת תשפ"ד, 14 דצמבר 2023, בנוכחות הצדדים.         </w:t>
            </w:r>
            <w:bookmarkEnd w:id="8"/>
            <w:r w:rsidR="009D4640">
              <w:rPr>
                <w:rtl/>
              </w:rPr>
              <w:fldChar w:fldCharType="begin"/>
            </w:r>
            <w:r w:rsidR="00691E26">
              <w:rPr>
                <w:rtl/>
              </w:rPr>
              <w:instrText xml:space="preserve"> </w:instrText>
            </w:r>
            <w:r w:rsidR="00691E26">
              <w:instrText xml:space="preserve">INCLUDEPICTURE </w:instrText>
            </w:r>
            <w:r w:rsidR="00691E26">
              <w:rPr>
                <w:rtl/>
              </w:rPr>
              <w:instrText>"</w:instrText>
            </w:r>
            <w:r w:rsidR="00691E26">
              <w:instrText>cid:image001.png@01DA2C3C.CBBC0DD0" \* MERGEFORMAT</w:instrText>
            </w:r>
            <w:r w:rsidR="00691E26">
              <w:rPr>
                <w:rtl/>
              </w:rPr>
              <w:instrText xml:space="preserve"> </w:instrText>
            </w:r>
            <w:r w:rsidR="009D4640">
              <w:rPr>
                <w:rtl/>
              </w:rPr>
              <w:fldChar w:fldCharType="separate"/>
            </w:r>
            <w:r w:rsidR="009D4640">
              <w:rPr>
                <w:rtl/>
              </w:rPr>
              <w:fldChar w:fldCharType="end"/>
            </w:r>
          </w:p>
          <w:p w14:paraId="0542C80F" w14:textId="77777777" w:rsidR="00691E26" w:rsidRDefault="00691E26" w:rsidP="00B0259F">
            <w:pPr>
              <w:jc w:val="center"/>
              <w:rPr>
                <w:sz w:val="20"/>
                <w:szCs w:val="20"/>
              </w:rPr>
            </w:pPr>
          </w:p>
        </w:tc>
      </w:tr>
      <w:tr w:rsidR="00691E26" w14:paraId="79355521" w14:textId="77777777" w:rsidTr="00B0259F">
        <w:trPr>
          <w:trHeight w:val="361"/>
        </w:trPr>
        <w:tc>
          <w:tcPr>
            <w:tcW w:w="3936" w:type="dxa"/>
            <w:tcMar>
              <w:top w:w="0" w:type="dxa"/>
              <w:left w:w="108" w:type="dxa"/>
              <w:bottom w:w="0" w:type="dxa"/>
              <w:right w:w="108" w:type="dxa"/>
            </w:tcMar>
            <w:vAlign w:val="center"/>
          </w:tcPr>
          <w:p w14:paraId="4C7680BB" w14:textId="77777777" w:rsidR="00691E26" w:rsidRDefault="00691E26" w:rsidP="00B0259F">
            <w:pPr>
              <w:jc w:val="center"/>
              <w:rPr>
                <w:rFonts w:ascii="David" w:hAnsi="David"/>
                <w:b/>
                <w:bCs/>
                <w:sz w:val="20"/>
                <w:szCs w:val="20"/>
                <w:rtl/>
              </w:rPr>
            </w:pPr>
            <w:r>
              <w:rPr>
                <w:rFonts w:ascii="David" w:hAnsi="David"/>
                <w:b/>
                <w:bCs/>
                <w:sz w:val="20"/>
                <w:szCs w:val="20"/>
                <w:rtl/>
              </w:rPr>
              <w:t>אריה דורני-דורון</w:t>
            </w:r>
            <w:r>
              <w:rPr>
                <w:b/>
                <w:bCs/>
                <w:sz w:val="20"/>
                <w:szCs w:val="20"/>
                <w:rtl/>
              </w:rPr>
              <w:t>, שופט</w:t>
            </w:r>
          </w:p>
        </w:tc>
      </w:tr>
    </w:tbl>
    <w:p w14:paraId="0E0FD2F8" w14:textId="77777777" w:rsidR="00691E26" w:rsidRPr="000F2247" w:rsidRDefault="00691E26" w:rsidP="00E417A5">
      <w:r w:rsidRPr="000F2247">
        <w:rPr>
          <w:rFonts w:ascii="Arial" w:hAnsi="Arial"/>
          <w:b/>
          <w:bCs/>
          <w:sz w:val="26"/>
          <w:szCs w:val="26"/>
          <w:rtl/>
        </w:rPr>
        <w:tab/>
      </w:r>
    </w:p>
    <w:p w14:paraId="101D30DD" w14:textId="77777777" w:rsidR="00691E26" w:rsidRPr="000F2247" w:rsidRDefault="00691E26" w:rsidP="00691E26">
      <w:pPr>
        <w:rPr>
          <w:rFonts w:ascii="Arial" w:hAnsi="Arial"/>
          <w:b/>
          <w:bCs/>
          <w:sz w:val="26"/>
          <w:szCs w:val="26"/>
          <w:rtl/>
        </w:rPr>
      </w:pPr>
    </w:p>
    <w:p w14:paraId="4AE84DAD" w14:textId="77777777" w:rsidR="00EE64AB" w:rsidRPr="00E417A5" w:rsidRDefault="00EE64AB" w:rsidP="00E417A5">
      <w:pPr>
        <w:keepNext/>
        <w:rPr>
          <w:rFonts w:ascii="David" w:hAnsi="David"/>
          <w:color w:val="000000"/>
          <w:sz w:val="22"/>
          <w:szCs w:val="22"/>
          <w:rtl/>
        </w:rPr>
      </w:pPr>
    </w:p>
    <w:p w14:paraId="4CF8B2F3" w14:textId="77777777" w:rsidR="00E417A5" w:rsidRPr="00E417A5" w:rsidRDefault="00E417A5" w:rsidP="00E417A5">
      <w:pPr>
        <w:keepNext/>
        <w:rPr>
          <w:rFonts w:ascii="David" w:hAnsi="David"/>
          <w:color w:val="000000"/>
          <w:sz w:val="22"/>
          <w:szCs w:val="22"/>
          <w:rtl/>
        </w:rPr>
      </w:pPr>
      <w:r w:rsidRPr="00E417A5">
        <w:rPr>
          <w:rFonts w:ascii="David" w:hAnsi="David"/>
          <w:color w:val="000000"/>
          <w:sz w:val="22"/>
          <w:szCs w:val="22"/>
          <w:rtl/>
        </w:rPr>
        <w:t>אריה דורני דורון 54678313</w:t>
      </w:r>
    </w:p>
    <w:p w14:paraId="7BF5EA97" w14:textId="77777777" w:rsidR="00E417A5" w:rsidRDefault="00E417A5" w:rsidP="00E417A5">
      <w:r w:rsidRPr="00E417A5">
        <w:rPr>
          <w:color w:val="000000"/>
          <w:rtl/>
        </w:rPr>
        <w:t>נוסח מסמך זה כפוף לשינויי ניסוח ועריכה</w:t>
      </w:r>
    </w:p>
    <w:p w14:paraId="2435ACA7" w14:textId="77777777" w:rsidR="00E417A5" w:rsidRDefault="00E417A5" w:rsidP="00E417A5">
      <w:pPr>
        <w:rPr>
          <w:rtl/>
        </w:rPr>
      </w:pPr>
    </w:p>
    <w:p w14:paraId="3A2D37A5" w14:textId="77777777" w:rsidR="00E417A5" w:rsidRDefault="00E417A5" w:rsidP="00E417A5">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73BC7886" w14:textId="77777777" w:rsidR="00E417A5" w:rsidRPr="00E417A5" w:rsidRDefault="00E417A5" w:rsidP="00E417A5">
      <w:pPr>
        <w:jc w:val="center"/>
        <w:rPr>
          <w:color w:val="0000FF"/>
          <w:u w:val="single"/>
        </w:rPr>
      </w:pPr>
    </w:p>
    <w:sectPr w:rsidR="00E417A5" w:rsidRPr="00E417A5" w:rsidSect="00E417A5">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56345" w14:textId="77777777" w:rsidR="008E6AFD" w:rsidRDefault="008E6AFD" w:rsidP="009D4640">
      <w:r>
        <w:separator/>
      </w:r>
    </w:p>
  </w:endnote>
  <w:endnote w:type="continuationSeparator" w:id="0">
    <w:p w14:paraId="62EF7667" w14:textId="77777777" w:rsidR="008E6AFD" w:rsidRDefault="008E6AFD" w:rsidP="009D4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F4723" w14:textId="77777777" w:rsidR="00E417A5" w:rsidRDefault="00E417A5" w:rsidP="00E417A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48F0D2" w14:textId="77777777" w:rsidR="00B0259F" w:rsidRPr="00E417A5" w:rsidRDefault="00E417A5" w:rsidP="00E417A5">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04403" w14:textId="77777777" w:rsidR="00E417A5" w:rsidRDefault="00E417A5" w:rsidP="00E417A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05AB">
      <w:rPr>
        <w:rFonts w:ascii="FrankRuehl" w:hAnsi="FrankRuehl" w:cs="FrankRuehl"/>
        <w:noProof/>
        <w:rtl/>
      </w:rPr>
      <w:t>1</w:t>
    </w:r>
    <w:r>
      <w:rPr>
        <w:rFonts w:ascii="FrankRuehl" w:hAnsi="FrankRuehl" w:cs="FrankRuehl"/>
        <w:rtl/>
      </w:rPr>
      <w:fldChar w:fldCharType="end"/>
    </w:r>
  </w:p>
  <w:p w14:paraId="4E2E1143" w14:textId="77777777" w:rsidR="00B0259F" w:rsidRPr="00E417A5" w:rsidRDefault="00E417A5" w:rsidP="00E417A5">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8F37C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17673" w14:textId="77777777" w:rsidR="008E6AFD" w:rsidRDefault="008E6AFD" w:rsidP="009D4640">
      <w:r>
        <w:separator/>
      </w:r>
    </w:p>
  </w:footnote>
  <w:footnote w:type="continuationSeparator" w:id="0">
    <w:p w14:paraId="3563E547" w14:textId="77777777" w:rsidR="008E6AFD" w:rsidRDefault="008E6AFD" w:rsidP="009D4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C55D8" w14:textId="77777777" w:rsidR="00E417A5" w:rsidRPr="00E417A5" w:rsidRDefault="00E417A5" w:rsidP="00E417A5">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52204-12-21</w:t>
    </w:r>
    <w:r>
      <w:rPr>
        <w:rFonts w:ascii="David" w:hAnsi="David"/>
        <w:color w:val="000000"/>
        <w:sz w:val="22"/>
        <w:szCs w:val="22"/>
        <w:rtl/>
      </w:rPr>
      <w:tab/>
      <w:t xml:space="preserve"> מדינת ישראל נ' מרדכי נתנאל אואקנין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14302" w14:textId="77777777" w:rsidR="00E417A5" w:rsidRPr="00E417A5" w:rsidRDefault="00E417A5" w:rsidP="00E417A5">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52204-12-21</w:t>
    </w:r>
    <w:r>
      <w:rPr>
        <w:rFonts w:ascii="David" w:hAnsi="David"/>
        <w:color w:val="000000"/>
        <w:sz w:val="22"/>
        <w:szCs w:val="22"/>
        <w:rtl/>
      </w:rPr>
      <w:tab/>
      <w:t xml:space="preserve"> מדינת ישראל נ' מרדכי נתנאל אואקנין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26BCB"/>
    <w:multiLevelType w:val="hybridMultilevel"/>
    <w:tmpl w:val="4B3A70D4"/>
    <w:lvl w:ilvl="0" w:tplc="04090013">
      <w:start w:val="1"/>
      <w:numFmt w:val="hebrew1"/>
      <w:lvlText w:val="%1."/>
      <w:lvlJc w:val="center"/>
      <w:pPr>
        <w:ind w:left="810" w:hanging="45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F76F09"/>
    <w:multiLevelType w:val="hybridMultilevel"/>
    <w:tmpl w:val="D6F29AE4"/>
    <w:lvl w:ilvl="0" w:tplc="4FD65CD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2685967"/>
    <w:multiLevelType w:val="hybridMultilevel"/>
    <w:tmpl w:val="FAE49D4C"/>
    <w:lvl w:ilvl="0" w:tplc="815E8B00">
      <w:start w:val="1"/>
      <w:numFmt w:val="hebrew1"/>
      <w:pStyle w:val="a"/>
      <w:lvlText w:val="%1."/>
      <w:lvlJc w:val="center"/>
      <w:pPr>
        <w:ind w:left="1080" w:hanging="360"/>
      </w:pPr>
    </w:lvl>
    <w:lvl w:ilvl="1" w:tplc="20F6DC5C">
      <w:start w:val="1"/>
      <w:numFmt w:val="lowerLetter"/>
      <w:lvlText w:val="%2."/>
      <w:lvlJc w:val="left"/>
      <w:pPr>
        <w:ind w:left="1800" w:hanging="360"/>
      </w:pPr>
    </w:lvl>
    <w:lvl w:ilvl="2" w:tplc="49A0D2DE">
      <w:start w:val="1"/>
      <w:numFmt w:val="lowerRoman"/>
      <w:lvlText w:val="%3."/>
      <w:lvlJc w:val="right"/>
      <w:pPr>
        <w:ind w:left="2520" w:hanging="180"/>
      </w:pPr>
    </w:lvl>
    <w:lvl w:ilvl="3" w:tplc="47BC662C">
      <w:start w:val="1"/>
      <w:numFmt w:val="decimal"/>
      <w:lvlText w:val="%4."/>
      <w:lvlJc w:val="left"/>
      <w:pPr>
        <w:ind w:left="3240" w:hanging="360"/>
      </w:pPr>
    </w:lvl>
    <w:lvl w:ilvl="4" w:tplc="FC8C2294">
      <w:start w:val="1"/>
      <w:numFmt w:val="lowerLetter"/>
      <w:lvlText w:val="%5."/>
      <w:lvlJc w:val="left"/>
      <w:pPr>
        <w:ind w:left="3960" w:hanging="360"/>
      </w:pPr>
    </w:lvl>
    <w:lvl w:ilvl="5" w:tplc="F2E602FC">
      <w:start w:val="1"/>
      <w:numFmt w:val="lowerRoman"/>
      <w:lvlText w:val="%6."/>
      <w:lvlJc w:val="right"/>
      <w:pPr>
        <w:ind w:left="4680" w:hanging="180"/>
      </w:pPr>
    </w:lvl>
    <w:lvl w:ilvl="6" w:tplc="E4EA60A6">
      <w:start w:val="1"/>
      <w:numFmt w:val="decimal"/>
      <w:lvlText w:val="%7."/>
      <w:lvlJc w:val="left"/>
      <w:pPr>
        <w:ind w:left="5400" w:hanging="360"/>
      </w:pPr>
    </w:lvl>
    <w:lvl w:ilvl="7" w:tplc="3D24F2C4">
      <w:start w:val="1"/>
      <w:numFmt w:val="lowerLetter"/>
      <w:lvlText w:val="%8."/>
      <w:lvlJc w:val="left"/>
      <w:pPr>
        <w:ind w:left="6120" w:hanging="360"/>
      </w:pPr>
    </w:lvl>
    <w:lvl w:ilvl="8" w:tplc="11507A7E">
      <w:start w:val="1"/>
      <w:numFmt w:val="lowerRoman"/>
      <w:lvlText w:val="%9."/>
      <w:lvlJc w:val="right"/>
      <w:pPr>
        <w:ind w:left="6840" w:hanging="180"/>
      </w:pPr>
    </w:lvl>
  </w:abstractNum>
  <w:abstractNum w:abstractNumId="3" w15:restartNumberingAfterBreak="0">
    <w:nsid w:val="7FE9632C"/>
    <w:multiLevelType w:val="hybridMultilevel"/>
    <w:tmpl w:val="CC50C39C"/>
    <w:lvl w:ilvl="0" w:tplc="BB02AE7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495284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16673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54666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282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1E26"/>
    <w:rsid w:val="001B5A3B"/>
    <w:rsid w:val="00223C40"/>
    <w:rsid w:val="002911BF"/>
    <w:rsid w:val="00691E26"/>
    <w:rsid w:val="006C3726"/>
    <w:rsid w:val="006D11E3"/>
    <w:rsid w:val="008E6AFD"/>
    <w:rsid w:val="009505AB"/>
    <w:rsid w:val="00967647"/>
    <w:rsid w:val="009A61D3"/>
    <w:rsid w:val="009D4640"/>
    <w:rsid w:val="00A00BF8"/>
    <w:rsid w:val="00B0259F"/>
    <w:rsid w:val="00B07564"/>
    <w:rsid w:val="00B9258F"/>
    <w:rsid w:val="00E417A5"/>
    <w:rsid w:val="00EE64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8052B0"/>
  <w15:chartTrackingRefBased/>
  <w15:docId w15:val="{A4279C8B-6DF2-40F3-81A5-FBF735E8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91E26"/>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691E26"/>
    <w:pPr>
      <w:tabs>
        <w:tab w:val="center" w:pos="4153"/>
        <w:tab w:val="right" w:pos="8306"/>
      </w:tabs>
    </w:pPr>
  </w:style>
  <w:style w:type="character" w:customStyle="1" w:styleId="a5">
    <w:name w:val="כותרת עליונה תו"/>
    <w:link w:val="a4"/>
    <w:rsid w:val="00691E26"/>
    <w:rPr>
      <w:rFonts w:ascii="Times New Roman" w:eastAsia="Times New Roman" w:hAnsi="Times New Roman" w:cs="David"/>
      <w:sz w:val="24"/>
      <w:szCs w:val="24"/>
    </w:rPr>
  </w:style>
  <w:style w:type="paragraph" w:styleId="a6">
    <w:name w:val="footer"/>
    <w:basedOn w:val="a0"/>
    <w:link w:val="a7"/>
    <w:rsid w:val="00691E26"/>
    <w:pPr>
      <w:tabs>
        <w:tab w:val="center" w:pos="4153"/>
        <w:tab w:val="right" w:pos="8306"/>
      </w:tabs>
    </w:pPr>
  </w:style>
  <w:style w:type="character" w:customStyle="1" w:styleId="a7">
    <w:name w:val="כותרת תחתונה תו"/>
    <w:link w:val="a6"/>
    <w:rsid w:val="00691E26"/>
    <w:rPr>
      <w:rFonts w:ascii="Times New Roman" w:eastAsia="Times New Roman" w:hAnsi="Times New Roman" w:cs="David"/>
      <w:sz w:val="24"/>
      <w:szCs w:val="24"/>
    </w:rPr>
  </w:style>
  <w:style w:type="table" w:styleId="a8">
    <w:name w:val="Table Grid"/>
    <w:basedOn w:val="a2"/>
    <w:rsid w:val="00691E2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691E26"/>
  </w:style>
  <w:style w:type="character" w:styleId="Hyperlink">
    <w:name w:val="Hyperlink"/>
    <w:rsid w:val="00691E26"/>
    <w:rPr>
      <w:color w:val="0000FF"/>
      <w:u w:val="single"/>
    </w:rPr>
  </w:style>
  <w:style w:type="character" w:customStyle="1" w:styleId="aa">
    <w:name w:val="פיסקת רשימה תו"/>
    <w:link w:val="ab"/>
    <w:locked/>
    <w:rsid w:val="00691E26"/>
  </w:style>
  <w:style w:type="paragraph" w:styleId="ab">
    <w:name w:val="List Paragraph"/>
    <w:basedOn w:val="a0"/>
    <w:link w:val="aa"/>
    <w:qFormat/>
    <w:rsid w:val="00691E26"/>
    <w:pPr>
      <w:spacing w:after="160" w:line="256" w:lineRule="auto"/>
      <w:ind w:left="720"/>
      <w:contextualSpacing/>
    </w:pPr>
    <w:rPr>
      <w:rFonts w:ascii="Calibri" w:eastAsia="Calibri" w:hAnsi="Calibri" w:cs="Arial"/>
      <w:sz w:val="22"/>
      <w:szCs w:val="22"/>
    </w:rPr>
  </w:style>
  <w:style w:type="paragraph" w:customStyle="1" w:styleId="ac">
    <w:name w:val="ללא מספור"/>
    <w:rsid w:val="00691E26"/>
    <w:pPr>
      <w:bidi/>
      <w:spacing w:after="240" w:line="360" w:lineRule="auto"/>
      <w:ind w:left="709"/>
      <w:jc w:val="both"/>
    </w:pPr>
    <w:rPr>
      <w:rFonts w:ascii="David" w:hAnsi="David" w:cs="David"/>
      <w:sz w:val="24"/>
      <w:szCs w:val="24"/>
    </w:rPr>
  </w:style>
  <w:style w:type="paragraph" w:customStyle="1" w:styleId="ad">
    <w:name w:val="צטוט"/>
    <w:next w:val="ac"/>
    <w:rsid w:val="00691E26"/>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691E26"/>
    <w:pPr>
      <w:bidi/>
      <w:spacing w:after="120" w:line="360" w:lineRule="auto"/>
      <w:ind w:left="1218"/>
      <w:jc w:val="both"/>
    </w:pPr>
    <w:rPr>
      <w:rFonts w:ascii="David" w:hAnsi="David" w:cs="David"/>
      <w:sz w:val="24"/>
      <w:szCs w:val="24"/>
    </w:rPr>
  </w:style>
  <w:style w:type="paragraph" w:customStyle="1" w:styleId="a">
    <w:name w:val="מספור אות"/>
    <w:next w:val="-"/>
    <w:rsid w:val="00691E26"/>
    <w:pPr>
      <w:numPr>
        <w:numId w:val="1"/>
      </w:numPr>
      <w:bidi/>
      <w:spacing w:before="240" w:after="120" w:line="360" w:lineRule="auto"/>
      <w:ind w:left="1218"/>
    </w:pPr>
    <w:rPr>
      <w:rFonts w:ascii="David" w:hAnsi="David"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8606523" TargetMode="External"/><Relationship Id="rId18" Type="http://schemas.openxmlformats.org/officeDocument/2006/relationships/hyperlink" Target="http://www.nevo.co.il/case/25729265"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case/5738608" TargetMode="External"/><Relationship Id="rId17" Type="http://schemas.openxmlformats.org/officeDocument/2006/relationships/hyperlink" Target="http://www.nevo.co.il/case/487216"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5170307" TargetMode="External"/><Relationship Id="rId20" Type="http://schemas.openxmlformats.org/officeDocument/2006/relationships/hyperlink" Target="http://www.nevo.co.il/case/27425003"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case/28578768"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4216/7.a.;7.c" TargetMode="External"/><Relationship Id="rId19" Type="http://schemas.openxmlformats.org/officeDocument/2006/relationships/hyperlink" Target="http://www.nevo.co.il/case/397426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6169070" TargetMode="External"/><Relationship Id="rId22" Type="http://schemas.openxmlformats.org/officeDocument/2006/relationships/hyperlink" Target="http://www.nevo.co.il/law/421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3261</Words>
  <Characters>16308</Characters>
  <Application>Microsoft Office Word</Application>
  <DocSecurity>0</DocSecurity>
  <Lines>135</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19530</CharactersWithSpaces>
  <SharedDoc>false</SharedDoc>
  <HLinks>
    <vt:vector size="114"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3342449</vt:i4>
      </vt:variant>
      <vt:variant>
        <vt:i4>39</vt:i4>
      </vt:variant>
      <vt:variant>
        <vt:i4>0</vt:i4>
      </vt:variant>
      <vt:variant>
        <vt:i4>5</vt:i4>
      </vt:variant>
      <vt:variant>
        <vt:lpwstr>http://www.nevo.co.il/case/27425003</vt:lpwstr>
      </vt:variant>
      <vt:variant>
        <vt:lpwstr/>
      </vt:variant>
      <vt:variant>
        <vt:i4>3276927</vt:i4>
      </vt:variant>
      <vt:variant>
        <vt:i4>36</vt:i4>
      </vt:variant>
      <vt:variant>
        <vt:i4>0</vt:i4>
      </vt:variant>
      <vt:variant>
        <vt:i4>5</vt:i4>
      </vt:variant>
      <vt:variant>
        <vt:lpwstr>http://www.nevo.co.il/case/3974264</vt:lpwstr>
      </vt:variant>
      <vt:variant>
        <vt:lpwstr/>
      </vt:variant>
      <vt:variant>
        <vt:i4>3801201</vt:i4>
      </vt:variant>
      <vt:variant>
        <vt:i4>33</vt:i4>
      </vt:variant>
      <vt:variant>
        <vt:i4>0</vt:i4>
      </vt:variant>
      <vt:variant>
        <vt:i4>5</vt:i4>
      </vt:variant>
      <vt:variant>
        <vt:lpwstr>http://www.nevo.co.il/case/25729265</vt:lpwstr>
      </vt:variant>
      <vt:variant>
        <vt:lpwstr/>
      </vt:variant>
      <vt:variant>
        <vt:i4>131150</vt:i4>
      </vt:variant>
      <vt:variant>
        <vt:i4>30</vt:i4>
      </vt:variant>
      <vt:variant>
        <vt:i4>0</vt:i4>
      </vt:variant>
      <vt:variant>
        <vt:i4>5</vt:i4>
      </vt:variant>
      <vt:variant>
        <vt:lpwstr>http://www.nevo.co.il/case/487216</vt:lpwstr>
      </vt:variant>
      <vt:variant>
        <vt:lpwstr/>
      </vt:variant>
      <vt:variant>
        <vt:i4>3539061</vt:i4>
      </vt:variant>
      <vt:variant>
        <vt:i4>27</vt:i4>
      </vt:variant>
      <vt:variant>
        <vt:i4>0</vt:i4>
      </vt:variant>
      <vt:variant>
        <vt:i4>5</vt:i4>
      </vt:variant>
      <vt:variant>
        <vt:lpwstr>http://www.nevo.co.il/case/5170307</vt:lpwstr>
      </vt:variant>
      <vt:variant>
        <vt:lpwstr/>
      </vt:variant>
      <vt:variant>
        <vt:i4>3735676</vt:i4>
      </vt:variant>
      <vt:variant>
        <vt:i4>24</vt:i4>
      </vt:variant>
      <vt:variant>
        <vt:i4>0</vt:i4>
      </vt:variant>
      <vt:variant>
        <vt:i4>5</vt:i4>
      </vt:variant>
      <vt:variant>
        <vt:lpwstr>http://www.nevo.co.il/case/28578768</vt:lpwstr>
      </vt:variant>
      <vt:variant>
        <vt:lpwstr/>
      </vt:variant>
      <vt:variant>
        <vt:i4>3145851</vt:i4>
      </vt:variant>
      <vt:variant>
        <vt:i4>21</vt:i4>
      </vt:variant>
      <vt:variant>
        <vt:i4>0</vt:i4>
      </vt:variant>
      <vt:variant>
        <vt:i4>5</vt:i4>
      </vt:variant>
      <vt:variant>
        <vt:lpwstr>http://www.nevo.co.il/case/6169070</vt:lpwstr>
      </vt:variant>
      <vt:variant>
        <vt:lpwstr/>
      </vt:variant>
      <vt:variant>
        <vt:i4>3145849</vt:i4>
      </vt:variant>
      <vt:variant>
        <vt:i4>18</vt:i4>
      </vt:variant>
      <vt:variant>
        <vt:i4>0</vt:i4>
      </vt:variant>
      <vt:variant>
        <vt:i4>5</vt:i4>
      </vt:variant>
      <vt:variant>
        <vt:lpwstr>http://www.nevo.co.il/case/28606523</vt:lpwstr>
      </vt:variant>
      <vt:variant>
        <vt:lpwstr/>
      </vt:variant>
      <vt:variant>
        <vt:i4>3670139</vt:i4>
      </vt:variant>
      <vt:variant>
        <vt:i4>15</vt:i4>
      </vt:variant>
      <vt:variant>
        <vt:i4>0</vt:i4>
      </vt:variant>
      <vt:variant>
        <vt:i4>5</vt:i4>
      </vt:variant>
      <vt:variant>
        <vt:lpwstr>http://www.nevo.co.il/case/5738608</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2025-04-23T01:18:00Z</dcterms:created>
  <dcterms:modified xsi:type="dcterms:W3CDTF">2025-04-23T01:18:00Z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52204</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מרדכי נתנאל אואקנין</vt:lpwstr>
  </property>
  <property fmtid="{D5CDD505-2E9C-101B-9397-08002B2CF9AE}" pid="10" name="LAWYER">
    <vt:lpwstr>זוהר נאור;עמית דוישטר</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20231214</vt:lpwstr>
  </property>
  <property fmtid="{D5CDD505-2E9C-101B-9397-08002B2CF9AE}" pid="14" name="TYPE_N_DATE">
    <vt:lpwstr>38020231214</vt:lpwstr>
  </property>
  <property fmtid="{D5CDD505-2E9C-101B-9397-08002B2CF9AE}" pid="15" name="WORDNUMPAGES">
    <vt:lpwstr>11</vt:lpwstr>
  </property>
  <property fmtid="{D5CDD505-2E9C-101B-9397-08002B2CF9AE}" pid="16" name="TYPE_ABS_DATE">
    <vt:lpwstr>380020231214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5738608;28606523;6169070;28578768;5170307;487216;25729265;3974264;27425003</vt:lpwstr>
  </property>
  <property fmtid="{D5CDD505-2E9C-101B-9397-08002B2CF9AE}" pid="36" name="LAWLISTTMP1">
    <vt:lpwstr>4216/007.a;007.c</vt:lpwstr>
  </property>
</Properties>
</file>