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97A8A" w:rsidRPr="00C02D67" w14:paraId="368EB9CE" w14:textId="77777777" w:rsidTr="00554FF4">
        <w:trPr>
          <w:gridAfter w:val="1"/>
          <w:wAfter w:w="99" w:type="dxa"/>
          <w:trHeight w:hRule="exact" w:val="418"/>
          <w:jc w:val="center"/>
        </w:trPr>
        <w:tc>
          <w:tcPr>
            <w:tcW w:w="8721" w:type="dxa"/>
            <w:gridSpan w:val="4"/>
          </w:tcPr>
          <w:p w14:paraId="6F8AAFFF" w14:textId="77777777" w:rsidR="00197A8A" w:rsidRPr="00C02D67" w:rsidRDefault="00197A8A" w:rsidP="00026978">
            <w:pPr>
              <w:pStyle w:val="a3"/>
              <w:jc w:val="center"/>
              <w:rPr>
                <w:rFonts w:ascii="Tahoma" w:hAnsi="Tahoma" w:cs="Tahoma"/>
                <w:color w:val="000080"/>
                <w:rtl/>
              </w:rPr>
            </w:pPr>
            <w:bookmarkStart w:id="0" w:name="FirstLawyer"/>
            <w:bookmarkStart w:id="1" w:name="LastJudge"/>
            <w:r w:rsidRPr="00C02D67">
              <w:rPr>
                <w:rFonts w:ascii="Tahoma" w:hAnsi="Tahoma" w:cs="Tahoma"/>
                <w:b/>
                <w:bCs/>
                <w:color w:val="000080"/>
                <w:rtl/>
              </w:rPr>
              <w:t>בית משפט השלום בבאר שבע</w:t>
            </w:r>
          </w:p>
        </w:tc>
      </w:tr>
      <w:tr w:rsidR="00197A8A" w:rsidRPr="00C02D67" w14:paraId="6554DF76" w14:textId="77777777" w:rsidTr="00554FF4">
        <w:trPr>
          <w:gridAfter w:val="1"/>
          <w:wAfter w:w="99" w:type="dxa"/>
          <w:trHeight w:val="337"/>
          <w:jc w:val="center"/>
        </w:trPr>
        <w:tc>
          <w:tcPr>
            <w:tcW w:w="5054" w:type="dxa"/>
            <w:gridSpan w:val="3"/>
          </w:tcPr>
          <w:p w14:paraId="1C7AEA88" w14:textId="77777777" w:rsidR="00197A8A" w:rsidRPr="00C02D67" w:rsidRDefault="00197A8A" w:rsidP="00026978">
            <w:pPr>
              <w:rPr>
                <w:rFonts w:ascii="FrankRuehl" w:hAnsi="FrankRuehl" w:cs="FrankRuehl"/>
                <w:sz w:val="28"/>
                <w:szCs w:val="28"/>
                <w:rtl/>
              </w:rPr>
            </w:pPr>
            <w:r w:rsidRPr="00C02D67">
              <w:rPr>
                <w:rFonts w:ascii="FrankRuehl" w:hAnsi="FrankRuehl" w:cs="FrankRuehl"/>
                <w:sz w:val="28"/>
                <w:szCs w:val="28"/>
                <w:rtl/>
              </w:rPr>
              <w:t>ת"פ 55335-12-21 מדינת ישראל נ' אבו עראר</w:t>
            </w:r>
            <w:r w:rsidRPr="00C02D67">
              <w:rPr>
                <w:rFonts w:ascii="FrankRuehl" w:hAnsi="FrankRuehl" w:cs="FrankRuehl"/>
                <w:sz w:val="28"/>
                <w:szCs w:val="28"/>
                <w:rtl/>
              </w:rPr>
              <w:br/>
              <w:t>ת"פ 2296-06-22 מדינת ישראל נ' אבו עראר</w:t>
            </w:r>
          </w:p>
          <w:p w14:paraId="32841CF4" w14:textId="77777777" w:rsidR="00197A8A" w:rsidRPr="00C02D67" w:rsidRDefault="00197A8A" w:rsidP="00026978">
            <w:pPr>
              <w:pStyle w:val="a3"/>
              <w:rPr>
                <w:rFonts w:cs="FrankRuehl"/>
                <w:sz w:val="28"/>
                <w:szCs w:val="28"/>
                <w:rtl/>
              </w:rPr>
            </w:pPr>
          </w:p>
        </w:tc>
        <w:tc>
          <w:tcPr>
            <w:tcW w:w="3667" w:type="dxa"/>
          </w:tcPr>
          <w:p w14:paraId="1157834D" w14:textId="77777777" w:rsidR="00197A8A" w:rsidRPr="00C02D67" w:rsidRDefault="00197A8A" w:rsidP="00026978">
            <w:pPr>
              <w:pStyle w:val="a3"/>
              <w:jc w:val="right"/>
              <w:rPr>
                <w:rFonts w:cs="FrankRuehl"/>
                <w:sz w:val="28"/>
                <w:szCs w:val="28"/>
                <w:rtl/>
              </w:rPr>
            </w:pPr>
          </w:p>
        </w:tc>
      </w:tr>
      <w:tr w:rsidR="00197A8A" w:rsidRPr="00C02D67" w14:paraId="24CB82DE" w14:textId="77777777" w:rsidTr="00554F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40D9E71" w14:textId="77777777" w:rsidR="00197A8A" w:rsidRPr="00C02D67" w:rsidRDefault="00197A8A" w:rsidP="00197A8A">
            <w:pPr>
              <w:jc w:val="both"/>
              <w:rPr>
                <w:rFonts w:ascii="David" w:hAnsi="David"/>
                <w:sz w:val="26"/>
                <w:szCs w:val="26"/>
              </w:rPr>
            </w:pPr>
            <w:r w:rsidRPr="00C02D67">
              <w:rPr>
                <w:rFonts w:hint="cs"/>
                <w:rtl/>
              </w:rPr>
              <w:t xml:space="preserve"> </w:t>
            </w:r>
            <w:r w:rsidRPr="00C02D67">
              <w:rPr>
                <w:rFonts w:ascii="David" w:hAnsi="David" w:hint="cs"/>
                <w:sz w:val="26"/>
                <w:szCs w:val="26"/>
                <w:rtl/>
              </w:rPr>
              <w:t>ל</w:t>
            </w:r>
            <w:r w:rsidRPr="00C02D6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9841019" w14:textId="77777777" w:rsidR="00197A8A" w:rsidRPr="00C02D67" w:rsidRDefault="00197A8A" w:rsidP="00026978">
            <w:pPr>
              <w:rPr>
                <w:rFonts w:ascii="David" w:hAnsi="David"/>
                <w:b/>
                <w:bCs/>
                <w:sz w:val="26"/>
                <w:szCs w:val="26"/>
                <w:rtl/>
              </w:rPr>
            </w:pPr>
            <w:r w:rsidRPr="00C02D67">
              <w:rPr>
                <w:rFonts w:ascii="David" w:hAnsi="David"/>
                <w:b/>
                <w:bCs/>
                <w:sz w:val="26"/>
                <w:szCs w:val="26"/>
                <w:rtl/>
              </w:rPr>
              <w:t>כבוד השופט  אריה דורני-דורון</w:t>
            </w:r>
          </w:p>
          <w:p w14:paraId="7A6A47A6" w14:textId="77777777" w:rsidR="00197A8A" w:rsidRPr="00C02D67" w:rsidRDefault="00197A8A" w:rsidP="00026978">
            <w:pPr>
              <w:rPr>
                <w:rFonts w:ascii="David" w:hAnsi="David"/>
                <w:sz w:val="26"/>
                <w:szCs w:val="26"/>
                <w:rtl/>
              </w:rPr>
            </w:pPr>
          </w:p>
          <w:p w14:paraId="5A4BB0D3" w14:textId="77777777" w:rsidR="00197A8A" w:rsidRPr="00C02D67" w:rsidRDefault="00197A8A" w:rsidP="00197A8A">
            <w:pPr>
              <w:jc w:val="both"/>
              <w:rPr>
                <w:rFonts w:ascii="David" w:hAnsi="David"/>
                <w:sz w:val="26"/>
                <w:szCs w:val="26"/>
              </w:rPr>
            </w:pPr>
          </w:p>
        </w:tc>
      </w:tr>
      <w:tr w:rsidR="00197A8A" w:rsidRPr="00C02D67" w14:paraId="7694D2EB" w14:textId="77777777" w:rsidTr="00554F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684DED" w14:textId="77777777" w:rsidR="00197A8A" w:rsidRPr="00C02D67" w:rsidRDefault="00197A8A" w:rsidP="00197A8A">
            <w:pPr>
              <w:jc w:val="both"/>
              <w:rPr>
                <w:rFonts w:ascii="David" w:hAnsi="David"/>
                <w:sz w:val="26"/>
                <w:szCs w:val="26"/>
              </w:rPr>
            </w:pPr>
            <w:bookmarkStart w:id="2" w:name="FirstAppellant"/>
            <w:r w:rsidRPr="00C02D67">
              <w:rPr>
                <w:rFonts w:ascii="David" w:hAnsi="David"/>
                <w:sz w:val="26"/>
                <w:szCs w:val="26"/>
                <w:rtl/>
              </w:rPr>
              <w:t>בעניין:</w:t>
            </w:r>
          </w:p>
        </w:tc>
        <w:tc>
          <w:tcPr>
            <w:tcW w:w="3219" w:type="dxa"/>
            <w:tcBorders>
              <w:top w:val="nil"/>
              <w:left w:val="nil"/>
              <w:bottom w:val="nil"/>
              <w:right w:val="nil"/>
            </w:tcBorders>
            <w:shd w:val="clear" w:color="auto" w:fill="auto"/>
          </w:tcPr>
          <w:p w14:paraId="72823750" w14:textId="77777777" w:rsidR="00197A8A" w:rsidRPr="00C02D67" w:rsidRDefault="00197A8A" w:rsidP="00197A8A">
            <w:pPr>
              <w:suppressLineNumbers/>
            </w:pPr>
            <w:r w:rsidRPr="00C02D67">
              <w:rPr>
                <w:rFonts w:ascii="Arial" w:hAnsi="Arial" w:hint="cs"/>
                <w:b/>
                <w:bCs/>
                <w:sz w:val="26"/>
                <w:szCs w:val="26"/>
                <w:rtl/>
              </w:rPr>
              <w:t>ה</w:t>
            </w:r>
            <w:r w:rsidRPr="00C02D67">
              <w:rPr>
                <w:rFonts w:ascii="Arial" w:hAnsi="Arial"/>
                <w:b/>
                <w:bCs/>
                <w:sz w:val="26"/>
                <w:szCs w:val="26"/>
                <w:rtl/>
              </w:rPr>
              <w:t>מאשימה</w:t>
            </w:r>
          </w:p>
          <w:p w14:paraId="0890FD70" w14:textId="77777777" w:rsidR="00197A8A" w:rsidRPr="00C02D67" w:rsidRDefault="00197A8A" w:rsidP="0002697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D577174" w14:textId="77777777" w:rsidR="00197A8A" w:rsidRPr="00C02D67" w:rsidRDefault="00197A8A" w:rsidP="00197A8A">
            <w:pPr>
              <w:suppressLineNumbers/>
            </w:pPr>
            <w:r w:rsidRPr="00C02D67">
              <w:rPr>
                <w:rFonts w:ascii="Arial" w:hAnsi="Arial"/>
                <w:b/>
                <w:bCs/>
                <w:sz w:val="26"/>
                <w:szCs w:val="26"/>
                <w:rtl/>
              </w:rPr>
              <w:t>מדינת ישראל</w:t>
            </w:r>
            <w:r w:rsidRPr="00C02D67">
              <w:rPr>
                <w:rFonts w:ascii="Arial" w:hAnsi="Arial" w:hint="cs"/>
                <w:b/>
                <w:bCs/>
                <w:sz w:val="26"/>
                <w:szCs w:val="26"/>
                <w:rtl/>
              </w:rPr>
              <w:t xml:space="preserve"> </w:t>
            </w:r>
            <w:r w:rsidRPr="00C02D67">
              <w:rPr>
                <w:rFonts w:ascii="Arial" w:hAnsi="Arial"/>
                <w:b/>
                <w:bCs/>
                <w:sz w:val="26"/>
                <w:szCs w:val="26"/>
                <w:rtl/>
              </w:rPr>
              <w:t>ע"י ב"כ עוה"ד</w:t>
            </w:r>
          </w:p>
          <w:p w14:paraId="5EA838B8" w14:textId="77777777" w:rsidR="00197A8A" w:rsidRPr="00C02D67" w:rsidRDefault="00197A8A" w:rsidP="00026978">
            <w:pPr>
              <w:rPr>
                <w:rFonts w:ascii="David" w:hAnsi="David"/>
                <w:sz w:val="26"/>
                <w:szCs w:val="26"/>
              </w:rPr>
            </w:pPr>
          </w:p>
        </w:tc>
      </w:tr>
      <w:bookmarkEnd w:id="2"/>
      <w:tr w:rsidR="00197A8A" w:rsidRPr="00C02D67" w14:paraId="3F5E373E" w14:textId="77777777" w:rsidTr="00554F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6C66AD" w14:textId="77777777" w:rsidR="00197A8A" w:rsidRPr="00C02D67" w:rsidRDefault="00197A8A" w:rsidP="00197A8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7ABC481" w14:textId="77777777" w:rsidR="00197A8A" w:rsidRPr="00C02D67" w:rsidRDefault="00197A8A" w:rsidP="00197A8A">
            <w:pPr>
              <w:jc w:val="center"/>
              <w:rPr>
                <w:rFonts w:ascii="David" w:hAnsi="David"/>
                <w:b/>
                <w:bCs/>
                <w:sz w:val="26"/>
                <w:szCs w:val="26"/>
                <w:rtl/>
              </w:rPr>
            </w:pPr>
          </w:p>
          <w:p w14:paraId="239E518C" w14:textId="77777777" w:rsidR="00197A8A" w:rsidRPr="00C02D67" w:rsidRDefault="00197A8A" w:rsidP="00197A8A">
            <w:pPr>
              <w:jc w:val="center"/>
              <w:rPr>
                <w:rFonts w:ascii="David" w:hAnsi="David"/>
                <w:b/>
                <w:bCs/>
                <w:sz w:val="26"/>
                <w:szCs w:val="26"/>
                <w:rtl/>
              </w:rPr>
            </w:pPr>
            <w:r w:rsidRPr="00C02D67">
              <w:rPr>
                <w:rFonts w:ascii="David" w:hAnsi="David"/>
                <w:b/>
                <w:bCs/>
                <w:sz w:val="26"/>
                <w:szCs w:val="26"/>
                <w:rtl/>
              </w:rPr>
              <w:t>נגד</w:t>
            </w:r>
          </w:p>
          <w:p w14:paraId="0BAB22AE" w14:textId="77777777" w:rsidR="00197A8A" w:rsidRPr="00C02D67" w:rsidRDefault="00197A8A" w:rsidP="00197A8A">
            <w:pPr>
              <w:jc w:val="both"/>
              <w:rPr>
                <w:rFonts w:ascii="David" w:hAnsi="David"/>
                <w:sz w:val="26"/>
                <w:szCs w:val="26"/>
              </w:rPr>
            </w:pPr>
          </w:p>
        </w:tc>
      </w:tr>
      <w:tr w:rsidR="00197A8A" w:rsidRPr="00C02D67" w14:paraId="2F5E22C8" w14:textId="77777777" w:rsidTr="00554F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C7A0AAF" w14:textId="77777777" w:rsidR="00197A8A" w:rsidRPr="00C02D67" w:rsidRDefault="00197A8A" w:rsidP="00026978">
            <w:pPr>
              <w:rPr>
                <w:rFonts w:ascii="David" w:hAnsi="David"/>
                <w:sz w:val="26"/>
                <w:szCs w:val="26"/>
                <w:rtl/>
              </w:rPr>
            </w:pPr>
          </w:p>
        </w:tc>
        <w:tc>
          <w:tcPr>
            <w:tcW w:w="3219" w:type="dxa"/>
            <w:tcBorders>
              <w:top w:val="nil"/>
              <w:left w:val="nil"/>
              <w:bottom w:val="nil"/>
              <w:right w:val="nil"/>
            </w:tcBorders>
            <w:shd w:val="clear" w:color="auto" w:fill="auto"/>
          </w:tcPr>
          <w:p w14:paraId="10F8A827" w14:textId="77777777" w:rsidR="00197A8A" w:rsidRPr="00C02D67" w:rsidRDefault="00197A8A" w:rsidP="00026978">
            <w:pPr>
              <w:rPr>
                <w:rFonts w:ascii="Arial" w:hAnsi="Arial"/>
                <w:b/>
                <w:bCs/>
                <w:sz w:val="26"/>
                <w:szCs w:val="26"/>
                <w:rtl/>
              </w:rPr>
            </w:pPr>
            <w:r w:rsidRPr="00C02D67">
              <w:rPr>
                <w:rFonts w:ascii="Arial" w:hAnsi="Arial"/>
                <w:b/>
                <w:bCs/>
                <w:sz w:val="26"/>
                <w:szCs w:val="26"/>
                <w:rtl/>
              </w:rPr>
              <w:t>הנאש</w:t>
            </w:r>
            <w:r w:rsidRPr="00C02D67">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2E57AC12" w14:textId="77777777" w:rsidR="00197A8A" w:rsidRPr="00C02D67" w:rsidRDefault="00197A8A" w:rsidP="00197A8A">
            <w:pPr>
              <w:suppressLineNumbers/>
            </w:pPr>
            <w:r w:rsidRPr="00C02D67">
              <w:rPr>
                <w:b/>
                <w:bCs/>
                <w:sz w:val="26"/>
                <w:szCs w:val="26"/>
                <w:rtl/>
              </w:rPr>
              <w:t>אחמד אבו עראר</w:t>
            </w:r>
            <w:r w:rsidRPr="00C02D67">
              <w:rPr>
                <w:rFonts w:hint="cs"/>
                <w:b/>
                <w:bCs/>
                <w:sz w:val="26"/>
                <w:szCs w:val="26"/>
                <w:rtl/>
              </w:rPr>
              <w:t xml:space="preserve"> ת"ז </w:t>
            </w:r>
            <w:r w:rsidR="00C02D67">
              <w:rPr>
                <w:b/>
                <w:bCs/>
                <w:sz w:val="26"/>
                <w:szCs w:val="26"/>
              </w:rPr>
              <w:t>xxxxxxxxx</w:t>
            </w:r>
            <w:r w:rsidRPr="00C02D67">
              <w:rPr>
                <w:b/>
                <w:bCs/>
                <w:sz w:val="26"/>
                <w:szCs w:val="26"/>
                <w:rtl/>
              </w:rPr>
              <w:br/>
            </w:r>
            <w:r w:rsidRPr="00C02D67">
              <w:rPr>
                <w:rFonts w:ascii="Arial" w:hAnsi="Arial" w:hint="cs"/>
                <w:b/>
                <w:bCs/>
                <w:sz w:val="26"/>
                <w:szCs w:val="26"/>
                <w:rtl/>
              </w:rPr>
              <w:t xml:space="preserve"> </w:t>
            </w:r>
            <w:r w:rsidRPr="00C02D67">
              <w:rPr>
                <w:rFonts w:ascii="Arial" w:hAnsi="Arial"/>
                <w:b/>
                <w:bCs/>
                <w:sz w:val="26"/>
                <w:szCs w:val="26"/>
                <w:rtl/>
              </w:rPr>
              <w:t>ע"י ב"כ עוה"</w:t>
            </w:r>
            <w:r w:rsidRPr="00C02D67">
              <w:rPr>
                <w:rFonts w:ascii="Arial" w:hAnsi="Arial" w:hint="cs"/>
                <w:b/>
                <w:bCs/>
                <w:sz w:val="26"/>
                <w:szCs w:val="26"/>
                <w:rtl/>
              </w:rPr>
              <w:t xml:space="preserve">ד בני זיתונה </w:t>
            </w:r>
          </w:p>
          <w:p w14:paraId="74710873" w14:textId="77777777" w:rsidR="00197A8A" w:rsidRPr="00C02D67" w:rsidRDefault="00197A8A" w:rsidP="00026978">
            <w:pPr>
              <w:rPr>
                <w:rFonts w:ascii="David" w:hAnsi="David"/>
                <w:sz w:val="26"/>
                <w:szCs w:val="26"/>
              </w:rPr>
            </w:pPr>
          </w:p>
        </w:tc>
      </w:tr>
    </w:tbl>
    <w:p w14:paraId="49692800" w14:textId="77777777" w:rsidR="00C02D67" w:rsidRPr="00C02D67" w:rsidRDefault="00C02D67" w:rsidP="00C02D67">
      <w:pPr>
        <w:spacing w:before="120" w:after="120" w:line="240" w:lineRule="exact"/>
        <w:ind w:left="283" w:hanging="283"/>
        <w:jc w:val="both"/>
        <w:rPr>
          <w:rFonts w:ascii="FrankRuehl" w:hAnsi="FrankRuehl" w:cs="FrankRuehl"/>
          <w:rtl/>
        </w:rPr>
      </w:pPr>
    </w:p>
    <w:p w14:paraId="62305D91" w14:textId="77777777" w:rsidR="00C02D67" w:rsidRPr="00C02D67" w:rsidRDefault="00C02D67" w:rsidP="00C02D67">
      <w:pPr>
        <w:rPr>
          <w:sz w:val="26"/>
          <w:szCs w:val="26"/>
          <w:rtl/>
        </w:rPr>
      </w:pPr>
    </w:p>
    <w:p w14:paraId="74826E25" w14:textId="77777777" w:rsidR="00554FF4" w:rsidRPr="00554FF4" w:rsidRDefault="00554FF4" w:rsidP="00554FF4">
      <w:pPr>
        <w:spacing w:before="120" w:after="120" w:line="240" w:lineRule="exact"/>
        <w:ind w:left="283" w:hanging="283"/>
        <w:jc w:val="both"/>
        <w:rPr>
          <w:rFonts w:ascii="FrankRuehl" w:hAnsi="FrankRuehl" w:cs="FrankRuehl"/>
          <w:rtl/>
        </w:rPr>
      </w:pPr>
    </w:p>
    <w:p w14:paraId="4AC885EA" w14:textId="77777777" w:rsidR="00702CD7" w:rsidRPr="00702CD7" w:rsidRDefault="00702CD7" w:rsidP="00702CD7">
      <w:pPr>
        <w:spacing w:before="120" w:after="120" w:line="240" w:lineRule="exact"/>
        <w:ind w:left="283" w:hanging="283"/>
        <w:jc w:val="both"/>
        <w:rPr>
          <w:rFonts w:ascii="FrankRuehl" w:hAnsi="FrankRuehl" w:cs="FrankRuehl"/>
          <w:rtl/>
        </w:rPr>
      </w:pPr>
    </w:p>
    <w:p w14:paraId="09C6413F" w14:textId="77777777" w:rsidR="000826A0" w:rsidRDefault="000826A0" w:rsidP="000826A0">
      <w:pPr>
        <w:rPr>
          <w:sz w:val="26"/>
          <w:szCs w:val="26"/>
          <w:rtl/>
        </w:rPr>
      </w:pPr>
      <w:bookmarkStart w:id="3" w:name="LawTable"/>
      <w:bookmarkEnd w:id="3"/>
    </w:p>
    <w:p w14:paraId="15C1BC32" w14:textId="77777777" w:rsidR="000826A0" w:rsidRPr="000826A0" w:rsidRDefault="000826A0" w:rsidP="000826A0">
      <w:pPr>
        <w:spacing w:before="120" w:after="120" w:line="240" w:lineRule="exact"/>
        <w:ind w:left="283" w:hanging="283"/>
        <w:jc w:val="both"/>
        <w:rPr>
          <w:rFonts w:ascii="FrankRuehl" w:hAnsi="FrankRuehl" w:cs="FrankRuehl"/>
          <w:rtl/>
        </w:rPr>
      </w:pPr>
    </w:p>
    <w:p w14:paraId="445D8761" w14:textId="77777777" w:rsidR="000826A0" w:rsidRPr="000826A0" w:rsidRDefault="000826A0" w:rsidP="000826A0">
      <w:pPr>
        <w:spacing w:before="120" w:after="120" w:line="240" w:lineRule="exact"/>
        <w:ind w:left="283" w:hanging="283"/>
        <w:jc w:val="both"/>
        <w:rPr>
          <w:rFonts w:ascii="FrankRuehl" w:hAnsi="FrankRuehl" w:cs="FrankRuehl"/>
          <w:rtl/>
        </w:rPr>
      </w:pPr>
    </w:p>
    <w:p w14:paraId="531F7D70" w14:textId="77777777" w:rsidR="000826A0" w:rsidRPr="000826A0" w:rsidRDefault="000826A0" w:rsidP="000826A0">
      <w:pPr>
        <w:spacing w:before="120" w:after="120" w:line="240" w:lineRule="exact"/>
        <w:ind w:left="283" w:hanging="283"/>
        <w:jc w:val="both"/>
        <w:rPr>
          <w:rFonts w:ascii="FrankRuehl" w:hAnsi="FrankRuehl" w:cs="FrankRuehl"/>
          <w:rtl/>
        </w:rPr>
      </w:pPr>
      <w:r w:rsidRPr="000826A0">
        <w:rPr>
          <w:rFonts w:ascii="FrankRuehl" w:hAnsi="FrankRuehl" w:cs="FrankRuehl"/>
          <w:rtl/>
        </w:rPr>
        <w:t xml:space="preserve">חקיקה שאוזכרה: </w:t>
      </w:r>
    </w:p>
    <w:p w14:paraId="7A1C0C6C" w14:textId="77777777" w:rsidR="000826A0" w:rsidRPr="000826A0" w:rsidRDefault="000826A0" w:rsidP="000826A0">
      <w:pPr>
        <w:spacing w:before="120" w:after="120" w:line="240" w:lineRule="exact"/>
        <w:ind w:left="283" w:hanging="283"/>
        <w:jc w:val="both"/>
        <w:rPr>
          <w:rFonts w:ascii="FrankRuehl" w:hAnsi="FrankRuehl" w:cs="FrankRuehl"/>
          <w:rtl/>
        </w:rPr>
      </w:pPr>
      <w:hyperlink r:id="rId7" w:history="1">
        <w:r w:rsidRPr="000826A0">
          <w:rPr>
            <w:rFonts w:ascii="FrankRuehl" w:hAnsi="FrankRuehl" w:cs="FrankRuehl"/>
            <w:color w:val="0000FF"/>
            <w:rtl/>
          </w:rPr>
          <w:t>פקודת הסמים המסוכנים [נוסח חדש], תשל"ג-1973</w:t>
        </w:r>
      </w:hyperlink>
      <w:r w:rsidRPr="000826A0">
        <w:rPr>
          <w:rFonts w:ascii="FrankRuehl" w:hAnsi="FrankRuehl" w:cs="FrankRuehl"/>
          <w:rtl/>
        </w:rPr>
        <w:t xml:space="preserve">: סע'  </w:t>
      </w:r>
      <w:hyperlink r:id="rId8" w:history="1">
        <w:r w:rsidRPr="000826A0">
          <w:rPr>
            <w:rFonts w:ascii="FrankRuehl" w:hAnsi="FrankRuehl" w:cs="FrankRuehl"/>
            <w:color w:val="0000FF"/>
            <w:rtl/>
          </w:rPr>
          <w:t>7.א.</w:t>
        </w:r>
      </w:hyperlink>
      <w:r w:rsidRPr="000826A0">
        <w:rPr>
          <w:rFonts w:ascii="FrankRuehl" w:hAnsi="FrankRuehl" w:cs="FrankRuehl"/>
          <w:rtl/>
        </w:rPr>
        <w:t xml:space="preserve">, </w:t>
      </w:r>
      <w:hyperlink r:id="rId9" w:history="1">
        <w:r w:rsidRPr="000826A0">
          <w:rPr>
            <w:rFonts w:ascii="FrankRuehl" w:hAnsi="FrankRuehl" w:cs="FrankRuehl"/>
            <w:color w:val="0000FF"/>
            <w:rtl/>
          </w:rPr>
          <w:t>7.ג</w:t>
        </w:r>
      </w:hyperlink>
    </w:p>
    <w:p w14:paraId="21158A2A" w14:textId="77777777" w:rsidR="000826A0" w:rsidRPr="000826A0" w:rsidRDefault="000826A0" w:rsidP="000826A0">
      <w:pPr>
        <w:spacing w:before="120" w:after="120" w:line="240" w:lineRule="exact"/>
        <w:ind w:left="283" w:hanging="283"/>
        <w:jc w:val="both"/>
        <w:rPr>
          <w:rFonts w:ascii="FrankRuehl" w:hAnsi="FrankRuehl" w:cs="FrankRuehl"/>
          <w:rtl/>
        </w:rPr>
      </w:pPr>
      <w:hyperlink r:id="rId10" w:history="1">
        <w:r w:rsidRPr="000826A0">
          <w:rPr>
            <w:rFonts w:ascii="FrankRuehl" w:hAnsi="FrankRuehl" w:cs="FrankRuehl"/>
            <w:color w:val="0000FF"/>
            <w:rtl/>
          </w:rPr>
          <w:t>חוק כרטיסי חיוב, תשמ"ו-1986</w:t>
        </w:r>
      </w:hyperlink>
      <w:r w:rsidRPr="000826A0">
        <w:rPr>
          <w:rFonts w:ascii="FrankRuehl" w:hAnsi="FrankRuehl" w:cs="FrankRuehl"/>
          <w:rtl/>
        </w:rPr>
        <w:t xml:space="preserve">: סע'  </w:t>
      </w:r>
      <w:hyperlink r:id="rId11" w:history="1">
        <w:r w:rsidRPr="000826A0">
          <w:rPr>
            <w:rFonts w:ascii="FrankRuehl" w:hAnsi="FrankRuehl" w:cs="FrankRuehl"/>
            <w:color w:val="0000FF"/>
            <w:rtl/>
          </w:rPr>
          <w:t>1</w:t>
        </w:r>
      </w:hyperlink>
      <w:r w:rsidRPr="000826A0">
        <w:rPr>
          <w:rFonts w:ascii="FrankRuehl" w:hAnsi="FrankRuehl" w:cs="FrankRuehl"/>
          <w:rtl/>
        </w:rPr>
        <w:t xml:space="preserve">, </w:t>
      </w:r>
      <w:hyperlink r:id="rId12" w:history="1">
        <w:r w:rsidRPr="000826A0">
          <w:rPr>
            <w:rFonts w:ascii="FrankRuehl" w:hAnsi="FrankRuehl" w:cs="FrankRuehl"/>
            <w:color w:val="0000FF"/>
            <w:rtl/>
          </w:rPr>
          <w:t>17</w:t>
        </w:r>
      </w:hyperlink>
    </w:p>
    <w:p w14:paraId="52623BB5" w14:textId="77777777" w:rsidR="000826A0" w:rsidRPr="000826A0" w:rsidRDefault="000826A0" w:rsidP="000826A0">
      <w:pPr>
        <w:spacing w:before="120" w:after="120" w:line="240" w:lineRule="exact"/>
        <w:ind w:left="283" w:hanging="283"/>
        <w:jc w:val="both"/>
        <w:rPr>
          <w:rFonts w:ascii="FrankRuehl" w:hAnsi="FrankRuehl" w:cs="FrankRuehl"/>
          <w:rtl/>
        </w:rPr>
      </w:pPr>
      <w:hyperlink r:id="rId13" w:history="1">
        <w:r w:rsidRPr="000826A0">
          <w:rPr>
            <w:rFonts w:ascii="FrankRuehl" w:hAnsi="FrankRuehl" w:cs="FrankRuehl"/>
            <w:color w:val="0000FF"/>
            <w:rtl/>
          </w:rPr>
          <w:t>חוק העונשין, תשל"ז-1977</w:t>
        </w:r>
      </w:hyperlink>
    </w:p>
    <w:p w14:paraId="1D996F6A" w14:textId="77777777" w:rsidR="000826A0" w:rsidRPr="000826A0" w:rsidRDefault="000826A0" w:rsidP="000826A0">
      <w:pPr>
        <w:rPr>
          <w:sz w:val="26"/>
          <w:szCs w:val="26"/>
          <w:rtl/>
        </w:rPr>
      </w:pPr>
      <w:bookmarkStart w:id="4" w:name="LawTable_End"/>
      <w:bookmarkEnd w:id="4"/>
    </w:p>
    <w:p w14:paraId="2253F520" w14:textId="77777777" w:rsidR="00197A8A" w:rsidRPr="00702CD7" w:rsidRDefault="00197A8A" w:rsidP="00702CD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97A8A" w14:paraId="7DD4695E" w14:textId="77777777" w:rsidTr="00197A8A">
        <w:trPr>
          <w:trHeight w:val="355"/>
          <w:jc w:val="center"/>
        </w:trPr>
        <w:tc>
          <w:tcPr>
            <w:tcW w:w="8820" w:type="dxa"/>
            <w:tcBorders>
              <w:top w:val="nil"/>
              <w:left w:val="nil"/>
              <w:bottom w:val="nil"/>
              <w:right w:val="nil"/>
            </w:tcBorders>
            <w:shd w:val="clear" w:color="auto" w:fill="auto"/>
          </w:tcPr>
          <w:p w14:paraId="09EF8846" w14:textId="77777777" w:rsidR="00C02D67" w:rsidRPr="00C02D67" w:rsidRDefault="00C02D67" w:rsidP="00C02D67">
            <w:pPr>
              <w:jc w:val="center"/>
              <w:rPr>
                <w:rFonts w:ascii="David" w:hAnsi="David"/>
                <w:b/>
                <w:bCs/>
                <w:sz w:val="32"/>
                <w:szCs w:val="32"/>
                <w:u w:val="single"/>
                <w:rtl/>
              </w:rPr>
            </w:pPr>
            <w:bookmarkStart w:id="5" w:name="PsakDin" w:colFirst="0" w:colLast="0"/>
            <w:bookmarkEnd w:id="0"/>
            <w:bookmarkEnd w:id="1"/>
            <w:r w:rsidRPr="00C02D67">
              <w:rPr>
                <w:rFonts w:ascii="David" w:hAnsi="David"/>
                <w:b/>
                <w:bCs/>
                <w:sz w:val="32"/>
                <w:szCs w:val="32"/>
                <w:u w:val="single"/>
                <w:rtl/>
              </w:rPr>
              <w:t>גזר דין</w:t>
            </w:r>
          </w:p>
          <w:p w14:paraId="454B8905" w14:textId="77777777" w:rsidR="00197A8A" w:rsidRPr="00C02D67" w:rsidRDefault="00197A8A" w:rsidP="00C02D67">
            <w:pPr>
              <w:jc w:val="center"/>
              <w:rPr>
                <w:rFonts w:ascii="David" w:hAnsi="David"/>
                <w:bCs/>
                <w:sz w:val="32"/>
                <w:szCs w:val="32"/>
                <w:u w:val="single"/>
                <w:rtl/>
              </w:rPr>
            </w:pPr>
          </w:p>
        </w:tc>
      </w:tr>
      <w:bookmarkEnd w:id="5"/>
    </w:tbl>
    <w:p w14:paraId="58DB3235" w14:textId="77777777" w:rsidR="00197A8A" w:rsidRPr="000F2247" w:rsidRDefault="00197A8A" w:rsidP="00197A8A">
      <w:pPr>
        <w:rPr>
          <w:rFonts w:ascii="Arial" w:hAnsi="Arial"/>
          <w:b/>
          <w:bCs/>
          <w:sz w:val="26"/>
          <w:szCs w:val="26"/>
          <w:rtl/>
        </w:rPr>
      </w:pPr>
    </w:p>
    <w:p w14:paraId="6C220D38" w14:textId="77777777" w:rsidR="00197A8A" w:rsidRDefault="00197A8A" w:rsidP="00197A8A">
      <w:pPr>
        <w:ind w:firstLine="720"/>
        <w:jc w:val="both"/>
        <w:rPr>
          <w:b/>
          <w:bCs/>
          <w:rtl/>
        </w:rPr>
      </w:pPr>
      <w:r>
        <w:rPr>
          <w:b/>
          <w:bCs/>
          <w:rtl/>
        </w:rPr>
        <w:t>רקע</w:t>
      </w:r>
    </w:p>
    <w:p w14:paraId="716201BF" w14:textId="77777777" w:rsidR="00197A8A" w:rsidRDefault="00197A8A" w:rsidP="00197A8A">
      <w:pPr>
        <w:ind w:firstLine="720"/>
        <w:jc w:val="both"/>
        <w:rPr>
          <w:b/>
          <w:bCs/>
        </w:rPr>
      </w:pPr>
    </w:p>
    <w:p w14:paraId="57E9E583" w14:textId="77777777" w:rsidR="00197A8A" w:rsidRDefault="00197A8A" w:rsidP="00197A8A">
      <w:pPr>
        <w:pStyle w:val="aa"/>
        <w:numPr>
          <w:ilvl w:val="0"/>
          <w:numId w:val="1"/>
        </w:numPr>
        <w:spacing w:line="360" w:lineRule="auto"/>
        <w:jc w:val="both"/>
        <w:rPr>
          <w:rFonts w:cs="David"/>
          <w:sz w:val="24"/>
          <w:szCs w:val="24"/>
          <w:rtl/>
        </w:rPr>
      </w:pPr>
      <w:bookmarkStart w:id="6" w:name="ABSTRACT_START"/>
      <w:bookmarkEnd w:id="6"/>
      <w:r>
        <w:rPr>
          <w:rFonts w:cs="David"/>
          <w:sz w:val="24"/>
          <w:szCs w:val="24"/>
          <w:rtl/>
        </w:rPr>
        <w:t xml:space="preserve">הנאשם הורשע על פי הודאתו בעובדות כתב אישום מתוקן, </w:t>
      </w:r>
      <w:r>
        <w:rPr>
          <w:rFonts w:cs="David"/>
          <w:b/>
          <w:bCs/>
          <w:sz w:val="24"/>
          <w:szCs w:val="24"/>
          <w:rtl/>
        </w:rPr>
        <w:t>בעבירה של החזקת סם שלא לצריכה עצמית</w:t>
      </w:r>
      <w:r>
        <w:rPr>
          <w:rFonts w:cs="David"/>
          <w:sz w:val="24"/>
          <w:szCs w:val="24"/>
          <w:rtl/>
        </w:rPr>
        <w:t xml:space="preserve">, עבירה לפי </w:t>
      </w:r>
      <w:hyperlink r:id="rId14" w:history="1">
        <w:r w:rsidR="00554FF4" w:rsidRPr="00554FF4">
          <w:rPr>
            <w:rStyle w:val="Hyperlink"/>
            <w:rFonts w:ascii="Calibri" w:hAnsi="Calibri" w:cs="David"/>
            <w:sz w:val="24"/>
            <w:szCs w:val="24"/>
            <w:rtl/>
          </w:rPr>
          <w:t>סעיף 7(א)+(ג)</w:t>
        </w:r>
      </w:hyperlink>
      <w:r>
        <w:rPr>
          <w:rFonts w:cs="David"/>
          <w:sz w:val="24"/>
          <w:szCs w:val="24"/>
          <w:rtl/>
        </w:rPr>
        <w:t xml:space="preserve"> רישא ב</w:t>
      </w:r>
      <w:hyperlink r:id="rId15" w:history="1">
        <w:r w:rsidR="00C02D67" w:rsidRPr="00C02D67">
          <w:rPr>
            <w:rFonts w:cs="David" w:hint="cs"/>
            <w:color w:val="0000FF"/>
            <w:sz w:val="24"/>
            <w:szCs w:val="24"/>
            <w:u w:val="single"/>
            <w:rtl/>
          </w:rPr>
          <w:t>פקודת</w:t>
        </w:r>
        <w:r w:rsidR="00C02D67" w:rsidRPr="00C02D67">
          <w:rPr>
            <w:rFonts w:cs="David"/>
            <w:color w:val="0000FF"/>
            <w:sz w:val="24"/>
            <w:szCs w:val="24"/>
            <w:u w:val="single"/>
            <w:rtl/>
          </w:rPr>
          <w:t xml:space="preserve"> </w:t>
        </w:r>
        <w:r w:rsidR="00C02D67" w:rsidRPr="00C02D67">
          <w:rPr>
            <w:rFonts w:cs="David" w:hint="cs"/>
            <w:color w:val="0000FF"/>
            <w:sz w:val="24"/>
            <w:szCs w:val="24"/>
            <w:u w:val="single"/>
            <w:rtl/>
          </w:rPr>
          <w:t>הסמים</w:t>
        </w:r>
        <w:r w:rsidR="00C02D67" w:rsidRPr="00C02D67">
          <w:rPr>
            <w:rFonts w:cs="David"/>
            <w:color w:val="0000FF"/>
            <w:sz w:val="24"/>
            <w:szCs w:val="24"/>
            <w:u w:val="single"/>
            <w:rtl/>
          </w:rPr>
          <w:t xml:space="preserve"> </w:t>
        </w:r>
        <w:r w:rsidR="00C02D67" w:rsidRPr="00C02D67">
          <w:rPr>
            <w:rFonts w:cs="David" w:hint="cs"/>
            <w:color w:val="0000FF"/>
            <w:sz w:val="24"/>
            <w:szCs w:val="24"/>
            <w:u w:val="single"/>
            <w:rtl/>
          </w:rPr>
          <w:t>המסוכנים</w:t>
        </w:r>
      </w:hyperlink>
      <w:r>
        <w:rPr>
          <w:rFonts w:cs="David"/>
          <w:sz w:val="24"/>
          <w:szCs w:val="24"/>
          <w:rtl/>
        </w:rPr>
        <w:t xml:space="preserve"> (נוסח חדש) התשל"ג -1973.</w:t>
      </w:r>
    </w:p>
    <w:p w14:paraId="4316A66F" w14:textId="77777777" w:rsidR="00197A8A" w:rsidRPr="003E6575" w:rsidRDefault="00197A8A" w:rsidP="00197A8A">
      <w:pPr>
        <w:pStyle w:val="aa"/>
        <w:numPr>
          <w:ilvl w:val="0"/>
          <w:numId w:val="1"/>
        </w:numPr>
        <w:spacing w:line="360" w:lineRule="auto"/>
        <w:jc w:val="both"/>
        <w:rPr>
          <w:rFonts w:cs="David"/>
          <w:sz w:val="24"/>
          <w:szCs w:val="24"/>
        </w:rPr>
      </w:pPr>
      <w:bookmarkStart w:id="7" w:name="ABSTRACT_END"/>
      <w:bookmarkEnd w:id="7"/>
      <w:r>
        <w:rPr>
          <w:rFonts w:cs="David"/>
          <w:sz w:val="24"/>
          <w:szCs w:val="24"/>
          <w:rtl/>
        </w:rPr>
        <w:t xml:space="preserve">הנאשם צירף תיק נוסף, </w:t>
      </w:r>
      <w:hyperlink r:id="rId16" w:history="1">
        <w:r w:rsidR="00C02D67" w:rsidRPr="00C02D67">
          <w:rPr>
            <w:rFonts w:cs="David" w:hint="cs"/>
            <w:color w:val="0000FF"/>
            <w:sz w:val="24"/>
            <w:szCs w:val="24"/>
            <w:u w:val="single"/>
            <w:rtl/>
          </w:rPr>
          <w:t>ת</w:t>
        </w:r>
        <w:r w:rsidR="00C02D67" w:rsidRPr="00C02D67">
          <w:rPr>
            <w:rFonts w:cs="David"/>
            <w:color w:val="0000FF"/>
            <w:sz w:val="24"/>
            <w:szCs w:val="24"/>
            <w:u w:val="single"/>
            <w:rtl/>
          </w:rPr>
          <w:t>"</w:t>
        </w:r>
        <w:r w:rsidR="00C02D67" w:rsidRPr="00C02D67">
          <w:rPr>
            <w:rFonts w:cs="David" w:hint="cs"/>
            <w:color w:val="0000FF"/>
            <w:sz w:val="24"/>
            <w:szCs w:val="24"/>
            <w:u w:val="single"/>
            <w:rtl/>
          </w:rPr>
          <w:t>פ</w:t>
        </w:r>
        <w:r w:rsidR="00C02D67" w:rsidRPr="00C02D67">
          <w:rPr>
            <w:rFonts w:cs="David"/>
            <w:color w:val="0000FF"/>
            <w:sz w:val="24"/>
            <w:szCs w:val="24"/>
            <w:u w:val="single"/>
            <w:rtl/>
          </w:rPr>
          <w:t xml:space="preserve"> 2296-06-22</w:t>
        </w:r>
      </w:hyperlink>
      <w:r>
        <w:rPr>
          <w:rFonts w:cs="David"/>
          <w:sz w:val="24"/>
          <w:szCs w:val="24"/>
          <w:rtl/>
        </w:rPr>
        <w:t xml:space="preserve"> (שלום ב"ש) במסגרתו הודה והורשע בעובדות כתב אישום מתוקן (התיק המצורף), </w:t>
      </w:r>
      <w:r>
        <w:rPr>
          <w:rFonts w:cs="David"/>
          <w:b/>
          <w:bCs/>
          <w:sz w:val="24"/>
          <w:szCs w:val="24"/>
          <w:rtl/>
        </w:rPr>
        <w:t>בביצוע עבירת הונאה בכרטיס חיוב</w:t>
      </w:r>
      <w:r>
        <w:rPr>
          <w:rFonts w:cs="David"/>
          <w:sz w:val="24"/>
          <w:szCs w:val="24"/>
          <w:rtl/>
        </w:rPr>
        <w:t xml:space="preserve">, עבירה לפי </w:t>
      </w:r>
      <w:hyperlink r:id="rId17" w:history="1">
        <w:r w:rsidR="00554FF4" w:rsidRPr="00554FF4">
          <w:rPr>
            <w:rStyle w:val="Hyperlink"/>
            <w:rFonts w:ascii="Calibri" w:hAnsi="Calibri" w:cs="David"/>
            <w:sz w:val="24"/>
            <w:szCs w:val="24"/>
            <w:rtl/>
          </w:rPr>
          <w:t>סעיף 17</w:t>
        </w:r>
      </w:hyperlink>
      <w:r>
        <w:rPr>
          <w:rFonts w:cs="David"/>
          <w:sz w:val="24"/>
          <w:szCs w:val="24"/>
          <w:rtl/>
        </w:rPr>
        <w:t xml:space="preserve"> רישא/ </w:t>
      </w:r>
      <w:hyperlink r:id="rId18" w:history="1">
        <w:r w:rsidR="00554FF4" w:rsidRPr="00554FF4">
          <w:rPr>
            <w:rStyle w:val="Hyperlink"/>
            <w:rFonts w:ascii="Calibri" w:hAnsi="Calibri" w:cs="David"/>
            <w:sz w:val="24"/>
            <w:szCs w:val="24"/>
            <w:rtl/>
          </w:rPr>
          <w:t>1</w:t>
        </w:r>
      </w:hyperlink>
      <w:r>
        <w:rPr>
          <w:rFonts w:cs="David"/>
          <w:sz w:val="24"/>
          <w:szCs w:val="24"/>
          <w:rtl/>
        </w:rPr>
        <w:t xml:space="preserve"> ל</w:t>
      </w:r>
      <w:hyperlink r:id="rId19" w:history="1">
        <w:r w:rsidR="00C02D67" w:rsidRPr="00C02D67">
          <w:rPr>
            <w:rFonts w:cs="David" w:hint="cs"/>
            <w:color w:val="0000FF"/>
            <w:sz w:val="24"/>
            <w:szCs w:val="24"/>
            <w:u w:val="single"/>
            <w:rtl/>
          </w:rPr>
          <w:t>חוק</w:t>
        </w:r>
        <w:r w:rsidR="00C02D67" w:rsidRPr="00C02D67">
          <w:rPr>
            <w:rFonts w:cs="David"/>
            <w:color w:val="0000FF"/>
            <w:sz w:val="24"/>
            <w:szCs w:val="24"/>
            <w:u w:val="single"/>
            <w:rtl/>
          </w:rPr>
          <w:t xml:space="preserve"> </w:t>
        </w:r>
        <w:r w:rsidR="00C02D67" w:rsidRPr="00C02D67">
          <w:rPr>
            <w:rFonts w:cs="David" w:hint="cs"/>
            <w:color w:val="0000FF"/>
            <w:sz w:val="24"/>
            <w:szCs w:val="24"/>
            <w:u w:val="single"/>
            <w:rtl/>
          </w:rPr>
          <w:t>כרטיסי</w:t>
        </w:r>
        <w:r w:rsidR="00C02D67" w:rsidRPr="00C02D67">
          <w:rPr>
            <w:rFonts w:cs="David"/>
            <w:color w:val="0000FF"/>
            <w:sz w:val="24"/>
            <w:szCs w:val="24"/>
            <w:u w:val="single"/>
            <w:rtl/>
          </w:rPr>
          <w:t xml:space="preserve"> </w:t>
        </w:r>
        <w:r w:rsidR="00C02D67" w:rsidRPr="00C02D67">
          <w:rPr>
            <w:rFonts w:cs="David" w:hint="cs"/>
            <w:color w:val="0000FF"/>
            <w:sz w:val="24"/>
            <w:szCs w:val="24"/>
            <w:u w:val="single"/>
            <w:rtl/>
          </w:rPr>
          <w:t>חיוב</w:t>
        </w:r>
      </w:hyperlink>
      <w:r>
        <w:rPr>
          <w:rFonts w:cs="David"/>
          <w:sz w:val="24"/>
          <w:szCs w:val="24"/>
          <w:rtl/>
        </w:rPr>
        <w:t xml:space="preserve"> תשמ"ו-1986.</w:t>
      </w:r>
    </w:p>
    <w:p w14:paraId="56FBD3FA" w14:textId="77777777" w:rsidR="00197A8A" w:rsidRDefault="00197A8A" w:rsidP="00197A8A">
      <w:pPr>
        <w:pStyle w:val="aa"/>
        <w:numPr>
          <w:ilvl w:val="0"/>
          <w:numId w:val="1"/>
        </w:numPr>
        <w:spacing w:line="360" w:lineRule="auto"/>
        <w:ind w:hanging="352"/>
        <w:jc w:val="both"/>
        <w:rPr>
          <w:rFonts w:cs="David"/>
          <w:sz w:val="24"/>
          <w:szCs w:val="24"/>
        </w:rPr>
      </w:pPr>
      <w:r>
        <w:rPr>
          <w:rFonts w:cs="David"/>
          <w:sz w:val="24"/>
          <w:szCs w:val="24"/>
          <w:rtl/>
        </w:rPr>
        <w:lastRenderedPageBreak/>
        <w:t>על פי המתואר בכתב האישום המתוקן</w:t>
      </w:r>
      <w:r>
        <w:rPr>
          <w:rFonts w:ascii="David" w:hAnsi="David" w:cs="David"/>
          <w:sz w:val="24"/>
          <w:szCs w:val="24"/>
          <w:rtl/>
        </w:rPr>
        <w:t xml:space="preserve"> </w:t>
      </w:r>
      <w:r>
        <w:rPr>
          <w:rFonts w:cs="David"/>
          <w:sz w:val="24"/>
          <w:szCs w:val="24"/>
          <w:rtl/>
        </w:rPr>
        <w:t>שבתיק הראשון שבכותרת, ביום 19.09.20, סמוך לשעה 20:00, נהג הנאשם ברכב מסוג מאזדה (ל.ז 9152636) (להלן: "הרכב), על כביש 25 לכיוון דימונה. הנאשם החזיק ברכב סם מסוכן מסוג קנבוס במשקל של 200 גרם, שלא לצריכתו העצמית.</w:t>
      </w:r>
    </w:p>
    <w:p w14:paraId="16000DFE" w14:textId="77777777" w:rsidR="00197A8A" w:rsidRPr="004A61CD" w:rsidRDefault="00197A8A" w:rsidP="00197A8A">
      <w:pPr>
        <w:pStyle w:val="aa"/>
        <w:numPr>
          <w:ilvl w:val="0"/>
          <w:numId w:val="1"/>
        </w:numPr>
        <w:spacing w:line="360" w:lineRule="auto"/>
        <w:ind w:hanging="352"/>
        <w:jc w:val="both"/>
        <w:rPr>
          <w:rFonts w:cs="David"/>
          <w:sz w:val="24"/>
          <w:szCs w:val="24"/>
        </w:rPr>
      </w:pPr>
      <w:r>
        <w:rPr>
          <w:rFonts w:cs="David"/>
          <w:sz w:val="24"/>
          <w:szCs w:val="24"/>
          <w:rtl/>
        </w:rPr>
        <w:t>במסגרת כתב האישום בתיק המצורף</w:t>
      </w:r>
      <w:r>
        <w:rPr>
          <w:rFonts w:cs="David" w:hint="cs"/>
          <w:sz w:val="24"/>
          <w:szCs w:val="24"/>
          <w:rtl/>
        </w:rPr>
        <w:t xml:space="preserve"> </w:t>
      </w:r>
      <w:r>
        <w:rPr>
          <w:rFonts w:cs="David"/>
          <w:sz w:val="24"/>
          <w:szCs w:val="24"/>
          <w:rtl/>
        </w:rPr>
        <w:t>(השני שבכותרת) כשהרקע הינו פריצת רכבו של יורם ישראל (להלן: "המתלונן") בין התאריכים 29.8.20 ל30.8.20, וגניבת ארנקו של המתלונן מתוך הרכב ובו תעודת זהות, רישיון נהיגה, וכרטיס חיוב הנושא 4 ספרות אחרונות 3025 (להלן: "כרטיס החיוב")</w:t>
      </w:r>
      <w:r>
        <w:rPr>
          <w:rFonts w:cs="David" w:hint="cs"/>
          <w:sz w:val="24"/>
          <w:szCs w:val="24"/>
          <w:rtl/>
        </w:rPr>
        <w:t xml:space="preserve">, </w:t>
      </w:r>
      <w:r w:rsidRPr="003E6575">
        <w:rPr>
          <w:rFonts w:cs="David"/>
          <w:sz w:val="24"/>
          <w:szCs w:val="24"/>
          <w:rtl/>
        </w:rPr>
        <w:t xml:space="preserve">על פי כתב האישום  בתאריך 30.8.20 בסמוך לשעה 04:20 השתמש הנאשם בכרטיס החיוב בכוונה להונות בכך שעשה בו שימוש בתחנת דלק בעיר ערד כשביצע רכישה בחנות בסך 450 ₪. הכל כאמור בכתבי האישום מושא הכרעת הדין. </w:t>
      </w:r>
    </w:p>
    <w:p w14:paraId="1B257988" w14:textId="77777777" w:rsidR="00197A8A" w:rsidRDefault="00197A8A" w:rsidP="00197A8A">
      <w:pPr>
        <w:spacing w:line="360" w:lineRule="auto"/>
        <w:ind w:firstLine="720"/>
        <w:jc w:val="both"/>
        <w:rPr>
          <w:b/>
          <w:bCs/>
          <w:rtl/>
        </w:rPr>
      </w:pPr>
      <w:r>
        <w:rPr>
          <w:b/>
          <w:bCs/>
          <w:rtl/>
        </w:rPr>
        <w:t>תמצית תסקיר שירות המבחן:</w:t>
      </w:r>
    </w:p>
    <w:p w14:paraId="07B408FD" w14:textId="77777777" w:rsidR="00197A8A" w:rsidRDefault="00197A8A" w:rsidP="00197A8A">
      <w:pPr>
        <w:pStyle w:val="aa"/>
        <w:numPr>
          <w:ilvl w:val="0"/>
          <w:numId w:val="1"/>
        </w:numPr>
        <w:spacing w:line="360" w:lineRule="auto"/>
        <w:ind w:hanging="352"/>
        <w:jc w:val="both"/>
        <w:rPr>
          <w:rFonts w:cs="David"/>
          <w:sz w:val="24"/>
          <w:szCs w:val="24"/>
          <w:rtl/>
        </w:rPr>
      </w:pPr>
      <w:r>
        <w:rPr>
          <w:rFonts w:ascii="David" w:hAnsi="David" w:cs="David"/>
          <w:sz w:val="24"/>
          <w:szCs w:val="24"/>
          <w:rtl/>
        </w:rPr>
        <w:t xml:space="preserve">בתסקיר מיום </w:t>
      </w:r>
      <w:r>
        <w:rPr>
          <w:rFonts w:cs="David"/>
          <w:sz w:val="24"/>
          <w:szCs w:val="24"/>
          <w:rtl/>
        </w:rPr>
        <w:t xml:space="preserve">30.3.23, צוין כי הנאשם כבן 25, רווק, המתגורר בערוער בבית הוריו, עובד כשכיר כמסגר בחברת בנייה "בן ישי הנדסה" כשלוש וחצי שנים, בעל עבר פלילי, נשללו שימוש בחומרי משני תודעה, אלכוהול, סמים ועיסוק בהימורים. הנאשם נשלח ל4 בדיקות שתן לגילוי שרידי סם אך לא הגיע כלל לבדיקות, הציג מסמכים מאמתים על הסיבות אשר טען שבגינם לא הגיע. </w:t>
      </w:r>
    </w:p>
    <w:p w14:paraId="20C97654" w14:textId="77777777" w:rsidR="00197A8A" w:rsidRDefault="00197A8A" w:rsidP="00197A8A">
      <w:pPr>
        <w:pStyle w:val="aa"/>
        <w:spacing w:line="360" w:lineRule="auto"/>
        <w:ind w:left="786"/>
        <w:jc w:val="both"/>
        <w:rPr>
          <w:rFonts w:cs="David"/>
          <w:sz w:val="24"/>
          <w:szCs w:val="24"/>
        </w:rPr>
      </w:pPr>
    </w:p>
    <w:p w14:paraId="6BCD32A1" w14:textId="77777777" w:rsidR="00197A8A" w:rsidRDefault="00197A8A" w:rsidP="00197A8A">
      <w:pPr>
        <w:pStyle w:val="aa"/>
        <w:spacing w:line="360" w:lineRule="auto"/>
        <w:ind w:left="786"/>
        <w:jc w:val="both"/>
        <w:rPr>
          <w:rFonts w:cs="David"/>
          <w:sz w:val="24"/>
          <w:szCs w:val="24"/>
        </w:rPr>
      </w:pPr>
      <w:r>
        <w:rPr>
          <w:rFonts w:cs="David"/>
          <w:sz w:val="24"/>
          <w:szCs w:val="24"/>
          <w:rtl/>
        </w:rPr>
        <w:t>באשר לעבירה בתיק שבכותרת (5535-12-21) הנאשם מתקשה להבין את חומרתה ואף ניסה לטעון טרם הודאתו כי הסמים אינם שייכים לו, אלא למכר שעלה לרכב.</w:t>
      </w:r>
    </w:p>
    <w:p w14:paraId="3A1C3A95" w14:textId="77777777" w:rsidR="00197A8A" w:rsidRDefault="00197A8A" w:rsidP="00197A8A">
      <w:pPr>
        <w:pStyle w:val="aa"/>
        <w:spacing w:line="360" w:lineRule="auto"/>
        <w:ind w:left="644"/>
        <w:jc w:val="both"/>
        <w:rPr>
          <w:rFonts w:cs="David"/>
          <w:sz w:val="24"/>
          <w:szCs w:val="24"/>
          <w:rtl/>
        </w:rPr>
      </w:pPr>
    </w:p>
    <w:p w14:paraId="680035C7" w14:textId="77777777" w:rsidR="00197A8A" w:rsidRDefault="00197A8A" w:rsidP="00197A8A">
      <w:pPr>
        <w:pStyle w:val="aa"/>
        <w:spacing w:line="360" w:lineRule="auto"/>
        <w:jc w:val="both"/>
        <w:rPr>
          <w:rFonts w:cs="David"/>
          <w:sz w:val="24"/>
          <w:szCs w:val="24"/>
        </w:rPr>
      </w:pPr>
      <w:r>
        <w:rPr>
          <w:rFonts w:cs="David"/>
          <w:sz w:val="24"/>
          <w:szCs w:val="24"/>
          <w:rtl/>
        </w:rPr>
        <w:t xml:space="preserve">באשר לעבירה בתיק המצורף (2296-06-22), הנאשם נוטל אחריות על ביצועה ומבין את חומרתה. לדבריו, בזמן בילוי עם חברים, בהגיעם לתחנת דלק אחד החברים ביקש לרכוש מס' מוצרים ואף העביר לו כרטיס אשראי בו יבצע את התשלום, טרם הודאתו בכתב האישום טען בפני שירות המבחן כי לא ידע כי הכרטיס גנוב ורק למחרת כאשר חברו סיפר לו שהכרטיס גנוב פנה לתחנת המשטרה הקרובה לדווח. </w:t>
      </w:r>
    </w:p>
    <w:p w14:paraId="6B1BF05A" w14:textId="77777777" w:rsidR="00197A8A" w:rsidRDefault="00197A8A" w:rsidP="00197A8A">
      <w:pPr>
        <w:pStyle w:val="aa"/>
        <w:spacing w:line="360" w:lineRule="auto"/>
        <w:jc w:val="both"/>
        <w:rPr>
          <w:rFonts w:cs="David"/>
          <w:sz w:val="24"/>
          <w:szCs w:val="24"/>
          <w:rtl/>
        </w:rPr>
      </w:pPr>
      <w:r>
        <w:rPr>
          <w:rFonts w:cs="David"/>
          <w:sz w:val="24"/>
          <w:szCs w:val="24"/>
          <w:rtl/>
        </w:rPr>
        <w:t xml:space="preserve">שירות המבחן התרשם, כי הנאשם בעל מוסר עבודה גבוה, וכי העבודה מהווה עבורו מקור לתחושת ביטחון ויציבות, כי מדובר בבחור צעיר שמביע חרטה על התנהגותו ובעל מוטיבציה ראשונית לטיפול. עוד התרשם שירות המבחן כי מדובר באדם שמתקשה בבחינה עצמית ומעמיקה ומתמקד במציאת הסברים רציונליים למעשיו, תוך השלכת אחריות על גורמים חיצונים לו, מתקשה להפעיל שיקול דעת, מתרועע בחברה שולית ומיעט בחשיפת פרטים ובמידע באשר לחברה שולית עמה הוא מתרועע ולשימוש בסמים.  שירות המבחן בתחילה המליץ על דחיית הדיון בעניינו ב4 חודשים במהלכם יבצעו לנאשם בדיקות שתן לגילוי שרידי סם וישלבו אותו בקבוצה טיפולית על מנת לבחון התאמתו להליך טיפולי. </w:t>
      </w:r>
    </w:p>
    <w:p w14:paraId="29E09D77" w14:textId="77777777" w:rsidR="00197A8A" w:rsidRDefault="00197A8A" w:rsidP="00197A8A">
      <w:pPr>
        <w:pStyle w:val="aa"/>
        <w:spacing w:line="360" w:lineRule="auto"/>
        <w:jc w:val="both"/>
        <w:rPr>
          <w:rFonts w:cs="David"/>
          <w:sz w:val="24"/>
          <w:szCs w:val="24"/>
          <w:rtl/>
        </w:rPr>
      </w:pPr>
    </w:p>
    <w:p w14:paraId="29059FF2" w14:textId="77777777" w:rsidR="00197A8A" w:rsidRDefault="00197A8A" w:rsidP="00197A8A">
      <w:pPr>
        <w:pStyle w:val="aa"/>
        <w:numPr>
          <w:ilvl w:val="0"/>
          <w:numId w:val="1"/>
        </w:numPr>
        <w:spacing w:line="360" w:lineRule="auto"/>
        <w:jc w:val="both"/>
        <w:rPr>
          <w:rFonts w:cs="David"/>
          <w:sz w:val="24"/>
          <w:szCs w:val="24"/>
        </w:rPr>
      </w:pPr>
      <w:r>
        <w:rPr>
          <w:rFonts w:cs="David"/>
          <w:sz w:val="24"/>
          <w:szCs w:val="24"/>
          <w:rtl/>
        </w:rPr>
        <w:lastRenderedPageBreak/>
        <w:t xml:space="preserve">בתסקיר מיום 13.8.23, השלים שירות המבחן את תסקירו וציין כי הנאשם זומן ל4 בדיקות שתן נוספות לגילוי שרידי סמים ושוב לא הגיע לבצען, לכן לא היה ניתן לשלבו במערך הטיפול הקבוצתי בשירותם. שירות המבחן העריך כי הליכים פלילים קודמים לא היוו גורם מרתיע בפני ביצוע עבירות נוספות. המלצת שירות המבחן הייתה ענישה מוחשית בדמות מאסר שירוצה בעבודות שירות ונמנע מהמלצה טיפולית בעניינו.  </w:t>
      </w:r>
    </w:p>
    <w:p w14:paraId="57D5C5DA" w14:textId="77777777" w:rsidR="00197A8A" w:rsidRDefault="00197A8A" w:rsidP="00197A8A">
      <w:pPr>
        <w:pStyle w:val="aa"/>
        <w:spacing w:line="360" w:lineRule="auto"/>
        <w:ind w:left="786"/>
        <w:jc w:val="both"/>
        <w:rPr>
          <w:rFonts w:cs="David"/>
          <w:sz w:val="24"/>
          <w:szCs w:val="24"/>
        </w:rPr>
      </w:pPr>
    </w:p>
    <w:p w14:paraId="3F142C37" w14:textId="77777777" w:rsidR="00197A8A" w:rsidRDefault="00197A8A" w:rsidP="00197A8A">
      <w:pPr>
        <w:spacing w:line="360" w:lineRule="auto"/>
        <w:ind w:firstLine="720"/>
        <w:jc w:val="both"/>
        <w:rPr>
          <w:rFonts w:ascii="David" w:hAnsi="David"/>
          <w:b/>
          <w:bCs/>
          <w:rtl/>
        </w:rPr>
      </w:pPr>
      <w:r>
        <w:rPr>
          <w:rFonts w:ascii="David" w:hAnsi="David"/>
          <w:b/>
          <w:bCs/>
          <w:rtl/>
        </w:rPr>
        <w:t>ראיות לעונש:</w:t>
      </w:r>
    </w:p>
    <w:p w14:paraId="03F102AA" w14:textId="77777777" w:rsidR="00197A8A" w:rsidRDefault="00197A8A" w:rsidP="00197A8A">
      <w:pPr>
        <w:pStyle w:val="aa"/>
        <w:numPr>
          <w:ilvl w:val="0"/>
          <w:numId w:val="1"/>
        </w:numPr>
        <w:spacing w:line="360" w:lineRule="auto"/>
        <w:jc w:val="both"/>
        <w:rPr>
          <w:rFonts w:ascii="David" w:hAnsi="David" w:cs="David"/>
          <w:sz w:val="24"/>
          <w:szCs w:val="24"/>
          <w:rtl/>
        </w:rPr>
      </w:pPr>
      <w:r>
        <w:rPr>
          <w:rFonts w:ascii="David" w:hAnsi="David" w:cs="David"/>
          <w:sz w:val="24"/>
          <w:szCs w:val="24"/>
          <w:rtl/>
        </w:rPr>
        <w:t>מטעם המאשימה הוגש גיליון רישום פלילי הכולל עבירת ידיעה כוזבת על עבירה מסוג פשע משנת 2019, וגיליון רישום ותעבורתי של הנאשם הכולל 12 הרשעות (</w:t>
      </w:r>
      <w:r>
        <w:rPr>
          <w:rFonts w:ascii="David" w:hAnsi="David" w:cs="David"/>
          <w:b/>
          <w:bCs/>
          <w:sz w:val="24"/>
          <w:szCs w:val="24"/>
          <w:rtl/>
        </w:rPr>
        <w:t>ת/1</w:t>
      </w:r>
      <w:r>
        <w:rPr>
          <w:rFonts w:ascii="David" w:hAnsi="David" w:cs="David"/>
          <w:sz w:val="24"/>
          <w:szCs w:val="24"/>
          <w:rtl/>
        </w:rPr>
        <w:t>)  וטיעוניה לעונש בכתב  (</w:t>
      </w:r>
      <w:r>
        <w:rPr>
          <w:rFonts w:ascii="David" w:hAnsi="David" w:cs="David"/>
          <w:b/>
          <w:bCs/>
          <w:sz w:val="24"/>
          <w:szCs w:val="24"/>
          <w:rtl/>
        </w:rPr>
        <w:t>ת/2).</w:t>
      </w:r>
    </w:p>
    <w:p w14:paraId="4FFFEE93" w14:textId="77777777" w:rsidR="00197A8A" w:rsidRDefault="00197A8A" w:rsidP="00197A8A">
      <w:pPr>
        <w:pStyle w:val="aa"/>
        <w:numPr>
          <w:ilvl w:val="0"/>
          <w:numId w:val="1"/>
        </w:numPr>
        <w:spacing w:line="360" w:lineRule="auto"/>
        <w:ind w:hanging="352"/>
        <w:jc w:val="both"/>
        <w:rPr>
          <w:rFonts w:ascii="David" w:hAnsi="David" w:cs="David"/>
          <w:sz w:val="24"/>
          <w:szCs w:val="24"/>
        </w:rPr>
      </w:pPr>
      <w:r>
        <w:rPr>
          <w:rFonts w:ascii="David" w:hAnsi="David" w:cs="David"/>
          <w:sz w:val="24"/>
          <w:szCs w:val="24"/>
          <w:rtl/>
        </w:rPr>
        <w:t>מטעם ההגנה הוגשה פסיקה (</w:t>
      </w:r>
      <w:r>
        <w:rPr>
          <w:rFonts w:ascii="David" w:hAnsi="David" w:cs="David"/>
          <w:b/>
          <w:bCs/>
          <w:sz w:val="24"/>
          <w:szCs w:val="24"/>
          <w:rtl/>
        </w:rPr>
        <w:t>נ/1),</w:t>
      </w:r>
      <w:r>
        <w:rPr>
          <w:rFonts w:ascii="David" w:hAnsi="David" w:cs="David"/>
          <w:sz w:val="24"/>
          <w:szCs w:val="24"/>
          <w:rtl/>
        </w:rPr>
        <w:t xml:space="preserve"> דוח נוכחות חודשי של הנאשם במקום עבודתו (</w:t>
      </w:r>
      <w:r>
        <w:rPr>
          <w:rFonts w:ascii="David" w:hAnsi="David" w:cs="David"/>
          <w:b/>
          <w:bCs/>
          <w:sz w:val="24"/>
          <w:szCs w:val="24"/>
          <w:rtl/>
        </w:rPr>
        <w:t>נ/2</w:t>
      </w:r>
      <w:r>
        <w:rPr>
          <w:rFonts w:ascii="David" w:hAnsi="David" w:cs="David"/>
          <w:sz w:val="24"/>
          <w:szCs w:val="24"/>
          <w:rtl/>
        </w:rPr>
        <w:t>), תלוש שכר של הנאשם (</w:t>
      </w:r>
      <w:r>
        <w:rPr>
          <w:rFonts w:ascii="David" w:hAnsi="David" w:cs="David"/>
          <w:b/>
          <w:bCs/>
          <w:sz w:val="24"/>
          <w:szCs w:val="24"/>
          <w:rtl/>
        </w:rPr>
        <w:t>נ/3),</w:t>
      </w:r>
      <w:r>
        <w:rPr>
          <w:rFonts w:ascii="David" w:hAnsi="David" w:cs="David"/>
          <w:sz w:val="24"/>
          <w:szCs w:val="24"/>
          <w:rtl/>
        </w:rPr>
        <w:t xml:space="preserve"> המלצה ממקום עבודתו של הנאשם (</w:t>
      </w:r>
      <w:r>
        <w:rPr>
          <w:rFonts w:ascii="David" w:hAnsi="David" w:cs="David"/>
          <w:b/>
          <w:bCs/>
          <w:sz w:val="24"/>
          <w:szCs w:val="24"/>
          <w:rtl/>
        </w:rPr>
        <w:t>נ/4)</w:t>
      </w:r>
      <w:r>
        <w:rPr>
          <w:rFonts w:ascii="David" w:hAnsi="David" w:cs="David"/>
          <w:sz w:val="24"/>
          <w:szCs w:val="24"/>
          <w:rtl/>
        </w:rPr>
        <w:t xml:space="preserve">. </w:t>
      </w:r>
    </w:p>
    <w:p w14:paraId="28706DCC" w14:textId="77777777" w:rsidR="00197A8A" w:rsidRDefault="00197A8A" w:rsidP="00197A8A">
      <w:pPr>
        <w:spacing w:line="360" w:lineRule="auto"/>
        <w:ind w:firstLine="720"/>
        <w:jc w:val="both"/>
        <w:rPr>
          <w:rFonts w:ascii="Calibri" w:hAnsi="Calibri"/>
          <w:b/>
          <w:bCs/>
          <w:rtl/>
        </w:rPr>
      </w:pPr>
      <w:r>
        <w:rPr>
          <w:b/>
          <w:bCs/>
          <w:rtl/>
        </w:rPr>
        <w:t>תמצית טיעוני הצדדים:</w:t>
      </w:r>
    </w:p>
    <w:p w14:paraId="7C30F044" w14:textId="77777777" w:rsidR="00197A8A" w:rsidRDefault="00197A8A" w:rsidP="00197A8A">
      <w:pPr>
        <w:spacing w:line="360" w:lineRule="auto"/>
        <w:ind w:firstLine="720"/>
        <w:jc w:val="both"/>
        <w:rPr>
          <w:b/>
          <w:bCs/>
          <w:rtl/>
        </w:rPr>
      </w:pPr>
      <w:r>
        <w:rPr>
          <w:b/>
          <w:bCs/>
          <w:rtl/>
        </w:rPr>
        <w:t>טיעוני המאשימה:</w:t>
      </w:r>
    </w:p>
    <w:p w14:paraId="7C7E53A4" w14:textId="77777777" w:rsidR="00197A8A" w:rsidRDefault="00197A8A" w:rsidP="00197A8A">
      <w:pPr>
        <w:pStyle w:val="aa"/>
        <w:numPr>
          <w:ilvl w:val="0"/>
          <w:numId w:val="1"/>
        </w:numPr>
        <w:spacing w:line="360" w:lineRule="auto"/>
        <w:jc w:val="both"/>
        <w:rPr>
          <w:rFonts w:cs="David"/>
          <w:sz w:val="24"/>
          <w:szCs w:val="24"/>
          <w:rtl/>
        </w:rPr>
      </w:pPr>
      <w:r>
        <w:rPr>
          <w:rFonts w:cs="David"/>
          <w:b/>
          <w:bCs/>
          <w:sz w:val="24"/>
          <w:szCs w:val="24"/>
          <w:rtl/>
        </w:rPr>
        <w:t>ב"כ המאשימה</w:t>
      </w:r>
      <w:r>
        <w:rPr>
          <w:rFonts w:cs="David"/>
          <w:sz w:val="24"/>
          <w:szCs w:val="24"/>
          <w:rtl/>
        </w:rPr>
        <w:t>, ציינה הערכים החברתיים בהם פגע כתוצאה מביצוע העבירות וטענה למתחם העונש ההולם בתיק שבכותרת נע בין 6-12 חודשי מאסר בפועל. ובתיק המצורף עונש הנע בין מספר חודשים קצר אשר יכול וירוצו בעבודות שירות ועד 12 חודשי מאסר.  עוד ציינה את הנזקים שהיו צפויים להיגרם כתוצאה מהחזקת הסמים ואת הפגיעה בזכות הקניין של המתלונן עת השתמש בכרטיס החיוב לרכישותיו לאחר שזה נגנב. התרשמות שירות המבחן מהנאשם כי הוא מתקשה ליטול  אחריות מלאה על העבירות שביצע ואף לא הגיע לבדיקות שתן אליהן זומן פועלים לחובתו והמלצת שירות המבחן על ענישה מוחשית בדמות מאסר בעבודות שירות וזאת כדי לחדד לו השלכות מעשיו, אף אמירה זו.</w:t>
      </w:r>
    </w:p>
    <w:p w14:paraId="155BACFF" w14:textId="77777777" w:rsidR="00197A8A" w:rsidRDefault="00197A8A" w:rsidP="00197A8A">
      <w:pPr>
        <w:pStyle w:val="aa"/>
        <w:spacing w:line="360" w:lineRule="auto"/>
        <w:ind w:left="786"/>
        <w:jc w:val="both"/>
        <w:rPr>
          <w:rFonts w:cs="David"/>
          <w:sz w:val="24"/>
          <w:szCs w:val="24"/>
        </w:rPr>
      </w:pPr>
      <w:r>
        <w:rPr>
          <w:rFonts w:cs="David"/>
          <w:sz w:val="24"/>
          <w:szCs w:val="24"/>
          <w:rtl/>
        </w:rPr>
        <w:t xml:space="preserve">המאשימה עתרה  להטלת עונש הנאשם בשליש התחתון של המתחמים אליהם עתרה, במצטבר אחד לשני, בנוסף למאסר מותנה, קנס, התחייבות ופסילה בפועל של רישיון הנהיגה. </w:t>
      </w:r>
    </w:p>
    <w:p w14:paraId="79087432" w14:textId="77777777" w:rsidR="00197A8A" w:rsidRDefault="00197A8A" w:rsidP="00197A8A">
      <w:pPr>
        <w:pStyle w:val="aa"/>
        <w:spacing w:line="360" w:lineRule="auto"/>
        <w:ind w:left="786"/>
        <w:jc w:val="both"/>
        <w:rPr>
          <w:rFonts w:cs="David"/>
          <w:sz w:val="24"/>
          <w:szCs w:val="24"/>
          <w:rtl/>
        </w:rPr>
      </w:pPr>
    </w:p>
    <w:p w14:paraId="545E9FE5" w14:textId="77777777" w:rsidR="00197A8A" w:rsidRDefault="00197A8A" w:rsidP="00197A8A">
      <w:pPr>
        <w:pStyle w:val="aa"/>
        <w:spacing w:line="360" w:lineRule="auto"/>
        <w:ind w:left="786"/>
        <w:jc w:val="both"/>
        <w:rPr>
          <w:rFonts w:cs="David"/>
          <w:b/>
          <w:bCs/>
          <w:sz w:val="24"/>
          <w:szCs w:val="24"/>
          <w:u w:val="single"/>
          <w:rtl/>
        </w:rPr>
      </w:pPr>
      <w:r>
        <w:rPr>
          <w:rFonts w:cs="David"/>
          <w:b/>
          <w:bCs/>
          <w:sz w:val="24"/>
          <w:szCs w:val="24"/>
          <w:u w:val="single"/>
          <w:rtl/>
        </w:rPr>
        <w:t>טיעוני ב"כ הנאשם:</w:t>
      </w:r>
    </w:p>
    <w:p w14:paraId="4D28E63D" w14:textId="77777777" w:rsidR="00197A8A" w:rsidRPr="003612F3" w:rsidRDefault="00197A8A" w:rsidP="00197A8A">
      <w:pPr>
        <w:pStyle w:val="aa"/>
        <w:numPr>
          <w:ilvl w:val="0"/>
          <w:numId w:val="1"/>
        </w:numPr>
        <w:spacing w:line="360" w:lineRule="auto"/>
        <w:jc w:val="both"/>
        <w:rPr>
          <w:rFonts w:cs="David"/>
          <w:b/>
          <w:bCs/>
          <w:sz w:val="24"/>
          <w:szCs w:val="24"/>
          <w:u w:val="single"/>
        </w:rPr>
      </w:pPr>
      <w:r>
        <w:rPr>
          <w:rFonts w:cs="David"/>
          <w:b/>
          <w:bCs/>
          <w:sz w:val="24"/>
          <w:szCs w:val="24"/>
          <w:rtl/>
        </w:rPr>
        <w:t>ב"כ הנאשם</w:t>
      </w:r>
      <w:r>
        <w:rPr>
          <w:rFonts w:cs="David"/>
          <w:sz w:val="24"/>
          <w:szCs w:val="24"/>
          <w:rtl/>
        </w:rPr>
        <w:t xml:space="preserve">, ציין יציבותו התעסוקתית של הנאשם וכי העבירות בוצעו בתקופת הקורונה , בשעת משבר עולמי.  הנאשם לקח אחריות, הודה בביצוע העבירה וחסך זמן שיפוטי יקר. הפנה לפסיקה באשר למתחם העונש אליו חותר והתייחס לפסיקה שהמאשימה צירפה בטענה שמדובר בפסיקה ישנה וטען שהמחוקק והפסיקה שינו את התפיסה בנוגע להחזקת קאנביס בשנים האחרונות. הוסיף כי הוא לא הורשע בהפצה או סחר אלא בהחזקה שלא לשימוש עצמי. ציין כי עבודות השירות יפגעו ברצף התעסוקתי שלו, צירף המלצה ממקום עבודתו, תלוש שכר ודוח ונוכחות, כדי לחזק טענותיו באשר לעבודתו ובית המשפט מקבל הטענה בדבר מסלול חייו הנוכחי של הנאשם מבלי להידרש לחקירת יוצרי המסמכים.  הסנגור עתר להטלת עונש מאסר מותנה וקנס משמעותי. באשר לפסילה ביקש שתהיה מותנית מכיוון שהוא אוסף עובדים למקום עבודתו. </w:t>
      </w:r>
    </w:p>
    <w:p w14:paraId="35158807" w14:textId="77777777" w:rsidR="00197A8A" w:rsidRPr="003612F3" w:rsidRDefault="00197A8A" w:rsidP="00197A8A">
      <w:pPr>
        <w:pStyle w:val="aa"/>
        <w:numPr>
          <w:ilvl w:val="0"/>
          <w:numId w:val="1"/>
        </w:numPr>
        <w:spacing w:line="360" w:lineRule="auto"/>
        <w:jc w:val="both"/>
        <w:rPr>
          <w:rFonts w:cs="David"/>
          <w:b/>
          <w:bCs/>
          <w:sz w:val="24"/>
          <w:szCs w:val="24"/>
          <w:u w:val="single"/>
        </w:rPr>
      </w:pPr>
      <w:r>
        <w:rPr>
          <w:rFonts w:cs="David"/>
          <w:b/>
          <w:bCs/>
          <w:sz w:val="24"/>
          <w:szCs w:val="24"/>
          <w:rtl/>
        </w:rPr>
        <w:t xml:space="preserve">הנאשם, </w:t>
      </w:r>
      <w:r>
        <w:rPr>
          <w:rFonts w:cs="David"/>
          <w:sz w:val="24"/>
          <w:szCs w:val="24"/>
          <w:rtl/>
        </w:rPr>
        <w:t>הצטער על מעשיו, ביקש קנס שיוכל להסתדר איתו וציין שיוצא לעבודה מוקדם בבוקר ואוסף עובדים.</w:t>
      </w:r>
    </w:p>
    <w:p w14:paraId="16105487" w14:textId="77777777" w:rsidR="00197A8A" w:rsidRDefault="00197A8A" w:rsidP="00197A8A">
      <w:pPr>
        <w:pStyle w:val="aa"/>
        <w:spacing w:line="360" w:lineRule="auto"/>
        <w:ind w:left="786"/>
        <w:jc w:val="both"/>
        <w:rPr>
          <w:rFonts w:cs="David"/>
          <w:b/>
          <w:bCs/>
          <w:sz w:val="24"/>
          <w:szCs w:val="24"/>
          <w:u w:val="single"/>
          <w:rtl/>
        </w:rPr>
      </w:pPr>
    </w:p>
    <w:p w14:paraId="0B878CAC" w14:textId="77777777" w:rsidR="00197A8A" w:rsidRDefault="00197A8A" w:rsidP="00197A8A">
      <w:pPr>
        <w:pStyle w:val="aa"/>
        <w:spacing w:line="360" w:lineRule="auto"/>
        <w:ind w:left="786"/>
        <w:jc w:val="both"/>
        <w:rPr>
          <w:rFonts w:cs="David"/>
          <w:b/>
          <w:bCs/>
          <w:sz w:val="24"/>
          <w:szCs w:val="24"/>
          <w:u w:val="single"/>
          <w:rtl/>
        </w:rPr>
      </w:pPr>
    </w:p>
    <w:p w14:paraId="6A2C5CDA" w14:textId="77777777" w:rsidR="00197A8A" w:rsidRDefault="00197A8A" w:rsidP="00197A8A">
      <w:pPr>
        <w:pStyle w:val="aa"/>
        <w:spacing w:line="360" w:lineRule="auto"/>
        <w:ind w:left="786"/>
        <w:jc w:val="both"/>
        <w:rPr>
          <w:rFonts w:cs="David"/>
          <w:b/>
          <w:bCs/>
          <w:sz w:val="24"/>
          <w:szCs w:val="24"/>
          <w:u w:val="single"/>
        </w:rPr>
      </w:pPr>
    </w:p>
    <w:p w14:paraId="42F30424" w14:textId="77777777" w:rsidR="00197A8A" w:rsidRDefault="00197A8A" w:rsidP="00197A8A">
      <w:pPr>
        <w:spacing w:line="360" w:lineRule="auto"/>
        <w:ind w:firstLine="720"/>
        <w:jc w:val="both"/>
        <w:rPr>
          <w:b/>
          <w:bCs/>
          <w:rtl/>
        </w:rPr>
      </w:pPr>
      <w:r>
        <w:rPr>
          <w:b/>
          <w:bCs/>
          <w:rtl/>
        </w:rPr>
        <w:t>קביעת המתחם ההולם</w:t>
      </w:r>
    </w:p>
    <w:p w14:paraId="7FF2B6F6" w14:textId="77777777" w:rsidR="00197A8A" w:rsidRDefault="00197A8A" w:rsidP="00197A8A">
      <w:pPr>
        <w:pStyle w:val="aa"/>
        <w:numPr>
          <w:ilvl w:val="0"/>
          <w:numId w:val="1"/>
        </w:numPr>
        <w:spacing w:line="360" w:lineRule="auto"/>
        <w:jc w:val="both"/>
        <w:rPr>
          <w:rFonts w:cs="David"/>
          <w:b/>
          <w:bCs/>
          <w:sz w:val="24"/>
          <w:szCs w:val="24"/>
          <w:u w:val="single"/>
          <w:rtl/>
        </w:rPr>
      </w:pPr>
      <w:r>
        <w:rPr>
          <w:rFonts w:ascii="David" w:hAnsi="David" w:cs="David"/>
          <w:sz w:val="24"/>
          <w:szCs w:val="24"/>
          <w:rtl/>
        </w:rPr>
        <w:t>בענייננו</w:t>
      </w:r>
      <w:r w:rsidR="00C02D67">
        <w:rPr>
          <w:rFonts w:ascii="David" w:hAnsi="David" w:cs="David"/>
          <w:sz w:val="24"/>
          <w:szCs w:val="24"/>
          <w:rtl/>
        </w:rPr>
        <w:t xml:space="preserve"> </w:t>
      </w:r>
      <w:r>
        <w:rPr>
          <w:rFonts w:ascii="David" w:hAnsi="David" w:cs="David"/>
          <w:sz w:val="24"/>
          <w:szCs w:val="24"/>
          <w:rtl/>
        </w:rPr>
        <w:t>עסקינן</w:t>
      </w:r>
      <w:r w:rsidR="00C02D67">
        <w:rPr>
          <w:rFonts w:ascii="David" w:hAnsi="David" w:cs="David"/>
          <w:sz w:val="24"/>
          <w:szCs w:val="24"/>
          <w:rtl/>
        </w:rPr>
        <w:t xml:space="preserve"> </w:t>
      </w:r>
      <w:r>
        <w:rPr>
          <w:rFonts w:ascii="David" w:hAnsi="David" w:cs="David"/>
          <w:b/>
          <w:bCs/>
          <w:sz w:val="24"/>
          <w:szCs w:val="24"/>
          <w:rtl/>
        </w:rPr>
        <w:t xml:space="preserve">בשני </w:t>
      </w:r>
      <w:r w:rsidRPr="003612F3">
        <w:rPr>
          <w:rFonts w:ascii="David" w:hAnsi="David" w:cs="David"/>
          <w:b/>
          <w:bCs/>
          <w:sz w:val="24"/>
          <w:szCs w:val="24"/>
          <w:rtl/>
        </w:rPr>
        <w:t>אירועים נפרדים</w:t>
      </w:r>
      <w:r w:rsidRPr="003612F3">
        <w:rPr>
          <w:rFonts w:ascii="David" w:hAnsi="David" w:cs="David"/>
          <w:b/>
          <w:bCs/>
          <w:sz w:val="24"/>
          <w:szCs w:val="24"/>
        </w:rPr>
        <w:t>,</w:t>
      </w:r>
      <w:r w:rsidR="00C02D67">
        <w:rPr>
          <w:rFonts w:ascii="David" w:hAnsi="David" w:cs="David"/>
          <w:sz w:val="24"/>
          <w:szCs w:val="24"/>
        </w:rPr>
        <w:t xml:space="preserve"> </w:t>
      </w:r>
      <w:r w:rsidRPr="003612F3">
        <w:rPr>
          <w:rFonts w:ascii="David" w:hAnsi="David" w:cs="David"/>
          <w:sz w:val="24"/>
          <w:szCs w:val="24"/>
          <w:rtl/>
        </w:rPr>
        <w:t>בהתאם לכללים שנקבעו בפסיקת בית-המשפט העליון (ראו לעניין זה</w:t>
      </w:r>
      <w:r w:rsidRPr="003612F3">
        <w:rPr>
          <w:rFonts w:ascii="David" w:hAnsi="David" w:cs="David"/>
          <w:sz w:val="24"/>
          <w:szCs w:val="24"/>
        </w:rPr>
        <w:t>:</w:t>
      </w:r>
      <w:r w:rsidR="00C02D67">
        <w:rPr>
          <w:rFonts w:ascii="David" w:hAnsi="David" w:cs="David"/>
          <w:sz w:val="24"/>
          <w:szCs w:val="24"/>
        </w:rPr>
        <w:t xml:space="preserve"> </w:t>
      </w:r>
      <w:hyperlink r:id="rId20" w:history="1">
        <w:r w:rsidR="00C02D67" w:rsidRPr="00C02D67">
          <w:rPr>
            <w:rFonts w:ascii="David" w:hAnsi="David" w:cs="David"/>
            <w:color w:val="0000FF"/>
            <w:sz w:val="24"/>
            <w:szCs w:val="24"/>
            <w:u w:val="single"/>
            <w:rtl/>
          </w:rPr>
          <w:t>ע"פ 4910/13</w:t>
        </w:r>
      </w:hyperlink>
      <w:r w:rsidR="00C02D67">
        <w:rPr>
          <w:rFonts w:ascii="David" w:hAnsi="David" w:cs="David"/>
          <w:sz w:val="24"/>
          <w:szCs w:val="24"/>
        </w:rPr>
        <w:t xml:space="preserve"> </w:t>
      </w:r>
      <w:r w:rsidRPr="003612F3">
        <w:rPr>
          <w:rFonts w:ascii="David" w:hAnsi="David" w:cs="David"/>
          <w:b/>
          <w:bCs/>
          <w:sz w:val="24"/>
          <w:szCs w:val="24"/>
          <w:rtl/>
        </w:rPr>
        <w:t>ג'אבר נ' מדינת ישראל</w:t>
      </w:r>
      <w:r w:rsidRPr="003612F3">
        <w:rPr>
          <w:rFonts w:ascii="David" w:hAnsi="David" w:cs="David"/>
          <w:b/>
          <w:bCs/>
          <w:sz w:val="24"/>
          <w:szCs w:val="24"/>
        </w:rPr>
        <w:t>,</w:t>
      </w:r>
      <w:r w:rsidR="00C02D67">
        <w:rPr>
          <w:rFonts w:ascii="David" w:hAnsi="David" w:cs="David"/>
          <w:b/>
          <w:bCs/>
          <w:sz w:val="24"/>
          <w:szCs w:val="24"/>
        </w:rPr>
        <w:t xml:space="preserve"> </w:t>
      </w:r>
      <w:r w:rsidRPr="003612F3">
        <w:rPr>
          <w:rFonts w:ascii="David" w:hAnsi="David" w:cs="David"/>
          <w:sz w:val="24"/>
          <w:szCs w:val="24"/>
          <w:rtl/>
        </w:rPr>
        <w:t>מפי כב' השופטת ברק-ארז</w:t>
      </w:r>
      <w:r w:rsidRPr="003612F3">
        <w:rPr>
          <w:rFonts w:ascii="David" w:hAnsi="David" w:cs="David"/>
          <w:b/>
          <w:bCs/>
          <w:sz w:val="24"/>
          <w:szCs w:val="24"/>
        </w:rPr>
        <w:t>,</w:t>
      </w:r>
      <w:r w:rsidR="00C02D67">
        <w:rPr>
          <w:rFonts w:ascii="David" w:hAnsi="David" w:cs="David"/>
          <w:b/>
          <w:bCs/>
          <w:sz w:val="24"/>
          <w:szCs w:val="24"/>
        </w:rPr>
        <w:t xml:space="preserve"> </w:t>
      </w:r>
      <w:r w:rsidRPr="003612F3">
        <w:rPr>
          <w:rFonts w:ascii="David" w:hAnsi="David" w:cs="David"/>
          <w:sz w:val="24"/>
          <w:szCs w:val="24"/>
          <w:rtl/>
        </w:rPr>
        <w:t>ניתן ביום 29.10.14</w:t>
      </w:r>
      <w:r w:rsidRPr="003612F3">
        <w:rPr>
          <w:rFonts w:ascii="David" w:hAnsi="David" w:cs="David"/>
          <w:sz w:val="24"/>
          <w:szCs w:val="24"/>
        </w:rPr>
        <w:t xml:space="preserve"> ;</w:t>
      </w:r>
      <w:r w:rsidR="00C02D67">
        <w:rPr>
          <w:rFonts w:ascii="David" w:hAnsi="David" w:cs="David"/>
          <w:sz w:val="24"/>
          <w:szCs w:val="24"/>
        </w:rPr>
        <w:t xml:space="preserve"> </w:t>
      </w:r>
      <w:hyperlink r:id="rId21" w:history="1">
        <w:r w:rsidR="00C02D67" w:rsidRPr="00C02D67">
          <w:rPr>
            <w:rFonts w:ascii="David" w:hAnsi="David" w:cs="David"/>
            <w:color w:val="0000FF"/>
            <w:sz w:val="24"/>
            <w:szCs w:val="24"/>
            <w:u w:val="single"/>
            <w:rtl/>
          </w:rPr>
          <w:t>ע"פ 9308/12</w:t>
        </w:r>
      </w:hyperlink>
      <w:r w:rsidR="00C02D67">
        <w:rPr>
          <w:rFonts w:ascii="David" w:hAnsi="David" w:cs="David"/>
          <w:sz w:val="24"/>
          <w:szCs w:val="24"/>
        </w:rPr>
        <w:t xml:space="preserve"> </w:t>
      </w:r>
      <w:r w:rsidRPr="003612F3">
        <w:rPr>
          <w:rFonts w:ascii="David" w:hAnsi="David" w:cs="David"/>
          <w:b/>
          <w:bCs/>
          <w:sz w:val="24"/>
          <w:szCs w:val="24"/>
          <w:rtl/>
        </w:rPr>
        <w:t xml:space="preserve">עיסא </w:t>
      </w:r>
      <w:r>
        <w:rPr>
          <w:rFonts w:ascii="David" w:hAnsi="David" w:cs="David"/>
          <w:b/>
          <w:bCs/>
          <w:sz w:val="24"/>
          <w:szCs w:val="24"/>
          <w:rtl/>
        </w:rPr>
        <w:t>נ' מדינת ישראל</w:t>
      </w:r>
      <w:r>
        <w:rPr>
          <w:rFonts w:ascii="David" w:hAnsi="David" w:cs="David"/>
          <w:b/>
          <w:bCs/>
          <w:sz w:val="24"/>
          <w:szCs w:val="24"/>
        </w:rPr>
        <w:t>,</w:t>
      </w:r>
      <w:r>
        <w:rPr>
          <w:rFonts w:ascii="David" w:hAnsi="David" w:cs="David"/>
          <w:sz w:val="24"/>
          <w:szCs w:val="24"/>
        </w:rPr>
        <w:t xml:space="preserve"> </w:t>
      </w:r>
      <w:r>
        <w:rPr>
          <w:rFonts w:ascii="David" w:hAnsi="David" w:cs="David"/>
          <w:sz w:val="24"/>
          <w:szCs w:val="24"/>
          <w:rtl/>
        </w:rPr>
        <w:t>ניתן ביום 30.7.15). לא מצאתי כל קשר ענייני בין האירועים השונים: עסקינן באירועים בעלי אופי שונה, אשר בוצעו במועדים שונים ולפיכך יש לראות בעבירות השונות אירועים נפרדים</w:t>
      </w:r>
      <w:r>
        <w:rPr>
          <w:rFonts w:ascii="David" w:hAnsi="David" w:cs="David"/>
          <w:sz w:val="24"/>
          <w:szCs w:val="24"/>
        </w:rPr>
        <w:t>.</w:t>
      </w:r>
    </w:p>
    <w:p w14:paraId="1D61EC10" w14:textId="77777777" w:rsidR="00197A8A" w:rsidRDefault="00197A8A" w:rsidP="00197A8A">
      <w:pPr>
        <w:pStyle w:val="aa"/>
        <w:spacing w:line="360" w:lineRule="auto"/>
        <w:ind w:left="786"/>
        <w:jc w:val="both"/>
        <w:rPr>
          <w:rFonts w:cs="David"/>
          <w:b/>
          <w:bCs/>
          <w:sz w:val="24"/>
          <w:szCs w:val="24"/>
          <w:u w:val="single"/>
        </w:rPr>
      </w:pPr>
    </w:p>
    <w:p w14:paraId="50A9DC7B" w14:textId="77777777" w:rsidR="00197A8A" w:rsidRDefault="00197A8A" w:rsidP="00197A8A">
      <w:pPr>
        <w:pStyle w:val="aa"/>
        <w:spacing w:line="360" w:lineRule="auto"/>
        <w:ind w:left="786"/>
        <w:jc w:val="both"/>
        <w:rPr>
          <w:rFonts w:ascii="David" w:hAnsi="David" w:cs="David"/>
          <w:b/>
          <w:bCs/>
          <w:sz w:val="24"/>
          <w:szCs w:val="24"/>
        </w:rPr>
      </w:pPr>
      <w:r>
        <w:rPr>
          <w:rFonts w:ascii="David" w:hAnsi="David" w:cs="David"/>
          <w:b/>
          <w:bCs/>
          <w:sz w:val="24"/>
          <w:szCs w:val="24"/>
          <w:rtl/>
        </w:rPr>
        <w:t xml:space="preserve">קביעת מתחם העונש ההולם בתיק הכותרת – 55335-12-21- עבירת החזקה ושימוש בסמים שלא לצריכה עצמית- 200 ג' קנבוס. </w:t>
      </w:r>
    </w:p>
    <w:p w14:paraId="1F7C3D24" w14:textId="77777777" w:rsidR="00197A8A" w:rsidRDefault="00197A8A" w:rsidP="00197A8A">
      <w:pPr>
        <w:pStyle w:val="aa"/>
        <w:spacing w:line="360" w:lineRule="auto"/>
        <w:ind w:left="786"/>
        <w:jc w:val="both"/>
        <w:rPr>
          <w:rFonts w:ascii="David" w:hAnsi="David" w:cs="David"/>
          <w:b/>
          <w:bCs/>
          <w:sz w:val="24"/>
          <w:szCs w:val="24"/>
          <w:rtl/>
        </w:rPr>
      </w:pPr>
    </w:p>
    <w:p w14:paraId="7C425B7A" w14:textId="77777777" w:rsidR="00197A8A" w:rsidRDefault="00197A8A" w:rsidP="00197A8A">
      <w:pPr>
        <w:pStyle w:val="aa"/>
        <w:numPr>
          <w:ilvl w:val="0"/>
          <w:numId w:val="1"/>
        </w:numPr>
        <w:spacing w:line="360" w:lineRule="auto"/>
        <w:jc w:val="both"/>
        <w:rPr>
          <w:rFonts w:ascii="David" w:hAnsi="David" w:cs="David"/>
          <w:sz w:val="24"/>
          <w:szCs w:val="24"/>
          <w:rtl/>
        </w:rPr>
      </w:pPr>
      <w:r>
        <w:rPr>
          <w:rFonts w:ascii="David" w:hAnsi="David" w:cs="David"/>
          <w:sz w:val="24"/>
          <w:szCs w:val="24"/>
          <w:rtl/>
        </w:rPr>
        <w:t>קביעת מתחם העונש ההולם למעשה העבירה שביצע הנאשם נעשית בהתאם לעקרון המנחה בענישה, קיום יחס הולם בין חומרת מעשה העבירה בנסיבותיה ומידת אשם הנאשם, לבין סוג ומידת העונש המוטל עליו. לשם קביעת מתחם העונש, בהתאם לעקרון ההלימה, יש להתחשב בערך החברתי שנפגע, במידת הפגיעה בו, במדיניות הענישה הנוהגת ובנסיבות הקשורות בביצוע העבירה.</w:t>
      </w:r>
    </w:p>
    <w:p w14:paraId="18BC4984" w14:textId="77777777" w:rsidR="00197A8A" w:rsidRDefault="00197A8A" w:rsidP="00197A8A">
      <w:pPr>
        <w:pStyle w:val="aa"/>
        <w:spacing w:line="360" w:lineRule="auto"/>
        <w:ind w:left="644"/>
        <w:jc w:val="both"/>
        <w:rPr>
          <w:rFonts w:ascii="David" w:hAnsi="David" w:cs="David"/>
          <w:sz w:val="24"/>
          <w:szCs w:val="24"/>
        </w:rPr>
      </w:pPr>
    </w:p>
    <w:p w14:paraId="0A5CF98A" w14:textId="77777777" w:rsidR="00197A8A" w:rsidRDefault="00197A8A" w:rsidP="00197A8A">
      <w:pPr>
        <w:pStyle w:val="aa"/>
        <w:numPr>
          <w:ilvl w:val="0"/>
          <w:numId w:val="1"/>
        </w:numPr>
        <w:spacing w:line="360" w:lineRule="auto"/>
        <w:jc w:val="both"/>
        <w:rPr>
          <w:rFonts w:ascii="David" w:hAnsi="David" w:cs="David"/>
          <w:sz w:val="24"/>
          <w:szCs w:val="24"/>
        </w:rPr>
      </w:pPr>
      <w:r>
        <w:rPr>
          <w:rFonts w:ascii="David" w:hAnsi="David" w:cs="David"/>
          <w:sz w:val="24"/>
          <w:szCs w:val="24"/>
          <w:rtl/>
        </w:rPr>
        <w:t>הערכים המוגנים בעבירות סמים הם הגנה על בריאות הציבור, שלומו הפיזי והנפשי מפני הנזקים הישירים והעקיפים הנגרמים בשל השימוש בסמים. חקיקת חוקי הסמים נועדה לעקור נגע הסמים מהשורש בהיותו רעה חולה בכל חברה מתוקנת. החזקה ושימוש בסמים טומנים בחובם פוטנציאל נזק רחב, לא רק למעורבים הישירים בביצוע העבירות אלא לחברה כולה: צרכן הסמים, משפחתו, והנפגעים העקיפים מהפעילות העבריינית שנלווית פעמים רבות לעבירות הסמים.</w:t>
      </w:r>
    </w:p>
    <w:p w14:paraId="2BDDD988" w14:textId="77777777" w:rsidR="00197A8A" w:rsidRDefault="00197A8A" w:rsidP="00197A8A">
      <w:pPr>
        <w:pStyle w:val="aa"/>
        <w:spacing w:line="360" w:lineRule="auto"/>
        <w:rPr>
          <w:rFonts w:ascii="David" w:hAnsi="David" w:cs="David"/>
          <w:sz w:val="24"/>
          <w:szCs w:val="24"/>
          <w:highlight w:val="yellow"/>
        </w:rPr>
      </w:pPr>
    </w:p>
    <w:p w14:paraId="78EF0B4C" w14:textId="77777777" w:rsidR="00197A8A" w:rsidRDefault="00197A8A" w:rsidP="00197A8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עבירות הסמים פוגעות גם בערכים מוגנים נוספים, שהם שמירה על הביטחון הכללי של הציבור ועל רכושו, שכן הקשר בין שימוש בסמים לבין קשת רחבה של עבירות רכוש ואלימות הנו קשר ידוע וברור, ארגוני פשע מבססים לא אחת חלק מהכנסותיהם מצריכת הסמים על ידי משתמשים, ומדינות המערב מבקשות להילחם במה שעלול לפגוע פגיעה אנושה בנוער, במשפחות ובהשלכות עבריינות הסמים בכללותה. </w:t>
      </w:r>
    </w:p>
    <w:p w14:paraId="05915B19" w14:textId="77777777" w:rsidR="00197A8A" w:rsidRDefault="00197A8A" w:rsidP="00197A8A">
      <w:pPr>
        <w:spacing w:line="360" w:lineRule="auto"/>
        <w:ind w:left="720"/>
        <w:jc w:val="both"/>
        <w:rPr>
          <w:rFonts w:ascii="David" w:hAnsi="David"/>
          <w:rtl/>
        </w:rPr>
      </w:pPr>
    </w:p>
    <w:p w14:paraId="3460848E" w14:textId="77777777" w:rsidR="00197A8A" w:rsidRDefault="00197A8A" w:rsidP="00197A8A">
      <w:pPr>
        <w:spacing w:line="360" w:lineRule="auto"/>
        <w:ind w:left="720"/>
        <w:jc w:val="both"/>
        <w:rPr>
          <w:rFonts w:ascii="FrankRuehl" w:hAnsi="FrankRuehl" w:cs="FrankRuehl"/>
          <w:sz w:val="28"/>
          <w:szCs w:val="28"/>
          <w:rtl/>
        </w:rPr>
      </w:pPr>
      <w:r>
        <w:rPr>
          <w:rFonts w:ascii="David" w:hAnsi="David"/>
          <w:rtl/>
        </w:rPr>
        <w:t xml:space="preserve">לעניין זה ראו </w:t>
      </w:r>
      <w:hyperlink r:id="rId22" w:history="1">
        <w:r w:rsidR="00C02D67" w:rsidRPr="00C02D67">
          <w:rPr>
            <w:rFonts w:ascii="David" w:hAnsi="David"/>
            <w:color w:val="0000FF"/>
            <w:u w:val="single"/>
            <w:rtl/>
          </w:rPr>
          <w:t>ע"פ 972/11</w:t>
        </w:r>
      </w:hyperlink>
      <w:r>
        <w:rPr>
          <w:rFonts w:ascii="David" w:hAnsi="David"/>
          <w:rtl/>
        </w:rPr>
        <w:t xml:space="preserve"> </w:t>
      </w:r>
      <w:r>
        <w:rPr>
          <w:rFonts w:ascii="David" w:hAnsi="David"/>
          <w:b/>
          <w:bCs/>
          <w:rtl/>
        </w:rPr>
        <w:t xml:space="preserve">מדינת ישראל נגד יניב יונה </w:t>
      </w:r>
      <w:r>
        <w:rPr>
          <w:rFonts w:ascii="David" w:hAnsi="David"/>
          <w:rtl/>
        </w:rPr>
        <w:t>[פורסם במאגרים] (04.07.12):</w:t>
      </w:r>
    </w:p>
    <w:p w14:paraId="75CA1772" w14:textId="77777777" w:rsidR="00197A8A" w:rsidRPr="00197A8A" w:rsidRDefault="00197A8A" w:rsidP="00197A8A">
      <w:pPr>
        <w:spacing w:line="360" w:lineRule="auto"/>
        <w:ind w:left="2160" w:right="851"/>
        <w:jc w:val="both"/>
        <w:rPr>
          <w:rFonts w:cs="Times New Roman"/>
          <w:sz w:val="22"/>
          <w:szCs w:val="22"/>
          <w:rtl/>
        </w:rPr>
      </w:pPr>
      <w:r w:rsidRPr="00197A8A">
        <w:rPr>
          <w:rFonts w:cs="Times New Roman"/>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64F264C7" w14:textId="77777777" w:rsidR="00197A8A" w:rsidRDefault="00197A8A" w:rsidP="00197A8A">
      <w:pPr>
        <w:spacing w:line="360" w:lineRule="auto"/>
        <w:ind w:left="720"/>
        <w:jc w:val="both"/>
        <w:rPr>
          <w:rFonts w:ascii="David" w:hAnsi="David"/>
          <w:highlight w:val="yellow"/>
          <w:rtl/>
        </w:rPr>
      </w:pPr>
    </w:p>
    <w:p w14:paraId="42110394" w14:textId="77777777" w:rsidR="00197A8A" w:rsidRDefault="00197A8A" w:rsidP="00197A8A">
      <w:pPr>
        <w:spacing w:line="360" w:lineRule="auto"/>
        <w:ind w:left="720"/>
        <w:jc w:val="both"/>
        <w:rPr>
          <w:rFonts w:ascii="David" w:hAnsi="David"/>
          <w:rtl/>
        </w:rPr>
      </w:pPr>
      <w:r>
        <w:rPr>
          <w:rFonts w:ascii="David" w:hAnsi="David"/>
          <w:rtl/>
        </w:rPr>
        <w:t>עוד ראו בעניין זה הדברים שנאמרו ב</w:t>
      </w:r>
      <w:hyperlink r:id="rId23" w:history="1">
        <w:r w:rsidR="00C02D67" w:rsidRPr="00C02D67">
          <w:rPr>
            <w:rFonts w:ascii="David" w:hAnsi="David"/>
            <w:color w:val="0000FF"/>
            <w:u w:val="single"/>
            <w:rtl/>
          </w:rPr>
          <w:t>רע"פ 2557/12</w:t>
        </w:r>
      </w:hyperlink>
      <w:r>
        <w:rPr>
          <w:rFonts w:ascii="David" w:hAnsi="David"/>
          <w:rtl/>
        </w:rPr>
        <w:t xml:space="preserve"> </w:t>
      </w:r>
      <w:r>
        <w:rPr>
          <w:rFonts w:ascii="David" w:hAnsi="David"/>
          <w:b/>
          <w:bCs/>
          <w:rtl/>
        </w:rPr>
        <w:t>תמם פרדי נגד מדינת ישראל</w:t>
      </w:r>
      <w:r>
        <w:rPr>
          <w:rFonts w:ascii="David" w:hAnsi="David"/>
          <w:rtl/>
        </w:rPr>
        <w:t xml:space="preserve"> [פורסם במאגרים] (05.04.12), בהתייחסותו של  בית המשפט העליון לעבירה של הפצת הסם, שהיא עבירת אחות לעבירת החזקת הסם שלא לצריכה עצמית: </w:t>
      </w:r>
    </w:p>
    <w:p w14:paraId="21C32414" w14:textId="77777777" w:rsidR="00197A8A" w:rsidRPr="003612F3" w:rsidRDefault="00197A8A" w:rsidP="00197A8A">
      <w:pPr>
        <w:spacing w:line="360" w:lineRule="auto"/>
        <w:ind w:left="720"/>
        <w:jc w:val="both"/>
        <w:rPr>
          <w:rFonts w:ascii="David" w:hAnsi="David"/>
          <w:sz w:val="22"/>
          <w:szCs w:val="22"/>
          <w:rtl/>
        </w:rPr>
      </w:pPr>
    </w:p>
    <w:p w14:paraId="564BC88A" w14:textId="77777777" w:rsidR="00197A8A" w:rsidRPr="00197A8A" w:rsidRDefault="00197A8A" w:rsidP="00197A8A">
      <w:pPr>
        <w:spacing w:line="360" w:lineRule="auto"/>
        <w:ind w:left="2160" w:right="851"/>
        <w:jc w:val="both"/>
        <w:rPr>
          <w:rFonts w:cs="Times New Roman"/>
          <w:sz w:val="22"/>
          <w:szCs w:val="22"/>
          <w:rtl/>
        </w:rPr>
      </w:pPr>
      <w:r w:rsidRPr="00197A8A">
        <w:rPr>
          <w:rFonts w:cs="Times New Roman"/>
          <w:sz w:val="22"/>
          <w:szCs w:val="22"/>
          <w:rtl/>
        </w:rPr>
        <w:t xml:space="preserve">"עמדנו לא אחת על חומרתן של עבירות הפצת סמים והחשיבות בהרתעה אפקטיבית: </w:t>
      </w:r>
    </w:p>
    <w:p w14:paraId="34593598" w14:textId="77777777" w:rsidR="00197A8A" w:rsidRPr="00197A8A" w:rsidRDefault="00197A8A" w:rsidP="00197A8A">
      <w:pPr>
        <w:spacing w:line="360" w:lineRule="auto"/>
        <w:ind w:left="2160" w:right="851"/>
        <w:jc w:val="both"/>
        <w:rPr>
          <w:rFonts w:cs="Times New Roman"/>
          <w:sz w:val="22"/>
          <w:szCs w:val="22"/>
          <w:rtl/>
        </w:rPr>
      </w:pPr>
      <w:r w:rsidRPr="00197A8A">
        <w:rPr>
          <w:rFonts w:cs="Times New Roman"/>
          <w:sz w:val="22"/>
          <w:szCs w:val="22"/>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24" w:history="1">
        <w:r w:rsidR="00C02D67" w:rsidRPr="00C02D67">
          <w:rPr>
            <w:rFonts w:cs="Times New Roman"/>
            <w:color w:val="0000FF"/>
            <w:sz w:val="22"/>
            <w:szCs w:val="22"/>
            <w:u w:val="single"/>
            <w:rtl/>
          </w:rPr>
          <w:t>ע"פ 4998/95</w:t>
        </w:r>
      </w:hyperlink>
      <w:r w:rsidRPr="00197A8A">
        <w:rPr>
          <w:rFonts w:cs="Times New Roman"/>
          <w:sz w:val="22"/>
          <w:szCs w:val="22"/>
          <w:rtl/>
        </w:rPr>
        <w:t xml:space="preserve"> מדינת ישראל נ' אוקטביו, פ"ד נא(3) 769, 787 השופט כתארו אז - מ' חשין)" (</w:t>
      </w:r>
      <w:hyperlink r:id="rId25" w:history="1">
        <w:r w:rsidR="00C02D67" w:rsidRPr="00C02D67">
          <w:rPr>
            <w:rFonts w:cs="Times New Roman"/>
            <w:color w:val="0000FF"/>
            <w:sz w:val="22"/>
            <w:szCs w:val="22"/>
            <w:u w:val="single"/>
            <w:rtl/>
          </w:rPr>
          <w:t>רע"פ 1720/11</w:t>
        </w:r>
      </w:hyperlink>
      <w:r w:rsidRPr="00197A8A">
        <w:rPr>
          <w:rFonts w:cs="Times New Roman"/>
          <w:sz w:val="22"/>
          <w:szCs w:val="22"/>
          <w:rtl/>
        </w:rPr>
        <w:t xml:space="preserve">  גליק נ' מדינת ישראל (לא פורסם) פסקה ז')."</w:t>
      </w:r>
    </w:p>
    <w:p w14:paraId="5D69CB6E" w14:textId="77777777" w:rsidR="00197A8A" w:rsidRPr="00197A8A" w:rsidRDefault="00197A8A" w:rsidP="00197A8A">
      <w:pPr>
        <w:spacing w:line="360" w:lineRule="auto"/>
        <w:ind w:left="2160" w:right="851"/>
        <w:jc w:val="both"/>
        <w:rPr>
          <w:rFonts w:cs="Times New Roman"/>
          <w:rtl/>
        </w:rPr>
      </w:pPr>
    </w:p>
    <w:p w14:paraId="3EAE122E" w14:textId="77777777" w:rsidR="00197A8A" w:rsidRPr="00197A8A" w:rsidRDefault="00197A8A" w:rsidP="00197A8A">
      <w:pPr>
        <w:spacing w:line="360" w:lineRule="auto"/>
        <w:ind w:left="651" w:right="851"/>
        <w:jc w:val="both"/>
        <w:rPr>
          <w:rFonts w:cs="Times New Roman"/>
          <w:rtl/>
        </w:rPr>
      </w:pPr>
      <w:r w:rsidRPr="003612F3">
        <w:rPr>
          <w:rFonts w:ascii="David" w:hAnsi="David"/>
          <w:rtl/>
        </w:rPr>
        <w:t>ב</w:t>
      </w:r>
      <w:hyperlink r:id="rId26" w:history="1">
        <w:r w:rsidR="00C02D67" w:rsidRPr="00C02D67">
          <w:rPr>
            <w:rFonts w:ascii="David" w:hAnsi="David" w:cs="Times New Roman"/>
            <w:color w:val="0000FF"/>
            <w:u w:val="single"/>
            <w:rtl/>
          </w:rPr>
          <w:t>ת"פ (י-ם) 48938-01-15</w:t>
        </w:r>
      </w:hyperlink>
      <w:r w:rsidR="00C02D67">
        <w:rPr>
          <w:rFonts w:ascii="David" w:hAnsi="David"/>
          <w:rtl/>
        </w:rPr>
        <w:t xml:space="preserve"> </w:t>
      </w:r>
      <w:r>
        <w:rPr>
          <w:rFonts w:ascii="David" w:hAnsi="David"/>
          <w:rtl/>
        </w:rPr>
        <w:t>מדינת ישראל נ' דוד קריכלי</w:t>
      </w:r>
      <w:r w:rsidR="00C02D67">
        <w:rPr>
          <w:rFonts w:ascii="David" w:hAnsi="David"/>
          <w:rtl/>
        </w:rPr>
        <w:t xml:space="preserve"> </w:t>
      </w:r>
      <w:r>
        <w:rPr>
          <w:rFonts w:ascii="David" w:hAnsi="David"/>
          <w:rtl/>
        </w:rPr>
        <w:t>[פורסם בנבו]</w:t>
      </w:r>
      <w:r w:rsidR="00C02D67">
        <w:rPr>
          <w:rFonts w:ascii="David" w:hAnsi="David"/>
          <w:rtl/>
        </w:rPr>
        <w:t xml:space="preserve"> </w:t>
      </w:r>
      <w:r>
        <w:rPr>
          <w:rFonts w:ascii="David" w:hAnsi="David"/>
          <w:rtl/>
        </w:rPr>
        <w:t>(6.6.2016) (להלן:</w:t>
      </w:r>
      <w:r w:rsidR="00C02D67">
        <w:rPr>
          <w:rFonts w:ascii="David" w:hAnsi="David"/>
          <w:rtl/>
        </w:rPr>
        <w:t xml:space="preserve"> </w:t>
      </w:r>
      <w:r>
        <w:rPr>
          <w:rFonts w:ascii="David" w:hAnsi="David"/>
          <w:rtl/>
        </w:rPr>
        <w:t>"עניין קריכלי") צוין:</w:t>
      </w:r>
    </w:p>
    <w:p w14:paraId="36FC32AC" w14:textId="77777777" w:rsidR="00197A8A" w:rsidRPr="00197A8A" w:rsidRDefault="00197A8A" w:rsidP="00197A8A">
      <w:pPr>
        <w:spacing w:before="100" w:beforeAutospacing="1" w:after="100" w:afterAutospacing="1" w:line="360" w:lineRule="auto"/>
        <w:ind w:left="1927"/>
        <w:jc w:val="both"/>
        <w:rPr>
          <w:rFonts w:cs="Times New Roman"/>
          <w:color w:val="000000"/>
          <w:sz w:val="22"/>
          <w:szCs w:val="22"/>
        </w:rPr>
      </w:pPr>
      <w:r w:rsidRPr="00197A8A">
        <w:rPr>
          <w:rFonts w:cs="Times New Roman"/>
          <w:color w:val="000000"/>
          <w:sz w:val="22"/>
          <w:szCs w:val="22"/>
          <w:rtl/>
        </w:rPr>
        <w:t>"כידוע, נגע הסמים פוגע קשות בחברה, משחית את הגוף ואת הנפש, וגורם בדרך עקיפה אך בטוחה לעבירות רכוש, לזנות וקלקלותיה ולצורות החמורות של עבירות הרכוש, המגיעות במקרים רבים לכלל אלימות; שכן, מעבר לפגיעה במתמכרים, פיזית ונפשית, נאלצים המכורים המשועבדים להשחית עצמם, בעבירות שונות, והופכים מקרבנות הסחר לפוגעים בציבור הרחב. בתי המשפט הציבו להם מטרה לבער את אותה מכת מדינה, המכלה כל חלקה טובה".</w:t>
      </w:r>
    </w:p>
    <w:p w14:paraId="0430C0A9" w14:textId="77777777" w:rsidR="00197A8A" w:rsidRDefault="00197A8A" w:rsidP="00197A8A">
      <w:pPr>
        <w:ind w:left="1440" w:right="851"/>
        <w:jc w:val="both"/>
        <w:rPr>
          <w:rFonts w:ascii="FrankRuehl" w:hAnsi="FrankRuehl" w:cs="FrankRuehl"/>
          <w:b/>
          <w:bCs/>
          <w:sz w:val="28"/>
          <w:szCs w:val="28"/>
          <w:highlight w:val="yellow"/>
          <w:rtl/>
        </w:rPr>
      </w:pPr>
    </w:p>
    <w:p w14:paraId="5D5BD481" w14:textId="77777777" w:rsidR="00197A8A" w:rsidRDefault="00197A8A" w:rsidP="00197A8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במקרה דנן, הערך החברתי אשר נפגע הינו הגנה על שלום הציבור מפני פגיעתם הקשה של סמים מסוכנים. בקביעת מתחם העונש ההולם יש להביא בחשבון גם העובדה שמדובר בסם מסוג קנבוס שאינו נמנה על קבוצת הסמים "הקשים" ושהנאשם החזיק הסם במשקל כולל של 200 גרם נטו שלא לצריכתו העצמית. </w:t>
      </w:r>
    </w:p>
    <w:p w14:paraId="26F45326" w14:textId="77777777" w:rsidR="00197A8A" w:rsidRDefault="00197A8A" w:rsidP="00197A8A">
      <w:pPr>
        <w:pStyle w:val="aa"/>
        <w:spacing w:line="360" w:lineRule="auto"/>
        <w:ind w:left="786"/>
        <w:jc w:val="both"/>
        <w:rPr>
          <w:rFonts w:ascii="David" w:hAnsi="David" w:cs="David"/>
          <w:sz w:val="24"/>
          <w:szCs w:val="24"/>
        </w:rPr>
      </w:pPr>
    </w:p>
    <w:p w14:paraId="06269D11" w14:textId="77777777" w:rsidR="00197A8A" w:rsidRDefault="00197A8A" w:rsidP="00197A8A">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יובהר כי עבירת החזקת הסמים שלא לצריכה עצמית היא היבט פוטנציאלי של סחר הסמים בכוח ולא בפועל. כמו כן יצוין כי במחוז דרום וברוב פסיקות ביהמ"ש העליון ביהמ"ש רואה בחומרה את עבירות הסמים גם מסוג קנבוס, כחלק מעבירות הסמים המסוכנים, כאשר הקלים בהם הם חלק מהסיכון הכולל של כלל העבירות בתחום זה ולא אחת אף מובילים בהדרגה לסקרנות השימוש ולגלישה מתדרדרת גם לסמים הקשים בקרב בני נוער ומבוגרים. </w:t>
      </w:r>
    </w:p>
    <w:p w14:paraId="12645ADD" w14:textId="77777777" w:rsidR="00197A8A" w:rsidRDefault="00197A8A" w:rsidP="00197A8A">
      <w:pPr>
        <w:spacing w:line="360" w:lineRule="auto"/>
        <w:ind w:firstLine="720"/>
        <w:jc w:val="both"/>
        <w:rPr>
          <w:rFonts w:ascii="David" w:hAnsi="David"/>
          <w:b/>
          <w:bCs/>
          <w:rtl/>
        </w:rPr>
      </w:pPr>
      <w:r>
        <w:rPr>
          <w:rFonts w:ascii="David" w:hAnsi="David"/>
          <w:b/>
          <w:bCs/>
          <w:rtl/>
        </w:rPr>
        <w:t xml:space="preserve">הענישה במקרים דומים: </w:t>
      </w:r>
    </w:p>
    <w:p w14:paraId="2EFE80EA" w14:textId="77777777" w:rsidR="00197A8A" w:rsidRDefault="00197A8A" w:rsidP="00197A8A">
      <w:pPr>
        <w:spacing w:line="360" w:lineRule="auto"/>
        <w:jc w:val="both"/>
        <w:rPr>
          <w:rFonts w:ascii="David" w:hAnsi="David"/>
          <w:b/>
          <w:bCs/>
        </w:rPr>
      </w:pPr>
    </w:p>
    <w:p w14:paraId="74A4666C" w14:textId="77777777" w:rsidR="00197A8A" w:rsidRDefault="00197A8A" w:rsidP="00197A8A">
      <w:pPr>
        <w:pStyle w:val="aa"/>
        <w:numPr>
          <w:ilvl w:val="0"/>
          <w:numId w:val="2"/>
        </w:numPr>
        <w:spacing w:after="160" w:line="360" w:lineRule="auto"/>
        <w:jc w:val="both"/>
        <w:rPr>
          <w:rFonts w:ascii="David" w:hAnsi="David" w:cs="David"/>
          <w:sz w:val="24"/>
          <w:szCs w:val="24"/>
          <w:rtl/>
        </w:rPr>
      </w:pPr>
      <w:r>
        <w:rPr>
          <w:rFonts w:ascii="David" w:hAnsi="David" w:cs="David"/>
          <w:sz w:val="24"/>
          <w:szCs w:val="24"/>
          <w:rtl/>
        </w:rPr>
        <w:t>ב</w:t>
      </w:r>
      <w:hyperlink r:id="rId27" w:history="1">
        <w:r w:rsidR="00C02D67" w:rsidRPr="00C02D67">
          <w:rPr>
            <w:rFonts w:ascii="David" w:hAnsi="David" w:cs="David"/>
            <w:color w:val="0000FF"/>
            <w:sz w:val="24"/>
            <w:szCs w:val="24"/>
            <w:u w:val="single"/>
            <w:rtl/>
          </w:rPr>
          <w:t>רע"פ 1830/16</w:t>
        </w:r>
      </w:hyperlink>
      <w:r>
        <w:rPr>
          <w:rFonts w:ascii="David" w:hAnsi="David" w:cs="David"/>
          <w:sz w:val="24"/>
          <w:szCs w:val="24"/>
          <w:rtl/>
        </w:rPr>
        <w:t xml:space="preserve"> </w:t>
      </w:r>
      <w:r>
        <w:rPr>
          <w:rFonts w:ascii="David" w:hAnsi="David" w:cs="David"/>
          <w:b/>
          <w:bCs/>
          <w:sz w:val="24"/>
          <w:szCs w:val="24"/>
          <w:rtl/>
        </w:rPr>
        <w:t>רכיבי נגד מדינת ישראל</w:t>
      </w:r>
      <w:r>
        <w:rPr>
          <w:rFonts w:ascii="David" w:hAnsi="David" w:cs="David"/>
          <w:sz w:val="24"/>
          <w:szCs w:val="24"/>
          <w:rtl/>
        </w:rPr>
        <w:t xml:space="preserve"> (11.4.16): הנאשם הורשע בעבירה של החזקת חשיש ברכבו במשקל כולל של כ - 2,300 גרם. על הנאשם הנעדר עבר פלילי אשר בעניינו הוגש תסקיר חיובי נגזרו 8 חודשי מאסר בפועל.</w:t>
      </w:r>
    </w:p>
    <w:p w14:paraId="61FA4022" w14:textId="77777777" w:rsidR="00197A8A" w:rsidRDefault="00197A8A" w:rsidP="00197A8A">
      <w:pPr>
        <w:pStyle w:val="aa"/>
        <w:spacing w:after="160" w:line="360" w:lineRule="auto"/>
        <w:ind w:left="1080"/>
        <w:jc w:val="both"/>
        <w:rPr>
          <w:rFonts w:ascii="David" w:hAnsi="David" w:cs="David"/>
          <w:sz w:val="24"/>
          <w:szCs w:val="24"/>
          <w:highlight w:val="yellow"/>
        </w:rPr>
      </w:pPr>
    </w:p>
    <w:p w14:paraId="587B3EC7" w14:textId="77777777" w:rsidR="00197A8A" w:rsidRDefault="00197A8A" w:rsidP="00197A8A">
      <w:pPr>
        <w:pStyle w:val="aa"/>
        <w:numPr>
          <w:ilvl w:val="0"/>
          <w:numId w:val="2"/>
        </w:numPr>
        <w:spacing w:after="160" w:line="360" w:lineRule="auto"/>
        <w:jc w:val="both"/>
        <w:rPr>
          <w:rFonts w:ascii="David" w:hAnsi="David" w:cs="David"/>
          <w:sz w:val="24"/>
          <w:szCs w:val="24"/>
          <w:rtl/>
        </w:rPr>
      </w:pPr>
      <w:r w:rsidRPr="003612F3">
        <w:rPr>
          <w:rFonts w:ascii="David" w:hAnsi="David" w:cs="David"/>
          <w:sz w:val="24"/>
          <w:szCs w:val="24"/>
          <w:rtl/>
        </w:rPr>
        <w:t>ב</w:t>
      </w:r>
      <w:hyperlink w:history="1">
        <w:r w:rsidRPr="00C02D67">
          <w:rPr>
            <w:rFonts w:ascii="David" w:hAnsi="David" w:cs="David"/>
            <w:color w:val="000000"/>
            <w:sz w:val="24"/>
            <w:szCs w:val="24"/>
            <w:rtl/>
          </w:rPr>
          <w:t>עפ"ג (ב"ש) 41634-10-14</w:t>
        </w:r>
      </w:hyperlink>
      <w:r>
        <w:rPr>
          <w:rFonts w:ascii="David" w:hAnsi="David" w:cs="David"/>
          <w:sz w:val="24"/>
          <w:szCs w:val="24"/>
          <w:rtl/>
        </w:rPr>
        <w:t xml:space="preserve"> </w:t>
      </w:r>
      <w:r>
        <w:rPr>
          <w:rFonts w:ascii="David" w:hAnsi="David" w:cs="David" w:hint="cs"/>
          <w:b/>
          <w:bCs/>
          <w:sz w:val="24"/>
          <w:szCs w:val="24"/>
          <w:rtl/>
        </w:rPr>
        <w:t>לסרי ואח' נגד מדינת ישראל</w:t>
      </w:r>
      <w:r>
        <w:rPr>
          <w:rFonts w:ascii="David" w:hAnsi="David" w:cs="David" w:hint="cs"/>
          <w:sz w:val="24"/>
          <w:szCs w:val="24"/>
          <w:rtl/>
        </w:rPr>
        <w:t xml:space="preserve"> (18.3.15), הנאשמים הורשעו בעבירה של החזקת סם שלא לצריכה עצמית, בכך שהחזיקו סם מסוג קנבוס במשקל של 230 גרם נטו. בית-משפט השלום הטיל על הנאשמים מאסר לתקופה של 5 חודשים בדרך של עבודות שירות, מאסרים על תנאי, פסילת רישיון על תנאי וקנס</w:t>
      </w:r>
      <w:r>
        <w:rPr>
          <w:rFonts w:ascii="David" w:hAnsi="David" w:cs="David" w:hint="cs"/>
          <w:b/>
          <w:bCs/>
          <w:sz w:val="24"/>
          <w:szCs w:val="24"/>
          <w:rtl/>
        </w:rPr>
        <w:t>.</w:t>
      </w:r>
      <w:r>
        <w:rPr>
          <w:rFonts w:ascii="David" w:hAnsi="David" w:cs="David" w:hint="cs"/>
          <w:sz w:val="24"/>
          <w:szCs w:val="24"/>
          <w:rtl/>
        </w:rPr>
        <w:t xml:space="preserve"> בית-המשפט המחוזי דחה ערעור הנאשמים. </w:t>
      </w:r>
    </w:p>
    <w:p w14:paraId="0B243DC0" w14:textId="77777777" w:rsidR="00197A8A" w:rsidRDefault="00197A8A" w:rsidP="00197A8A">
      <w:pPr>
        <w:pStyle w:val="aa"/>
        <w:spacing w:line="360" w:lineRule="auto"/>
        <w:jc w:val="both"/>
        <w:rPr>
          <w:rFonts w:ascii="David" w:hAnsi="David" w:cs="David"/>
          <w:sz w:val="24"/>
          <w:szCs w:val="24"/>
        </w:rPr>
      </w:pPr>
    </w:p>
    <w:p w14:paraId="08619FFB" w14:textId="77777777" w:rsidR="00197A8A" w:rsidRDefault="00197A8A" w:rsidP="00197A8A">
      <w:pPr>
        <w:pStyle w:val="aa"/>
        <w:numPr>
          <w:ilvl w:val="0"/>
          <w:numId w:val="2"/>
        </w:numPr>
        <w:spacing w:after="160" w:line="360" w:lineRule="auto"/>
        <w:jc w:val="both"/>
        <w:rPr>
          <w:rFonts w:ascii="David" w:hAnsi="David" w:cs="David"/>
          <w:sz w:val="24"/>
          <w:szCs w:val="24"/>
          <w:rtl/>
        </w:rPr>
      </w:pPr>
      <w:r>
        <w:rPr>
          <w:rFonts w:ascii="David" w:hAnsi="David" w:cs="David"/>
          <w:sz w:val="24"/>
          <w:szCs w:val="24"/>
          <w:rtl/>
        </w:rPr>
        <w:t>ב</w:t>
      </w:r>
      <w:hyperlink r:id="rId28" w:history="1">
        <w:r w:rsidR="00C02D67" w:rsidRPr="00C02D67">
          <w:rPr>
            <w:rFonts w:ascii="David" w:hAnsi="David" w:cs="David"/>
            <w:color w:val="0000FF"/>
            <w:sz w:val="24"/>
            <w:szCs w:val="24"/>
            <w:u w:val="single"/>
            <w:rtl/>
          </w:rPr>
          <w:t>ת"פ (ק"ג) 21806-01-19</w:t>
        </w:r>
      </w:hyperlink>
      <w:r>
        <w:rPr>
          <w:rFonts w:ascii="David" w:hAnsi="David" w:cs="David"/>
          <w:sz w:val="24"/>
          <w:szCs w:val="24"/>
          <w:rtl/>
        </w:rPr>
        <w:t xml:space="preserve"> </w:t>
      </w:r>
      <w:r>
        <w:rPr>
          <w:rFonts w:ascii="David" w:hAnsi="David" w:cs="David"/>
          <w:b/>
          <w:bCs/>
          <w:sz w:val="24"/>
          <w:szCs w:val="24"/>
          <w:rtl/>
        </w:rPr>
        <w:t>מדינת ישראל נ' חדד</w:t>
      </w:r>
      <w:r>
        <w:rPr>
          <w:rFonts w:ascii="David" w:hAnsi="David" w:cs="David"/>
          <w:sz w:val="24"/>
          <w:szCs w:val="24"/>
          <w:rtl/>
        </w:rPr>
        <w:t xml:space="preserve"> (14.6.20), הנאשם הורשע בביצוע עבירות של אחזקת סם מסוג קנבוס במשקל של כ-900 גרם. בית המשפט קבע מתחם ענישה הנע בין  6 חודשים מאסר שניתן לרצותם בעבודות שירות לבין 12 חודשים מאסר בפועל. בית המשפט גזר על הנאשם צו של"צ בהיקף של 300 שעות, צו מבחן, קנס ושלילת רישיון נהיגה, בשל שיקולי שיקום הנאשם.</w:t>
      </w:r>
    </w:p>
    <w:p w14:paraId="244320A0" w14:textId="77777777" w:rsidR="00197A8A" w:rsidRDefault="00197A8A" w:rsidP="00197A8A">
      <w:pPr>
        <w:pStyle w:val="aa"/>
        <w:spacing w:after="160" w:line="360" w:lineRule="auto"/>
        <w:ind w:left="1080"/>
        <w:jc w:val="both"/>
        <w:rPr>
          <w:rFonts w:ascii="David" w:hAnsi="David" w:cs="David"/>
          <w:sz w:val="24"/>
          <w:szCs w:val="24"/>
          <w:rtl/>
        </w:rPr>
      </w:pPr>
    </w:p>
    <w:p w14:paraId="3E4755B2" w14:textId="77777777" w:rsidR="00197A8A" w:rsidRDefault="00197A8A" w:rsidP="00197A8A">
      <w:pPr>
        <w:pStyle w:val="aa"/>
        <w:numPr>
          <w:ilvl w:val="0"/>
          <w:numId w:val="2"/>
        </w:numPr>
        <w:spacing w:after="160" w:line="360" w:lineRule="auto"/>
        <w:jc w:val="both"/>
        <w:rPr>
          <w:rFonts w:ascii="David" w:hAnsi="David" w:cs="David"/>
          <w:sz w:val="24"/>
          <w:szCs w:val="24"/>
          <w:rtl/>
        </w:rPr>
      </w:pPr>
      <w:r>
        <w:rPr>
          <w:rFonts w:ascii="David" w:hAnsi="David" w:cs="David"/>
          <w:sz w:val="24"/>
          <w:szCs w:val="24"/>
          <w:rtl/>
        </w:rPr>
        <w:t>ב</w:t>
      </w:r>
      <w:hyperlink r:id="rId29" w:history="1">
        <w:r w:rsidR="00C02D67" w:rsidRPr="00C02D67">
          <w:rPr>
            <w:rFonts w:ascii="David" w:hAnsi="David" w:cs="David"/>
            <w:color w:val="0000FF"/>
            <w:sz w:val="24"/>
            <w:szCs w:val="24"/>
            <w:u w:val="single"/>
            <w:rtl/>
          </w:rPr>
          <w:t>עפ"ג (י-ם) 66255-12-20</w:t>
        </w:r>
      </w:hyperlink>
      <w:r>
        <w:rPr>
          <w:rFonts w:ascii="David" w:hAnsi="David" w:cs="David"/>
          <w:sz w:val="24"/>
          <w:szCs w:val="24"/>
          <w:rtl/>
        </w:rPr>
        <w:t xml:space="preserve">  </w:t>
      </w:r>
      <w:r>
        <w:rPr>
          <w:rFonts w:ascii="David" w:hAnsi="David" w:cs="David"/>
          <w:b/>
          <w:bCs/>
          <w:sz w:val="24"/>
          <w:szCs w:val="24"/>
          <w:rtl/>
        </w:rPr>
        <w:t xml:space="preserve">נתנאל מזוז נ' מדינת ישראל </w:t>
      </w:r>
      <w:r>
        <w:rPr>
          <w:rFonts w:ascii="David" w:hAnsi="David" w:cs="David"/>
          <w:sz w:val="24"/>
          <w:szCs w:val="24"/>
          <w:rtl/>
        </w:rPr>
        <w:t xml:space="preserve">(28.4.21), הנאשם הורשע בחזקת סם מסוג קנבוס במשקל של 59 גרם בכך שהחזיקו ברכבו. בית המשפט קבע מתחם ענישה הנע בין של"צ ומאסר מותנה ועד 6 חודשי מאסר בדרך של עבודות שירות וגזר על הנאשם 6 חודשי מאסר מותנה, קנס ו-200 שעות של"צ. הערעור לביטול </w:t>
      </w:r>
      <w:r>
        <w:rPr>
          <w:rFonts w:ascii="David" w:hAnsi="David" w:cs="David"/>
          <w:color w:val="000000"/>
          <w:spacing w:val="22"/>
          <w:sz w:val="24"/>
          <w:szCs w:val="24"/>
          <w:rtl/>
        </w:rPr>
        <w:t xml:space="preserve">הרשעת הנאשם </w:t>
      </w:r>
      <w:r>
        <w:rPr>
          <w:rFonts w:ascii="David" w:hAnsi="David" w:cs="David"/>
          <w:sz w:val="24"/>
          <w:szCs w:val="24"/>
          <w:rtl/>
        </w:rPr>
        <w:t>נדחה.</w:t>
      </w:r>
    </w:p>
    <w:p w14:paraId="51AF50A6" w14:textId="77777777" w:rsidR="00197A8A" w:rsidRDefault="00197A8A" w:rsidP="00197A8A">
      <w:pPr>
        <w:pStyle w:val="aa"/>
        <w:spacing w:after="160" w:line="360" w:lineRule="auto"/>
        <w:ind w:left="1080"/>
        <w:jc w:val="both"/>
        <w:rPr>
          <w:rFonts w:ascii="David" w:hAnsi="David" w:cs="David"/>
          <w:sz w:val="24"/>
          <w:szCs w:val="24"/>
        </w:rPr>
      </w:pPr>
      <w:r>
        <w:rPr>
          <w:rFonts w:ascii="David" w:hAnsi="David" w:cs="David"/>
          <w:sz w:val="24"/>
          <w:szCs w:val="24"/>
          <w:rtl/>
        </w:rPr>
        <w:t xml:space="preserve"> </w:t>
      </w:r>
    </w:p>
    <w:p w14:paraId="4DB5D8FB" w14:textId="77777777" w:rsidR="00197A8A" w:rsidRDefault="00197A8A" w:rsidP="00197A8A">
      <w:pPr>
        <w:pStyle w:val="aa"/>
        <w:numPr>
          <w:ilvl w:val="0"/>
          <w:numId w:val="2"/>
        </w:numPr>
        <w:spacing w:line="360" w:lineRule="auto"/>
        <w:jc w:val="both"/>
        <w:rPr>
          <w:rFonts w:ascii="Symbol" w:hAnsi="Symbol" w:cs="David"/>
          <w:sz w:val="24"/>
          <w:szCs w:val="24"/>
        </w:rPr>
      </w:pPr>
      <w:r>
        <w:rPr>
          <w:rFonts w:ascii="Symbol" w:hAnsi="Symbol" w:cs="David" w:hint="cs"/>
          <w:sz w:val="24"/>
          <w:szCs w:val="24"/>
          <w:rtl/>
        </w:rPr>
        <w:t>ב</w:t>
      </w:r>
      <w:hyperlink r:id="rId30" w:history="1">
        <w:r w:rsidR="00C02D67" w:rsidRPr="00C02D67">
          <w:rPr>
            <w:rFonts w:ascii="Symbol" w:hAnsi="Symbol" w:cs="David" w:hint="cs"/>
            <w:color w:val="0000FF"/>
            <w:sz w:val="24"/>
            <w:szCs w:val="24"/>
            <w:u w:val="single"/>
            <w:rtl/>
          </w:rPr>
          <w:t>רע</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פ</w:t>
        </w:r>
        <w:r w:rsidR="00C02D67" w:rsidRPr="00C02D67">
          <w:rPr>
            <w:rFonts w:ascii="Symbol" w:hAnsi="Symbol" w:cs="David"/>
            <w:color w:val="0000FF"/>
            <w:sz w:val="24"/>
            <w:szCs w:val="24"/>
            <w:u w:val="single"/>
            <w:rtl/>
          </w:rPr>
          <w:t xml:space="preserve"> 8759/21</w:t>
        </w:r>
      </w:hyperlink>
      <w:r>
        <w:rPr>
          <w:rFonts w:ascii="Symbol" w:hAnsi="Symbol" w:cs="David"/>
          <w:sz w:val="24"/>
          <w:szCs w:val="24"/>
          <w:rtl/>
        </w:rPr>
        <w:t xml:space="preserve">  </w:t>
      </w:r>
      <w:r>
        <w:rPr>
          <w:rFonts w:ascii="Symbol" w:hAnsi="Symbol" w:cs="David"/>
          <w:b/>
          <w:bCs/>
          <w:sz w:val="24"/>
          <w:szCs w:val="24"/>
          <w:rtl/>
        </w:rPr>
        <w:t>אלעד קסלר נ' מדינת ישראל</w:t>
      </w:r>
      <w:r>
        <w:rPr>
          <w:rFonts w:ascii="Symbol" w:hAnsi="Symbol" w:cs="David"/>
          <w:sz w:val="24"/>
          <w:szCs w:val="24"/>
          <w:rtl/>
        </w:rPr>
        <w:t xml:space="preserve"> (23.12.21), אישר מתחם ענישה שנע בין מאסר מותנה ל8 חודשי מאסר בפועל בעניינו של נאשם שהורשע בהחזקת 229 גרם קנבוס בביתו של הנאשם, כאשר בענייננו מדובר בהחזקת סם ברכב בו נהג הנאשם. לפיכך, נראה נכון כי מתחם הענישה במקרים בהם נמצא סם שלא לצריכה עצמית ברכב בו נהג הנאשם יהיה ברף עליון גבוה יותר.</w:t>
      </w:r>
    </w:p>
    <w:p w14:paraId="5451E581" w14:textId="77777777" w:rsidR="00197A8A" w:rsidRPr="003612F3" w:rsidRDefault="00197A8A" w:rsidP="00197A8A">
      <w:pPr>
        <w:pStyle w:val="aa"/>
        <w:rPr>
          <w:rFonts w:ascii="Symbol" w:hAnsi="Symbol" w:cs="David"/>
          <w:sz w:val="24"/>
          <w:szCs w:val="24"/>
          <w:rtl/>
        </w:rPr>
      </w:pPr>
    </w:p>
    <w:p w14:paraId="64DE7B46" w14:textId="77777777" w:rsidR="00197A8A" w:rsidRDefault="00197A8A" w:rsidP="00197A8A">
      <w:pPr>
        <w:pStyle w:val="aa"/>
        <w:numPr>
          <w:ilvl w:val="0"/>
          <w:numId w:val="2"/>
        </w:numPr>
        <w:spacing w:line="360" w:lineRule="auto"/>
        <w:jc w:val="both"/>
        <w:rPr>
          <w:rFonts w:ascii="Symbol" w:hAnsi="Symbol" w:cs="David"/>
          <w:sz w:val="24"/>
          <w:szCs w:val="24"/>
          <w:rtl/>
        </w:rPr>
      </w:pPr>
      <w:r>
        <w:rPr>
          <w:rFonts w:ascii="Symbol" w:hAnsi="Symbol" w:cs="David"/>
          <w:sz w:val="24"/>
          <w:szCs w:val="24"/>
          <w:rtl/>
        </w:rPr>
        <w:t>ב</w:t>
      </w:r>
      <w:hyperlink r:id="rId31" w:history="1">
        <w:r w:rsidR="00C02D67" w:rsidRPr="00C02D67">
          <w:rPr>
            <w:rFonts w:ascii="Symbol" w:hAnsi="Symbol" w:cs="David" w:hint="cs"/>
            <w:color w:val="0000FF"/>
            <w:sz w:val="24"/>
            <w:szCs w:val="24"/>
            <w:u w:val="single"/>
            <w:rtl/>
          </w:rPr>
          <w:t>ע</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פ</w:t>
        </w:r>
        <w:r w:rsidR="00C02D67" w:rsidRPr="00C02D67">
          <w:rPr>
            <w:rFonts w:ascii="Symbol" w:hAnsi="Symbol" w:cs="David"/>
            <w:color w:val="0000FF"/>
            <w:sz w:val="24"/>
            <w:szCs w:val="24"/>
            <w:u w:val="single"/>
            <w:rtl/>
          </w:rPr>
          <w:t xml:space="preserve"> 1548/18</w:t>
        </w:r>
      </w:hyperlink>
      <w:r>
        <w:rPr>
          <w:rFonts w:ascii="Symbol" w:hAnsi="Symbol" w:cs="David"/>
          <w:sz w:val="24"/>
          <w:szCs w:val="24"/>
          <w:rtl/>
        </w:rPr>
        <w:t xml:space="preserve"> </w:t>
      </w:r>
      <w:r>
        <w:rPr>
          <w:rFonts w:ascii="Symbol" w:hAnsi="Symbol" w:cs="David"/>
          <w:b/>
          <w:bCs/>
          <w:sz w:val="24"/>
          <w:szCs w:val="24"/>
          <w:rtl/>
        </w:rPr>
        <w:t>גיא נ' מדינת ישראל</w:t>
      </w:r>
      <w:r>
        <w:rPr>
          <w:rFonts w:ascii="Symbol" w:hAnsi="Symbol" w:cs="David"/>
          <w:sz w:val="24"/>
          <w:szCs w:val="24"/>
          <w:rtl/>
        </w:rPr>
        <w:t xml:space="preserve"> (פורסם במאגרים) – המערערים הורשעו בהחזקת סם מסוג קנביס, במשקל 49.60 גרם, שלא לצריכה עצמית. בית המשפט המחוזי קבע את מתחם העונש ההולם תיק זה שנע בין 10 ועד 18 חודשי מאסר בפועל. בית המשפט המחוזי גזר על מערער 2: 15 חודשי מאסר בפועל, הפעלת מע"ת בן 4 חודשים , 8 חודשים מאסר מותנה וקנס בסך 3,000 ₪. על מערער 3, גזר בית המשפט המחוזי : 13 חודשי מאסר בפועל, 8 חודשים מאסר מותנה , קנס בסך 3,000 ₪ והפעלת פסילה מותנית של רישיון הנהיגה למשך 3 חודשים. בית המשפט העליון הקל עונש המאסר בפועל והפחית  את המאסר בפועל של מערער 2 ל-13 חודשי מאסר בפועל, יתר רכיבי גזר הדין נשארו על כנם. הפחית עונשו של המערער 3 ל-10 חודשי מאסר בפועל, והותיר את יתר רכיבי גזר הדין על כנם. בית המשפט העליון לא התערב במתחם הענישה שנקבע בבית המשפט המחוזי.</w:t>
      </w:r>
    </w:p>
    <w:p w14:paraId="462C1E78" w14:textId="77777777" w:rsidR="00197A8A" w:rsidRDefault="00197A8A" w:rsidP="00197A8A">
      <w:pPr>
        <w:pStyle w:val="aa"/>
        <w:spacing w:line="360" w:lineRule="auto"/>
        <w:ind w:left="1080"/>
        <w:jc w:val="both"/>
        <w:rPr>
          <w:rFonts w:ascii="Symbol" w:hAnsi="Symbol" w:cs="David"/>
          <w:sz w:val="24"/>
          <w:szCs w:val="24"/>
        </w:rPr>
      </w:pPr>
    </w:p>
    <w:p w14:paraId="2599CCF8" w14:textId="77777777" w:rsidR="00197A8A" w:rsidRDefault="00197A8A" w:rsidP="00197A8A">
      <w:pPr>
        <w:pStyle w:val="aa"/>
        <w:numPr>
          <w:ilvl w:val="0"/>
          <w:numId w:val="2"/>
        </w:numPr>
        <w:spacing w:line="360" w:lineRule="auto"/>
        <w:jc w:val="both"/>
        <w:rPr>
          <w:rFonts w:ascii="Symbol" w:hAnsi="Symbol" w:cs="David"/>
          <w:sz w:val="24"/>
          <w:szCs w:val="24"/>
          <w:rtl/>
        </w:rPr>
      </w:pPr>
      <w:r>
        <w:rPr>
          <w:rFonts w:ascii="Symbol" w:hAnsi="Symbol" w:cs="David"/>
          <w:sz w:val="24"/>
          <w:szCs w:val="24"/>
          <w:rtl/>
        </w:rPr>
        <w:t>ב</w:t>
      </w:r>
      <w:hyperlink r:id="rId32" w:history="1">
        <w:r w:rsidR="00C02D67" w:rsidRPr="00C02D67">
          <w:rPr>
            <w:rFonts w:ascii="Symbol" w:hAnsi="Symbol" w:cs="David" w:hint="cs"/>
            <w:color w:val="0000FF"/>
            <w:sz w:val="24"/>
            <w:szCs w:val="24"/>
            <w:u w:val="single"/>
            <w:rtl/>
          </w:rPr>
          <w:t>ת</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פ</w:t>
        </w:r>
        <w:r w:rsidR="00C02D67" w:rsidRPr="00C02D67">
          <w:rPr>
            <w:rFonts w:ascii="Symbol" w:hAnsi="Symbol" w:cs="David"/>
            <w:color w:val="0000FF"/>
            <w:sz w:val="24"/>
            <w:szCs w:val="24"/>
            <w:u w:val="single"/>
            <w:rtl/>
          </w:rPr>
          <w:t xml:space="preserve"> (</w:t>
        </w:r>
        <w:r w:rsidR="00C02D67" w:rsidRPr="00C02D67">
          <w:rPr>
            <w:rFonts w:ascii="Symbol" w:hAnsi="Symbol" w:cs="David" w:hint="cs"/>
            <w:color w:val="0000FF"/>
            <w:sz w:val="24"/>
            <w:szCs w:val="24"/>
            <w:u w:val="single"/>
            <w:rtl/>
          </w:rPr>
          <w:t>ב</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ש</w:t>
        </w:r>
        <w:r w:rsidR="00C02D67" w:rsidRPr="00C02D67">
          <w:rPr>
            <w:rFonts w:ascii="Symbol" w:hAnsi="Symbol" w:cs="David"/>
            <w:color w:val="0000FF"/>
            <w:sz w:val="24"/>
            <w:szCs w:val="24"/>
            <w:u w:val="single"/>
            <w:rtl/>
          </w:rPr>
          <w:t>) 61181-02-19</w:t>
        </w:r>
      </w:hyperlink>
      <w:r>
        <w:rPr>
          <w:rFonts w:ascii="Symbol" w:hAnsi="Symbol" w:cs="David"/>
          <w:sz w:val="24"/>
          <w:szCs w:val="24"/>
          <w:rtl/>
        </w:rPr>
        <w:t xml:space="preserve">  </w:t>
      </w:r>
      <w:r>
        <w:rPr>
          <w:rFonts w:ascii="Symbol" w:hAnsi="Symbol" w:cs="David"/>
          <w:b/>
          <w:bCs/>
          <w:sz w:val="24"/>
          <w:szCs w:val="24"/>
          <w:rtl/>
        </w:rPr>
        <w:t>מדינת ישראל נ' רובינוב</w:t>
      </w:r>
      <w:r>
        <w:rPr>
          <w:rFonts w:ascii="Symbol" w:hAnsi="Symbol" w:cs="David"/>
          <w:sz w:val="24"/>
          <w:szCs w:val="24"/>
          <w:rtl/>
        </w:rPr>
        <w:t xml:space="preserve">( 30.03.22, פורסם בנבו)- כב' השופטת </w:t>
      </w:r>
      <w:r>
        <w:rPr>
          <w:rFonts w:ascii="David" w:hAnsi="David" w:cs="David"/>
          <w:color w:val="000000"/>
          <w:sz w:val="24"/>
          <w:szCs w:val="24"/>
          <w:rtl/>
        </w:rPr>
        <w:t xml:space="preserve">זהר דולב להמן השיתה על מי שהורשע </w:t>
      </w:r>
      <w:r>
        <w:rPr>
          <w:rFonts w:ascii="Symbol" w:hAnsi="Symbol" w:cs="David"/>
          <w:sz w:val="24"/>
          <w:szCs w:val="24"/>
          <w:rtl/>
        </w:rPr>
        <w:t>בהחזקת 101.5 גרם סם מסוכן מסוג חשיש שנמצאו ברכבו 6 חודשי מאסר בפועל לריצוי בדרך של עבודות שירות לצד ענישה נלווית: מאסר מותנה למשך 4 חודשים, 3,000 ₪ קנס, 10,000 ₪ התחייבות ופסילה מותנית.</w:t>
      </w:r>
    </w:p>
    <w:p w14:paraId="185904BD" w14:textId="77777777" w:rsidR="00197A8A" w:rsidRDefault="00197A8A" w:rsidP="00197A8A">
      <w:pPr>
        <w:pStyle w:val="aa"/>
        <w:ind w:left="1080"/>
        <w:rPr>
          <w:rFonts w:ascii="Symbol" w:hAnsi="Symbol" w:cs="David"/>
          <w:sz w:val="24"/>
          <w:szCs w:val="24"/>
          <w:rtl/>
        </w:rPr>
      </w:pPr>
    </w:p>
    <w:p w14:paraId="2A177471" w14:textId="77777777" w:rsidR="00197A8A" w:rsidRDefault="00197A8A" w:rsidP="00197A8A">
      <w:pPr>
        <w:pStyle w:val="aa"/>
        <w:numPr>
          <w:ilvl w:val="0"/>
          <w:numId w:val="2"/>
        </w:numPr>
        <w:spacing w:line="360" w:lineRule="auto"/>
        <w:jc w:val="both"/>
        <w:rPr>
          <w:rFonts w:ascii="Symbol" w:hAnsi="Symbol" w:cs="David"/>
          <w:sz w:val="24"/>
          <w:szCs w:val="24"/>
          <w:rtl/>
        </w:rPr>
      </w:pPr>
      <w:r>
        <w:rPr>
          <w:rFonts w:ascii="Symbol" w:hAnsi="Symbol" w:cs="David"/>
          <w:sz w:val="24"/>
          <w:szCs w:val="24"/>
          <w:rtl/>
        </w:rPr>
        <w:t>ב</w:t>
      </w:r>
      <w:hyperlink r:id="rId33" w:history="1">
        <w:r w:rsidR="00C02D67" w:rsidRPr="00C02D67">
          <w:rPr>
            <w:rFonts w:ascii="Symbol" w:hAnsi="Symbol" w:cs="David" w:hint="cs"/>
            <w:color w:val="0000FF"/>
            <w:sz w:val="24"/>
            <w:szCs w:val="24"/>
            <w:u w:val="single"/>
            <w:rtl/>
          </w:rPr>
          <w:t>ת</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פ</w:t>
        </w:r>
        <w:r w:rsidR="00C02D67" w:rsidRPr="00C02D67">
          <w:rPr>
            <w:rFonts w:ascii="Symbol" w:hAnsi="Symbol" w:cs="David"/>
            <w:color w:val="0000FF"/>
            <w:sz w:val="24"/>
            <w:szCs w:val="24"/>
            <w:u w:val="single"/>
            <w:rtl/>
          </w:rPr>
          <w:t xml:space="preserve"> (</w:t>
        </w:r>
        <w:r w:rsidR="00C02D67" w:rsidRPr="00C02D67">
          <w:rPr>
            <w:rFonts w:ascii="Symbol" w:hAnsi="Symbol" w:cs="David" w:hint="cs"/>
            <w:color w:val="0000FF"/>
            <w:sz w:val="24"/>
            <w:szCs w:val="24"/>
            <w:u w:val="single"/>
            <w:rtl/>
          </w:rPr>
          <w:t>ב</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ש</w:t>
        </w:r>
        <w:r w:rsidR="00C02D67" w:rsidRPr="00C02D67">
          <w:rPr>
            <w:rFonts w:ascii="Symbol" w:hAnsi="Symbol" w:cs="David"/>
            <w:color w:val="0000FF"/>
            <w:sz w:val="24"/>
            <w:szCs w:val="24"/>
            <w:u w:val="single"/>
            <w:rtl/>
          </w:rPr>
          <w:t>) 20767-09-16</w:t>
        </w:r>
      </w:hyperlink>
      <w:r>
        <w:rPr>
          <w:rFonts w:ascii="Symbol" w:hAnsi="Symbol" w:cs="David"/>
          <w:sz w:val="24"/>
          <w:szCs w:val="24"/>
          <w:rtl/>
        </w:rPr>
        <w:t xml:space="preserve"> </w:t>
      </w:r>
      <w:r>
        <w:rPr>
          <w:rFonts w:ascii="Symbol" w:hAnsi="Symbol" w:cs="David"/>
          <w:b/>
          <w:bCs/>
          <w:sz w:val="24"/>
          <w:szCs w:val="24"/>
          <w:rtl/>
        </w:rPr>
        <w:t>מדינת ישראל נ' אבו מעיוף</w:t>
      </w:r>
      <w:r>
        <w:rPr>
          <w:rFonts w:ascii="Symbol" w:hAnsi="Symbol" w:cs="David"/>
          <w:sz w:val="24"/>
          <w:szCs w:val="24"/>
          <w:rtl/>
        </w:rPr>
        <w:t xml:space="preserve">  (24.05.17, פורסם בנבו) – נאשם הורשע בהחזקת 93.8 גרם נטו סם מסוכן מסוג חשיש בצוותא חדא עם שניים אחרים ברכב ונגזרו עליו  </w:t>
      </w:r>
      <w:r>
        <w:rPr>
          <w:rFonts w:ascii="Symbol" w:hAnsi="Symbol" w:cs="David"/>
          <w:sz w:val="24"/>
          <w:szCs w:val="24"/>
        </w:rPr>
        <w:t></w:t>
      </w:r>
      <w:r>
        <w:rPr>
          <w:rFonts w:ascii="Symbol" w:hAnsi="Symbol" w:cs="David"/>
          <w:sz w:val="24"/>
          <w:szCs w:val="24"/>
          <w:rtl/>
        </w:rPr>
        <w:t xml:space="preserve"> חודשי מאסר בפועל לצד ענישה נלווית, 2,500 ₪ קנס, 4,000 ₪ התחייבות, פסילה בפועל ופסילה מותנית.</w:t>
      </w:r>
    </w:p>
    <w:p w14:paraId="60DAEC37" w14:textId="77777777" w:rsidR="00197A8A" w:rsidRDefault="00197A8A" w:rsidP="00197A8A">
      <w:pPr>
        <w:pStyle w:val="aa"/>
        <w:rPr>
          <w:rFonts w:ascii="Symbol" w:hAnsi="Symbol" w:cs="David"/>
          <w:sz w:val="24"/>
          <w:szCs w:val="24"/>
          <w:highlight w:val="yellow"/>
        </w:rPr>
      </w:pPr>
    </w:p>
    <w:p w14:paraId="49A4D9AA" w14:textId="77777777" w:rsidR="00197A8A" w:rsidRDefault="00197A8A" w:rsidP="00197A8A">
      <w:pPr>
        <w:pStyle w:val="aa"/>
        <w:numPr>
          <w:ilvl w:val="0"/>
          <w:numId w:val="2"/>
        </w:numPr>
        <w:spacing w:after="160" w:line="360" w:lineRule="auto"/>
        <w:jc w:val="both"/>
        <w:rPr>
          <w:rFonts w:ascii="David" w:hAnsi="David" w:cs="David"/>
          <w:sz w:val="24"/>
          <w:szCs w:val="24"/>
          <w:rtl/>
        </w:rPr>
      </w:pPr>
      <w:r>
        <w:rPr>
          <w:rFonts w:ascii="David" w:hAnsi="David" w:cs="David"/>
          <w:sz w:val="24"/>
          <w:szCs w:val="24"/>
          <w:rtl/>
        </w:rPr>
        <w:t>ב</w:t>
      </w:r>
      <w:hyperlink r:id="rId34" w:history="1">
        <w:r w:rsidR="00C02D67" w:rsidRPr="00C02D67">
          <w:rPr>
            <w:rFonts w:ascii="David" w:hAnsi="David" w:cs="David"/>
            <w:color w:val="0000FF"/>
            <w:sz w:val="24"/>
            <w:szCs w:val="24"/>
            <w:u w:val="single"/>
            <w:rtl/>
          </w:rPr>
          <w:t>ת"פ 35051-10-21</w:t>
        </w:r>
      </w:hyperlink>
      <w:r>
        <w:rPr>
          <w:rFonts w:ascii="David" w:hAnsi="David" w:cs="David"/>
          <w:sz w:val="24"/>
          <w:szCs w:val="24"/>
          <w:rtl/>
        </w:rPr>
        <w:t xml:space="preserve"> (שלום ב"ש) </w:t>
      </w:r>
      <w:r>
        <w:rPr>
          <w:rFonts w:ascii="David" w:hAnsi="David" w:cs="David"/>
          <w:b/>
          <w:bCs/>
          <w:sz w:val="24"/>
          <w:szCs w:val="24"/>
          <w:rtl/>
        </w:rPr>
        <w:t>מדינת ישראל נ' כואזבה ואח'</w:t>
      </w:r>
      <w:r>
        <w:rPr>
          <w:rFonts w:ascii="David" w:hAnsi="David" w:cs="David"/>
          <w:sz w:val="24"/>
          <w:szCs w:val="24"/>
          <w:rtl/>
        </w:rPr>
        <w:t xml:space="preserve"> (10.07.23) כבוד השופט רון סולקין קבע מתחם ענישה שנע בין 6 חודשי מאסר שיכול וירוצו בעבודות שירות ל12 חודשי מאסר בפועל. נגזרו על 2 הנאשמים, שהורשעו בכך שנסעו עם 400 גרם ברכב: שישה חודשי מאסר לריצוי בעבודות שירות, מאסר מותנה, קנס בסך 8000 ₪ , צו מבחן למשך שנה ופסילה בפועל לכל אחד. </w:t>
      </w:r>
    </w:p>
    <w:p w14:paraId="543F26DF" w14:textId="77777777" w:rsidR="00197A8A" w:rsidRDefault="00197A8A" w:rsidP="00197A8A">
      <w:pPr>
        <w:spacing w:line="360" w:lineRule="auto"/>
        <w:rPr>
          <w:rFonts w:ascii="David" w:hAnsi="David"/>
          <w:b/>
          <w:bCs/>
          <w:rtl/>
        </w:rPr>
      </w:pPr>
    </w:p>
    <w:p w14:paraId="15C32A3B" w14:textId="77777777" w:rsidR="00197A8A" w:rsidRDefault="00197A8A" w:rsidP="00197A8A">
      <w:pPr>
        <w:spacing w:line="360" w:lineRule="auto"/>
        <w:rPr>
          <w:rFonts w:ascii="David" w:hAnsi="David"/>
          <w:b/>
          <w:bCs/>
          <w:rtl/>
        </w:rPr>
      </w:pPr>
      <w:r>
        <w:rPr>
          <w:rFonts w:ascii="David" w:hAnsi="David"/>
          <w:b/>
          <w:bCs/>
          <w:rtl/>
        </w:rPr>
        <w:t>קביעת מתחם העונש ההולם בתיק המצורף- 2296-06-22- עבירת הונאה בכרטיסי אשראי</w:t>
      </w:r>
    </w:p>
    <w:p w14:paraId="7B37DE84" w14:textId="77777777" w:rsidR="00197A8A" w:rsidRDefault="00197A8A" w:rsidP="00197A8A">
      <w:pPr>
        <w:pStyle w:val="aa"/>
        <w:numPr>
          <w:ilvl w:val="0"/>
          <w:numId w:val="1"/>
        </w:numPr>
        <w:spacing w:line="360" w:lineRule="auto"/>
        <w:ind w:hanging="352"/>
        <w:jc w:val="both"/>
        <w:rPr>
          <w:rFonts w:ascii="Symbol" w:hAnsi="Symbol" w:cs="David"/>
          <w:sz w:val="24"/>
          <w:szCs w:val="24"/>
        </w:rPr>
      </w:pPr>
      <w:r>
        <w:rPr>
          <w:rFonts w:ascii="Symbol" w:hAnsi="Symbol" w:cs="David"/>
          <w:sz w:val="24"/>
          <w:szCs w:val="24"/>
          <w:rtl/>
        </w:rPr>
        <w:t xml:space="preserve">העבירות פוגעות בערכים המוגנים של בטחון הציבור וזכות הפרט להגנה על קניינו ופרטיותו. </w:t>
      </w:r>
    </w:p>
    <w:p w14:paraId="296059ED" w14:textId="77777777" w:rsidR="00197A8A" w:rsidRPr="003612F3" w:rsidRDefault="00197A8A" w:rsidP="00197A8A">
      <w:pPr>
        <w:pStyle w:val="aa"/>
        <w:spacing w:line="360" w:lineRule="auto"/>
        <w:ind w:left="786"/>
        <w:jc w:val="both"/>
        <w:rPr>
          <w:rFonts w:ascii="Symbol" w:hAnsi="Symbol" w:cs="David"/>
          <w:sz w:val="24"/>
          <w:szCs w:val="24"/>
        </w:rPr>
      </w:pPr>
    </w:p>
    <w:p w14:paraId="7066A932" w14:textId="77777777" w:rsidR="00197A8A" w:rsidRDefault="00197A8A" w:rsidP="00197A8A">
      <w:pPr>
        <w:pStyle w:val="aa"/>
        <w:numPr>
          <w:ilvl w:val="0"/>
          <w:numId w:val="1"/>
        </w:numPr>
        <w:spacing w:line="360" w:lineRule="auto"/>
        <w:ind w:hanging="352"/>
        <w:jc w:val="both"/>
        <w:rPr>
          <w:rFonts w:ascii="Symbol" w:hAnsi="Symbol" w:cs="David"/>
          <w:sz w:val="24"/>
          <w:szCs w:val="24"/>
        </w:rPr>
      </w:pPr>
      <w:r>
        <w:rPr>
          <w:rFonts w:ascii="Symbol" w:hAnsi="Symbol" w:cs="David"/>
          <w:sz w:val="24"/>
          <w:szCs w:val="24"/>
          <w:rtl/>
        </w:rPr>
        <w:t>נקבעו</w:t>
      </w:r>
      <w:r w:rsidR="00C02D67">
        <w:rPr>
          <w:rFonts w:ascii="Symbol" w:cs="David"/>
          <w:sz w:val="24"/>
          <w:szCs w:val="24"/>
        </w:rPr>
        <w:t></w:t>
      </w:r>
      <w:r>
        <w:rPr>
          <w:rFonts w:ascii="Symbol" w:hAnsi="Symbol" w:cs="David"/>
          <w:sz w:val="24"/>
          <w:szCs w:val="24"/>
          <w:rtl/>
        </w:rPr>
        <w:t>בדרך כלל</w:t>
      </w:r>
      <w:r w:rsidR="00C02D67">
        <w:rPr>
          <w:rFonts w:ascii="Symbol" w:cs="David"/>
          <w:sz w:val="24"/>
          <w:szCs w:val="24"/>
        </w:rPr>
        <w:t></w:t>
      </w:r>
      <w:r>
        <w:rPr>
          <w:rFonts w:ascii="Symbol" w:hAnsi="Symbol" w:cs="David"/>
          <w:sz w:val="24"/>
          <w:szCs w:val="24"/>
          <w:rtl/>
        </w:rPr>
        <w:t xml:space="preserve">מתחמי ענישה הנעים החל ממאסר מותנה ועד למספר חודשי מאסר, שניתן לרצותם בעבודות שירות. מטבע הדברים, בעבירות מסוג זה קיימות דרגות חומרה שונות, כאשר מתחמי הענישה משתנים בהתאם לנסיבות הנלוות לעבירות. </w:t>
      </w:r>
    </w:p>
    <w:p w14:paraId="2D75C3AC" w14:textId="77777777" w:rsidR="00197A8A" w:rsidRDefault="00197A8A" w:rsidP="00197A8A">
      <w:pPr>
        <w:pStyle w:val="aa"/>
        <w:spacing w:line="360" w:lineRule="auto"/>
        <w:ind w:left="786"/>
        <w:jc w:val="both"/>
        <w:rPr>
          <w:rFonts w:ascii="Symbol" w:hAnsi="Symbol" w:cs="David"/>
          <w:sz w:val="24"/>
          <w:szCs w:val="24"/>
        </w:rPr>
      </w:pPr>
    </w:p>
    <w:p w14:paraId="19E07587" w14:textId="77777777" w:rsidR="00197A8A" w:rsidRDefault="00197A8A" w:rsidP="00197A8A">
      <w:pPr>
        <w:pStyle w:val="aa"/>
        <w:numPr>
          <w:ilvl w:val="0"/>
          <w:numId w:val="1"/>
        </w:numPr>
        <w:spacing w:line="360" w:lineRule="auto"/>
        <w:ind w:hanging="352"/>
        <w:jc w:val="both"/>
        <w:rPr>
          <w:rFonts w:ascii="Symbol" w:hAnsi="Symbol" w:cs="David"/>
          <w:sz w:val="24"/>
          <w:szCs w:val="24"/>
        </w:rPr>
      </w:pPr>
      <w:r>
        <w:rPr>
          <w:rFonts w:ascii="Symbol" w:hAnsi="Symbol" w:cs="David"/>
          <w:sz w:val="24"/>
          <w:szCs w:val="24"/>
          <w:rtl/>
        </w:rPr>
        <w:t>במסגרת שיקול הדעת בתיקים דומים נשקלות הנסיבות ובכללן: גובה הנזק שנגרם למתלונן, אופי ביצוע העבירות, והבחינה אם לעבירות נלווה תחכום מיוחד. נוסף לאמור, העונש מותאם גם לנסיבות האישיות והמאפיינים האישיים כגון: עבר פלילי, קבלת אחריות על המעשים, השתתפות בהליכים טיפוליים, חסכון בזמנו היקר של בית המשפט ועוד.</w:t>
      </w:r>
    </w:p>
    <w:p w14:paraId="53097FED" w14:textId="77777777" w:rsidR="00197A8A" w:rsidRDefault="00197A8A" w:rsidP="00197A8A">
      <w:pPr>
        <w:pStyle w:val="aa"/>
        <w:spacing w:line="360" w:lineRule="auto"/>
        <w:jc w:val="both"/>
        <w:rPr>
          <w:rFonts w:ascii="Symbol" w:hAnsi="Symbol" w:cs="David"/>
          <w:sz w:val="24"/>
          <w:szCs w:val="24"/>
          <w:rtl/>
        </w:rPr>
      </w:pPr>
    </w:p>
    <w:p w14:paraId="2E7D96AB" w14:textId="77777777" w:rsidR="00197A8A" w:rsidRDefault="00197A8A" w:rsidP="00197A8A">
      <w:pPr>
        <w:pStyle w:val="aa"/>
        <w:numPr>
          <w:ilvl w:val="0"/>
          <w:numId w:val="1"/>
        </w:numPr>
        <w:spacing w:after="160" w:line="360" w:lineRule="auto"/>
        <w:jc w:val="both"/>
        <w:rPr>
          <w:rFonts w:ascii="David" w:hAnsi="David" w:cs="David"/>
          <w:sz w:val="24"/>
          <w:szCs w:val="24"/>
          <w:rtl/>
        </w:rPr>
      </w:pPr>
      <w:r>
        <w:rPr>
          <w:rFonts w:ascii="David" w:hAnsi="David" w:cs="David"/>
          <w:sz w:val="24"/>
          <w:szCs w:val="24"/>
          <w:rtl/>
        </w:rPr>
        <w:t>בתי המשפט חזרו והדגישו בהיקף ומידת הפגיעה שבמעשי מרמה באמצעות כרטיסי אשראי ומתוך כך בחשיבות בשמירה על הפעילות העסקית התקינה בכרטיסי אשראי. עמד על כך לאחרונה, בית המשפט המחוזי (ב"ש) ב</w:t>
      </w:r>
      <w:hyperlink r:id="rId35" w:history="1">
        <w:r w:rsidR="00C02D67" w:rsidRPr="00C02D67">
          <w:rPr>
            <w:rFonts w:ascii="David" w:hAnsi="David" w:cs="David"/>
            <w:color w:val="0000FF"/>
            <w:sz w:val="24"/>
            <w:szCs w:val="24"/>
            <w:u w:val="single"/>
            <w:rtl/>
          </w:rPr>
          <w:t>עפ"ג 16560-09-19</w:t>
        </w:r>
      </w:hyperlink>
      <w:r>
        <w:rPr>
          <w:rFonts w:ascii="David" w:hAnsi="David" w:cs="David"/>
          <w:sz w:val="24"/>
          <w:szCs w:val="24"/>
          <w:rtl/>
        </w:rPr>
        <w:t xml:space="preserve"> </w:t>
      </w:r>
      <w:r>
        <w:rPr>
          <w:rFonts w:ascii="David" w:hAnsi="David" w:cs="David"/>
          <w:b/>
          <w:bCs/>
          <w:sz w:val="24"/>
          <w:szCs w:val="24"/>
          <w:rtl/>
        </w:rPr>
        <w:t>כהן נ' מדינת ישראל</w:t>
      </w:r>
      <w:r>
        <w:rPr>
          <w:rFonts w:ascii="David" w:hAnsi="David" w:cs="David"/>
          <w:b/>
          <w:bCs/>
          <w:sz w:val="24"/>
          <w:szCs w:val="24"/>
          <w:rtl/>
        </w:rPr>
        <w:br/>
      </w:r>
      <w:r>
        <w:rPr>
          <w:rFonts w:ascii="David" w:hAnsi="David" w:cs="David"/>
          <w:sz w:val="24"/>
          <w:szCs w:val="24"/>
          <w:rtl/>
        </w:rPr>
        <w:t xml:space="preserve">( 22.1.20): </w:t>
      </w:r>
    </w:p>
    <w:p w14:paraId="2309E35B" w14:textId="77777777" w:rsidR="00197A8A" w:rsidRPr="00197A8A" w:rsidRDefault="00197A8A" w:rsidP="00197A8A">
      <w:pPr>
        <w:pStyle w:val="aa"/>
        <w:spacing w:after="160" w:line="360" w:lineRule="auto"/>
        <w:ind w:left="2880" w:right="1134"/>
        <w:jc w:val="both"/>
        <w:rPr>
          <w:rFonts w:ascii="Times New Roman" w:hAnsi="Times New Roman" w:cs="Times New Roman"/>
          <w:rtl/>
        </w:rPr>
      </w:pPr>
      <w:r w:rsidRPr="00197A8A">
        <w:rPr>
          <w:rFonts w:ascii="Times New Roman" w:hAnsi="Times New Roman" w:cs="Times New Roman"/>
          <w:rtl/>
        </w:rPr>
        <w:t xml:space="preserve">"כרטיסי האשראי הם אמצעי התשלום הנפוץ ביותר, באמצעותם מתבצעים רוב העסקאות. עשיית שימוש בהם למעשי מרמה, פוגעת בכלי תשלום מרכזי, מערערת את אמון המשתמשים בכרטיסי האשראי, גורמת נזקים לחברות האשראי, לסוחרים, לאנשים שפרטיהם הוכנסו לכרטיסים המזויפים (גם אם בסופו של דבר הם יכולים לקבל פיצוי מחברת האשראי) ולציבור בכללו, ויש להתייחס אליה בחומרה רבה". </w:t>
      </w:r>
    </w:p>
    <w:p w14:paraId="4D63ED9A" w14:textId="77777777" w:rsidR="00197A8A" w:rsidRDefault="00197A8A" w:rsidP="00197A8A">
      <w:pPr>
        <w:pStyle w:val="aa"/>
        <w:spacing w:line="360" w:lineRule="auto"/>
        <w:jc w:val="both"/>
        <w:rPr>
          <w:rFonts w:ascii="Symbol" w:hAnsi="Symbol" w:cs="David"/>
          <w:sz w:val="24"/>
          <w:szCs w:val="24"/>
          <w:rtl/>
        </w:rPr>
      </w:pPr>
    </w:p>
    <w:p w14:paraId="0D9F1B18" w14:textId="77777777" w:rsidR="00197A8A" w:rsidRDefault="00197A8A" w:rsidP="00197A8A">
      <w:pPr>
        <w:pStyle w:val="aa"/>
        <w:spacing w:line="360" w:lineRule="auto"/>
        <w:jc w:val="both"/>
        <w:rPr>
          <w:rFonts w:ascii="Symbol" w:hAnsi="Symbol" w:cs="David"/>
          <w:b/>
          <w:bCs/>
          <w:sz w:val="24"/>
          <w:szCs w:val="24"/>
          <w:rtl/>
        </w:rPr>
      </w:pPr>
      <w:r>
        <w:rPr>
          <w:rFonts w:ascii="Symbol" w:hAnsi="Symbol" w:cs="David"/>
          <w:b/>
          <w:bCs/>
          <w:sz w:val="24"/>
          <w:szCs w:val="24"/>
          <w:rtl/>
        </w:rPr>
        <w:t>מתחם העונש ההולם:</w:t>
      </w:r>
    </w:p>
    <w:p w14:paraId="2BDF1BA5" w14:textId="77777777" w:rsidR="00197A8A" w:rsidRDefault="00197A8A" w:rsidP="00197A8A">
      <w:pPr>
        <w:pStyle w:val="aa"/>
        <w:spacing w:line="360" w:lineRule="auto"/>
        <w:jc w:val="both"/>
        <w:rPr>
          <w:rFonts w:ascii="Symbol" w:hAnsi="Symbol" w:cs="David"/>
          <w:b/>
          <w:bCs/>
          <w:sz w:val="24"/>
          <w:szCs w:val="24"/>
          <w:rtl/>
        </w:rPr>
      </w:pPr>
    </w:p>
    <w:p w14:paraId="29345E10" w14:textId="77777777" w:rsidR="00197A8A" w:rsidRDefault="00197A8A" w:rsidP="00197A8A">
      <w:pPr>
        <w:pStyle w:val="aa"/>
        <w:numPr>
          <w:ilvl w:val="0"/>
          <w:numId w:val="3"/>
        </w:numPr>
        <w:spacing w:line="360" w:lineRule="auto"/>
        <w:jc w:val="both"/>
        <w:rPr>
          <w:rFonts w:ascii="Symbol" w:hAnsi="Symbol" w:cs="David"/>
          <w:sz w:val="24"/>
          <w:szCs w:val="24"/>
        </w:rPr>
      </w:pPr>
      <w:r>
        <w:rPr>
          <w:rFonts w:ascii="Symbol" w:hAnsi="Symbol" w:cs="David"/>
          <w:sz w:val="24"/>
          <w:szCs w:val="24"/>
          <w:rtl/>
        </w:rPr>
        <w:t xml:space="preserve">בע"פ (נצ') </w:t>
      </w:r>
      <w:hyperlink r:id="rId36" w:history="1">
        <w:r w:rsidR="00702CD7" w:rsidRPr="00702CD7">
          <w:rPr>
            <w:rFonts w:ascii="Symbol" w:hAnsi="Symbol" w:cs="David"/>
            <w:color w:val="0000FF"/>
            <w:sz w:val="24"/>
            <w:szCs w:val="24"/>
            <w:u w:val="single"/>
            <w:rtl/>
          </w:rPr>
          <w:t xml:space="preserve">1132/07 </w:t>
        </w:r>
      </w:hyperlink>
      <w:r>
        <w:rPr>
          <w:rFonts w:ascii="Symbol" w:hAnsi="Symbol" w:cs="David"/>
          <w:sz w:val="24"/>
          <w:szCs w:val="24"/>
          <w:rtl/>
        </w:rPr>
        <w:t xml:space="preserve"> </w:t>
      </w:r>
      <w:r>
        <w:rPr>
          <w:rFonts w:ascii="Symbol" w:hAnsi="Symbol" w:cs="David"/>
          <w:b/>
          <w:bCs/>
          <w:sz w:val="24"/>
          <w:szCs w:val="24"/>
          <w:rtl/>
        </w:rPr>
        <w:t>אבו חמיס נגד מדינת ישראל</w:t>
      </w:r>
      <w:r>
        <w:rPr>
          <w:rFonts w:ascii="Symbol" w:hAnsi="Symbol" w:cs="David"/>
          <w:sz w:val="24"/>
          <w:szCs w:val="24"/>
          <w:rtl/>
        </w:rPr>
        <w:t xml:space="preserve"> (24.06.15),</w:t>
      </w:r>
      <w:r w:rsidR="00C02D67">
        <w:rPr>
          <w:rFonts w:ascii="Symbol" w:cs="David"/>
          <w:sz w:val="24"/>
          <w:szCs w:val="24"/>
        </w:rPr>
        <w:t></w:t>
      </w:r>
      <w:r>
        <w:rPr>
          <w:rFonts w:ascii="Symbol" w:hAnsi="Symbol" w:cs="David"/>
          <w:sz w:val="24"/>
          <w:szCs w:val="24"/>
          <w:rtl/>
        </w:rPr>
        <w:t>נדחה ערעורו של הנאשם שהוטל עליו 5 חודשי מאסר בפועל לריצוי בדרך של עבודות שירות בגין עבירת הונאה בכרטיס חיוב. בית המשפט המחוזי דחה כאמור ערעורו וקבע כי לאור עברו הפלילי של הנאשם בעבירות דומות, לא רק שהעונש אשר הוטל עליו איננו חמור אלא אף מקל.</w:t>
      </w:r>
    </w:p>
    <w:p w14:paraId="59094C79" w14:textId="77777777" w:rsidR="00197A8A" w:rsidRDefault="00197A8A" w:rsidP="00197A8A">
      <w:pPr>
        <w:pStyle w:val="aa"/>
        <w:numPr>
          <w:ilvl w:val="0"/>
          <w:numId w:val="3"/>
        </w:numPr>
        <w:spacing w:line="360" w:lineRule="auto"/>
        <w:jc w:val="both"/>
        <w:rPr>
          <w:rFonts w:ascii="Symbol" w:hAnsi="Symbol" w:cs="David"/>
          <w:sz w:val="24"/>
          <w:szCs w:val="24"/>
        </w:rPr>
      </w:pPr>
      <w:r>
        <w:rPr>
          <w:rFonts w:ascii="Symbol" w:hAnsi="Symbol" w:cs="David"/>
          <w:sz w:val="24"/>
          <w:szCs w:val="24"/>
          <w:rtl/>
        </w:rPr>
        <w:t>ב</w:t>
      </w:r>
      <w:hyperlink r:id="rId37" w:history="1">
        <w:r w:rsidR="00C02D67" w:rsidRPr="00C02D67">
          <w:rPr>
            <w:rFonts w:ascii="Symbol" w:hAnsi="Symbol" w:cs="David" w:hint="cs"/>
            <w:color w:val="0000FF"/>
            <w:sz w:val="24"/>
            <w:szCs w:val="24"/>
            <w:u w:val="single"/>
            <w:rtl/>
          </w:rPr>
          <w:t>ת</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פ</w:t>
        </w:r>
        <w:r w:rsidR="00C02D67" w:rsidRPr="00C02D67">
          <w:rPr>
            <w:rFonts w:ascii="Symbol" w:hAnsi="Symbol" w:cs="David"/>
            <w:color w:val="0000FF"/>
            <w:sz w:val="24"/>
            <w:szCs w:val="24"/>
            <w:u w:val="single"/>
            <w:rtl/>
          </w:rPr>
          <w:t xml:space="preserve"> (</w:t>
        </w:r>
        <w:r w:rsidR="00C02D67" w:rsidRPr="00C02D67">
          <w:rPr>
            <w:rFonts w:ascii="Symbol" w:hAnsi="Symbol" w:cs="David" w:hint="cs"/>
            <w:color w:val="0000FF"/>
            <w:sz w:val="24"/>
            <w:szCs w:val="24"/>
            <w:u w:val="single"/>
            <w:rtl/>
          </w:rPr>
          <w:t>י</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ם</w:t>
        </w:r>
        <w:r w:rsidR="00C02D67" w:rsidRPr="00C02D67">
          <w:rPr>
            <w:rFonts w:ascii="Symbol" w:hAnsi="Symbol" w:cs="David"/>
            <w:color w:val="0000FF"/>
            <w:sz w:val="24"/>
            <w:szCs w:val="24"/>
            <w:u w:val="single"/>
            <w:rtl/>
          </w:rPr>
          <w:t>) 60495-12-18</w:t>
        </w:r>
      </w:hyperlink>
      <w:r>
        <w:rPr>
          <w:rFonts w:ascii="Symbol" w:hAnsi="Symbol" w:cs="David"/>
          <w:sz w:val="24"/>
          <w:szCs w:val="24"/>
          <w:rtl/>
        </w:rPr>
        <w:t xml:space="preserve">  </w:t>
      </w:r>
      <w:r>
        <w:rPr>
          <w:rFonts w:ascii="Symbol" w:hAnsi="Symbol" w:cs="David"/>
          <w:b/>
          <w:bCs/>
          <w:sz w:val="24"/>
          <w:szCs w:val="24"/>
          <w:rtl/>
        </w:rPr>
        <w:t>מדינת ישראל נ' טובול</w:t>
      </w:r>
      <w:r>
        <w:rPr>
          <w:rFonts w:ascii="Symbol" w:hAnsi="Symbol" w:cs="David"/>
          <w:sz w:val="24"/>
          <w:szCs w:val="24"/>
          <w:rtl/>
        </w:rPr>
        <w:t xml:space="preserve"> (2.2.2022, פורסם בנבו), השתמש הנאשם בעשר הזדמנויות שונות בכרטיס החיוב של המתלונן, על מנת לרכוש מוצרים בבתי עסק שונים בסך של 3,624 ₪. הנאשם בעל עבר פלילי.  בית המשפט גזר עליו מאסר מותנה, קנס, פיצוי למתלונן והתחייבות.</w:t>
      </w:r>
    </w:p>
    <w:p w14:paraId="54C7B4CB" w14:textId="77777777" w:rsidR="00197A8A" w:rsidRDefault="00197A8A" w:rsidP="00197A8A">
      <w:pPr>
        <w:pStyle w:val="aa"/>
        <w:numPr>
          <w:ilvl w:val="0"/>
          <w:numId w:val="3"/>
        </w:numPr>
        <w:spacing w:line="360" w:lineRule="auto"/>
        <w:jc w:val="both"/>
        <w:rPr>
          <w:rFonts w:ascii="Symbol" w:hAnsi="Symbol" w:cs="David"/>
          <w:sz w:val="24"/>
          <w:szCs w:val="24"/>
          <w:rtl/>
        </w:rPr>
      </w:pPr>
      <w:r>
        <w:rPr>
          <w:rFonts w:ascii="Symbol" w:hAnsi="Symbol" w:cs="David"/>
          <w:sz w:val="24"/>
          <w:szCs w:val="24"/>
          <w:rtl/>
        </w:rPr>
        <w:t>ב</w:t>
      </w:r>
      <w:hyperlink r:id="rId38" w:history="1">
        <w:r w:rsidR="00C02D67" w:rsidRPr="00C02D67">
          <w:rPr>
            <w:rFonts w:ascii="Symbol" w:hAnsi="Symbol" w:cs="David" w:hint="cs"/>
            <w:color w:val="0000FF"/>
            <w:sz w:val="24"/>
            <w:szCs w:val="24"/>
            <w:u w:val="single"/>
            <w:rtl/>
          </w:rPr>
          <w:t>רע</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פ</w:t>
        </w:r>
        <w:r w:rsidR="00C02D67" w:rsidRPr="00C02D67">
          <w:rPr>
            <w:rFonts w:ascii="Symbol" w:hAnsi="Symbol" w:cs="David"/>
            <w:color w:val="0000FF"/>
            <w:sz w:val="24"/>
            <w:szCs w:val="24"/>
            <w:u w:val="single"/>
            <w:rtl/>
          </w:rPr>
          <w:t xml:space="preserve"> 5986/17</w:t>
        </w:r>
      </w:hyperlink>
      <w:r>
        <w:rPr>
          <w:rFonts w:ascii="Symbol" w:hAnsi="Symbol" w:cs="David"/>
          <w:sz w:val="24"/>
          <w:szCs w:val="24"/>
          <w:rtl/>
        </w:rPr>
        <w:t xml:space="preserve"> </w:t>
      </w:r>
      <w:r>
        <w:rPr>
          <w:rFonts w:ascii="Symbol" w:hAnsi="Symbol" w:cs="David"/>
          <w:b/>
          <w:bCs/>
          <w:sz w:val="24"/>
          <w:szCs w:val="24"/>
          <w:rtl/>
        </w:rPr>
        <w:t>הפטר נ' מדינת ישרא</w:t>
      </w:r>
      <w:r>
        <w:rPr>
          <w:rFonts w:ascii="Symbol" w:hAnsi="Symbol" w:cs="David"/>
          <w:sz w:val="24"/>
          <w:szCs w:val="24"/>
          <w:rtl/>
        </w:rPr>
        <w:t>ל (27.7.2017) אושר מתחם ענישה של בין מאסר קצר עד שנת מאסר בנסיבות של גניבה בכרטיס אשראי בסכום של 6,000 ₪.</w:t>
      </w:r>
    </w:p>
    <w:p w14:paraId="0C6FACBC" w14:textId="77777777" w:rsidR="00197A8A" w:rsidRDefault="00197A8A" w:rsidP="00197A8A">
      <w:pPr>
        <w:pStyle w:val="aa"/>
        <w:numPr>
          <w:ilvl w:val="0"/>
          <w:numId w:val="3"/>
        </w:numPr>
        <w:spacing w:line="360" w:lineRule="auto"/>
        <w:jc w:val="both"/>
        <w:rPr>
          <w:rFonts w:ascii="Symbol" w:hAnsi="Symbol" w:cs="David"/>
          <w:sz w:val="24"/>
          <w:szCs w:val="24"/>
        </w:rPr>
      </w:pPr>
      <w:r>
        <w:rPr>
          <w:rFonts w:ascii="Symbol" w:hAnsi="Symbol" w:cs="David"/>
          <w:sz w:val="24"/>
          <w:szCs w:val="24"/>
          <w:rtl/>
        </w:rPr>
        <w:t>ב</w:t>
      </w:r>
      <w:hyperlink r:id="rId39" w:history="1">
        <w:r w:rsidR="00C02D67" w:rsidRPr="00C02D67">
          <w:rPr>
            <w:rFonts w:ascii="Symbol" w:hAnsi="Symbol" w:cs="David" w:hint="cs"/>
            <w:color w:val="0000FF"/>
            <w:sz w:val="24"/>
            <w:szCs w:val="24"/>
            <w:u w:val="single"/>
            <w:rtl/>
          </w:rPr>
          <w:t>ת</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פ</w:t>
        </w:r>
        <w:r w:rsidR="00C02D67" w:rsidRPr="00C02D67">
          <w:rPr>
            <w:rFonts w:ascii="Symbol" w:hAnsi="Symbol" w:cs="David"/>
            <w:color w:val="0000FF"/>
            <w:sz w:val="24"/>
            <w:szCs w:val="24"/>
            <w:u w:val="single"/>
            <w:rtl/>
          </w:rPr>
          <w:t xml:space="preserve"> (</w:t>
        </w:r>
        <w:r w:rsidR="00C02D67" w:rsidRPr="00C02D67">
          <w:rPr>
            <w:rFonts w:ascii="Symbol" w:hAnsi="Symbol" w:cs="David" w:hint="cs"/>
            <w:color w:val="0000FF"/>
            <w:sz w:val="24"/>
            <w:szCs w:val="24"/>
            <w:u w:val="single"/>
            <w:rtl/>
          </w:rPr>
          <w:t>י</w:t>
        </w:r>
        <w:r w:rsidR="00C02D67" w:rsidRPr="00C02D67">
          <w:rPr>
            <w:rFonts w:ascii="Symbol" w:hAnsi="Symbol" w:cs="David"/>
            <w:color w:val="0000FF"/>
            <w:sz w:val="24"/>
            <w:szCs w:val="24"/>
            <w:u w:val="single"/>
            <w:rtl/>
          </w:rPr>
          <w:t>-</w:t>
        </w:r>
        <w:r w:rsidR="00C02D67" w:rsidRPr="00C02D67">
          <w:rPr>
            <w:rFonts w:ascii="Symbol" w:hAnsi="Symbol" w:cs="David" w:hint="cs"/>
            <w:color w:val="0000FF"/>
            <w:sz w:val="24"/>
            <w:szCs w:val="24"/>
            <w:u w:val="single"/>
            <w:rtl/>
          </w:rPr>
          <w:t>ם</w:t>
        </w:r>
        <w:r w:rsidR="00C02D67" w:rsidRPr="00C02D67">
          <w:rPr>
            <w:rFonts w:ascii="Symbol" w:hAnsi="Symbol" w:cs="David"/>
            <w:color w:val="0000FF"/>
            <w:sz w:val="24"/>
            <w:szCs w:val="24"/>
            <w:u w:val="single"/>
            <w:rtl/>
          </w:rPr>
          <w:t>) 3658-09-20</w:t>
        </w:r>
      </w:hyperlink>
      <w:r>
        <w:rPr>
          <w:rFonts w:ascii="Symbol" w:hAnsi="Symbol" w:cs="David"/>
          <w:sz w:val="24"/>
          <w:szCs w:val="24"/>
          <w:rtl/>
        </w:rPr>
        <w:t xml:space="preserve">  </w:t>
      </w:r>
      <w:r>
        <w:rPr>
          <w:rFonts w:ascii="Symbol" w:hAnsi="Symbol" w:cs="David"/>
          <w:b/>
          <w:bCs/>
          <w:sz w:val="24"/>
          <w:szCs w:val="24"/>
          <w:rtl/>
        </w:rPr>
        <w:t>מדינת ישראל נ' קומבוז</w:t>
      </w:r>
      <w:r>
        <w:rPr>
          <w:rFonts w:ascii="Symbol" w:hAnsi="Symbol" w:cs="David"/>
          <w:sz w:val="24"/>
          <w:szCs w:val="24"/>
          <w:rtl/>
        </w:rPr>
        <w:t xml:space="preserve"> (31.5.21) נאשם הורשע על פי הודאתו במסגרת הסדר טיעון, ללא הסכמה עונשית, בארבע עבירות של הונאה בכרטיס חיוב בסך של 475 ₪, הנאשם היה בעל עבר פלילי ונגזרו עליו 6 חודשי מאסר מותנה, קנס, פיצוי למתלונן והתחייבות. </w:t>
      </w:r>
    </w:p>
    <w:p w14:paraId="33426BBC" w14:textId="77777777" w:rsidR="00197A8A" w:rsidRDefault="00197A8A" w:rsidP="00197A8A">
      <w:pPr>
        <w:pStyle w:val="aa"/>
        <w:spacing w:line="360" w:lineRule="auto"/>
        <w:ind w:left="360"/>
        <w:jc w:val="both"/>
        <w:rPr>
          <w:rFonts w:ascii="Symbol" w:hAnsi="Symbol" w:cs="David"/>
          <w:sz w:val="24"/>
          <w:szCs w:val="24"/>
        </w:rPr>
      </w:pPr>
    </w:p>
    <w:p w14:paraId="162BD10F" w14:textId="77777777" w:rsidR="00197A8A" w:rsidRDefault="00197A8A" w:rsidP="00197A8A">
      <w:pPr>
        <w:spacing w:line="360" w:lineRule="auto"/>
        <w:ind w:firstLine="720"/>
        <w:jc w:val="both"/>
        <w:rPr>
          <w:rFonts w:ascii="Calibri" w:eastAsia="Calibri" w:hAnsi="Calibri"/>
          <w:b/>
          <w:bCs/>
          <w:rtl/>
        </w:rPr>
      </w:pPr>
      <w:r>
        <w:rPr>
          <w:b/>
          <w:bCs/>
          <w:rtl/>
        </w:rPr>
        <w:t>הנסיבות הקשורות בביצוע העבירה:</w:t>
      </w:r>
    </w:p>
    <w:p w14:paraId="29FFE40C" w14:textId="77777777" w:rsidR="00197A8A" w:rsidRDefault="00197A8A" w:rsidP="00197A8A">
      <w:pPr>
        <w:spacing w:line="360" w:lineRule="auto"/>
        <w:ind w:firstLine="720"/>
        <w:jc w:val="both"/>
        <w:rPr>
          <w:rFonts w:ascii="Calibri" w:eastAsia="Calibri" w:hAnsi="Calibri"/>
          <w:b/>
          <w:bCs/>
        </w:rPr>
      </w:pPr>
    </w:p>
    <w:p w14:paraId="58DC71A8" w14:textId="77777777" w:rsidR="00197A8A" w:rsidRDefault="00197A8A" w:rsidP="00197A8A">
      <w:pPr>
        <w:spacing w:line="360" w:lineRule="auto"/>
        <w:ind w:firstLine="720"/>
        <w:jc w:val="both"/>
        <w:rPr>
          <w:b/>
          <w:bCs/>
          <w:rtl/>
        </w:rPr>
      </w:pPr>
      <w:r>
        <w:rPr>
          <w:rFonts w:ascii="David" w:hAnsi="David"/>
          <w:b/>
          <w:bCs/>
          <w:rtl/>
        </w:rPr>
        <w:t>התיק שבכותרת- 55335-12-21</w:t>
      </w:r>
    </w:p>
    <w:p w14:paraId="1C0116F2" w14:textId="77777777" w:rsidR="00197A8A" w:rsidRDefault="00197A8A" w:rsidP="00197A8A">
      <w:pPr>
        <w:pStyle w:val="aa"/>
        <w:numPr>
          <w:ilvl w:val="0"/>
          <w:numId w:val="1"/>
        </w:numPr>
        <w:spacing w:after="160" w:line="360" w:lineRule="auto"/>
        <w:jc w:val="both"/>
        <w:rPr>
          <w:rFonts w:ascii="David" w:hAnsi="David" w:cs="David"/>
          <w:sz w:val="24"/>
          <w:szCs w:val="24"/>
          <w:rtl/>
        </w:rPr>
      </w:pPr>
      <w:r>
        <w:rPr>
          <w:rFonts w:cs="David"/>
          <w:sz w:val="24"/>
          <w:szCs w:val="24"/>
          <w:rtl/>
        </w:rPr>
        <w:t xml:space="preserve">הנאשם החזיק בסם מסוכן מסוג קנבוס, במשקל של 200 גרם ברכבו, </w:t>
      </w:r>
      <w:r>
        <w:rPr>
          <w:rFonts w:ascii="David" w:hAnsi="David" w:cs="David"/>
          <w:sz w:val="24"/>
          <w:szCs w:val="24"/>
          <w:rtl/>
        </w:rPr>
        <w:t xml:space="preserve">בעודו נוהג. </w:t>
      </w:r>
      <w:r>
        <w:rPr>
          <w:rFonts w:cs="David"/>
          <w:sz w:val="24"/>
          <w:szCs w:val="24"/>
          <w:rtl/>
        </w:rPr>
        <w:t xml:space="preserve">מדובר בכמות סם העוברת הכמות המותרת בחוק כזו הנחשבת לצריכה עצמית. </w:t>
      </w:r>
      <w:r>
        <w:rPr>
          <w:rFonts w:ascii="David" w:hAnsi="David" w:cs="David"/>
          <w:sz w:val="24"/>
          <w:szCs w:val="24"/>
          <w:rtl/>
        </w:rPr>
        <w:t xml:space="preserve">מדובר בנסיבה מחמירה, שכן החזקת סם ברכב, מעידה על הכוונה לשנעו ממקום למקום. יש בכך כדי החמרה ממצב שבו הנאשם מחזיק במקום מגוריו. </w:t>
      </w:r>
    </w:p>
    <w:p w14:paraId="70D9FE61" w14:textId="77777777" w:rsidR="00197A8A" w:rsidRDefault="00197A8A" w:rsidP="00197A8A">
      <w:pPr>
        <w:pStyle w:val="aa"/>
        <w:spacing w:line="360" w:lineRule="auto"/>
        <w:ind w:left="0"/>
        <w:jc w:val="both"/>
        <w:rPr>
          <w:rFonts w:ascii="David" w:hAnsi="David" w:cs="David"/>
          <w:sz w:val="24"/>
          <w:szCs w:val="24"/>
        </w:rPr>
      </w:pPr>
    </w:p>
    <w:p w14:paraId="7600BF7A" w14:textId="77777777" w:rsidR="00197A8A" w:rsidRDefault="00197A8A" w:rsidP="00197A8A">
      <w:pPr>
        <w:pStyle w:val="aa"/>
        <w:numPr>
          <w:ilvl w:val="0"/>
          <w:numId w:val="1"/>
        </w:numPr>
        <w:spacing w:after="160" w:line="360" w:lineRule="auto"/>
        <w:jc w:val="both"/>
        <w:rPr>
          <w:rFonts w:ascii="David" w:hAnsi="David" w:cs="David"/>
          <w:sz w:val="24"/>
          <w:szCs w:val="24"/>
        </w:rPr>
      </w:pPr>
      <w:r>
        <w:rPr>
          <w:rFonts w:cs="David"/>
          <w:sz w:val="24"/>
          <w:szCs w:val="24"/>
          <w:rtl/>
        </w:rPr>
        <w:t>יתרה מכך, החזקת סם מסוכן ברכב, עלולה להוביל למתן הזדמנות לשימוש בו אגב נסיעה.</w:t>
      </w:r>
      <w:r>
        <w:rPr>
          <w:rFonts w:ascii="David" w:hAnsi="David" w:cs="David"/>
          <w:sz w:val="24"/>
          <w:szCs w:val="24"/>
          <w:rtl/>
        </w:rPr>
        <w:t xml:space="preserve"> הדבר מלמד גם הוא על חומרת יתירה בנסיבות האמורות. </w:t>
      </w:r>
    </w:p>
    <w:p w14:paraId="15BEAF6C" w14:textId="77777777" w:rsidR="00197A8A" w:rsidRDefault="00197A8A" w:rsidP="00197A8A">
      <w:pPr>
        <w:pStyle w:val="aa"/>
        <w:numPr>
          <w:ilvl w:val="0"/>
          <w:numId w:val="1"/>
        </w:numPr>
        <w:spacing w:after="160" w:line="360" w:lineRule="auto"/>
        <w:jc w:val="both"/>
        <w:rPr>
          <w:rFonts w:ascii="David" w:hAnsi="David" w:cs="David"/>
          <w:sz w:val="24"/>
          <w:szCs w:val="24"/>
          <w:rtl/>
        </w:rPr>
      </w:pPr>
      <w:r>
        <w:rPr>
          <w:rFonts w:ascii="David" w:hAnsi="David" w:cs="David"/>
          <w:sz w:val="24"/>
          <w:szCs w:val="24"/>
          <w:rtl/>
        </w:rPr>
        <w:t>השימוש בסמים שלא לצריכה עצמית טומן בחובו פוטנציאל לצריכתם של הרבים- של הציבור- של הצרכנים- שלא אחת הם יעד לניצול עברייני נוסף בעקבות השפעותיו של הסם וההתמכרויות כמו גם הרגלי השימוש הנלווים לו.</w:t>
      </w:r>
    </w:p>
    <w:p w14:paraId="4F5C7EB3" w14:textId="77777777" w:rsidR="00197A8A" w:rsidRDefault="00197A8A" w:rsidP="00197A8A">
      <w:pPr>
        <w:pStyle w:val="aa"/>
        <w:numPr>
          <w:ilvl w:val="0"/>
          <w:numId w:val="1"/>
        </w:numPr>
        <w:spacing w:line="360" w:lineRule="auto"/>
        <w:jc w:val="both"/>
        <w:rPr>
          <w:rFonts w:cs="David"/>
          <w:sz w:val="24"/>
          <w:szCs w:val="24"/>
        </w:rPr>
      </w:pPr>
      <w:r>
        <w:rPr>
          <w:rFonts w:cs="David"/>
          <w:sz w:val="24"/>
          <w:szCs w:val="24"/>
          <w:rtl/>
        </w:rPr>
        <w:t>לא נטען שהנאשם לא הבין הפסול במעשיו, ולא יכול היה להימנע מהם.</w:t>
      </w:r>
    </w:p>
    <w:p w14:paraId="2A758946" w14:textId="77777777" w:rsidR="00197A8A" w:rsidRDefault="00197A8A" w:rsidP="00197A8A">
      <w:pPr>
        <w:pStyle w:val="aa"/>
        <w:numPr>
          <w:ilvl w:val="0"/>
          <w:numId w:val="1"/>
        </w:numPr>
        <w:spacing w:line="360" w:lineRule="auto"/>
        <w:jc w:val="both"/>
        <w:rPr>
          <w:rFonts w:cs="David"/>
          <w:sz w:val="24"/>
          <w:szCs w:val="24"/>
          <w:rtl/>
        </w:rPr>
      </w:pPr>
      <w:r>
        <w:rPr>
          <w:rFonts w:cs="David"/>
          <w:sz w:val="24"/>
          <w:szCs w:val="24"/>
          <w:rtl/>
        </w:rPr>
        <w:t>מדובר בסם מסוכן, שאינו מצוי במדרג הגבוה של סמים מסוכנים, אך עדיין מוגדר ולא בכדי כסם מסוכן.</w:t>
      </w:r>
    </w:p>
    <w:p w14:paraId="7A1FF9A6" w14:textId="77777777" w:rsidR="00197A8A" w:rsidRPr="004A61CD" w:rsidRDefault="00197A8A" w:rsidP="00197A8A">
      <w:pPr>
        <w:pStyle w:val="aa"/>
        <w:numPr>
          <w:ilvl w:val="0"/>
          <w:numId w:val="1"/>
        </w:numPr>
        <w:spacing w:line="360" w:lineRule="auto"/>
        <w:jc w:val="both"/>
        <w:rPr>
          <w:rFonts w:ascii="David" w:hAnsi="David" w:cs="David"/>
          <w:b/>
          <w:bCs/>
          <w:sz w:val="24"/>
          <w:szCs w:val="24"/>
          <w:rtl/>
        </w:rPr>
      </w:pPr>
      <w:r>
        <w:rPr>
          <w:rFonts w:cs="David"/>
          <w:b/>
          <w:bCs/>
          <w:sz w:val="24"/>
          <w:szCs w:val="24"/>
          <w:rtl/>
        </w:rPr>
        <w:t xml:space="preserve">מכל המפורט לעיל, סבורני, כי מתחם הענישה ההולם לעבירה שביצע הנאשם בנסיבות המתוארות – </w:t>
      </w:r>
      <w:r>
        <w:rPr>
          <w:rFonts w:cs="David"/>
          <w:b/>
          <w:bCs/>
          <w:sz w:val="24"/>
          <w:szCs w:val="24"/>
          <w:u w:val="single"/>
          <w:rtl/>
        </w:rPr>
        <w:t>דהיינו החזקת סמים שלא לצריכה עצמית ברכב בו נהג הנאשם</w:t>
      </w:r>
      <w:r>
        <w:rPr>
          <w:rFonts w:cs="David"/>
          <w:b/>
          <w:bCs/>
          <w:sz w:val="24"/>
          <w:szCs w:val="24"/>
          <w:rtl/>
        </w:rPr>
        <w:t xml:space="preserve">, נע בין מספר חודשי מאסר בפועל לריצוי בדרך של עבודות שירות ברף התחתון לבין 12 חודשי מאסר בפועל ברף העליון בנוסף לרכיבים נלווים. </w:t>
      </w:r>
    </w:p>
    <w:p w14:paraId="37B9507D" w14:textId="77777777" w:rsidR="00197A8A" w:rsidRDefault="00197A8A" w:rsidP="00197A8A">
      <w:pPr>
        <w:spacing w:line="360" w:lineRule="auto"/>
        <w:ind w:firstLine="360"/>
        <w:jc w:val="both"/>
        <w:rPr>
          <w:rFonts w:ascii="Calibri" w:hAnsi="Calibri"/>
          <w:b/>
          <w:bCs/>
          <w:u w:val="single"/>
          <w:rtl/>
        </w:rPr>
      </w:pPr>
      <w:r>
        <w:rPr>
          <w:b/>
          <w:bCs/>
          <w:u w:val="single"/>
          <w:rtl/>
        </w:rPr>
        <w:t>התיק המצורף- 2296-06-22-</w:t>
      </w:r>
    </w:p>
    <w:p w14:paraId="5B519690" w14:textId="77777777" w:rsidR="00197A8A" w:rsidRDefault="00197A8A" w:rsidP="00197A8A">
      <w:pPr>
        <w:pStyle w:val="aa"/>
        <w:numPr>
          <w:ilvl w:val="0"/>
          <w:numId w:val="1"/>
        </w:numPr>
        <w:spacing w:line="360" w:lineRule="auto"/>
        <w:jc w:val="both"/>
        <w:rPr>
          <w:rFonts w:cs="David"/>
          <w:sz w:val="24"/>
          <w:szCs w:val="24"/>
          <w:rtl/>
        </w:rPr>
      </w:pPr>
      <w:r>
        <w:rPr>
          <w:rFonts w:cs="David"/>
          <w:sz w:val="24"/>
          <w:szCs w:val="24"/>
          <w:rtl/>
        </w:rPr>
        <w:t>הנאשם, השתמש בכרטיס אשראי שנגנב מרכבו של המתלונן יום קודם.</w:t>
      </w:r>
    </w:p>
    <w:p w14:paraId="6409F345" w14:textId="77777777" w:rsidR="00197A8A" w:rsidRDefault="00197A8A" w:rsidP="00197A8A">
      <w:pPr>
        <w:pStyle w:val="aa"/>
        <w:numPr>
          <w:ilvl w:val="0"/>
          <w:numId w:val="1"/>
        </w:numPr>
        <w:spacing w:line="360" w:lineRule="auto"/>
        <w:jc w:val="both"/>
        <w:rPr>
          <w:rFonts w:cs="David"/>
          <w:sz w:val="24"/>
          <w:szCs w:val="24"/>
        </w:rPr>
      </w:pPr>
      <w:r>
        <w:rPr>
          <w:rFonts w:cs="David"/>
          <w:sz w:val="24"/>
          <w:szCs w:val="24"/>
          <w:rtl/>
        </w:rPr>
        <w:t xml:space="preserve">לטענת הנאשם, חברו הביא לו את הכרטיס בכדי לקנות מוצרים בשווי 450 ש"ח וכשהבין שהכרטיס גנוב יום לאחר מכן פנה ודיווח בתחנת המשטרה. </w:t>
      </w:r>
    </w:p>
    <w:p w14:paraId="6CC6798D" w14:textId="77777777" w:rsidR="00197A8A" w:rsidRDefault="00197A8A" w:rsidP="00197A8A">
      <w:pPr>
        <w:pStyle w:val="aa"/>
        <w:numPr>
          <w:ilvl w:val="0"/>
          <w:numId w:val="1"/>
        </w:numPr>
        <w:spacing w:line="360" w:lineRule="auto"/>
        <w:jc w:val="both"/>
        <w:rPr>
          <w:rFonts w:cs="David"/>
          <w:sz w:val="24"/>
          <w:szCs w:val="24"/>
        </w:rPr>
      </w:pPr>
      <w:r>
        <w:rPr>
          <w:rFonts w:cs="David"/>
          <w:sz w:val="24"/>
          <w:szCs w:val="24"/>
          <w:rtl/>
        </w:rPr>
        <w:t xml:space="preserve">העבירה נעשתה פעם אחת ובמקום אחד- דהיינו "אירוע בודד", בתחנת הדלק. </w:t>
      </w:r>
    </w:p>
    <w:p w14:paraId="15320E1C" w14:textId="77777777" w:rsidR="00197A8A" w:rsidRDefault="00197A8A" w:rsidP="00197A8A">
      <w:pPr>
        <w:pStyle w:val="aa"/>
        <w:numPr>
          <w:ilvl w:val="0"/>
          <w:numId w:val="1"/>
        </w:numPr>
        <w:spacing w:line="360" w:lineRule="auto"/>
        <w:jc w:val="both"/>
        <w:rPr>
          <w:rFonts w:cs="David"/>
          <w:sz w:val="24"/>
          <w:szCs w:val="24"/>
        </w:rPr>
      </w:pPr>
      <w:r>
        <w:rPr>
          <w:rFonts w:cs="David"/>
          <w:sz w:val="24"/>
          <w:szCs w:val="24"/>
          <w:rtl/>
        </w:rPr>
        <w:t xml:space="preserve">סכום הרכישה שביצע- כ450 ₪,סכום שאינו גבוה יחסית לעבריינות בתחום זה. </w:t>
      </w:r>
    </w:p>
    <w:p w14:paraId="3C5413A0" w14:textId="77777777" w:rsidR="00197A8A" w:rsidRPr="003612F3" w:rsidRDefault="00197A8A" w:rsidP="00197A8A">
      <w:pPr>
        <w:pStyle w:val="aa"/>
        <w:spacing w:line="360" w:lineRule="auto"/>
        <w:ind w:left="786"/>
        <w:jc w:val="both"/>
        <w:rPr>
          <w:rFonts w:cs="David"/>
          <w:sz w:val="24"/>
          <w:szCs w:val="24"/>
        </w:rPr>
      </w:pPr>
    </w:p>
    <w:p w14:paraId="0081B799" w14:textId="77777777" w:rsidR="00197A8A" w:rsidRDefault="00197A8A" w:rsidP="00197A8A">
      <w:pPr>
        <w:pStyle w:val="aa"/>
        <w:numPr>
          <w:ilvl w:val="0"/>
          <w:numId w:val="1"/>
        </w:numPr>
        <w:spacing w:line="360" w:lineRule="auto"/>
        <w:jc w:val="both"/>
        <w:rPr>
          <w:rFonts w:cs="David"/>
          <w:sz w:val="24"/>
          <w:szCs w:val="24"/>
        </w:rPr>
      </w:pPr>
      <w:r>
        <w:rPr>
          <w:rFonts w:cs="David"/>
          <w:sz w:val="24"/>
          <w:szCs w:val="24"/>
          <w:rtl/>
        </w:rPr>
        <w:t xml:space="preserve">הנאשם ביצע את העסקאות בכרטיס שחברו נתן לו, שכן כתוב שם בעל הכרטיס על כרטיס האשראי ויכול היה להימנע מביצוע המעשים, השם שהיה על הכרטיס, לא היה השם של חברו, דהיינו, המשיב עשה שימוש ביודעין בכרטיס אשראי של אחר. בכך פגע בערך חברתי מוגן שחייב להיות מוגן גם על ידי בית המשפט. </w:t>
      </w:r>
    </w:p>
    <w:p w14:paraId="0B6D0D3A" w14:textId="77777777" w:rsidR="00197A8A" w:rsidRPr="003612F3" w:rsidRDefault="00197A8A" w:rsidP="00197A8A">
      <w:pPr>
        <w:pStyle w:val="aa"/>
        <w:spacing w:line="360" w:lineRule="auto"/>
        <w:ind w:left="786"/>
        <w:jc w:val="both"/>
        <w:rPr>
          <w:rFonts w:cs="David"/>
          <w:sz w:val="24"/>
          <w:szCs w:val="24"/>
        </w:rPr>
      </w:pPr>
    </w:p>
    <w:p w14:paraId="71A116BA" w14:textId="77777777" w:rsidR="00197A8A" w:rsidRDefault="00197A8A" w:rsidP="00197A8A">
      <w:pPr>
        <w:pStyle w:val="aa"/>
        <w:numPr>
          <w:ilvl w:val="0"/>
          <w:numId w:val="1"/>
        </w:numPr>
        <w:spacing w:line="360" w:lineRule="auto"/>
        <w:jc w:val="both"/>
        <w:rPr>
          <w:rFonts w:cs="David"/>
          <w:sz w:val="24"/>
          <w:szCs w:val="24"/>
        </w:rPr>
      </w:pPr>
      <w:r>
        <w:rPr>
          <w:rFonts w:cs="David"/>
          <w:sz w:val="24"/>
          <w:szCs w:val="24"/>
          <w:rtl/>
        </w:rPr>
        <w:t>יש לזכור כי אין כמעט אדם שהתנהלותו הכספית אינה קשורה באופן זה או אחר בכרטיסי חיוב, יש שאף עושים שימוש במספר כרטיסים, האפשרות והזמינות והתקלות, בין אם באובדן, גניבה או כל מקרה בו כרטיס זה מגיע לפתחו של אחר מחייבים את ההרתעה מפני שימוש שכזה, דווקא בשל נגישות זו, דווקא בשל ההתפתחות הטכנולוגית שהציבור מעוניין בקידומה, דווקא בשל כך שכרטיסים אלו מצויים לא אחת על גבי הניידים הסלולריים, דווקא בשל כך שאנו מעוניינים בביטחונו של הציבור בשימוש באלה על פני ביצוע עסקאות במזומן ובטרחה להגיע לבנקים בכל הוצאה והוצאה.</w:t>
      </w:r>
    </w:p>
    <w:p w14:paraId="4BF1CCCD" w14:textId="77777777" w:rsidR="00197A8A" w:rsidRPr="003612F3" w:rsidRDefault="00197A8A" w:rsidP="00197A8A">
      <w:pPr>
        <w:pStyle w:val="aa"/>
        <w:rPr>
          <w:rFonts w:cs="David"/>
          <w:sz w:val="24"/>
          <w:szCs w:val="24"/>
          <w:rtl/>
        </w:rPr>
      </w:pPr>
    </w:p>
    <w:p w14:paraId="164AB402" w14:textId="77777777" w:rsidR="00197A8A" w:rsidRDefault="00197A8A" w:rsidP="00197A8A">
      <w:pPr>
        <w:pStyle w:val="aa"/>
        <w:numPr>
          <w:ilvl w:val="0"/>
          <w:numId w:val="1"/>
        </w:numPr>
        <w:spacing w:line="360" w:lineRule="auto"/>
        <w:jc w:val="both"/>
        <w:rPr>
          <w:rFonts w:cs="David"/>
          <w:sz w:val="24"/>
          <w:szCs w:val="24"/>
        </w:rPr>
      </w:pPr>
      <w:r>
        <w:rPr>
          <w:rFonts w:cs="David"/>
          <w:sz w:val="24"/>
          <w:szCs w:val="24"/>
          <w:rtl/>
        </w:rPr>
        <w:t>הציבור צריך להיות בטוח בניידותו עם כרטיסיו כי גם אם תארע תקלה, שכחה, פריצה לרכבו, אובדן, גניבה ישקול מי שהגיע לידו כרטיס החיוב היטב שלא לעבור עבירה של גניבה והונאה באמצעות כרטיס החיוב, והאינטרס הציבורי גם אם העסקה תוכחש וחברות האשראי ישיבו חלק מהכספים אין פירושו של דבר שהעבירה הותרה.</w:t>
      </w:r>
    </w:p>
    <w:p w14:paraId="4AE87AE8" w14:textId="77777777" w:rsidR="00197A8A" w:rsidRDefault="00197A8A" w:rsidP="00197A8A">
      <w:pPr>
        <w:pStyle w:val="aa"/>
        <w:spacing w:line="360" w:lineRule="auto"/>
        <w:ind w:left="786"/>
        <w:jc w:val="both"/>
        <w:rPr>
          <w:rFonts w:cs="David"/>
          <w:sz w:val="24"/>
          <w:szCs w:val="24"/>
        </w:rPr>
      </w:pPr>
    </w:p>
    <w:p w14:paraId="53BFE960" w14:textId="77777777" w:rsidR="00197A8A" w:rsidRPr="003612F3" w:rsidRDefault="00197A8A" w:rsidP="00197A8A">
      <w:pPr>
        <w:pStyle w:val="aa"/>
        <w:numPr>
          <w:ilvl w:val="0"/>
          <w:numId w:val="1"/>
        </w:numPr>
        <w:spacing w:line="360" w:lineRule="auto"/>
        <w:jc w:val="both"/>
        <w:rPr>
          <w:rFonts w:cs="David"/>
          <w:b/>
          <w:bCs/>
          <w:sz w:val="24"/>
          <w:szCs w:val="24"/>
        </w:rPr>
      </w:pPr>
      <w:r>
        <w:rPr>
          <w:rFonts w:cs="David"/>
          <w:b/>
          <w:bCs/>
          <w:sz w:val="24"/>
          <w:szCs w:val="24"/>
          <w:rtl/>
        </w:rPr>
        <w:t>משכך ולנוכח האמור, אני קובע כי מתחם הענישה ההולם בנסיבות תיק בנסיבות של הונאה בכרטיס אשראי ושימוש בסכום של 400 ₪  נע בין מאסר מותנה עד ל6 חודשי מאסר בפועל שיכול וירוצו בעבודות שירות, בנוסף לרכיבים נלווים.</w:t>
      </w:r>
    </w:p>
    <w:p w14:paraId="0468F294" w14:textId="77777777" w:rsidR="00197A8A" w:rsidRDefault="00197A8A" w:rsidP="00197A8A">
      <w:pPr>
        <w:spacing w:line="360" w:lineRule="auto"/>
        <w:ind w:firstLine="360"/>
        <w:jc w:val="both"/>
        <w:rPr>
          <w:b/>
          <w:bCs/>
          <w:rtl/>
        </w:rPr>
      </w:pPr>
      <w:r>
        <w:rPr>
          <w:b/>
          <w:bCs/>
          <w:rtl/>
        </w:rPr>
        <w:t>הנסיבות שאינן קשורות בביצוע העבירה:</w:t>
      </w:r>
    </w:p>
    <w:p w14:paraId="492EBE0E" w14:textId="77777777" w:rsidR="00197A8A" w:rsidRDefault="00197A8A" w:rsidP="00197A8A">
      <w:pPr>
        <w:pStyle w:val="aa"/>
        <w:numPr>
          <w:ilvl w:val="0"/>
          <w:numId w:val="1"/>
        </w:numPr>
        <w:spacing w:line="360" w:lineRule="auto"/>
        <w:jc w:val="both"/>
        <w:rPr>
          <w:rFonts w:cs="David"/>
          <w:sz w:val="24"/>
          <w:szCs w:val="24"/>
          <w:rtl/>
        </w:rPr>
      </w:pPr>
      <w:r>
        <w:rPr>
          <w:rFonts w:cs="David"/>
          <w:sz w:val="24"/>
          <w:szCs w:val="24"/>
          <w:rtl/>
        </w:rPr>
        <w:t xml:space="preserve">הנאשם בן 25, שעברו הפלילי מכיל הרשעה מיום 06.03.22 בגין עבירת ידיעה כוזבת על עבירה מסוג פשע בגינה הוטל עליו מאסר מותנה וקנס. נוסף לאמור, שירות המבחן העריך כי הליכים פלילים קודמים לא היוו גורם מרתיע בפני ביצוע עבירות נוספות, די באמור בכדי לקבוע שאין לגזור עונש הנאשם בתחתית המתחם משום ששב שוב לפתחו של בית המשפט. </w:t>
      </w:r>
    </w:p>
    <w:p w14:paraId="213DF1F5" w14:textId="77777777" w:rsidR="00197A8A" w:rsidRDefault="00197A8A" w:rsidP="00197A8A">
      <w:pPr>
        <w:pStyle w:val="aa"/>
        <w:numPr>
          <w:ilvl w:val="0"/>
          <w:numId w:val="1"/>
        </w:numPr>
        <w:spacing w:line="360" w:lineRule="auto"/>
        <w:jc w:val="both"/>
        <w:rPr>
          <w:rFonts w:cs="David"/>
          <w:sz w:val="24"/>
          <w:szCs w:val="24"/>
        </w:rPr>
      </w:pPr>
      <w:r>
        <w:rPr>
          <w:rFonts w:cs="David"/>
          <w:sz w:val="24"/>
          <w:szCs w:val="24"/>
          <w:rtl/>
        </w:rPr>
        <w:t xml:space="preserve"> </w:t>
      </w:r>
      <w:r>
        <w:rPr>
          <w:rFonts w:cs="David" w:hint="cs"/>
          <w:sz w:val="24"/>
          <w:szCs w:val="24"/>
          <w:rtl/>
        </w:rPr>
        <w:t xml:space="preserve">לא ניתן לסטות ממתחם הענישה, נוכח העדר אופק שיקומי לנאשם.  שירות המבחן זימן את הנאשם ל8 בדיקות שתן לשלילת שרידי סם, </w:t>
      </w:r>
      <w:r>
        <w:rPr>
          <w:rFonts w:cs="David" w:hint="cs"/>
          <w:b/>
          <w:bCs/>
          <w:sz w:val="24"/>
          <w:szCs w:val="24"/>
          <w:rtl/>
        </w:rPr>
        <w:t>אליהן לא הגיע,</w:t>
      </w:r>
      <w:r>
        <w:rPr>
          <w:rFonts w:cs="David" w:hint="cs"/>
          <w:sz w:val="24"/>
          <w:szCs w:val="24"/>
          <w:rtl/>
        </w:rPr>
        <w:t xml:space="preserve"> לכן שירות המבחן לא רואה אופק שיקומי לנאשם. בית המשפט מעניק משקל גם להתנהלותו של המשיב ביחס למסלול השיקומי. </w:t>
      </w:r>
    </w:p>
    <w:p w14:paraId="607819CC" w14:textId="77777777" w:rsidR="00197A8A" w:rsidRDefault="00197A8A" w:rsidP="00197A8A">
      <w:pPr>
        <w:pStyle w:val="aa"/>
        <w:numPr>
          <w:ilvl w:val="0"/>
          <w:numId w:val="1"/>
        </w:numPr>
        <w:spacing w:line="360" w:lineRule="auto"/>
        <w:jc w:val="both"/>
        <w:rPr>
          <w:rFonts w:cs="David"/>
          <w:sz w:val="24"/>
          <w:szCs w:val="24"/>
        </w:rPr>
      </w:pPr>
      <w:r>
        <w:rPr>
          <w:rFonts w:cs="David"/>
          <w:sz w:val="24"/>
          <w:szCs w:val="24"/>
          <w:rtl/>
        </w:rPr>
        <w:t xml:space="preserve">לחובתו של הנאשם עבר תעבורתי הכולל </w:t>
      </w:r>
      <w:r>
        <w:rPr>
          <w:rFonts w:cs="David"/>
          <w:b/>
          <w:bCs/>
          <w:sz w:val="24"/>
          <w:szCs w:val="24"/>
          <w:rtl/>
        </w:rPr>
        <w:t>12 הרשעות</w:t>
      </w:r>
      <w:r>
        <w:rPr>
          <w:rFonts w:cs="David"/>
          <w:sz w:val="24"/>
          <w:szCs w:val="24"/>
          <w:rtl/>
        </w:rPr>
        <w:t>, מקום תפיסת הסמים היו ברכב בו נהג הנאשם.</w:t>
      </w:r>
    </w:p>
    <w:p w14:paraId="7A82801F" w14:textId="77777777" w:rsidR="00197A8A" w:rsidRDefault="00197A8A" w:rsidP="00197A8A">
      <w:pPr>
        <w:pStyle w:val="aa"/>
        <w:numPr>
          <w:ilvl w:val="0"/>
          <w:numId w:val="1"/>
        </w:numPr>
        <w:spacing w:line="360" w:lineRule="auto"/>
        <w:jc w:val="both"/>
        <w:rPr>
          <w:rFonts w:cs="David"/>
          <w:sz w:val="24"/>
          <w:szCs w:val="24"/>
          <w:rtl/>
        </w:rPr>
      </w:pPr>
      <w:r>
        <w:rPr>
          <w:rFonts w:cs="David"/>
          <w:sz w:val="24"/>
          <w:szCs w:val="24"/>
          <w:rtl/>
        </w:rPr>
        <w:t xml:space="preserve">מדובר בעבירה שבוצעה אגב שימוש ברכב. השילוב בין החזקת סם מסוכן לבין נהיגה, מלמד על הצורך בשלילת רישיון נהיגה בפועל. </w:t>
      </w:r>
    </w:p>
    <w:p w14:paraId="7B7A1D5E" w14:textId="77777777" w:rsidR="00197A8A" w:rsidRDefault="00197A8A" w:rsidP="00197A8A">
      <w:pPr>
        <w:pStyle w:val="aa"/>
        <w:spacing w:line="360" w:lineRule="auto"/>
        <w:ind w:left="786"/>
        <w:rPr>
          <w:rFonts w:cs="David"/>
          <w:sz w:val="24"/>
          <w:szCs w:val="24"/>
        </w:rPr>
      </w:pPr>
    </w:p>
    <w:p w14:paraId="16C5A5F3" w14:textId="77777777" w:rsidR="00197A8A" w:rsidRDefault="00197A8A" w:rsidP="00197A8A">
      <w:pPr>
        <w:pStyle w:val="aa"/>
        <w:numPr>
          <w:ilvl w:val="0"/>
          <w:numId w:val="1"/>
        </w:numPr>
        <w:spacing w:line="360" w:lineRule="auto"/>
        <w:jc w:val="both"/>
        <w:rPr>
          <w:rFonts w:ascii="David" w:hAnsi="David" w:cs="David"/>
          <w:sz w:val="24"/>
          <w:szCs w:val="24"/>
          <w:rtl/>
        </w:rPr>
      </w:pPr>
      <w:r>
        <w:rPr>
          <w:rFonts w:cs="David"/>
          <w:sz w:val="24"/>
          <w:szCs w:val="24"/>
          <w:rtl/>
        </w:rPr>
        <w:t xml:space="preserve"> </w:t>
      </w:r>
      <w:r>
        <w:rPr>
          <w:rFonts w:ascii="David" w:hAnsi="David" w:cs="David"/>
          <w:sz w:val="24"/>
          <w:szCs w:val="24"/>
          <w:rtl/>
        </w:rPr>
        <w:t xml:space="preserve">המלחמה בנגע הסמים איננה קלישאה בוועדת החוקה חוק ומשפט של הכנסת, וגם לא ברשות למלחמה בסמים, גם לא בתיקוני החקיקה ובמעקבים השונים ברשויות הרווחה, וגם לא בקליניקות הרפואיות בהן משלמים הורים ממיטב כספם להציל את ילדיהם המתבגרים, עת נופל אדם לעולם הסמים קשה הדרך חזרה. כניסתו קלה עד מאוד בגרמים מועטים וסופו נזקים כבדים לרכוש, גוף ונפש. </w:t>
      </w:r>
    </w:p>
    <w:p w14:paraId="377C0610" w14:textId="77777777" w:rsidR="00197A8A" w:rsidRDefault="00197A8A" w:rsidP="00197A8A">
      <w:pPr>
        <w:pStyle w:val="aa"/>
        <w:jc w:val="both"/>
        <w:rPr>
          <w:rFonts w:ascii="David" w:hAnsi="David" w:cs="David"/>
          <w:sz w:val="24"/>
          <w:szCs w:val="24"/>
        </w:rPr>
      </w:pPr>
    </w:p>
    <w:p w14:paraId="2C0162CA" w14:textId="77777777" w:rsidR="00197A8A" w:rsidRDefault="00197A8A" w:rsidP="00197A8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עוד יצוין כי עבירות הסמים וכן העבירה של הונאה בשימוש בכרטיס חיוב, בעלות פוטנציאל כלכלי שיש להרתיע את עוברי העבירות גם ברכיבי קנס כלכליים משמעותיים. במקרה דנן, נקבעה תקופת תשלומי הקנס זמן סביר לאחר סיום עבודות השירות. </w:t>
      </w:r>
    </w:p>
    <w:p w14:paraId="4C37A417" w14:textId="77777777" w:rsidR="00197A8A" w:rsidRDefault="00197A8A" w:rsidP="00197A8A">
      <w:pPr>
        <w:pStyle w:val="aa"/>
        <w:jc w:val="both"/>
        <w:rPr>
          <w:rFonts w:ascii="David" w:hAnsi="David" w:cs="David"/>
          <w:sz w:val="24"/>
          <w:szCs w:val="24"/>
        </w:rPr>
      </w:pPr>
    </w:p>
    <w:p w14:paraId="0D9EF5DA" w14:textId="77777777" w:rsidR="00197A8A" w:rsidRDefault="00197A8A" w:rsidP="00197A8A">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משבוצעה אחת מהעבירות באמצעות רכב, הרי שרכיב הפסילה והפסילה המותנית אף היא בכלל רכיבי הענישה המוצדקים במסגרת האינטרס הציבורי והרתעת הרבים. </w:t>
      </w:r>
    </w:p>
    <w:p w14:paraId="264A6A76" w14:textId="77777777" w:rsidR="00197A8A" w:rsidRDefault="00197A8A" w:rsidP="00197A8A">
      <w:pPr>
        <w:ind w:firstLine="720"/>
        <w:jc w:val="both"/>
        <w:rPr>
          <w:rFonts w:ascii="Calibri" w:hAnsi="Calibri"/>
          <w:b/>
          <w:bCs/>
          <w:rtl/>
        </w:rPr>
      </w:pPr>
      <w:r>
        <w:rPr>
          <w:b/>
          <w:bCs/>
          <w:rtl/>
        </w:rPr>
        <w:t xml:space="preserve">גזירת העונש </w:t>
      </w:r>
    </w:p>
    <w:p w14:paraId="0FE30889" w14:textId="77777777" w:rsidR="00197A8A" w:rsidRDefault="00197A8A" w:rsidP="00197A8A">
      <w:pPr>
        <w:ind w:firstLine="720"/>
        <w:jc w:val="both"/>
        <w:rPr>
          <w:rFonts w:ascii="Calibri" w:hAnsi="Calibri"/>
          <w:b/>
          <w:bCs/>
          <w:rtl/>
        </w:rPr>
      </w:pPr>
    </w:p>
    <w:p w14:paraId="13CB372E" w14:textId="77777777" w:rsidR="00197A8A" w:rsidRPr="004A61CD" w:rsidRDefault="00197A8A" w:rsidP="00197A8A">
      <w:pPr>
        <w:pStyle w:val="aa"/>
        <w:numPr>
          <w:ilvl w:val="0"/>
          <w:numId w:val="1"/>
        </w:numPr>
        <w:spacing w:line="360" w:lineRule="auto"/>
        <w:jc w:val="both"/>
        <w:rPr>
          <w:rFonts w:ascii="David" w:hAnsi="David" w:cs="David"/>
          <w:b/>
          <w:bCs/>
          <w:sz w:val="24"/>
          <w:szCs w:val="24"/>
          <w:rtl/>
        </w:rPr>
      </w:pPr>
      <w:r w:rsidRPr="004A61CD">
        <w:rPr>
          <w:rFonts w:ascii="David" w:hAnsi="David" w:cs="David"/>
          <w:sz w:val="24"/>
          <w:szCs w:val="24"/>
          <w:rtl/>
        </w:rPr>
        <w:t>לאחר ששקלתי כלל השיקולים לעיל, לחומרה ולקולא, גוזר אני על הנאשם העונשים הבאים:</w:t>
      </w:r>
    </w:p>
    <w:p w14:paraId="76109728" w14:textId="77777777" w:rsidR="00197A8A" w:rsidRDefault="00197A8A" w:rsidP="00197A8A">
      <w:pPr>
        <w:pStyle w:val="aa"/>
        <w:spacing w:line="360" w:lineRule="auto"/>
        <w:ind w:left="1842" w:hanging="709"/>
        <w:jc w:val="both"/>
        <w:rPr>
          <w:rFonts w:cs="David"/>
          <w:b/>
          <w:bCs/>
          <w:sz w:val="24"/>
          <w:szCs w:val="24"/>
        </w:rPr>
      </w:pPr>
    </w:p>
    <w:p w14:paraId="7583C341" w14:textId="77777777" w:rsidR="00197A8A" w:rsidRDefault="00197A8A" w:rsidP="00197A8A">
      <w:pPr>
        <w:pStyle w:val="aa"/>
        <w:numPr>
          <w:ilvl w:val="0"/>
          <w:numId w:val="4"/>
        </w:numPr>
        <w:spacing w:line="360" w:lineRule="auto"/>
        <w:ind w:left="1842" w:firstLine="0"/>
        <w:jc w:val="both"/>
        <w:rPr>
          <w:rFonts w:ascii="David" w:hAnsi="David" w:cs="David"/>
          <w:b/>
          <w:bCs/>
          <w:sz w:val="24"/>
          <w:szCs w:val="24"/>
          <w:rtl/>
        </w:rPr>
      </w:pPr>
      <w:r>
        <w:rPr>
          <w:rFonts w:ascii="David" w:hAnsi="David" w:cs="David" w:hint="cs"/>
          <w:b/>
          <w:bCs/>
          <w:sz w:val="24"/>
          <w:szCs w:val="24"/>
          <w:rtl/>
        </w:rPr>
        <w:t xml:space="preserve"> 7</w:t>
      </w:r>
      <w:r>
        <w:rPr>
          <w:rFonts w:ascii="David" w:hAnsi="David" w:cs="David"/>
          <w:b/>
          <w:bCs/>
          <w:sz w:val="24"/>
          <w:szCs w:val="24"/>
          <w:rtl/>
        </w:rPr>
        <w:t xml:space="preserve"> חודשי מאסר בפועל לריצוי בעבודות שירות. בהתאם לחוות דעת הממונה, הנאשם יבצע העבודות בבית אבות שירלי בדימונה . הנאשם ירצה עונש זה החל מיום 27.03.2024. על הנאשם להתייצב ביום זה עד השעה 08:00 במשרדי הממונה על עבודות השירות.</w:t>
      </w:r>
    </w:p>
    <w:p w14:paraId="5AE679D7" w14:textId="77777777" w:rsidR="00197A8A" w:rsidRDefault="00197A8A" w:rsidP="00197A8A">
      <w:pPr>
        <w:pStyle w:val="aa"/>
        <w:spacing w:line="360" w:lineRule="auto"/>
        <w:ind w:left="1842"/>
        <w:jc w:val="both"/>
        <w:rPr>
          <w:rFonts w:ascii="David" w:hAnsi="David" w:cs="David"/>
          <w:sz w:val="24"/>
          <w:szCs w:val="24"/>
        </w:rPr>
      </w:pPr>
      <w:r>
        <w:rPr>
          <w:rFonts w:ascii="David" w:hAnsi="David" w:cs="David"/>
          <w:b/>
          <w:bCs/>
          <w:sz w:val="24"/>
          <w:szCs w:val="24"/>
          <w:rtl/>
        </w:rPr>
        <w:t>הובהר לנאשם כי במידה ולא ימלא אחר הנחיות הממונה על עבודות השירות או מי מטעמה, ותוגש בקשה להפקעת מאסרו זה, הרי שיוכל בית המשפט לקבוע כי יתרת המאסר תרוצה מאחורי סורג ובריח</w:t>
      </w:r>
      <w:r>
        <w:rPr>
          <w:rFonts w:ascii="David" w:hAnsi="David" w:cs="David"/>
          <w:sz w:val="24"/>
          <w:szCs w:val="24"/>
          <w:rtl/>
        </w:rPr>
        <w:t>.</w:t>
      </w:r>
    </w:p>
    <w:p w14:paraId="56DD163B" w14:textId="77777777" w:rsidR="00197A8A" w:rsidRDefault="00197A8A" w:rsidP="00197A8A">
      <w:pPr>
        <w:pStyle w:val="aa"/>
        <w:spacing w:line="360" w:lineRule="auto"/>
        <w:ind w:left="1842"/>
        <w:jc w:val="both"/>
        <w:rPr>
          <w:rFonts w:ascii="David" w:hAnsi="David" w:cs="David"/>
          <w:sz w:val="24"/>
          <w:szCs w:val="24"/>
          <w:rtl/>
        </w:rPr>
      </w:pPr>
    </w:p>
    <w:p w14:paraId="7AAAA933" w14:textId="77777777" w:rsidR="00197A8A" w:rsidRDefault="00197A8A" w:rsidP="00197A8A">
      <w:pPr>
        <w:pStyle w:val="aa"/>
        <w:numPr>
          <w:ilvl w:val="0"/>
          <w:numId w:val="4"/>
        </w:numPr>
        <w:spacing w:line="360" w:lineRule="auto"/>
        <w:ind w:left="1842" w:firstLine="0"/>
        <w:jc w:val="both"/>
        <w:rPr>
          <w:rFonts w:cs="David"/>
          <w:b/>
          <w:bCs/>
          <w:sz w:val="24"/>
          <w:szCs w:val="24"/>
          <w:rtl/>
        </w:rPr>
      </w:pPr>
      <w:r>
        <w:rPr>
          <w:rFonts w:cs="David"/>
          <w:b/>
          <w:bCs/>
          <w:sz w:val="24"/>
          <w:szCs w:val="24"/>
          <w:rtl/>
        </w:rPr>
        <w:t xml:space="preserve">6 חודשי מאסר מותנה למשך 3 שנים מהיום. מאסר זה יופעל במידה והנאשם יעבור במשך תקופת התנאי כל עבירת פשע לפי </w:t>
      </w:r>
      <w:hyperlink r:id="rId40" w:history="1">
        <w:r w:rsidR="00C02D67" w:rsidRPr="00C02D67">
          <w:rPr>
            <w:rFonts w:cs="David" w:hint="cs"/>
            <w:b/>
            <w:bCs/>
            <w:color w:val="0000FF"/>
            <w:sz w:val="24"/>
            <w:szCs w:val="24"/>
            <w:u w:val="single"/>
            <w:rtl/>
          </w:rPr>
          <w:t>פקודת</w:t>
        </w:r>
        <w:r w:rsidR="00C02D67" w:rsidRPr="00C02D67">
          <w:rPr>
            <w:rFonts w:cs="David"/>
            <w:b/>
            <w:bCs/>
            <w:color w:val="0000FF"/>
            <w:sz w:val="24"/>
            <w:szCs w:val="24"/>
            <w:u w:val="single"/>
            <w:rtl/>
          </w:rPr>
          <w:t xml:space="preserve"> </w:t>
        </w:r>
        <w:r w:rsidR="00C02D67" w:rsidRPr="00C02D67">
          <w:rPr>
            <w:rFonts w:cs="David" w:hint="cs"/>
            <w:b/>
            <w:bCs/>
            <w:color w:val="0000FF"/>
            <w:sz w:val="24"/>
            <w:szCs w:val="24"/>
            <w:u w:val="single"/>
            <w:rtl/>
          </w:rPr>
          <w:t>הסמים</w:t>
        </w:r>
        <w:r w:rsidR="00C02D67" w:rsidRPr="00C02D67">
          <w:rPr>
            <w:rFonts w:cs="David"/>
            <w:b/>
            <w:bCs/>
            <w:color w:val="0000FF"/>
            <w:sz w:val="24"/>
            <w:szCs w:val="24"/>
            <w:u w:val="single"/>
            <w:rtl/>
          </w:rPr>
          <w:t xml:space="preserve"> </w:t>
        </w:r>
        <w:r w:rsidR="00C02D67" w:rsidRPr="00C02D67">
          <w:rPr>
            <w:rFonts w:cs="David" w:hint="cs"/>
            <w:b/>
            <w:bCs/>
            <w:color w:val="0000FF"/>
            <w:sz w:val="24"/>
            <w:szCs w:val="24"/>
            <w:u w:val="single"/>
            <w:rtl/>
          </w:rPr>
          <w:t>המסוכנים</w:t>
        </w:r>
      </w:hyperlink>
      <w:r>
        <w:rPr>
          <w:rFonts w:cs="David"/>
          <w:b/>
          <w:bCs/>
          <w:sz w:val="24"/>
          <w:szCs w:val="24"/>
          <w:rtl/>
        </w:rPr>
        <w:t>.</w:t>
      </w:r>
    </w:p>
    <w:p w14:paraId="002A0C95" w14:textId="77777777" w:rsidR="00197A8A" w:rsidRDefault="00197A8A" w:rsidP="00197A8A">
      <w:pPr>
        <w:pStyle w:val="aa"/>
        <w:spacing w:line="360" w:lineRule="auto"/>
        <w:ind w:left="1842"/>
        <w:jc w:val="both"/>
        <w:rPr>
          <w:rFonts w:cs="David"/>
          <w:b/>
          <w:bCs/>
          <w:sz w:val="24"/>
          <w:szCs w:val="24"/>
        </w:rPr>
      </w:pPr>
    </w:p>
    <w:p w14:paraId="683157C4" w14:textId="77777777" w:rsidR="00197A8A" w:rsidRDefault="00197A8A" w:rsidP="00197A8A">
      <w:pPr>
        <w:pStyle w:val="aa"/>
        <w:numPr>
          <w:ilvl w:val="0"/>
          <w:numId w:val="4"/>
        </w:numPr>
        <w:spacing w:line="360" w:lineRule="auto"/>
        <w:ind w:left="1842" w:firstLine="0"/>
        <w:jc w:val="both"/>
        <w:rPr>
          <w:rFonts w:cs="David"/>
          <w:b/>
          <w:bCs/>
          <w:sz w:val="24"/>
          <w:szCs w:val="24"/>
        </w:rPr>
      </w:pPr>
      <w:r>
        <w:rPr>
          <w:rFonts w:cs="David"/>
          <w:b/>
          <w:bCs/>
          <w:sz w:val="24"/>
          <w:szCs w:val="24"/>
          <w:rtl/>
        </w:rPr>
        <w:t xml:space="preserve">3 חודשי מאסר מותנה למשך 3 שנים מהיום. מאסר זה יופעל במידה והנאשם יעבור במשך תקופת התנאי כל עבירת עוון לפי </w:t>
      </w:r>
      <w:hyperlink r:id="rId41" w:history="1">
        <w:r w:rsidR="00C02D67" w:rsidRPr="00C02D67">
          <w:rPr>
            <w:rFonts w:cs="David" w:hint="cs"/>
            <w:b/>
            <w:bCs/>
            <w:color w:val="0000FF"/>
            <w:sz w:val="24"/>
            <w:szCs w:val="24"/>
            <w:u w:val="single"/>
            <w:rtl/>
          </w:rPr>
          <w:t>פקודת</w:t>
        </w:r>
        <w:r w:rsidR="00C02D67" w:rsidRPr="00C02D67">
          <w:rPr>
            <w:rFonts w:cs="David"/>
            <w:b/>
            <w:bCs/>
            <w:color w:val="0000FF"/>
            <w:sz w:val="24"/>
            <w:szCs w:val="24"/>
            <w:u w:val="single"/>
            <w:rtl/>
          </w:rPr>
          <w:t xml:space="preserve"> </w:t>
        </w:r>
        <w:r w:rsidR="00C02D67" w:rsidRPr="00C02D67">
          <w:rPr>
            <w:rFonts w:cs="David" w:hint="cs"/>
            <w:b/>
            <w:bCs/>
            <w:color w:val="0000FF"/>
            <w:sz w:val="24"/>
            <w:szCs w:val="24"/>
            <w:u w:val="single"/>
            <w:rtl/>
          </w:rPr>
          <w:t>הסמים</w:t>
        </w:r>
        <w:r w:rsidR="00C02D67" w:rsidRPr="00C02D67">
          <w:rPr>
            <w:rFonts w:cs="David"/>
            <w:b/>
            <w:bCs/>
            <w:color w:val="0000FF"/>
            <w:sz w:val="24"/>
            <w:szCs w:val="24"/>
            <w:u w:val="single"/>
            <w:rtl/>
          </w:rPr>
          <w:t xml:space="preserve"> </w:t>
        </w:r>
        <w:r w:rsidR="00C02D67" w:rsidRPr="00C02D67">
          <w:rPr>
            <w:rFonts w:cs="David" w:hint="cs"/>
            <w:b/>
            <w:bCs/>
            <w:color w:val="0000FF"/>
            <w:sz w:val="24"/>
            <w:szCs w:val="24"/>
            <w:u w:val="single"/>
            <w:rtl/>
          </w:rPr>
          <w:t>המסוכנים</w:t>
        </w:r>
      </w:hyperlink>
      <w:r>
        <w:rPr>
          <w:rFonts w:cs="David"/>
          <w:b/>
          <w:bCs/>
          <w:sz w:val="24"/>
          <w:szCs w:val="24"/>
          <w:rtl/>
        </w:rPr>
        <w:t>.</w:t>
      </w:r>
    </w:p>
    <w:p w14:paraId="4800D76A" w14:textId="77777777" w:rsidR="00197A8A" w:rsidRDefault="00197A8A" w:rsidP="00197A8A">
      <w:pPr>
        <w:pStyle w:val="aa"/>
        <w:ind w:left="1842"/>
        <w:rPr>
          <w:rFonts w:cs="David"/>
          <w:b/>
          <w:bCs/>
          <w:sz w:val="24"/>
          <w:szCs w:val="24"/>
        </w:rPr>
      </w:pPr>
    </w:p>
    <w:p w14:paraId="6354E43C" w14:textId="77777777" w:rsidR="00197A8A" w:rsidRDefault="00197A8A" w:rsidP="00197A8A">
      <w:pPr>
        <w:pStyle w:val="aa"/>
        <w:numPr>
          <w:ilvl w:val="0"/>
          <w:numId w:val="4"/>
        </w:numPr>
        <w:spacing w:line="360" w:lineRule="auto"/>
        <w:ind w:left="1842" w:firstLine="0"/>
        <w:jc w:val="both"/>
        <w:rPr>
          <w:rFonts w:cs="David"/>
          <w:b/>
          <w:bCs/>
          <w:sz w:val="24"/>
          <w:szCs w:val="24"/>
          <w:rtl/>
        </w:rPr>
      </w:pPr>
      <w:r>
        <w:rPr>
          <w:rFonts w:cs="David"/>
          <w:b/>
          <w:bCs/>
          <w:sz w:val="24"/>
          <w:szCs w:val="24"/>
          <w:rtl/>
        </w:rPr>
        <w:t>6 חודשי מאסר מותנה למשך 3 שנים מהיום. מאסר זה יופעל במידה והנאשם יעבור במשך תקופת התנאי כל עבירה לפי פרק י"א סימנים ו'-ז' ל</w:t>
      </w:r>
      <w:hyperlink r:id="rId42" w:history="1">
        <w:r w:rsidR="00C02D67" w:rsidRPr="00C02D67">
          <w:rPr>
            <w:rFonts w:cs="David" w:hint="cs"/>
            <w:b/>
            <w:bCs/>
            <w:color w:val="0000FF"/>
            <w:sz w:val="24"/>
            <w:szCs w:val="24"/>
            <w:u w:val="single"/>
            <w:rtl/>
          </w:rPr>
          <w:t>חוק</w:t>
        </w:r>
        <w:r w:rsidR="00C02D67" w:rsidRPr="00C02D67">
          <w:rPr>
            <w:rFonts w:cs="David"/>
            <w:b/>
            <w:bCs/>
            <w:color w:val="0000FF"/>
            <w:sz w:val="24"/>
            <w:szCs w:val="24"/>
            <w:u w:val="single"/>
            <w:rtl/>
          </w:rPr>
          <w:t xml:space="preserve"> </w:t>
        </w:r>
        <w:r w:rsidR="00C02D67" w:rsidRPr="00C02D67">
          <w:rPr>
            <w:rFonts w:cs="David" w:hint="cs"/>
            <w:b/>
            <w:bCs/>
            <w:color w:val="0000FF"/>
            <w:sz w:val="24"/>
            <w:szCs w:val="24"/>
            <w:u w:val="single"/>
            <w:rtl/>
          </w:rPr>
          <w:t>העונשין</w:t>
        </w:r>
      </w:hyperlink>
      <w:r>
        <w:rPr>
          <w:rFonts w:cs="David"/>
          <w:b/>
          <w:bCs/>
          <w:sz w:val="24"/>
          <w:szCs w:val="24"/>
          <w:rtl/>
        </w:rPr>
        <w:t xml:space="preserve">, תשל"ז- 1977. </w:t>
      </w:r>
    </w:p>
    <w:p w14:paraId="4AC4ACC2" w14:textId="77777777" w:rsidR="00197A8A" w:rsidRDefault="00197A8A" w:rsidP="00197A8A">
      <w:pPr>
        <w:pStyle w:val="aa"/>
        <w:ind w:left="1842"/>
        <w:rPr>
          <w:rFonts w:cs="David"/>
          <w:b/>
          <w:bCs/>
          <w:sz w:val="24"/>
          <w:szCs w:val="24"/>
        </w:rPr>
      </w:pPr>
    </w:p>
    <w:p w14:paraId="76247BF2" w14:textId="77777777" w:rsidR="00197A8A" w:rsidRDefault="00197A8A" w:rsidP="00197A8A">
      <w:pPr>
        <w:pStyle w:val="aa"/>
        <w:numPr>
          <w:ilvl w:val="0"/>
          <w:numId w:val="4"/>
        </w:numPr>
        <w:spacing w:line="360" w:lineRule="auto"/>
        <w:ind w:left="1842" w:firstLine="0"/>
        <w:jc w:val="both"/>
        <w:rPr>
          <w:rFonts w:cs="David"/>
          <w:b/>
          <w:bCs/>
          <w:sz w:val="24"/>
          <w:szCs w:val="24"/>
          <w:rtl/>
        </w:rPr>
      </w:pPr>
      <w:r>
        <w:rPr>
          <w:rFonts w:cs="David"/>
          <w:b/>
          <w:bCs/>
          <w:sz w:val="24"/>
          <w:szCs w:val="24"/>
          <w:rtl/>
        </w:rPr>
        <w:t xml:space="preserve">הנאשם יחתום באמצעות הצהרה לפרוטוקול  על התחייבות בסכום של 5000 ₪  להימנע מכל עבירה בה הורשע, לרבות כל עבירה על פי </w:t>
      </w:r>
      <w:hyperlink r:id="rId43" w:history="1">
        <w:r w:rsidR="00C02D67" w:rsidRPr="00C02D67">
          <w:rPr>
            <w:rFonts w:cs="David" w:hint="cs"/>
            <w:b/>
            <w:bCs/>
            <w:color w:val="0000FF"/>
            <w:sz w:val="24"/>
            <w:szCs w:val="24"/>
            <w:u w:val="single"/>
            <w:rtl/>
          </w:rPr>
          <w:t>פקודת</w:t>
        </w:r>
        <w:r w:rsidR="00C02D67" w:rsidRPr="00C02D67">
          <w:rPr>
            <w:rFonts w:cs="David"/>
            <w:b/>
            <w:bCs/>
            <w:color w:val="0000FF"/>
            <w:sz w:val="24"/>
            <w:szCs w:val="24"/>
            <w:u w:val="single"/>
            <w:rtl/>
          </w:rPr>
          <w:t xml:space="preserve"> </w:t>
        </w:r>
        <w:r w:rsidR="00C02D67" w:rsidRPr="00C02D67">
          <w:rPr>
            <w:rFonts w:cs="David" w:hint="cs"/>
            <w:b/>
            <w:bCs/>
            <w:color w:val="0000FF"/>
            <w:sz w:val="24"/>
            <w:szCs w:val="24"/>
            <w:u w:val="single"/>
            <w:rtl/>
          </w:rPr>
          <w:t>הסמים</w:t>
        </w:r>
        <w:r w:rsidR="00C02D67" w:rsidRPr="00C02D67">
          <w:rPr>
            <w:rFonts w:cs="David"/>
            <w:b/>
            <w:bCs/>
            <w:color w:val="0000FF"/>
            <w:sz w:val="24"/>
            <w:szCs w:val="24"/>
            <w:u w:val="single"/>
            <w:rtl/>
          </w:rPr>
          <w:t xml:space="preserve"> </w:t>
        </w:r>
        <w:r w:rsidR="00C02D67" w:rsidRPr="00C02D67">
          <w:rPr>
            <w:rFonts w:cs="David" w:hint="cs"/>
            <w:b/>
            <w:bCs/>
            <w:color w:val="0000FF"/>
            <w:sz w:val="24"/>
            <w:szCs w:val="24"/>
            <w:u w:val="single"/>
            <w:rtl/>
          </w:rPr>
          <w:t>המסוכנים</w:t>
        </w:r>
      </w:hyperlink>
      <w:r>
        <w:rPr>
          <w:rFonts w:cs="David" w:hint="cs"/>
          <w:b/>
          <w:bCs/>
          <w:sz w:val="24"/>
          <w:szCs w:val="24"/>
          <w:rtl/>
        </w:rPr>
        <w:t xml:space="preserve"> (נוסח חדש) התשל"ג - 1973</w:t>
      </w:r>
      <w:r>
        <w:rPr>
          <w:rFonts w:cs="David"/>
          <w:b/>
          <w:bCs/>
          <w:sz w:val="24"/>
          <w:szCs w:val="24"/>
          <w:rtl/>
        </w:rPr>
        <w:t xml:space="preserve"> במשך שלוש שנים מהיום. ההתחייבות תוצהר לפרוטוקול.</w:t>
      </w:r>
    </w:p>
    <w:p w14:paraId="70B3DB36" w14:textId="77777777" w:rsidR="00197A8A" w:rsidRDefault="00197A8A" w:rsidP="00197A8A">
      <w:pPr>
        <w:pStyle w:val="aa"/>
        <w:ind w:left="1842"/>
        <w:rPr>
          <w:rFonts w:ascii="David" w:hAnsi="David" w:cs="David"/>
          <w:b/>
          <w:bCs/>
          <w:sz w:val="24"/>
          <w:szCs w:val="24"/>
        </w:rPr>
      </w:pPr>
    </w:p>
    <w:p w14:paraId="3EEDA0D3" w14:textId="77777777" w:rsidR="00197A8A" w:rsidRDefault="00197A8A" w:rsidP="00197A8A">
      <w:pPr>
        <w:pStyle w:val="aa"/>
        <w:numPr>
          <w:ilvl w:val="0"/>
          <w:numId w:val="4"/>
        </w:numPr>
        <w:spacing w:line="360" w:lineRule="auto"/>
        <w:ind w:left="1842" w:firstLine="0"/>
        <w:jc w:val="both"/>
        <w:rPr>
          <w:rFonts w:cs="David"/>
          <w:b/>
          <w:bCs/>
          <w:sz w:val="24"/>
          <w:szCs w:val="24"/>
          <w:rtl/>
        </w:rPr>
      </w:pPr>
      <w:r>
        <w:rPr>
          <w:rFonts w:ascii="David" w:hAnsi="David" w:cs="David"/>
          <w:b/>
          <w:bCs/>
          <w:sz w:val="24"/>
          <w:szCs w:val="24"/>
          <w:rtl/>
        </w:rPr>
        <w:t xml:space="preserve">אני פוסל את הנאשם מלהחזיק או לקבל רישיון נהיגה, פסילה בפועל בת 6 חודשים, שתחל </w:t>
      </w:r>
      <w:r>
        <w:rPr>
          <w:rFonts w:ascii="David" w:hAnsi="David" w:cs="David" w:hint="cs"/>
          <w:b/>
          <w:bCs/>
          <w:sz w:val="24"/>
          <w:szCs w:val="24"/>
          <w:rtl/>
        </w:rPr>
        <w:t xml:space="preserve">מ27.9.24 </w:t>
      </w:r>
      <w:r>
        <w:rPr>
          <w:rFonts w:ascii="David" w:hAnsi="David" w:cs="David"/>
          <w:b/>
          <w:bCs/>
          <w:sz w:val="24"/>
          <w:szCs w:val="24"/>
          <w:rtl/>
        </w:rPr>
        <w:t>. פסילה זו תכנס לתוקף במועד הפקדת רישיון הנהיגה של הנאשם במזכירות בית המשפט</w:t>
      </w:r>
      <w:r>
        <w:rPr>
          <w:rFonts w:ascii="David" w:hAnsi="David" w:cs="David" w:hint="cs"/>
          <w:b/>
          <w:bCs/>
          <w:sz w:val="24"/>
          <w:szCs w:val="24"/>
          <w:rtl/>
        </w:rPr>
        <w:t xml:space="preserve"> עד ל27.9.24 </w:t>
      </w:r>
      <w:r>
        <w:rPr>
          <w:rFonts w:ascii="David" w:hAnsi="David" w:cs="David"/>
          <w:b/>
          <w:bCs/>
          <w:sz w:val="24"/>
          <w:szCs w:val="24"/>
          <w:rtl/>
        </w:rPr>
        <w:t>, או הפקדת תצהיר המסביר מדוע לא בוצעה הפקדה זו.</w:t>
      </w:r>
    </w:p>
    <w:p w14:paraId="3D3FA262" w14:textId="77777777" w:rsidR="00197A8A" w:rsidRDefault="00197A8A" w:rsidP="00197A8A">
      <w:pPr>
        <w:pStyle w:val="aa"/>
        <w:ind w:left="1842"/>
        <w:rPr>
          <w:rFonts w:ascii="David" w:hAnsi="David" w:cs="David"/>
          <w:b/>
          <w:bCs/>
          <w:sz w:val="24"/>
          <w:szCs w:val="24"/>
        </w:rPr>
      </w:pPr>
    </w:p>
    <w:p w14:paraId="4D455A60" w14:textId="77777777" w:rsidR="00197A8A" w:rsidRDefault="00197A8A" w:rsidP="00197A8A">
      <w:pPr>
        <w:pStyle w:val="aa"/>
        <w:numPr>
          <w:ilvl w:val="0"/>
          <w:numId w:val="4"/>
        </w:numPr>
        <w:spacing w:line="360" w:lineRule="auto"/>
        <w:ind w:left="1842" w:firstLine="0"/>
        <w:jc w:val="both"/>
        <w:rPr>
          <w:rFonts w:cs="David"/>
          <w:b/>
          <w:bCs/>
          <w:sz w:val="24"/>
          <w:szCs w:val="24"/>
          <w:rtl/>
        </w:rPr>
      </w:pPr>
      <w:r>
        <w:rPr>
          <w:rFonts w:ascii="David" w:hAnsi="David" w:cs="David"/>
          <w:b/>
          <w:bCs/>
          <w:sz w:val="24"/>
          <w:szCs w:val="24"/>
          <w:rtl/>
        </w:rPr>
        <w:t>אני פוסל את הנאשם מלהחזיק או לקבל רישיון נהיגה, פסילה על תנאי בת 12 חודשים, וזאת למשך שלוש שנים שמניינן יחל מסיום תקופת הפסילה בפועל דלעיל.</w:t>
      </w:r>
    </w:p>
    <w:p w14:paraId="78A8E75E" w14:textId="77777777" w:rsidR="00197A8A" w:rsidRDefault="00197A8A" w:rsidP="00197A8A">
      <w:pPr>
        <w:pStyle w:val="aa"/>
        <w:ind w:left="1842"/>
        <w:rPr>
          <w:rFonts w:cs="David"/>
          <w:b/>
          <w:bCs/>
          <w:sz w:val="24"/>
          <w:szCs w:val="24"/>
        </w:rPr>
      </w:pPr>
    </w:p>
    <w:p w14:paraId="02C100D5" w14:textId="77777777" w:rsidR="00197A8A" w:rsidRPr="004A61CD" w:rsidRDefault="00197A8A" w:rsidP="00197A8A">
      <w:pPr>
        <w:pStyle w:val="aa"/>
        <w:numPr>
          <w:ilvl w:val="0"/>
          <w:numId w:val="4"/>
        </w:numPr>
        <w:spacing w:line="360" w:lineRule="auto"/>
        <w:ind w:left="1842" w:firstLine="0"/>
        <w:jc w:val="both"/>
        <w:rPr>
          <w:rFonts w:cs="David"/>
          <w:b/>
          <w:bCs/>
          <w:sz w:val="24"/>
          <w:szCs w:val="24"/>
          <w:rtl/>
        </w:rPr>
      </w:pPr>
      <w:r>
        <w:rPr>
          <w:rFonts w:cs="David"/>
          <w:b/>
          <w:bCs/>
          <w:sz w:val="24"/>
          <w:szCs w:val="24"/>
          <w:rtl/>
        </w:rPr>
        <w:t>קנס בסך 6,000 ש"ח או 60 ימי מאסר תמורתו. הקנס ישולם ב</w:t>
      </w:r>
      <w:r>
        <w:rPr>
          <w:rFonts w:cs="David" w:hint="cs"/>
          <w:b/>
          <w:bCs/>
          <w:sz w:val="24"/>
          <w:szCs w:val="24"/>
          <w:rtl/>
        </w:rPr>
        <w:t>- 10</w:t>
      </w:r>
      <w:r>
        <w:rPr>
          <w:rFonts w:cs="David"/>
          <w:b/>
          <w:bCs/>
          <w:sz w:val="24"/>
          <w:szCs w:val="24"/>
          <w:rtl/>
        </w:rPr>
        <w:t xml:space="preserve"> תשלומים שווים ורצופים, החל </w:t>
      </w:r>
      <w:r>
        <w:rPr>
          <w:rFonts w:cs="David" w:hint="cs"/>
          <w:b/>
          <w:bCs/>
          <w:sz w:val="24"/>
          <w:szCs w:val="24"/>
          <w:rtl/>
        </w:rPr>
        <w:t>מ</w:t>
      </w:r>
      <w:r>
        <w:rPr>
          <w:rFonts w:cs="David"/>
          <w:b/>
          <w:bCs/>
          <w:sz w:val="24"/>
          <w:szCs w:val="24"/>
          <w:rtl/>
        </w:rPr>
        <w:t>יום 10.01.2025 ובכל עשירי בחודש לאחריו. אי תשלום אחד התשלומים במועד, תעמיד יתרת הקנס לפירעון מידי, מלבד הגשת בקשה למאסר חלף אי תשלום הקנס.</w:t>
      </w:r>
    </w:p>
    <w:p w14:paraId="41498C46" w14:textId="77777777" w:rsidR="00197A8A" w:rsidRDefault="00197A8A" w:rsidP="00197A8A">
      <w:pPr>
        <w:pStyle w:val="aa"/>
        <w:ind w:left="1842"/>
        <w:rPr>
          <w:rFonts w:ascii="David" w:hAnsi="David" w:cs="David"/>
        </w:rPr>
      </w:pPr>
    </w:p>
    <w:p w14:paraId="3D97294E" w14:textId="77777777" w:rsidR="00197A8A" w:rsidRDefault="00197A8A" w:rsidP="00197A8A">
      <w:pPr>
        <w:pStyle w:val="aa"/>
        <w:spacing w:line="360" w:lineRule="auto"/>
        <w:ind w:left="1842"/>
        <w:jc w:val="both"/>
        <w:rPr>
          <w:rFonts w:ascii="David" w:hAnsi="David" w:cs="David"/>
          <w:rtl/>
        </w:rPr>
      </w:pPr>
      <w:r>
        <w:rPr>
          <w:rFonts w:ascii="David" w:hAnsi="David" w:cs="David"/>
          <w:rtl/>
        </w:rPr>
        <w:t>את הקנס ניתן לשלם באחת מהדרכים הבאות:</w:t>
      </w:r>
    </w:p>
    <w:p w14:paraId="6B1877F0" w14:textId="77777777" w:rsidR="00197A8A" w:rsidRDefault="00197A8A" w:rsidP="00197A8A">
      <w:pPr>
        <w:pStyle w:val="aa"/>
        <w:spacing w:line="360" w:lineRule="auto"/>
        <w:ind w:left="1842"/>
        <w:jc w:val="both"/>
        <w:rPr>
          <w:rFonts w:ascii="David" w:hAnsi="David" w:cs="David"/>
          <w:rtl/>
        </w:rPr>
      </w:pPr>
      <w:r>
        <w:rPr>
          <w:rFonts w:ascii="David" w:hAnsi="David" w:cs="David"/>
          <w:rtl/>
        </w:rPr>
        <w:t>•</w:t>
      </w:r>
      <w:r>
        <w:rPr>
          <w:rFonts w:ascii="David" w:hAnsi="David" w:cs="David"/>
          <w:rtl/>
        </w:rPr>
        <w:tab/>
        <w:t>תשלום בכרטיס אשראי באמצעות האתר המקוון של רשות האכיפה והגבייה בכתובת:-</w:t>
      </w:r>
      <w:r>
        <w:rPr>
          <w:rFonts w:ascii="David" w:hAnsi="David" w:cs="David"/>
        </w:rPr>
        <w:t>Hyperlink Removed</w:t>
      </w:r>
      <w:r>
        <w:rPr>
          <w:rFonts w:ascii="David" w:hAnsi="David" w:cs="David"/>
          <w:rtl/>
        </w:rPr>
        <w:t>- .</w:t>
      </w:r>
    </w:p>
    <w:p w14:paraId="24BE33E4" w14:textId="77777777" w:rsidR="00197A8A" w:rsidRDefault="00197A8A" w:rsidP="00197A8A">
      <w:pPr>
        <w:pStyle w:val="aa"/>
        <w:spacing w:line="360" w:lineRule="auto"/>
        <w:ind w:left="1842"/>
        <w:jc w:val="both"/>
        <w:rPr>
          <w:rFonts w:ascii="David" w:hAnsi="David" w:cs="David"/>
          <w:rtl/>
        </w:rPr>
      </w:pPr>
      <w:r>
        <w:rPr>
          <w:rFonts w:ascii="David" w:hAnsi="David" w:cs="David"/>
          <w:rtl/>
        </w:rPr>
        <w:t>•</w:t>
      </w:r>
      <w:r>
        <w:rPr>
          <w:rFonts w:ascii="David" w:hAnsi="David" w:cs="David"/>
          <w:rtl/>
        </w:rPr>
        <w:tab/>
        <w:t>תשלום בשירות עצמי באמצעות מוקד שירות טלפוני של מרכז הגבייה, בטלפון שמספרו 35592* או, 073-205-5000.</w:t>
      </w:r>
    </w:p>
    <w:p w14:paraId="2FD9757D" w14:textId="77777777" w:rsidR="00197A8A" w:rsidRDefault="00197A8A" w:rsidP="00197A8A">
      <w:pPr>
        <w:pStyle w:val="aa"/>
        <w:spacing w:line="360" w:lineRule="auto"/>
        <w:ind w:left="1842"/>
        <w:jc w:val="both"/>
        <w:rPr>
          <w:rFonts w:cs="David"/>
          <w:b/>
          <w:bCs/>
          <w:sz w:val="24"/>
          <w:szCs w:val="24"/>
          <w:rtl/>
        </w:rPr>
      </w:pPr>
      <w:r>
        <w:rPr>
          <w:rFonts w:ascii="David" w:hAnsi="David" w:cs="David"/>
          <w:rtl/>
        </w:rPr>
        <w:t>•</w:t>
      </w:r>
      <w:r>
        <w:rPr>
          <w:rFonts w:ascii="David" w:hAnsi="David" w:cs="David"/>
          <w:rtl/>
        </w:rPr>
        <w:tab/>
        <w:t>תשלום במזומן בכל סניף של בנק הדואר, בהצגת תעודת זהות בלבד (אין צורך בהצגת שוברי תשלום).</w:t>
      </w:r>
    </w:p>
    <w:p w14:paraId="447D1713" w14:textId="77777777" w:rsidR="00197A8A" w:rsidRDefault="00197A8A" w:rsidP="00197A8A">
      <w:pPr>
        <w:spacing w:line="360" w:lineRule="auto"/>
        <w:jc w:val="both"/>
        <w:rPr>
          <w:rFonts w:ascii="David" w:hAnsi="David"/>
          <w:b/>
          <w:bCs/>
          <w:u w:val="single"/>
          <w:rtl/>
        </w:rPr>
      </w:pPr>
      <w:r>
        <w:rPr>
          <w:rFonts w:ascii="David" w:hAnsi="David"/>
          <w:b/>
          <w:bCs/>
          <w:u w:val="single"/>
          <w:rtl/>
        </w:rPr>
        <w:t>הסמים המסוכנים מושא תיק זה יושמדו בחלוף תקופת הערעור.</w:t>
      </w:r>
    </w:p>
    <w:p w14:paraId="0DEB0581" w14:textId="77777777" w:rsidR="00197A8A" w:rsidRDefault="00197A8A" w:rsidP="00197A8A">
      <w:pPr>
        <w:spacing w:line="360" w:lineRule="auto"/>
        <w:jc w:val="both"/>
        <w:rPr>
          <w:rFonts w:ascii="David" w:hAnsi="David"/>
          <w:b/>
          <w:bCs/>
          <w:u w:val="single"/>
          <w:rtl/>
        </w:rPr>
      </w:pPr>
    </w:p>
    <w:p w14:paraId="0C3ED1ED" w14:textId="77777777" w:rsidR="00197A8A" w:rsidRDefault="00197A8A" w:rsidP="00197A8A">
      <w:pPr>
        <w:spacing w:line="360" w:lineRule="auto"/>
        <w:jc w:val="both"/>
        <w:rPr>
          <w:rFonts w:ascii="David" w:hAnsi="David"/>
          <w:b/>
          <w:bCs/>
          <w:u w:val="single"/>
          <w:rtl/>
        </w:rPr>
      </w:pPr>
      <w:r>
        <w:rPr>
          <w:b/>
          <w:bCs/>
          <w:u w:val="single"/>
          <w:rtl/>
        </w:rPr>
        <w:t>המזכירות תעביר עותק ההחלטה לממונה על עבודות השירות, ומצופה שיעשה כך גם ב"כ הנאשם.</w:t>
      </w:r>
    </w:p>
    <w:p w14:paraId="61081D14" w14:textId="77777777" w:rsidR="00197A8A" w:rsidRPr="00C02D67" w:rsidRDefault="00C02D67" w:rsidP="00197A8A">
      <w:pPr>
        <w:spacing w:line="360" w:lineRule="auto"/>
        <w:rPr>
          <w:color w:val="FFFFFF"/>
          <w:sz w:val="2"/>
          <w:szCs w:val="2"/>
          <w:rtl/>
        </w:rPr>
      </w:pPr>
      <w:r w:rsidRPr="00C02D67">
        <w:rPr>
          <w:color w:val="FFFFFF"/>
          <w:sz w:val="2"/>
          <w:szCs w:val="2"/>
          <w:rtl/>
        </w:rPr>
        <w:t>5129371</w:t>
      </w:r>
    </w:p>
    <w:p w14:paraId="0F507A03" w14:textId="77777777" w:rsidR="00197A8A" w:rsidRPr="004A61CD" w:rsidRDefault="00C02D67" w:rsidP="00197A8A">
      <w:pPr>
        <w:spacing w:line="360" w:lineRule="auto"/>
        <w:rPr>
          <w:rFonts w:ascii="Calibri" w:hAnsi="Calibri"/>
          <w:sz w:val="22"/>
          <w:szCs w:val="22"/>
          <w:rtl/>
        </w:rPr>
      </w:pPr>
      <w:r w:rsidRPr="00C02D67">
        <w:rPr>
          <w:color w:val="FFFFFF"/>
          <w:sz w:val="2"/>
          <w:szCs w:val="2"/>
          <w:rtl/>
        </w:rPr>
        <w:t>54678313</w:t>
      </w:r>
      <w:r w:rsidR="00197A8A" w:rsidRPr="004A61CD">
        <w:rPr>
          <w:sz w:val="22"/>
          <w:szCs w:val="22"/>
          <w:rtl/>
        </w:rPr>
        <w:t xml:space="preserve">זכות ערעור כחוק. </w:t>
      </w:r>
    </w:p>
    <w:p w14:paraId="1D656E3A" w14:textId="77777777" w:rsidR="00197A8A" w:rsidRPr="000F2247" w:rsidRDefault="00197A8A" w:rsidP="00197A8A">
      <w:pPr>
        <w:rPr>
          <w:rFonts w:ascii="Arial" w:hAnsi="Arial"/>
          <w:b/>
          <w:bCs/>
          <w:sz w:val="26"/>
          <w:szCs w:val="26"/>
          <w:rtl/>
        </w:rPr>
      </w:pPr>
    </w:p>
    <w:p w14:paraId="57427632" w14:textId="77777777" w:rsidR="00197A8A" w:rsidRPr="000F2247" w:rsidRDefault="00C02D67" w:rsidP="00197A8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י"ט שבט תשפ"ד, 29 ינואר 2024, בנוכחות הצדדים. </w:t>
      </w:r>
      <w:bookmarkEnd w:id="8"/>
      <w:r w:rsidR="00197A8A">
        <w:rPr>
          <w:rFonts w:ascii="Arial" w:hAnsi="Arial"/>
          <w:b/>
          <w:bCs/>
          <w:sz w:val="26"/>
          <w:szCs w:val="26"/>
          <w:rtl/>
        </w:rPr>
        <w:tab/>
      </w:r>
      <w:r w:rsidR="00197A8A">
        <w:rPr>
          <w:rFonts w:ascii="Arial" w:hAnsi="Arial"/>
          <w:b/>
          <w:bCs/>
          <w:sz w:val="26"/>
          <w:szCs w:val="26"/>
          <w:rtl/>
        </w:rPr>
        <w:tab/>
      </w:r>
      <w:r w:rsidR="00197A8A">
        <w:rPr>
          <w:rFonts w:ascii="Arial" w:hAnsi="Arial"/>
          <w:b/>
          <w:bCs/>
          <w:sz w:val="26"/>
          <w:szCs w:val="26"/>
          <w:rtl/>
        </w:rPr>
        <w:tab/>
      </w:r>
      <w:r w:rsidR="00197A8A">
        <w:rPr>
          <w:rFonts w:ascii="Arial" w:hAnsi="Arial"/>
          <w:b/>
          <w:bCs/>
          <w:sz w:val="26"/>
          <w:szCs w:val="26"/>
          <w:rtl/>
        </w:rPr>
        <w:tab/>
      </w:r>
      <w:r w:rsidR="00197A8A">
        <w:rPr>
          <w:rFonts w:ascii="Arial" w:hAnsi="Arial"/>
          <w:b/>
          <w:bCs/>
          <w:sz w:val="26"/>
          <w:szCs w:val="26"/>
          <w:rtl/>
        </w:rPr>
        <w:tab/>
      </w:r>
      <w:r w:rsidR="00197A8A">
        <w:rPr>
          <w:rFonts w:ascii="Arial" w:hAnsi="Arial"/>
          <w:b/>
          <w:bCs/>
          <w:sz w:val="26"/>
          <w:szCs w:val="26"/>
          <w:rtl/>
        </w:rPr>
        <w:tab/>
      </w:r>
      <w:r w:rsidR="00197A8A">
        <w:rPr>
          <w:rFonts w:ascii="Arial" w:hAnsi="Arial"/>
          <w:b/>
          <w:bCs/>
          <w:sz w:val="26"/>
          <w:szCs w:val="26"/>
          <w:rtl/>
        </w:rPr>
        <w:tab/>
      </w:r>
      <w:r w:rsidR="00197A8A">
        <w:rPr>
          <w:rFonts w:ascii="Arial" w:hAnsi="Arial" w:hint="cs"/>
          <w:b/>
          <w:bCs/>
          <w:sz w:val="26"/>
          <w:szCs w:val="26"/>
          <w:rtl/>
        </w:rPr>
        <w:t xml:space="preserve">         </w:t>
      </w:r>
    </w:p>
    <w:p w14:paraId="2BBD2ED0" w14:textId="77777777" w:rsidR="00197A8A" w:rsidRPr="000F2247" w:rsidRDefault="00197A8A" w:rsidP="00C02D6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3B9A274" w14:textId="77777777" w:rsidR="00C02D67" w:rsidRDefault="00554FF4" w:rsidP="00C02D67">
      <w:r w:rsidRPr="00554FF4">
        <w:rPr>
          <w:rFonts w:ascii="Arial" w:hAnsi="Arial"/>
          <w:b/>
          <w:bCs/>
          <w:color w:val="FFFFFF"/>
          <w:sz w:val="2"/>
          <w:szCs w:val="2"/>
          <w:rtl/>
        </w:rPr>
        <w:t>5129371</w:t>
      </w:r>
    </w:p>
    <w:p w14:paraId="5399FB28" w14:textId="77777777" w:rsidR="00C02D67" w:rsidRDefault="00C02D67" w:rsidP="00C02D67">
      <w:pPr>
        <w:rPr>
          <w:rtl/>
        </w:rPr>
      </w:pPr>
    </w:p>
    <w:p w14:paraId="5544FE27" w14:textId="77777777" w:rsidR="00C02D67" w:rsidRDefault="00C02D67" w:rsidP="00C02D67">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2D70917" w14:textId="77777777" w:rsidR="00554FF4" w:rsidRPr="00554FF4" w:rsidRDefault="00554FF4" w:rsidP="00554FF4">
      <w:pPr>
        <w:keepNext/>
        <w:rPr>
          <w:rFonts w:ascii="David" w:hAnsi="David"/>
          <w:color w:val="000000"/>
          <w:sz w:val="22"/>
          <w:szCs w:val="22"/>
          <w:rtl/>
        </w:rPr>
      </w:pPr>
    </w:p>
    <w:p w14:paraId="1E8498EA" w14:textId="77777777" w:rsidR="00554FF4" w:rsidRPr="00554FF4" w:rsidRDefault="00554FF4" w:rsidP="00554FF4">
      <w:pPr>
        <w:keepNext/>
        <w:rPr>
          <w:rFonts w:ascii="David" w:hAnsi="David"/>
          <w:color w:val="000000"/>
          <w:sz w:val="22"/>
          <w:szCs w:val="22"/>
          <w:rtl/>
        </w:rPr>
      </w:pPr>
      <w:r w:rsidRPr="00554FF4">
        <w:rPr>
          <w:rFonts w:ascii="David" w:hAnsi="David"/>
          <w:color w:val="000000"/>
          <w:sz w:val="22"/>
          <w:szCs w:val="22"/>
          <w:rtl/>
        </w:rPr>
        <w:t>אריה דורני דורון 54678313-/</w:t>
      </w:r>
    </w:p>
    <w:p w14:paraId="5FEB0F84" w14:textId="77777777" w:rsidR="00C02D67" w:rsidRPr="00C02D67" w:rsidRDefault="00554FF4" w:rsidP="00554FF4">
      <w:pPr>
        <w:rPr>
          <w:color w:val="0000FF"/>
          <w:u w:val="single"/>
        </w:rPr>
      </w:pPr>
      <w:r w:rsidRPr="00554FF4">
        <w:rPr>
          <w:color w:val="000000"/>
          <w:u w:val="single"/>
          <w:rtl/>
        </w:rPr>
        <w:t>נוסח מסמך זה כפוף לשינויי ניסוח ועריכה</w:t>
      </w:r>
    </w:p>
    <w:sectPr w:rsidR="00C02D67" w:rsidRPr="00C02D67" w:rsidSect="00554FF4">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FF789" w14:textId="77777777" w:rsidR="00A67FC3" w:rsidRDefault="00A67FC3" w:rsidP="00302E58">
      <w:r>
        <w:separator/>
      </w:r>
    </w:p>
  </w:endnote>
  <w:endnote w:type="continuationSeparator" w:id="0">
    <w:p w14:paraId="6EB6E926" w14:textId="77777777" w:rsidR="00A67FC3" w:rsidRDefault="00A67FC3" w:rsidP="00302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D6BC3" w14:textId="77777777" w:rsidR="00554FF4" w:rsidRDefault="00554FF4" w:rsidP="00554F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7C06F5" w14:textId="77777777" w:rsidR="00026978" w:rsidRPr="00554FF4" w:rsidRDefault="00554FF4" w:rsidP="00554FF4">
    <w:pPr>
      <w:pStyle w:val="a5"/>
      <w:pBdr>
        <w:top w:val="single" w:sz="4" w:space="1" w:color="auto"/>
        <w:between w:val="single" w:sz="4" w:space="0" w:color="auto"/>
      </w:pBdr>
      <w:spacing w:after="60"/>
      <w:jc w:val="center"/>
      <w:rPr>
        <w:rFonts w:ascii="FrankRuehl" w:hAnsi="FrankRuehl" w:cs="FrankRuehl"/>
        <w:color w:val="000000"/>
      </w:rPr>
    </w:pPr>
    <w:r w:rsidRPr="00554F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23D71" w14:textId="77777777" w:rsidR="00554FF4" w:rsidRDefault="00554FF4" w:rsidP="00554F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61E3">
      <w:rPr>
        <w:rFonts w:ascii="FrankRuehl" w:hAnsi="FrankRuehl" w:cs="FrankRuehl"/>
        <w:noProof/>
        <w:rtl/>
      </w:rPr>
      <w:t>1</w:t>
    </w:r>
    <w:r>
      <w:rPr>
        <w:rFonts w:ascii="FrankRuehl" w:hAnsi="FrankRuehl" w:cs="FrankRuehl"/>
        <w:rtl/>
      </w:rPr>
      <w:fldChar w:fldCharType="end"/>
    </w:r>
  </w:p>
  <w:p w14:paraId="6D7BDD95" w14:textId="77777777" w:rsidR="00026978" w:rsidRPr="00554FF4" w:rsidRDefault="00554FF4" w:rsidP="00554FF4">
    <w:pPr>
      <w:pStyle w:val="a5"/>
      <w:pBdr>
        <w:top w:val="single" w:sz="4" w:space="1" w:color="auto"/>
        <w:between w:val="single" w:sz="4" w:space="0" w:color="auto"/>
      </w:pBdr>
      <w:spacing w:after="60"/>
      <w:jc w:val="center"/>
      <w:rPr>
        <w:rFonts w:ascii="FrankRuehl" w:hAnsi="FrankRuehl" w:cs="FrankRuehl"/>
        <w:color w:val="000000"/>
      </w:rPr>
    </w:pPr>
    <w:r w:rsidRPr="00554FF4">
      <w:rPr>
        <w:rFonts w:ascii="FrankRuehl" w:hAnsi="FrankRuehl" w:cs="FrankRuehl"/>
        <w:color w:val="000000"/>
      </w:rPr>
      <w:pict w14:anchorId="5FB90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D6676" w14:textId="77777777" w:rsidR="00A67FC3" w:rsidRDefault="00A67FC3" w:rsidP="00302E58">
      <w:r>
        <w:separator/>
      </w:r>
    </w:p>
  </w:footnote>
  <w:footnote w:type="continuationSeparator" w:id="0">
    <w:p w14:paraId="7BD803A7" w14:textId="77777777" w:rsidR="00A67FC3" w:rsidRDefault="00A67FC3" w:rsidP="00302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7F7AF" w14:textId="77777777" w:rsidR="00C02D67" w:rsidRPr="00554FF4" w:rsidRDefault="00554FF4" w:rsidP="00554F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55335-12-21</w:t>
    </w:r>
    <w:r>
      <w:rPr>
        <w:rFonts w:ascii="David" w:hAnsi="David"/>
        <w:color w:val="000000"/>
        <w:sz w:val="22"/>
        <w:szCs w:val="22"/>
        <w:rtl/>
      </w:rPr>
      <w:tab/>
      <w:t xml:space="preserve"> מדינת ישראל נ' אחמד אבו עראר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0330D" w14:textId="77777777" w:rsidR="00C02D67" w:rsidRPr="00554FF4" w:rsidRDefault="00554FF4" w:rsidP="00554F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55335-12-21</w:t>
    </w:r>
    <w:r>
      <w:rPr>
        <w:rFonts w:ascii="David" w:hAnsi="David"/>
        <w:color w:val="000000"/>
        <w:sz w:val="22"/>
        <w:szCs w:val="22"/>
        <w:rtl/>
      </w:rPr>
      <w:tab/>
      <w:t xml:space="preserve"> מדינת ישראל נ' אחמד אבו עראר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4679"/>
    <w:multiLevelType w:val="hybridMultilevel"/>
    <w:tmpl w:val="CDF86218"/>
    <w:lvl w:ilvl="0" w:tplc="F9164AA6">
      <w:start w:val="1"/>
      <w:numFmt w:val="hebrew1"/>
      <w:lvlText w:val="%1."/>
      <w:lvlJc w:val="left"/>
      <w:pPr>
        <w:ind w:left="360" w:hanging="360"/>
      </w:pPr>
    </w:lvl>
    <w:lvl w:ilvl="1" w:tplc="35C66352">
      <w:start w:val="1"/>
      <w:numFmt w:val="lowerLetter"/>
      <w:lvlText w:val="%2."/>
      <w:lvlJc w:val="left"/>
      <w:pPr>
        <w:ind w:left="1800" w:hanging="360"/>
      </w:pPr>
    </w:lvl>
    <w:lvl w:ilvl="2" w:tplc="9B34AC78">
      <w:start w:val="1"/>
      <w:numFmt w:val="lowerRoman"/>
      <w:lvlText w:val="%3."/>
      <w:lvlJc w:val="right"/>
      <w:pPr>
        <w:ind w:left="2520" w:hanging="180"/>
      </w:pPr>
    </w:lvl>
    <w:lvl w:ilvl="3" w:tplc="EF60FE04">
      <w:start w:val="1"/>
      <w:numFmt w:val="decimal"/>
      <w:lvlText w:val="%4."/>
      <w:lvlJc w:val="left"/>
      <w:pPr>
        <w:ind w:left="3240" w:hanging="360"/>
      </w:pPr>
    </w:lvl>
    <w:lvl w:ilvl="4" w:tplc="7FCC5052">
      <w:start w:val="1"/>
      <w:numFmt w:val="lowerLetter"/>
      <w:lvlText w:val="%5."/>
      <w:lvlJc w:val="left"/>
      <w:pPr>
        <w:ind w:left="3960" w:hanging="360"/>
      </w:pPr>
    </w:lvl>
    <w:lvl w:ilvl="5" w:tplc="B86A59B2">
      <w:start w:val="1"/>
      <w:numFmt w:val="lowerRoman"/>
      <w:lvlText w:val="%6."/>
      <w:lvlJc w:val="right"/>
      <w:pPr>
        <w:ind w:left="4680" w:hanging="180"/>
      </w:pPr>
    </w:lvl>
    <w:lvl w:ilvl="6" w:tplc="6890FDF8">
      <w:start w:val="1"/>
      <w:numFmt w:val="decimal"/>
      <w:lvlText w:val="%7."/>
      <w:lvlJc w:val="left"/>
      <w:pPr>
        <w:ind w:left="5400" w:hanging="360"/>
      </w:pPr>
    </w:lvl>
    <w:lvl w:ilvl="7" w:tplc="BC629124">
      <w:start w:val="1"/>
      <w:numFmt w:val="lowerLetter"/>
      <w:lvlText w:val="%8."/>
      <w:lvlJc w:val="left"/>
      <w:pPr>
        <w:ind w:left="6120" w:hanging="360"/>
      </w:pPr>
    </w:lvl>
    <w:lvl w:ilvl="8" w:tplc="962A2D5E">
      <w:start w:val="1"/>
      <w:numFmt w:val="lowerRoman"/>
      <w:lvlText w:val="%9."/>
      <w:lvlJc w:val="right"/>
      <w:pPr>
        <w:ind w:left="6840" w:hanging="180"/>
      </w:pPr>
    </w:lvl>
  </w:abstractNum>
  <w:abstractNum w:abstractNumId="1" w15:restartNumberingAfterBreak="0">
    <w:nsid w:val="47DD3BD9"/>
    <w:multiLevelType w:val="hybridMultilevel"/>
    <w:tmpl w:val="47388F5E"/>
    <w:lvl w:ilvl="0" w:tplc="B198A6BE">
      <w:start w:val="1"/>
      <w:numFmt w:val="hebrew1"/>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7F56DA5"/>
    <w:multiLevelType w:val="hybridMultilevel"/>
    <w:tmpl w:val="B1ACBFC2"/>
    <w:lvl w:ilvl="0" w:tplc="1EF4DBB4">
      <w:start w:val="1"/>
      <w:numFmt w:val="decimal"/>
      <w:lvlText w:val="%1."/>
      <w:lvlJc w:val="left"/>
      <w:pPr>
        <w:ind w:left="786" w:hanging="360"/>
      </w:pPr>
      <w:rPr>
        <w:rFonts w:cs="Times New Roman"/>
        <w:b w:val="0"/>
        <w:bCs w:val="0"/>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71297217"/>
    <w:multiLevelType w:val="hybridMultilevel"/>
    <w:tmpl w:val="F872DF1E"/>
    <w:lvl w:ilvl="0" w:tplc="B0FE7C3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20071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3331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91471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77675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7A8A"/>
    <w:rsid w:val="00026978"/>
    <w:rsid w:val="000826A0"/>
    <w:rsid w:val="00113185"/>
    <w:rsid w:val="00197A8A"/>
    <w:rsid w:val="001B5A3B"/>
    <w:rsid w:val="002D0B11"/>
    <w:rsid w:val="00302E58"/>
    <w:rsid w:val="00554FF4"/>
    <w:rsid w:val="005961E3"/>
    <w:rsid w:val="006C25D4"/>
    <w:rsid w:val="00702CD7"/>
    <w:rsid w:val="00A67FC3"/>
    <w:rsid w:val="00AA61C5"/>
    <w:rsid w:val="00BD59B8"/>
    <w:rsid w:val="00C02D67"/>
    <w:rsid w:val="00D450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C79161"/>
  <w15:chartTrackingRefBased/>
  <w15:docId w15:val="{F3BE16E0-4E23-4993-A084-CE8EB5D7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7A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7A8A"/>
    <w:pPr>
      <w:tabs>
        <w:tab w:val="center" w:pos="4153"/>
        <w:tab w:val="right" w:pos="8306"/>
      </w:tabs>
    </w:pPr>
  </w:style>
  <w:style w:type="character" w:customStyle="1" w:styleId="a4">
    <w:name w:val="כותרת עליונה תו"/>
    <w:link w:val="a3"/>
    <w:rsid w:val="00197A8A"/>
    <w:rPr>
      <w:rFonts w:ascii="Times New Roman" w:eastAsia="Times New Roman" w:hAnsi="Times New Roman" w:cs="David"/>
      <w:sz w:val="24"/>
      <w:szCs w:val="24"/>
    </w:rPr>
  </w:style>
  <w:style w:type="paragraph" w:styleId="a5">
    <w:name w:val="footer"/>
    <w:basedOn w:val="a"/>
    <w:link w:val="a6"/>
    <w:rsid w:val="00197A8A"/>
    <w:pPr>
      <w:tabs>
        <w:tab w:val="center" w:pos="4153"/>
        <w:tab w:val="right" w:pos="8306"/>
      </w:tabs>
    </w:pPr>
  </w:style>
  <w:style w:type="character" w:customStyle="1" w:styleId="a6">
    <w:name w:val="כותרת תחתונה תו"/>
    <w:link w:val="a5"/>
    <w:rsid w:val="00197A8A"/>
    <w:rPr>
      <w:rFonts w:ascii="Times New Roman" w:eastAsia="Times New Roman" w:hAnsi="Times New Roman" w:cs="David"/>
      <w:sz w:val="24"/>
      <w:szCs w:val="24"/>
    </w:rPr>
  </w:style>
  <w:style w:type="table" w:styleId="a7">
    <w:name w:val="Table Grid"/>
    <w:basedOn w:val="a1"/>
    <w:rsid w:val="00197A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97A8A"/>
  </w:style>
  <w:style w:type="character" w:styleId="Hyperlink">
    <w:name w:val="Hyperlink"/>
    <w:rsid w:val="00197A8A"/>
    <w:rPr>
      <w:rFonts w:ascii="Times New Roman" w:hAnsi="Times New Roman" w:cs="Times New Roman" w:hint="default"/>
      <w:color w:val="0000FF"/>
      <w:u w:val="single"/>
    </w:rPr>
  </w:style>
  <w:style w:type="character" w:customStyle="1" w:styleId="a9">
    <w:name w:val="פיסקת רשימה תו"/>
    <w:link w:val="aa"/>
    <w:locked/>
    <w:rsid w:val="00197A8A"/>
  </w:style>
  <w:style w:type="paragraph" w:styleId="aa">
    <w:name w:val="List Paragraph"/>
    <w:basedOn w:val="a"/>
    <w:link w:val="a9"/>
    <w:qFormat/>
    <w:rsid w:val="00197A8A"/>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2265/1" TargetMode="External"/><Relationship Id="rId26" Type="http://schemas.openxmlformats.org/officeDocument/2006/relationships/hyperlink" Target="http://www.nevo.co.il/case/18841309" TargetMode="External"/><Relationship Id="rId39" Type="http://schemas.openxmlformats.org/officeDocument/2006/relationships/hyperlink" Target="http://www.nevo.co.il/case/26969325" TargetMode="External"/><Relationship Id="rId21" Type="http://schemas.openxmlformats.org/officeDocument/2006/relationships/hyperlink" Target="http://www.nevo.co.il/case/5576587" TargetMode="External"/><Relationship Id="rId34" Type="http://schemas.openxmlformats.org/officeDocument/2006/relationships/hyperlink" Target="http://www.nevo.co.il/case/27970654" TargetMode="External"/><Relationship Id="rId42" Type="http://schemas.openxmlformats.org/officeDocument/2006/relationships/hyperlink" Target="http://www.nevo.co.il/law/7030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8655932" TargetMode="External"/><Relationship Id="rId29" Type="http://schemas.openxmlformats.org/officeDocument/2006/relationships/hyperlink" Target="http://www.nevo.co.il/case/27278398" TargetMode="External"/><Relationship Id="rId11" Type="http://schemas.openxmlformats.org/officeDocument/2006/relationships/hyperlink" Target="http://www.nevo.co.il/law/72265/1" TargetMode="External"/><Relationship Id="rId24" Type="http://schemas.openxmlformats.org/officeDocument/2006/relationships/hyperlink" Target="http://www.nevo.co.il/case/5988308" TargetMode="External"/><Relationship Id="rId32" Type="http://schemas.openxmlformats.org/officeDocument/2006/relationships/hyperlink" Target="http://www.nevo.co.il/case/25483510" TargetMode="External"/><Relationship Id="rId37" Type="http://schemas.openxmlformats.org/officeDocument/2006/relationships/hyperlink" Target="http://www.nevo.co.il/case/25263374" TargetMode="External"/><Relationship Id="rId40" Type="http://schemas.openxmlformats.org/officeDocument/2006/relationships/hyperlink" Target="http://www.nevo.co.il/law/421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580841" TargetMode="External"/><Relationship Id="rId28" Type="http://schemas.openxmlformats.org/officeDocument/2006/relationships/hyperlink" Target="http://www.nevo.co.il/case/25304212" TargetMode="External"/><Relationship Id="rId36" Type="http://schemas.openxmlformats.org/officeDocument/2006/relationships/hyperlink" Target="http://www.nevo.co.il/case/2243198" TargetMode="External"/><Relationship Id="rId49" Type="http://schemas.openxmlformats.org/officeDocument/2006/relationships/fontTable" Target="fontTable.xml"/><Relationship Id="rId10" Type="http://schemas.openxmlformats.org/officeDocument/2006/relationships/hyperlink" Target="http://www.nevo.co.il/law/72265" TargetMode="External"/><Relationship Id="rId19" Type="http://schemas.openxmlformats.org/officeDocument/2006/relationships/hyperlink" Target="http://www.nevo.co.il/law/72265" TargetMode="External"/><Relationship Id="rId31" Type="http://schemas.openxmlformats.org/officeDocument/2006/relationships/hyperlink" Target="http://www.nevo.co.il/case/23751050"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1017469" TargetMode="External"/><Relationship Id="rId30" Type="http://schemas.openxmlformats.org/officeDocument/2006/relationships/hyperlink" Target="http://www.nevo.co.il/case/28190928" TargetMode="External"/><Relationship Id="rId35" Type="http://schemas.openxmlformats.org/officeDocument/2006/relationships/hyperlink" Target="http://www.nevo.co.il/case/26017905"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2265/17" TargetMode="External"/><Relationship Id="rId17" Type="http://schemas.openxmlformats.org/officeDocument/2006/relationships/hyperlink" Target="http://www.nevo.co.il/law/72265/17" TargetMode="External"/><Relationship Id="rId25" Type="http://schemas.openxmlformats.org/officeDocument/2006/relationships/hyperlink" Target="http://www.nevo.co.il/case/5787128" TargetMode="External"/><Relationship Id="rId33" Type="http://schemas.openxmlformats.org/officeDocument/2006/relationships/hyperlink" Target="http://www.nevo.co.il/case/21924102" TargetMode="External"/><Relationship Id="rId38" Type="http://schemas.openxmlformats.org/officeDocument/2006/relationships/hyperlink" Target="http://www.nevo.co.il/case/22856558" TargetMode="External"/><Relationship Id="rId46" Type="http://schemas.openxmlformats.org/officeDocument/2006/relationships/header" Target="header2.xml"/><Relationship Id="rId20" Type="http://schemas.openxmlformats.org/officeDocument/2006/relationships/hyperlink" Target="http://www.nevo.co.il/case/13093721"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3788</Words>
  <Characters>18943</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22686</CharactersWithSpaces>
  <SharedDoc>false</SharedDoc>
  <HLinks>
    <vt:vector size="228"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7995492</vt:i4>
      </vt:variant>
      <vt:variant>
        <vt:i4>108</vt:i4>
      </vt:variant>
      <vt:variant>
        <vt:i4>0</vt:i4>
      </vt:variant>
      <vt:variant>
        <vt:i4>5</vt:i4>
      </vt:variant>
      <vt:variant>
        <vt:lpwstr>http://www.nevo.co.il/law/70301</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3145847</vt:i4>
      </vt:variant>
      <vt:variant>
        <vt:i4>99</vt:i4>
      </vt:variant>
      <vt:variant>
        <vt:i4>0</vt:i4>
      </vt:variant>
      <vt:variant>
        <vt:i4>5</vt:i4>
      </vt:variant>
      <vt:variant>
        <vt:lpwstr>http://www.nevo.co.il/case/26969325</vt:lpwstr>
      </vt:variant>
      <vt:variant>
        <vt:lpwstr/>
      </vt:variant>
      <vt:variant>
        <vt:i4>3735670</vt:i4>
      </vt:variant>
      <vt:variant>
        <vt:i4>96</vt:i4>
      </vt:variant>
      <vt:variant>
        <vt:i4>0</vt:i4>
      </vt:variant>
      <vt:variant>
        <vt:i4>5</vt:i4>
      </vt:variant>
      <vt:variant>
        <vt:lpwstr>http://www.nevo.co.il/case/22856558</vt:lpwstr>
      </vt:variant>
      <vt:variant>
        <vt:lpwstr/>
      </vt:variant>
      <vt:variant>
        <vt:i4>3407988</vt:i4>
      </vt:variant>
      <vt:variant>
        <vt:i4>93</vt:i4>
      </vt:variant>
      <vt:variant>
        <vt:i4>0</vt:i4>
      </vt:variant>
      <vt:variant>
        <vt:i4>5</vt:i4>
      </vt:variant>
      <vt:variant>
        <vt:lpwstr>http://www.nevo.co.il/case/25263374</vt:lpwstr>
      </vt:variant>
      <vt:variant>
        <vt:lpwstr/>
      </vt:variant>
      <vt:variant>
        <vt:i4>4128892</vt:i4>
      </vt:variant>
      <vt:variant>
        <vt:i4>90</vt:i4>
      </vt:variant>
      <vt:variant>
        <vt:i4>0</vt:i4>
      </vt:variant>
      <vt:variant>
        <vt:i4>5</vt:i4>
      </vt:variant>
      <vt:variant>
        <vt:lpwstr>http://www.nevo.co.il/case/2243198</vt:lpwstr>
      </vt:variant>
      <vt:variant>
        <vt:lpwstr/>
      </vt:variant>
      <vt:variant>
        <vt:i4>3473530</vt:i4>
      </vt:variant>
      <vt:variant>
        <vt:i4>87</vt:i4>
      </vt:variant>
      <vt:variant>
        <vt:i4>0</vt:i4>
      </vt:variant>
      <vt:variant>
        <vt:i4>5</vt:i4>
      </vt:variant>
      <vt:variant>
        <vt:lpwstr>http://www.nevo.co.il/case/26017905</vt:lpwstr>
      </vt:variant>
      <vt:variant>
        <vt:lpwstr/>
      </vt:variant>
      <vt:variant>
        <vt:i4>4063346</vt:i4>
      </vt:variant>
      <vt:variant>
        <vt:i4>84</vt:i4>
      </vt:variant>
      <vt:variant>
        <vt:i4>0</vt:i4>
      </vt:variant>
      <vt:variant>
        <vt:i4>5</vt:i4>
      </vt:variant>
      <vt:variant>
        <vt:lpwstr>http://www.nevo.co.il/case/27970654</vt:lpwstr>
      </vt:variant>
      <vt:variant>
        <vt:lpwstr/>
      </vt:variant>
      <vt:variant>
        <vt:i4>4128886</vt:i4>
      </vt:variant>
      <vt:variant>
        <vt:i4>81</vt:i4>
      </vt:variant>
      <vt:variant>
        <vt:i4>0</vt:i4>
      </vt:variant>
      <vt:variant>
        <vt:i4>5</vt:i4>
      </vt:variant>
      <vt:variant>
        <vt:lpwstr>http://www.nevo.co.il/case/21924102</vt:lpwstr>
      </vt:variant>
      <vt:variant>
        <vt:lpwstr/>
      </vt:variant>
      <vt:variant>
        <vt:i4>3407996</vt:i4>
      </vt:variant>
      <vt:variant>
        <vt:i4>78</vt:i4>
      </vt:variant>
      <vt:variant>
        <vt:i4>0</vt:i4>
      </vt:variant>
      <vt:variant>
        <vt:i4>5</vt:i4>
      </vt:variant>
      <vt:variant>
        <vt:lpwstr>http://www.nevo.co.il/case/25483510</vt:lpwstr>
      </vt:variant>
      <vt:variant>
        <vt:lpwstr/>
      </vt:variant>
      <vt:variant>
        <vt:i4>3211378</vt:i4>
      </vt:variant>
      <vt:variant>
        <vt:i4>75</vt:i4>
      </vt:variant>
      <vt:variant>
        <vt:i4>0</vt:i4>
      </vt:variant>
      <vt:variant>
        <vt:i4>5</vt:i4>
      </vt:variant>
      <vt:variant>
        <vt:lpwstr>http://www.nevo.co.il/case/23751050</vt:lpwstr>
      </vt:variant>
      <vt:variant>
        <vt:lpwstr/>
      </vt:variant>
      <vt:variant>
        <vt:i4>3211388</vt:i4>
      </vt:variant>
      <vt:variant>
        <vt:i4>72</vt:i4>
      </vt:variant>
      <vt:variant>
        <vt:i4>0</vt:i4>
      </vt:variant>
      <vt:variant>
        <vt:i4>5</vt:i4>
      </vt:variant>
      <vt:variant>
        <vt:lpwstr>http://www.nevo.co.il/case/28190928</vt:lpwstr>
      </vt:variant>
      <vt:variant>
        <vt:lpwstr/>
      </vt:variant>
      <vt:variant>
        <vt:i4>3211383</vt:i4>
      </vt:variant>
      <vt:variant>
        <vt:i4>69</vt:i4>
      </vt:variant>
      <vt:variant>
        <vt:i4>0</vt:i4>
      </vt:variant>
      <vt:variant>
        <vt:i4>5</vt:i4>
      </vt:variant>
      <vt:variant>
        <vt:lpwstr>http://www.nevo.co.il/case/27278398</vt:lpwstr>
      </vt:variant>
      <vt:variant>
        <vt:lpwstr/>
      </vt:variant>
      <vt:variant>
        <vt:i4>3407987</vt:i4>
      </vt:variant>
      <vt:variant>
        <vt:i4>66</vt:i4>
      </vt:variant>
      <vt:variant>
        <vt:i4>0</vt:i4>
      </vt:variant>
      <vt:variant>
        <vt:i4>5</vt:i4>
      </vt:variant>
      <vt:variant>
        <vt:lpwstr>http://www.nevo.co.il/case/25304212</vt:lpwstr>
      </vt:variant>
      <vt:variant>
        <vt:lpwstr/>
      </vt:variant>
      <vt:variant>
        <vt:i4>3342448</vt:i4>
      </vt:variant>
      <vt:variant>
        <vt:i4>60</vt:i4>
      </vt:variant>
      <vt:variant>
        <vt:i4>0</vt:i4>
      </vt:variant>
      <vt:variant>
        <vt:i4>5</vt:i4>
      </vt:variant>
      <vt:variant>
        <vt:lpwstr>http://www.nevo.co.il/case/21017469</vt:lpwstr>
      </vt:variant>
      <vt:variant>
        <vt:lpwstr/>
      </vt:variant>
      <vt:variant>
        <vt:i4>3670139</vt:i4>
      </vt:variant>
      <vt:variant>
        <vt:i4>57</vt:i4>
      </vt:variant>
      <vt:variant>
        <vt:i4>0</vt:i4>
      </vt:variant>
      <vt:variant>
        <vt:i4>5</vt:i4>
      </vt:variant>
      <vt:variant>
        <vt:lpwstr>http://www.nevo.co.il/case/18841309</vt:lpwstr>
      </vt:variant>
      <vt:variant>
        <vt:lpwstr/>
      </vt:variant>
      <vt:variant>
        <vt:i4>3407990</vt:i4>
      </vt:variant>
      <vt:variant>
        <vt:i4>54</vt:i4>
      </vt:variant>
      <vt:variant>
        <vt:i4>0</vt:i4>
      </vt:variant>
      <vt:variant>
        <vt:i4>5</vt:i4>
      </vt:variant>
      <vt:variant>
        <vt:lpwstr>http://www.nevo.co.il/case/5787128</vt:lpwstr>
      </vt:variant>
      <vt:variant>
        <vt:lpwstr/>
      </vt:variant>
      <vt:variant>
        <vt:i4>3539061</vt:i4>
      </vt:variant>
      <vt:variant>
        <vt:i4>51</vt:i4>
      </vt:variant>
      <vt:variant>
        <vt:i4>0</vt:i4>
      </vt:variant>
      <vt:variant>
        <vt:i4>5</vt:i4>
      </vt:variant>
      <vt:variant>
        <vt:lpwstr>http://www.nevo.co.il/case/5988308</vt:lpwstr>
      </vt:variant>
      <vt:variant>
        <vt:lpwstr/>
      </vt:variant>
      <vt:variant>
        <vt:i4>3407989</vt:i4>
      </vt:variant>
      <vt:variant>
        <vt:i4>48</vt:i4>
      </vt:variant>
      <vt:variant>
        <vt:i4>0</vt:i4>
      </vt:variant>
      <vt:variant>
        <vt:i4>5</vt:i4>
      </vt:variant>
      <vt:variant>
        <vt:lpwstr>http://www.nevo.co.il/case/5580841</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3145855</vt:i4>
      </vt:variant>
      <vt:variant>
        <vt:i4>42</vt:i4>
      </vt:variant>
      <vt:variant>
        <vt:i4>0</vt:i4>
      </vt:variant>
      <vt:variant>
        <vt:i4>5</vt:i4>
      </vt:variant>
      <vt:variant>
        <vt:lpwstr>http://www.nevo.co.il/case/5576587</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8257637</vt:i4>
      </vt:variant>
      <vt:variant>
        <vt:i4>36</vt:i4>
      </vt:variant>
      <vt:variant>
        <vt:i4>0</vt:i4>
      </vt:variant>
      <vt:variant>
        <vt:i4>5</vt:i4>
      </vt:variant>
      <vt:variant>
        <vt:lpwstr>http://www.nevo.co.il/law/72265</vt:lpwstr>
      </vt:variant>
      <vt:variant>
        <vt:lpwstr/>
      </vt:variant>
      <vt:variant>
        <vt:i4>5308496</vt:i4>
      </vt:variant>
      <vt:variant>
        <vt:i4>33</vt:i4>
      </vt:variant>
      <vt:variant>
        <vt:i4>0</vt:i4>
      </vt:variant>
      <vt:variant>
        <vt:i4>5</vt:i4>
      </vt:variant>
      <vt:variant>
        <vt:lpwstr>http://www.nevo.co.il/law/72265/1</vt:lpwstr>
      </vt:variant>
      <vt:variant>
        <vt:lpwstr/>
      </vt:variant>
      <vt:variant>
        <vt:i4>6684769</vt:i4>
      </vt:variant>
      <vt:variant>
        <vt:i4>30</vt:i4>
      </vt:variant>
      <vt:variant>
        <vt:i4>0</vt:i4>
      </vt:variant>
      <vt:variant>
        <vt:i4>5</vt:i4>
      </vt:variant>
      <vt:variant>
        <vt:lpwstr>http://www.nevo.co.il/law/72265/17</vt:lpwstr>
      </vt:variant>
      <vt:variant>
        <vt:lpwstr/>
      </vt:variant>
      <vt:variant>
        <vt:i4>3276912</vt:i4>
      </vt:variant>
      <vt:variant>
        <vt:i4>27</vt:i4>
      </vt:variant>
      <vt:variant>
        <vt:i4>0</vt:i4>
      </vt:variant>
      <vt:variant>
        <vt:i4>5</vt:i4>
      </vt:variant>
      <vt:variant>
        <vt:lpwstr>http://www.nevo.co.il/case/28655932</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6684769</vt:i4>
      </vt:variant>
      <vt:variant>
        <vt:i4>15</vt:i4>
      </vt:variant>
      <vt:variant>
        <vt:i4>0</vt:i4>
      </vt:variant>
      <vt:variant>
        <vt:i4>5</vt:i4>
      </vt:variant>
      <vt:variant>
        <vt:lpwstr>http://www.nevo.co.il/law/72265/17</vt:lpwstr>
      </vt:variant>
      <vt:variant>
        <vt:lpwstr/>
      </vt:variant>
      <vt:variant>
        <vt:i4>5308496</vt:i4>
      </vt:variant>
      <vt:variant>
        <vt:i4>12</vt:i4>
      </vt:variant>
      <vt:variant>
        <vt:i4>0</vt:i4>
      </vt:variant>
      <vt:variant>
        <vt:i4>5</vt:i4>
      </vt:variant>
      <vt:variant>
        <vt:lpwstr>http://www.nevo.co.il/law/72265/1</vt:lpwstr>
      </vt:variant>
      <vt:variant>
        <vt:lpwstr/>
      </vt:variant>
      <vt:variant>
        <vt:i4>8257637</vt:i4>
      </vt:variant>
      <vt:variant>
        <vt:i4>9</vt:i4>
      </vt:variant>
      <vt:variant>
        <vt:i4>0</vt:i4>
      </vt:variant>
      <vt:variant>
        <vt:i4>5</vt:i4>
      </vt:variant>
      <vt:variant>
        <vt:lpwstr>http://www.nevo.co.il/law/72265</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2025-04-23T01:19:00Z</dcterms:created>
  <dcterms:modified xsi:type="dcterms:W3CDTF">2025-04-23T01:19:00Z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55335;2296</vt:lpwstr>
  </property>
  <property fmtid="{D5CDD505-2E9C-101B-9397-08002B2CF9AE}" pid="6" name="NEWPARTB">
    <vt:lpwstr>12;06</vt:lpwstr>
  </property>
  <property fmtid="{D5CDD505-2E9C-101B-9397-08002B2CF9AE}" pid="7" name="NEWPARTC">
    <vt:lpwstr>21;22</vt:lpwstr>
  </property>
  <property fmtid="{D5CDD505-2E9C-101B-9397-08002B2CF9AE}" pid="8" name="APPELLANT">
    <vt:lpwstr>מדינת ישראל</vt:lpwstr>
  </property>
  <property fmtid="{D5CDD505-2E9C-101B-9397-08002B2CF9AE}" pid="9" name="APPELLEE">
    <vt:lpwstr>אחמד אבו עראר</vt:lpwstr>
  </property>
  <property fmtid="{D5CDD505-2E9C-101B-9397-08002B2CF9AE}" pid="10" name="LAWYER">
    <vt:lpwstr>בני זיתונה</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20240129</vt:lpwstr>
  </property>
  <property fmtid="{D5CDD505-2E9C-101B-9397-08002B2CF9AE}" pid="14" name="TYPE_N_DATE">
    <vt:lpwstr>38020240129</vt:lpwstr>
  </property>
  <property fmtid="{D5CDD505-2E9C-101B-9397-08002B2CF9AE}" pid="15" name="WORDNUMPAGES">
    <vt:lpwstr>13</vt:lpwstr>
  </property>
  <property fmtid="{D5CDD505-2E9C-101B-9397-08002B2CF9AE}" pid="16" name="TYPE_ABS_DATE">
    <vt:lpwstr>380020240129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28655932;13093721;5576587;5738608;5580841;5988308;5787128;18841309;21017469;25304212;27278398;28190928;23751050;25483510;21924102;27970654;26017905;2243198;25263374;22856558;26969325</vt:lpwstr>
  </property>
  <property fmtid="{D5CDD505-2E9C-101B-9397-08002B2CF9AE}" pid="36" name="LAWLISTTMP1">
    <vt:lpwstr>4216/007.a;007.c</vt:lpwstr>
  </property>
  <property fmtid="{D5CDD505-2E9C-101B-9397-08002B2CF9AE}" pid="37" name="LAWLISTTMP2">
    <vt:lpwstr>72265/017;001</vt:lpwstr>
  </property>
  <property fmtid="{D5CDD505-2E9C-101B-9397-08002B2CF9AE}" pid="38" name="LAWLISTTMP3">
    <vt:lpwstr>70301</vt:lpwstr>
  </property>
</Properties>
</file>