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45B9D" w:rsidRPr="006228F7" w14:paraId="13ED2A2B" w14:textId="77777777" w:rsidTr="00C16969">
        <w:trPr>
          <w:gridAfter w:val="1"/>
          <w:wAfter w:w="99" w:type="dxa"/>
          <w:trHeight w:hRule="exact" w:val="418"/>
          <w:jc w:val="center"/>
        </w:trPr>
        <w:tc>
          <w:tcPr>
            <w:tcW w:w="8721" w:type="dxa"/>
            <w:gridSpan w:val="4"/>
          </w:tcPr>
          <w:p w14:paraId="5BD84C1F" w14:textId="77777777" w:rsidR="00945B9D" w:rsidRPr="006228F7" w:rsidRDefault="00945B9D" w:rsidP="00585DE7">
            <w:pPr>
              <w:pStyle w:val="a3"/>
              <w:jc w:val="center"/>
              <w:rPr>
                <w:rFonts w:ascii="Tahoma" w:hAnsi="Tahoma" w:cs="Tahoma"/>
                <w:color w:val="000080"/>
                <w:rtl/>
              </w:rPr>
            </w:pPr>
            <w:bookmarkStart w:id="0" w:name="LastJudge"/>
            <w:r w:rsidRPr="006228F7">
              <w:rPr>
                <w:rFonts w:ascii="Tahoma" w:hAnsi="Tahoma" w:cs="Tahoma"/>
                <w:b/>
                <w:bCs/>
                <w:color w:val="000080"/>
                <w:rtl/>
              </w:rPr>
              <w:t>בית משפט השלום בירושלים</w:t>
            </w:r>
          </w:p>
        </w:tc>
      </w:tr>
      <w:tr w:rsidR="00945B9D" w:rsidRPr="006228F7" w14:paraId="53DC2C57" w14:textId="77777777" w:rsidTr="00C16969">
        <w:trPr>
          <w:gridAfter w:val="1"/>
          <w:wAfter w:w="99" w:type="dxa"/>
          <w:trHeight w:val="337"/>
          <w:jc w:val="center"/>
        </w:trPr>
        <w:tc>
          <w:tcPr>
            <w:tcW w:w="5054" w:type="dxa"/>
            <w:gridSpan w:val="3"/>
          </w:tcPr>
          <w:p w14:paraId="0C776321" w14:textId="77777777" w:rsidR="00945B9D" w:rsidRPr="006228F7" w:rsidRDefault="00945B9D" w:rsidP="00585DE7">
            <w:pPr>
              <w:rPr>
                <w:rFonts w:cs="FrankRuehl"/>
                <w:sz w:val="28"/>
                <w:szCs w:val="28"/>
                <w:rtl/>
              </w:rPr>
            </w:pPr>
            <w:r w:rsidRPr="006228F7">
              <w:rPr>
                <w:rFonts w:cs="FrankRuehl"/>
                <w:sz w:val="28"/>
                <w:szCs w:val="28"/>
                <w:rtl/>
              </w:rPr>
              <w:t>ת"פ</w:t>
            </w:r>
            <w:r w:rsidRPr="006228F7">
              <w:rPr>
                <w:rFonts w:cs="FrankRuehl" w:hint="cs"/>
                <w:sz w:val="28"/>
                <w:szCs w:val="28"/>
                <w:rtl/>
              </w:rPr>
              <w:t xml:space="preserve"> </w:t>
            </w:r>
            <w:r w:rsidRPr="006228F7">
              <w:rPr>
                <w:rFonts w:cs="FrankRuehl"/>
                <w:sz w:val="28"/>
                <w:szCs w:val="28"/>
                <w:rtl/>
              </w:rPr>
              <w:t>9111-12-21</w:t>
            </w:r>
            <w:r w:rsidRPr="006228F7">
              <w:rPr>
                <w:rFonts w:cs="FrankRuehl" w:hint="cs"/>
                <w:sz w:val="28"/>
                <w:szCs w:val="28"/>
                <w:rtl/>
              </w:rPr>
              <w:t xml:space="preserve"> </w:t>
            </w:r>
            <w:r w:rsidRPr="006228F7">
              <w:rPr>
                <w:rFonts w:cs="FrankRuehl"/>
                <w:sz w:val="28"/>
                <w:szCs w:val="28"/>
                <w:rtl/>
              </w:rPr>
              <w:t>מדינת ישראל נ' זדה</w:t>
            </w:r>
          </w:p>
          <w:p w14:paraId="5B22A29B" w14:textId="77777777" w:rsidR="00945B9D" w:rsidRPr="006228F7" w:rsidRDefault="00945B9D" w:rsidP="00585DE7">
            <w:pPr>
              <w:pStyle w:val="a3"/>
              <w:rPr>
                <w:rFonts w:cs="FrankRuehl"/>
                <w:sz w:val="28"/>
                <w:szCs w:val="28"/>
                <w:rtl/>
              </w:rPr>
            </w:pPr>
          </w:p>
        </w:tc>
        <w:tc>
          <w:tcPr>
            <w:tcW w:w="3667" w:type="dxa"/>
          </w:tcPr>
          <w:p w14:paraId="5AC5084C" w14:textId="77777777" w:rsidR="00945B9D" w:rsidRPr="006228F7" w:rsidRDefault="00945B9D" w:rsidP="00585DE7">
            <w:pPr>
              <w:pStyle w:val="a3"/>
              <w:jc w:val="right"/>
              <w:rPr>
                <w:rFonts w:cs="FrankRuehl"/>
                <w:sz w:val="28"/>
                <w:szCs w:val="28"/>
                <w:rtl/>
              </w:rPr>
            </w:pPr>
          </w:p>
        </w:tc>
      </w:tr>
      <w:tr w:rsidR="00945B9D" w:rsidRPr="006228F7" w14:paraId="57951FDC" w14:textId="77777777" w:rsidTr="00C169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09DF28D" w14:textId="77777777" w:rsidR="00945B9D" w:rsidRPr="006228F7" w:rsidRDefault="00945B9D" w:rsidP="00945B9D">
            <w:pPr>
              <w:spacing w:line="360" w:lineRule="auto"/>
              <w:jc w:val="both"/>
              <w:rPr>
                <w:rFonts w:ascii="David" w:hAnsi="David"/>
              </w:rPr>
            </w:pPr>
            <w:r w:rsidRPr="006228F7">
              <w:rPr>
                <w:rFonts w:hint="cs"/>
                <w:rtl/>
              </w:rPr>
              <w:t xml:space="preserve"> </w:t>
            </w:r>
            <w:r w:rsidRPr="006228F7">
              <w:rPr>
                <w:rFonts w:ascii="David" w:hAnsi="David"/>
                <w:rtl/>
              </w:rPr>
              <w:t xml:space="preserve">לפני </w:t>
            </w:r>
          </w:p>
        </w:tc>
        <w:tc>
          <w:tcPr>
            <w:tcW w:w="7897" w:type="dxa"/>
            <w:gridSpan w:val="4"/>
            <w:tcBorders>
              <w:top w:val="nil"/>
              <w:left w:val="nil"/>
              <w:bottom w:val="nil"/>
              <w:right w:val="nil"/>
            </w:tcBorders>
            <w:shd w:val="clear" w:color="auto" w:fill="auto"/>
          </w:tcPr>
          <w:p w14:paraId="066EE91D" w14:textId="77777777" w:rsidR="00945B9D" w:rsidRPr="006228F7" w:rsidRDefault="00945B9D" w:rsidP="00945B9D">
            <w:pPr>
              <w:spacing w:line="360" w:lineRule="auto"/>
              <w:rPr>
                <w:rFonts w:ascii="David" w:hAnsi="David"/>
                <w:b/>
                <w:bCs/>
                <w:rtl/>
              </w:rPr>
            </w:pPr>
            <w:r w:rsidRPr="006228F7">
              <w:rPr>
                <w:rFonts w:ascii="David" w:hAnsi="David"/>
                <w:b/>
                <w:bCs/>
                <w:rtl/>
              </w:rPr>
              <w:t>כבוד השופט  ארנון איתן</w:t>
            </w:r>
          </w:p>
          <w:p w14:paraId="67F1A180" w14:textId="77777777" w:rsidR="00945B9D" w:rsidRPr="006228F7" w:rsidRDefault="00945B9D" w:rsidP="00945B9D">
            <w:pPr>
              <w:spacing w:line="360" w:lineRule="auto"/>
              <w:rPr>
                <w:rFonts w:ascii="David" w:hAnsi="David"/>
                <w:rtl/>
              </w:rPr>
            </w:pPr>
          </w:p>
          <w:p w14:paraId="3BCD8C88" w14:textId="77777777" w:rsidR="00945B9D" w:rsidRPr="006228F7" w:rsidRDefault="00945B9D" w:rsidP="00945B9D">
            <w:pPr>
              <w:spacing w:line="360" w:lineRule="auto"/>
              <w:jc w:val="both"/>
              <w:rPr>
                <w:rFonts w:ascii="David" w:hAnsi="David"/>
              </w:rPr>
            </w:pPr>
          </w:p>
        </w:tc>
      </w:tr>
      <w:tr w:rsidR="00945B9D" w:rsidRPr="006228F7" w14:paraId="79E234BA" w14:textId="77777777" w:rsidTr="00C169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F42EB0" w14:textId="77777777" w:rsidR="00945B9D" w:rsidRPr="006228F7" w:rsidRDefault="00945B9D" w:rsidP="00945B9D">
            <w:pPr>
              <w:spacing w:line="360" w:lineRule="auto"/>
              <w:jc w:val="both"/>
              <w:rPr>
                <w:rFonts w:ascii="David" w:hAnsi="David"/>
              </w:rPr>
            </w:pPr>
            <w:bookmarkStart w:id="1" w:name="FirstAppellant"/>
            <w:r w:rsidRPr="006228F7">
              <w:rPr>
                <w:rFonts w:ascii="David" w:hAnsi="David"/>
                <w:rtl/>
              </w:rPr>
              <w:t>בעניין:</w:t>
            </w:r>
          </w:p>
        </w:tc>
        <w:tc>
          <w:tcPr>
            <w:tcW w:w="3219" w:type="dxa"/>
            <w:tcBorders>
              <w:top w:val="nil"/>
              <w:left w:val="nil"/>
              <w:bottom w:val="nil"/>
              <w:right w:val="nil"/>
            </w:tcBorders>
            <w:shd w:val="clear" w:color="auto" w:fill="auto"/>
          </w:tcPr>
          <w:p w14:paraId="48AFE1C4" w14:textId="77777777" w:rsidR="00945B9D" w:rsidRPr="006228F7" w:rsidRDefault="00945B9D" w:rsidP="00945B9D">
            <w:pPr>
              <w:suppressLineNumbers/>
              <w:spacing w:line="360" w:lineRule="auto"/>
              <w:rPr>
                <w:rFonts w:ascii="David" w:hAnsi="David"/>
              </w:rPr>
            </w:pPr>
            <w:r w:rsidRPr="006228F7">
              <w:rPr>
                <w:rFonts w:ascii="David" w:hAnsi="David"/>
                <w:b/>
                <w:bCs/>
                <w:rtl/>
              </w:rPr>
              <w:t>המאשימה</w:t>
            </w:r>
          </w:p>
          <w:p w14:paraId="1E74EF27" w14:textId="77777777" w:rsidR="00945B9D" w:rsidRPr="006228F7" w:rsidRDefault="00945B9D" w:rsidP="00945B9D">
            <w:pPr>
              <w:spacing w:line="360" w:lineRule="auto"/>
              <w:rPr>
                <w:rFonts w:ascii="David" w:hAnsi="David"/>
              </w:rPr>
            </w:pPr>
          </w:p>
        </w:tc>
        <w:tc>
          <w:tcPr>
            <w:tcW w:w="4678" w:type="dxa"/>
            <w:gridSpan w:val="3"/>
            <w:tcBorders>
              <w:top w:val="nil"/>
              <w:left w:val="nil"/>
              <w:bottom w:val="nil"/>
              <w:right w:val="nil"/>
            </w:tcBorders>
            <w:shd w:val="clear" w:color="auto" w:fill="auto"/>
            <w:vAlign w:val="center"/>
          </w:tcPr>
          <w:p w14:paraId="07076192" w14:textId="77777777" w:rsidR="00945B9D" w:rsidRPr="006228F7" w:rsidRDefault="00945B9D" w:rsidP="00945B9D">
            <w:pPr>
              <w:suppressLineNumbers/>
              <w:spacing w:line="360" w:lineRule="auto"/>
              <w:rPr>
                <w:rFonts w:ascii="David" w:hAnsi="David"/>
                <w:b/>
                <w:bCs/>
                <w:rtl/>
              </w:rPr>
            </w:pPr>
            <w:r w:rsidRPr="006228F7">
              <w:rPr>
                <w:rFonts w:ascii="David" w:hAnsi="David"/>
                <w:b/>
                <w:bCs/>
                <w:rtl/>
              </w:rPr>
              <w:t xml:space="preserve">מדינת ישראל </w:t>
            </w:r>
          </w:p>
          <w:p w14:paraId="4136CC92" w14:textId="77777777" w:rsidR="00945B9D" w:rsidRPr="006228F7" w:rsidRDefault="00945B9D" w:rsidP="00945B9D">
            <w:pPr>
              <w:suppressLineNumbers/>
              <w:spacing w:line="360" w:lineRule="auto"/>
              <w:rPr>
                <w:rFonts w:ascii="David" w:hAnsi="David"/>
              </w:rPr>
            </w:pPr>
            <w:r w:rsidRPr="006228F7">
              <w:rPr>
                <w:rFonts w:ascii="David" w:hAnsi="David" w:hint="cs"/>
                <w:rtl/>
              </w:rPr>
              <w:t xml:space="preserve">באמצעות </w:t>
            </w:r>
            <w:r w:rsidRPr="006228F7">
              <w:rPr>
                <w:rFonts w:ascii="David" w:hAnsi="David"/>
                <w:rtl/>
              </w:rPr>
              <w:t>פרקליטות מחוז ירושלים</w:t>
            </w:r>
          </w:p>
          <w:p w14:paraId="6E52CF28" w14:textId="77777777" w:rsidR="00945B9D" w:rsidRPr="006228F7" w:rsidRDefault="00945B9D" w:rsidP="00945B9D">
            <w:pPr>
              <w:spacing w:line="360" w:lineRule="auto"/>
              <w:rPr>
                <w:rFonts w:ascii="David" w:hAnsi="David"/>
              </w:rPr>
            </w:pPr>
          </w:p>
        </w:tc>
      </w:tr>
      <w:bookmarkEnd w:id="1"/>
      <w:tr w:rsidR="00945B9D" w:rsidRPr="006228F7" w14:paraId="224015C6" w14:textId="77777777" w:rsidTr="00C169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0DC5DE" w14:textId="77777777" w:rsidR="00945B9D" w:rsidRPr="006228F7" w:rsidRDefault="00945B9D" w:rsidP="00945B9D">
            <w:pPr>
              <w:spacing w:line="360" w:lineRule="auto"/>
              <w:jc w:val="both"/>
              <w:rPr>
                <w:rFonts w:ascii="David" w:hAnsi="David"/>
                <w:rtl/>
              </w:rPr>
            </w:pPr>
          </w:p>
        </w:tc>
        <w:tc>
          <w:tcPr>
            <w:tcW w:w="7897" w:type="dxa"/>
            <w:gridSpan w:val="4"/>
            <w:tcBorders>
              <w:top w:val="nil"/>
              <w:left w:val="nil"/>
              <w:bottom w:val="nil"/>
              <w:right w:val="nil"/>
            </w:tcBorders>
            <w:shd w:val="clear" w:color="auto" w:fill="auto"/>
          </w:tcPr>
          <w:p w14:paraId="096CD10F" w14:textId="77777777" w:rsidR="00945B9D" w:rsidRPr="006228F7" w:rsidRDefault="00945B9D" w:rsidP="00945B9D">
            <w:pPr>
              <w:spacing w:line="360" w:lineRule="auto"/>
              <w:jc w:val="center"/>
              <w:rPr>
                <w:rFonts w:ascii="David" w:hAnsi="David"/>
                <w:b/>
                <w:bCs/>
                <w:rtl/>
              </w:rPr>
            </w:pPr>
          </w:p>
          <w:p w14:paraId="2E9CE638" w14:textId="77777777" w:rsidR="00945B9D" w:rsidRPr="006228F7" w:rsidRDefault="00945B9D" w:rsidP="00945B9D">
            <w:pPr>
              <w:spacing w:line="360" w:lineRule="auto"/>
              <w:jc w:val="center"/>
              <w:rPr>
                <w:rFonts w:ascii="David" w:hAnsi="David"/>
                <w:b/>
                <w:bCs/>
                <w:rtl/>
              </w:rPr>
            </w:pPr>
            <w:r w:rsidRPr="006228F7">
              <w:rPr>
                <w:rFonts w:ascii="David" w:hAnsi="David"/>
                <w:b/>
                <w:bCs/>
                <w:rtl/>
              </w:rPr>
              <w:t>נגד</w:t>
            </w:r>
          </w:p>
          <w:p w14:paraId="5438CDE8" w14:textId="77777777" w:rsidR="00945B9D" w:rsidRPr="006228F7" w:rsidRDefault="00945B9D" w:rsidP="00945B9D">
            <w:pPr>
              <w:spacing w:line="360" w:lineRule="auto"/>
              <w:jc w:val="both"/>
              <w:rPr>
                <w:rFonts w:ascii="David" w:hAnsi="David"/>
              </w:rPr>
            </w:pPr>
          </w:p>
        </w:tc>
      </w:tr>
      <w:tr w:rsidR="00945B9D" w:rsidRPr="006228F7" w14:paraId="2683F77F" w14:textId="77777777" w:rsidTr="00C169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901444" w14:textId="77777777" w:rsidR="00945B9D" w:rsidRPr="006228F7" w:rsidRDefault="00945B9D" w:rsidP="00945B9D">
            <w:pPr>
              <w:spacing w:line="360" w:lineRule="auto"/>
              <w:rPr>
                <w:rFonts w:ascii="David" w:hAnsi="David"/>
                <w:rtl/>
              </w:rPr>
            </w:pPr>
            <w:bookmarkStart w:id="2" w:name="FirstLawyer"/>
          </w:p>
        </w:tc>
        <w:tc>
          <w:tcPr>
            <w:tcW w:w="3219" w:type="dxa"/>
            <w:tcBorders>
              <w:top w:val="nil"/>
              <w:left w:val="nil"/>
              <w:bottom w:val="nil"/>
              <w:right w:val="nil"/>
            </w:tcBorders>
            <w:shd w:val="clear" w:color="auto" w:fill="auto"/>
          </w:tcPr>
          <w:p w14:paraId="2566252F" w14:textId="77777777" w:rsidR="00945B9D" w:rsidRPr="006228F7" w:rsidRDefault="00945B9D" w:rsidP="00945B9D">
            <w:pPr>
              <w:spacing w:line="360" w:lineRule="auto"/>
              <w:rPr>
                <w:rFonts w:ascii="David" w:hAnsi="David"/>
                <w:b/>
                <w:bCs/>
                <w:rtl/>
              </w:rPr>
            </w:pPr>
            <w:r w:rsidRPr="006228F7">
              <w:rPr>
                <w:rFonts w:ascii="David" w:hAnsi="David"/>
                <w:b/>
                <w:bCs/>
                <w:rtl/>
              </w:rPr>
              <w:t>הנאשם</w:t>
            </w:r>
          </w:p>
        </w:tc>
        <w:tc>
          <w:tcPr>
            <w:tcW w:w="4678" w:type="dxa"/>
            <w:gridSpan w:val="3"/>
            <w:tcBorders>
              <w:top w:val="nil"/>
              <w:left w:val="nil"/>
              <w:bottom w:val="nil"/>
              <w:right w:val="nil"/>
            </w:tcBorders>
            <w:shd w:val="clear" w:color="auto" w:fill="auto"/>
            <w:vAlign w:val="center"/>
          </w:tcPr>
          <w:p w14:paraId="5AAD438E" w14:textId="77777777" w:rsidR="00945B9D" w:rsidRPr="006228F7" w:rsidRDefault="00945B9D" w:rsidP="00945B9D">
            <w:pPr>
              <w:suppressLineNumbers/>
              <w:spacing w:line="360" w:lineRule="auto"/>
              <w:rPr>
                <w:rFonts w:ascii="David" w:hAnsi="David"/>
                <w:b/>
                <w:bCs/>
                <w:rtl/>
              </w:rPr>
            </w:pPr>
            <w:r w:rsidRPr="006228F7">
              <w:rPr>
                <w:rFonts w:ascii="David" w:hAnsi="David"/>
                <w:b/>
                <w:bCs/>
                <w:rtl/>
              </w:rPr>
              <w:t xml:space="preserve">נתנאל זדה </w:t>
            </w:r>
          </w:p>
          <w:p w14:paraId="4405835D" w14:textId="77777777" w:rsidR="00945B9D" w:rsidRPr="006228F7" w:rsidRDefault="00945B9D" w:rsidP="00945B9D">
            <w:pPr>
              <w:suppressLineNumbers/>
              <w:spacing w:line="360" w:lineRule="auto"/>
              <w:rPr>
                <w:rFonts w:ascii="David" w:hAnsi="David"/>
              </w:rPr>
            </w:pPr>
            <w:r w:rsidRPr="006228F7">
              <w:rPr>
                <w:rFonts w:ascii="David" w:hAnsi="David"/>
                <w:rtl/>
              </w:rPr>
              <w:t>ע"י  ב"כ עוה"ד דוד הלוי</w:t>
            </w:r>
          </w:p>
          <w:p w14:paraId="228D6C64" w14:textId="77777777" w:rsidR="00945B9D" w:rsidRPr="006228F7" w:rsidRDefault="00945B9D" w:rsidP="00945B9D">
            <w:pPr>
              <w:spacing w:line="360" w:lineRule="auto"/>
              <w:rPr>
                <w:rFonts w:ascii="David" w:hAnsi="David"/>
              </w:rPr>
            </w:pPr>
          </w:p>
        </w:tc>
      </w:tr>
      <w:bookmarkEnd w:id="2"/>
    </w:tbl>
    <w:p w14:paraId="2FBA7B56" w14:textId="77777777" w:rsidR="006228F7" w:rsidRPr="006228F7" w:rsidRDefault="006228F7" w:rsidP="006228F7">
      <w:pPr>
        <w:spacing w:before="120" w:after="120" w:line="240" w:lineRule="exact"/>
        <w:ind w:left="283" w:hanging="283"/>
        <w:jc w:val="both"/>
        <w:rPr>
          <w:rFonts w:ascii="FrankRuehl" w:hAnsi="FrankRuehl" w:cs="FrankRuehl"/>
          <w:rtl/>
        </w:rPr>
      </w:pPr>
    </w:p>
    <w:p w14:paraId="201A4E90" w14:textId="77777777" w:rsidR="006228F7" w:rsidRPr="006228F7" w:rsidRDefault="006228F7" w:rsidP="006228F7">
      <w:pPr>
        <w:spacing w:line="360" w:lineRule="auto"/>
        <w:rPr>
          <w:rFonts w:ascii="David" w:hAnsi="David"/>
          <w:rtl/>
        </w:rPr>
      </w:pPr>
    </w:p>
    <w:p w14:paraId="2C44A642" w14:textId="77777777" w:rsidR="00C16969" w:rsidRPr="00C16969" w:rsidRDefault="00C16969" w:rsidP="00C16969">
      <w:pPr>
        <w:spacing w:before="120" w:after="120" w:line="240" w:lineRule="exact"/>
        <w:ind w:left="283" w:hanging="283"/>
        <w:jc w:val="both"/>
        <w:rPr>
          <w:rFonts w:ascii="FrankRuehl" w:hAnsi="FrankRuehl" w:cs="FrankRuehl"/>
          <w:rtl/>
        </w:rPr>
      </w:pPr>
    </w:p>
    <w:p w14:paraId="60AAF170" w14:textId="77777777" w:rsidR="00DB1E69" w:rsidRPr="00DB1E69" w:rsidRDefault="00DB1E69" w:rsidP="00DB1E69">
      <w:pPr>
        <w:spacing w:before="120" w:after="120" w:line="240" w:lineRule="exact"/>
        <w:ind w:left="283" w:hanging="283"/>
        <w:jc w:val="both"/>
        <w:rPr>
          <w:rFonts w:ascii="FrankRuehl" w:hAnsi="FrankRuehl" w:cs="FrankRuehl"/>
          <w:rtl/>
        </w:rPr>
      </w:pPr>
    </w:p>
    <w:p w14:paraId="18FD501F" w14:textId="77777777" w:rsidR="00EE3D28" w:rsidRDefault="00EE3D28" w:rsidP="00EE3D28">
      <w:pPr>
        <w:spacing w:line="360" w:lineRule="auto"/>
        <w:rPr>
          <w:rFonts w:ascii="David" w:hAnsi="David"/>
          <w:rtl/>
        </w:rPr>
      </w:pPr>
      <w:bookmarkStart w:id="3" w:name="LawTable"/>
      <w:bookmarkEnd w:id="3"/>
    </w:p>
    <w:p w14:paraId="48F78775" w14:textId="77777777" w:rsidR="00EE3D28" w:rsidRPr="00EE3D28" w:rsidRDefault="00EE3D28" w:rsidP="00EE3D28">
      <w:pPr>
        <w:spacing w:before="120" w:after="120" w:line="240" w:lineRule="exact"/>
        <w:ind w:left="283" w:hanging="283"/>
        <w:jc w:val="both"/>
        <w:rPr>
          <w:rFonts w:ascii="FrankRuehl" w:hAnsi="FrankRuehl" w:cs="FrankRuehl"/>
          <w:rtl/>
        </w:rPr>
      </w:pPr>
    </w:p>
    <w:p w14:paraId="5B14774F" w14:textId="77777777" w:rsidR="00EE3D28" w:rsidRPr="00EE3D28" w:rsidRDefault="00EE3D28" w:rsidP="00EE3D28">
      <w:pPr>
        <w:spacing w:before="120" w:after="120" w:line="240" w:lineRule="exact"/>
        <w:ind w:left="283" w:hanging="283"/>
        <w:jc w:val="both"/>
        <w:rPr>
          <w:rFonts w:ascii="FrankRuehl" w:hAnsi="FrankRuehl" w:cs="FrankRuehl"/>
          <w:rtl/>
        </w:rPr>
      </w:pPr>
    </w:p>
    <w:p w14:paraId="3B31E971" w14:textId="77777777" w:rsidR="00EE3D28" w:rsidRPr="00EE3D28" w:rsidRDefault="00EE3D28" w:rsidP="00EE3D28">
      <w:pPr>
        <w:spacing w:before="120" w:after="120" w:line="240" w:lineRule="exact"/>
        <w:ind w:left="283" w:hanging="283"/>
        <w:jc w:val="both"/>
        <w:rPr>
          <w:rFonts w:ascii="FrankRuehl" w:hAnsi="FrankRuehl" w:cs="FrankRuehl"/>
          <w:rtl/>
        </w:rPr>
      </w:pPr>
      <w:r w:rsidRPr="00EE3D28">
        <w:rPr>
          <w:rFonts w:ascii="FrankRuehl" w:hAnsi="FrankRuehl" w:cs="FrankRuehl"/>
          <w:rtl/>
        </w:rPr>
        <w:t xml:space="preserve">חקיקה שאוזכרה: </w:t>
      </w:r>
    </w:p>
    <w:p w14:paraId="04D5626E" w14:textId="77777777" w:rsidR="00EE3D28" w:rsidRPr="00EE3D28" w:rsidRDefault="00EE3D28" w:rsidP="00EE3D28">
      <w:pPr>
        <w:spacing w:before="120" w:after="120" w:line="240" w:lineRule="exact"/>
        <w:ind w:left="283" w:hanging="283"/>
        <w:jc w:val="both"/>
        <w:rPr>
          <w:rFonts w:ascii="FrankRuehl" w:hAnsi="FrankRuehl" w:cs="FrankRuehl"/>
          <w:rtl/>
        </w:rPr>
      </w:pPr>
      <w:hyperlink r:id="rId7" w:history="1">
        <w:r w:rsidRPr="00EE3D28">
          <w:rPr>
            <w:rFonts w:ascii="FrankRuehl" w:hAnsi="FrankRuehl" w:cs="FrankRuehl"/>
            <w:color w:val="0000FF"/>
            <w:rtl/>
          </w:rPr>
          <w:t>חוק העונשין, תשל"ז-1977</w:t>
        </w:r>
      </w:hyperlink>
      <w:r w:rsidRPr="00EE3D28">
        <w:rPr>
          <w:rFonts w:ascii="FrankRuehl" w:hAnsi="FrankRuehl" w:cs="FrankRuehl"/>
          <w:rtl/>
        </w:rPr>
        <w:t xml:space="preserve">: סע'  </w:t>
      </w:r>
      <w:hyperlink r:id="rId8" w:history="1">
        <w:r w:rsidRPr="00EE3D28">
          <w:rPr>
            <w:rFonts w:ascii="FrankRuehl" w:hAnsi="FrankRuehl" w:cs="FrankRuehl"/>
            <w:color w:val="0000FF"/>
            <w:rtl/>
          </w:rPr>
          <w:t>71א(ד)</w:t>
        </w:r>
      </w:hyperlink>
      <w:r w:rsidRPr="00EE3D28">
        <w:rPr>
          <w:rFonts w:ascii="FrankRuehl" w:hAnsi="FrankRuehl" w:cs="FrankRuehl"/>
          <w:rtl/>
        </w:rPr>
        <w:t xml:space="preserve">, </w:t>
      </w:r>
      <w:hyperlink r:id="rId9" w:history="1">
        <w:r w:rsidRPr="00EE3D28">
          <w:rPr>
            <w:rFonts w:ascii="FrankRuehl" w:hAnsi="FrankRuehl" w:cs="FrankRuehl"/>
            <w:color w:val="0000FF"/>
            <w:rtl/>
          </w:rPr>
          <w:t>338 (א)(9)</w:t>
        </w:r>
      </w:hyperlink>
      <w:r w:rsidRPr="00EE3D28">
        <w:rPr>
          <w:rFonts w:ascii="FrankRuehl" w:hAnsi="FrankRuehl" w:cs="FrankRuehl"/>
          <w:rtl/>
        </w:rPr>
        <w:t xml:space="preserve">, </w:t>
      </w:r>
      <w:hyperlink r:id="rId10" w:history="1">
        <w:r w:rsidRPr="00EE3D28">
          <w:rPr>
            <w:rFonts w:ascii="FrankRuehl" w:hAnsi="FrankRuehl" w:cs="FrankRuehl"/>
            <w:color w:val="0000FF"/>
            <w:rtl/>
          </w:rPr>
          <w:t>ד' 1.</w:t>
        </w:r>
      </w:hyperlink>
    </w:p>
    <w:p w14:paraId="092DC94A" w14:textId="77777777" w:rsidR="00EE3D28" w:rsidRPr="00EE3D28" w:rsidRDefault="00EE3D28" w:rsidP="00EE3D28">
      <w:pPr>
        <w:spacing w:before="120" w:after="120" w:line="240" w:lineRule="exact"/>
        <w:ind w:left="283" w:hanging="283"/>
        <w:jc w:val="both"/>
        <w:rPr>
          <w:rFonts w:ascii="FrankRuehl" w:hAnsi="FrankRuehl" w:cs="FrankRuehl"/>
          <w:rtl/>
        </w:rPr>
      </w:pPr>
      <w:hyperlink r:id="rId11" w:history="1">
        <w:r w:rsidRPr="00EE3D28">
          <w:rPr>
            <w:rFonts w:ascii="FrankRuehl" w:hAnsi="FrankRuehl" w:cs="FrankRuehl"/>
            <w:color w:val="0000FF"/>
            <w:rtl/>
          </w:rPr>
          <w:t>פקודת הסמים המסוכנים [נוסח חדש], תשל"ג-1973</w:t>
        </w:r>
      </w:hyperlink>
      <w:r w:rsidRPr="00EE3D28">
        <w:rPr>
          <w:rFonts w:ascii="FrankRuehl" w:hAnsi="FrankRuehl" w:cs="FrankRuehl"/>
          <w:rtl/>
        </w:rPr>
        <w:t xml:space="preserve">: סע'  </w:t>
      </w:r>
      <w:hyperlink r:id="rId12" w:history="1">
        <w:r w:rsidRPr="00EE3D28">
          <w:rPr>
            <w:rFonts w:ascii="FrankRuehl" w:hAnsi="FrankRuehl" w:cs="FrankRuehl"/>
            <w:color w:val="0000FF"/>
            <w:rtl/>
          </w:rPr>
          <w:t>7.א.</w:t>
        </w:r>
      </w:hyperlink>
      <w:r w:rsidRPr="00EE3D28">
        <w:rPr>
          <w:rFonts w:ascii="FrankRuehl" w:hAnsi="FrankRuehl" w:cs="FrankRuehl"/>
          <w:rtl/>
        </w:rPr>
        <w:t xml:space="preserve">, </w:t>
      </w:r>
      <w:hyperlink r:id="rId13" w:history="1">
        <w:r w:rsidRPr="00EE3D28">
          <w:rPr>
            <w:rFonts w:ascii="FrankRuehl" w:hAnsi="FrankRuehl" w:cs="FrankRuehl"/>
            <w:color w:val="0000FF"/>
            <w:rtl/>
          </w:rPr>
          <w:t>7.ג</w:t>
        </w:r>
      </w:hyperlink>
    </w:p>
    <w:p w14:paraId="3C8FDF9E" w14:textId="77777777" w:rsidR="00EE3D28" w:rsidRPr="00EE3D28" w:rsidRDefault="00EE3D28" w:rsidP="00EE3D28">
      <w:pPr>
        <w:spacing w:line="360" w:lineRule="auto"/>
        <w:rPr>
          <w:rFonts w:ascii="David" w:hAnsi="David"/>
          <w:rtl/>
        </w:rPr>
      </w:pPr>
      <w:bookmarkStart w:id="4" w:name="LawTable_End"/>
      <w:bookmarkEnd w:id="4"/>
    </w:p>
    <w:p w14:paraId="76829207" w14:textId="77777777" w:rsidR="00945B9D" w:rsidRPr="00DB1E69" w:rsidRDefault="00945B9D" w:rsidP="00DB1E69">
      <w:pPr>
        <w:spacing w:line="360" w:lineRule="auto"/>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5B9D" w:rsidRPr="00EF0C06" w14:paraId="4606EB9F" w14:textId="77777777" w:rsidTr="00945B9D">
        <w:trPr>
          <w:trHeight w:val="355"/>
          <w:jc w:val="center"/>
        </w:trPr>
        <w:tc>
          <w:tcPr>
            <w:tcW w:w="8820" w:type="dxa"/>
            <w:tcBorders>
              <w:top w:val="nil"/>
              <w:left w:val="nil"/>
              <w:bottom w:val="nil"/>
              <w:right w:val="nil"/>
            </w:tcBorders>
            <w:shd w:val="clear" w:color="auto" w:fill="auto"/>
          </w:tcPr>
          <w:p w14:paraId="0A290A63" w14:textId="77777777" w:rsidR="006228F7" w:rsidRPr="006228F7" w:rsidRDefault="006228F7" w:rsidP="006228F7">
            <w:pPr>
              <w:spacing w:line="360" w:lineRule="auto"/>
              <w:jc w:val="center"/>
              <w:rPr>
                <w:rFonts w:ascii="David" w:hAnsi="David"/>
                <w:b/>
                <w:bCs/>
                <w:u w:val="single"/>
                <w:rtl/>
              </w:rPr>
            </w:pPr>
            <w:bookmarkStart w:id="5" w:name="PsakDin" w:colFirst="0" w:colLast="0"/>
            <w:bookmarkEnd w:id="0"/>
            <w:r w:rsidRPr="006228F7">
              <w:rPr>
                <w:rFonts w:ascii="David" w:hAnsi="David"/>
                <w:b/>
                <w:bCs/>
                <w:u w:val="single"/>
                <w:rtl/>
              </w:rPr>
              <w:t>גזר דין</w:t>
            </w:r>
          </w:p>
          <w:p w14:paraId="6380248C" w14:textId="77777777" w:rsidR="00945B9D" w:rsidRPr="006228F7" w:rsidRDefault="00945B9D" w:rsidP="006228F7">
            <w:pPr>
              <w:spacing w:line="360" w:lineRule="auto"/>
              <w:jc w:val="center"/>
              <w:rPr>
                <w:rFonts w:ascii="David" w:hAnsi="David"/>
                <w:bCs/>
                <w:u w:val="single"/>
                <w:rtl/>
              </w:rPr>
            </w:pPr>
          </w:p>
        </w:tc>
      </w:tr>
      <w:bookmarkEnd w:id="5"/>
    </w:tbl>
    <w:p w14:paraId="128A07A9" w14:textId="77777777" w:rsidR="00945B9D" w:rsidRPr="00EF0C06" w:rsidRDefault="00945B9D" w:rsidP="00945B9D">
      <w:pPr>
        <w:spacing w:line="360" w:lineRule="auto"/>
        <w:rPr>
          <w:rFonts w:ascii="David" w:hAnsi="David"/>
          <w:b/>
          <w:bCs/>
          <w:rtl/>
        </w:rPr>
      </w:pPr>
    </w:p>
    <w:p w14:paraId="54548A27" w14:textId="77777777" w:rsidR="00945B9D" w:rsidRPr="00EF0C06" w:rsidRDefault="00945B9D" w:rsidP="00945B9D">
      <w:pPr>
        <w:spacing w:line="360" w:lineRule="auto"/>
        <w:rPr>
          <w:rFonts w:ascii="David" w:hAnsi="David"/>
          <w:b/>
          <w:bCs/>
          <w:rtl/>
        </w:rPr>
      </w:pPr>
    </w:p>
    <w:p w14:paraId="4A44D701" w14:textId="77777777" w:rsidR="00945B9D" w:rsidRDefault="00945B9D" w:rsidP="00945B9D">
      <w:pPr>
        <w:pStyle w:val="a9"/>
        <w:numPr>
          <w:ilvl w:val="0"/>
          <w:numId w:val="1"/>
        </w:numPr>
        <w:spacing w:line="360" w:lineRule="auto"/>
        <w:jc w:val="both"/>
        <w:rPr>
          <w:rFonts w:ascii="David" w:hAnsi="David"/>
        </w:rPr>
      </w:pPr>
      <w:bookmarkStart w:id="6" w:name="ABSTRACT_START"/>
      <w:bookmarkEnd w:id="6"/>
      <w:r w:rsidRPr="00EF0C06">
        <w:rPr>
          <w:rFonts w:ascii="David" w:hAnsi="David"/>
          <w:rtl/>
        </w:rPr>
        <w:t>הנאשם הורשע ע"פ הודאתו, במסגרת הסדר טיעון, בכתב אישום מתוקן המייחס לו עבירה של מעש</w:t>
      </w:r>
      <w:r>
        <w:rPr>
          <w:rFonts w:ascii="David" w:hAnsi="David" w:hint="cs"/>
          <w:rtl/>
        </w:rPr>
        <w:t>ה</w:t>
      </w:r>
      <w:r w:rsidRPr="00EF0C06">
        <w:rPr>
          <w:rFonts w:ascii="David" w:hAnsi="David"/>
          <w:rtl/>
        </w:rPr>
        <w:t xml:space="preserve"> פזיזות ורשלנות לפי סעיף </w:t>
      </w:r>
      <w:hyperlink r:id="rId14" w:history="1">
        <w:r w:rsidR="00C16969" w:rsidRPr="00C16969">
          <w:rPr>
            <w:rStyle w:val="Hyperlink"/>
            <w:rFonts w:ascii="David" w:hAnsi="David"/>
            <w:rtl/>
          </w:rPr>
          <w:t>338 (א)(9)</w:t>
        </w:r>
      </w:hyperlink>
      <w:r w:rsidRPr="00EF0C06">
        <w:rPr>
          <w:rFonts w:ascii="David" w:hAnsi="David"/>
          <w:rtl/>
        </w:rPr>
        <w:t xml:space="preserve"> ל</w:t>
      </w:r>
      <w:hyperlink r:id="rId15" w:history="1">
        <w:r w:rsidR="006228F7" w:rsidRPr="006228F7">
          <w:rPr>
            <w:rFonts w:ascii="David" w:hAnsi="David"/>
            <w:color w:val="0000FF"/>
            <w:u w:val="single"/>
            <w:rtl/>
          </w:rPr>
          <w:t>חוק העונשין</w:t>
        </w:r>
      </w:hyperlink>
      <w:r w:rsidRPr="00EF0C06">
        <w:rPr>
          <w:rFonts w:ascii="David" w:hAnsi="David"/>
          <w:rtl/>
        </w:rPr>
        <w:t xml:space="preserve"> התשל"ז – 1977, ועבירה של </w:t>
      </w:r>
      <w:r w:rsidRPr="00EF0C06">
        <w:rPr>
          <w:rFonts w:ascii="David" w:hAnsi="David"/>
          <w:rtl/>
        </w:rPr>
        <w:lastRenderedPageBreak/>
        <w:t xml:space="preserve">החזקה/שימוש בסם לצריכה עצמית, לפי </w:t>
      </w:r>
      <w:hyperlink r:id="rId16" w:history="1">
        <w:r w:rsidR="00C16969" w:rsidRPr="00C16969">
          <w:rPr>
            <w:rStyle w:val="Hyperlink"/>
            <w:rFonts w:ascii="David" w:hAnsi="David"/>
            <w:rtl/>
          </w:rPr>
          <w:t>סעיף 7(א)+7(ג)</w:t>
        </w:r>
      </w:hyperlink>
      <w:r w:rsidRPr="00EF0C06">
        <w:rPr>
          <w:rFonts w:ascii="David" w:hAnsi="David"/>
          <w:rtl/>
        </w:rPr>
        <w:t xml:space="preserve"> רישא ל</w:t>
      </w:r>
      <w:hyperlink r:id="rId17" w:history="1">
        <w:r w:rsidR="006228F7" w:rsidRPr="006228F7">
          <w:rPr>
            <w:rFonts w:ascii="David" w:hAnsi="David"/>
            <w:color w:val="0000FF"/>
            <w:u w:val="single"/>
            <w:rtl/>
          </w:rPr>
          <w:t>פקודת הסמים המסוכנים</w:t>
        </w:r>
      </w:hyperlink>
      <w:r w:rsidRPr="00EF0C06">
        <w:rPr>
          <w:rFonts w:ascii="David" w:hAnsi="David"/>
          <w:rtl/>
        </w:rPr>
        <w:t xml:space="preserve"> (נוסח חדש), תשל"ג – 1973. </w:t>
      </w:r>
    </w:p>
    <w:p w14:paraId="4DF91D3A" w14:textId="77777777" w:rsidR="00945B9D" w:rsidRDefault="00945B9D" w:rsidP="00945B9D">
      <w:pPr>
        <w:pStyle w:val="a9"/>
        <w:numPr>
          <w:ilvl w:val="0"/>
          <w:numId w:val="1"/>
        </w:numPr>
        <w:spacing w:line="360" w:lineRule="auto"/>
        <w:jc w:val="both"/>
        <w:rPr>
          <w:rFonts w:ascii="David" w:hAnsi="David"/>
        </w:rPr>
      </w:pPr>
      <w:r w:rsidRPr="00827576">
        <w:rPr>
          <w:rFonts w:ascii="David" w:hAnsi="David"/>
          <w:rtl/>
        </w:rPr>
        <w:t xml:space="preserve">סוכם </w:t>
      </w:r>
      <w:r w:rsidRPr="00827576">
        <w:rPr>
          <w:rFonts w:ascii="David" w:hAnsi="David" w:hint="cs"/>
          <w:rtl/>
        </w:rPr>
        <w:t xml:space="preserve">בין הצדדים, </w:t>
      </w:r>
      <w:r w:rsidRPr="00827576">
        <w:rPr>
          <w:rFonts w:ascii="David" w:hAnsi="David"/>
          <w:rtl/>
        </w:rPr>
        <w:t>כי המאשימה תעתור לשל"צ</w:t>
      </w:r>
      <w:r w:rsidRPr="00827576">
        <w:rPr>
          <w:rFonts w:ascii="David" w:hAnsi="David" w:hint="cs"/>
          <w:rtl/>
        </w:rPr>
        <w:t xml:space="preserve"> בהיקף</w:t>
      </w:r>
      <w:r w:rsidRPr="00827576">
        <w:rPr>
          <w:rFonts w:ascii="David" w:hAnsi="David"/>
          <w:rtl/>
        </w:rPr>
        <w:t xml:space="preserve"> נרחב </w:t>
      </w:r>
      <w:r w:rsidRPr="00827576">
        <w:rPr>
          <w:rFonts w:ascii="David" w:hAnsi="David" w:hint="cs"/>
          <w:rtl/>
        </w:rPr>
        <w:t>לצד מ</w:t>
      </w:r>
      <w:r w:rsidRPr="00827576">
        <w:rPr>
          <w:rFonts w:ascii="David" w:hAnsi="David"/>
          <w:rtl/>
        </w:rPr>
        <w:t xml:space="preserve">אסר על תנאי, וההגנה תהיה חופשית בטיעוניה. </w:t>
      </w:r>
    </w:p>
    <w:p w14:paraId="68E30812" w14:textId="77777777" w:rsidR="00945B9D" w:rsidRPr="00827576" w:rsidRDefault="00945B9D" w:rsidP="00945B9D">
      <w:pPr>
        <w:pStyle w:val="a9"/>
        <w:numPr>
          <w:ilvl w:val="0"/>
          <w:numId w:val="1"/>
        </w:numPr>
        <w:spacing w:line="360" w:lineRule="auto"/>
        <w:jc w:val="both"/>
        <w:rPr>
          <w:rFonts w:ascii="David" w:hAnsi="David"/>
          <w:rtl/>
        </w:rPr>
      </w:pPr>
      <w:r w:rsidRPr="00827576">
        <w:rPr>
          <w:rFonts w:ascii="David" w:hAnsi="David"/>
          <w:rtl/>
        </w:rPr>
        <w:t>בהחלט</w:t>
      </w:r>
      <w:r>
        <w:rPr>
          <w:rFonts w:ascii="David" w:hAnsi="David" w:hint="cs"/>
          <w:rtl/>
        </w:rPr>
        <w:t>ה</w:t>
      </w:r>
      <w:r w:rsidRPr="00827576">
        <w:rPr>
          <w:rFonts w:ascii="David" w:hAnsi="David"/>
          <w:rtl/>
        </w:rPr>
        <w:t xml:space="preserve"> מיום 27.12.2023</w:t>
      </w:r>
      <w:r>
        <w:rPr>
          <w:rFonts w:ascii="David" w:hAnsi="David" w:hint="cs"/>
          <w:rtl/>
        </w:rPr>
        <w:t xml:space="preserve">, ולבקשת ההגנה, </w:t>
      </w:r>
      <w:r w:rsidRPr="00827576">
        <w:rPr>
          <w:rFonts w:ascii="David" w:hAnsi="David"/>
          <w:rtl/>
        </w:rPr>
        <w:t xml:space="preserve">הוריתי על הגשת תסקיר מבחן אשר יתייחס </w:t>
      </w:r>
      <w:r>
        <w:rPr>
          <w:rFonts w:ascii="David" w:hAnsi="David" w:hint="cs"/>
          <w:rtl/>
        </w:rPr>
        <w:t xml:space="preserve">בין היתר, </w:t>
      </w:r>
      <w:r w:rsidRPr="00827576">
        <w:rPr>
          <w:rFonts w:ascii="David" w:hAnsi="David"/>
          <w:rtl/>
        </w:rPr>
        <w:t>גם לסוגיית ההרשעה.</w:t>
      </w:r>
    </w:p>
    <w:p w14:paraId="68B977BF" w14:textId="77777777" w:rsidR="00945B9D" w:rsidRPr="00EF0C06" w:rsidRDefault="00945B9D" w:rsidP="00945B9D">
      <w:pPr>
        <w:pStyle w:val="a9"/>
        <w:numPr>
          <w:ilvl w:val="0"/>
          <w:numId w:val="1"/>
        </w:numPr>
        <w:spacing w:line="360" w:lineRule="auto"/>
        <w:jc w:val="both"/>
        <w:rPr>
          <w:rFonts w:ascii="David" w:hAnsi="David"/>
          <w:rtl/>
        </w:rPr>
      </w:pPr>
      <w:bookmarkStart w:id="7" w:name="ABSTRACT_END"/>
      <w:bookmarkEnd w:id="7"/>
      <w:r w:rsidRPr="00EF0C06">
        <w:rPr>
          <w:rFonts w:ascii="David" w:hAnsi="David"/>
          <w:rtl/>
        </w:rPr>
        <w:t xml:space="preserve">על פי </w:t>
      </w:r>
      <w:r>
        <w:rPr>
          <w:rFonts w:ascii="David" w:hAnsi="David" w:hint="cs"/>
          <w:rtl/>
        </w:rPr>
        <w:t>הנטען ב</w:t>
      </w:r>
      <w:r w:rsidRPr="00EF0C06">
        <w:rPr>
          <w:rFonts w:ascii="David" w:hAnsi="David"/>
          <w:rtl/>
        </w:rPr>
        <w:t>עובדות כתב האישום, עובר ליום 2.7.2021 החזיק הנאשם בחדר השינה בביתו, ברחוב כמון 8 בירושלים, סם מסוכן מסוג קנבוס (להלן: "הסם"), בכמות שאינה ידועה במדויק למאשימה ולצריכתו האישית, ומבלי שיש בידו ה</w:t>
      </w:r>
      <w:r>
        <w:rPr>
          <w:rFonts w:ascii="David" w:hAnsi="David" w:hint="cs"/>
          <w:rtl/>
        </w:rPr>
        <w:t xml:space="preserve">יתר </w:t>
      </w:r>
      <w:r w:rsidRPr="00EF0C06">
        <w:rPr>
          <w:rFonts w:ascii="David" w:hAnsi="David"/>
          <w:rtl/>
        </w:rPr>
        <w:t xml:space="preserve">להחזקת הסם. הנאשם החזיק את הסם בביתו על אף </w:t>
      </w:r>
      <w:r>
        <w:rPr>
          <w:rFonts w:ascii="David" w:hAnsi="David" w:hint="cs"/>
          <w:rtl/>
        </w:rPr>
        <w:t xml:space="preserve">שהוא </w:t>
      </w:r>
      <w:r w:rsidRPr="00EF0C06">
        <w:rPr>
          <w:rFonts w:ascii="David" w:hAnsi="David"/>
          <w:rtl/>
        </w:rPr>
        <w:t xml:space="preserve">מתגורר </w:t>
      </w:r>
      <w:r>
        <w:rPr>
          <w:rFonts w:ascii="David" w:hAnsi="David" w:hint="cs"/>
          <w:rtl/>
        </w:rPr>
        <w:t xml:space="preserve">בו יחד עם </w:t>
      </w:r>
      <w:r w:rsidRPr="00EF0C06">
        <w:rPr>
          <w:rFonts w:ascii="David" w:hAnsi="David"/>
          <w:rtl/>
        </w:rPr>
        <w:t>שלושת ילדיו, בניהם תינוק בן שנה יליד 5.7.2020 (להלן: "התינוק").</w:t>
      </w:r>
    </w:p>
    <w:p w14:paraId="2E33D918"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 xml:space="preserve">ביום 2.7.2021 נכנס התינוק לחדר השינה של הנאשם, מצא את הסם ובלע אותו. כתוצאה מבליעת הסם הובהל התינוק לבית החולים כשהוא מנומנם אך </w:t>
      </w:r>
      <w:r>
        <w:rPr>
          <w:rFonts w:ascii="David" w:hAnsi="David" w:hint="cs"/>
          <w:rtl/>
        </w:rPr>
        <w:t xml:space="preserve">במצב </w:t>
      </w:r>
      <w:r w:rsidRPr="00EF0C06">
        <w:rPr>
          <w:rFonts w:ascii="David" w:hAnsi="David"/>
          <w:rtl/>
        </w:rPr>
        <w:t xml:space="preserve">יציב. </w:t>
      </w:r>
    </w:p>
    <w:p w14:paraId="161C271E" w14:textId="77777777" w:rsidR="00945B9D" w:rsidRDefault="00945B9D" w:rsidP="00945B9D">
      <w:pPr>
        <w:spacing w:line="360" w:lineRule="auto"/>
        <w:ind w:firstLine="720"/>
        <w:jc w:val="both"/>
        <w:rPr>
          <w:rFonts w:ascii="David" w:hAnsi="David"/>
          <w:b/>
          <w:bCs/>
          <w:u w:val="single"/>
          <w:rtl/>
        </w:rPr>
      </w:pPr>
    </w:p>
    <w:p w14:paraId="5115629E" w14:textId="77777777" w:rsidR="00945B9D" w:rsidRPr="007D67AD" w:rsidRDefault="00945B9D" w:rsidP="00945B9D">
      <w:pPr>
        <w:spacing w:line="360" w:lineRule="auto"/>
        <w:ind w:firstLine="720"/>
        <w:jc w:val="both"/>
        <w:rPr>
          <w:rFonts w:ascii="David" w:hAnsi="David"/>
          <w:b/>
          <w:bCs/>
          <w:rtl/>
        </w:rPr>
      </w:pPr>
      <w:r w:rsidRPr="00E537B7">
        <w:rPr>
          <w:rFonts w:ascii="David" w:hAnsi="David"/>
          <w:b/>
          <w:bCs/>
          <w:u w:val="single"/>
          <w:rtl/>
        </w:rPr>
        <w:t>תסקיר שרות המבחן</w:t>
      </w:r>
      <w:r>
        <w:rPr>
          <w:rFonts w:ascii="David" w:hAnsi="David" w:hint="cs"/>
          <w:b/>
          <w:bCs/>
          <w:rtl/>
        </w:rPr>
        <w:t>:</w:t>
      </w:r>
    </w:p>
    <w:p w14:paraId="3C75347F"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 xml:space="preserve">בתסקיר מיום 18.10.2023 תואר הנאשם כבן 33, נשוי ואב לארבעה ילדים, מתגורר בירושלים ועובד באגף התברואה בעירייה כ-8 שנים. </w:t>
      </w:r>
      <w:r>
        <w:rPr>
          <w:rFonts w:ascii="David" w:hAnsi="David" w:hint="cs"/>
          <w:rtl/>
        </w:rPr>
        <w:t>ה</w:t>
      </w:r>
      <w:r w:rsidRPr="00EF0C06">
        <w:rPr>
          <w:rFonts w:ascii="David" w:hAnsi="David"/>
          <w:rtl/>
        </w:rPr>
        <w:t xml:space="preserve">נאשם </w:t>
      </w:r>
      <w:r>
        <w:rPr>
          <w:rFonts w:ascii="David" w:hAnsi="David" w:hint="cs"/>
          <w:rtl/>
        </w:rPr>
        <w:t>נעדר רישום ק</w:t>
      </w:r>
      <w:r w:rsidRPr="00EF0C06">
        <w:rPr>
          <w:rFonts w:ascii="David" w:hAnsi="David"/>
          <w:rtl/>
        </w:rPr>
        <w:t>וד</w:t>
      </w:r>
      <w:r>
        <w:rPr>
          <w:rFonts w:ascii="David" w:hAnsi="David" w:hint="cs"/>
          <w:rtl/>
        </w:rPr>
        <w:t>ם</w:t>
      </w:r>
      <w:r w:rsidRPr="00EF0C06">
        <w:rPr>
          <w:rFonts w:ascii="David" w:hAnsi="David"/>
          <w:rtl/>
        </w:rPr>
        <w:t xml:space="preserve">. </w:t>
      </w:r>
    </w:p>
    <w:p w14:paraId="776BB198"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הנאשם מסר</w:t>
      </w:r>
      <w:r>
        <w:rPr>
          <w:rFonts w:ascii="David" w:hAnsi="David" w:hint="cs"/>
          <w:rtl/>
        </w:rPr>
        <w:t xml:space="preserve"> בשרות המבחן,</w:t>
      </w:r>
      <w:r w:rsidRPr="00EF0C06">
        <w:rPr>
          <w:rFonts w:ascii="David" w:hAnsi="David"/>
          <w:rtl/>
        </w:rPr>
        <w:t xml:space="preserve"> כי אובחן במחלת האפילפסיה </w:t>
      </w:r>
      <w:r>
        <w:rPr>
          <w:rFonts w:ascii="David" w:hAnsi="David" w:hint="cs"/>
          <w:rtl/>
        </w:rPr>
        <w:t>בעת ש</w:t>
      </w:r>
      <w:r w:rsidRPr="00EF0C06">
        <w:rPr>
          <w:rFonts w:ascii="David" w:hAnsi="David"/>
          <w:rtl/>
        </w:rPr>
        <w:t>היה תינוק, אולם כיום תיאר הטבה במצבו. בנוסף</w:t>
      </w:r>
      <w:r>
        <w:rPr>
          <w:rFonts w:ascii="David" w:hAnsi="David" w:hint="cs"/>
          <w:rtl/>
        </w:rPr>
        <w:t>,</w:t>
      </w:r>
      <w:r w:rsidRPr="00EF0C06">
        <w:rPr>
          <w:rFonts w:ascii="David" w:hAnsi="David"/>
          <w:rtl/>
        </w:rPr>
        <w:t xml:space="preserve"> במסגרת השירות הצבאי החל לחוות כאבי מפרקים שנמשכים עד היום</w:t>
      </w:r>
      <w:r>
        <w:rPr>
          <w:rFonts w:ascii="David" w:hAnsi="David" w:hint="cs"/>
          <w:rtl/>
        </w:rPr>
        <w:t xml:space="preserve">. בנוסף, </w:t>
      </w:r>
      <w:r w:rsidRPr="00EF0C06">
        <w:rPr>
          <w:rFonts w:ascii="David" w:hAnsi="David"/>
          <w:rtl/>
        </w:rPr>
        <w:t>חווה לפני 6 שנים פגיעה ברצועה בקרסול, בגינה היה בטיפול רפואי ופיזיותרפיה.</w:t>
      </w:r>
    </w:p>
    <w:p w14:paraId="7988FCAA"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 xml:space="preserve">הנאשם מסר כי החל להשתמש בקנאביס מגיל 20 על רקע מצבו הבריאותי, ולעיתים רחוקות </w:t>
      </w:r>
      <w:r>
        <w:rPr>
          <w:rFonts w:ascii="David" w:hAnsi="David" w:hint="cs"/>
          <w:rtl/>
        </w:rPr>
        <w:t xml:space="preserve">עשה </w:t>
      </w:r>
      <w:r w:rsidRPr="00EF0C06">
        <w:rPr>
          <w:rFonts w:ascii="David" w:hAnsi="David"/>
          <w:rtl/>
        </w:rPr>
        <w:t xml:space="preserve">שימוש </w:t>
      </w:r>
      <w:r>
        <w:rPr>
          <w:rFonts w:ascii="David" w:hAnsi="David" w:hint="cs"/>
          <w:rtl/>
        </w:rPr>
        <w:t xml:space="preserve">בסם גם </w:t>
      </w:r>
      <w:r w:rsidRPr="00EF0C06">
        <w:rPr>
          <w:rFonts w:ascii="David" w:hAnsi="David"/>
          <w:rtl/>
        </w:rPr>
        <w:t>באירועים חברתיים. ל</w:t>
      </w:r>
      <w:r>
        <w:rPr>
          <w:rFonts w:ascii="David" w:hAnsi="David" w:hint="cs"/>
          <w:rtl/>
        </w:rPr>
        <w:t>דבריו</w:t>
      </w:r>
      <w:r w:rsidRPr="00EF0C06">
        <w:rPr>
          <w:rFonts w:ascii="David" w:hAnsi="David"/>
          <w:rtl/>
        </w:rPr>
        <w:t xml:space="preserve">, </w:t>
      </w:r>
      <w:r>
        <w:rPr>
          <w:rFonts w:ascii="David" w:hAnsi="David" w:hint="cs"/>
          <w:rtl/>
        </w:rPr>
        <w:t>נהג להח</w:t>
      </w:r>
      <w:r w:rsidRPr="00EF0C06">
        <w:rPr>
          <w:rFonts w:ascii="David" w:hAnsi="David"/>
          <w:rtl/>
        </w:rPr>
        <w:t>ביא את ה</w:t>
      </w:r>
      <w:r>
        <w:rPr>
          <w:rFonts w:ascii="David" w:hAnsi="David" w:hint="cs"/>
          <w:rtl/>
        </w:rPr>
        <w:t>סם</w:t>
      </w:r>
      <w:r w:rsidRPr="00EF0C06">
        <w:rPr>
          <w:rFonts w:ascii="David" w:hAnsi="David"/>
          <w:rtl/>
        </w:rPr>
        <w:t xml:space="preserve"> במקומות גבוהים, וכיום לאחר </w:t>
      </w:r>
      <w:r>
        <w:rPr>
          <w:rFonts w:ascii="David" w:hAnsi="David" w:hint="cs"/>
          <w:rtl/>
        </w:rPr>
        <w:t xml:space="preserve">האירוע הוא כלל אינו מכניס סמים </w:t>
      </w:r>
      <w:r w:rsidRPr="00EF0C06">
        <w:rPr>
          <w:rFonts w:ascii="David" w:hAnsi="David"/>
          <w:rtl/>
        </w:rPr>
        <w:t xml:space="preserve">לביתו. הנאשם הביע עמדות מקלות </w:t>
      </w:r>
      <w:r>
        <w:rPr>
          <w:rFonts w:ascii="David" w:hAnsi="David" w:hint="cs"/>
          <w:rtl/>
        </w:rPr>
        <w:t xml:space="preserve">ביחס </w:t>
      </w:r>
      <w:r w:rsidRPr="00EF0C06">
        <w:rPr>
          <w:rFonts w:ascii="David" w:hAnsi="David"/>
          <w:rtl/>
        </w:rPr>
        <w:t xml:space="preserve">לשימוש בסם, </w:t>
      </w:r>
      <w:r>
        <w:rPr>
          <w:rFonts w:ascii="David" w:hAnsi="David" w:hint="cs"/>
          <w:rtl/>
        </w:rPr>
        <w:t xml:space="preserve">ואין ברשותו </w:t>
      </w:r>
      <w:r w:rsidRPr="00EF0C06">
        <w:rPr>
          <w:rFonts w:ascii="David" w:hAnsi="David"/>
          <w:rtl/>
        </w:rPr>
        <w:t>רישיון ל</w:t>
      </w:r>
      <w:r>
        <w:rPr>
          <w:rFonts w:ascii="David" w:hAnsi="David" w:hint="cs"/>
          <w:rtl/>
        </w:rPr>
        <w:t xml:space="preserve">צרוך </w:t>
      </w:r>
      <w:r w:rsidRPr="00EF0C06">
        <w:rPr>
          <w:rFonts w:ascii="David" w:hAnsi="David"/>
          <w:rtl/>
        </w:rPr>
        <w:t xml:space="preserve">קנביס רפואי. הנאשם </w:t>
      </w:r>
      <w:r>
        <w:rPr>
          <w:rFonts w:ascii="David" w:hAnsi="David" w:hint="cs"/>
          <w:rtl/>
        </w:rPr>
        <w:t>מסר שתי בדיקות לאיתור שרידי סם אשר נמצאו נקיות</w:t>
      </w:r>
      <w:r w:rsidRPr="00EF0C06">
        <w:rPr>
          <w:rFonts w:ascii="David" w:hAnsi="David"/>
          <w:rtl/>
        </w:rPr>
        <w:t>.</w:t>
      </w:r>
    </w:p>
    <w:p w14:paraId="17520E0E"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ב</w:t>
      </w:r>
      <w:r>
        <w:rPr>
          <w:rFonts w:ascii="David" w:hAnsi="David" w:hint="cs"/>
          <w:rtl/>
        </w:rPr>
        <w:t>התייחס לאירוע תיאר</w:t>
      </w:r>
      <w:r w:rsidRPr="00EF0C06">
        <w:rPr>
          <w:rFonts w:ascii="David" w:hAnsi="David"/>
          <w:rtl/>
        </w:rPr>
        <w:t xml:space="preserve"> הנאשם</w:t>
      </w:r>
      <w:r>
        <w:rPr>
          <w:rFonts w:ascii="David" w:hAnsi="David" w:hint="cs"/>
          <w:rtl/>
        </w:rPr>
        <w:t xml:space="preserve">, </w:t>
      </w:r>
      <w:r w:rsidRPr="00EF0C06">
        <w:rPr>
          <w:rFonts w:ascii="David" w:hAnsi="David"/>
          <w:rtl/>
        </w:rPr>
        <w:t xml:space="preserve">כי ילדיו הביאו כיסא </w:t>
      </w:r>
      <w:r>
        <w:rPr>
          <w:rFonts w:ascii="David" w:hAnsi="David" w:hint="cs"/>
          <w:rtl/>
        </w:rPr>
        <w:t xml:space="preserve">בסמוך </w:t>
      </w:r>
      <w:r w:rsidRPr="00EF0C06">
        <w:rPr>
          <w:rFonts w:ascii="David" w:hAnsi="David"/>
          <w:rtl/>
        </w:rPr>
        <w:t xml:space="preserve">לארון שבה </w:t>
      </w:r>
      <w:r>
        <w:rPr>
          <w:rFonts w:ascii="David" w:hAnsi="David" w:hint="cs"/>
          <w:rtl/>
        </w:rPr>
        <w:t xml:space="preserve">מצויה </w:t>
      </w:r>
      <w:r w:rsidRPr="00EF0C06">
        <w:rPr>
          <w:rFonts w:ascii="David" w:hAnsi="David"/>
          <w:rtl/>
        </w:rPr>
        <w:t>מגירה גבוהה</w:t>
      </w:r>
      <w:r>
        <w:rPr>
          <w:rFonts w:ascii="David" w:hAnsi="David" w:hint="cs"/>
          <w:rtl/>
        </w:rPr>
        <w:t xml:space="preserve">, טיפסו עליו, </w:t>
      </w:r>
      <w:r w:rsidRPr="00EF0C06">
        <w:rPr>
          <w:rFonts w:ascii="David" w:hAnsi="David"/>
          <w:rtl/>
        </w:rPr>
        <w:t>ו</w:t>
      </w:r>
      <w:r>
        <w:rPr>
          <w:rFonts w:ascii="David" w:hAnsi="David" w:hint="cs"/>
          <w:rtl/>
        </w:rPr>
        <w:t xml:space="preserve">שפכו </w:t>
      </w:r>
      <w:r w:rsidRPr="00EF0C06">
        <w:rPr>
          <w:rFonts w:ascii="David" w:hAnsi="David"/>
          <w:rtl/>
        </w:rPr>
        <w:t xml:space="preserve">את תכולתה </w:t>
      </w:r>
      <w:r>
        <w:rPr>
          <w:rFonts w:ascii="David" w:hAnsi="David" w:hint="cs"/>
          <w:rtl/>
        </w:rPr>
        <w:t xml:space="preserve">של המגירה </w:t>
      </w:r>
      <w:r w:rsidRPr="00EF0C06">
        <w:rPr>
          <w:rFonts w:ascii="David" w:hAnsi="David"/>
          <w:rtl/>
        </w:rPr>
        <w:t>לרצפה. בתוך המגירה ה</w:t>
      </w:r>
      <w:r>
        <w:rPr>
          <w:rFonts w:ascii="David" w:hAnsi="David" w:hint="cs"/>
          <w:rtl/>
        </w:rPr>
        <w:t>י</w:t>
      </w:r>
      <w:r w:rsidRPr="00EF0C06">
        <w:rPr>
          <w:rFonts w:ascii="David" w:hAnsi="David"/>
          <w:rtl/>
        </w:rPr>
        <w:t xml:space="preserve">יתה </w:t>
      </w:r>
      <w:r>
        <w:rPr>
          <w:rFonts w:ascii="David" w:hAnsi="David" w:hint="cs"/>
          <w:rtl/>
        </w:rPr>
        <w:t xml:space="preserve">לדבריו </w:t>
      </w:r>
      <w:r w:rsidRPr="00EF0C06">
        <w:rPr>
          <w:rFonts w:ascii="David" w:hAnsi="David"/>
          <w:rtl/>
        </w:rPr>
        <w:t xml:space="preserve">חצי סיגריה יבשה של קנאביס </w:t>
      </w:r>
      <w:r>
        <w:rPr>
          <w:rFonts w:ascii="David" w:hAnsi="David" w:hint="cs"/>
          <w:rtl/>
        </w:rPr>
        <w:t>אשר שכח מקיו</w:t>
      </w:r>
      <w:r w:rsidRPr="00EF0C06">
        <w:rPr>
          <w:rFonts w:ascii="David" w:hAnsi="David"/>
          <w:rtl/>
        </w:rPr>
        <w:t xml:space="preserve">מה. </w:t>
      </w:r>
      <w:r>
        <w:rPr>
          <w:rFonts w:ascii="David" w:hAnsi="David" w:hint="cs"/>
          <w:rtl/>
        </w:rPr>
        <w:t xml:space="preserve">לדבריו, הוא </w:t>
      </w:r>
      <w:r w:rsidRPr="00EF0C06">
        <w:rPr>
          <w:rFonts w:ascii="David" w:hAnsi="David"/>
          <w:rtl/>
        </w:rPr>
        <w:t xml:space="preserve">שוכח לעתים היכן שם את חפציו אך לא ידע לומר האם הדבר קשור למחלת האפילפסיה. </w:t>
      </w:r>
      <w:r>
        <w:rPr>
          <w:rFonts w:ascii="David" w:hAnsi="David" w:hint="cs"/>
          <w:rtl/>
        </w:rPr>
        <w:t xml:space="preserve">על פיו, </w:t>
      </w:r>
      <w:r w:rsidRPr="00EF0C06">
        <w:rPr>
          <w:rFonts w:ascii="David" w:hAnsi="David"/>
          <w:rtl/>
        </w:rPr>
        <w:t>אשתו ה</w:t>
      </w:r>
      <w:r>
        <w:rPr>
          <w:rFonts w:ascii="David" w:hAnsi="David" w:hint="cs"/>
          <w:rtl/>
        </w:rPr>
        <w:t>י</w:t>
      </w:r>
      <w:r w:rsidRPr="00EF0C06">
        <w:rPr>
          <w:rFonts w:ascii="David" w:hAnsi="David"/>
          <w:rtl/>
        </w:rPr>
        <w:t>יתה בבית ב</w:t>
      </w:r>
      <w:r>
        <w:rPr>
          <w:rFonts w:ascii="David" w:hAnsi="David" w:hint="cs"/>
          <w:rtl/>
        </w:rPr>
        <w:t xml:space="preserve">עת </w:t>
      </w:r>
      <w:r w:rsidRPr="00EF0C06">
        <w:rPr>
          <w:rFonts w:ascii="David" w:hAnsi="David"/>
          <w:rtl/>
        </w:rPr>
        <w:t>האירוע</w:t>
      </w:r>
      <w:r>
        <w:rPr>
          <w:rFonts w:ascii="David" w:hAnsi="David" w:hint="cs"/>
          <w:rtl/>
        </w:rPr>
        <w:t>,</w:t>
      </w:r>
      <w:r w:rsidRPr="00EF0C06">
        <w:rPr>
          <w:rFonts w:ascii="David" w:hAnsi="David"/>
          <w:rtl/>
        </w:rPr>
        <w:t xml:space="preserve"> והתקשרה </w:t>
      </w:r>
      <w:r>
        <w:rPr>
          <w:rFonts w:ascii="David" w:hAnsi="David" w:hint="cs"/>
          <w:rtl/>
        </w:rPr>
        <w:t>אליו כ</w:t>
      </w:r>
      <w:r w:rsidRPr="00EF0C06">
        <w:rPr>
          <w:rFonts w:ascii="David" w:hAnsi="David"/>
          <w:rtl/>
        </w:rPr>
        <w:t xml:space="preserve">אשר מצאה את שאריות הסיגריה </w:t>
      </w:r>
      <w:r>
        <w:rPr>
          <w:rFonts w:ascii="David" w:hAnsi="David" w:hint="cs"/>
          <w:rtl/>
        </w:rPr>
        <w:t xml:space="preserve">זרוקות </w:t>
      </w:r>
      <w:r w:rsidRPr="00EF0C06">
        <w:rPr>
          <w:rFonts w:ascii="David" w:hAnsi="David"/>
          <w:rtl/>
        </w:rPr>
        <w:t xml:space="preserve">על הרצפה, </w:t>
      </w:r>
      <w:r>
        <w:rPr>
          <w:rFonts w:ascii="David" w:hAnsi="David" w:hint="cs"/>
          <w:rtl/>
        </w:rPr>
        <w:t xml:space="preserve">אז </w:t>
      </w:r>
      <w:r w:rsidRPr="00EF0C06">
        <w:rPr>
          <w:rFonts w:ascii="David" w:hAnsi="David"/>
          <w:rtl/>
        </w:rPr>
        <w:t xml:space="preserve">חזר לראות במה </w:t>
      </w:r>
      <w:r>
        <w:rPr>
          <w:rFonts w:ascii="David" w:hAnsi="David" w:hint="cs"/>
          <w:rtl/>
        </w:rPr>
        <w:t>ה</w:t>
      </w:r>
      <w:r w:rsidRPr="00EF0C06">
        <w:rPr>
          <w:rFonts w:ascii="David" w:hAnsi="David"/>
          <w:rtl/>
        </w:rPr>
        <w:t xml:space="preserve">מדובר. </w:t>
      </w:r>
      <w:r>
        <w:rPr>
          <w:rFonts w:ascii="David" w:hAnsi="David" w:hint="cs"/>
          <w:rtl/>
        </w:rPr>
        <w:t>שני</w:t>
      </w:r>
      <w:r w:rsidRPr="00EF0C06">
        <w:rPr>
          <w:rFonts w:ascii="David" w:hAnsi="David"/>
          <w:rtl/>
        </w:rPr>
        <w:t xml:space="preserve">הם שאלו את שני ילדיהם </w:t>
      </w:r>
      <w:r>
        <w:rPr>
          <w:rFonts w:ascii="David" w:hAnsi="David" w:hint="cs"/>
          <w:rtl/>
        </w:rPr>
        <w:t>כ</w:t>
      </w:r>
      <w:r w:rsidRPr="00EF0C06">
        <w:rPr>
          <w:rFonts w:ascii="David" w:hAnsi="David"/>
          <w:rtl/>
        </w:rPr>
        <w:t>בני 3.5 ושנתיים אם נגעו בסיגריה</w:t>
      </w:r>
      <w:r>
        <w:rPr>
          <w:rFonts w:ascii="David" w:hAnsi="David" w:hint="cs"/>
          <w:rtl/>
        </w:rPr>
        <w:t>,</w:t>
      </w:r>
      <w:r w:rsidRPr="00EF0C06">
        <w:rPr>
          <w:rFonts w:ascii="David" w:hAnsi="David"/>
          <w:rtl/>
        </w:rPr>
        <w:t xml:space="preserve"> והם </w:t>
      </w:r>
      <w:r>
        <w:rPr>
          <w:rFonts w:ascii="David" w:hAnsi="David" w:hint="cs"/>
          <w:rtl/>
        </w:rPr>
        <w:t xml:space="preserve">השיבו </w:t>
      </w:r>
      <w:r w:rsidRPr="00EF0C06">
        <w:rPr>
          <w:rFonts w:ascii="David" w:hAnsi="David"/>
          <w:rtl/>
        </w:rPr>
        <w:t>שלא</w:t>
      </w:r>
      <w:r>
        <w:rPr>
          <w:rFonts w:ascii="David" w:hAnsi="David" w:hint="cs"/>
          <w:rtl/>
        </w:rPr>
        <w:t xml:space="preserve">. משום שילדם בן </w:t>
      </w:r>
      <w:r w:rsidRPr="00EF0C06">
        <w:rPr>
          <w:rFonts w:ascii="David" w:hAnsi="David"/>
          <w:rtl/>
        </w:rPr>
        <w:t>השנה היה בל</w:t>
      </w:r>
      <w:r>
        <w:rPr>
          <w:rFonts w:ascii="David" w:hAnsi="David" w:hint="cs"/>
          <w:rtl/>
        </w:rPr>
        <w:t>א</w:t>
      </w:r>
      <w:r w:rsidRPr="00EF0C06">
        <w:rPr>
          <w:rFonts w:ascii="David" w:hAnsi="David"/>
          <w:rtl/>
        </w:rPr>
        <w:t xml:space="preserve"> מוצץ</w:t>
      </w:r>
      <w:r>
        <w:rPr>
          <w:rFonts w:ascii="David" w:hAnsi="David" w:hint="cs"/>
          <w:rtl/>
        </w:rPr>
        <w:t xml:space="preserve">, </w:t>
      </w:r>
      <w:r w:rsidRPr="00EF0C06">
        <w:rPr>
          <w:rFonts w:ascii="David" w:hAnsi="David"/>
          <w:rtl/>
        </w:rPr>
        <w:t xml:space="preserve">לקח אותו </w:t>
      </w:r>
      <w:r>
        <w:rPr>
          <w:rFonts w:ascii="David" w:hAnsi="David" w:hint="cs"/>
          <w:rtl/>
        </w:rPr>
        <w:t xml:space="preserve">הנאשם </w:t>
      </w:r>
      <w:r w:rsidRPr="00EF0C06">
        <w:rPr>
          <w:rFonts w:ascii="David" w:hAnsi="David"/>
          <w:rtl/>
        </w:rPr>
        <w:t>לבית החולים</w:t>
      </w:r>
      <w:r>
        <w:rPr>
          <w:rFonts w:ascii="David" w:hAnsi="David" w:hint="cs"/>
          <w:rtl/>
        </w:rPr>
        <w:t xml:space="preserve">, שם </w:t>
      </w:r>
      <w:r w:rsidRPr="00EF0C06">
        <w:rPr>
          <w:rFonts w:ascii="David" w:hAnsi="David"/>
          <w:rtl/>
        </w:rPr>
        <w:t>נמסר להם</w:t>
      </w:r>
      <w:r>
        <w:rPr>
          <w:rFonts w:ascii="David" w:hAnsi="David" w:hint="cs"/>
          <w:rtl/>
        </w:rPr>
        <w:t>,</w:t>
      </w:r>
      <w:r w:rsidRPr="00EF0C06">
        <w:rPr>
          <w:rFonts w:ascii="David" w:hAnsi="David"/>
          <w:rtl/>
        </w:rPr>
        <w:t xml:space="preserve"> כי בגופו נמצאו נגיעות של קנאביס ו</w:t>
      </w:r>
      <w:r>
        <w:rPr>
          <w:rFonts w:ascii="David" w:hAnsi="David" w:hint="cs"/>
          <w:rtl/>
        </w:rPr>
        <w:t xml:space="preserve">הוא </w:t>
      </w:r>
      <w:r w:rsidRPr="00EF0C06">
        <w:rPr>
          <w:rFonts w:ascii="David" w:hAnsi="David"/>
          <w:rtl/>
        </w:rPr>
        <w:t>נראה קצת עייף</w:t>
      </w:r>
      <w:r>
        <w:rPr>
          <w:rFonts w:ascii="David" w:hAnsi="David" w:hint="cs"/>
          <w:rtl/>
        </w:rPr>
        <w:t>,</w:t>
      </w:r>
      <w:r w:rsidRPr="00EF0C06">
        <w:rPr>
          <w:rFonts w:ascii="David" w:hAnsi="David"/>
          <w:rtl/>
        </w:rPr>
        <w:t xml:space="preserve"> אך ללא סכנת חיים.</w:t>
      </w:r>
    </w:p>
    <w:p w14:paraId="41F1F226" w14:textId="77777777" w:rsidR="00945B9D" w:rsidRPr="00E537B7" w:rsidRDefault="00945B9D" w:rsidP="00945B9D">
      <w:pPr>
        <w:pStyle w:val="a9"/>
        <w:numPr>
          <w:ilvl w:val="0"/>
          <w:numId w:val="1"/>
        </w:numPr>
        <w:spacing w:line="360" w:lineRule="auto"/>
        <w:jc w:val="both"/>
        <w:rPr>
          <w:rFonts w:ascii="David" w:hAnsi="David"/>
          <w:rtl/>
        </w:rPr>
      </w:pPr>
      <w:r w:rsidRPr="00E537B7">
        <w:rPr>
          <w:rFonts w:ascii="David" w:hAnsi="David"/>
          <w:rtl/>
        </w:rPr>
        <w:lastRenderedPageBreak/>
        <w:t>כגורמי סיכון צוין</w:t>
      </w:r>
      <w:r w:rsidRPr="00E537B7">
        <w:rPr>
          <w:rFonts w:ascii="David" w:hAnsi="David" w:hint="cs"/>
          <w:rtl/>
        </w:rPr>
        <w:t>,</w:t>
      </w:r>
      <w:r w:rsidRPr="00E537B7">
        <w:rPr>
          <w:rFonts w:ascii="David" w:hAnsi="David"/>
          <w:rtl/>
        </w:rPr>
        <w:t xml:space="preserve"> כי לנאשם רקע של שימוש בקנאביס ללא רישיון</w:t>
      </w:r>
      <w:r>
        <w:rPr>
          <w:rFonts w:ascii="David" w:hAnsi="David" w:hint="cs"/>
          <w:rtl/>
        </w:rPr>
        <w:t>,</w:t>
      </w:r>
      <w:r w:rsidRPr="00E537B7">
        <w:rPr>
          <w:rFonts w:ascii="David" w:hAnsi="David"/>
          <w:rtl/>
        </w:rPr>
        <w:t xml:space="preserve"> ומציאת פתרונות שאינם חוקיים להקלת כאביו, ו</w:t>
      </w:r>
      <w:r w:rsidRPr="00E537B7">
        <w:rPr>
          <w:rFonts w:ascii="David" w:hAnsi="David" w:hint="cs"/>
          <w:rtl/>
        </w:rPr>
        <w:t xml:space="preserve">הוא </w:t>
      </w:r>
      <w:r w:rsidRPr="00E537B7">
        <w:rPr>
          <w:rFonts w:ascii="David" w:hAnsi="David"/>
          <w:rtl/>
        </w:rPr>
        <w:t>מחזיק בעמדות מקלות בנוגע לשימוש בסם. כגורמי סיכוי צוי</w:t>
      </w:r>
      <w:r w:rsidRPr="00E537B7">
        <w:rPr>
          <w:rFonts w:ascii="David" w:hAnsi="David" w:hint="cs"/>
          <w:rtl/>
        </w:rPr>
        <w:t>נו</w:t>
      </w:r>
      <w:r>
        <w:rPr>
          <w:rFonts w:ascii="David" w:hAnsi="David" w:hint="cs"/>
          <w:rtl/>
        </w:rPr>
        <w:t xml:space="preserve"> הנתונים הבאים</w:t>
      </w:r>
      <w:r w:rsidRPr="00E537B7">
        <w:rPr>
          <w:rFonts w:ascii="David" w:hAnsi="David" w:hint="cs"/>
          <w:rtl/>
        </w:rPr>
        <w:t xml:space="preserve">: </w:t>
      </w:r>
      <w:r w:rsidRPr="00E537B7">
        <w:rPr>
          <w:rFonts w:ascii="David" w:hAnsi="David"/>
          <w:rtl/>
        </w:rPr>
        <w:t xml:space="preserve">העדר </w:t>
      </w:r>
      <w:r w:rsidRPr="00E537B7">
        <w:rPr>
          <w:rFonts w:ascii="David" w:hAnsi="David" w:hint="cs"/>
          <w:rtl/>
        </w:rPr>
        <w:t xml:space="preserve">רישום </w:t>
      </w:r>
      <w:r w:rsidRPr="00E537B7">
        <w:rPr>
          <w:rFonts w:ascii="David" w:hAnsi="David"/>
          <w:rtl/>
        </w:rPr>
        <w:t>פלילי, יציבות תעסוקתית, הפקת לקחים מביצוע העבירה ורתיעה מחזרה להליך פלילי, וכן קיומה של מערכת תמיכה המגנה את מעשה העבירה.</w:t>
      </w:r>
      <w:r w:rsidRPr="00E537B7">
        <w:rPr>
          <w:rFonts w:ascii="David" w:hAnsi="David" w:hint="cs"/>
          <w:rtl/>
        </w:rPr>
        <w:t xml:space="preserve"> </w:t>
      </w:r>
      <w:r w:rsidRPr="00E537B7">
        <w:rPr>
          <w:rFonts w:ascii="David" w:hAnsi="David"/>
          <w:rtl/>
        </w:rPr>
        <w:t>מששלל הנאשם נזקקות טיפולית, והתרשמות השירות כי לנאשם יכולת טובה להימנע מהתנהגות פלילית בכוחות עצמו, לא הומלץ על שילובו בטיפול במסגרת</w:t>
      </w:r>
      <w:r>
        <w:rPr>
          <w:rFonts w:ascii="David" w:hAnsi="David" w:hint="cs"/>
          <w:rtl/>
        </w:rPr>
        <w:t>ם</w:t>
      </w:r>
      <w:r w:rsidRPr="00E537B7">
        <w:rPr>
          <w:rFonts w:ascii="David" w:hAnsi="David"/>
          <w:rtl/>
        </w:rPr>
        <w:t xml:space="preserve">.   </w:t>
      </w:r>
    </w:p>
    <w:p w14:paraId="79E36515" w14:textId="77777777" w:rsidR="00945B9D" w:rsidRPr="00EF0C06" w:rsidRDefault="00945B9D" w:rsidP="00945B9D">
      <w:pPr>
        <w:pStyle w:val="a9"/>
        <w:numPr>
          <w:ilvl w:val="0"/>
          <w:numId w:val="1"/>
        </w:numPr>
        <w:spacing w:line="360" w:lineRule="auto"/>
        <w:jc w:val="both"/>
        <w:rPr>
          <w:rFonts w:ascii="David" w:hAnsi="David"/>
          <w:rtl/>
        </w:rPr>
      </w:pPr>
      <w:r>
        <w:rPr>
          <w:rFonts w:ascii="David" w:hAnsi="David" w:hint="cs"/>
          <w:rtl/>
        </w:rPr>
        <w:t>ב</w:t>
      </w:r>
      <w:r w:rsidRPr="00EF0C06">
        <w:rPr>
          <w:rFonts w:ascii="David" w:hAnsi="David"/>
          <w:rtl/>
        </w:rPr>
        <w:t>עניין סוגיית ביטול הרשעה</w:t>
      </w:r>
      <w:r>
        <w:rPr>
          <w:rFonts w:ascii="David" w:hAnsi="David" w:hint="cs"/>
          <w:rtl/>
        </w:rPr>
        <w:t xml:space="preserve"> ציין שרות המבחן</w:t>
      </w:r>
      <w:r w:rsidRPr="00EF0C06">
        <w:rPr>
          <w:rFonts w:ascii="David" w:hAnsi="David"/>
          <w:rtl/>
        </w:rPr>
        <w:t xml:space="preserve">, </w:t>
      </w:r>
      <w:r>
        <w:rPr>
          <w:rFonts w:ascii="David" w:hAnsi="David" w:hint="cs"/>
          <w:rtl/>
        </w:rPr>
        <w:t xml:space="preserve">כי </w:t>
      </w:r>
      <w:r w:rsidRPr="00EF0C06">
        <w:rPr>
          <w:rFonts w:ascii="David" w:hAnsi="David"/>
          <w:rtl/>
        </w:rPr>
        <w:t>לא הוצגו בפני</w:t>
      </w:r>
      <w:r>
        <w:rPr>
          <w:rFonts w:ascii="David" w:hAnsi="David" w:hint="cs"/>
          <w:rtl/>
        </w:rPr>
        <w:t>הם</w:t>
      </w:r>
      <w:r w:rsidRPr="00EF0C06">
        <w:rPr>
          <w:rFonts w:ascii="David" w:hAnsi="David"/>
          <w:rtl/>
        </w:rPr>
        <w:t xml:space="preserve"> מסמכים המעידים על פגיעה בתעסוקתו של הנאשם, </w:t>
      </w:r>
      <w:r>
        <w:rPr>
          <w:rFonts w:ascii="David" w:hAnsi="David" w:hint="cs"/>
          <w:rtl/>
        </w:rPr>
        <w:t>ו</w:t>
      </w:r>
      <w:r w:rsidRPr="00EF0C06">
        <w:rPr>
          <w:rFonts w:ascii="David" w:hAnsi="David"/>
          <w:rtl/>
        </w:rPr>
        <w:t xml:space="preserve">לפיכך אין בסיס להמלצה </w:t>
      </w:r>
      <w:r>
        <w:rPr>
          <w:rFonts w:ascii="David" w:hAnsi="David" w:hint="cs"/>
          <w:rtl/>
        </w:rPr>
        <w:t>בעניין זה</w:t>
      </w:r>
      <w:r w:rsidRPr="00EF0C06">
        <w:rPr>
          <w:rFonts w:ascii="David" w:hAnsi="David"/>
          <w:rtl/>
        </w:rPr>
        <w:t>.</w:t>
      </w:r>
    </w:p>
    <w:p w14:paraId="23A9C932"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 xml:space="preserve">לעניין העונש הומלץ על הטלת ענישה במסגרת של"צ בהיקף 220 שעות, מתן הוראה למסירת בדיקות שתן, </w:t>
      </w:r>
      <w:r>
        <w:rPr>
          <w:rFonts w:ascii="David" w:hAnsi="David" w:hint="cs"/>
          <w:rtl/>
        </w:rPr>
        <w:t xml:space="preserve">לצד </w:t>
      </w:r>
      <w:r w:rsidRPr="00EF0C06">
        <w:rPr>
          <w:rFonts w:ascii="David" w:hAnsi="David"/>
          <w:rtl/>
        </w:rPr>
        <w:t>מאסר מותנה.</w:t>
      </w:r>
    </w:p>
    <w:p w14:paraId="439852AA" w14:textId="77777777" w:rsidR="00945B9D" w:rsidRPr="001A200E" w:rsidRDefault="00945B9D" w:rsidP="00945B9D">
      <w:pPr>
        <w:spacing w:line="360" w:lineRule="auto"/>
        <w:ind w:firstLine="720"/>
        <w:jc w:val="both"/>
        <w:rPr>
          <w:rFonts w:ascii="David" w:hAnsi="David"/>
          <w:b/>
          <w:bCs/>
          <w:rtl/>
        </w:rPr>
      </w:pPr>
      <w:r w:rsidRPr="001A200E">
        <w:rPr>
          <w:rFonts w:ascii="David" w:hAnsi="David" w:hint="cs"/>
          <w:b/>
          <w:bCs/>
          <w:u w:val="single"/>
          <w:rtl/>
        </w:rPr>
        <w:t>תמצית טיעוני הצדדים</w:t>
      </w:r>
      <w:r w:rsidRPr="001A200E">
        <w:rPr>
          <w:rFonts w:ascii="David" w:hAnsi="David" w:hint="cs"/>
          <w:b/>
          <w:bCs/>
          <w:rtl/>
        </w:rPr>
        <w:t xml:space="preserve">: </w:t>
      </w:r>
    </w:p>
    <w:p w14:paraId="45A812E2"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 xml:space="preserve">המאשימה </w:t>
      </w:r>
      <w:r>
        <w:rPr>
          <w:rFonts w:ascii="David" w:hAnsi="David" w:hint="cs"/>
          <w:rtl/>
        </w:rPr>
        <w:t>הפנתה בטיעוניה לנסיבות האירוע, ה</w:t>
      </w:r>
      <w:r w:rsidRPr="00EF0C06">
        <w:rPr>
          <w:rFonts w:ascii="David" w:hAnsi="David"/>
          <w:rtl/>
        </w:rPr>
        <w:t>ערכים המוגנים בהם פגע הנאשם, בהם שלומם וביטחונם של קטינים, הגנה על שלום הציבור ושלטון החוק. נטען</w:t>
      </w:r>
      <w:r>
        <w:rPr>
          <w:rFonts w:ascii="David" w:hAnsi="David" w:hint="cs"/>
          <w:rtl/>
        </w:rPr>
        <w:t>,</w:t>
      </w:r>
      <w:r w:rsidRPr="00EF0C06">
        <w:rPr>
          <w:rFonts w:ascii="David" w:hAnsi="David"/>
          <w:rtl/>
        </w:rPr>
        <w:t xml:space="preserve"> כי הנאשם ידע אודות הסיכון הכרוך בהחזקת הסם </w:t>
      </w:r>
      <w:r>
        <w:rPr>
          <w:rFonts w:ascii="David" w:hAnsi="David" w:hint="cs"/>
          <w:rtl/>
        </w:rPr>
        <w:t xml:space="preserve">בבית </w:t>
      </w:r>
      <w:r w:rsidRPr="00EF0C06">
        <w:rPr>
          <w:rFonts w:ascii="David" w:hAnsi="David"/>
          <w:rtl/>
        </w:rPr>
        <w:t>והימצאותו בקרבת ילדיו, אך לא נקט באמצעי זהירות ו</w:t>
      </w:r>
      <w:r>
        <w:rPr>
          <w:rFonts w:ascii="David" w:hAnsi="David" w:hint="cs"/>
          <w:rtl/>
        </w:rPr>
        <w:t xml:space="preserve">בכך </w:t>
      </w:r>
      <w:r w:rsidRPr="00EF0C06">
        <w:rPr>
          <w:rFonts w:ascii="David" w:hAnsi="David"/>
          <w:rtl/>
        </w:rPr>
        <w:t xml:space="preserve">התרשל. </w:t>
      </w:r>
    </w:p>
    <w:p w14:paraId="5BE93ABF" w14:textId="77777777" w:rsidR="00945B9D" w:rsidRPr="001A200E" w:rsidRDefault="00945B9D" w:rsidP="00945B9D">
      <w:pPr>
        <w:pStyle w:val="a9"/>
        <w:numPr>
          <w:ilvl w:val="0"/>
          <w:numId w:val="1"/>
        </w:numPr>
        <w:spacing w:line="360" w:lineRule="auto"/>
        <w:jc w:val="both"/>
        <w:rPr>
          <w:rFonts w:ascii="David" w:hAnsi="David"/>
          <w:rtl/>
        </w:rPr>
      </w:pPr>
      <w:r w:rsidRPr="001A200E">
        <w:rPr>
          <w:rFonts w:ascii="David" w:hAnsi="David"/>
          <w:rtl/>
        </w:rPr>
        <w:t>ביחס לתסקיר נטען</w:t>
      </w:r>
      <w:r w:rsidRPr="001A200E">
        <w:rPr>
          <w:rFonts w:ascii="David" w:hAnsi="David" w:hint="cs"/>
          <w:rtl/>
        </w:rPr>
        <w:t>,</w:t>
      </w:r>
      <w:r w:rsidRPr="001A200E">
        <w:rPr>
          <w:rFonts w:ascii="David" w:hAnsi="David"/>
          <w:rtl/>
        </w:rPr>
        <w:t xml:space="preserve"> כי התסקיר נמנע מלהמליץ על אי הרשעה, וכי הנאשם הפסיק בהדרגה לשתף פעולה עם שירות המבחן, לא נענה לניסיונותיהם ליצור עמו קשר, ולא ניצל את ההזדמנות שניתנה לו. כמו כן לא הוכחה פגיעה אפשרית בפרנסתו הנוכחית של הנאשם. משלא הוכחה פגיעה קונקרטית בתעסוקתו של הנאשם, קיים אינטרס ציבורי מובהק להרשיע את הנאשם</w:t>
      </w:r>
      <w:r w:rsidRPr="001A200E">
        <w:rPr>
          <w:rFonts w:ascii="David" w:hAnsi="David" w:hint="cs"/>
          <w:rtl/>
        </w:rPr>
        <w:t>, ולהטיל על הנאשם</w:t>
      </w:r>
      <w:r>
        <w:rPr>
          <w:rFonts w:ascii="David" w:hAnsi="David" w:hint="cs"/>
          <w:rtl/>
        </w:rPr>
        <w:t xml:space="preserve"> של"צ בהיקף נרחב של </w:t>
      </w:r>
      <w:r w:rsidRPr="001A200E">
        <w:rPr>
          <w:rFonts w:ascii="David" w:hAnsi="David" w:hint="cs"/>
          <w:rtl/>
        </w:rPr>
        <w:t>400 שעות</w:t>
      </w:r>
      <w:r>
        <w:rPr>
          <w:rFonts w:ascii="David" w:hAnsi="David" w:hint="cs"/>
          <w:rtl/>
        </w:rPr>
        <w:t xml:space="preserve">, </w:t>
      </w:r>
      <w:r w:rsidRPr="001A200E">
        <w:rPr>
          <w:rFonts w:ascii="David" w:hAnsi="David" w:hint="cs"/>
          <w:rtl/>
        </w:rPr>
        <w:t xml:space="preserve">לצד </w:t>
      </w:r>
      <w:r w:rsidRPr="001A200E">
        <w:rPr>
          <w:rFonts w:ascii="David" w:hAnsi="David"/>
          <w:rtl/>
        </w:rPr>
        <w:t xml:space="preserve">מאסר על תנאי וקנס. </w:t>
      </w:r>
    </w:p>
    <w:p w14:paraId="1D7F98A4"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הסנגור ביקש מבית המשפט להימנע מהרשעת הנאשם. לדבריו, סוג העבירה בענייננו אינו מחייב הרשעה. מדובר במעשה פזיזות ורשלנות, אשר חלק ניכר מתיקים אלו מסתיימים בהסדר מותנה. לעניין נסיבות ביצוע העבירה נטען</w:t>
      </w:r>
      <w:r>
        <w:rPr>
          <w:rFonts w:ascii="David" w:hAnsi="David" w:hint="cs"/>
          <w:rtl/>
        </w:rPr>
        <w:t>,</w:t>
      </w:r>
      <w:r w:rsidRPr="00EF0C06">
        <w:rPr>
          <w:rFonts w:ascii="David" w:hAnsi="David"/>
          <w:rtl/>
        </w:rPr>
        <w:t xml:space="preserve"> כי הנאשם לא ידע על הימצאותו של הסם, ואף המאשימה לא הביאה ראייה לסתור זאת. עוד טען הסניגור</w:t>
      </w:r>
      <w:r>
        <w:rPr>
          <w:rFonts w:ascii="David" w:hAnsi="David" w:hint="cs"/>
          <w:rtl/>
        </w:rPr>
        <w:t>,</w:t>
      </w:r>
      <w:r w:rsidRPr="00EF0C06">
        <w:rPr>
          <w:rFonts w:ascii="David" w:hAnsi="David"/>
          <w:rtl/>
        </w:rPr>
        <w:t xml:space="preserve"> כי הקטין לא נפגע, והנאשם בעצמו לקח את </w:t>
      </w:r>
      <w:r>
        <w:rPr>
          <w:rFonts w:ascii="David" w:hAnsi="David" w:hint="cs"/>
          <w:rtl/>
        </w:rPr>
        <w:t xml:space="preserve">בנו </w:t>
      </w:r>
      <w:r w:rsidRPr="00EF0C06">
        <w:rPr>
          <w:rFonts w:ascii="David" w:hAnsi="David"/>
          <w:rtl/>
        </w:rPr>
        <w:t xml:space="preserve">לבית החולים תוך גילוי אחריות אישית. </w:t>
      </w:r>
    </w:p>
    <w:p w14:paraId="430F8A98"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 xml:space="preserve">עוד הפנה הסניגור לכך שהנאשם </w:t>
      </w:r>
      <w:r>
        <w:rPr>
          <w:rFonts w:ascii="David" w:hAnsi="David" w:hint="cs"/>
          <w:rtl/>
        </w:rPr>
        <w:t xml:space="preserve">הינו אדם </w:t>
      </w:r>
      <w:r w:rsidRPr="00EF0C06">
        <w:rPr>
          <w:rFonts w:ascii="David" w:hAnsi="David"/>
          <w:rtl/>
        </w:rPr>
        <w:t xml:space="preserve">נורמטיבי ומתפקד, עובד בעיריית ירושלים מזה כ- 9 שנים.  נטען כי אמנם כרגע הרשעה לא תגרום לפגיעה בנאשם, אולם </w:t>
      </w:r>
      <w:r>
        <w:rPr>
          <w:rFonts w:ascii="David" w:hAnsi="David" w:hint="cs"/>
          <w:rtl/>
        </w:rPr>
        <w:t>ככל ו</w:t>
      </w:r>
      <w:r w:rsidRPr="00EF0C06">
        <w:rPr>
          <w:rFonts w:ascii="David" w:hAnsi="David"/>
          <w:rtl/>
        </w:rPr>
        <w:t>י</w:t>
      </w:r>
      <w:r>
        <w:rPr>
          <w:rFonts w:ascii="David" w:hAnsi="David" w:hint="cs"/>
          <w:rtl/>
        </w:rPr>
        <w:t xml:space="preserve">חפוץ </w:t>
      </w:r>
      <w:r w:rsidRPr="00EF0C06">
        <w:rPr>
          <w:rFonts w:ascii="David" w:hAnsi="David"/>
          <w:rtl/>
        </w:rPr>
        <w:t xml:space="preserve">להתקדם </w:t>
      </w:r>
      <w:r>
        <w:rPr>
          <w:rFonts w:ascii="David" w:hAnsi="David" w:hint="cs"/>
          <w:rtl/>
        </w:rPr>
        <w:t>במסגרת תפקידו ב</w:t>
      </w:r>
      <w:r w:rsidRPr="00EF0C06">
        <w:rPr>
          <w:rFonts w:ascii="David" w:hAnsi="David"/>
          <w:rtl/>
        </w:rPr>
        <w:t>עתיד</w:t>
      </w:r>
      <w:r>
        <w:rPr>
          <w:rFonts w:ascii="David" w:hAnsi="David" w:hint="cs"/>
          <w:rtl/>
        </w:rPr>
        <w:t>,</w:t>
      </w:r>
      <w:r w:rsidRPr="00EF0C06">
        <w:rPr>
          <w:rFonts w:ascii="David" w:hAnsi="David"/>
          <w:rtl/>
        </w:rPr>
        <w:t xml:space="preserve"> הרשעה תחסום את קידומו. </w:t>
      </w:r>
    </w:p>
    <w:p w14:paraId="4644B9D7"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הנאשם מסר כי הס</w:t>
      </w:r>
      <w:r>
        <w:rPr>
          <w:rFonts w:ascii="David" w:hAnsi="David" w:hint="cs"/>
          <w:rtl/>
        </w:rPr>
        <w:t xml:space="preserve">ם </w:t>
      </w:r>
      <w:r w:rsidRPr="00EF0C06">
        <w:rPr>
          <w:rFonts w:ascii="David" w:hAnsi="David"/>
          <w:rtl/>
        </w:rPr>
        <w:t xml:space="preserve">היה מוחבא משך </w:t>
      </w:r>
      <w:r>
        <w:rPr>
          <w:rFonts w:ascii="David" w:hAnsi="David" w:hint="cs"/>
          <w:rtl/>
        </w:rPr>
        <w:t xml:space="preserve">זמן רב, </w:t>
      </w:r>
      <w:r w:rsidRPr="00EF0C06">
        <w:rPr>
          <w:rFonts w:ascii="David" w:hAnsi="David"/>
          <w:rtl/>
        </w:rPr>
        <w:t>היה יבש ו</w:t>
      </w:r>
      <w:r>
        <w:rPr>
          <w:rFonts w:ascii="David" w:hAnsi="David" w:hint="cs"/>
          <w:rtl/>
        </w:rPr>
        <w:t xml:space="preserve">הוא כלל </w:t>
      </w:r>
      <w:r w:rsidRPr="00EF0C06">
        <w:rPr>
          <w:rFonts w:ascii="David" w:hAnsi="David"/>
          <w:rtl/>
        </w:rPr>
        <w:t>לא ידע על</w:t>
      </w:r>
      <w:r>
        <w:rPr>
          <w:rFonts w:ascii="David" w:hAnsi="David" w:hint="cs"/>
          <w:rtl/>
        </w:rPr>
        <w:t xml:space="preserve"> קיומו.</w:t>
      </w:r>
      <w:r w:rsidRPr="00EF0C06">
        <w:rPr>
          <w:rFonts w:ascii="David" w:hAnsi="David"/>
          <w:rtl/>
        </w:rPr>
        <w:t xml:space="preserve"> </w:t>
      </w:r>
      <w:r>
        <w:rPr>
          <w:rFonts w:ascii="David" w:hAnsi="David" w:hint="cs"/>
          <w:rtl/>
        </w:rPr>
        <w:t>לדבריו, ככל ויורשע תימנע ממנו האפשרות לגשת לכל תפקיד ניהולי בו יחפוץ בעתיד.</w:t>
      </w:r>
    </w:p>
    <w:p w14:paraId="559A5807" w14:textId="77777777" w:rsidR="00945B9D" w:rsidRPr="001A200E" w:rsidRDefault="00945B9D" w:rsidP="00945B9D">
      <w:pPr>
        <w:spacing w:line="360" w:lineRule="auto"/>
        <w:ind w:firstLine="720"/>
        <w:jc w:val="both"/>
        <w:rPr>
          <w:rFonts w:ascii="David" w:hAnsi="David"/>
          <w:b/>
          <w:bCs/>
          <w:rtl/>
        </w:rPr>
      </w:pPr>
      <w:r w:rsidRPr="001A200E">
        <w:rPr>
          <w:rFonts w:ascii="David" w:hAnsi="David"/>
          <w:b/>
          <w:bCs/>
          <w:u w:val="single"/>
          <w:rtl/>
        </w:rPr>
        <w:t>דיון</w:t>
      </w:r>
      <w:r>
        <w:rPr>
          <w:rFonts w:ascii="David" w:hAnsi="David" w:hint="cs"/>
          <w:b/>
          <w:bCs/>
          <w:rtl/>
        </w:rPr>
        <w:t>:</w:t>
      </w:r>
    </w:p>
    <w:p w14:paraId="1D2FE61A"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הכלל במשפט הפלילי קובע כי נאשם שהוכחה אשמתו ונקבע כי ביצע עבירה, יורשע בדין ויישא בעונשו. הימנעות מהרשעה, הינה חריג לכלל זה, והשימוש בו נעשה במשורה בהתאם לכללים שנקבעו שהתוו בפסיקת בית המשפט העליון. נפסק, כי ניתן להגיע בגזר דין לתוצאה של אי הרשעה "רק בנסיבות יוצאות דופן, בהן אין יחס סביר בין הנזק הצפוי מן ההרשעה בדין לחומרתה של העבירה" (</w:t>
      </w:r>
      <w:hyperlink r:id="rId18" w:history="1">
        <w:r w:rsidR="006228F7" w:rsidRPr="006228F7">
          <w:rPr>
            <w:rFonts w:ascii="David" w:hAnsi="David"/>
            <w:color w:val="0000FF"/>
            <w:u w:val="single"/>
            <w:rtl/>
          </w:rPr>
          <w:t>ר"ע 432/85</w:t>
        </w:r>
      </w:hyperlink>
      <w:r w:rsidRPr="00EF0C06">
        <w:rPr>
          <w:rFonts w:ascii="David" w:hAnsi="David"/>
          <w:rtl/>
        </w:rPr>
        <w:t xml:space="preserve"> גדעון רומנו נגד מדינת ישראל (מיום 21.8.85)). בפסק הדין המנחה בעניין זה: </w:t>
      </w:r>
      <w:hyperlink r:id="rId19" w:history="1">
        <w:r w:rsidR="006228F7" w:rsidRPr="006228F7">
          <w:rPr>
            <w:rFonts w:ascii="David" w:hAnsi="David"/>
            <w:color w:val="0000FF"/>
            <w:u w:val="single"/>
            <w:rtl/>
          </w:rPr>
          <w:t>ע"פ 2083/96</w:t>
        </w:r>
      </w:hyperlink>
      <w:r w:rsidRPr="00EF0C06">
        <w:rPr>
          <w:rFonts w:ascii="David" w:hAnsi="David"/>
          <w:rtl/>
        </w:rPr>
        <w:t xml:space="preserve"> כתב נ' מדינת ישראל, פ"ד נב (3)337), נקבעו שני תנאים מצטברים, המאפשרים להימנע מהרשעה ביחס לנאשם שנקבע לגביו כי ביצע עבירה. "ראשית,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p>
    <w:p w14:paraId="519B39F4"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סבורני, כי מקרה זה אינו נמנה על החריגים המצדיקים את ביטול ההרשעה</w:t>
      </w:r>
      <w:r>
        <w:rPr>
          <w:rFonts w:ascii="David" w:hAnsi="David" w:hint="cs"/>
          <w:rtl/>
        </w:rPr>
        <w:t xml:space="preserve">. </w:t>
      </w:r>
      <w:r w:rsidRPr="00EF0C06">
        <w:rPr>
          <w:rFonts w:ascii="David" w:hAnsi="David"/>
          <w:rtl/>
        </w:rPr>
        <w:t>ראשית, סוג העבירה ונסיבות האירוע עצמו</w:t>
      </w:r>
      <w:r>
        <w:rPr>
          <w:rFonts w:ascii="David" w:hAnsi="David" w:hint="cs"/>
          <w:rtl/>
        </w:rPr>
        <w:t xml:space="preserve"> אינם מאפשרים את ביטול ההרשעה</w:t>
      </w:r>
      <w:r w:rsidRPr="00EF0C06">
        <w:rPr>
          <w:rFonts w:ascii="David" w:hAnsi="David"/>
          <w:rtl/>
        </w:rPr>
        <w:t xml:space="preserve">. הנאשם </w:t>
      </w:r>
      <w:r>
        <w:rPr>
          <w:rFonts w:ascii="David" w:hAnsi="David" w:hint="cs"/>
          <w:rtl/>
        </w:rPr>
        <w:t>הותיר בביתו סם אותו צרך באופן שאינו חוקי, אליו הגיעו ילדיו הקטינים (כבני 3.5 ושנתיים), ובנו הנוסף כבן שנה, בלע את הסם. אך במזל תוצאות האירוע הסתיימו מבלי נזק לתינוק, אך פוטנציאל הסיכון לשלומו ובריאותו באירוע היה ממשי וגבוה</w:t>
      </w:r>
      <w:r w:rsidRPr="00EF0C06">
        <w:rPr>
          <w:rFonts w:ascii="David" w:hAnsi="David"/>
          <w:rtl/>
        </w:rPr>
        <w:t xml:space="preserve">. </w:t>
      </w:r>
    </w:p>
    <w:p w14:paraId="4B0B1C8F"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 xml:space="preserve">הטעם הנוסף בדחיית הבקשה נעוץ בתנאי שנקבע בפסיקה, לפיו יש להוכיח פגיעה ממשית וקונקרטית בשיקומו של נאשם, ואין די בהפניה לחשש מפני נזק כללי או עתידי. מכל מקום, בפניי </w:t>
      </w:r>
      <w:r>
        <w:rPr>
          <w:rFonts w:ascii="David" w:hAnsi="David" w:hint="cs"/>
          <w:rtl/>
        </w:rPr>
        <w:t xml:space="preserve">או בפני שרות המבחן, </w:t>
      </w:r>
      <w:r w:rsidRPr="00EF0C06">
        <w:rPr>
          <w:rFonts w:ascii="David" w:hAnsi="David"/>
          <w:rtl/>
        </w:rPr>
        <w:t>לא הונחה תשתית עובדתית מתאימה לביסוס טענה זו.</w:t>
      </w:r>
    </w:p>
    <w:p w14:paraId="04536867"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מתחם הענישה בגין מעשי פזיזות ורשלנות ביחס לסיכון קטינים תלוי ב</w:t>
      </w:r>
      <w:r>
        <w:rPr>
          <w:rFonts w:ascii="David" w:hAnsi="David" w:hint="cs"/>
          <w:rtl/>
        </w:rPr>
        <w:t>נסיבות האירוע והחומרה העולה ממנו.</w:t>
      </w:r>
    </w:p>
    <w:p w14:paraId="0ED8F1B7" w14:textId="77777777" w:rsidR="00945B9D" w:rsidRPr="00EF0C06" w:rsidRDefault="00945B9D" w:rsidP="00945B9D">
      <w:pPr>
        <w:pStyle w:val="a9"/>
        <w:numPr>
          <w:ilvl w:val="0"/>
          <w:numId w:val="2"/>
        </w:numPr>
        <w:spacing w:line="360" w:lineRule="auto"/>
        <w:jc w:val="both"/>
        <w:rPr>
          <w:rFonts w:ascii="David" w:hAnsi="David"/>
          <w:rtl/>
        </w:rPr>
      </w:pPr>
      <w:r w:rsidRPr="00EF0C06">
        <w:rPr>
          <w:rFonts w:ascii="David" w:hAnsi="David"/>
          <w:rtl/>
        </w:rPr>
        <w:t>ב</w:t>
      </w:r>
      <w:r>
        <w:rPr>
          <w:rFonts w:ascii="David" w:hAnsi="David" w:hint="cs"/>
          <w:rtl/>
        </w:rPr>
        <w:t xml:space="preserve">מסגרת </w:t>
      </w:r>
      <w:hyperlink r:id="rId20" w:history="1">
        <w:r w:rsidR="006228F7" w:rsidRPr="006228F7">
          <w:rPr>
            <w:rFonts w:ascii="David" w:hAnsi="David"/>
            <w:color w:val="0000FF"/>
            <w:u w:val="single"/>
            <w:rtl/>
          </w:rPr>
          <w:t>ת"פ (שלום ראשל"צ) 43138-09-18</w:t>
        </w:r>
      </w:hyperlink>
      <w:r w:rsidRPr="00EF0C06">
        <w:rPr>
          <w:rFonts w:ascii="David" w:hAnsi="David"/>
          <w:rtl/>
        </w:rPr>
        <w:t xml:space="preserve"> מדינת ישראל נ' יותם הררי (נבו 16.12.2020)‏‏ החזיק הנאשם ברכב מספר חתיכות של חטיף במבה שהכיל סם מסוכן מסוג .</w:t>
      </w:r>
      <w:r w:rsidRPr="00EF0C06">
        <w:rPr>
          <w:rFonts w:ascii="David" w:hAnsi="David"/>
        </w:rPr>
        <w:t>LSD</w:t>
      </w:r>
      <w:r w:rsidRPr="00EF0C06">
        <w:rPr>
          <w:rFonts w:ascii="David" w:hAnsi="David"/>
          <w:rtl/>
        </w:rPr>
        <w:t xml:space="preserve">  ילדו הקטין אכל מהבמבה המכילה את הסם המסוכן. כתוצאה מכך, סבל הקטין מהתקף פסיכוטי, אושפז במחלקת טיפול נמרץ למשך מספר ימים, כשהוא מורדם ומונשם בשלב הראשון, ולאחר מכן הועבר למחלקת ילדים. בנוסף, הנאשם החזיק ברכב ובדירה חומר המכיל סם מסוג </w:t>
      </w:r>
      <w:r w:rsidRPr="00EF0C06">
        <w:rPr>
          <w:rFonts w:ascii="David" w:hAnsi="David"/>
        </w:rPr>
        <w:t>MDMA</w:t>
      </w:r>
      <w:r w:rsidRPr="00EF0C06">
        <w:rPr>
          <w:rFonts w:ascii="David" w:hAnsi="David"/>
          <w:rtl/>
        </w:rPr>
        <w:t xml:space="preserve"> במשקל כולל של 1,3365 גרם נטו. עקב הפקעת צו של"צ הוטלו על הנאשם 4 חודשי עבודות שירות ו-6 חודשי מאסר על תנאי.</w:t>
      </w:r>
    </w:p>
    <w:p w14:paraId="33BDB918" w14:textId="77777777" w:rsidR="00945B9D" w:rsidRPr="00EF0C06" w:rsidRDefault="00945B9D" w:rsidP="00945B9D">
      <w:pPr>
        <w:pStyle w:val="a9"/>
        <w:numPr>
          <w:ilvl w:val="0"/>
          <w:numId w:val="2"/>
        </w:numPr>
        <w:spacing w:line="360" w:lineRule="auto"/>
        <w:jc w:val="both"/>
        <w:rPr>
          <w:rFonts w:ascii="David" w:hAnsi="David"/>
          <w:rtl/>
        </w:rPr>
      </w:pPr>
      <w:r w:rsidRPr="00EF0C06">
        <w:rPr>
          <w:rFonts w:ascii="David" w:hAnsi="David"/>
          <w:rtl/>
        </w:rPr>
        <w:t>ב</w:t>
      </w:r>
      <w:r>
        <w:rPr>
          <w:rFonts w:ascii="David" w:hAnsi="David" w:hint="cs"/>
          <w:rtl/>
        </w:rPr>
        <w:t xml:space="preserve">מסגרת </w:t>
      </w:r>
      <w:hyperlink r:id="rId21" w:history="1">
        <w:r w:rsidR="006228F7" w:rsidRPr="006228F7">
          <w:rPr>
            <w:rFonts w:ascii="David" w:hAnsi="David"/>
            <w:color w:val="0000FF"/>
            <w:u w:val="single"/>
            <w:rtl/>
          </w:rPr>
          <w:t>ת"פ (שלום י-ם) 54282-07-19</w:t>
        </w:r>
      </w:hyperlink>
      <w:r w:rsidRPr="00EF0C06">
        <w:rPr>
          <w:rFonts w:ascii="David" w:hAnsi="David"/>
          <w:rtl/>
        </w:rPr>
        <w:t xml:space="preserve"> מדינת ישראל נ' נדאל טהה (נבו 14.09.2020)‏‏ הנאשם החזיק בביתו ובכליו סם מסוכן מסוג חשיש לצריכתו האישית. הנאשם שמט את הסם במקום מסוים בביתו בעת ששמר על בנו התינוק, כבן 10 חודשים, והתינוק בלע מהסם. כתוצאה מכך, הובהל התינוק לבית החולים כשהוא אינו מגיב, מחוויר, מכחיל, בוכה מדי פעם, ובשלב מסוים אף איבד את הכרתו. על הנאשם הוטלו 300 שעות של"צ.</w:t>
      </w:r>
    </w:p>
    <w:p w14:paraId="1072AFBA" w14:textId="77777777" w:rsidR="00945B9D" w:rsidRDefault="00945B9D" w:rsidP="00945B9D">
      <w:pPr>
        <w:pStyle w:val="a9"/>
        <w:numPr>
          <w:ilvl w:val="0"/>
          <w:numId w:val="1"/>
        </w:numPr>
        <w:spacing w:line="360" w:lineRule="auto"/>
        <w:jc w:val="both"/>
        <w:rPr>
          <w:rFonts w:ascii="David" w:hAnsi="David"/>
        </w:rPr>
      </w:pPr>
      <w:r w:rsidRPr="00EF0C06">
        <w:rPr>
          <w:rFonts w:ascii="David" w:hAnsi="David"/>
          <w:rtl/>
        </w:rPr>
        <w:t>מתחם הענישה בגין עבירות</w:t>
      </w:r>
      <w:r>
        <w:rPr>
          <w:rFonts w:ascii="David" w:hAnsi="David" w:hint="cs"/>
          <w:rtl/>
        </w:rPr>
        <w:t xml:space="preserve"> של</w:t>
      </w:r>
      <w:r w:rsidRPr="00EF0C06">
        <w:rPr>
          <w:rFonts w:ascii="David" w:hAnsi="David"/>
          <w:rtl/>
        </w:rPr>
        <w:t xml:space="preserve"> החזקת סם לשימוש עצמי </w:t>
      </w:r>
      <w:r>
        <w:rPr>
          <w:rFonts w:ascii="David" w:hAnsi="David" w:hint="cs"/>
          <w:rtl/>
        </w:rPr>
        <w:t>הינו על דרך הכלל החל ממאסר על תנאי ועד מאסר קצר שניתן לבצעו בעבודת שירות.</w:t>
      </w:r>
    </w:p>
    <w:p w14:paraId="1ACC3C87" w14:textId="77777777" w:rsidR="00945B9D" w:rsidRPr="00EF0C06" w:rsidRDefault="00945B9D" w:rsidP="00945B9D">
      <w:pPr>
        <w:pStyle w:val="a9"/>
        <w:numPr>
          <w:ilvl w:val="0"/>
          <w:numId w:val="1"/>
        </w:numPr>
        <w:spacing w:line="360" w:lineRule="auto"/>
        <w:jc w:val="both"/>
        <w:rPr>
          <w:rFonts w:ascii="David" w:hAnsi="David"/>
          <w:rtl/>
        </w:rPr>
      </w:pPr>
      <w:r w:rsidRPr="00EF0C06">
        <w:rPr>
          <w:rFonts w:ascii="David" w:hAnsi="David"/>
          <w:rtl/>
        </w:rPr>
        <w:t>סבורני</w:t>
      </w:r>
      <w:r>
        <w:rPr>
          <w:rFonts w:ascii="David" w:hAnsi="David" w:hint="cs"/>
          <w:rtl/>
        </w:rPr>
        <w:t>,</w:t>
      </w:r>
      <w:r w:rsidRPr="00EF0C06">
        <w:rPr>
          <w:rFonts w:ascii="David" w:hAnsi="David"/>
          <w:rtl/>
        </w:rPr>
        <w:t xml:space="preserve"> כי מתחם העונש ההולם </w:t>
      </w:r>
      <w:r>
        <w:rPr>
          <w:rFonts w:ascii="David" w:hAnsi="David" w:hint="cs"/>
          <w:rtl/>
        </w:rPr>
        <w:t xml:space="preserve">במקרה זה, הינו החל מצו </w:t>
      </w:r>
      <w:r w:rsidRPr="00EF0C06">
        <w:rPr>
          <w:rFonts w:ascii="David" w:hAnsi="David"/>
          <w:rtl/>
        </w:rPr>
        <w:t xml:space="preserve">של"צ </w:t>
      </w:r>
      <w:r>
        <w:rPr>
          <w:rFonts w:ascii="David" w:hAnsi="David" w:hint="cs"/>
          <w:rtl/>
        </w:rPr>
        <w:t xml:space="preserve">ומאסר על תנאי </w:t>
      </w:r>
      <w:r w:rsidRPr="00EF0C06">
        <w:rPr>
          <w:rFonts w:ascii="David" w:hAnsi="David"/>
          <w:rtl/>
        </w:rPr>
        <w:t>ועד מספר חודשי מאסר שיכול וי</w:t>
      </w:r>
      <w:r>
        <w:rPr>
          <w:rFonts w:ascii="David" w:hAnsi="David" w:hint="cs"/>
          <w:rtl/>
        </w:rPr>
        <w:t xml:space="preserve">בוצעו </w:t>
      </w:r>
      <w:r w:rsidRPr="00EF0C06">
        <w:rPr>
          <w:rFonts w:ascii="David" w:hAnsi="David"/>
          <w:rtl/>
        </w:rPr>
        <w:t>בעבודת שירות, לצד ענישה נלווית.</w:t>
      </w:r>
    </w:p>
    <w:p w14:paraId="283AC53C" w14:textId="77777777" w:rsidR="00945B9D" w:rsidRPr="006F2689" w:rsidRDefault="00945B9D" w:rsidP="00945B9D">
      <w:pPr>
        <w:pStyle w:val="a9"/>
        <w:numPr>
          <w:ilvl w:val="0"/>
          <w:numId w:val="1"/>
        </w:numPr>
        <w:spacing w:line="360" w:lineRule="auto"/>
        <w:jc w:val="both"/>
        <w:rPr>
          <w:rFonts w:ascii="David" w:hAnsi="David"/>
        </w:rPr>
      </w:pPr>
      <w:r w:rsidRPr="006F2689">
        <w:rPr>
          <w:rFonts w:ascii="David" w:hAnsi="David" w:hint="cs"/>
          <w:rtl/>
        </w:rPr>
        <w:t xml:space="preserve">בבחינת העונש המתאים לנאשם בתוך המתחם יש לשקול את הנסיבות הבאות: הנאשם נטל אחריות על המעשה והביע חרטה על המעשים. מאז האירוע חלפו כשלוש שנים, ולא נמסר לי כי נפתחו כנגד הנאשם תיקים נוספים. בנוסף, </w:t>
      </w:r>
      <w:r>
        <w:rPr>
          <w:rFonts w:ascii="David" w:hAnsi="David" w:hint="cs"/>
          <w:rtl/>
        </w:rPr>
        <w:t>שר</w:t>
      </w:r>
      <w:r w:rsidRPr="006F2689">
        <w:rPr>
          <w:rFonts w:ascii="David" w:hAnsi="David" w:hint="cs"/>
          <w:rtl/>
        </w:rPr>
        <w:t>ות המבחן מתרשם, כי אירוע זה אינו מאפיין את אורחות חייו של הנאשם, ותפקודו ההורי הינו תקין. המלצתם הינה להטלת צו של"צ, מסירת בדיקות שתן</w:t>
      </w:r>
      <w:r>
        <w:rPr>
          <w:rFonts w:ascii="David" w:hAnsi="David" w:hint="cs"/>
          <w:rtl/>
        </w:rPr>
        <w:t>,</w:t>
      </w:r>
      <w:r w:rsidRPr="006F2689">
        <w:rPr>
          <w:rFonts w:ascii="David" w:hAnsi="David" w:hint="cs"/>
          <w:rtl/>
        </w:rPr>
        <w:t xml:space="preserve"> ומאסר על תנאי.</w:t>
      </w:r>
    </w:p>
    <w:p w14:paraId="71AD5F7E" w14:textId="77777777" w:rsidR="00945B9D" w:rsidRDefault="00945B9D" w:rsidP="00945B9D">
      <w:pPr>
        <w:pStyle w:val="a9"/>
        <w:numPr>
          <w:ilvl w:val="0"/>
          <w:numId w:val="1"/>
        </w:numPr>
        <w:spacing w:line="360" w:lineRule="auto"/>
        <w:jc w:val="both"/>
        <w:rPr>
          <w:rFonts w:ascii="David" w:hAnsi="David"/>
        </w:rPr>
      </w:pPr>
      <w:r>
        <w:rPr>
          <w:rFonts w:ascii="David" w:hAnsi="David" w:hint="cs"/>
          <w:rtl/>
        </w:rPr>
        <w:t>נוכח טעמים אלו שפורטו לעיל, אני מטיל על הנאשם את העונשים הבאים:</w:t>
      </w:r>
    </w:p>
    <w:p w14:paraId="233556AB" w14:textId="77777777" w:rsidR="00945B9D" w:rsidRPr="009F1C7B" w:rsidRDefault="00945B9D" w:rsidP="00945B9D">
      <w:pPr>
        <w:pStyle w:val="a9"/>
        <w:numPr>
          <w:ilvl w:val="0"/>
          <w:numId w:val="3"/>
        </w:numPr>
        <w:spacing w:line="360" w:lineRule="auto"/>
        <w:jc w:val="both"/>
        <w:rPr>
          <w:rFonts w:ascii="David" w:hAnsi="David"/>
        </w:rPr>
      </w:pPr>
      <w:r w:rsidRPr="009F1C7B">
        <w:rPr>
          <w:rFonts w:ascii="David" w:hAnsi="David" w:hint="cs"/>
          <w:rtl/>
        </w:rPr>
        <w:t>צו של"צ בהיקף 220 שעות. תכנית של"צ תוגש לאישור בית המשפט בתוך 30 יום.</w:t>
      </w:r>
    </w:p>
    <w:p w14:paraId="504A9531" w14:textId="77777777" w:rsidR="00945B9D" w:rsidRPr="009F1C7B" w:rsidRDefault="00945B9D" w:rsidP="00945B9D">
      <w:pPr>
        <w:pStyle w:val="a9"/>
        <w:numPr>
          <w:ilvl w:val="0"/>
          <w:numId w:val="3"/>
        </w:numPr>
        <w:spacing w:line="360" w:lineRule="auto"/>
        <w:jc w:val="both"/>
        <w:rPr>
          <w:rFonts w:ascii="David" w:hAnsi="David"/>
        </w:rPr>
      </w:pPr>
      <w:r w:rsidRPr="009F1C7B">
        <w:rPr>
          <w:rFonts w:ascii="David" w:hAnsi="David" w:hint="cs"/>
          <w:rtl/>
        </w:rPr>
        <w:t>מאסר למשך 3 חודשים וזאת על תנאי למשך 3 שנים שלא יעבור על אחת העבירות בהן הורשע.</w:t>
      </w:r>
    </w:p>
    <w:p w14:paraId="584A660C" w14:textId="77777777" w:rsidR="00945B9D" w:rsidRPr="009F1C7B" w:rsidRDefault="006228F7" w:rsidP="00945B9D">
      <w:pPr>
        <w:pStyle w:val="a9"/>
        <w:numPr>
          <w:ilvl w:val="0"/>
          <w:numId w:val="3"/>
        </w:numPr>
        <w:spacing w:line="360" w:lineRule="auto"/>
        <w:jc w:val="both"/>
        <w:rPr>
          <w:rFonts w:ascii="David" w:hAnsi="David"/>
          <w:rtl/>
        </w:rPr>
      </w:pPr>
      <w:r w:rsidRPr="006228F7">
        <w:rPr>
          <w:rFonts w:ascii="David" w:hAnsi="David"/>
          <w:color w:val="FFFFFF"/>
          <w:sz w:val="2"/>
          <w:szCs w:val="2"/>
          <w:rtl/>
        </w:rPr>
        <w:t>5129371</w:t>
      </w:r>
      <w:r w:rsidR="00945B9D" w:rsidRPr="009F1C7B">
        <w:rPr>
          <w:rFonts w:ascii="David" w:hAnsi="David" w:hint="cs"/>
          <w:rtl/>
        </w:rPr>
        <w:t xml:space="preserve">הנאשם ימסור בדיקות שתן לפי סעיף </w:t>
      </w:r>
      <w:hyperlink r:id="rId22" w:history="1">
        <w:r w:rsidR="00C16969" w:rsidRPr="00C16969">
          <w:rPr>
            <w:rStyle w:val="Hyperlink"/>
            <w:rFonts w:ascii="David" w:hAnsi="David"/>
            <w:rtl/>
          </w:rPr>
          <w:t>71א(ד)</w:t>
        </w:r>
      </w:hyperlink>
      <w:r w:rsidR="00945B9D" w:rsidRPr="009F1C7B">
        <w:rPr>
          <w:rFonts w:ascii="David" w:hAnsi="David" w:hint="cs"/>
          <w:rtl/>
        </w:rPr>
        <w:t xml:space="preserve"> סימן </w:t>
      </w:r>
      <w:hyperlink r:id="rId23" w:history="1">
        <w:r w:rsidR="00C16969" w:rsidRPr="00C16969">
          <w:rPr>
            <w:rStyle w:val="Hyperlink"/>
            <w:rFonts w:ascii="David" w:hAnsi="David" w:hint="eastAsia"/>
            <w:rtl/>
          </w:rPr>
          <w:t>ד</w:t>
        </w:r>
        <w:r w:rsidR="00C16969" w:rsidRPr="00C16969">
          <w:rPr>
            <w:rStyle w:val="Hyperlink"/>
            <w:rFonts w:ascii="David" w:hAnsi="David"/>
            <w:rtl/>
          </w:rPr>
          <w:t xml:space="preserve">' 1. </w:t>
        </w:r>
      </w:hyperlink>
      <w:r w:rsidR="00945B9D" w:rsidRPr="009F1C7B">
        <w:rPr>
          <w:rFonts w:ascii="David" w:hAnsi="David" w:hint="cs"/>
          <w:rtl/>
        </w:rPr>
        <w:t xml:space="preserve">  </w:t>
      </w:r>
    </w:p>
    <w:p w14:paraId="3939ADC1" w14:textId="77777777" w:rsidR="00945B9D" w:rsidRPr="009F1C7B" w:rsidRDefault="006228F7" w:rsidP="00945B9D">
      <w:pPr>
        <w:spacing w:line="360" w:lineRule="auto"/>
        <w:jc w:val="both"/>
        <w:rPr>
          <w:rFonts w:ascii="David" w:hAnsi="David"/>
          <w:b/>
          <w:bCs/>
          <w:rtl/>
        </w:rPr>
      </w:pPr>
      <w:r w:rsidRPr="006228F7">
        <w:rPr>
          <w:rFonts w:ascii="David" w:hAnsi="David"/>
          <w:b/>
          <w:bCs/>
          <w:color w:val="FFFFFF"/>
          <w:sz w:val="2"/>
          <w:szCs w:val="2"/>
          <w:rtl/>
        </w:rPr>
        <w:t>54678313</w:t>
      </w:r>
      <w:r w:rsidR="00945B9D" w:rsidRPr="009F1C7B">
        <w:rPr>
          <w:rFonts w:ascii="David" w:hAnsi="David" w:hint="cs"/>
          <w:b/>
          <w:bCs/>
          <w:rtl/>
        </w:rPr>
        <w:t>המזכירות תשלח העתק גזר הדין לשרות המבחן.</w:t>
      </w:r>
    </w:p>
    <w:p w14:paraId="74CBA551" w14:textId="77777777" w:rsidR="00945B9D" w:rsidRPr="009F1C7B" w:rsidRDefault="00945B9D" w:rsidP="00945B9D">
      <w:pPr>
        <w:spacing w:line="360" w:lineRule="auto"/>
        <w:jc w:val="both"/>
        <w:rPr>
          <w:rFonts w:ascii="David" w:hAnsi="David"/>
          <w:b/>
          <w:bCs/>
          <w:rtl/>
        </w:rPr>
      </w:pPr>
      <w:r w:rsidRPr="009F1C7B">
        <w:rPr>
          <w:rFonts w:ascii="David" w:hAnsi="David" w:hint="cs"/>
          <w:b/>
          <w:bCs/>
          <w:rtl/>
        </w:rPr>
        <w:t>זכות ערעור לבית המשפט המחוזי בתוך 45 יום.</w:t>
      </w:r>
    </w:p>
    <w:p w14:paraId="43921D52" w14:textId="77777777" w:rsidR="00945B9D" w:rsidRPr="00EF0C06" w:rsidRDefault="006228F7" w:rsidP="00945B9D">
      <w:pPr>
        <w:spacing w:line="360" w:lineRule="auto"/>
        <w:jc w:val="both"/>
        <w:rPr>
          <w:rFonts w:ascii="David" w:hAnsi="David"/>
          <w:rtl/>
        </w:rPr>
      </w:pPr>
      <w:bookmarkStart w:id="8" w:name="Nitan"/>
      <w:r>
        <w:rPr>
          <w:rFonts w:ascii="David" w:hAnsi="David"/>
          <w:rtl/>
        </w:rPr>
        <w:t xml:space="preserve">ניתן היום,  ג' אייר תשפ"ד, 11 מאי 2024, במעמד הנוכחים. </w:t>
      </w:r>
      <w:bookmarkEnd w:id="8"/>
      <w:r w:rsidR="00945B9D" w:rsidRPr="00EF0C06">
        <w:rPr>
          <w:rFonts w:ascii="David" w:hAnsi="David"/>
          <w:rtl/>
        </w:rPr>
        <w:tab/>
      </w:r>
      <w:r w:rsidR="00945B9D" w:rsidRPr="00EF0C06">
        <w:rPr>
          <w:rFonts w:ascii="David" w:hAnsi="David"/>
          <w:rtl/>
        </w:rPr>
        <w:tab/>
      </w:r>
      <w:r w:rsidR="00945B9D" w:rsidRPr="00EF0C06">
        <w:rPr>
          <w:rFonts w:ascii="David" w:hAnsi="David"/>
          <w:rtl/>
        </w:rPr>
        <w:tab/>
        <w:t xml:space="preserve">        </w:t>
      </w:r>
    </w:p>
    <w:p w14:paraId="577BA73B" w14:textId="77777777" w:rsidR="00945B9D" w:rsidRPr="00EF0C06" w:rsidRDefault="00945B9D" w:rsidP="006228F7">
      <w:pPr>
        <w:spacing w:line="360" w:lineRule="auto"/>
        <w:jc w:val="both"/>
      </w:pPr>
      <w:r w:rsidRPr="00EF0C06">
        <w:rPr>
          <w:rFonts w:ascii="David" w:hAnsi="David"/>
          <w:rtl/>
        </w:rPr>
        <w:t xml:space="preserve">   </w:t>
      </w:r>
      <w:r w:rsidRPr="00EF0C06">
        <w:rPr>
          <w:rFonts w:ascii="David" w:hAnsi="David"/>
          <w:rtl/>
        </w:rPr>
        <w:tab/>
      </w:r>
      <w:r w:rsidRPr="00EF0C06">
        <w:rPr>
          <w:rFonts w:ascii="David" w:hAnsi="David"/>
          <w:rtl/>
        </w:rPr>
        <w:tab/>
      </w:r>
      <w:r w:rsidRPr="00EF0C06">
        <w:rPr>
          <w:rFonts w:ascii="David" w:hAnsi="David"/>
          <w:rtl/>
        </w:rPr>
        <w:tab/>
      </w:r>
      <w:r w:rsidRPr="00EF0C06">
        <w:rPr>
          <w:rFonts w:ascii="David" w:hAnsi="David"/>
          <w:rtl/>
        </w:rPr>
        <w:tab/>
      </w:r>
      <w:r w:rsidRPr="00EF0C06">
        <w:rPr>
          <w:rFonts w:ascii="David" w:hAnsi="David"/>
          <w:rtl/>
        </w:rPr>
        <w:tab/>
      </w:r>
    </w:p>
    <w:p w14:paraId="3DCB7779" w14:textId="77777777" w:rsidR="00945B9D" w:rsidRPr="00C16969" w:rsidRDefault="00C16969" w:rsidP="00945B9D">
      <w:pPr>
        <w:spacing w:line="360" w:lineRule="auto"/>
        <w:jc w:val="both"/>
        <w:rPr>
          <w:rFonts w:ascii="David" w:hAnsi="David"/>
          <w:color w:val="FFFFFF"/>
          <w:sz w:val="2"/>
          <w:szCs w:val="2"/>
          <w:rtl/>
        </w:rPr>
      </w:pPr>
      <w:r w:rsidRPr="00C16969">
        <w:rPr>
          <w:rFonts w:ascii="David" w:hAnsi="David"/>
          <w:color w:val="FFFFFF"/>
          <w:sz w:val="2"/>
          <w:szCs w:val="2"/>
          <w:rtl/>
        </w:rPr>
        <w:t>5129371</w:t>
      </w:r>
    </w:p>
    <w:p w14:paraId="41B32C28" w14:textId="77777777" w:rsidR="004658D9" w:rsidRPr="00C16969" w:rsidRDefault="00C16969" w:rsidP="006228F7">
      <w:pPr>
        <w:keepNext/>
        <w:rPr>
          <w:rFonts w:ascii="David" w:hAnsi="David"/>
          <w:color w:val="FFFFFF"/>
          <w:sz w:val="2"/>
          <w:szCs w:val="2"/>
          <w:rtl/>
        </w:rPr>
      </w:pPr>
      <w:r w:rsidRPr="00C16969">
        <w:rPr>
          <w:rFonts w:ascii="David" w:hAnsi="David"/>
          <w:color w:val="FFFFFF"/>
          <w:sz w:val="2"/>
          <w:szCs w:val="2"/>
          <w:rtl/>
        </w:rPr>
        <w:t>54678313</w:t>
      </w:r>
    </w:p>
    <w:p w14:paraId="11B1D426" w14:textId="77777777" w:rsidR="006228F7" w:rsidRDefault="006228F7" w:rsidP="006228F7">
      <w:pPr>
        <w:rPr>
          <w:rtl/>
        </w:rPr>
      </w:pPr>
    </w:p>
    <w:p w14:paraId="6E247292" w14:textId="77777777" w:rsidR="006228F7" w:rsidRDefault="006228F7" w:rsidP="006228F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74C30CC" w14:textId="77777777" w:rsidR="00C16969" w:rsidRPr="00C16969" w:rsidRDefault="00C16969" w:rsidP="00C16969">
      <w:pPr>
        <w:keepNext/>
        <w:rPr>
          <w:rFonts w:ascii="David" w:hAnsi="David"/>
          <w:color w:val="000000"/>
          <w:sz w:val="22"/>
          <w:szCs w:val="22"/>
          <w:rtl/>
        </w:rPr>
      </w:pPr>
    </w:p>
    <w:p w14:paraId="10F8A900" w14:textId="77777777" w:rsidR="00C16969" w:rsidRPr="00C16969" w:rsidRDefault="00C16969" w:rsidP="00C16969">
      <w:pPr>
        <w:keepNext/>
        <w:rPr>
          <w:rFonts w:ascii="David" w:hAnsi="David"/>
          <w:color w:val="000000"/>
          <w:sz w:val="22"/>
          <w:szCs w:val="22"/>
          <w:rtl/>
        </w:rPr>
      </w:pPr>
      <w:r w:rsidRPr="00C16969">
        <w:rPr>
          <w:rFonts w:ascii="David" w:hAnsi="David"/>
          <w:color w:val="000000"/>
          <w:sz w:val="22"/>
          <w:szCs w:val="22"/>
          <w:rtl/>
        </w:rPr>
        <w:t>ארנון איתן 54678313-/</w:t>
      </w:r>
    </w:p>
    <w:p w14:paraId="2E7822E4" w14:textId="77777777" w:rsidR="006228F7" w:rsidRPr="006228F7" w:rsidRDefault="00C16969" w:rsidP="00C16969">
      <w:pPr>
        <w:rPr>
          <w:color w:val="0000FF"/>
          <w:u w:val="single"/>
        </w:rPr>
      </w:pPr>
      <w:r w:rsidRPr="00C16969">
        <w:rPr>
          <w:color w:val="000000"/>
          <w:u w:val="single"/>
          <w:rtl/>
        </w:rPr>
        <w:t>נוסח מסמך זה כפוף לשינויי ניסוח ועריכה</w:t>
      </w:r>
    </w:p>
    <w:sectPr w:rsidR="006228F7" w:rsidRPr="006228F7" w:rsidSect="00C16969">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EADD8" w14:textId="77777777" w:rsidR="000A197A" w:rsidRDefault="000A197A" w:rsidP="00535ED0">
      <w:r>
        <w:separator/>
      </w:r>
    </w:p>
  </w:endnote>
  <w:endnote w:type="continuationSeparator" w:id="0">
    <w:p w14:paraId="77AFD992" w14:textId="77777777" w:rsidR="000A197A" w:rsidRDefault="000A197A" w:rsidP="0053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B78E9" w14:textId="77777777" w:rsidR="00C16969" w:rsidRDefault="00C16969" w:rsidP="00C1696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2A76A3" w14:textId="77777777" w:rsidR="00585DE7" w:rsidRPr="00C16969" w:rsidRDefault="00C16969" w:rsidP="00C16969">
    <w:pPr>
      <w:pStyle w:val="a5"/>
      <w:pBdr>
        <w:top w:val="single" w:sz="4" w:space="1" w:color="auto"/>
        <w:between w:val="single" w:sz="4" w:space="0" w:color="auto"/>
      </w:pBdr>
      <w:spacing w:after="60"/>
      <w:jc w:val="center"/>
      <w:rPr>
        <w:rFonts w:ascii="FrankRuehl" w:hAnsi="FrankRuehl" w:cs="FrankRuehl"/>
        <w:color w:val="000000"/>
      </w:rPr>
    </w:pPr>
    <w:r w:rsidRPr="00C169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11214" w14:textId="77777777" w:rsidR="00C16969" w:rsidRDefault="00C16969" w:rsidP="00C1696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18B8">
      <w:rPr>
        <w:rFonts w:ascii="FrankRuehl" w:hAnsi="FrankRuehl" w:cs="FrankRuehl"/>
        <w:noProof/>
        <w:rtl/>
      </w:rPr>
      <w:t>1</w:t>
    </w:r>
    <w:r>
      <w:rPr>
        <w:rFonts w:ascii="FrankRuehl" w:hAnsi="FrankRuehl" w:cs="FrankRuehl"/>
        <w:rtl/>
      </w:rPr>
      <w:fldChar w:fldCharType="end"/>
    </w:r>
  </w:p>
  <w:p w14:paraId="757F40C9" w14:textId="77777777" w:rsidR="00585DE7" w:rsidRPr="00C16969" w:rsidRDefault="00C16969" w:rsidP="00C16969">
    <w:pPr>
      <w:pStyle w:val="a5"/>
      <w:pBdr>
        <w:top w:val="single" w:sz="4" w:space="1" w:color="auto"/>
        <w:between w:val="single" w:sz="4" w:space="0" w:color="auto"/>
      </w:pBdr>
      <w:spacing w:after="60"/>
      <w:jc w:val="center"/>
      <w:rPr>
        <w:rFonts w:ascii="FrankRuehl" w:hAnsi="FrankRuehl" w:cs="FrankRuehl"/>
        <w:color w:val="000000"/>
      </w:rPr>
    </w:pPr>
    <w:r w:rsidRPr="00C16969">
      <w:rPr>
        <w:rFonts w:ascii="FrankRuehl" w:hAnsi="FrankRuehl" w:cs="FrankRuehl"/>
        <w:color w:val="000000"/>
      </w:rPr>
      <w:pict w14:anchorId="33D0C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35578" w14:textId="77777777" w:rsidR="000A197A" w:rsidRDefault="000A197A" w:rsidP="00535ED0">
      <w:r>
        <w:separator/>
      </w:r>
    </w:p>
  </w:footnote>
  <w:footnote w:type="continuationSeparator" w:id="0">
    <w:p w14:paraId="37CE5097" w14:textId="77777777" w:rsidR="000A197A" w:rsidRDefault="000A197A" w:rsidP="00535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8F1AB" w14:textId="77777777" w:rsidR="006228F7" w:rsidRPr="00C16969" w:rsidRDefault="00C16969" w:rsidP="00C169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9111-12-21</w:t>
    </w:r>
    <w:r>
      <w:rPr>
        <w:rFonts w:ascii="David" w:hAnsi="David"/>
        <w:color w:val="000000"/>
        <w:sz w:val="22"/>
        <w:szCs w:val="22"/>
        <w:rtl/>
      </w:rPr>
      <w:tab/>
      <w:t xml:space="preserve"> מדינת ישראל נ' נתנאל זדה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C6C18" w14:textId="77777777" w:rsidR="006228F7" w:rsidRPr="00C16969" w:rsidRDefault="00C16969" w:rsidP="00C1696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9111-12-21</w:t>
    </w:r>
    <w:r>
      <w:rPr>
        <w:rFonts w:ascii="David" w:hAnsi="David"/>
        <w:color w:val="000000"/>
        <w:sz w:val="22"/>
        <w:szCs w:val="22"/>
        <w:rtl/>
      </w:rPr>
      <w:tab/>
      <w:t xml:space="preserve"> מדינת ישראל נ' נתנאל זדה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E2D0E"/>
    <w:multiLevelType w:val="hybridMultilevel"/>
    <w:tmpl w:val="69AA1E90"/>
    <w:lvl w:ilvl="0" w:tplc="E944657E">
      <w:start w:val="1"/>
      <w:numFmt w:val="decimal"/>
      <w:lvlText w:val="%1."/>
      <w:lvlJc w:val="left"/>
      <w:pPr>
        <w:ind w:left="720" w:hanging="72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0622F"/>
    <w:multiLevelType w:val="hybridMultilevel"/>
    <w:tmpl w:val="D69E0B6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86B96"/>
    <w:multiLevelType w:val="hybridMultilevel"/>
    <w:tmpl w:val="35D22228"/>
    <w:lvl w:ilvl="0" w:tplc="A1D269E0">
      <w:start w:val="1"/>
      <w:numFmt w:val="hebrew1"/>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3284343">
    <w:abstractNumId w:val="0"/>
  </w:num>
  <w:num w:numId="2" w16cid:durableId="1460218777">
    <w:abstractNumId w:val="2"/>
  </w:num>
  <w:num w:numId="3" w16cid:durableId="1064183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5B9D"/>
    <w:rsid w:val="000A197A"/>
    <w:rsid w:val="001B5A3B"/>
    <w:rsid w:val="00365524"/>
    <w:rsid w:val="004658D9"/>
    <w:rsid w:val="00535ED0"/>
    <w:rsid w:val="00585DE7"/>
    <w:rsid w:val="006228F7"/>
    <w:rsid w:val="00832325"/>
    <w:rsid w:val="008F77AF"/>
    <w:rsid w:val="00922EA6"/>
    <w:rsid w:val="00945B9D"/>
    <w:rsid w:val="009E18B8"/>
    <w:rsid w:val="00C16969"/>
    <w:rsid w:val="00DA78BF"/>
    <w:rsid w:val="00DB1E69"/>
    <w:rsid w:val="00EE3D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78D5D9"/>
  <w15:chartTrackingRefBased/>
  <w15:docId w15:val="{D398CF49-26D7-4643-838E-299C829E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5B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5B9D"/>
    <w:pPr>
      <w:tabs>
        <w:tab w:val="center" w:pos="4153"/>
        <w:tab w:val="right" w:pos="8306"/>
      </w:tabs>
    </w:pPr>
  </w:style>
  <w:style w:type="character" w:customStyle="1" w:styleId="a4">
    <w:name w:val="כותרת עליונה תו"/>
    <w:link w:val="a3"/>
    <w:rsid w:val="00945B9D"/>
    <w:rPr>
      <w:rFonts w:ascii="Times New Roman" w:eastAsia="Times New Roman" w:hAnsi="Times New Roman" w:cs="David"/>
      <w:sz w:val="24"/>
      <w:szCs w:val="24"/>
    </w:rPr>
  </w:style>
  <w:style w:type="paragraph" w:styleId="a5">
    <w:name w:val="footer"/>
    <w:basedOn w:val="a"/>
    <w:link w:val="a6"/>
    <w:rsid w:val="00945B9D"/>
    <w:pPr>
      <w:tabs>
        <w:tab w:val="center" w:pos="4153"/>
        <w:tab w:val="right" w:pos="8306"/>
      </w:tabs>
    </w:pPr>
  </w:style>
  <w:style w:type="character" w:customStyle="1" w:styleId="a6">
    <w:name w:val="כותרת תחתונה תו"/>
    <w:link w:val="a5"/>
    <w:rsid w:val="00945B9D"/>
    <w:rPr>
      <w:rFonts w:ascii="Times New Roman" w:eastAsia="Times New Roman" w:hAnsi="Times New Roman" w:cs="David"/>
      <w:sz w:val="24"/>
      <w:szCs w:val="24"/>
    </w:rPr>
  </w:style>
  <w:style w:type="table" w:styleId="a7">
    <w:name w:val="Table Grid"/>
    <w:basedOn w:val="a1"/>
    <w:rsid w:val="00945B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5B9D"/>
  </w:style>
  <w:style w:type="paragraph" w:styleId="a9">
    <w:name w:val="List Paragraph"/>
    <w:basedOn w:val="a"/>
    <w:qFormat/>
    <w:rsid w:val="00945B9D"/>
    <w:pPr>
      <w:ind w:left="720"/>
      <w:contextualSpacing/>
    </w:pPr>
  </w:style>
  <w:style w:type="character" w:styleId="Hyperlink">
    <w:name w:val="Hyperlink"/>
    <w:rsid w:val="006228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71a.d" TargetMode="External"/><Relationship Id="rId13" Type="http://schemas.openxmlformats.org/officeDocument/2006/relationships/hyperlink" Target="http://www.nevo.co.il/law/4216/7.c" TargetMode="External"/><Relationship Id="rId18" Type="http://schemas.openxmlformats.org/officeDocument/2006/relationships/hyperlink" Target="http://www.nevo.co.il/case/17943750"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5890372" TargetMode="External"/><Relationship Id="rId7" Type="http://schemas.openxmlformats.org/officeDocument/2006/relationships/hyperlink" Target="http://www.nevo.co.il/law/70301" TargetMode="External"/><Relationship Id="rId12" Type="http://schemas.openxmlformats.org/officeDocument/2006/relationships/hyperlink" Target="http://www.nevo.co.il/law/4216/7.a." TargetMode="External"/><Relationship Id="rId17" Type="http://schemas.openxmlformats.org/officeDocument/2006/relationships/hyperlink" Target="http://www.nevo.co.il/law/421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500832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d(1)S" TargetMode="External"/><Relationship Id="rId28" Type="http://schemas.openxmlformats.org/officeDocument/2006/relationships/footer" Target="footer2.xml"/><Relationship Id="rId10" Type="http://schemas.openxmlformats.org/officeDocument/2006/relationships/hyperlink" Target="http://www.nevo.co.il/law/70301/d(1)S" TargetMode="External"/><Relationship Id="rId19" Type="http://schemas.openxmlformats.org/officeDocument/2006/relationships/hyperlink" Target="http://www.nevo.co.il/case/5810781" TargetMode="External"/><Relationship Id="rId4" Type="http://schemas.openxmlformats.org/officeDocument/2006/relationships/webSettings" Target="webSettings.xml"/><Relationship Id="rId9" Type="http://schemas.openxmlformats.org/officeDocument/2006/relationships/hyperlink" Target="http://www.nevo.co.il/law/70301/338.a.9" TargetMode="External"/><Relationship Id="rId14" Type="http://schemas.openxmlformats.org/officeDocument/2006/relationships/hyperlink" Target="http://www.nevo.co.il/law/70301/338.a.9" TargetMode="External"/><Relationship Id="rId22" Type="http://schemas.openxmlformats.org/officeDocument/2006/relationships/hyperlink" Target="http://www.nevo.co.il/law/70301/71a.d"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1526</Words>
  <Characters>7632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9140</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5505024</vt:i4>
      </vt:variant>
      <vt:variant>
        <vt:i4>48</vt:i4>
      </vt:variant>
      <vt:variant>
        <vt:i4>0</vt:i4>
      </vt:variant>
      <vt:variant>
        <vt:i4>5</vt:i4>
      </vt:variant>
      <vt:variant>
        <vt:lpwstr>http://www.nevo.co.il/law/70301/d(1)S</vt:lpwstr>
      </vt:variant>
      <vt:variant>
        <vt:lpwstr/>
      </vt:variant>
      <vt:variant>
        <vt:i4>4849667</vt:i4>
      </vt:variant>
      <vt:variant>
        <vt:i4>45</vt:i4>
      </vt:variant>
      <vt:variant>
        <vt:i4>0</vt:i4>
      </vt:variant>
      <vt:variant>
        <vt:i4>5</vt:i4>
      </vt:variant>
      <vt:variant>
        <vt:lpwstr>http://www.nevo.co.il/law/70301/71a.d</vt:lpwstr>
      </vt:variant>
      <vt:variant>
        <vt:lpwstr/>
      </vt:variant>
      <vt:variant>
        <vt:i4>3997819</vt:i4>
      </vt:variant>
      <vt:variant>
        <vt:i4>42</vt:i4>
      </vt:variant>
      <vt:variant>
        <vt:i4>0</vt:i4>
      </vt:variant>
      <vt:variant>
        <vt:i4>5</vt:i4>
      </vt:variant>
      <vt:variant>
        <vt:lpwstr>http://www.nevo.co.il/case/25890372</vt:lpwstr>
      </vt:variant>
      <vt:variant>
        <vt:lpwstr/>
      </vt:variant>
      <vt:variant>
        <vt:i4>3670130</vt:i4>
      </vt:variant>
      <vt:variant>
        <vt:i4>39</vt:i4>
      </vt:variant>
      <vt:variant>
        <vt:i4>0</vt:i4>
      </vt:variant>
      <vt:variant>
        <vt:i4>5</vt:i4>
      </vt:variant>
      <vt:variant>
        <vt:lpwstr>http://www.nevo.co.il/case/25008329</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4063344</vt:i4>
      </vt:variant>
      <vt:variant>
        <vt:i4>33</vt:i4>
      </vt:variant>
      <vt:variant>
        <vt:i4>0</vt:i4>
      </vt:variant>
      <vt:variant>
        <vt:i4>5</vt:i4>
      </vt:variant>
      <vt:variant>
        <vt:lpwstr>http://www.nevo.co.il/case/17943750</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6684735</vt:i4>
      </vt:variant>
      <vt:variant>
        <vt:i4>21</vt:i4>
      </vt:variant>
      <vt:variant>
        <vt:i4>0</vt:i4>
      </vt:variant>
      <vt:variant>
        <vt:i4>5</vt:i4>
      </vt:variant>
      <vt:variant>
        <vt:lpwstr>http://www.nevo.co.il/law/70301/338.a.9</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5505024</vt:i4>
      </vt:variant>
      <vt:variant>
        <vt:i4>9</vt:i4>
      </vt:variant>
      <vt:variant>
        <vt:i4>0</vt:i4>
      </vt:variant>
      <vt:variant>
        <vt:i4>5</vt:i4>
      </vt:variant>
      <vt:variant>
        <vt:lpwstr>http://www.nevo.co.il/law/70301/d(1)S</vt:lpwstr>
      </vt:variant>
      <vt:variant>
        <vt:lpwstr/>
      </vt:variant>
      <vt:variant>
        <vt:i4>6684735</vt:i4>
      </vt:variant>
      <vt:variant>
        <vt:i4>6</vt:i4>
      </vt:variant>
      <vt:variant>
        <vt:i4>0</vt:i4>
      </vt:variant>
      <vt:variant>
        <vt:i4>5</vt:i4>
      </vt:variant>
      <vt:variant>
        <vt:lpwstr>http://www.nevo.co.il/law/70301/338.a.9</vt:lpwstr>
      </vt:variant>
      <vt:variant>
        <vt:lpwstr/>
      </vt:variant>
      <vt:variant>
        <vt:i4>4849667</vt:i4>
      </vt:variant>
      <vt:variant>
        <vt:i4>3</vt:i4>
      </vt:variant>
      <vt:variant>
        <vt:i4>0</vt:i4>
      </vt:variant>
      <vt:variant>
        <vt:i4>5</vt:i4>
      </vt:variant>
      <vt:variant>
        <vt:lpwstr>http://www.nevo.co.il/law/70301/71a.d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2025-04-23T01:19:00Z</dcterms:created>
  <dcterms:modified xsi:type="dcterms:W3CDTF">2025-04-23T01:19:00Z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9111</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נתנאל זדה</vt:lpwstr>
  </property>
  <property fmtid="{D5CDD505-2E9C-101B-9397-08002B2CF9AE}" pid="10" name="LAWYER">
    <vt:lpwstr>דוד הלוי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20240511</vt:lpwstr>
  </property>
  <property fmtid="{D5CDD505-2E9C-101B-9397-08002B2CF9AE}" pid="14" name="TYPE_N_DATE">
    <vt:lpwstr>38020240511</vt:lpwstr>
  </property>
  <property fmtid="{D5CDD505-2E9C-101B-9397-08002B2CF9AE}" pid="15" name="WORDNUMPAGES">
    <vt:lpwstr>5</vt:lpwstr>
  </property>
  <property fmtid="{D5CDD505-2E9C-101B-9397-08002B2CF9AE}" pid="16" name="TYPE_ABS_DATE">
    <vt:lpwstr>380020240511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17943750;5810781;25008329;25890372</vt:lpwstr>
  </property>
  <property fmtid="{D5CDD505-2E9C-101B-9397-08002B2CF9AE}" pid="36" name="LAWLISTTMP1">
    <vt:lpwstr>70301/338.a.9;071a.d;d(1)S</vt:lpwstr>
  </property>
  <property fmtid="{D5CDD505-2E9C-101B-9397-08002B2CF9AE}" pid="37" name="LAWLISTTMP2">
    <vt:lpwstr>4216/007.a;007.c</vt:lpwstr>
  </property>
</Properties>
</file>