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63D69" w:rsidRPr="0020252E" w14:paraId="5DF7ED38" w14:textId="77777777" w:rsidTr="00B16D90">
        <w:trPr>
          <w:gridAfter w:val="1"/>
          <w:wAfter w:w="99" w:type="dxa"/>
          <w:trHeight w:hRule="exact" w:val="418"/>
          <w:jc w:val="center"/>
        </w:trPr>
        <w:tc>
          <w:tcPr>
            <w:tcW w:w="8721" w:type="dxa"/>
            <w:gridSpan w:val="4"/>
          </w:tcPr>
          <w:p w14:paraId="7FA0FC31" w14:textId="77777777" w:rsidR="00563D69" w:rsidRPr="0020252E" w:rsidRDefault="00563D69" w:rsidP="00CF4C6F">
            <w:pPr>
              <w:pStyle w:val="a3"/>
              <w:jc w:val="center"/>
              <w:rPr>
                <w:rFonts w:ascii="Tahoma" w:hAnsi="Tahoma" w:cs="Tahoma"/>
                <w:color w:val="000080"/>
                <w:rtl/>
              </w:rPr>
            </w:pPr>
            <w:bookmarkStart w:id="0" w:name="LastJudge"/>
            <w:r w:rsidRPr="0020252E">
              <w:rPr>
                <w:rFonts w:ascii="Tahoma" w:hAnsi="Tahoma" w:cs="Tahoma"/>
                <w:b/>
                <w:bCs/>
                <w:color w:val="000080"/>
                <w:rtl/>
              </w:rPr>
              <w:t>בית משפט השלום בירושלים</w:t>
            </w:r>
          </w:p>
        </w:tc>
      </w:tr>
      <w:tr w:rsidR="00563D69" w:rsidRPr="0020252E" w14:paraId="62F1F54E" w14:textId="77777777" w:rsidTr="00B16D90">
        <w:trPr>
          <w:gridAfter w:val="1"/>
          <w:wAfter w:w="99" w:type="dxa"/>
          <w:trHeight w:val="337"/>
          <w:jc w:val="center"/>
        </w:trPr>
        <w:tc>
          <w:tcPr>
            <w:tcW w:w="5054" w:type="dxa"/>
            <w:gridSpan w:val="3"/>
          </w:tcPr>
          <w:p w14:paraId="0B545C48" w14:textId="77777777" w:rsidR="00563D69" w:rsidRPr="0020252E" w:rsidRDefault="00563D69" w:rsidP="00CF4C6F">
            <w:pPr>
              <w:rPr>
                <w:rFonts w:cs="FrankRuehl"/>
                <w:sz w:val="28"/>
                <w:szCs w:val="28"/>
                <w:rtl/>
              </w:rPr>
            </w:pPr>
            <w:r w:rsidRPr="0020252E">
              <w:rPr>
                <w:rFonts w:cs="FrankRuehl"/>
                <w:sz w:val="28"/>
                <w:szCs w:val="28"/>
                <w:rtl/>
              </w:rPr>
              <w:t>ת"פ</w:t>
            </w:r>
            <w:r w:rsidRPr="0020252E">
              <w:rPr>
                <w:rFonts w:cs="FrankRuehl" w:hint="cs"/>
                <w:sz w:val="28"/>
                <w:szCs w:val="28"/>
                <w:rtl/>
              </w:rPr>
              <w:t xml:space="preserve"> </w:t>
            </w:r>
            <w:r w:rsidRPr="0020252E">
              <w:rPr>
                <w:rFonts w:cs="FrankRuehl"/>
                <w:sz w:val="28"/>
                <w:szCs w:val="28"/>
                <w:rtl/>
              </w:rPr>
              <w:t>49244-01-22</w:t>
            </w:r>
            <w:r w:rsidRPr="0020252E">
              <w:rPr>
                <w:rFonts w:cs="FrankRuehl" w:hint="cs"/>
                <w:sz w:val="28"/>
                <w:szCs w:val="28"/>
                <w:rtl/>
              </w:rPr>
              <w:t xml:space="preserve"> </w:t>
            </w:r>
            <w:r w:rsidRPr="0020252E">
              <w:rPr>
                <w:rFonts w:cs="FrankRuehl"/>
                <w:sz w:val="28"/>
                <w:szCs w:val="28"/>
                <w:rtl/>
              </w:rPr>
              <w:t>מדינת ישראל נ' פטאל</w:t>
            </w:r>
          </w:p>
          <w:p w14:paraId="3E64EEF4" w14:textId="77777777" w:rsidR="00563D69" w:rsidRPr="0020252E" w:rsidRDefault="00563D69" w:rsidP="00CF4C6F">
            <w:pPr>
              <w:pStyle w:val="a3"/>
              <w:rPr>
                <w:rFonts w:cs="FrankRuehl"/>
                <w:sz w:val="28"/>
                <w:szCs w:val="28"/>
                <w:rtl/>
              </w:rPr>
            </w:pPr>
          </w:p>
        </w:tc>
        <w:tc>
          <w:tcPr>
            <w:tcW w:w="3667" w:type="dxa"/>
          </w:tcPr>
          <w:p w14:paraId="412FD457" w14:textId="77777777" w:rsidR="00563D69" w:rsidRPr="0020252E" w:rsidRDefault="00563D69" w:rsidP="00CF4C6F">
            <w:pPr>
              <w:pStyle w:val="a3"/>
              <w:jc w:val="right"/>
              <w:rPr>
                <w:rFonts w:cs="FrankRuehl"/>
                <w:sz w:val="28"/>
                <w:szCs w:val="28"/>
                <w:rtl/>
              </w:rPr>
            </w:pPr>
          </w:p>
        </w:tc>
      </w:tr>
      <w:tr w:rsidR="00563D69" w:rsidRPr="0020252E" w14:paraId="0D361F05" w14:textId="77777777" w:rsidTr="00B16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75C9A28" w14:textId="77777777" w:rsidR="00563D69" w:rsidRPr="0020252E" w:rsidRDefault="00563D69" w:rsidP="00563D69">
            <w:pPr>
              <w:jc w:val="both"/>
              <w:rPr>
                <w:rFonts w:ascii="David" w:hAnsi="David"/>
              </w:rPr>
            </w:pPr>
            <w:r w:rsidRPr="0020252E">
              <w:rPr>
                <w:rFonts w:hint="cs"/>
                <w:rtl/>
              </w:rPr>
              <w:t xml:space="preserve"> </w:t>
            </w:r>
            <w:r w:rsidRPr="0020252E">
              <w:rPr>
                <w:rFonts w:ascii="David" w:hAnsi="David"/>
                <w:rtl/>
              </w:rPr>
              <w:t xml:space="preserve">בפני </w:t>
            </w:r>
          </w:p>
        </w:tc>
        <w:tc>
          <w:tcPr>
            <w:tcW w:w="7897" w:type="dxa"/>
            <w:gridSpan w:val="4"/>
            <w:tcBorders>
              <w:top w:val="nil"/>
              <w:left w:val="nil"/>
              <w:bottom w:val="nil"/>
              <w:right w:val="nil"/>
            </w:tcBorders>
            <w:shd w:val="clear" w:color="auto" w:fill="auto"/>
          </w:tcPr>
          <w:p w14:paraId="3692F528" w14:textId="77777777" w:rsidR="00563D69" w:rsidRPr="0020252E" w:rsidRDefault="00563D69" w:rsidP="00CF4C6F">
            <w:pPr>
              <w:rPr>
                <w:rFonts w:ascii="David" w:hAnsi="David"/>
                <w:b/>
                <w:bCs/>
                <w:rtl/>
              </w:rPr>
            </w:pPr>
            <w:r w:rsidRPr="0020252E">
              <w:rPr>
                <w:rFonts w:ascii="David" w:hAnsi="David"/>
                <w:b/>
                <w:bCs/>
                <w:rtl/>
              </w:rPr>
              <w:t>כבוד השופט  ארנון איתן</w:t>
            </w:r>
          </w:p>
          <w:p w14:paraId="3ED3C67D" w14:textId="77777777" w:rsidR="00563D69" w:rsidRPr="0020252E" w:rsidRDefault="00563D69" w:rsidP="00CF4C6F">
            <w:pPr>
              <w:rPr>
                <w:rFonts w:ascii="David" w:hAnsi="David"/>
                <w:rtl/>
              </w:rPr>
            </w:pPr>
          </w:p>
          <w:p w14:paraId="5D7283C6" w14:textId="77777777" w:rsidR="00563D69" w:rsidRPr="0020252E" w:rsidRDefault="00563D69" w:rsidP="00563D69">
            <w:pPr>
              <w:jc w:val="both"/>
              <w:rPr>
                <w:rFonts w:ascii="David" w:hAnsi="David"/>
              </w:rPr>
            </w:pPr>
          </w:p>
        </w:tc>
      </w:tr>
      <w:tr w:rsidR="00563D69" w:rsidRPr="0020252E" w14:paraId="4B8FBC52" w14:textId="77777777" w:rsidTr="00B16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50BF5B" w14:textId="77777777" w:rsidR="00563D69" w:rsidRPr="0020252E" w:rsidRDefault="00563D69" w:rsidP="00563D69">
            <w:pPr>
              <w:jc w:val="both"/>
              <w:rPr>
                <w:rFonts w:ascii="David" w:hAnsi="David"/>
              </w:rPr>
            </w:pPr>
            <w:bookmarkStart w:id="1" w:name="FirstAppellant"/>
            <w:r w:rsidRPr="0020252E">
              <w:rPr>
                <w:rFonts w:ascii="David" w:hAnsi="David"/>
                <w:rtl/>
              </w:rPr>
              <w:t>בעניין:</w:t>
            </w:r>
          </w:p>
        </w:tc>
        <w:tc>
          <w:tcPr>
            <w:tcW w:w="3219" w:type="dxa"/>
            <w:tcBorders>
              <w:top w:val="nil"/>
              <w:left w:val="nil"/>
              <w:bottom w:val="nil"/>
              <w:right w:val="nil"/>
            </w:tcBorders>
            <w:shd w:val="clear" w:color="auto" w:fill="auto"/>
          </w:tcPr>
          <w:p w14:paraId="64C9FD45" w14:textId="77777777" w:rsidR="00563D69" w:rsidRPr="0020252E" w:rsidRDefault="00563D69" w:rsidP="00563D69">
            <w:pPr>
              <w:suppressLineNumbers/>
            </w:pPr>
            <w:r w:rsidRPr="0020252E">
              <w:rPr>
                <w:rFonts w:ascii="Arial" w:hAnsi="Arial" w:hint="cs"/>
                <w:b/>
                <w:bCs/>
                <w:rtl/>
              </w:rPr>
              <w:t>ה</w:t>
            </w:r>
            <w:r w:rsidRPr="0020252E">
              <w:rPr>
                <w:rFonts w:ascii="Arial" w:hAnsi="Arial"/>
                <w:b/>
                <w:bCs/>
                <w:rtl/>
              </w:rPr>
              <w:t>מאשימה</w:t>
            </w:r>
          </w:p>
          <w:p w14:paraId="3406199B" w14:textId="77777777" w:rsidR="00563D69" w:rsidRPr="0020252E" w:rsidRDefault="00563D69" w:rsidP="00CF4C6F">
            <w:pPr>
              <w:rPr>
                <w:rFonts w:ascii="David" w:hAnsi="David"/>
              </w:rPr>
            </w:pPr>
          </w:p>
        </w:tc>
        <w:tc>
          <w:tcPr>
            <w:tcW w:w="4678" w:type="dxa"/>
            <w:gridSpan w:val="3"/>
            <w:tcBorders>
              <w:top w:val="nil"/>
              <w:left w:val="nil"/>
              <w:bottom w:val="nil"/>
              <w:right w:val="nil"/>
            </w:tcBorders>
            <w:shd w:val="clear" w:color="auto" w:fill="auto"/>
            <w:vAlign w:val="center"/>
          </w:tcPr>
          <w:p w14:paraId="69112B78" w14:textId="77777777" w:rsidR="00563D69" w:rsidRPr="0020252E" w:rsidRDefault="00563D69" w:rsidP="00563D69">
            <w:pPr>
              <w:suppressLineNumbers/>
            </w:pPr>
            <w:r w:rsidRPr="0020252E">
              <w:rPr>
                <w:rFonts w:ascii="Arial" w:hAnsi="Arial"/>
                <w:b/>
                <w:bCs/>
                <w:rtl/>
              </w:rPr>
              <w:t>מדינת ישראל</w:t>
            </w:r>
            <w:r w:rsidRPr="0020252E">
              <w:rPr>
                <w:rFonts w:ascii="Arial" w:hAnsi="Arial"/>
                <w:b/>
                <w:bCs/>
                <w:rtl/>
              </w:rPr>
              <w:br/>
            </w:r>
            <w:r w:rsidRPr="0020252E">
              <w:rPr>
                <w:rFonts w:ascii="Arial" w:hAnsi="Arial"/>
                <w:rtl/>
              </w:rPr>
              <w:t xml:space="preserve">ע"י </w:t>
            </w:r>
            <w:r w:rsidRPr="0020252E">
              <w:rPr>
                <w:rFonts w:ascii="Arial" w:hAnsi="Arial" w:hint="cs"/>
                <w:rtl/>
              </w:rPr>
              <w:t>יחידת תביעות מחוז ירושלים</w:t>
            </w:r>
          </w:p>
          <w:p w14:paraId="52BD8477" w14:textId="77777777" w:rsidR="00563D69" w:rsidRPr="0020252E" w:rsidRDefault="00563D69" w:rsidP="00CF4C6F">
            <w:pPr>
              <w:rPr>
                <w:rFonts w:ascii="David" w:hAnsi="David"/>
              </w:rPr>
            </w:pPr>
          </w:p>
        </w:tc>
      </w:tr>
      <w:bookmarkEnd w:id="1"/>
      <w:tr w:rsidR="00563D69" w:rsidRPr="0020252E" w14:paraId="03F13825" w14:textId="77777777" w:rsidTr="00B16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4386FA0" w14:textId="77777777" w:rsidR="00563D69" w:rsidRPr="0020252E" w:rsidRDefault="00563D69" w:rsidP="00563D69">
            <w:pPr>
              <w:jc w:val="both"/>
              <w:rPr>
                <w:rFonts w:ascii="David" w:hAnsi="David"/>
                <w:rtl/>
              </w:rPr>
            </w:pPr>
          </w:p>
        </w:tc>
        <w:tc>
          <w:tcPr>
            <w:tcW w:w="7897" w:type="dxa"/>
            <w:gridSpan w:val="4"/>
            <w:tcBorders>
              <w:top w:val="nil"/>
              <w:left w:val="nil"/>
              <w:bottom w:val="nil"/>
              <w:right w:val="nil"/>
            </w:tcBorders>
            <w:shd w:val="clear" w:color="auto" w:fill="auto"/>
          </w:tcPr>
          <w:p w14:paraId="641F4529" w14:textId="77777777" w:rsidR="00563D69" w:rsidRPr="0020252E" w:rsidRDefault="00563D69" w:rsidP="00563D69">
            <w:pPr>
              <w:jc w:val="center"/>
              <w:rPr>
                <w:rFonts w:ascii="David" w:hAnsi="David"/>
                <w:b/>
                <w:bCs/>
                <w:rtl/>
              </w:rPr>
            </w:pPr>
          </w:p>
          <w:p w14:paraId="1EAD0F49" w14:textId="77777777" w:rsidR="00563D69" w:rsidRPr="0020252E" w:rsidRDefault="00563D69" w:rsidP="00563D69">
            <w:pPr>
              <w:jc w:val="center"/>
              <w:rPr>
                <w:rFonts w:ascii="David" w:hAnsi="David"/>
                <w:b/>
                <w:bCs/>
                <w:rtl/>
              </w:rPr>
            </w:pPr>
            <w:r w:rsidRPr="0020252E">
              <w:rPr>
                <w:rFonts w:ascii="David" w:hAnsi="David"/>
                <w:b/>
                <w:bCs/>
                <w:rtl/>
              </w:rPr>
              <w:t>נגד</w:t>
            </w:r>
          </w:p>
          <w:p w14:paraId="703031BE" w14:textId="77777777" w:rsidR="00563D69" w:rsidRPr="0020252E" w:rsidRDefault="00563D69" w:rsidP="00563D69">
            <w:pPr>
              <w:jc w:val="both"/>
              <w:rPr>
                <w:rFonts w:ascii="David" w:hAnsi="David"/>
              </w:rPr>
            </w:pPr>
          </w:p>
        </w:tc>
      </w:tr>
      <w:tr w:rsidR="00563D69" w:rsidRPr="0020252E" w14:paraId="30BD29C8" w14:textId="77777777" w:rsidTr="00B16D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8038921" w14:textId="77777777" w:rsidR="00563D69" w:rsidRPr="0020252E" w:rsidRDefault="00563D69" w:rsidP="00CF4C6F">
            <w:pPr>
              <w:rPr>
                <w:rFonts w:ascii="David" w:hAnsi="David"/>
                <w:rtl/>
              </w:rPr>
            </w:pPr>
            <w:bookmarkStart w:id="2" w:name="FirstLawyer"/>
          </w:p>
        </w:tc>
        <w:tc>
          <w:tcPr>
            <w:tcW w:w="3219" w:type="dxa"/>
            <w:tcBorders>
              <w:top w:val="nil"/>
              <w:left w:val="nil"/>
              <w:bottom w:val="nil"/>
              <w:right w:val="nil"/>
            </w:tcBorders>
            <w:shd w:val="clear" w:color="auto" w:fill="auto"/>
          </w:tcPr>
          <w:p w14:paraId="1AB09ED7" w14:textId="77777777" w:rsidR="00563D69" w:rsidRPr="0020252E" w:rsidRDefault="00563D69" w:rsidP="00CF4C6F">
            <w:pPr>
              <w:rPr>
                <w:rFonts w:ascii="Arial" w:hAnsi="Arial"/>
                <w:b/>
                <w:bCs/>
                <w:rtl/>
              </w:rPr>
            </w:pPr>
            <w:r w:rsidRPr="0020252E">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04CA6E82" w14:textId="77777777" w:rsidR="00563D69" w:rsidRPr="0020252E" w:rsidRDefault="00563D69" w:rsidP="00563D69">
            <w:pPr>
              <w:suppressLineNumbers/>
              <w:rPr>
                <w:rFonts w:ascii="Arial" w:hAnsi="Arial"/>
                <w:b/>
                <w:bCs/>
                <w:rtl/>
              </w:rPr>
            </w:pPr>
            <w:r w:rsidRPr="0020252E">
              <w:rPr>
                <w:rFonts w:ascii="Arial" w:hAnsi="Arial"/>
                <w:b/>
                <w:bCs/>
                <w:rtl/>
              </w:rPr>
              <w:t>דור אליעזר פטאל</w:t>
            </w:r>
            <w:r w:rsidRPr="0020252E">
              <w:rPr>
                <w:rFonts w:ascii="Arial" w:hAnsi="Arial" w:hint="cs"/>
                <w:b/>
                <w:bCs/>
                <w:rtl/>
              </w:rPr>
              <w:t xml:space="preserve"> </w:t>
            </w:r>
          </w:p>
          <w:p w14:paraId="64FE20E1" w14:textId="77777777" w:rsidR="00563D69" w:rsidRPr="0020252E" w:rsidRDefault="00563D69" w:rsidP="00563D69">
            <w:pPr>
              <w:suppressLineNumbers/>
            </w:pPr>
            <w:r w:rsidRPr="0020252E">
              <w:rPr>
                <w:rFonts w:ascii="Arial" w:hAnsi="Arial"/>
                <w:rtl/>
              </w:rPr>
              <w:t>ע"י ב"כ עוה"ד</w:t>
            </w:r>
            <w:r w:rsidRPr="0020252E">
              <w:rPr>
                <w:rFonts w:hint="cs"/>
                <w:rtl/>
              </w:rPr>
              <w:t xml:space="preserve"> אמיר נבון</w:t>
            </w:r>
          </w:p>
          <w:p w14:paraId="044045A9" w14:textId="77777777" w:rsidR="00563D69" w:rsidRPr="0020252E" w:rsidRDefault="00563D69" w:rsidP="00CF4C6F">
            <w:pPr>
              <w:rPr>
                <w:rFonts w:ascii="David" w:hAnsi="David"/>
              </w:rPr>
            </w:pPr>
          </w:p>
        </w:tc>
      </w:tr>
      <w:bookmarkEnd w:id="2"/>
    </w:tbl>
    <w:p w14:paraId="63F898C6" w14:textId="77777777" w:rsidR="0020252E" w:rsidRPr="0020252E" w:rsidRDefault="0020252E" w:rsidP="0020252E">
      <w:pPr>
        <w:spacing w:before="120" w:after="120" w:line="240" w:lineRule="exact"/>
        <w:ind w:left="283" w:hanging="283"/>
        <w:jc w:val="both"/>
        <w:rPr>
          <w:rFonts w:ascii="FrankRuehl" w:hAnsi="FrankRuehl" w:cs="FrankRuehl"/>
          <w:rtl/>
        </w:rPr>
      </w:pPr>
    </w:p>
    <w:p w14:paraId="5309C9D5" w14:textId="77777777" w:rsidR="0020252E" w:rsidRPr="0020252E" w:rsidRDefault="0020252E" w:rsidP="0020252E">
      <w:pPr>
        <w:rPr>
          <w:sz w:val="26"/>
          <w:szCs w:val="26"/>
          <w:rtl/>
        </w:rPr>
      </w:pPr>
    </w:p>
    <w:p w14:paraId="3990CB6B" w14:textId="77777777" w:rsidR="00B16D90" w:rsidRPr="00B16D90" w:rsidRDefault="00B16D90" w:rsidP="00B16D90">
      <w:pPr>
        <w:spacing w:before="120" w:after="120" w:line="240" w:lineRule="exact"/>
        <w:ind w:left="283" w:hanging="283"/>
        <w:jc w:val="both"/>
        <w:rPr>
          <w:rFonts w:ascii="FrankRuehl" w:hAnsi="FrankRuehl" w:cs="FrankRuehl"/>
          <w:rtl/>
        </w:rPr>
      </w:pPr>
    </w:p>
    <w:p w14:paraId="02D895F3" w14:textId="77777777" w:rsidR="00BA6AB7" w:rsidRPr="00BA6AB7" w:rsidRDefault="00BA6AB7" w:rsidP="00BA6AB7">
      <w:pPr>
        <w:spacing w:before="120" w:after="120" w:line="240" w:lineRule="exact"/>
        <w:ind w:left="283" w:hanging="283"/>
        <w:jc w:val="both"/>
        <w:rPr>
          <w:rFonts w:ascii="FrankRuehl" w:hAnsi="FrankRuehl" w:cs="FrankRuehl"/>
          <w:rtl/>
        </w:rPr>
      </w:pPr>
    </w:p>
    <w:p w14:paraId="49FD4918" w14:textId="77777777" w:rsidR="009E5BB2" w:rsidRDefault="009E5BB2" w:rsidP="009E5BB2">
      <w:pPr>
        <w:rPr>
          <w:sz w:val="26"/>
          <w:szCs w:val="26"/>
          <w:rtl/>
        </w:rPr>
      </w:pPr>
      <w:bookmarkStart w:id="3" w:name="LawTable"/>
      <w:bookmarkEnd w:id="3"/>
    </w:p>
    <w:p w14:paraId="14E9F1F2" w14:textId="77777777" w:rsidR="009E5BB2" w:rsidRPr="009E5BB2" w:rsidRDefault="009E5BB2" w:rsidP="009E5BB2">
      <w:pPr>
        <w:spacing w:before="120" w:after="120" w:line="240" w:lineRule="exact"/>
        <w:ind w:left="283" w:hanging="283"/>
        <w:jc w:val="both"/>
        <w:rPr>
          <w:rFonts w:ascii="FrankRuehl" w:hAnsi="FrankRuehl" w:cs="FrankRuehl"/>
          <w:rtl/>
        </w:rPr>
      </w:pPr>
    </w:p>
    <w:p w14:paraId="6DF37B52" w14:textId="77777777" w:rsidR="009E5BB2" w:rsidRPr="009E5BB2" w:rsidRDefault="009E5BB2" w:rsidP="009E5BB2">
      <w:pPr>
        <w:spacing w:before="120" w:after="120" w:line="240" w:lineRule="exact"/>
        <w:ind w:left="283" w:hanging="283"/>
        <w:jc w:val="both"/>
        <w:rPr>
          <w:rFonts w:ascii="FrankRuehl" w:hAnsi="FrankRuehl" w:cs="FrankRuehl"/>
          <w:rtl/>
        </w:rPr>
      </w:pPr>
    </w:p>
    <w:p w14:paraId="30CEF1A6" w14:textId="77777777" w:rsidR="009E5BB2" w:rsidRPr="009E5BB2" w:rsidRDefault="009E5BB2" w:rsidP="009E5BB2">
      <w:pPr>
        <w:spacing w:before="120" w:after="120" w:line="240" w:lineRule="exact"/>
        <w:ind w:left="283" w:hanging="283"/>
        <w:jc w:val="both"/>
        <w:rPr>
          <w:rFonts w:ascii="FrankRuehl" w:hAnsi="FrankRuehl" w:cs="FrankRuehl"/>
          <w:rtl/>
        </w:rPr>
      </w:pPr>
      <w:r w:rsidRPr="009E5BB2">
        <w:rPr>
          <w:rFonts w:ascii="FrankRuehl" w:hAnsi="FrankRuehl" w:cs="FrankRuehl"/>
          <w:rtl/>
        </w:rPr>
        <w:t xml:space="preserve">חקיקה שאוזכרה: </w:t>
      </w:r>
    </w:p>
    <w:p w14:paraId="0E1946B3" w14:textId="77777777" w:rsidR="009E5BB2" w:rsidRPr="009E5BB2" w:rsidRDefault="009E5BB2" w:rsidP="009E5BB2">
      <w:pPr>
        <w:spacing w:before="120" w:after="120" w:line="240" w:lineRule="exact"/>
        <w:ind w:left="283" w:hanging="283"/>
        <w:jc w:val="both"/>
        <w:rPr>
          <w:rFonts w:ascii="FrankRuehl" w:hAnsi="FrankRuehl" w:cs="FrankRuehl"/>
          <w:rtl/>
        </w:rPr>
      </w:pPr>
      <w:hyperlink r:id="rId7" w:history="1">
        <w:r w:rsidRPr="009E5BB2">
          <w:rPr>
            <w:rFonts w:ascii="FrankRuehl" w:hAnsi="FrankRuehl" w:cs="FrankRuehl"/>
            <w:color w:val="0000FF"/>
            <w:rtl/>
          </w:rPr>
          <w:t>פקודת הסמים המסוכנים [נוסח חדש], תשל"ג-1973</w:t>
        </w:r>
      </w:hyperlink>
      <w:r w:rsidRPr="009E5BB2">
        <w:rPr>
          <w:rFonts w:ascii="FrankRuehl" w:hAnsi="FrankRuehl" w:cs="FrankRuehl"/>
          <w:rtl/>
        </w:rPr>
        <w:t xml:space="preserve">: סע'  </w:t>
      </w:r>
      <w:hyperlink r:id="rId8" w:history="1">
        <w:r w:rsidRPr="009E5BB2">
          <w:rPr>
            <w:rFonts w:ascii="FrankRuehl" w:hAnsi="FrankRuehl" w:cs="FrankRuehl"/>
            <w:color w:val="0000FF"/>
            <w:rtl/>
          </w:rPr>
          <w:t>7(א)</w:t>
        </w:r>
      </w:hyperlink>
      <w:r w:rsidRPr="009E5BB2">
        <w:rPr>
          <w:rFonts w:ascii="FrankRuehl" w:hAnsi="FrankRuehl" w:cs="FrankRuehl"/>
          <w:rtl/>
        </w:rPr>
        <w:t xml:space="preserve">, </w:t>
      </w:r>
      <w:hyperlink r:id="rId9" w:history="1">
        <w:r w:rsidRPr="009E5BB2">
          <w:rPr>
            <w:rFonts w:ascii="FrankRuehl" w:hAnsi="FrankRuehl" w:cs="FrankRuehl"/>
            <w:color w:val="0000FF"/>
            <w:rtl/>
          </w:rPr>
          <w:t>7(ג)</w:t>
        </w:r>
      </w:hyperlink>
      <w:r w:rsidRPr="009E5BB2">
        <w:rPr>
          <w:rFonts w:ascii="FrankRuehl" w:hAnsi="FrankRuehl" w:cs="FrankRuehl"/>
          <w:rtl/>
        </w:rPr>
        <w:t xml:space="preserve">, </w:t>
      </w:r>
      <w:hyperlink r:id="rId10" w:history="1">
        <w:r w:rsidRPr="009E5BB2">
          <w:rPr>
            <w:rFonts w:ascii="FrankRuehl" w:hAnsi="FrankRuehl" w:cs="FrankRuehl"/>
            <w:color w:val="0000FF"/>
            <w:rtl/>
          </w:rPr>
          <w:t>13</w:t>
        </w:r>
      </w:hyperlink>
      <w:r w:rsidRPr="009E5BB2">
        <w:rPr>
          <w:rFonts w:ascii="FrankRuehl" w:hAnsi="FrankRuehl" w:cs="FrankRuehl"/>
          <w:rtl/>
        </w:rPr>
        <w:t xml:space="preserve">, </w:t>
      </w:r>
      <w:hyperlink r:id="rId11" w:history="1">
        <w:r w:rsidRPr="009E5BB2">
          <w:rPr>
            <w:rFonts w:ascii="FrankRuehl" w:hAnsi="FrankRuehl" w:cs="FrankRuehl"/>
            <w:color w:val="0000FF"/>
            <w:rtl/>
          </w:rPr>
          <w:t>19 א</w:t>
        </w:r>
      </w:hyperlink>
    </w:p>
    <w:p w14:paraId="7AB9E8E3" w14:textId="77777777" w:rsidR="009E5BB2" w:rsidRPr="009E5BB2" w:rsidRDefault="009E5BB2" w:rsidP="009E5BB2">
      <w:pPr>
        <w:spacing w:before="120" w:after="120" w:line="240" w:lineRule="exact"/>
        <w:ind w:left="283" w:hanging="283"/>
        <w:jc w:val="both"/>
        <w:rPr>
          <w:rFonts w:ascii="FrankRuehl" w:hAnsi="FrankRuehl" w:cs="FrankRuehl"/>
          <w:rtl/>
        </w:rPr>
      </w:pPr>
      <w:hyperlink r:id="rId12" w:history="1">
        <w:r w:rsidRPr="009E5BB2">
          <w:rPr>
            <w:rFonts w:ascii="FrankRuehl" w:hAnsi="FrankRuehl" w:cs="FrankRuehl"/>
            <w:color w:val="0000FF"/>
            <w:rtl/>
          </w:rPr>
          <w:t>חוק העונשין, תשל"ז-1977</w:t>
        </w:r>
      </w:hyperlink>
      <w:r w:rsidRPr="009E5BB2">
        <w:rPr>
          <w:rFonts w:ascii="FrankRuehl" w:hAnsi="FrankRuehl" w:cs="FrankRuehl"/>
          <w:rtl/>
        </w:rPr>
        <w:t xml:space="preserve">: סע'  </w:t>
      </w:r>
      <w:hyperlink r:id="rId13" w:history="1">
        <w:r w:rsidRPr="009E5BB2">
          <w:rPr>
            <w:rFonts w:ascii="FrankRuehl" w:hAnsi="FrankRuehl" w:cs="FrankRuehl"/>
            <w:color w:val="0000FF"/>
            <w:rtl/>
          </w:rPr>
          <w:t>40 יג'</w:t>
        </w:r>
      </w:hyperlink>
    </w:p>
    <w:p w14:paraId="49283E95" w14:textId="77777777" w:rsidR="009E5BB2" w:rsidRPr="009E5BB2" w:rsidRDefault="009E5BB2" w:rsidP="009E5BB2">
      <w:pPr>
        <w:rPr>
          <w:sz w:val="26"/>
          <w:szCs w:val="26"/>
          <w:rtl/>
        </w:rPr>
      </w:pPr>
      <w:bookmarkStart w:id="4" w:name="LawTable_End"/>
      <w:bookmarkEnd w:id="4"/>
    </w:p>
    <w:p w14:paraId="27F5A62F" w14:textId="77777777" w:rsidR="00B16D90" w:rsidRPr="00BA6AB7" w:rsidRDefault="00B16D90" w:rsidP="00BA6AB7">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3D69" w14:paraId="2921DA23" w14:textId="77777777" w:rsidTr="00563D69">
        <w:trPr>
          <w:trHeight w:val="355"/>
          <w:jc w:val="center"/>
        </w:trPr>
        <w:tc>
          <w:tcPr>
            <w:tcW w:w="8820" w:type="dxa"/>
            <w:tcBorders>
              <w:top w:val="nil"/>
              <w:left w:val="nil"/>
              <w:bottom w:val="nil"/>
              <w:right w:val="nil"/>
            </w:tcBorders>
            <w:shd w:val="clear" w:color="auto" w:fill="auto"/>
          </w:tcPr>
          <w:p w14:paraId="15F51A90" w14:textId="77777777" w:rsidR="0020252E" w:rsidRPr="0020252E" w:rsidRDefault="0020252E" w:rsidP="0020252E">
            <w:pPr>
              <w:jc w:val="center"/>
              <w:rPr>
                <w:rFonts w:ascii="David" w:hAnsi="David"/>
                <w:b/>
                <w:bCs/>
                <w:u w:val="single"/>
                <w:rtl/>
              </w:rPr>
            </w:pPr>
            <w:bookmarkStart w:id="5" w:name="PsakDin" w:colFirst="0" w:colLast="0"/>
            <w:bookmarkEnd w:id="0"/>
            <w:r w:rsidRPr="0020252E">
              <w:rPr>
                <w:rFonts w:ascii="David" w:hAnsi="David"/>
                <w:b/>
                <w:bCs/>
                <w:u w:val="single"/>
                <w:rtl/>
              </w:rPr>
              <w:t>גזר דין</w:t>
            </w:r>
          </w:p>
          <w:p w14:paraId="7708D6B5" w14:textId="77777777" w:rsidR="00563D69" w:rsidRPr="0020252E" w:rsidRDefault="00563D69" w:rsidP="0020252E">
            <w:pPr>
              <w:jc w:val="center"/>
              <w:rPr>
                <w:rFonts w:ascii="David" w:hAnsi="David"/>
                <w:bCs/>
                <w:u w:val="single"/>
                <w:rtl/>
              </w:rPr>
            </w:pPr>
          </w:p>
        </w:tc>
      </w:tr>
    </w:tbl>
    <w:bookmarkEnd w:id="5"/>
    <w:p w14:paraId="12BA3846" w14:textId="77777777" w:rsidR="00563D69" w:rsidRPr="00A36C46" w:rsidRDefault="00563D69" w:rsidP="00563D69">
      <w:pPr>
        <w:spacing w:line="360" w:lineRule="auto"/>
        <w:ind w:firstLine="720"/>
        <w:rPr>
          <w:rFonts w:ascii="Arial" w:hAnsi="Arial"/>
          <w:b/>
          <w:bCs/>
          <w:rtl/>
        </w:rPr>
      </w:pPr>
      <w:r w:rsidRPr="00A36C46">
        <w:rPr>
          <w:rFonts w:ascii="Arial" w:hAnsi="Arial"/>
          <w:b/>
          <w:bCs/>
          <w:u w:val="single"/>
          <w:rtl/>
        </w:rPr>
        <w:t>כתב האישום</w:t>
      </w:r>
      <w:r w:rsidRPr="00A36C46">
        <w:rPr>
          <w:rFonts w:ascii="Arial" w:hAnsi="Arial"/>
          <w:b/>
          <w:bCs/>
          <w:rtl/>
        </w:rPr>
        <w:t>:</w:t>
      </w:r>
    </w:p>
    <w:p w14:paraId="0D0D9AD1" w14:textId="77777777" w:rsidR="00563D69" w:rsidRPr="00A36C46" w:rsidRDefault="00563D69" w:rsidP="00563D69">
      <w:pPr>
        <w:pStyle w:val="a9"/>
        <w:numPr>
          <w:ilvl w:val="0"/>
          <w:numId w:val="1"/>
        </w:numPr>
        <w:spacing w:line="360" w:lineRule="auto"/>
        <w:jc w:val="both"/>
        <w:rPr>
          <w:rFonts w:ascii="Arial" w:hAnsi="Arial"/>
          <w:rtl/>
        </w:rPr>
      </w:pPr>
      <w:bookmarkStart w:id="6" w:name="ABSTRACT_START"/>
      <w:bookmarkEnd w:id="6"/>
      <w:r w:rsidRPr="00A36C46">
        <w:rPr>
          <w:rFonts w:ascii="Arial" w:hAnsi="Arial"/>
          <w:rtl/>
        </w:rPr>
        <w:t>הנאשם הורשע על פי הודאתו ובמסגרת הסדר טעון, בכתב אישום מתוקן, ב-</w:t>
      </w:r>
      <w:r w:rsidRPr="00A36C46">
        <w:rPr>
          <w:rFonts w:ascii="Arial" w:hAnsi="Arial" w:hint="cs"/>
          <w:rtl/>
        </w:rPr>
        <w:t>3</w:t>
      </w:r>
      <w:r w:rsidRPr="00A36C46">
        <w:rPr>
          <w:rFonts w:ascii="Arial" w:hAnsi="Arial"/>
          <w:rtl/>
        </w:rPr>
        <w:t xml:space="preserve"> עבירות של</w:t>
      </w:r>
      <w:r w:rsidRPr="00A36C46">
        <w:rPr>
          <w:rFonts w:ascii="Arial" w:hAnsi="Arial"/>
          <w:b/>
          <w:bCs/>
          <w:rtl/>
        </w:rPr>
        <w:t xml:space="preserve"> </w:t>
      </w:r>
      <w:r w:rsidRPr="00A36C46">
        <w:rPr>
          <w:rFonts w:ascii="Arial" w:hAnsi="Arial"/>
          <w:rtl/>
        </w:rPr>
        <w:t xml:space="preserve">סחר בסם מסוכן, לפי </w:t>
      </w:r>
      <w:hyperlink r:id="rId14" w:history="1">
        <w:r w:rsidR="00B16D90" w:rsidRPr="00B16D90">
          <w:rPr>
            <w:rStyle w:val="Hyperlink"/>
            <w:rFonts w:ascii="Arial" w:hAnsi="Arial"/>
            <w:rtl/>
          </w:rPr>
          <w:t>סעיף 13</w:t>
        </w:r>
      </w:hyperlink>
      <w:r w:rsidRPr="00A36C46">
        <w:rPr>
          <w:rFonts w:ascii="Arial" w:hAnsi="Arial"/>
          <w:rtl/>
        </w:rPr>
        <w:t xml:space="preserve"> בצירוף סעיף </w:t>
      </w:r>
      <w:hyperlink r:id="rId15" w:history="1">
        <w:r w:rsidR="00B16D90" w:rsidRPr="00B16D90">
          <w:rPr>
            <w:rStyle w:val="Hyperlink"/>
            <w:rFonts w:ascii="Arial" w:hAnsi="Arial"/>
            <w:rtl/>
          </w:rPr>
          <w:t>19 א</w:t>
        </w:r>
      </w:hyperlink>
      <w:r w:rsidRPr="00A36C46">
        <w:rPr>
          <w:rFonts w:ascii="Arial" w:hAnsi="Arial"/>
          <w:rtl/>
        </w:rPr>
        <w:t xml:space="preserve"> לפקודת הסמים, ובעבירה של החזקת סם מסוכן שלא לצריכה עצמית, לפי </w:t>
      </w:r>
      <w:hyperlink r:id="rId16" w:history="1">
        <w:r w:rsidR="00B16D90" w:rsidRPr="00B16D90">
          <w:rPr>
            <w:rStyle w:val="Hyperlink"/>
            <w:rFonts w:ascii="Arial" w:hAnsi="Arial"/>
            <w:rtl/>
          </w:rPr>
          <w:t>סעיף 7(א)</w:t>
        </w:r>
      </w:hyperlink>
      <w:r w:rsidRPr="00A36C46">
        <w:rPr>
          <w:rFonts w:ascii="Arial" w:hAnsi="Arial"/>
          <w:rtl/>
        </w:rPr>
        <w:t xml:space="preserve"> +</w:t>
      </w:r>
      <w:hyperlink r:id="rId17" w:history="1">
        <w:r w:rsidR="00B16D90" w:rsidRPr="00B16D90">
          <w:rPr>
            <w:rStyle w:val="Hyperlink"/>
            <w:rFonts w:ascii="Arial" w:hAnsi="Arial"/>
            <w:rtl/>
          </w:rPr>
          <w:t>7(ג)</w:t>
        </w:r>
      </w:hyperlink>
      <w:r w:rsidRPr="00A36C46">
        <w:rPr>
          <w:rFonts w:ascii="Arial" w:hAnsi="Arial"/>
          <w:rtl/>
        </w:rPr>
        <w:t xml:space="preserve"> רישא ל</w:t>
      </w:r>
      <w:hyperlink r:id="rId18" w:history="1">
        <w:r w:rsidR="0020252E" w:rsidRPr="0020252E">
          <w:rPr>
            <w:rFonts w:ascii="Arial" w:hAnsi="Arial"/>
            <w:color w:val="0000FF"/>
            <w:u w:val="single"/>
            <w:rtl/>
          </w:rPr>
          <w:t>פקודת הסמים המסוכנים</w:t>
        </w:r>
      </w:hyperlink>
      <w:r w:rsidRPr="00A36C46">
        <w:rPr>
          <w:rFonts w:ascii="Arial" w:hAnsi="Arial"/>
          <w:rtl/>
        </w:rPr>
        <w:t>.</w:t>
      </w:r>
    </w:p>
    <w:p w14:paraId="5DF8FF0B" w14:textId="77777777" w:rsidR="00563D69" w:rsidRPr="00A36C46" w:rsidRDefault="00563D69" w:rsidP="00563D69">
      <w:pPr>
        <w:pStyle w:val="a9"/>
        <w:numPr>
          <w:ilvl w:val="0"/>
          <w:numId w:val="1"/>
        </w:numPr>
        <w:spacing w:line="360" w:lineRule="auto"/>
        <w:jc w:val="both"/>
        <w:rPr>
          <w:rFonts w:ascii="Arial" w:hAnsi="Arial"/>
        </w:rPr>
      </w:pPr>
      <w:bookmarkStart w:id="7" w:name="ABSTRACT_END"/>
      <w:bookmarkEnd w:id="7"/>
      <w:r w:rsidRPr="00A36C46">
        <w:rPr>
          <w:rFonts w:ascii="Arial" w:hAnsi="Arial" w:hint="cs"/>
          <w:rtl/>
        </w:rPr>
        <w:t>על פי הנטען באישום הראשון, ביום 8.1.2022 בשעה 21:30 לאחר תיאום מוקדם באמצעות יישומן "טלגרם" הגיע הנאשם לרחוב הארזים 8 בירושלים ומכר לדוד טוהר סם מסוכן מסוג קנבוס במשקל 9 גרם תמורת 600 ₪.</w:t>
      </w:r>
    </w:p>
    <w:p w14:paraId="345D2EE6"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rtl/>
        </w:rPr>
        <w:t>על פי הנטען באישום ה</w:t>
      </w:r>
      <w:r w:rsidRPr="00A36C46">
        <w:rPr>
          <w:rFonts w:ascii="Arial" w:hAnsi="Arial" w:hint="cs"/>
          <w:rtl/>
        </w:rPr>
        <w:t>שני</w:t>
      </w:r>
      <w:r w:rsidRPr="00A36C46">
        <w:rPr>
          <w:rFonts w:ascii="Arial" w:hAnsi="Arial"/>
          <w:rtl/>
        </w:rPr>
        <w:t>, ביום 8.1.2022 בשעה</w:t>
      </w:r>
      <w:r w:rsidRPr="00A36C46">
        <w:rPr>
          <w:rFonts w:ascii="Arial" w:hAnsi="Arial" w:hint="cs"/>
          <w:rtl/>
        </w:rPr>
        <w:t xml:space="preserve"> 17:30 לערך</w:t>
      </w:r>
      <w:r w:rsidRPr="00A36C46">
        <w:rPr>
          <w:rFonts w:ascii="Arial" w:hAnsi="Arial"/>
          <w:rtl/>
        </w:rPr>
        <w:t xml:space="preserve"> לאחר תיאום מוקדם באמצעות יישומן "טלגרם" הגיע הנאשם לרחוב </w:t>
      </w:r>
      <w:r w:rsidRPr="00A36C46">
        <w:rPr>
          <w:rFonts w:ascii="Arial" w:hAnsi="Arial" w:hint="cs"/>
          <w:rtl/>
        </w:rPr>
        <w:t xml:space="preserve">רוזנבלט 9 בת"א </w:t>
      </w:r>
      <w:r w:rsidRPr="00A36C46">
        <w:rPr>
          <w:rFonts w:ascii="Arial" w:hAnsi="Arial"/>
          <w:rtl/>
        </w:rPr>
        <w:t>ומכר ל</w:t>
      </w:r>
      <w:r w:rsidRPr="00A36C46">
        <w:rPr>
          <w:rFonts w:ascii="Arial" w:hAnsi="Arial" w:hint="cs"/>
          <w:rtl/>
        </w:rPr>
        <w:t>נועה סיילר</w:t>
      </w:r>
      <w:r w:rsidRPr="00A36C46">
        <w:rPr>
          <w:rFonts w:ascii="Arial" w:hAnsi="Arial"/>
          <w:rtl/>
        </w:rPr>
        <w:t xml:space="preserve"> סם מסוכן מסוג קנבוס במשקל </w:t>
      </w:r>
      <w:r w:rsidRPr="00A36C46">
        <w:rPr>
          <w:rFonts w:ascii="Arial" w:hAnsi="Arial" w:hint="cs"/>
          <w:rtl/>
        </w:rPr>
        <w:t>5</w:t>
      </w:r>
      <w:r w:rsidRPr="00A36C46">
        <w:rPr>
          <w:rFonts w:ascii="Arial" w:hAnsi="Arial"/>
          <w:rtl/>
        </w:rPr>
        <w:t xml:space="preserve"> גרם תמורת</w:t>
      </w:r>
      <w:r w:rsidRPr="00A36C46">
        <w:rPr>
          <w:rFonts w:ascii="Arial" w:hAnsi="Arial" w:hint="cs"/>
          <w:rtl/>
        </w:rPr>
        <w:t xml:space="preserve"> 400 ₪.</w:t>
      </w:r>
    </w:p>
    <w:p w14:paraId="75DD0897"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rtl/>
        </w:rPr>
        <w:lastRenderedPageBreak/>
        <w:t>על פי הנטען באישום הר</w:t>
      </w:r>
      <w:r>
        <w:rPr>
          <w:rFonts w:ascii="Arial" w:hAnsi="Arial" w:hint="cs"/>
          <w:rtl/>
        </w:rPr>
        <w:t>ביעי</w:t>
      </w:r>
      <w:r w:rsidRPr="00A36C46">
        <w:rPr>
          <w:rFonts w:ascii="Arial" w:hAnsi="Arial"/>
          <w:rtl/>
        </w:rPr>
        <w:t xml:space="preserve">, ביום </w:t>
      </w:r>
      <w:r w:rsidRPr="00A36C46">
        <w:rPr>
          <w:rFonts w:ascii="Arial" w:hAnsi="Arial" w:hint="cs"/>
          <w:rtl/>
        </w:rPr>
        <w:t>6</w:t>
      </w:r>
      <w:r w:rsidRPr="00A36C46">
        <w:rPr>
          <w:rFonts w:ascii="Arial" w:hAnsi="Arial"/>
          <w:rtl/>
        </w:rPr>
        <w:t>.1.2022 בשעה</w:t>
      </w:r>
      <w:r w:rsidRPr="00A36C46">
        <w:rPr>
          <w:rFonts w:ascii="Arial" w:hAnsi="Arial" w:hint="cs"/>
          <w:rtl/>
        </w:rPr>
        <w:t xml:space="preserve"> 23:09</w:t>
      </w:r>
      <w:r w:rsidRPr="00A36C46">
        <w:rPr>
          <w:rFonts w:ascii="Arial" w:hAnsi="Arial"/>
          <w:rtl/>
        </w:rPr>
        <w:t xml:space="preserve"> לאחר תיאום מוקדם באמצעות יישומן "טלגרם" הגיע הנאשם לרחוב </w:t>
      </w:r>
      <w:r w:rsidRPr="00A36C46">
        <w:rPr>
          <w:rFonts w:ascii="Arial" w:hAnsi="Arial" w:hint="cs"/>
          <w:rtl/>
        </w:rPr>
        <w:t xml:space="preserve">צ"ג בנות בראשון לציון </w:t>
      </w:r>
      <w:r w:rsidRPr="00A36C46">
        <w:rPr>
          <w:rFonts w:ascii="Arial" w:hAnsi="Arial"/>
          <w:rtl/>
        </w:rPr>
        <w:t>ומכר ל</w:t>
      </w:r>
      <w:r w:rsidRPr="00A36C46">
        <w:rPr>
          <w:rFonts w:ascii="Arial" w:hAnsi="Arial" w:hint="cs"/>
          <w:rtl/>
        </w:rPr>
        <w:t xml:space="preserve">אברהם יפרמוב </w:t>
      </w:r>
      <w:r w:rsidRPr="00A36C46">
        <w:rPr>
          <w:rFonts w:ascii="Arial" w:hAnsi="Arial"/>
          <w:rtl/>
        </w:rPr>
        <w:t>סם מסוכן מסוג קנבוס במשקל</w:t>
      </w:r>
      <w:r w:rsidRPr="00A36C46">
        <w:rPr>
          <w:rFonts w:ascii="Arial" w:hAnsi="Arial" w:hint="cs"/>
          <w:rtl/>
        </w:rPr>
        <w:t xml:space="preserve"> 5</w:t>
      </w:r>
      <w:r w:rsidRPr="00A36C46">
        <w:rPr>
          <w:rFonts w:ascii="Arial" w:hAnsi="Arial"/>
          <w:rtl/>
        </w:rPr>
        <w:t xml:space="preserve"> גרם תמורת</w:t>
      </w:r>
      <w:r w:rsidRPr="00A36C46">
        <w:rPr>
          <w:rFonts w:ascii="Arial" w:hAnsi="Arial" w:hint="cs"/>
          <w:rtl/>
        </w:rPr>
        <w:t xml:space="preserve"> 450 ₪.</w:t>
      </w:r>
    </w:p>
    <w:p w14:paraId="3B9F7D4B"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hint="cs"/>
          <w:rtl/>
        </w:rPr>
        <w:t>בתאריך 10.1.2022 בשעה 19:28 או בסמוך, החזיק הנאשם ברכב ל.ז מספר: 7956039 בתוך תיק גב שהיה מונח במושב האחורי ברכב, סם מסוכן מסוג קנבוס במשקל 67.39 גרם נטו, מחולקים לשקיות.</w:t>
      </w:r>
    </w:p>
    <w:p w14:paraId="70968A93" w14:textId="77777777" w:rsidR="00563D69" w:rsidRPr="00A36C46" w:rsidRDefault="00563D69" w:rsidP="00563D69">
      <w:pPr>
        <w:spacing w:line="360" w:lineRule="auto"/>
        <w:ind w:firstLine="720"/>
        <w:jc w:val="both"/>
        <w:rPr>
          <w:rFonts w:ascii="Arial" w:hAnsi="Arial"/>
          <w:b/>
          <w:bCs/>
          <w:rtl/>
        </w:rPr>
      </w:pPr>
      <w:r w:rsidRPr="00A36C46">
        <w:rPr>
          <w:rFonts w:ascii="Arial" w:hAnsi="Arial"/>
          <w:b/>
          <w:bCs/>
          <w:u w:val="single"/>
          <w:rtl/>
        </w:rPr>
        <w:t>תמצית טיעוני הצדדים</w:t>
      </w:r>
      <w:r w:rsidRPr="00A36C46">
        <w:rPr>
          <w:rFonts w:ascii="Arial" w:hAnsi="Arial"/>
          <w:b/>
          <w:bCs/>
          <w:rtl/>
        </w:rPr>
        <w:t>:</w:t>
      </w:r>
    </w:p>
    <w:p w14:paraId="5A4F0B8F"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rtl/>
        </w:rPr>
        <w:t>בטיעוניה לעונש ציינה המאשימה, כי הנאשם יליד</w:t>
      </w:r>
      <w:r w:rsidRPr="00A36C46">
        <w:rPr>
          <w:rFonts w:ascii="Arial" w:hAnsi="Arial" w:hint="cs"/>
          <w:rtl/>
        </w:rPr>
        <w:t xml:space="preserve"> 1999 </w:t>
      </w:r>
      <w:r w:rsidRPr="00A36C46">
        <w:rPr>
          <w:rFonts w:ascii="Arial" w:hAnsi="Arial"/>
          <w:rtl/>
        </w:rPr>
        <w:t xml:space="preserve">הורשע </w:t>
      </w:r>
      <w:r w:rsidRPr="00A36C46">
        <w:rPr>
          <w:rFonts w:ascii="Arial" w:hAnsi="Arial" w:hint="cs"/>
          <w:rtl/>
        </w:rPr>
        <w:t>ב-3 ע</w:t>
      </w:r>
      <w:r w:rsidRPr="00A36C46">
        <w:rPr>
          <w:rFonts w:ascii="Arial" w:hAnsi="Arial"/>
          <w:rtl/>
        </w:rPr>
        <w:t xml:space="preserve">בירות של סחר בסם מסוכן, והחזקת סם שלא לצריכה עצמית. המאשימה הפנתה לערכים המוגנים בהם פגע הנאשם, וביקשה לקבוע מתחם שבין </w:t>
      </w:r>
      <w:r w:rsidRPr="00A36C46">
        <w:rPr>
          <w:rFonts w:ascii="Arial" w:hAnsi="Arial" w:hint="cs"/>
          <w:rtl/>
        </w:rPr>
        <w:t>6</w:t>
      </w:r>
      <w:r w:rsidRPr="00A36C46">
        <w:rPr>
          <w:rFonts w:ascii="Arial" w:hAnsi="Arial"/>
          <w:rtl/>
        </w:rPr>
        <w:t xml:space="preserve"> חודשים ל-12 חודשים ל</w:t>
      </w:r>
      <w:r w:rsidRPr="00A36C46">
        <w:rPr>
          <w:rFonts w:ascii="Arial" w:hAnsi="Arial" w:hint="cs"/>
          <w:rtl/>
        </w:rPr>
        <w:t xml:space="preserve">כל אישום. צוין, כי הנאשם החל בהליך שיקומי ואולם טרם סיים אותו, ובנסיבות אלו ביקשה </w:t>
      </w:r>
      <w:r>
        <w:rPr>
          <w:rFonts w:ascii="Arial" w:hAnsi="Arial" w:hint="cs"/>
          <w:rtl/>
        </w:rPr>
        <w:t xml:space="preserve">לדחות </w:t>
      </w:r>
      <w:r w:rsidRPr="00A36C46">
        <w:rPr>
          <w:rFonts w:ascii="Arial" w:hAnsi="Arial" w:hint="cs"/>
          <w:rtl/>
        </w:rPr>
        <w:t>את המלצת שרות המבחן, ולהטיל על</w:t>
      </w:r>
      <w:r>
        <w:rPr>
          <w:rFonts w:ascii="Arial" w:hAnsi="Arial" w:hint="cs"/>
          <w:rtl/>
        </w:rPr>
        <w:t xml:space="preserve"> הנאשם </w:t>
      </w:r>
      <w:r w:rsidRPr="00A36C46">
        <w:rPr>
          <w:rFonts w:ascii="Arial" w:hAnsi="Arial" w:hint="cs"/>
          <w:rtl/>
        </w:rPr>
        <w:t>20 חודשי מאסר</w:t>
      </w:r>
      <w:r>
        <w:rPr>
          <w:rFonts w:ascii="Arial" w:hAnsi="Arial" w:hint="cs"/>
          <w:rtl/>
        </w:rPr>
        <w:t>,</w:t>
      </w:r>
      <w:r w:rsidRPr="00A36C46">
        <w:rPr>
          <w:rFonts w:ascii="Arial" w:hAnsi="Arial" w:hint="cs"/>
          <w:rtl/>
        </w:rPr>
        <w:t xml:space="preserve"> לצד ענישה נלווית.</w:t>
      </w:r>
    </w:p>
    <w:p w14:paraId="257B44FE"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hint="cs"/>
          <w:rtl/>
        </w:rPr>
        <w:t xml:space="preserve">הסנגור הפנה לנסיבותיו </w:t>
      </w:r>
      <w:r>
        <w:rPr>
          <w:rFonts w:ascii="Arial" w:hAnsi="Arial" w:hint="cs"/>
          <w:rtl/>
        </w:rPr>
        <w:t xml:space="preserve">האישיות </w:t>
      </w:r>
      <w:r w:rsidRPr="00A36C46">
        <w:rPr>
          <w:rFonts w:ascii="Arial" w:hAnsi="Arial" w:hint="cs"/>
          <w:rtl/>
        </w:rPr>
        <w:t>של הנאשם, ולכך שמעד עקב מצב משפחתי</w:t>
      </w:r>
      <w:r>
        <w:rPr>
          <w:rFonts w:ascii="Arial" w:hAnsi="Arial" w:hint="cs"/>
          <w:rtl/>
        </w:rPr>
        <w:t xml:space="preserve"> מורכב</w:t>
      </w:r>
      <w:r w:rsidRPr="00A36C46">
        <w:rPr>
          <w:rFonts w:ascii="Arial" w:hAnsi="Arial" w:hint="cs"/>
          <w:rtl/>
        </w:rPr>
        <w:t>. הסנגור ביקש לקבוע מתחם עונש אחד</w:t>
      </w:r>
      <w:r>
        <w:rPr>
          <w:rFonts w:ascii="Arial" w:hAnsi="Arial" w:hint="cs"/>
          <w:rtl/>
        </w:rPr>
        <w:t xml:space="preserve"> לכלל האישומים</w:t>
      </w:r>
      <w:r w:rsidRPr="00A36C46">
        <w:rPr>
          <w:rFonts w:ascii="Arial" w:hAnsi="Arial" w:hint="cs"/>
          <w:rtl/>
        </w:rPr>
        <w:t xml:space="preserve">, בהתאם להלכת ג'בר. על פיו, המתחם התחתון </w:t>
      </w:r>
      <w:r>
        <w:rPr>
          <w:rFonts w:ascii="Arial" w:hAnsi="Arial" w:hint="cs"/>
          <w:rtl/>
        </w:rPr>
        <w:t xml:space="preserve">הינו </w:t>
      </w:r>
      <w:r w:rsidRPr="00A36C46">
        <w:rPr>
          <w:rFonts w:ascii="Arial" w:hAnsi="Arial" w:hint="cs"/>
          <w:rtl/>
        </w:rPr>
        <w:t>כפי שציינה המאשימה</w:t>
      </w:r>
      <w:r>
        <w:rPr>
          <w:rFonts w:ascii="Arial" w:hAnsi="Arial" w:hint="cs"/>
          <w:rtl/>
        </w:rPr>
        <w:t>, החל מ</w:t>
      </w:r>
      <w:r w:rsidRPr="00A36C46">
        <w:rPr>
          <w:rFonts w:ascii="Arial" w:hAnsi="Arial" w:hint="cs"/>
          <w:rtl/>
        </w:rPr>
        <w:t xml:space="preserve">עבודת שירות, ואולם </w:t>
      </w:r>
      <w:r>
        <w:rPr>
          <w:rFonts w:ascii="Arial" w:hAnsi="Arial" w:hint="cs"/>
          <w:rtl/>
        </w:rPr>
        <w:t xml:space="preserve">יש לאמץ את עמדת </w:t>
      </w:r>
      <w:r w:rsidRPr="00A36C46">
        <w:rPr>
          <w:rFonts w:ascii="Arial" w:hAnsi="Arial" w:hint="cs"/>
          <w:rtl/>
        </w:rPr>
        <w:t xml:space="preserve">שרות המבחן </w:t>
      </w:r>
      <w:r>
        <w:rPr>
          <w:rFonts w:ascii="Arial" w:hAnsi="Arial" w:hint="cs"/>
          <w:rtl/>
        </w:rPr>
        <w:t>ה</w:t>
      </w:r>
      <w:r w:rsidRPr="00A36C46">
        <w:rPr>
          <w:rFonts w:ascii="Arial" w:hAnsi="Arial" w:hint="cs"/>
          <w:rtl/>
        </w:rPr>
        <w:t xml:space="preserve">מנמק </w:t>
      </w:r>
      <w:r>
        <w:rPr>
          <w:rFonts w:ascii="Arial" w:hAnsi="Arial" w:hint="cs"/>
          <w:rtl/>
        </w:rPr>
        <w:t xml:space="preserve">היטב </w:t>
      </w:r>
      <w:r w:rsidRPr="00A36C46">
        <w:rPr>
          <w:rFonts w:ascii="Arial" w:hAnsi="Arial" w:hint="cs"/>
          <w:rtl/>
        </w:rPr>
        <w:t xml:space="preserve">מדוע </w:t>
      </w:r>
      <w:r>
        <w:rPr>
          <w:rFonts w:ascii="Arial" w:hAnsi="Arial" w:hint="cs"/>
          <w:rtl/>
        </w:rPr>
        <w:t xml:space="preserve">נכון </w:t>
      </w:r>
      <w:r w:rsidRPr="00A36C46">
        <w:rPr>
          <w:rFonts w:ascii="Arial" w:hAnsi="Arial" w:hint="cs"/>
          <w:rtl/>
        </w:rPr>
        <w:t>במקרה זה</w:t>
      </w:r>
      <w:r>
        <w:rPr>
          <w:rFonts w:ascii="Arial" w:hAnsi="Arial" w:hint="cs"/>
          <w:rtl/>
        </w:rPr>
        <w:t xml:space="preserve"> </w:t>
      </w:r>
      <w:r w:rsidRPr="00A36C46">
        <w:rPr>
          <w:rFonts w:ascii="Arial" w:hAnsi="Arial" w:hint="cs"/>
          <w:rtl/>
        </w:rPr>
        <w:t xml:space="preserve">להסתפק בענישה שיקומית בדמות </w:t>
      </w:r>
      <w:r>
        <w:rPr>
          <w:rFonts w:ascii="Arial" w:hAnsi="Arial" w:hint="cs"/>
          <w:rtl/>
        </w:rPr>
        <w:t xml:space="preserve">צו </w:t>
      </w:r>
      <w:r w:rsidRPr="00A36C46">
        <w:rPr>
          <w:rFonts w:ascii="Arial" w:hAnsi="Arial" w:hint="cs"/>
          <w:rtl/>
        </w:rPr>
        <w:t>של"צ בהיקף שעות נרחב, שוות ערך לעונש שהיה מוטל עליו בעבודת שרות.</w:t>
      </w:r>
    </w:p>
    <w:p w14:paraId="0512882A" w14:textId="77777777" w:rsidR="00563D69" w:rsidRPr="00A36C46" w:rsidRDefault="00563D69" w:rsidP="00563D69">
      <w:pPr>
        <w:pStyle w:val="a9"/>
        <w:numPr>
          <w:ilvl w:val="0"/>
          <w:numId w:val="1"/>
        </w:numPr>
        <w:spacing w:line="360" w:lineRule="auto"/>
        <w:jc w:val="both"/>
        <w:rPr>
          <w:rFonts w:ascii="Arial" w:hAnsi="Arial"/>
          <w:b/>
          <w:bCs/>
        </w:rPr>
      </w:pPr>
      <w:r w:rsidRPr="00A36C46">
        <w:rPr>
          <w:rFonts w:ascii="Arial" w:hAnsi="Arial" w:hint="cs"/>
          <w:rtl/>
        </w:rPr>
        <w:t>הנאשם ציין בסיום</w:t>
      </w:r>
      <w:r>
        <w:rPr>
          <w:rFonts w:ascii="Arial" w:hAnsi="Arial" w:hint="cs"/>
          <w:rtl/>
        </w:rPr>
        <w:t>,</w:t>
      </w:r>
      <w:r w:rsidRPr="00A36C46">
        <w:rPr>
          <w:rFonts w:ascii="Arial" w:hAnsi="Arial" w:hint="cs"/>
          <w:rtl/>
        </w:rPr>
        <w:t xml:space="preserve"> כי עשה טעות </w:t>
      </w:r>
      <w:r>
        <w:rPr>
          <w:rFonts w:ascii="Arial" w:hAnsi="Arial" w:hint="cs"/>
          <w:rtl/>
        </w:rPr>
        <w:t xml:space="preserve">קשה </w:t>
      </w:r>
      <w:r w:rsidRPr="00A36C46">
        <w:rPr>
          <w:rFonts w:ascii="Arial" w:hAnsi="Arial" w:hint="cs"/>
          <w:rtl/>
        </w:rPr>
        <w:t>אשר פגעה בו ובמשפחתו. על אף זאת, הוא נרתם להליך טיפולי במסגרת היחידה להתמכרויות ושרות המבחן, והוא עודנו מצוי בטיפול.</w:t>
      </w:r>
    </w:p>
    <w:p w14:paraId="32FE561A" w14:textId="77777777" w:rsidR="00563D69" w:rsidRPr="00A36C46" w:rsidRDefault="00563D69" w:rsidP="00563D69">
      <w:pPr>
        <w:spacing w:line="360" w:lineRule="auto"/>
        <w:ind w:firstLine="720"/>
        <w:rPr>
          <w:rFonts w:ascii="Arial" w:hAnsi="Arial"/>
          <w:b/>
          <w:bCs/>
        </w:rPr>
      </w:pPr>
      <w:r w:rsidRPr="00A36C46">
        <w:rPr>
          <w:rFonts w:ascii="Arial" w:hAnsi="Arial" w:hint="cs"/>
          <w:b/>
          <w:bCs/>
          <w:u w:val="single"/>
          <w:rtl/>
        </w:rPr>
        <w:t>דיון</w:t>
      </w:r>
      <w:r w:rsidRPr="00A36C46">
        <w:rPr>
          <w:rFonts w:ascii="Arial" w:hAnsi="Arial" w:hint="cs"/>
          <w:b/>
          <w:bCs/>
          <w:rtl/>
        </w:rPr>
        <w:t>:</w:t>
      </w:r>
    </w:p>
    <w:p w14:paraId="6239E8AD" w14:textId="77777777" w:rsidR="00563D69" w:rsidRPr="00A36C46" w:rsidRDefault="00563D69" w:rsidP="00563D69">
      <w:pPr>
        <w:pStyle w:val="a9"/>
        <w:numPr>
          <w:ilvl w:val="0"/>
          <w:numId w:val="1"/>
        </w:numPr>
        <w:spacing w:line="360" w:lineRule="auto"/>
        <w:jc w:val="both"/>
        <w:rPr>
          <w:rFonts w:ascii="Arial" w:hAnsi="Arial"/>
          <w:rtl/>
        </w:rPr>
      </w:pPr>
      <w:r w:rsidRPr="00A36C46">
        <w:rPr>
          <w:rFonts w:ascii="Arial" w:hAnsi="Arial" w:hint="cs"/>
          <w:rtl/>
        </w:rPr>
        <w:t xml:space="preserve">במקרה דנן, </w:t>
      </w:r>
      <w:r w:rsidRPr="00A36C46">
        <w:rPr>
          <w:rFonts w:ascii="Arial" w:hAnsi="Arial"/>
          <w:rtl/>
        </w:rPr>
        <w:t>יש לקבוע מתחם ענישה אחד, ולתת ביטוי לצבר העבירות בתוך המתחם שייקבע, שכן המדובר בעבירות הנובעות מאותה מסכת עובדתית, שנעברו ב</w:t>
      </w:r>
      <w:r w:rsidRPr="00A36C46">
        <w:rPr>
          <w:rFonts w:ascii="Arial" w:hAnsi="Arial" w:hint="cs"/>
          <w:rtl/>
        </w:rPr>
        <w:t xml:space="preserve">אותו המועד, כולן </w:t>
      </w:r>
      <w:r w:rsidRPr="00A36C46">
        <w:rPr>
          <w:rFonts w:ascii="Arial" w:hAnsi="Arial"/>
          <w:rtl/>
        </w:rPr>
        <w:t>בוצעו באמצעות אפליקציית טלגרם, לצרכני סמים שונים</w:t>
      </w:r>
      <w:r w:rsidRPr="00A36C46">
        <w:rPr>
          <w:rFonts w:ascii="Arial" w:hAnsi="Arial" w:hint="cs"/>
          <w:rtl/>
        </w:rPr>
        <w:t xml:space="preserve">. </w:t>
      </w:r>
      <w:r w:rsidRPr="00A36C46">
        <w:rPr>
          <w:rFonts w:ascii="Arial" w:hAnsi="Arial"/>
          <w:rtl/>
        </w:rPr>
        <w:t>העבירה הנוספת של החזקת סם שלא לצריכה עצמית, הינה עבירה שנלוותה לעבירות הסחר.</w:t>
      </w:r>
    </w:p>
    <w:p w14:paraId="62A02EC1"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rtl/>
        </w:rPr>
        <w:t>המדובר ב</w:t>
      </w:r>
      <w:r w:rsidRPr="00A36C46">
        <w:rPr>
          <w:rFonts w:ascii="Arial" w:hAnsi="Arial" w:hint="cs"/>
          <w:rtl/>
        </w:rPr>
        <w:t xml:space="preserve">שלוש </w:t>
      </w:r>
      <w:r w:rsidRPr="00A36C46">
        <w:rPr>
          <w:rFonts w:ascii="Arial" w:hAnsi="Arial"/>
          <w:rtl/>
        </w:rPr>
        <w:t>עבירות של סחר בסם מסוג קנביס</w:t>
      </w:r>
      <w:r w:rsidRPr="00A36C46">
        <w:rPr>
          <w:rFonts w:ascii="Arial" w:hAnsi="Arial" w:hint="cs"/>
          <w:rtl/>
        </w:rPr>
        <w:t xml:space="preserve">, </w:t>
      </w:r>
      <w:r w:rsidRPr="00A36C46">
        <w:rPr>
          <w:rFonts w:ascii="Arial" w:hAnsi="Arial"/>
          <w:rtl/>
        </w:rPr>
        <w:t>בכמו</w:t>
      </w:r>
      <w:r>
        <w:rPr>
          <w:rFonts w:ascii="Arial" w:hAnsi="Arial" w:hint="cs"/>
          <w:rtl/>
        </w:rPr>
        <w:t>יו</w:t>
      </w:r>
      <w:r w:rsidRPr="00A36C46">
        <w:rPr>
          <w:rFonts w:ascii="Arial" w:hAnsi="Arial"/>
          <w:rtl/>
        </w:rPr>
        <w:t xml:space="preserve">ת </w:t>
      </w:r>
      <w:r w:rsidRPr="00A36C46">
        <w:rPr>
          <w:rFonts w:ascii="Arial" w:hAnsi="Arial" w:hint="cs"/>
          <w:rtl/>
        </w:rPr>
        <w:t>שאינן גדולות תמורת סכו</w:t>
      </w:r>
      <w:r>
        <w:rPr>
          <w:rFonts w:ascii="Arial" w:hAnsi="Arial" w:hint="cs"/>
          <w:rtl/>
        </w:rPr>
        <w:t>מי</w:t>
      </w:r>
      <w:r w:rsidRPr="00A36C46">
        <w:rPr>
          <w:rFonts w:ascii="Arial" w:hAnsi="Arial" w:hint="cs"/>
          <w:rtl/>
        </w:rPr>
        <w:t xml:space="preserve"> </w:t>
      </w:r>
      <w:r>
        <w:rPr>
          <w:rFonts w:ascii="Arial" w:hAnsi="Arial" w:hint="cs"/>
          <w:rtl/>
        </w:rPr>
        <w:t xml:space="preserve">כסף </w:t>
      </w:r>
      <w:r w:rsidRPr="00A36C46">
        <w:rPr>
          <w:rFonts w:ascii="Arial" w:hAnsi="Arial" w:hint="cs"/>
          <w:rtl/>
        </w:rPr>
        <w:t>של כמה מאות שקלים. ב</w:t>
      </w:r>
      <w:r w:rsidRPr="00A36C46">
        <w:rPr>
          <w:rFonts w:ascii="Arial" w:hAnsi="Arial"/>
          <w:rtl/>
        </w:rPr>
        <w:t>כל אחד מהאישומים נוצר הקשר עם הרוכשים באמצעות האפליקציה, ובהמשך פגש בהם הנאשם במקומות מכירה שונים</w:t>
      </w:r>
      <w:r>
        <w:rPr>
          <w:rFonts w:ascii="Arial" w:hAnsi="Arial" w:hint="cs"/>
          <w:rtl/>
        </w:rPr>
        <w:t xml:space="preserve"> לצורך השלמת העסקאות</w:t>
      </w:r>
      <w:r w:rsidRPr="00A36C46">
        <w:rPr>
          <w:rFonts w:ascii="Arial" w:hAnsi="Arial" w:hint="cs"/>
          <w:rtl/>
        </w:rPr>
        <w:t xml:space="preserve">. המעשים </w:t>
      </w:r>
      <w:r w:rsidRPr="00A36C46">
        <w:rPr>
          <w:rFonts w:ascii="Arial" w:hAnsi="Arial"/>
          <w:rtl/>
        </w:rPr>
        <w:t xml:space="preserve">בכללותם מצביעים על תכנון מוקדם, תיאום והגעה למקום עליו סוכם מראש, לצורך השלמת העסקה. יתרה מזאת, במסגרת </w:t>
      </w:r>
      <w:r>
        <w:rPr>
          <w:rFonts w:ascii="Arial" w:hAnsi="Arial" w:hint="cs"/>
          <w:rtl/>
        </w:rPr>
        <w:t>ה</w:t>
      </w:r>
      <w:r w:rsidRPr="00A36C46">
        <w:rPr>
          <w:rFonts w:ascii="Arial" w:hAnsi="Arial"/>
          <w:rtl/>
        </w:rPr>
        <w:t>אישום</w:t>
      </w:r>
      <w:r>
        <w:rPr>
          <w:rFonts w:ascii="Arial" w:hAnsi="Arial" w:hint="cs"/>
          <w:rtl/>
        </w:rPr>
        <w:t xml:space="preserve"> האחרון,</w:t>
      </w:r>
      <w:r w:rsidRPr="00A36C46">
        <w:rPr>
          <w:rFonts w:ascii="Arial" w:hAnsi="Arial"/>
          <w:rtl/>
        </w:rPr>
        <w:t xml:space="preserve"> נתפסו ברכב סמים בכמות </w:t>
      </w:r>
      <w:r w:rsidRPr="00A36C46">
        <w:rPr>
          <w:rFonts w:ascii="Arial" w:hAnsi="Arial" w:hint="cs"/>
          <w:rtl/>
        </w:rPr>
        <w:t xml:space="preserve">של 67.39 </w:t>
      </w:r>
      <w:r>
        <w:rPr>
          <w:rFonts w:ascii="Arial" w:hAnsi="Arial" w:hint="cs"/>
          <w:rtl/>
        </w:rPr>
        <w:t xml:space="preserve">גרם נטו </w:t>
      </w:r>
      <w:r w:rsidRPr="00A36C46">
        <w:rPr>
          <w:rFonts w:ascii="Arial" w:hAnsi="Arial" w:hint="cs"/>
          <w:rtl/>
        </w:rPr>
        <w:t xml:space="preserve">מחולקים לשקיות. </w:t>
      </w:r>
    </w:p>
    <w:p w14:paraId="362E9042" w14:textId="77777777" w:rsidR="00563D69" w:rsidRPr="00A36C46" w:rsidRDefault="00563D69" w:rsidP="00563D69">
      <w:pPr>
        <w:pStyle w:val="a9"/>
        <w:numPr>
          <w:ilvl w:val="0"/>
          <w:numId w:val="1"/>
        </w:numPr>
        <w:spacing w:line="360" w:lineRule="auto"/>
        <w:jc w:val="both"/>
        <w:rPr>
          <w:rFonts w:ascii="Arial" w:hAnsi="Arial"/>
          <w:rtl/>
        </w:rPr>
      </w:pPr>
      <w:r w:rsidRPr="00A36C46">
        <w:rPr>
          <w:rFonts w:ascii="Arial" w:hAnsi="Arial"/>
          <w:rtl/>
        </w:rPr>
        <w:t>עבירות הסחר והשימוש בסמים חומרתן רבה, והן פוגעות בערכים מוגנים של הגנה על שלום הציבור וביטחונו מפני הנזקים החמורים הנגרמים כתוצאה משימוש והפצה של סמים.</w:t>
      </w:r>
    </w:p>
    <w:p w14:paraId="33610E44" w14:textId="77777777" w:rsidR="00563D69" w:rsidRPr="001E2325" w:rsidRDefault="00563D69" w:rsidP="00563D69">
      <w:pPr>
        <w:pStyle w:val="a9"/>
        <w:numPr>
          <w:ilvl w:val="0"/>
          <w:numId w:val="1"/>
        </w:numPr>
        <w:spacing w:line="360" w:lineRule="auto"/>
        <w:jc w:val="both"/>
        <w:rPr>
          <w:rFonts w:ascii="Arial" w:hAnsi="Arial"/>
          <w:sz w:val="22"/>
          <w:szCs w:val="22"/>
          <w:rtl/>
        </w:rPr>
      </w:pPr>
      <w:r w:rsidRPr="00A36C46">
        <w:rPr>
          <w:rFonts w:ascii="Arial" w:hAnsi="Arial"/>
          <w:rtl/>
        </w:rPr>
        <w:t>ב</w:t>
      </w:r>
      <w:r>
        <w:rPr>
          <w:rFonts w:ascii="Arial" w:hAnsi="Arial" w:hint="cs"/>
          <w:rtl/>
        </w:rPr>
        <w:t xml:space="preserve">מסגרת </w:t>
      </w:r>
      <w:hyperlink r:id="rId19" w:history="1">
        <w:r w:rsidR="0020252E" w:rsidRPr="0020252E">
          <w:rPr>
            <w:rFonts w:ascii="Arial" w:hAnsi="Arial"/>
            <w:color w:val="0000FF"/>
            <w:u w:val="single"/>
            <w:rtl/>
          </w:rPr>
          <w:t>ע"פ 6029/03</w:t>
        </w:r>
      </w:hyperlink>
      <w:r w:rsidRPr="00A36C46">
        <w:rPr>
          <w:rFonts w:ascii="Arial" w:hAnsi="Arial"/>
          <w:rtl/>
        </w:rPr>
        <w:t xml:space="preserve"> מדינת ישראל נ' גולן שמאי [פורסם בנבו] (9.2.04) קבע בית המשפט העליון כי: </w:t>
      </w:r>
      <w:r w:rsidRPr="001E2325">
        <w:rPr>
          <w:rFonts w:ascii="Arial" w:hAnsi="Arial"/>
          <w:sz w:val="22"/>
          <w:szCs w:val="22"/>
          <w:rtl/>
        </w:rPr>
        <w:t xml:space="preserve">"נגע הסמים אוכל </w:t>
      </w:r>
      <w:r w:rsidRPr="001E2325">
        <w:rPr>
          <w:rFonts w:ascii="Arial" w:hAnsi="Arial" w:hint="cs"/>
          <w:sz w:val="22"/>
          <w:szCs w:val="22"/>
          <w:rtl/>
        </w:rPr>
        <w:t>באוכלוסיי</w:t>
      </w:r>
      <w:r w:rsidRPr="001E2325">
        <w:rPr>
          <w:rFonts w:ascii="Arial" w:hAnsi="Arial" w:hint="eastAsia"/>
          <w:sz w:val="22"/>
          <w:szCs w:val="22"/>
          <w:rtl/>
        </w:rPr>
        <w:t>ה</w:t>
      </w:r>
      <w:r w:rsidRPr="001E2325">
        <w:rPr>
          <w:rFonts w:ascii="Arial" w:hAnsi="Arial"/>
          <w:sz w:val="22"/>
          <w:szCs w:val="22"/>
          <w:rtl/>
        </w:rPr>
        <w:t xml:space="preserve"> שלנו בכל פה והחברה הכריזה עליו מלחמת חורמה </w:t>
      </w:r>
      <w:r w:rsidRPr="001E2325">
        <w:rPr>
          <w:rFonts w:ascii="Arial" w:hAnsi="Arial"/>
          <w:sz w:val="22"/>
          <w:szCs w:val="22"/>
          <w:rtl/>
        </w:rPr>
        <w:lastRenderedPageBreak/>
        <w:t>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2D6D1BD3" w14:textId="77777777" w:rsidR="00563D69" w:rsidRPr="00A36C46" w:rsidRDefault="00563D69" w:rsidP="00563D69">
      <w:pPr>
        <w:pStyle w:val="a9"/>
        <w:numPr>
          <w:ilvl w:val="0"/>
          <w:numId w:val="1"/>
        </w:numPr>
        <w:spacing w:line="360" w:lineRule="auto"/>
        <w:jc w:val="both"/>
        <w:rPr>
          <w:rFonts w:ascii="Arial" w:hAnsi="Arial"/>
          <w:rtl/>
        </w:rPr>
      </w:pPr>
      <w:r w:rsidRPr="00A36C46">
        <w:rPr>
          <w:rFonts w:ascii="Arial" w:hAnsi="Arial"/>
          <w:rtl/>
        </w:rPr>
        <w:t xml:space="preserve">לרוב נהוג לגזור בגין עבירות סחר בסמים עונשי מאסר בפועל. </w:t>
      </w:r>
      <w:r>
        <w:rPr>
          <w:rFonts w:ascii="Arial" w:hAnsi="Arial" w:hint="cs"/>
          <w:rtl/>
        </w:rPr>
        <w:t xml:space="preserve">בנוסף נקבע, </w:t>
      </w:r>
      <w:r w:rsidRPr="00A36C46">
        <w:rPr>
          <w:rFonts w:ascii="Arial" w:hAnsi="Arial"/>
          <w:rtl/>
        </w:rPr>
        <w:t xml:space="preserve">כי נוכח הצורך החשוב שבמאבק בעבירות </w:t>
      </w:r>
      <w:r>
        <w:rPr>
          <w:rFonts w:ascii="Arial" w:hAnsi="Arial" w:hint="cs"/>
          <w:rtl/>
        </w:rPr>
        <w:t>אלו</w:t>
      </w:r>
      <w:r w:rsidRPr="00A36C46">
        <w:rPr>
          <w:rFonts w:ascii="Arial" w:hAnsi="Arial"/>
          <w:rtl/>
        </w:rPr>
        <w:t>, על בית המשפט לתת משקל ממשי לשיקול</w:t>
      </w:r>
      <w:r>
        <w:rPr>
          <w:rFonts w:ascii="Arial" w:hAnsi="Arial" w:hint="cs"/>
          <w:rtl/>
        </w:rPr>
        <w:t>י</w:t>
      </w:r>
      <w:r w:rsidRPr="00A36C46">
        <w:rPr>
          <w:rFonts w:ascii="Arial" w:hAnsi="Arial" w:hint="cs"/>
          <w:rtl/>
        </w:rPr>
        <w:t xml:space="preserve"> </w:t>
      </w:r>
      <w:r w:rsidRPr="00A36C46">
        <w:rPr>
          <w:rFonts w:ascii="Arial" w:hAnsi="Arial"/>
          <w:rtl/>
        </w:rPr>
        <w:t>הרתעת</w:t>
      </w:r>
      <w:r>
        <w:rPr>
          <w:rFonts w:ascii="Arial" w:hAnsi="Arial" w:hint="cs"/>
          <w:rtl/>
        </w:rPr>
        <w:t>ה</w:t>
      </w:r>
      <w:r w:rsidRPr="00A36C46">
        <w:rPr>
          <w:rFonts w:ascii="Arial" w:hAnsi="Arial"/>
          <w:rtl/>
        </w:rPr>
        <w:t xml:space="preserve"> אל מול שיקולים אישיים. </w:t>
      </w:r>
      <w:hyperlink r:id="rId20" w:history="1">
        <w:r w:rsidR="0020252E" w:rsidRPr="0020252E">
          <w:rPr>
            <w:rFonts w:ascii="Arial" w:hAnsi="Arial"/>
            <w:color w:val="0000FF"/>
            <w:u w:val="single"/>
            <w:rtl/>
          </w:rPr>
          <w:t>ע"פ 9482/09</w:t>
        </w:r>
      </w:hyperlink>
      <w:r w:rsidRPr="00A36C46">
        <w:rPr>
          <w:rFonts w:ascii="Arial" w:hAnsi="Arial"/>
          <w:rtl/>
        </w:rPr>
        <w:t xml:space="preserve"> ביטון נ' מדינת ישראל [פורסם בנבו] (24.7.11).</w:t>
      </w:r>
    </w:p>
    <w:p w14:paraId="4DD12E51" w14:textId="77777777" w:rsidR="00563D69" w:rsidRPr="00A36C46" w:rsidRDefault="00563D69" w:rsidP="00563D69">
      <w:pPr>
        <w:pStyle w:val="a9"/>
        <w:numPr>
          <w:ilvl w:val="0"/>
          <w:numId w:val="1"/>
        </w:numPr>
        <w:spacing w:line="360" w:lineRule="auto"/>
        <w:jc w:val="both"/>
        <w:rPr>
          <w:rFonts w:ascii="Arial" w:hAnsi="Arial"/>
          <w:rtl/>
        </w:rPr>
      </w:pPr>
      <w:r w:rsidRPr="00A36C46">
        <w:rPr>
          <w:rFonts w:ascii="Arial" w:hAnsi="Arial"/>
          <w:rtl/>
        </w:rPr>
        <w:t>ב</w:t>
      </w:r>
      <w:hyperlink r:id="rId21" w:history="1">
        <w:r w:rsidR="0020252E" w:rsidRPr="0020252E">
          <w:rPr>
            <w:rFonts w:ascii="Arial" w:hAnsi="Arial"/>
            <w:color w:val="0000FF"/>
            <w:u w:val="single"/>
            <w:rtl/>
          </w:rPr>
          <w:t>ע"פ 2596/18</w:t>
        </w:r>
      </w:hyperlink>
      <w:r w:rsidRPr="00A36C46">
        <w:rPr>
          <w:rFonts w:ascii="Arial" w:hAnsi="Arial"/>
          <w:rtl/>
        </w:rPr>
        <w:t xml:space="preserve"> זנזורי נ' מדינת ישראל [פורסם בנבו] (12.8.18) עמד בית המשפט על חומרתה של עבירת הסחר דווקא בזמנים אלו, כאשר אמצעים טכנולוגיים כגון אפליקציית טלגראס מהווים פלטפורמה נוחה ומזמינה יותר לביצוע עבירות סחר בסמים. לאור האמור עמד בית המשפט על הצורך להחמיר בענישה בעבירות הסחר בסמים, כדי להגביר את ההרתעה משימוש באמצעים אלו. וראו גם: </w:t>
      </w:r>
      <w:hyperlink r:id="rId22" w:history="1">
        <w:r w:rsidR="0020252E" w:rsidRPr="0020252E">
          <w:rPr>
            <w:rFonts w:ascii="Arial" w:hAnsi="Arial"/>
            <w:color w:val="0000FF"/>
            <w:u w:val="single"/>
            <w:rtl/>
          </w:rPr>
          <w:t>ת"פ 42189-08-19</w:t>
        </w:r>
      </w:hyperlink>
      <w:r w:rsidRPr="00A36C46">
        <w:rPr>
          <w:rFonts w:ascii="Arial" w:hAnsi="Arial"/>
          <w:rtl/>
        </w:rPr>
        <w:t xml:space="preserve"> מדינת ישראל נ' נני מזוז [פורסם בנבו] (06.04.20).</w:t>
      </w:r>
    </w:p>
    <w:p w14:paraId="6CEAA9E5" w14:textId="77777777" w:rsidR="00563D69" w:rsidRPr="00A36C46" w:rsidRDefault="00563D69" w:rsidP="00563D69">
      <w:pPr>
        <w:pStyle w:val="a9"/>
        <w:numPr>
          <w:ilvl w:val="0"/>
          <w:numId w:val="1"/>
        </w:numPr>
        <w:spacing w:line="360" w:lineRule="auto"/>
        <w:jc w:val="both"/>
        <w:rPr>
          <w:rFonts w:ascii="Arial" w:hAnsi="Arial"/>
          <w:rtl/>
        </w:rPr>
      </w:pPr>
      <w:r w:rsidRPr="00A36C46">
        <w:rPr>
          <w:rFonts w:ascii="Arial" w:hAnsi="Arial"/>
          <w:rtl/>
        </w:rPr>
        <w:t>המדובר בסם מסוג קנאביס, המוגדר כסם קל יחסית בפסיקה, ואשר הענישה בעניינו פחותה יותר ביחס לסמים אחרים. עם זאת, אין להתעלם מהנזק ומהסיכון הרב הטמון בעבירות הסחר והחזקת הסמים, וכפי שציינתי לעיל</w:t>
      </w:r>
      <w:r>
        <w:rPr>
          <w:rFonts w:ascii="Arial" w:hAnsi="Arial" w:hint="cs"/>
          <w:rtl/>
        </w:rPr>
        <w:t xml:space="preserve">, </w:t>
      </w:r>
      <w:r w:rsidRPr="00A36C46">
        <w:rPr>
          <w:rFonts w:ascii="Arial" w:hAnsi="Arial"/>
          <w:rtl/>
        </w:rPr>
        <w:t>הפסיקה מייחסת לעבירות אלו חומרה יתרה. כך נקבע ב</w:t>
      </w:r>
      <w:hyperlink r:id="rId23" w:history="1">
        <w:r w:rsidR="0020252E" w:rsidRPr="0020252E">
          <w:rPr>
            <w:rFonts w:ascii="Arial" w:hAnsi="Arial"/>
            <w:color w:val="0000FF"/>
            <w:u w:val="single"/>
            <w:rtl/>
          </w:rPr>
          <w:t>ע"פ 170/07</w:t>
        </w:r>
      </w:hyperlink>
      <w:r w:rsidRPr="00A36C46">
        <w:rPr>
          <w:rFonts w:ascii="Arial" w:hAnsi="Arial"/>
          <w:rtl/>
        </w:rPr>
        <w:t xml:space="preserve"> מטיס נ' מדינת ישראל [פורסם בנבו] (2007), ביחס לסם הקנאביס, כי גם סמים קלים מהווים לעיתים קרובות את יריית הפתיחה להתמכרות לסמים קשים יותר וכי גם בשימוש בהם עצמם טמונה סכנה.</w:t>
      </w:r>
    </w:p>
    <w:p w14:paraId="0184B98B" w14:textId="77777777" w:rsidR="00563D69" w:rsidRPr="00A36C46" w:rsidRDefault="00563D69" w:rsidP="00563D69">
      <w:pPr>
        <w:pStyle w:val="a9"/>
        <w:numPr>
          <w:ilvl w:val="0"/>
          <w:numId w:val="1"/>
        </w:numPr>
        <w:spacing w:line="360" w:lineRule="auto"/>
        <w:jc w:val="both"/>
        <w:rPr>
          <w:rFonts w:ascii="Arial" w:hAnsi="Arial"/>
          <w:rtl/>
        </w:rPr>
      </w:pPr>
      <w:r w:rsidRPr="00A36C46">
        <w:rPr>
          <w:rFonts w:ascii="Arial" w:hAnsi="Arial"/>
          <w:rtl/>
        </w:rPr>
        <w:t>באשר למתחם הענישה שנקבע בפסיקה בגין עבירות סחר דומות אפנה לפסקי דין אלו:</w:t>
      </w:r>
    </w:p>
    <w:p w14:paraId="5BCECD01" w14:textId="77777777" w:rsidR="00563D69" w:rsidRPr="00A36C46" w:rsidRDefault="0020252E" w:rsidP="00563D69">
      <w:pPr>
        <w:pStyle w:val="a9"/>
        <w:numPr>
          <w:ilvl w:val="0"/>
          <w:numId w:val="1"/>
        </w:numPr>
        <w:spacing w:line="360" w:lineRule="auto"/>
        <w:jc w:val="both"/>
        <w:rPr>
          <w:rFonts w:ascii="Arial" w:hAnsi="Arial"/>
          <w:b/>
          <w:bCs/>
          <w:rtl/>
        </w:rPr>
      </w:pPr>
      <w:hyperlink r:id="rId24" w:history="1">
        <w:r w:rsidRPr="0020252E">
          <w:rPr>
            <w:rFonts w:ascii="Arial" w:hAnsi="Arial"/>
            <w:color w:val="0000FF"/>
            <w:u w:val="single"/>
            <w:rtl/>
          </w:rPr>
          <w:t>רע"פ 1720/11</w:t>
        </w:r>
      </w:hyperlink>
      <w:r w:rsidR="00563D69" w:rsidRPr="00A36C46">
        <w:rPr>
          <w:rFonts w:ascii="Arial" w:hAnsi="Arial"/>
          <w:rtl/>
        </w:rPr>
        <w:t xml:space="preserve"> מיכאל גליק נגד מדינת ישראל [פורסם בנבו] (07.03.11), אושר גזר דינו של בית משפט השלום בו הוטלו על נאשם ב-3 עבירות סחר בסם מסוג חשיש (בסה"כ 110 גרם) ובעבירה של תיווך בחשיש (בכמות של כ- 95 גרם) 8 חודשי מאסר לריצוי בפועל בתוספת ענישה נלווית.</w:t>
      </w:r>
    </w:p>
    <w:p w14:paraId="279B9275" w14:textId="77777777" w:rsidR="00563D69" w:rsidRPr="00A36C46" w:rsidRDefault="0020252E" w:rsidP="00563D69">
      <w:pPr>
        <w:pStyle w:val="a9"/>
        <w:numPr>
          <w:ilvl w:val="0"/>
          <w:numId w:val="1"/>
        </w:numPr>
        <w:spacing w:line="360" w:lineRule="auto"/>
        <w:jc w:val="both"/>
        <w:rPr>
          <w:rFonts w:ascii="Arial" w:hAnsi="Arial"/>
          <w:rtl/>
        </w:rPr>
      </w:pPr>
      <w:hyperlink r:id="rId25" w:history="1">
        <w:r w:rsidRPr="0020252E">
          <w:rPr>
            <w:rFonts w:ascii="Arial" w:hAnsi="Arial"/>
            <w:color w:val="0000FF"/>
            <w:u w:val="single"/>
            <w:rtl/>
          </w:rPr>
          <w:t>רע"פ 5712/16</w:t>
        </w:r>
      </w:hyperlink>
      <w:r w:rsidR="00563D69" w:rsidRPr="00A36C46">
        <w:rPr>
          <w:rFonts w:ascii="Arial" w:hAnsi="Arial"/>
          <w:rtl/>
        </w:rPr>
        <w:t xml:space="preserve"> יצחק אייזנבאך נ' מדינת ישראל [פורסם בנבו] (17.08.16) אושר גזר דינו של בית משפט השלום אשר קבע, כי מתחם הענישה ההולם בעניינו של נאשם ב-4 עבירות סחר בקנאביס בכמויות קטנות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164E5172" w14:textId="77777777" w:rsidR="00563D69" w:rsidRPr="00A36C46" w:rsidRDefault="0020252E" w:rsidP="00563D69">
      <w:pPr>
        <w:pStyle w:val="a9"/>
        <w:numPr>
          <w:ilvl w:val="0"/>
          <w:numId w:val="1"/>
        </w:numPr>
        <w:spacing w:line="360" w:lineRule="auto"/>
        <w:jc w:val="both"/>
        <w:rPr>
          <w:rFonts w:ascii="Arial" w:hAnsi="Arial"/>
          <w:rtl/>
        </w:rPr>
      </w:pPr>
      <w:hyperlink r:id="rId26" w:history="1">
        <w:r w:rsidRPr="0020252E">
          <w:rPr>
            <w:rFonts w:ascii="Arial" w:hAnsi="Arial"/>
            <w:color w:val="0000FF"/>
            <w:u w:val="single"/>
            <w:rtl/>
          </w:rPr>
          <w:t>עפ"ג 31347-08-14</w:t>
        </w:r>
      </w:hyperlink>
      <w:r w:rsidR="00563D69" w:rsidRPr="00A36C46">
        <w:rPr>
          <w:rFonts w:ascii="Arial" w:hAnsi="Arial"/>
          <w:rtl/>
        </w:rPr>
        <w:t xml:space="preserve"> מדינת ישראל נגד אברהים בשיטי [פורסם בנבו] (10.12.14) נגזרו על נאשם שהורשע ב-2 עבירות סחר בקנאביס (במשקל 97 גרם ו-47 גרם) ובמכירת 5 טבליות </w:t>
      </w:r>
      <w:r w:rsidR="00563D69" w:rsidRPr="00A36C46">
        <w:rPr>
          <w:rFonts w:ascii="Arial" w:hAnsi="Arial"/>
        </w:rPr>
        <w:t>MDMA</w:t>
      </w:r>
      <w:r w:rsidR="00563D69" w:rsidRPr="00A36C46">
        <w:rPr>
          <w:rFonts w:ascii="Arial" w:hAnsi="Arial"/>
          <w:rtl/>
        </w:rPr>
        <w:t>, נעדר עבר פלילי, 6 חודשי עבודות שרות, מאסר על תנאי וקנס.</w:t>
      </w:r>
    </w:p>
    <w:p w14:paraId="55974C11" w14:textId="77777777" w:rsidR="00563D69" w:rsidRPr="00A36C46" w:rsidRDefault="0020252E" w:rsidP="00563D69">
      <w:pPr>
        <w:pStyle w:val="a9"/>
        <w:numPr>
          <w:ilvl w:val="0"/>
          <w:numId w:val="1"/>
        </w:numPr>
        <w:spacing w:line="360" w:lineRule="auto"/>
        <w:jc w:val="both"/>
        <w:rPr>
          <w:rFonts w:ascii="Arial" w:hAnsi="Arial"/>
          <w:rtl/>
        </w:rPr>
      </w:pPr>
      <w:hyperlink r:id="rId27" w:history="1">
        <w:r w:rsidRPr="0020252E">
          <w:rPr>
            <w:rFonts w:ascii="Arial" w:hAnsi="Arial"/>
            <w:color w:val="0000FF"/>
            <w:u w:val="single"/>
            <w:rtl/>
          </w:rPr>
          <w:t>ע"פ 7319-08-12</w:t>
        </w:r>
      </w:hyperlink>
      <w:r w:rsidR="00563D69" w:rsidRPr="00A36C46">
        <w:rPr>
          <w:rFonts w:ascii="Arial" w:hAnsi="Arial"/>
          <w:rtl/>
        </w:rPr>
        <w:t xml:space="preserve"> אבישי סבח נגד מדינת ישראל [פורסם בנבו] (25.10.12), נדחה ערעורו של נאשם שהורשע ב-2 עבירות סחר בחשיש בכמויות קטנות (5.3 גרם ו-2.9 גרם) ובעבירה אחת לתיווך לרכישת סם והוטל עליו עונש מאסר של 18 חודשי מאסר לריצוי בפועל.</w:t>
      </w:r>
    </w:p>
    <w:p w14:paraId="284E1739" w14:textId="77777777" w:rsidR="00563D69" w:rsidRPr="00A36C46" w:rsidRDefault="0020252E" w:rsidP="00563D69">
      <w:pPr>
        <w:pStyle w:val="a9"/>
        <w:numPr>
          <w:ilvl w:val="0"/>
          <w:numId w:val="1"/>
        </w:numPr>
        <w:spacing w:line="360" w:lineRule="auto"/>
        <w:jc w:val="both"/>
        <w:rPr>
          <w:rFonts w:ascii="Arial" w:hAnsi="Arial"/>
          <w:rtl/>
        </w:rPr>
      </w:pPr>
      <w:hyperlink r:id="rId28" w:history="1">
        <w:r w:rsidRPr="0020252E">
          <w:rPr>
            <w:rFonts w:ascii="Arial" w:hAnsi="Arial"/>
            <w:color w:val="0000FF"/>
            <w:u w:val="single"/>
            <w:rtl/>
          </w:rPr>
          <w:t>ת"פ 726-01-14</w:t>
        </w:r>
      </w:hyperlink>
      <w:r w:rsidR="00563D69" w:rsidRPr="00A36C46">
        <w:rPr>
          <w:rFonts w:ascii="Arial" w:hAnsi="Arial"/>
          <w:rtl/>
        </w:rPr>
        <w:t xml:space="preserve"> מדינת ישראל נ' עבד אל חלים זיתון [פורסם בנבו]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w:t>
      </w:r>
      <w:r w:rsidR="00563D69" w:rsidRPr="00A36C46">
        <w:rPr>
          <w:rFonts w:ascii="Arial" w:hAnsi="Arial" w:hint="cs"/>
          <w:rtl/>
        </w:rPr>
        <w:t xml:space="preserve"> מ</w:t>
      </w:r>
      <w:r w:rsidR="00563D69" w:rsidRPr="00A36C46">
        <w:rPr>
          <w:rFonts w:ascii="Arial" w:hAnsi="Arial"/>
          <w:rtl/>
        </w:rPr>
        <w:t>אסר בגין כל אחת מהעבירות, ובסה"כ, עם ריצוין בחופף, נגזרו על הנאשם בגין רכיב זה 6 חודשי מאסר בפועל.</w:t>
      </w:r>
    </w:p>
    <w:p w14:paraId="56DDA086" w14:textId="77777777" w:rsidR="00563D69" w:rsidRPr="00A36C46" w:rsidRDefault="0020252E" w:rsidP="00563D69">
      <w:pPr>
        <w:pStyle w:val="a9"/>
        <w:numPr>
          <w:ilvl w:val="0"/>
          <w:numId w:val="1"/>
        </w:numPr>
        <w:spacing w:line="360" w:lineRule="auto"/>
        <w:jc w:val="both"/>
        <w:rPr>
          <w:rFonts w:ascii="Arial" w:hAnsi="Arial"/>
          <w:rtl/>
        </w:rPr>
      </w:pPr>
      <w:hyperlink r:id="rId29" w:history="1">
        <w:r w:rsidRPr="0020252E">
          <w:rPr>
            <w:rFonts w:ascii="Arial" w:hAnsi="Arial"/>
            <w:color w:val="0000FF"/>
            <w:u w:val="single"/>
            <w:rtl/>
          </w:rPr>
          <w:t>ת"פ 56059-07-17</w:t>
        </w:r>
      </w:hyperlink>
      <w:r w:rsidR="00563D69" w:rsidRPr="00A36C46">
        <w:rPr>
          <w:rFonts w:ascii="Arial" w:hAnsi="Arial"/>
          <w:rtl/>
        </w:rPr>
        <w:t xml:space="preserve"> מדינת ישראל נגד מתן רווח [פורסם בנבו] (12.03.18), נגזרו על נאשם שהורשע ב-3 עבירות סחר בקנאביס באמצעות טלגראס (9.8 גרם, 12.7 גרם ו-2.9 גרם) 5 חודשי מאסר בפועל בתוספת ענישה נלווית.</w:t>
      </w:r>
    </w:p>
    <w:p w14:paraId="0F642513"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rtl/>
        </w:rPr>
        <w:t>בהתאם לתיקון 113 ל</w:t>
      </w:r>
      <w:hyperlink r:id="rId30" w:history="1">
        <w:r w:rsidR="0020252E" w:rsidRPr="0020252E">
          <w:rPr>
            <w:rFonts w:ascii="Arial" w:hAnsi="Arial"/>
            <w:color w:val="0000FF"/>
            <w:u w:val="single"/>
            <w:rtl/>
          </w:rPr>
          <w:t>חוק העונשין</w:t>
        </w:r>
      </w:hyperlink>
      <w:r w:rsidRPr="00A36C46">
        <w:rPr>
          <w:rFonts w:ascii="Arial" w:hAnsi="Arial"/>
          <w:rtl/>
        </w:rPr>
        <w:t xml:space="preserve"> (סעיף </w:t>
      </w:r>
      <w:hyperlink r:id="rId31" w:history="1">
        <w:r w:rsidR="00B16D90" w:rsidRPr="00B16D90">
          <w:rPr>
            <w:rStyle w:val="Hyperlink"/>
            <w:rFonts w:ascii="Arial" w:hAnsi="Arial"/>
            <w:rtl/>
          </w:rPr>
          <w:t>40 יג'</w:t>
        </w:r>
      </w:hyperlink>
      <w:r w:rsidRPr="00A36C46">
        <w:rPr>
          <w:rFonts w:ascii="Arial" w:hAnsi="Arial"/>
          <w:rtl/>
        </w:rPr>
        <w:t>), סבורני כי מתחם העונש ההולם ביחס לעבירות הסחר וכן עבירת ההחזקה הינו החל מ-</w:t>
      </w:r>
      <w:r w:rsidRPr="00A36C46">
        <w:rPr>
          <w:rFonts w:ascii="Arial" w:hAnsi="Arial" w:hint="cs"/>
          <w:rtl/>
        </w:rPr>
        <w:t>6</w:t>
      </w:r>
      <w:r w:rsidRPr="00A36C46">
        <w:rPr>
          <w:rFonts w:ascii="Arial" w:hAnsi="Arial"/>
          <w:rtl/>
        </w:rPr>
        <w:t xml:space="preserve"> חודשים ועד ל</w:t>
      </w:r>
      <w:r w:rsidRPr="00A36C46">
        <w:rPr>
          <w:rFonts w:ascii="Arial" w:hAnsi="Arial" w:hint="cs"/>
          <w:rtl/>
        </w:rPr>
        <w:t>- 18</w:t>
      </w:r>
      <w:r w:rsidRPr="00A36C46">
        <w:rPr>
          <w:rFonts w:ascii="Arial" w:hAnsi="Arial"/>
          <w:rtl/>
        </w:rPr>
        <w:t xml:space="preserve"> חודשים לצד ענישה נלווית.</w:t>
      </w:r>
    </w:p>
    <w:p w14:paraId="0FEF0F10" w14:textId="77777777" w:rsidR="00563D69" w:rsidRPr="00F36B44" w:rsidRDefault="00563D69" w:rsidP="00563D69">
      <w:pPr>
        <w:spacing w:line="360" w:lineRule="auto"/>
        <w:ind w:firstLine="720"/>
        <w:jc w:val="both"/>
        <w:rPr>
          <w:rFonts w:ascii="Arial" w:hAnsi="Arial"/>
          <w:b/>
          <w:bCs/>
        </w:rPr>
      </w:pPr>
      <w:r w:rsidRPr="00F36B44">
        <w:rPr>
          <w:rFonts w:ascii="Arial" w:hAnsi="Arial" w:hint="cs"/>
          <w:b/>
          <w:bCs/>
          <w:u w:val="single"/>
          <w:rtl/>
        </w:rPr>
        <w:t>סטייה ממתחם העונש ההולם בשל שיקולי שיקום</w:t>
      </w:r>
      <w:r w:rsidRPr="00F36B44">
        <w:rPr>
          <w:rFonts w:ascii="Arial" w:hAnsi="Arial" w:hint="cs"/>
          <w:b/>
          <w:bCs/>
          <w:rtl/>
        </w:rPr>
        <w:t>:</w:t>
      </w:r>
    </w:p>
    <w:p w14:paraId="6121A563" w14:textId="77777777" w:rsidR="00563D69" w:rsidRPr="00BD66B5" w:rsidRDefault="00563D69" w:rsidP="00563D69">
      <w:pPr>
        <w:pStyle w:val="a9"/>
        <w:numPr>
          <w:ilvl w:val="0"/>
          <w:numId w:val="1"/>
        </w:numPr>
        <w:spacing w:line="360" w:lineRule="auto"/>
        <w:jc w:val="both"/>
        <w:rPr>
          <w:rFonts w:ascii="Arial" w:hAnsi="Arial"/>
        </w:rPr>
      </w:pPr>
      <w:r w:rsidRPr="00BD66B5">
        <w:rPr>
          <w:rFonts w:ascii="Arial" w:hAnsi="Arial" w:hint="cs"/>
          <w:rtl/>
        </w:rPr>
        <w:t>במקרה דנן, סבורני כי יש לסטות ממתחם העונש ההולם משום שיקולים של שיקום. במסגרת התסקיר שהוגש לבית המשפט ביום 16.6.2022 התייחס שרות המבחן לרקע בו צמח הנאשם, ואירועים משפחתיים קשים אותם חווה. שרות המבחן המליץ להטיל על הנאשם צו פיקוח מעצרים למשך 6 חודשים כדי להעמיק את הבדיקה בכל הנוגע להתמכרותו של הנאשם לסמים, עליה דיווח ב</w:t>
      </w:r>
      <w:r>
        <w:rPr>
          <w:rFonts w:ascii="Arial" w:hAnsi="Arial" w:hint="cs"/>
          <w:rtl/>
        </w:rPr>
        <w:t>יוזמתו ב</w:t>
      </w:r>
      <w:r w:rsidRPr="00BD66B5">
        <w:rPr>
          <w:rFonts w:ascii="Arial" w:hAnsi="Arial" w:hint="cs"/>
          <w:rtl/>
        </w:rPr>
        <w:t xml:space="preserve">פגישה עמם, וכן כדי לשלבו בהליך טיפולי מתאים. מאז שולב הנאשם במסגרת טיפולית, כאשר </w:t>
      </w:r>
      <w:r>
        <w:rPr>
          <w:rFonts w:ascii="Arial" w:hAnsi="Arial" w:hint="cs"/>
          <w:rtl/>
        </w:rPr>
        <w:t>ב</w:t>
      </w:r>
      <w:r w:rsidRPr="00BD66B5">
        <w:rPr>
          <w:rFonts w:ascii="Arial" w:hAnsi="Arial" w:hint="cs"/>
          <w:rtl/>
        </w:rPr>
        <w:t>תסקיר המסכם מיום 23.4.2023 מסר שרות המבחן, כי במסגרת צו הפיקוח עמד הנאשם בקשר ישיר עמם. בחודש דצמבר 2022 שולב ביחידה להתמכרויות ברחובות, ובהתאם להסכמתו, הוארך צו הפיקוח ב-3 חודשים נוספים. הנאשם עודנו ממשיך בטיפול</w:t>
      </w:r>
      <w:r>
        <w:rPr>
          <w:rFonts w:ascii="Arial" w:hAnsi="Arial" w:hint="cs"/>
          <w:rtl/>
        </w:rPr>
        <w:t>, ומ</w:t>
      </w:r>
      <w:r w:rsidRPr="00BD66B5">
        <w:rPr>
          <w:rFonts w:ascii="Arial" w:hAnsi="Arial" w:hint="cs"/>
          <w:rtl/>
        </w:rPr>
        <w:t xml:space="preserve">הדיווח שהתקבל מגורמי הטיפול עולה, כי הנאשם משתף פעולה באופן מלא עם התוכנית, מוסר בדיקות שתן נקיות </w:t>
      </w:r>
      <w:r>
        <w:rPr>
          <w:rFonts w:ascii="Arial" w:hAnsi="Arial" w:hint="cs"/>
          <w:rtl/>
        </w:rPr>
        <w:t xml:space="preserve">בבדיקות </w:t>
      </w:r>
      <w:r w:rsidRPr="00BD66B5">
        <w:rPr>
          <w:rFonts w:ascii="Arial" w:hAnsi="Arial" w:hint="cs"/>
          <w:rtl/>
        </w:rPr>
        <w:t xml:space="preserve">לגילוי שרידי סם, ומגלה מוטיבציה גבוה לשמור על ניקיון מסמים. </w:t>
      </w:r>
    </w:p>
    <w:p w14:paraId="62D2B93B"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hint="cs"/>
          <w:rtl/>
        </w:rPr>
        <w:t>להתרשמות</w:t>
      </w:r>
      <w:r>
        <w:rPr>
          <w:rFonts w:ascii="Arial" w:hAnsi="Arial" w:hint="cs"/>
          <w:rtl/>
        </w:rPr>
        <w:t xml:space="preserve">ם </w:t>
      </w:r>
      <w:r w:rsidRPr="00A36C46">
        <w:rPr>
          <w:rFonts w:ascii="Arial" w:hAnsi="Arial" w:hint="cs"/>
          <w:rtl/>
        </w:rPr>
        <w:t xml:space="preserve">הנאשם הינו בחור צעיר אשר בגיל צעיר נחשף לאירוע טראומטי במשפחתו אשר השפיע על חייו וחיי משפחתו בשנים הבאות. על אף זאת, הנאשם השלים 12 שנות לימוד שירות צבאי מלא, אלא שלאחר שחרורו חלה נסיגה במצבו אשר התבטאה בשימוש אינטנסיבי בסמים וניהול אורח חיים התמכרותי. מעצרו בגין תיק זה, </w:t>
      </w:r>
      <w:r>
        <w:rPr>
          <w:rFonts w:ascii="Arial" w:hAnsi="Arial" w:hint="cs"/>
          <w:rtl/>
        </w:rPr>
        <w:t xml:space="preserve">כך לדבריהם, </w:t>
      </w:r>
      <w:r w:rsidRPr="00A36C46">
        <w:rPr>
          <w:rFonts w:ascii="Arial" w:hAnsi="Arial" w:hint="cs"/>
          <w:rtl/>
        </w:rPr>
        <w:t>הציב גבול ברור להתנהלותו השולית והוא הפסיק את השימוש בסמים וניתק את קשריו השוליים.</w:t>
      </w:r>
    </w:p>
    <w:p w14:paraId="4918E659"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hint="cs"/>
          <w:rtl/>
        </w:rPr>
        <w:t xml:space="preserve">שרות המבחן עומד בתסקירו על גורמי הסיכון בהם: חומרת העבירות, קושי להתמודד עם גורמי דחק, העדר גורמי תמיכה מכילים, התמכרות לסמים ומתן לגיטימציה לשימוש בסם והסלמה בהתנהלותו. מנגד, ובבחינת גורמי סיכוי צוין, כי הנאשם הינו בחור צעיר כבן 24, נעדר רישום פלילי, נעדר דפוסים שוליים ועבריינים, </w:t>
      </w:r>
      <w:r>
        <w:rPr>
          <w:rFonts w:ascii="Arial" w:hAnsi="Arial" w:hint="cs"/>
          <w:rtl/>
        </w:rPr>
        <w:t xml:space="preserve">אשר נטל </w:t>
      </w:r>
      <w:r w:rsidRPr="00A36C46">
        <w:rPr>
          <w:rFonts w:ascii="Arial" w:hAnsi="Arial" w:hint="cs"/>
          <w:rtl/>
        </w:rPr>
        <w:t xml:space="preserve">אחריות </w:t>
      </w:r>
      <w:r>
        <w:rPr>
          <w:rFonts w:ascii="Arial" w:hAnsi="Arial" w:hint="cs"/>
          <w:rtl/>
        </w:rPr>
        <w:t xml:space="preserve">על מעשיו </w:t>
      </w:r>
      <w:r w:rsidRPr="00A36C46">
        <w:rPr>
          <w:rFonts w:ascii="Arial" w:hAnsi="Arial" w:hint="cs"/>
          <w:rtl/>
        </w:rPr>
        <w:t>ושיתף פעולה עמם במסגרת הליך טיפולי. בסיומו של התסקיר מעריך שרות המבחן, כי ישנה חשיבות בעידוד חלקיו החיוביים של הנאשם, תפקודיו היצרניים באופן שיאפשר לו לקדם עצמו בתחום הלימודי והתעסוקתי. בנוסף צוין, כי הנאשם מצוי במסגרת טיפולית משך כ-5 חודשים לרבות קשר עם שרות המבחן, ובכך יש כדי לצמצם את הסיכון להישנות עבירות בטווח הארוך.</w:t>
      </w:r>
    </w:p>
    <w:p w14:paraId="5B49BCF9"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hint="cs"/>
          <w:rtl/>
        </w:rPr>
        <w:t>נוכח טעמים אלו ממליץ שרות המבחן להטיל על הנאשם צו מבחן למשך שנה, ולהימנע מהטלת עונש מאסר בדרך של עבודות שירות שכן הוא עלול להוביל לנסיגה במצבו והחרפת מצבו הכלכלי שלו ושל משפחתו. לדעת</w:t>
      </w:r>
      <w:r>
        <w:rPr>
          <w:rFonts w:ascii="Arial" w:hAnsi="Arial" w:hint="cs"/>
          <w:rtl/>
        </w:rPr>
        <w:t xml:space="preserve">ם, </w:t>
      </w:r>
      <w:r w:rsidRPr="00A36C46">
        <w:rPr>
          <w:rFonts w:ascii="Arial" w:hAnsi="Arial" w:hint="cs"/>
          <w:rtl/>
        </w:rPr>
        <w:t xml:space="preserve">יש לאפשר לנאשם להשקיע את משאביו וכוחותיו הנפשיים בהמשך טיפול, וסיוע למשפחתו בפרנסה, וזאת יוכל לשלב ככל ותוטל עליו ענישה </w:t>
      </w:r>
      <w:r>
        <w:rPr>
          <w:rFonts w:ascii="Arial" w:hAnsi="Arial" w:hint="cs"/>
          <w:rtl/>
        </w:rPr>
        <w:t xml:space="preserve">שיקומית </w:t>
      </w:r>
      <w:r w:rsidRPr="00A36C46">
        <w:rPr>
          <w:rFonts w:ascii="Arial" w:hAnsi="Arial" w:hint="cs"/>
          <w:rtl/>
        </w:rPr>
        <w:t>בדמות ש</w:t>
      </w:r>
      <w:r>
        <w:rPr>
          <w:rFonts w:ascii="Arial" w:hAnsi="Arial" w:hint="cs"/>
          <w:rtl/>
        </w:rPr>
        <w:t xml:space="preserve">ירות לתועלת הציבור </w:t>
      </w:r>
      <w:r w:rsidRPr="00A36C46">
        <w:rPr>
          <w:rFonts w:ascii="Arial" w:hAnsi="Arial" w:hint="cs"/>
          <w:rtl/>
        </w:rPr>
        <w:t xml:space="preserve">בהיקף נרחב של 350 שעות. </w:t>
      </w:r>
    </w:p>
    <w:p w14:paraId="36E371BA" w14:textId="77777777" w:rsidR="00563D69" w:rsidRPr="00A36C46" w:rsidRDefault="00563D69" w:rsidP="00563D69">
      <w:pPr>
        <w:pStyle w:val="a9"/>
        <w:numPr>
          <w:ilvl w:val="0"/>
          <w:numId w:val="1"/>
        </w:numPr>
        <w:spacing w:line="360" w:lineRule="auto"/>
        <w:jc w:val="both"/>
        <w:rPr>
          <w:rFonts w:ascii="Arial" w:hAnsi="Arial"/>
        </w:rPr>
      </w:pPr>
      <w:r>
        <w:rPr>
          <w:rFonts w:ascii="Arial" w:hAnsi="Arial" w:hint="cs"/>
          <w:rtl/>
        </w:rPr>
        <w:t xml:space="preserve">טעמיו של שרות המבחן מקובלים עליי, ובהתאם ראיתי </w:t>
      </w:r>
      <w:r w:rsidRPr="00A36C46">
        <w:rPr>
          <w:rFonts w:ascii="Arial" w:hAnsi="Arial"/>
          <w:rtl/>
        </w:rPr>
        <w:t>ל</w:t>
      </w:r>
      <w:r w:rsidRPr="00A36C46">
        <w:rPr>
          <w:rFonts w:ascii="Arial" w:hAnsi="Arial" w:hint="cs"/>
          <w:rtl/>
        </w:rPr>
        <w:t>אמץ את עמדת</w:t>
      </w:r>
      <w:r>
        <w:rPr>
          <w:rFonts w:ascii="Arial" w:hAnsi="Arial" w:hint="cs"/>
          <w:rtl/>
        </w:rPr>
        <w:t>ו</w:t>
      </w:r>
      <w:r w:rsidRPr="00A36C46">
        <w:rPr>
          <w:rFonts w:ascii="Arial" w:hAnsi="Arial" w:hint="cs"/>
          <w:rtl/>
        </w:rPr>
        <w:t>, ול</w:t>
      </w:r>
      <w:r w:rsidRPr="00A36C46">
        <w:rPr>
          <w:rFonts w:ascii="Arial" w:hAnsi="Arial"/>
          <w:rtl/>
        </w:rPr>
        <w:t xml:space="preserve">העדיף </w:t>
      </w:r>
      <w:r w:rsidRPr="00A36C46">
        <w:rPr>
          <w:rFonts w:ascii="Arial" w:hAnsi="Arial" w:hint="cs"/>
          <w:rtl/>
        </w:rPr>
        <w:t xml:space="preserve">הטלת </w:t>
      </w:r>
      <w:r w:rsidRPr="00A36C46">
        <w:rPr>
          <w:rFonts w:ascii="Arial" w:hAnsi="Arial"/>
          <w:rtl/>
        </w:rPr>
        <w:t xml:space="preserve"> עונש התואם </w:t>
      </w:r>
      <w:r>
        <w:rPr>
          <w:rFonts w:ascii="Arial" w:hAnsi="Arial" w:hint="cs"/>
          <w:rtl/>
        </w:rPr>
        <w:t xml:space="preserve">את </w:t>
      </w:r>
      <w:r w:rsidRPr="00A36C46">
        <w:rPr>
          <w:rFonts w:ascii="Arial" w:hAnsi="Arial" w:hint="cs"/>
          <w:rtl/>
        </w:rPr>
        <w:t>מ</w:t>
      </w:r>
      <w:r w:rsidRPr="00A36C46">
        <w:rPr>
          <w:rFonts w:ascii="Arial" w:hAnsi="Arial"/>
          <w:rtl/>
        </w:rPr>
        <w:t xml:space="preserve">צבו של הנאשם </w:t>
      </w:r>
      <w:r w:rsidRPr="00A36C46">
        <w:rPr>
          <w:rFonts w:ascii="Arial" w:hAnsi="Arial" w:hint="cs"/>
          <w:rtl/>
        </w:rPr>
        <w:t>כפי שפ</w:t>
      </w:r>
      <w:r>
        <w:rPr>
          <w:rFonts w:ascii="Arial" w:hAnsi="Arial" w:hint="cs"/>
          <w:rtl/>
        </w:rPr>
        <w:t>ורט בתסקיר המ</w:t>
      </w:r>
      <w:r w:rsidRPr="00A36C46">
        <w:rPr>
          <w:rFonts w:ascii="Arial" w:hAnsi="Arial" w:hint="cs"/>
          <w:rtl/>
        </w:rPr>
        <w:t>בחן</w:t>
      </w:r>
      <w:r>
        <w:rPr>
          <w:rFonts w:ascii="Arial" w:hAnsi="Arial" w:hint="cs"/>
          <w:rtl/>
        </w:rPr>
        <w:t xml:space="preserve">, שכן </w:t>
      </w:r>
      <w:r w:rsidRPr="00A36C46">
        <w:rPr>
          <w:rFonts w:ascii="Arial" w:hAnsi="Arial"/>
          <w:rtl/>
        </w:rPr>
        <w:t xml:space="preserve">הטלת עונש מאסר </w:t>
      </w:r>
      <w:r>
        <w:rPr>
          <w:rFonts w:ascii="Arial" w:hAnsi="Arial" w:hint="cs"/>
          <w:rtl/>
        </w:rPr>
        <w:t xml:space="preserve">ולו בדרך של </w:t>
      </w:r>
      <w:r w:rsidRPr="00A36C46">
        <w:rPr>
          <w:rFonts w:ascii="Arial" w:hAnsi="Arial" w:hint="cs"/>
          <w:rtl/>
        </w:rPr>
        <w:t xml:space="preserve">עבודות שירות, </w:t>
      </w:r>
      <w:r w:rsidRPr="00A36C46">
        <w:rPr>
          <w:rFonts w:ascii="Arial" w:hAnsi="Arial"/>
          <w:rtl/>
        </w:rPr>
        <w:t>ת</w:t>
      </w:r>
      <w:r w:rsidRPr="00A36C46">
        <w:rPr>
          <w:rFonts w:ascii="Arial" w:hAnsi="Arial" w:hint="cs"/>
          <w:rtl/>
        </w:rPr>
        <w:t>וביל</w:t>
      </w:r>
      <w:r w:rsidRPr="00A36C46">
        <w:rPr>
          <w:rFonts w:ascii="Arial" w:hAnsi="Arial"/>
          <w:rtl/>
        </w:rPr>
        <w:t xml:space="preserve"> לפגיעה בנאשם, </w:t>
      </w:r>
      <w:r w:rsidRPr="00A36C46">
        <w:rPr>
          <w:rFonts w:ascii="Arial" w:hAnsi="Arial" w:hint="cs"/>
          <w:rtl/>
        </w:rPr>
        <w:t>אשר ת</w:t>
      </w:r>
      <w:r w:rsidRPr="00A36C46">
        <w:rPr>
          <w:rFonts w:ascii="Arial" w:hAnsi="Arial"/>
          <w:rtl/>
        </w:rPr>
        <w:t>חבל ב</w:t>
      </w:r>
      <w:r>
        <w:rPr>
          <w:rFonts w:ascii="Arial" w:hAnsi="Arial" w:hint="cs"/>
          <w:rtl/>
        </w:rPr>
        <w:t>הליך אותו הוא עובר במסגרת שרות המבחן והיחידה להתמכרויות, וב</w:t>
      </w:r>
      <w:r w:rsidRPr="00A36C46">
        <w:rPr>
          <w:rFonts w:ascii="Arial" w:hAnsi="Arial"/>
          <w:rtl/>
        </w:rPr>
        <w:t xml:space="preserve">סיכוי לשקמו. </w:t>
      </w:r>
    </w:p>
    <w:p w14:paraId="4E8EBB2B" w14:textId="77777777" w:rsidR="00563D69" w:rsidRPr="00A36C46" w:rsidRDefault="00563D69" w:rsidP="00563D69">
      <w:pPr>
        <w:pStyle w:val="a9"/>
        <w:numPr>
          <w:ilvl w:val="0"/>
          <w:numId w:val="1"/>
        </w:numPr>
        <w:spacing w:line="360" w:lineRule="auto"/>
        <w:jc w:val="both"/>
        <w:rPr>
          <w:rFonts w:ascii="Arial" w:hAnsi="Arial"/>
        </w:rPr>
      </w:pPr>
      <w:r>
        <w:rPr>
          <w:rFonts w:ascii="Arial" w:hAnsi="Arial" w:hint="cs"/>
          <w:rtl/>
        </w:rPr>
        <w:t xml:space="preserve">נוכח טעמים אלו, </w:t>
      </w:r>
      <w:r w:rsidRPr="00A36C46">
        <w:rPr>
          <w:rFonts w:ascii="Arial" w:hAnsi="Arial"/>
          <w:rtl/>
        </w:rPr>
        <w:t>סב</w:t>
      </w:r>
      <w:r>
        <w:rPr>
          <w:rFonts w:ascii="Arial" w:hAnsi="Arial" w:hint="cs"/>
          <w:rtl/>
        </w:rPr>
        <w:t xml:space="preserve">רתי </w:t>
      </w:r>
      <w:r w:rsidRPr="00A36C46">
        <w:rPr>
          <w:rFonts w:ascii="Arial" w:hAnsi="Arial"/>
          <w:rtl/>
        </w:rPr>
        <w:t xml:space="preserve">כי ישנו מקום לגזור במקרה זה עונש אשר סוטה לקולא ממתחם העונש </w:t>
      </w:r>
      <w:r>
        <w:rPr>
          <w:rFonts w:ascii="Arial" w:hAnsi="Arial" w:hint="cs"/>
          <w:rtl/>
        </w:rPr>
        <w:t xml:space="preserve">ההולם, </w:t>
      </w:r>
      <w:r w:rsidRPr="00A36C46">
        <w:rPr>
          <w:rFonts w:ascii="Arial" w:hAnsi="Arial"/>
          <w:rtl/>
        </w:rPr>
        <w:t xml:space="preserve">באופן שלא יפגע בסיכויי השיקום של הנאשם ויאפשר לו להציב את חייו </w:t>
      </w:r>
      <w:r w:rsidRPr="00A36C46">
        <w:rPr>
          <w:rFonts w:ascii="Arial" w:hAnsi="Arial" w:hint="cs"/>
          <w:rtl/>
        </w:rPr>
        <w:t xml:space="preserve">חזרה </w:t>
      </w:r>
      <w:r>
        <w:rPr>
          <w:rFonts w:ascii="Arial" w:hAnsi="Arial" w:hint="cs"/>
          <w:rtl/>
        </w:rPr>
        <w:t xml:space="preserve">על </w:t>
      </w:r>
      <w:r w:rsidRPr="00A36C46">
        <w:rPr>
          <w:rFonts w:ascii="Arial" w:hAnsi="Arial"/>
          <w:rtl/>
        </w:rPr>
        <w:t>מסלול נורמטיבי ותקין.</w:t>
      </w:r>
    </w:p>
    <w:p w14:paraId="54AF4F37" w14:textId="77777777" w:rsidR="00563D69" w:rsidRPr="00A36C46" w:rsidRDefault="00563D69" w:rsidP="00563D69">
      <w:pPr>
        <w:pStyle w:val="a9"/>
        <w:numPr>
          <w:ilvl w:val="0"/>
          <w:numId w:val="1"/>
        </w:numPr>
        <w:spacing w:line="360" w:lineRule="auto"/>
        <w:jc w:val="both"/>
        <w:rPr>
          <w:rFonts w:ascii="Arial" w:hAnsi="Arial"/>
        </w:rPr>
      </w:pPr>
      <w:r w:rsidRPr="00A36C46">
        <w:rPr>
          <w:rFonts w:ascii="Arial" w:hAnsi="Arial" w:hint="cs"/>
          <w:rtl/>
        </w:rPr>
        <w:t>אשר על כן אני מטיל על הנאשם את העונשים הבאים</w:t>
      </w:r>
      <w:r>
        <w:rPr>
          <w:rFonts w:ascii="Arial" w:hAnsi="Arial" w:hint="cs"/>
          <w:rtl/>
        </w:rPr>
        <w:t>:</w:t>
      </w:r>
    </w:p>
    <w:p w14:paraId="647ECEB7" w14:textId="77777777" w:rsidR="00563D69" w:rsidRPr="00A36C46" w:rsidRDefault="00563D69" w:rsidP="00563D69">
      <w:pPr>
        <w:pStyle w:val="a9"/>
        <w:numPr>
          <w:ilvl w:val="0"/>
          <w:numId w:val="2"/>
        </w:numPr>
        <w:spacing w:line="360" w:lineRule="auto"/>
        <w:jc w:val="both"/>
        <w:rPr>
          <w:rFonts w:ascii="Arial" w:hAnsi="Arial"/>
          <w:rtl/>
        </w:rPr>
      </w:pPr>
      <w:r w:rsidRPr="00A36C46">
        <w:rPr>
          <w:rFonts w:ascii="Arial" w:hAnsi="Arial"/>
          <w:rtl/>
        </w:rPr>
        <w:t xml:space="preserve">צו שירות לתועלת הציבור בהיקף </w:t>
      </w:r>
      <w:r w:rsidRPr="00A36C46">
        <w:rPr>
          <w:rFonts w:ascii="Arial" w:hAnsi="Arial" w:hint="cs"/>
          <w:rtl/>
        </w:rPr>
        <w:t>3</w:t>
      </w:r>
      <w:r w:rsidRPr="00A36C46">
        <w:rPr>
          <w:rFonts w:ascii="Arial" w:hAnsi="Arial"/>
          <w:rtl/>
        </w:rPr>
        <w:t>50 שעות בהתאם לתוכנית שתוגש על ידי שרות המבחן לאישור בית המשפט בתוך 60 יום.</w:t>
      </w:r>
    </w:p>
    <w:p w14:paraId="6FCD253C" w14:textId="77777777" w:rsidR="00563D69" w:rsidRPr="00A36C46" w:rsidRDefault="00563D69" w:rsidP="00563D69">
      <w:pPr>
        <w:pStyle w:val="a9"/>
        <w:numPr>
          <w:ilvl w:val="0"/>
          <w:numId w:val="2"/>
        </w:numPr>
        <w:spacing w:line="360" w:lineRule="auto"/>
        <w:jc w:val="both"/>
        <w:rPr>
          <w:rFonts w:ascii="Arial" w:hAnsi="Arial"/>
          <w:rtl/>
        </w:rPr>
      </w:pPr>
      <w:r w:rsidRPr="00A36C46">
        <w:rPr>
          <w:rFonts w:ascii="Arial" w:hAnsi="Arial"/>
          <w:rtl/>
        </w:rPr>
        <w:t>אני דן את הנאשם למאסר למשך 5 חודשים וזאת על תנאי למשך שלוש שנים שלא יעבור עבירת פשע מ</w:t>
      </w:r>
      <w:hyperlink r:id="rId32" w:history="1">
        <w:r w:rsidR="0020252E" w:rsidRPr="0020252E">
          <w:rPr>
            <w:rFonts w:ascii="Arial" w:hAnsi="Arial"/>
            <w:color w:val="0000FF"/>
            <w:u w:val="single"/>
            <w:rtl/>
          </w:rPr>
          <w:t>פקודת הסמים המסוכנים</w:t>
        </w:r>
      </w:hyperlink>
      <w:r w:rsidRPr="00A36C46">
        <w:rPr>
          <w:rFonts w:ascii="Arial" w:hAnsi="Arial"/>
          <w:rtl/>
        </w:rPr>
        <w:t>.</w:t>
      </w:r>
    </w:p>
    <w:p w14:paraId="2C1A5813" w14:textId="77777777" w:rsidR="00563D69" w:rsidRPr="00A36C46" w:rsidRDefault="00563D69" w:rsidP="00563D69">
      <w:pPr>
        <w:pStyle w:val="a9"/>
        <w:numPr>
          <w:ilvl w:val="0"/>
          <w:numId w:val="2"/>
        </w:numPr>
        <w:spacing w:line="360" w:lineRule="auto"/>
        <w:jc w:val="both"/>
        <w:rPr>
          <w:rFonts w:ascii="Arial" w:hAnsi="Arial"/>
          <w:rtl/>
        </w:rPr>
      </w:pPr>
      <w:r w:rsidRPr="00A36C46">
        <w:rPr>
          <w:rFonts w:ascii="Arial" w:hAnsi="Arial"/>
          <w:rtl/>
        </w:rPr>
        <w:t>אני דן את הנאשם למאסר למשך 2 חודשים וזאת על תנאי למשך שלוש שנים שלא יעבור עבירה מסוג עוון מ</w:t>
      </w:r>
      <w:hyperlink r:id="rId33" w:history="1">
        <w:r w:rsidR="0020252E" w:rsidRPr="0020252E">
          <w:rPr>
            <w:rFonts w:ascii="Arial" w:hAnsi="Arial"/>
            <w:color w:val="0000FF"/>
            <w:u w:val="single"/>
            <w:rtl/>
          </w:rPr>
          <w:t>פקודת הסמים המסוכנים</w:t>
        </w:r>
      </w:hyperlink>
      <w:r w:rsidRPr="00A36C46">
        <w:rPr>
          <w:rFonts w:ascii="Arial" w:hAnsi="Arial"/>
          <w:rtl/>
        </w:rPr>
        <w:t>.</w:t>
      </w:r>
    </w:p>
    <w:p w14:paraId="09B18C53" w14:textId="77777777" w:rsidR="00563D69" w:rsidRPr="00A36C46" w:rsidRDefault="00563D69" w:rsidP="00563D69">
      <w:pPr>
        <w:pStyle w:val="a9"/>
        <w:numPr>
          <w:ilvl w:val="0"/>
          <w:numId w:val="2"/>
        </w:numPr>
        <w:spacing w:line="360" w:lineRule="auto"/>
        <w:jc w:val="both"/>
        <w:rPr>
          <w:rFonts w:ascii="Arial" w:hAnsi="Arial"/>
        </w:rPr>
      </w:pPr>
      <w:r w:rsidRPr="00A36C46">
        <w:rPr>
          <w:rFonts w:ascii="Arial" w:hAnsi="Arial"/>
          <w:rtl/>
        </w:rPr>
        <w:t>התחייבות בסך 3,500 ₪ שלא לעבור את עבירה בניגוד ל</w:t>
      </w:r>
      <w:hyperlink r:id="rId34" w:history="1">
        <w:r w:rsidR="0020252E" w:rsidRPr="0020252E">
          <w:rPr>
            <w:rFonts w:ascii="Arial" w:hAnsi="Arial"/>
            <w:color w:val="0000FF"/>
            <w:u w:val="single"/>
            <w:rtl/>
          </w:rPr>
          <w:t>פקודת הסמים המסוכנים</w:t>
        </w:r>
      </w:hyperlink>
      <w:r w:rsidRPr="00A36C46">
        <w:rPr>
          <w:rFonts w:ascii="Arial" w:hAnsi="Arial"/>
          <w:rtl/>
        </w:rPr>
        <w:t xml:space="preserve"> וזאת למשך שנתיים מהיום, שלא יעבור עבירה מפקודת הסמים המסוכנים.</w:t>
      </w:r>
      <w:r>
        <w:rPr>
          <w:rFonts w:ascii="Arial" w:hAnsi="Arial" w:hint="cs"/>
          <w:rtl/>
        </w:rPr>
        <w:t xml:space="preserve"> רשמתי את התחייבות הנאשם בע"פ.</w:t>
      </w:r>
    </w:p>
    <w:p w14:paraId="7B610133" w14:textId="77777777" w:rsidR="00563D69" w:rsidRPr="00A36C46" w:rsidRDefault="00563D69" w:rsidP="00563D69">
      <w:pPr>
        <w:pStyle w:val="a9"/>
        <w:numPr>
          <w:ilvl w:val="0"/>
          <w:numId w:val="2"/>
        </w:numPr>
        <w:spacing w:line="360" w:lineRule="auto"/>
        <w:jc w:val="both"/>
        <w:rPr>
          <w:rFonts w:ascii="Arial" w:hAnsi="Arial"/>
        </w:rPr>
      </w:pPr>
      <w:r w:rsidRPr="00A36C46">
        <w:rPr>
          <w:rFonts w:ascii="Arial" w:hAnsi="Arial" w:hint="cs"/>
          <w:rtl/>
        </w:rPr>
        <w:t>צו מבחן למשך שנה.</w:t>
      </w:r>
    </w:p>
    <w:p w14:paraId="5377F272" w14:textId="77777777" w:rsidR="00563D69" w:rsidRPr="00A36C46" w:rsidRDefault="00563D69" w:rsidP="00563D69">
      <w:pPr>
        <w:pStyle w:val="a9"/>
        <w:numPr>
          <w:ilvl w:val="0"/>
          <w:numId w:val="2"/>
        </w:numPr>
        <w:spacing w:line="360" w:lineRule="auto"/>
        <w:jc w:val="both"/>
        <w:rPr>
          <w:rFonts w:ascii="Arial" w:hAnsi="Arial"/>
        </w:rPr>
      </w:pPr>
      <w:r w:rsidRPr="00A36C46">
        <w:rPr>
          <w:rFonts w:ascii="Arial" w:hAnsi="Arial" w:hint="cs"/>
          <w:rtl/>
        </w:rPr>
        <w:t>הסמים יושמדו.</w:t>
      </w:r>
    </w:p>
    <w:p w14:paraId="3B9CCF10" w14:textId="77777777" w:rsidR="00563D69" w:rsidRDefault="00563D69" w:rsidP="00563D69">
      <w:pPr>
        <w:pStyle w:val="a9"/>
        <w:numPr>
          <w:ilvl w:val="0"/>
          <w:numId w:val="2"/>
        </w:numPr>
        <w:spacing w:line="360" w:lineRule="auto"/>
        <w:jc w:val="both"/>
        <w:rPr>
          <w:rFonts w:ascii="Arial" w:hAnsi="Arial"/>
        </w:rPr>
      </w:pPr>
      <w:r w:rsidRPr="00A36C46">
        <w:rPr>
          <w:rFonts w:ascii="Arial" w:hAnsi="Arial" w:hint="cs"/>
          <w:rtl/>
        </w:rPr>
        <w:t>טלפון נייד ומוצגים שנתפסו יחולטו.</w:t>
      </w:r>
    </w:p>
    <w:p w14:paraId="09C075E1" w14:textId="77777777" w:rsidR="00563D69" w:rsidRPr="00A36C46" w:rsidRDefault="00563D69" w:rsidP="00563D69">
      <w:pPr>
        <w:pStyle w:val="a9"/>
        <w:numPr>
          <w:ilvl w:val="0"/>
          <w:numId w:val="2"/>
        </w:numPr>
        <w:spacing w:line="360" w:lineRule="auto"/>
        <w:jc w:val="both"/>
        <w:rPr>
          <w:rFonts w:ascii="Arial" w:hAnsi="Arial"/>
        </w:rPr>
      </w:pPr>
      <w:r>
        <w:rPr>
          <w:rFonts w:ascii="Arial" w:hAnsi="Arial" w:hint="cs"/>
          <w:rtl/>
        </w:rPr>
        <w:t>נוכח סיום ההליך המשפטי, צו עיכוב יציאה מהארץ יבוטל.</w:t>
      </w:r>
    </w:p>
    <w:p w14:paraId="3776DCC8" w14:textId="77777777" w:rsidR="00563D69" w:rsidRPr="00A36C46" w:rsidRDefault="0020252E" w:rsidP="00563D69">
      <w:pPr>
        <w:spacing w:line="360" w:lineRule="auto"/>
        <w:ind w:firstLine="420"/>
        <w:jc w:val="both"/>
        <w:rPr>
          <w:rFonts w:ascii="Arial" w:hAnsi="Arial"/>
          <w:rtl/>
        </w:rPr>
      </w:pPr>
      <w:r w:rsidRPr="0020252E">
        <w:rPr>
          <w:rFonts w:ascii="Arial" w:hAnsi="Arial"/>
          <w:color w:val="FFFFFF"/>
          <w:sz w:val="2"/>
          <w:szCs w:val="2"/>
          <w:rtl/>
        </w:rPr>
        <w:t>5129371</w:t>
      </w:r>
      <w:r w:rsidR="00563D69" w:rsidRPr="00A36C46">
        <w:rPr>
          <w:rFonts w:ascii="Arial" w:hAnsi="Arial" w:hint="cs"/>
          <w:rtl/>
        </w:rPr>
        <w:t>המזכירות תשלח העתק ההחלטה לשרות המבחן.</w:t>
      </w:r>
    </w:p>
    <w:p w14:paraId="6600A64B" w14:textId="77777777" w:rsidR="00563D69" w:rsidRPr="00A36C46" w:rsidRDefault="0020252E" w:rsidP="00563D69">
      <w:pPr>
        <w:spacing w:line="360" w:lineRule="auto"/>
        <w:ind w:firstLine="420"/>
        <w:jc w:val="both"/>
        <w:rPr>
          <w:rFonts w:ascii="Arial" w:hAnsi="Arial"/>
          <w:b/>
          <w:bCs/>
          <w:rtl/>
        </w:rPr>
      </w:pPr>
      <w:r w:rsidRPr="0020252E">
        <w:rPr>
          <w:rFonts w:ascii="Arial" w:hAnsi="Arial"/>
          <w:b/>
          <w:bCs/>
          <w:color w:val="FFFFFF"/>
          <w:sz w:val="2"/>
          <w:szCs w:val="2"/>
          <w:u w:val="single"/>
          <w:rtl/>
        </w:rPr>
        <w:t>54678313</w:t>
      </w:r>
      <w:r w:rsidR="00563D69" w:rsidRPr="00A36C46">
        <w:rPr>
          <w:rFonts w:ascii="Arial" w:hAnsi="Arial" w:hint="cs"/>
          <w:b/>
          <w:bCs/>
          <w:u w:val="single"/>
          <w:rtl/>
        </w:rPr>
        <w:t>זכות ערעור לבית המשפט המחוזי בתוך 45 יום</w:t>
      </w:r>
      <w:r w:rsidR="00563D69" w:rsidRPr="00A36C46">
        <w:rPr>
          <w:rFonts w:ascii="Arial" w:hAnsi="Arial" w:hint="cs"/>
          <w:b/>
          <w:bCs/>
          <w:rtl/>
        </w:rPr>
        <w:t>.</w:t>
      </w:r>
    </w:p>
    <w:p w14:paraId="41F86995" w14:textId="77777777" w:rsidR="00563D69" w:rsidRPr="00A36C46" w:rsidRDefault="00563D69" w:rsidP="00563D69">
      <w:pPr>
        <w:spacing w:line="360" w:lineRule="auto"/>
        <w:rPr>
          <w:rFonts w:ascii="Arial" w:hAnsi="Arial"/>
          <w:b/>
          <w:bCs/>
          <w:rtl/>
        </w:rPr>
      </w:pPr>
    </w:p>
    <w:p w14:paraId="71F746E7" w14:textId="77777777" w:rsidR="00563D69" w:rsidRPr="00E61364" w:rsidRDefault="0020252E" w:rsidP="00563D69">
      <w:pPr>
        <w:spacing w:line="360" w:lineRule="auto"/>
        <w:jc w:val="both"/>
        <w:rPr>
          <w:rFonts w:ascii="Arial" w:hAnsi="Arial"/>
          <w:sz w:val="22"/>
          <w:szCs w:val="22"/>
          <w:rtl/>
        </w:rPr>
      </w:pPr>
      <w:bookmarkStart w:id="8" w:name="Nitan"/>
      <w:r>
        <w:rPr>
          <w:rFonts w:ascii="Arial" w:hAnsi="Arial"/>
          <w:sz w:val="22"/>
          <w:szCs w:val="22"/>
          <w:rtl/>
        </w:rPr>
        <w:t xml:space="preserve">ניתן היום,  ג' תשרי תשפ"ד, 18 ספטמבר 2023, במעמד הנוכחים. </w:t>
      </w:r>
      <w:bookmarkEnd w:id="8"/>
      <w:r w:rsidR="00563D69" w:rsidRPr="00E61364">
        <w:rPr>
          <w:rFonts w:ascii="Arial" w:hAnsi="Arial"/>
          <w:sz w:val="22"/>
          <w:szCs w:val="22"/>
          <w:rtl/>
        </w:rPr>
        <w:tab/>
      </w:r>
      <w:r w:rsidR="00563D69" w:rsidRPr="00E61364">
        <w:rPr>
          <w:rFonts w:ascii="Arial" w:hAnsi="Arial"/>
          <w:sz w:val="22"/>
          <w:szCs w:val="22"/>
          <w:rtl/>
        </w:rPr>
        <w:tab/>
      </w:r>
      <w:r w:rsidR="00563D69" w:rsidRPr="00E61364">
        <w:rPr>
          <w:rFonts w:ascii="Arial" w:hAnsi="Arial"/>
          <w:sz w:val="22"/>
          <w:szCs w:val="22"/>
          <w:rtl/>
        </w:rPr>
        <w:tab/>
      </w:r>
      <w:r w:rsidR="00563D69" w:rsidRPr="00E61364">
        <w:rPr>
          <w:rFonts w:ascii="Arial" w:hAnsi="Arial"/>
          <w:sz w:val="22"/>
          <w:szCs w:val="22"/>
          <w:rtl/>
        </w:rPr>
        <w:tab/>
      </w:r>
      <w:r w:rsidR="00563D69" w:rsidRPr="00E61364">
        <w:rPr>
          <w:rFonts w:ascii="Arial" w:hAnsi="Arial"/>
          <w:sz w:val="22"/>
          <w:szCs w:val="22"/>
          <w:rtl/>
        </w:rPr>
        <w:tab/>
      </w:r>
      <w:r w:rsidR="00563D69" w:rsidRPr="00E61364">
        <w:rPr>
          <w:rFonts w:ascii="Arial" w:hAnsi="Arial"/>
          <w:sz w:val="22"/>
          <w:szCs w:val="22"/>
          <w:rtl/>
        </w:rPr>
        <w:tab/>
      </w:r>
      <w:r w:rsidR="00563D69" w:rsidRPr="00E61364">
        <w:rPr>
          <w:rFonts w:ascii="Arial" w:hAnsi="Arial"/>
          <w:sz w:val="22"/>
          <w:szCs w:val="22"/>
          <w:rtl/>
        </w:rPr>
        <w:tab/>
      </w:r>
      <w:r w:rsidR="00563D69" w:rsidRPr="00E61364">
        <w:rPr>
          <w:rFonts w:ascii="Arial" w:hAnsi="Arial" w:hint="cs"/>
          <w:sz w:val="22"/>
          <w:szCs w:val="22"/>
          <w:rtl/>
        </w:rPr>
        <w:t xml:space="preserve">         </w:t>
      </w:r>
    </w:p>
    <w:p w14:paraId="3667FA97" w14:textId="77777777" w:rsidR="00563D69" w:rsidRPr="00B16D90" w:rsidRDefault="00B16D90" w:rsidP="00563D69">
      <w:pPr>
        <w:spacing w:line="360" w:lineRule="auto"/>
        <w:jc w:val="center"/>
        <w:rPr>
          <w:rFonts w:ascii="Arial" w:hAnsi="Arial"/>
          <w:color w:val="FFFFFF"/>
          <w:sz w:val="2"/>
          <w:szCs w:val="2"/>
          <w:rtl/>
        </w:rPr>
      </w:pPr>
      <w:r w:rsidRPr="00B16D90">
        <w:rPr>
          <w:rFonts w:ascii="Arial" w:hAnsi="Arial"/>
          <w:color w:val="FFFFFF"/>
          <w:sz w:val="2"/>
          <w:szCs w:val="2"/>
          <w:rtl/>
        </w:rPr>
        <w:t>129371</w:t>
      </w:r>
    </w:p>
    <w:p w14:paraId="4E053145" w14:textId="77777777" w:rsidR="00793B62" w:rsidRPr="00B16D90" w:rsidRDefault="00B16D90" w:rsidP="0020252E">
      <w:pPr>
        <w:keepNext/>
        <w:rPr>
          <w:rFonts w:ascii="David" w:hAnsi="David"/>
          <w:color w:val="FFFFFF"/>
          <w:sz w:val="2"/>
          <w:szCs w:val="2"/>
          <w:rtl/>
        </w:rPr>
      </w:pPr>
      <w:r w:rsidRPr="00B16D90">
        <w:rPr>
          <w:rFonts w:ascii="David" w:hAnsi="David"/>
          <w:color w:val="FFFFFF"/>
          <w:sz w:val="2"/>
          <w:szCs w:val="2"/>
          <w:rtl/>
        </w:rPr>
        <w:t>54678313</w:t>
      </w:r>
    </w:p>
    <w:p w14:paraId="384009AC" w14:textId="77777777" w:rsidR="0020252E" w:rsidRDefault="0020252E" w:rsidP="0020252E">
      <w:pPr>
        <w:rPr>
          <w:rtl/>
        </w:rPr>
      </w:pPr>
    </w:p>
    <w:p w14:paraId="0BBFCAA7" w14:textId="77777777" w:rsidR="0020252E" w:rsidRDefault="0020252E" w:rsidP="0020252E">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7CE20DD" w14:textId="77777777" w:rsidR="00B16D90" w:rsidRPr="00B16D90" w:rsidRDefault="00B16D90" w:rsidP="00B16D90">
      <w:pPr>
        <w:keepNext/>
        <w:rPr>
          <w:rFonts w:ascii="David" w:hAnsi="David"/>
          <w:color w:val="000000"/>
          <w:sz w:val="22"/>
          <w:szCs w:val="22"/>
          <w:rtl/>
        </w:rPr>
      </w:pPr>
    </w:p>
    <w:p w14:paraId="19CFA0F8" w14:textId="77777777" w:rsidR="00B16D90" w:rsidRPr="00B16D90" w:rsidRDefault="00B16D90" w:rsidP="00B16D90">
      <w:pPr>
        <w:keepNext/>
        <w:rPr>
          <w:rFonts w:ascii="David" w:hAnsi="David"/>
          <w:color w:val="000000"/>
          <w:sz w:val="22"/>
          <w:szCs w:val="22"/>
          <w:rtl/>
        </w:rPr>
      </w:pPr>
      <w:r w:rsidRPr="00B16D90">
        <w:rPr>
          <w:rFonts w:ascii="David" w:hAnsi="David"/>
          <w:color w:val="000000"/>
          <w:sz w:val="22"/>
          <w:szCs w:val="22"/>
          <w:rtl/>
        </w:rPr>
        <w:t>ארנון איתן 54678313-/</w:t>
      </w:r>
    </w:p>
    <w:p w14:paraId="4D5F0609" w14:textId="77777777" w:rsidR="0020252E" w:rsidRPr="0020252E" w:rsidRDefault="00B16D90" w:rsidP="00B16D90">
      <w:pPr>
        <w:rPr>
          <w:color w:val="0000FF"/>
          <w:u w:val="single"/>
        </w:rPr>
      </w:pPr>
      <w:r w:rsidRPr="00B16D90">
        <w:rPr>
          <w:color w:val="000000"/>
          <w:u w:val="single"/>
          <w:rtl/>
        </w:rPr>
        <w:t>נוסח מסמך זה כפוף לשינויי ניסוח ועריכה</w:t>
      </w:r>
    </w:p>
    <w:sectPr w:rsidR="0020252E" w:rsidRPr="0020252E" w:rsidSect="00B16D9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9A6D9" w14:textId="77777777" w:rsidR="007A0E47" w:rsidRDefault="007A0E47" w:rsidP="00A2080D">
      <w:r>
        <w:separator/>
      </w:r>
    </w:p>
  </w:endnote>
  <w:endnote w:type="continuationSeparator" w:id="0">
    <w:p w14:paraId="5A1FB3C4" w14:textId="77777777" w:rsidR="007A0E47" w:rsidRDefault="007A0E47" w:rsidP="00A2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D4637" w14:textId="77777777" w:rsidR="00B16D90" w:rsidRDefault="00B16D90" w:rsidP="00B16D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1B8E23" w14:textId="77777777" w:rsidR="00CF4C6F" w:rsidRPr="00B16D90" w:rsidRDefault="00B16D90" w:rsidP="00B16D90">
    <w:pPr>
      <w:pStyle w:val="a5"/>
      <w:pBdr>
        <w:top w:val="single" w:sz="4" w:space="1" w:color="auto"/>
        <w:between w:val="single" w:sz="4" w:space="0" w:color="auto"/>
      </w:pBdr>
      <w:spacing w:after="60"/>
      <w:jc w:val="center"/>
      <w:rPr>
        <w:rFonts w:ascii="FrankRuehl" w:hAnsi="FrankRuehl" w:cs="FrankRuehl"/>
        <w:color w:val="000000"/>
      </w:rPr>
    </w:pPr>
    <w:r w:rsidRPr="00B16D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8525D" w14:textId="77777777" w:rsidR="00B16D90" w:rsidRDefault="00B16D90" w:rsidP="00B16D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3824">
      <w:rPr>
        <w:rFonts w:ascii="FrankRuehl" w:hAnsi="FrankRuehl" w:cs="FrankRuehl"/>
        <w:noProof/>
        <w:rtl/>
      </w:rPr>
      <w:t>1</w:t>
    </w:r>
    <w:r>
      <w:rPr>
        <w:rFonts w:ascii="FrankRuehl" w:hAnsi="FrankRuehl" w:cs="FrankRuehl"/>
        <w:rtl/>
      </w:rPr>
      <w:fldChar w:fldCharType="end"/>
    </w:r>
  </w:p>
  <w:p w14:paraId="2BFC8324" w14:textId="77777777" w:rsidR="00CF4C6F" w:rsidRPr="00B16D90" w:rsidRDefault="00B16D90" w:rsidP="00B16D90">
    <w:pPr>
      <w:pStyle w:val="a5"/>
      <w:pBdr>
        <w:top w:val="single" w:sz="4" w:space="1" w:color="auto"/>
        <w:between w:val="single" w:sz="4" w:space="0" w:color="auto"/>
      </w:pBdr>
      <w:spacing w:after="60"/>
      <w:jc w:val="center"/>
      <w:rPr>
        <w:rFonts w:ascii="FrankRuehl" w:hAnsi="FrankRuehl" w:cs="FrankRuehl"/>
        <w:color w:val="000000"/>
      </w:rPr>
    </w:pPr>
    <w:r w:rsidRPr="00B16D90">
      <w:rPr>
        <w:rFonts w:ascii="FrankRuehl" w:hAnsi="FrankRuehl" w:cs="FrankRuehl"/>
        <w:color w:val="000000"/>
      </w:rPr>
      <w:pict w14:anchorId="5CBC31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12C26" w14:textId="77777777" w:rsidR="007A0E47" w:rsidRDefault="007A0E47" w:rsidP="00A2080D">
      <w:r>
        <w:separator/>
      </w:r>
    </w:p>
  </w:footnote>
  <w:footnote w:type="continuationSeparator" w:id="0">
    <w:p w14:paraId="1B2621AB" w14:textId="77777777" w:rsidR="007A0E47" w:rsidRDefault="007A0E47" w:rsidP="00A20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9EB91" w14:textId="77777777" w:rsidR="0020252E" w:rsidRPr="00B16D90" w:rsidRDefault="00B16D90" w:rsidP="00B16D9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49244-01-22</w:t>
    </w:r>
    <w:r>
      <w:rPr>
        <w:rFonts w:ascii="David" w:hAnsi="David"/>
        <w:color w:val="000000"/>
        <w:sz w:val="22"/>
        <w:szCs w:val="22"/>
        <w:rtl/>
      </w:rPr>
      <w:tab/>
      <w:t xml:space="preserve"> מדינת ישראל נ' דור אליעזר פטאל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E91B" w14:textId="77777777" w:rsidR="0020252E" w:rsidRPr="00B16D90" w:rsidRDefault="00B16D90" w:rsidP="00B16D9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49244-01-22</w:t>
    </w:r>
    <w:r>
      <w:rPr>
        <w:rFonts w:ascii="David" w:hAnsi="David"/>
        <w:color w:val="000000"/>
        <w:sz w:val="22"/>
        <w:szCs w:val="22"/>
        <w:rtl/>
      </w:rPr>
      <w:tab/>
      <w:t xml:space="preserve"> מדינת ישראל נ' דור אליעזר פטאל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51854"/>
    <w:multiLevelType w:val="hybridMultilevel"/>
    <w:tmpl w:val="F4829F54"/>
    <w:lvl w:ilvl="0" w:tplc="C4BE594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370A7"/>
    <w:multiLevelType w:val="hybridMultilevel"/>
    <w:tmpl w:val="72048E22"/>
    <w:lvl w:ilvl="0" w:tplc="04090013">
      <w:start w:val="1"/>
      <w:numFmt w:val="hebrew1"/>
      <w:lvlText w:val="%1."/>
      <w:lvlJc w:val="center"/>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957300012">
    <w:abstractNumId w:val="0"/>
  </w:num>
  <w:num w:numId="2" w16cid:durableId="1861317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3D69"/>
    <w:rsid w:val="001B5A3B"/>
    <w:rsid w:val="0020252E"/>
    <w:rsid w:val="00407A5A"/>
    <w:rsid w:val="00420650"/>
    <w:rsid w:val="00563D69"/>
    <w:rsid w:val="00793B62"/>
    <w:rsid w:val="007A0E47"/>
    <w:rsid w:val="009C716B"/>
    <w:rsid w:val="009E3A77"/>
    <w:rsid w:val="009E5BB2"/>
    <w:rsid w:val="00A2080D"/>
    <w:rsid w:val="00B16D90"/>
    <w:rsid w:val="00BA6AB7"/>
    <w:rsid w:val="00CF4C6F"/>
    <w:rsid w:val="00E93824"/>
    <w:rsid w:val="00EA60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78A0B6"/>
  <w15:chartTrackingRefBased/>
  <w15:docId w15:val="{202EAA54-3A6C-4B10-A394-205A9409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3D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3D69"/>
    <w:pPr>
      <w:tabs>
        <w:tab w:val="center" w:pos="4153"/>
        <w:tab w:val="right" w:pos="8306"/>
      </w:tabs>
    </w:pPr>
  </w:style>
  <w:style w:type="character" w:customStyle="1" w:styleId="a4">
    <w:name w:val="כותרת עליונה תו"/>
    <w:link w:val="a3"/>
    <w:rsid w:val="00563D69"/>
    <w:rPr>
      <w:rFonts w:ascii="Times New Roman" w:eastAsia="Times New Roman" w:hAnsi="Times New Roman" w:cs="David"/>
      <w:sz w:val="24"/>
      <w:szCs w:val="24"/>
    </w:rPr>
  </w:style>
  <w:style w:type="paragraph" w:styleId="a5">
    <w:name w:val="footer"/>
    <w:basedOn w:val="a"/>
    <w:link w:val="a6"/>
    <w:rsid w:val="00563D69"/>
    <w:pPr>
      <w:tabs>
        <w:tab w:val="center" w:pos="4153"/>
        <w:tab w:val="right" w:pos="8306"/>
      </w:tabs>
    </w:pPr>
  </w:style>
  <w:style w:type="character" w:customStyle="1" w:styleId="a6">
    <w:name w:val="כותרת תחתונה תו"/>
    <w:link w:val="a5"/>
    <w:rsid w:val="00563D69"/>
    <w:rPr>
      <w:rFonts w:ascii="Times New Roman" w:eastAsia="Times New Roman" w:hAnsi="Times New Roman" w:cs="David"/>
      <w:sz w:val="24"/>
      <w:szCs w:val="24"/>
    </w:rPr>
  </w:style>
  <w:style w:type="table" w:styleId="a7">
    <w:name w:val="Table Grid"/>
    <w:basedOn w:val="a1"/>
    <w:rsid w:val="00563D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3D69"/>
  </w:style>
  <w:style w:type="paragraph" w:styleId="a9">
    <w:name w:val="List Paragraph"/>
    <w:basedOn w:val="a"/>
    <w:qFormat/>
    <w:rsid w:val="00563D69"/>
    <w:pPr>
      <w:ind w:left="720"/>
      <w:contextualSpacing/>
    </w:pPr>
  </w:style>
  <w:style w:type="character" w:styleId="Hyperlink">
    <w:name w:val="Hyperlink"/>
    <w:rsid w:val="00202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7978777" TargetMode="External"/><Relationship Id="rId39" Type="http://schemas.openxmlformats.org/officeDocument/2006/relationships/footer" Target="footer2.xml"/><Relationship Id="rId21" Type="http://schemas.openxmlformats.org/officeDocument/2006/relationships/hyperlink" Target="http://www.nevo.co.il/case/23827604"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5726579" TargetMode="External"/><Relationship Id="rId29" Type="http://schemas.openxmlformats.org/officeDocument/2006/relationships/hyperlink" Target="http://www.nevo.co.il/case/2285699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5787128"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5681787" TargetMode="External"/><Relationship Id="rId28" Type="http://schemas.openxmlformats.org/officeDocument/2006/relationships/hyperlink" Target="http://www.nevo.co.il/case/11213700" TargetMode="External"/><Relationship Id="rId36"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case/5786821" TargetMode="External"/><Relationship Id="rId31" Type="http://schemas.openxmlformats.org/officeDocument/2006/relationships/hyperlink" Target="http://www.nevo.co.il/law/70301/40j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5973238" TargetMode="External"/><Relationship Id="rId27" Type="http://schemas.openxmlformats.org/officeDocument/2006/relationships/hyperlink" Target="http://www.nevo.co.il/case/3892678"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1477472" TargetMode="External"/><Relationship Id="rId33" Type="http://schemas.openxmlformats.org/officeDocument/2006/relationships/hyperlink" Target="http://www.nevo.co.il/law/421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1924</Words>
  <Characters>9625</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11526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3473530</vt:i4>
      </vt:variant>
      <vt:variant>
        <vt:i4>66</vt:i4>
      </vt:variant>
      <vt:variant>
        <vt:i4>0</vt:i4>
      </vt:variant>
      <vt:variant>
        <vt:i4>5</vt:i4>
      </vt:variant>
      <vt:variant>
        <vt:lpwstr>http://www.nevo.co.il/case/22856999</vt:lpwstr>
      </vt:variant>
      <vt:variant>
        <vt:lpwstr/>
      </vt:variant>
      <vt:variant>
        <vt:i4>3145843</vt:i4>
      </vt:variant>
      <vt:variant>
        <vt:i4>63</vt:i4>
      </vt:variant>
      <vt:variant>
        <vt:i4>0</vt:i4>
      </vt:variant>
      <vt:variant>
        <vt:i4>5</vt:i4>
      </vt:variant>
      <vt:variant>
        <vt:lpwstr>http://www.nevo.co.il/case/11213700</vt:lpwstr>
      </vt:variant>
      <vt:variant>
        <vt:lpwstr/>
      </vt:variant>
      <vt:variant>
        <vt:i4>3407993</vt:i4>
      </vt:variant>
      <vt:variant>
        <vt:i4>60</vt:i4>
      </vt:variant>
      <vt:variant>
        <vt:i4>0</vt:i4>
      </vt:variant>
      <vt:variant>
        <vt:i4>5</vt:i4>
      </vt:variant>
      <vt:variant>
        <vt:lpwstr>http://www.nevo.co.il/case/3892678</vt:lpwstr>
      </vt:variant>
      <vt:variant>
        <vt:lpwstr/>
      </vt:variant>
      <vt:variant>
        <vt:i4>3604595</vt:i4>
      </vt:variant>
      <vt:variant>
        <vt:i4>57</vt:i4>
      </vt:variant>
      <vt:variant>
        <vt:i4>0</vt:i4>
      </vt:variant>
      <vt:variant>
        <vt:i4>5</vt:i4>
      </vt:variant>
      <vt:variant>
        <vt:lpwstr>http://www.nevo.co.il/case/17978777</vt:lpwstr>
      </vt:variant>
      <vt:variant>
        <vt:lpwstr/>
      </vt:variant>
      <vt:variant>
        <vt:i4>3539062</vt:i4>
      </vt:variant>
      <vt:variant>
        <vt:i4>54</vt:i4>
      </vt:variant>
      <vt:variant>
        <vt:i4>0</vt:i4>
      </vt:variant>
      <vt:variant>
        <vt:i4>5</vt:i4>
      </vt:variant>
      <vt:variant>
        <vt:lpwstr>http://www.nevo.co.il/case/21477472</vt:lpwstr>
      </vt:variant>
      <vt:variant>
        <vt:lpwstr/>
      </vt:variant>
      <vt:variant>
        <vt:i4>3407990</vt:i4>
      </vt:variant>
      <vt:variant>
        <vt:i4>51</vt:i4>
      </vt:variant>
      <vt:variant>
        <vt:i4>0</vt:i4>
      </vt:variant>
      <vt:variant>
        <vt:i4>5</vt:i4>
      </vt:variant>
      <vt:variant>
        <vt:lpwstr>http://www.nevo.co.il/case/5787128</vt:lpwstr>
      </vt:variant>
      <vt:variant>
        <vt:lpwstr/>
      </vt:variant>
      <vt:variant>
        <vt:i4>3997819</vt:i4>
      </vt:variant>
      <vt:variant>
        <vt:i4>48</vt:i4>
      </vt:variant>
      <vt:variant>
        <vt:i4>0</vt:i4>
      </vt:variant>
      <vt:variant>
        <vt:i4>5</vt:i4>
      </vt:variant>
      <vt:variant>
        <vt:lpwstr>http://www.nevo.co.il/case/5681787</vt:lpwstr>
      </vt:variant>
      <vt:variant>
        <vt:lpwstr/>
      </vt:variant>
      <vt:variant>
        <vt:i4>3866740</vt:i4>
      </vt:variant>
      <vt:variant>
        <vt:i4>45</vt:i4>
      </vt:variant>
      <vt:variant>
        <vt:i4>0</vt:i4>
      </vt:variant>
      <vt:variant>
        <vt:i4>5</vt:i4>
      </vt:variant>
      <vt:variant>
        <vt:lpwstr>http://www.nevo.co.il/case/25973238</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3866738</vt:i4>
      </vt:variant>
      <vt:variant>
        <vt:i4>39</vt:i4>
      </vt:variant>
      <vt:variant>
        <vt:i4>0</vt:i4>
      </vt:variant>
      <vt:variant>
        <vt:i4>5</vt:i4>
      </vt:variant>
      <vt:variant>
        <vt:lpwstr>http://www.nevo.co.il/case/5726579</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2025-04-23T01:21:00Z</dcterms:created>
  <dcterms:modified xsi:type="dcterms:W3CDTF">2025-04-23T01:21:00Z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49244</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דור אליעזר פטאל</vt:lpwstr>
  </property>
  <property fmtid="{D5CDD505-2E9C-101B-9397-08002B2CF9AE}" pid="10" name="LAWYER">
    <vt:lpwstr>אמיר נבון</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20230918</vt:lpwstr>
  </property>
  <property fmtid="{D5CDD505-2E9C-101B-9397-08002B2CF9AE}" pid="14" name="TYPE_N_DATE">
    <vt:lpwstr>38020230918</vt:lpwstr>
  </property>
  <property fmtid="{D5CDD505-2E9C-101B-9397-08002B2CF9AE}" pid="15" name="WORDNUMPAGES">
    <vt:lpwstr>6</vt:lpwstr>
  </property>
  <property fmtid="{D5CDD505-2E9C-101B-9397-08002B2CF9AE}" pid="16" name="TYPE_ABS_DATE">
    <vt:lpwstr>380020230918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5786821;5726579;23827604;25973238;5681787;5787128;21477472;17978777;3892678;11213700;22856999</vt:lpwstr>
  </property>
  <property fmtid="{D5CDD505-2E9C-101B-9397-08002B2CF9AE}" pid="36" name="LAWLISTTMP1">
    <vt:lpwstr>4216/013;019a;007.a;007.c</vt:lpwstr>
  </property>
  <property fmtid="{D5CDD505-2E9C-101B-9397-08002B2CF9AE}" pid="37" name="LAWLISTTMP2">
    <vt:lpwstr>70301/40jc</vt:lpwstr>
  </property>
</Properties>
</file>