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743"/>
        <w:gridCol w:w="2506"/>
        <w:gridCol w:w="1798"/>
        <w:gridCol w:w="3674"/>
        <w:gridCol w:w="99"/>
      </w:tblGrid>
      <w:tr w:rsidR="00E07A59" w:rsidRPr="000E1AD2" w14:paraId="313586F3" w14:textId="77777777" w:rsidTr="00BF4CBC">
        <w:trPr>
          <w:gridAfter w:val="1"/>
          <w:wAfter w:w="99" w:type="dxa"/>
          <w:trHeight w:hRule="exact" w:val="704"/>
          <w:jc w:val="center"/>
        </w:trPr>
        <w:tc>
          <w:tcPr>
            <w:tcW w:w="8721" w:type="dxa"/>
            <w:gridSpan w:val="4"/>
          </w:tcPr>
          <w:p w14:paraId="5504B8E2" w14:textId="77777777" w:rsidR="00E07A59" w:rsidRPr="000E1AD2" w:rsidRDefault="00E07A59" w:rsidP="004647CE">
            <w:pPr>
              <w:pStyle w:val="a3"/>
              <w:jc w:val="center"/>
              <w:rPr>
                <w:rFonts w:ascii="Tahoma" w:hAnsi="Tahoma" w:cs="Tahoma"/>
                <w:noProof w:val="0"/>
                <w:color w:val="000080"/>
                <w:rtl/>
              </w:rPr>
            </w:pPr>
            <w:bookmarkStart w:id="0" w:name="LastJudge"/>
            <w:r w:rsidRPr="000E1AD2">
              <w:rPr>
                <w:rFonts w:ascii="Tahoma" w:hAnsi="Tahoma" w:cs="Tahoma"/>
                <w:b/>
                <w:bCs/>
                <w:color w:val="000080"/>
                <w:rtl/>
              </w:rPr>
              <w:t>בית משפט השלום בקריית גת</w:t>
            </w:r>
          </w:p>
        </w:tc>
      </w:tr>
      <w:tr w:rsidR="00E07A59" w:rsidRPr="000E1AD2" w14:paraId="088ABB0E" w14:textId="77777777" w:rsidTr="00BF4CBC">
        <w:trPr>
          <w:gridAfter w:val="1"/>
          <w:wAfter w:w="99" w:type="dxa"/>
          <w:trHeight w:val="337"/>
          <w:jc w:val="center"/>
        </w:trPr>
        <w:tc>
          <w:tcPr>
            <w:tcW w:w="5047" w:type="dxa"/>
            <w:gridSpan w:val="3"/>
          </w:tcPr>
          <w:p w14:paraId="6D86F1BD" w14:textId="77777777" w:rsidR="00E07A59" w:rsidRPr="000E1AD2" w:rsidRDefault="00E07A59" w:rsidP="004647CE">
            <w:pPr>
              <w:rPr>
                <w:b/>
                <w:bCs/>
                <w:noProof w:val="0"/>
                <w:sz w:val="26"/>
                <w:szCs w:val="26"/>
                <w:rtl/>
              </w:rPr>
            </w:pPr>
          </w:p>
        </w:tc>
        <w:tc>
          <w:tcPr>
            <w:tcW w:w="3674" w:type="dxa"/>
          </w:tcPr>
          <w:p w14:paraId="6CF4DB37" w14:textId="77777777" w:rsidR="00E07A59" w:rsidRPr="000E1AD2" w:rsidRDefault="00E07A59" w:rsidP="004647CE">
            <w:pPr>
              <w:pStyle w:val="a3"/>
              <w:rPr>
                <w:b/>
                <w:bCs/>
                <w:noProof w:val="0"/>
                <w:sz w:val="26"/>
                <w:szCs w:val="26"/>
                <w:rtl/>
              </w:rPr>
            </w:pPr>
            <w:r w:rsidRPr="000E1AD2">
              <w:rPr>
                <w:rFonts w:hint="cs"/>
                <w:b/>
                <w:bCs/>
                <w:noProof w:val="0"/>
                <w:sz w:val="26"/>
                <w:szCs w:val="26"/>
                <w:rtl/>
              </w:rPr>
              <w:t>26/2/2025</w:t>
            </w:r>
          </w:p>
        </w:tc>
      </w:tr>
      <w:tr w:rsidR="00E07A59" w:rsidRPr="000E1AD2" w14:paraId="2F720587" w14:textId="77777777" w:rsidTr="00BF4CBC">
        <w:trPr>
          <w:gridAfter w:val="1"/>
          <w:wAfter w:w="99" w:type="dxa"/>
          <w:trHeight w:val="337"/>
          <w:jc w:val="center"/>
        </w:trPr>
        <w:tc>
          <w:tcPr>
            <w:tcW w:w="8721" w:type="dxa"/>
            <w:gridSpan w:val="4"/>
          </w:tcPr>
          <w:p w14:paraId="4D36B51E" w14:textId="77777777" w:rsidR="00E07A59" w:rsidRPr="000E1AD2" w:rsidRDefault="00E07A59" w:rsidP="004647CE">
            <w:pPr>
              <w:rPr>
                <w:b/>
                <w:bCs/>
                <w:noProof w:val="0"/>
                <w:sz w:val="26"/>
                <w:szCs w:val="26"/>
                <w:rtl/>
              </w:rPr>
            </w:pPr>
            <w:r w:rsidRPr="000E1AD2">
              <w:rPr>
                <w:b/>
                <w:bCs/>
                <w:noProof w:val="0"/>
                <w:sz w:val="26"/>
                <w:szCs w:val="26"/>
                <w:rtl/>
              </w:rPr>
              <w:t>ת"פ 66889-01-22 מדינת ישראל נ' שנייר</w:t>
            </w:r>
          </w:p>
          <w:p w14:paraId="46CF201B" w14:textId="77777777" w:rsidR="00E07A59" w:rsidRPr="000E1AD2" w:rsidRDefault="00E07A59" w:rsidP="004647CE">
            <w:pPr>
              <w:rPr>
                <w:b/>
                <w:bCs/>
                <w:noProof w:val="0"/>
                <w:sz w:val="2"/>
                <w:szCs w:val="2"/>
                <w:rtl/>
              </w:rPr>
            </w:pPr>
          </w:p>
          <w:p w14:paraId="130F8E58" w14:textId="77777777" w:rsidR="00E07A59" w:rsidRPr="000E1AD2" w:rsidRDefault="00E07A59" w:rsidP="004647CE">
            <w:pPr>
              <w:rPr>
                <w:sz w:val="20"/>
                <w:szCs w:val="20"/>
                <w:rtl/>
              </w:rPr>
            </w:pPr>
            <w:r w:rsidRPr="000E1AD2">
              <w:rPr>
                <w:rFonts w:hint="cs"/>
                <w:rtl/>
              </w:rPr>
              <w:t xml:space="preserve">                           </w:t>
            </w:r>
            <w:r w:rsidRPr="000E1AD2">
              <w:rPr>
                <w:rFonts w:hint="cs"/>
                <w:sz w:val="20"/>
                <w:szCs w:val="20"/>
                <w:rtl/>
              </w:rPr>
              <w:t xml:space="preserve">                                       </w:t>
            </w:r>
          </w:p>
          <w:p w14:paraId="56D473F9" w14:textId="77777777" w:rsidR="00E07A59" w:rsidRPr="000E1AD2" w:rsidRDefault="00E07A59" w:rsidP="004647CE">
            <w:pPr>
              <w:rPr>
                <w:sz w:val="20"/>
                <w:szCs w:val="20"/>
                <w:rtl/>
              </w:rPr>
            </w:pPr>
            <w:r w:rsidRPr="000E1AD2">
              <w:rPr>
                <w:rFonts w:hint="cs"/>
                <w:sz w:val="20"/>
                <w:szCs w:val="20"/>
                <w:rtl/>
              </w:rPr>
              <w:t xml:space="preserve">תיק חיצוני: </w:t>
            </w:r>
            <w:r w:rsidRPr="000E1AD2">
              <w:rPr>
                <w:rFonts w:hint="eastAsia"/>
                <w:sz w:val="20"/>
                <w:szCs w:val="20"/>
              </w:rPr>
              <w:t>379853/2021</w:t>
            </w:r>
            <w:r w:rsidRPr="000E1AD2">
              <w:rPr>
                <w:rFonts w:hint="cs"/>
                <w:sz w:val="20"/>
                <w:szCs w:val="20"/>
                <w:rtl/>
              </w:rPr>
              <w:t xml:space="preserve"> </w:t>
            </w:r>
            <w:r w:rsidRPr="000E1AD2">
              <w:rPr>
                <w:sz w:val="20"/>
                <w:szCs w:val="20"/>
                <w:rtl/>
              </w:rPr>
              <w:t xml:space="preserve">  </w:t>
            </w:r>
          </w:p>
        </w:tc>
      </w:tr>
      <w:tr w:rsidR="00E07A59" w:rsidRPr="000E1AD2" w14:paraId="340AE8D5" w14:textId="77777777" w:rsidTr="00BF4CBC">
        <w:tblPrEx>
          <w:tblLook w:val="01E0" w:firstRow="1" w:lastRow="1" w:firstColumn="1" w:lastColumn="1" w:noHBand="0" w:noVBand="0"/>
        </w:tblPrEx>
        <w:trPr>
          <w:jc w:val="center"/>
        </w:trPr>
        <w:tc>
          <w:tcPr>
            <w:tcW w:w="743" w:type="dxa"/>
            <w:shd w:val="clear" w:color="auto" w:fill="auto"/>
          </w:tcPr>
          <w:p w14:paraId="444ADF5D" w14:textId="77777777" w:rsidR="00E07A59" w:rsidRPr="000E1AD2" w:rsidRDefault="00E07A59" w:rsidP="00E07A59">
            <w:pPr>
              <w:spacing w:line="360" w:lineRule="auto"/>
              <w:jc w:val="both"/>
              <w:rPr>
                <w:rFonts w:ascii="David" w:hAnsi="David"/>
                <w:b/>
                <w:bCs/>
                <w:rtl/>
              </w:rPr>
            </w:pPr>
            <w:r w:rsidRPr="000E1AD2">
              <w:rPr>
                <w:noProof w:val="0"/>
                <w:rtl/>
              </w:rPr>
              <w:t xml:space="preserve"> </w:t>
            </w:r>
            <w:r w:rsidRPr="000E1AD2">
              <w:rPr>
                <w:rFonts w:ascii="David" w:hAnsi="David"/>
                <w:b/>
                <w:bCs/>
                <w:rtl/>
              </w:rPr>
              <w:t xml:space="preserve">לפני </w:t>
            </w:r>
          </w:p>
        </w:tc>
        <w:tc>
          <w:tcPr>
            <w:tcW w:w="8077" w:type="dxa"/>
            <w:gridSpan w:val="4"/>
            <w:shd w:val="clear" w:color="auto" w:fill="auto"/>
          </w:tcPr>
          <w:p w14:paraId="0767CC07" w14:textId="77777777" w:rsidR="00E07A59" w:rsidRPr="000E1AD2" w:rsidRDefault="00E07A59" w:rsidP="00E07A59">
            <w:pPr>
              <w:spacing w:line="360" w:lineRule="auto"/>
              <w:jc w:val="both"/>
              <w:rPr>
                <w:rFonts w:ascii="David" w:hAnsi="David"/>
                <w:sz w:val="28"/>
                <w:szCs w:val="28"/>
              </w:rPr>
            </w:pPr>
            <w:r w:rsidRPr="000E1AD2">
              <w:rPr>
                <w:rFonts w:ascii="David" w:hAnsi="David"/>
                <w:b/>
                <w:bCs/>
                <w:rtl/>
              </w:rPr>
              <w:t>כב' השופטת הבכירה, נגה שמואלי מאייר</w:t>
            </w:r>
          </w:p>
        </w:tc>
      </w:tr>
      <w:tr w:rsidR="00E07A59" w:rsidRPr="000E1AD2" w14:paraId="6447CDE0" w14:textId="77777777" w:rsidTr="00BF4CBC">
        <w:tblPrEx>
          <w:tblLook w:val="01E0" w:firstRow="1" w:lastRow="1" w:firstColumn="1" w:lastColumn="1" w:noHBand="0" w:noVBand="0"/>
        </w:tblPrEx>
        <w:trPr>
          <w:jc w:val="center"/>
        </w:trPr>
        <w:tc>
          <w:tcPr>
            <w:tcW w:w="3249" w:type="dxa"/>
            <w:gridSpan w:val="2"/>
            <w:shd w:val="clear" w:color="auto" w:fill="auto"/>
          </w:tcPr>
          <w:p w14:paraId="21930760" w14:textId="77777777" w:rsidR="00E07A59" w:rsidRPr="000E1AD2" w:rsidRDefault="00E07A59" w:rsidP="00E07A59">
            <w:pPr>
              <w:spacing w:line="360" w:lineRule="auto"/>
              <w:rPr>
                <w:rFonts w:ascii="David" w:hAnsi="David"/>
                <w:b/>
                <w:bCs/>
                <w:noProof w:val="0"/>
                <w:sz w:val="26"/>
                <w:szCs w:val="26"/>
                <w:rtl/>
              </w:rPr>
            </w:pPr>
            <w:bookmarkStart w:id="1" w:name="FirstAppellant"/>
            <w:bookmarkStart w:id="2" w:name="FirstLawyer"/>
            <w:r w:rsidRPr="000E1AD2">
              <w:rPr>
                <w:rFonts w:ascii="David" w:hAnsi="David"/>
                <w:b/>
                <w:bCs/>
                <w:noProof w:val="0"/>
                <w:sz w:val="26"/>
                <w:szCs w:val="26"/>
                <w:rtl/>
              </w:rPr>
              <w:t>המאשימה</w:t>
            </w:r>
          </w:p>
        </w:tc>
        <w:tc>
          <w:tcPr>
            <w:tcW w:w="5571" w:type="dxa"/>
            <w:gridSpan w:val="3"/>
            <w:shd w:val="clear" w:color="auto" w:fill="auto"/>
          </w:tcPr>
          <w:p w14:paraId="208EB91B" w14:textId="77777777" w:rsidR="00E07A59" w:rsidRPr="000E1AD2" w:rsidRDefault="00E07A59" w:rsidP="00E07A59">
            <w:pPr>
              <w:spacing w:line="360" w:lineRule="auto"/>
              <w:rPr>
                <w:rFonts w:ascii="David" w:hAnsi="David"/>
                <w:b/>
                <w:bCs/>
                <w:noProof w:val="0"/>
                <w:sz w:val="26"/>
                <w:szCs w:val="26"/>
                <w:rtl/>
              </w:rPr>
            </w:pPr>
            <w:r w:rsidRPr="000E1AD2">
              <w:rPr>
                <w:rFonts w:ascii="David" w:hAnsi="David"/>
                <w:b/>
                <w:bCs/>
                <w:noProof w:val="0"/>
                <w:sz w:val="26"/>
                <w:szCs w:val="26"/>
                <w:rtl/>
              </w:rPr>
              <w:t>מדינת ישראל</w:t>
            </w:r>
          </w:p>
          <w:p w14:paraId="1E600260" w14:textId="77777777" w:rsidR="00E07A59" w:rsidRPr="000E1AD2" w:rsidRDefault="00E07A59" w:rsidP="00E07A59">
            <w:pPr>
              <w:spacing w:line="360" w:lineRule="auto"/>
              <w:rPr>
                <w:rFonts w:ascii="David" w:hAnsi="David"/>
                <w:b/>
                <w:bCs/>
                <w:noProof w:val="0"/>
                <w:sz w:val="26"/>
                <w:szCs w:val="26"/>
              </w:rPr>
            </w:pPr>
            <w:r w:rsidRPr="000E1AD2">
              <w:rPr>
                <w:rFonts w:ascii="David" w:hAnsi="David"/>
                <w:b/>
                <w:bCs/>
                <w:noProof w:val="0"/>
                <w:sz w:val="26"/>
                <w:szCs w:val="26"/>
                <w:rtl/>
              </w:rPr>
              <w:t xml:space="preserve">ע"י ב"כ עוה"ד הדס טוביה – נוכחת </w:t>
            </w:r>
          </w:p>
        </w:tc>
      </w:tr>
      <w:bookmarkEnd w:id="1"/>
      <w:bookmarkEnd w:id="2"/>
      <w:tr w:rsidR="00E07A59" w:rsidRPr="000E1AD2" w14:paraId="314DDB00" w14:textId="77777777" w:rsidTr="00BF4CBC">
        <w:tblPrEx>
          <w:tblLook w:val="01E0" w:firstRow="1" w:lastRow="1" w:firstColumn="1" w:lastColumn="1" w:noHBand="0" w:noVBand="0"/>
        </w:tblPrEx>
        <w:trPr>
          <w:jc w:val="center"/>
        </w:trPr>
        <w:tc>
          <w:tcPr>
            <w:tcW w:w="8820" w:type="dxa"/>
            <w:gridSpan w:val="5"/>
            <w:shd w:val="clear" w:color="auto" w:fill="auto"/>
          </w:tcPr>
          <w:p w14:paraId="31B202A3" w14:textId="77777777" w:rsidR="00E07A59" w:rsidRPr="000E1AD2" w:rsidRDefault="00E07A59" w:rsidP="00E07A59">
            <w:pPr>
              <w:spacing w:line="360" w:lineRule="auto"/>
              <w:rPr>
                <w:rFonts w:ascii="David" w:hAnsi="David"/>
                <w:b/>
                <w:bCs/>
                <w:noProof w:val="0"/>
                <w:sz w:val="26"/>
                <w:szCs w:val="26"/>
                <w:rtl/>
              </w:rPr>
            </w:pPr>
          </w:p>
          <w:p w14:paraId="151BEF26" w14:textId="77777777" w:rsidR="00E07A59" w:rsidRPr="000E1AD2" w:rsidRDefault="00E07A59" w:rsidP="00E07A59">
            <w:pPr>
              <w:spacing w:line="360" w:lineRule="auto"/>
              <w:jc w:val="center"/>
              <w:rPr>
                <w:rFonts w:ascii="David" w:hAnsi="David"/>
                <w:b/>
                <w:bCs/>
                <w:noProof w:val="0"/>
                <w:sz w:val="26"/>
                <w:szCs w:val="26"/>
                <w:rtl/>
              </w:rPr>
            </w:pPr>
            <w:r w:rsidRPr="000E1AD2">
              <w:rPr>
                <w:rFonts w:ascii="David" w:hAnsi="David"/>
                <w:b/>
                <w:bCs/>
                <w:noProof w:val="0"/>
                <w:sz w:val="26"/>
                <w:szCs w:val="26"/>
                <w:rtl/>
              </w:rPr>
              <w:t>נ ג ד</w:t>
            </w:r>
          </w:p>
          <w:p w14:paraId="6BB246AA" w14:textId="77777777" w:rsidR="00E07A59" w:rsidRPr="000E1AD2" w:rsidRDefault="00E07A59" w:rsidP="00E07A59">
            <w:pPr>
              <w:spacing w:line="360" w:lineRule="auto"/>
              <w:rPr>
                <w:rFonts w:ascii="David" w:hAnsi="David"/>
                <w:b/>
                <w:bCs/>
                <w:noProof w:val="0"/>
                <w:sz w:val="26"/>
                <w:szCs w:val="26"/>
              </w:rPr>
            </w:pPr>
          </w:p>
        </w:tc>
      </w:tr>
      <w:tr w:rsidR="00E07A59" w:rsidRPr="000E1AD2" w14:paraId="03A7941D" w14:textId="77777777" w:rsidTr="00BF4CBC">
        <w:tblPrEx>
          <w:tblLook w:val="01E0" w:firstRow="1" w:lastRow="1" w:firstColumn="1" w:lastColumn="1" w:noHBand="0" w:noVBand="0"/>
        </w:tblPrEx>
        <w:trPr>
          <w:jc w:val="center"/>
        </w:trPr>
        <w:tc>
          <w:tcPr>
            <w:tcW w:w="3249" w:type="dxa"/>
            <w:gridSpan w:val="2"/>
            <w:shd w:val="clear" w:color="auto" w:fill="auto"/>
          </w:tcPr>
          <w:p w14:paraId="12D75091" w14:textId="77777777" w:rsidR="00E07A59" w:rsidRPr="000E1AD2" w:rsidRDefault="00E07A59" w:rsidP="00E07A59">
            <w:pPr>
              <w:spacing w:line="360" w:lineRule="auto"/>
              <w:rPr>
                <w:rFonts w:ascii="David" w:hAnsi="David"/>
                <w:b/>
                <w:bCs/>
                <w:noProof w:val="0"/>
                <w:sz w:val="26"/>
                <w:szCs w:val="26"/>
              </w:rPr>
            </w:pPr>
            <w:r w:rsidRPr="000E1AD2">
              <w:rPr>
                <w:rFonts w:ascii="David" w:hAnsi="David"/>
                <w:b/>
                <w:bCs/>
                <w:noProof w:val="0"/>
                <w:sz w:val="26"/>
                <w:szCs w:val="26"/>
                <w:rtl/>
              </w:rPr>
              <w:t>הנאשם</w:t>
            </w:r>
          </w:p>
        </w:tc>
        <w:tc>
          <w:tcPr>
            <w:tcW w:w="5571" w:type="dxa"/>
            <w:gridSpan w:val="3"/>
            <w:shd w:val="clear" w:color="auto" w:fill="auto"/>
          </w:tcPr>
          <w:p w14:paraId="693A7BAD" w14:textId="77777777" w:rsidR="00E07A59" w:rsidRPr="000E1AD2" w:rsidRDefault="00E07A59" w:rsidP="00E07A59">
            <w:pPr>
              <w:spacing w:line="360" w:lineRule="auto"/>
              <w:rPr>
                <w:rFonts w:ascii="David" w:hAnsi="David"/>
                <w:b/>
                <w:bCs/>
                <w:noProof w:val="0"/>
                <w:sz w:val="26"/>
                <w:szCs w:val="26"/>
                <w:rtl/>
              </w:rPr>
            </w:pPr>
            <w:r w:rsidRPr="000E1AD2">
              <w:rPr>
                <w:rFonts w:ascii="David" w:hAnsi="David"/>
                <w:b/>
                <w:bCs/>
                <w:noProof w:val="0"/>
                <w:sz w:val="26"/>
                <w:szCs w:val="26"/>
                <w:rtl/>
              </w:rPr>
              <w:t xml:space="preserve">דוד שנייר – נוכח </w:t>
            </w:r>
            <w:r w:rsidRPr="000E1AD2">
              <w:rPr>
                <w:rFonts w:ascii="David" w:hAnsi="David"/>
                <w:b/>
                <w:bCs/>
                <w:noProof w:val="0"/>
                <w:sz w:val="26"/>
                <w:szCs w:val="26"/>
                <w:rtl/>
              </w:rPr>
              <w:br/>
            </w:r>
            <w:r w:rsidRPr="000E1AD2">
              <w:rPr>
                <w:rFonts w:ascii="David" w:hAnsi="David"/>
                <w:b/>
                <w:bCs/>
                <w:rtl/>
              </w:rPr>
              <w:t xml:space="preserve">ע"י ב"כ עוה"ד יונת בן חיים – נוכחת  </w:t>
            </w:r>
          </w:p>
        </w:tc>
      </w:tr>
    </w:tbl>
    <w:p w14:paraId="4EE9BE1A" w14:textId="77777777" w:rsidR="00BF4CBC" w:rsidRPr="00BF4CBC" w:rsidRDefault="00BF4CBC" w:rsidP="00BF4CBC">
      <w:pPr>
        <w:suppressLineNumbers/>
        <w:spacing w:before="120" w:after="120" w:line="240" w:lineRule="exact"/>
        <w:ind w:left="283" w:hanging="283"/>
        <w:jc w:val="both"/>
        <w:rPr>
          <w:rFonts w:ascii="FrankRuehl" w:hAnsi="FrankRuehl" w:cs="FrankRuehl"/>
          <w:rtl/>
        </w:rPr>
      </w:pPr>
      <w:bookmarkStart w:id="3" w:name="LawTable"/>
      <w:bookmarkEnd w:id="3"/>
    </w:p>
    <w:p w14:paraId="782ED3AB" w14:textId="77777777" w:rsidR="00BF4CBC" w:rsidRPr="00BF4CBC" w:rsidRDefault="00BF4CBC" w:rsidP="00BF4CBC">
      <w:pPr>
        <w:suppressLineNumbers/>
        <w:spacing w:before="120" w:after="120" w:line="240" w:lineRule="exact"/>
        <w:ind w:left="283" w:hanging="283"/>
        <w:jc w:val="both"/>
        <w:rPr>
          <w:rFonts w:ascii="FrankRuehl" w:hAnsi="FrankRuehl" w:cs="FrankRuehl"/>
          <w:rtl/>
        </w:rPr>
      </w:pPr>
      <w:r w:rsidRPr="00BF4CBC">
        <w:rPr>
          <w:rFonts w:ascii="FrankRuehl" w:hAnsi="FrankRuehl" w:cs="FrankRuehl"/>
          <w:rtl/>
        </w:rPr>
        <w:t xml:space="preserve">חקיקה שאוזכרה: </w:t>
      </w:r>
    </w:p>
    <w:p w14:paraId="377B3A5D" w14:textId="77777777" w:rsidR="00BF4CBC" w:rsidRPr="00BF4CBC" w:rsidRDefault="00BF4CBC" w:rsidP="00BF4CBC">
      <w:pPr>
        <w:suppressLineNumbers/>
        <w:spacing w:before="120" w:after="120" w:line="240" w:lineRule="exact"/>
        <w:ind w:left="283" w:hanging="283"/>
        <w:jc w:val="both"/>
        <w:rPr>
          <w:rFonts w:ascii="FrankRuehl" w:hAnsi="FrankRuehl" w:cs="FrankRuehl"/>
          <w:color w:val="0000FF"/>
          <w:rtl/>
        </w:rPr>
      </w:pPr>
      <w:hyperlink r:id="rId7" w:history="1">
        <w:r w:rsidRPr="00BF4CBC">
          <w:rPr>
            <w:rStyle w:val="Hyperlink"/>
            <w:rFonts w:ascii="FrankRuehl" w:hAnsi="FrankRuehl" w:cs="FrankRuehl"/>
            <w:u w:val="none"/>
            <w:rtl/>
          </w:rPr>
          <w:t>פקודת הסמים המסוכנים [נוסח חדש], תשל"ג-1973</w:t>
        </w:r>
      </w:hyperlink>
      <w:r w:rsidRPr="00BF4CBC">
        <w:rPr>
          <w:rFonts w:ascii="FrankRuehl" w:hAnsi="FrankRuehl" w:cs="FrankRuehl"/>
          <w:color w:val="0000FF"/>
          <w:rtl/>
        </w:rPr>
        <w:t xml:space="preserve">: סע'  </w:t>
      </w:r>
      <w:hyperlink r:id="rId8" w:history="1">
        <w:r w:rsidRPr="00BF4CBC">
          <w:rPr>
            <w:rStyle w:val="Hyperlink"/>
            <w:rFonts w:ascii="FrankRuehl" w:hAnsi="FrankRuehl" w:cs="FrankRuehl"/>
            <w:u w:val="none"/>
          </w:rPr>
          <w:t>7.</w:t>
        </w:r>
        <w:r w:rsidRPr="00BF4CBC">
          <w:rPr>
            <w:rStyle w:val="Hyperlink"/>
            <w:rFonts w:ascii="FrankRuehl" w:hAnsi="FrankRuehl" w:cs="FrankRuehl"/>
            <w:u w:val="none"/>
            <w:rtl/>
          </w:rPr>
          <w:t>א</w:t>
        </w:r>
        <w:r w:rsidRPr="00BF4CBC">
          <w:rPr>
            <w:rStyle w:val="Hyperlink"/>
            <w:rFonts w:ascii="FrankRuehl" w:hAnsi="FrankRuehl" w:cs="FrankRuehl"/>
            <w:u w:val="none"/>
          </w:rPr>
          <w:t>.</w:t>
        </w:r>
      </w:hyperlink>
      <w:r w:rsidRPr="00BF4CBC">
        <w:rPr>
          <w:rFonts w:ascii="FrankRuehl" w:hAnsi="FrankRuehl" w:cs="FrankRuehl"/>
          <w:color w:val="0000FF"/>
          <w:rtl/>
        </w:rPr>
        <w:t xml:space="preserve">, </w:t>
      </w:r>
      <w:hyperlink r:id="rId9" w:history="1">
        <w:r w:rsidRPr="00BF4CBC">
          <w:rPr>
            <w:rStyle w:val="Hyperlink"/>
            <w:rFonts w:ascii="FrankRuehl" w:hAnsi="FrankRuehl" w:cs="FrankRuehl"/>
            <w:u w:val="none"/>
          </w:rPr>
          <w:t>7.</w:t>
        </w:r>
        <w:r w:rsidRPr="00BF4CBC">
          <w:rPr>
            <w:rStyle w:val="Hyperlink"/>
            <w:rFonts w:ascii="FrankRuehl" w:hAnsi="FrankRuehl" w:cs="FrankRuehl"/>
            <w:u w:val="none"/>
            <w:rtl/>
          </w:rPr>
          <w:t>ג</w:t>
        </w:r>
      </w:hyperlink>
    </w:p>
    <w:p w14:paraId="0D7AC35A" w14:textId="77777777" w:rsidR="00BF4CBC" w:rsidRPr="00BF4CBC" w:rsidRDefault="00BF4CBC" w:rsidP="00BF4CBC">
      <w:pPr>
        <w:suppressLineNumbers/>
        <w:spacing w:before="120" w:after="120" w:line="240" w:lineRule="exact"/>
        <w:ind w:left="283" w:hanging="283"/>
        <w:jc w:val="both"/>
        <w:rPr>
          <w:rFonts w:ascii="FrankRuehl" w:hAnsi="FrankRuehl" w:cs="FrankRuehl"/>
          <w:color w:val="0000FF"/>
          <w:rtl/>
        </w:rPr>
      </w:pPr>
      <w:hyperlink r:id="rId10" w:history="1">
        <w:r w:rsidRPr="00BF4CBC">
          <w:rPr>
            <w:rStyle w:val="Hyperlink"/>
            <w:rFonts w:ascii="FrankRuehl" w:hAnsi="FrankRuehl" w:cs="FrankRuehl"/>
            <w:u w:val="none"/>
            <w:rtl/>
          </w:rPr>
          <w:t>חוק העונשין, תשל"ז-1977</w:t>
        </w:r>
      </w:hyperlink>
      <w:r w:rsidRPr="00BF4CBC">
        <w:rPr>
          <w:rFonts w:ascii="FrankRuehl" w:hAnsi="FrankRuehl" w:cs="FrankRuehl"/>
          <w:color w:val="0000FF"/>
          <w:rtl/>
        </w:rPr>
        <w:t xml:space="preserve">: סע'  </w:t>
      </w:r>
      <w:hyperlink r:id="rId11" w:history="1">
        <w:r w:rsidRPr="00BF4CBC">
          <w:rPr>
            <w:rStyle w:val="Hyperlink"/>
            <w:rFonts w:ascii="FrankRuehl" w:hAnsi="FrankRuehl" w:cs="FrankRuehl"/>
            <w:u w:val="none"/>
          </w:rPr>
          <w:t>40</w:t>
        </w:r>
        <w:r w:rsidRPr="00BF4CBC">
          <w:rPr>
            <w:rStyle w:val="Hyperlink"/>
            <w:rFonts w:ascii="FrankRuehl" w:hAnsi="FrankRuehl" w:cs="FrankRuehl"/>
            <w:u w:val="none"/>
            <w:rtl/>
          </w:rPr>
          <w:t>ג</w:t>
        </w:r>
      </w:hyperlink>
      <w:r w:rsidRPr="00BF4CBC">
        <w:rPr>
          <w:rFonts w:ascii="FrankRuehl" w:hAnsi="FrankRuehl" w:cs="FrankRuehl"/>
          <w:color w:val="0000FF"/>
          <w:rtl/>
        </w:rPr>
        <w:t xml:space="preserve">(א), </w:t>
      </w:r>
      <w:hyperlink r:id="rId12" w:history="1">
        <w:r w:rsidRPr="00BF4CBC">
          <w:rPr>
            <w:rStyle w:val="Hyperlink"/>
            <w:rFonts w:ascii="FrankRuehl" w:hAnsi="FrankRuehl" w:cs="FrankRuehl"/>
            <w:u w:val="none"/>
          </w:rPr>
          <w:t>40</w:t>
        </w:r>
        <w:r w:rsidRPr="00BF4CBC">
          <w:rPr>
            <w:rStyle w:val="Hyperlink"/>
            <w:rFonts w:ascii="FrankRuehl" w:hAnsi="FrankRuehl" w:cs="FrankRuehl"/>
            <w:u w:val="none"/>
            <w:rtl/>
          </w:rPr>
          <w:t>ד</w:t>
        </w:r>
      </w:hyperlink>
      <w:r w:rsidRPr="00BF4CBC">
        <w:rPr>
          <w:rFonts w:ascii="FrankRuehl" w:hAnsi="FrankRuehl" w:cs="FrankRuehl"/>
          <w:color w:val="0000FF"/>
          <w:rtl/>
        </w:rPr>
        <w:t xml:space="preserve">(א), </w:t>
      </w:r>
      <w:hyperlink r:id="rId13" w:history="1">
        <w:r w:rsidRPr="00BF4CBC">
          <w:rPr>
            <w:rStyle w:val="Hyperlink"/>
            <w:rFonts w:ascii="FrankRuehl" w:hAnsi="FrankRuehl" w:cs="FrankRuehl"/>
            <w:u w:val="none"/>
          </w:rPr>
          <w:t>40</w:t>
        </w:r>
        <w:r w:rsidRPr="00BF4CBC">
          <w:rPr>
            <w:rStyle w:val="Hyperlink"/>
            <w:rFonts w:ascii="FrankRuehl" w:hAnsi="FrankRuehl" w:cs="FrankRuehl"/>
            <w:u w:val="none"/>
            <w:rtl/>
          </w:rPr>
          <w:t>יא</w:t>
        </w:r>
      </w:hyperlink>
    </w:p>
    <w:p w14:paraId="39A504B3" w14:textId="77777777" w:rsidR="00E07A59" w:rsidRPr="00BF4CBC" w:rsidRDefault="00E07A59" w:rsidP="00BF4CBC">
      <w:pPr>
        <w:suppressLineNumbers/>
        <w:spacing w:line="360" w:lineRule="auto"/>
        <w:rPr>
          <w:rFonts w:ascii="David" w:hAnsi="David"/>
        </w:rPr>
      </w:pPr>
      <w:bookmarkStart w:id="4" w:name="LawTable_End"/>
      <w:bookmarkEnd w:id="4"/>
    </w:p>
    <w:tbl>
      <w:tblPr>
        <w:bidiVisual/>
        <w:tblW w:w="8820" w:type="dxa"/>
        <w:jc w:val="center"/>
        <w:tblLook w:val="01E0" w:firstRow="1" w:lastRow="1" w:firstColumn="1" w:lastColumn="1" w:noHBand="0" w:noVBand="0"/>
      </w:tblPr>
      <w:tblGrid>
        <w:gridCol w:w="8820"/>
      </w:tblGrid>
      <w:tr w:rsidR="00E07A59" w:rsidRPr="001F1754" w14:paraId="706E68C4" w14:textId="77777777" w:rsidTr="00E07A59">
        <w:trPr>
          <w:jc w:val="center"/>
        </w:trPr>
        <w:tc>
          <w:tcPr>
            <w:tcW w:w="8820" w:type="dxa"/>
            <w:shd w:val="clear" w:color="auto" w:fill="auto"/>
          </w:tcPr>
          <w:p w14:paraId="0AB218ED" w14:textId="77777777" w:rsidR="000E1AD2" w:rsidRPr="000E1AD2" w:rsidRDefault="000E1AD2" w:rsidP="000E1AD2">
            <w:pPr>
              <w:bidi w:val="0"/>
              <w:spacing w:line="360" w:lineRule="auto"/>
              <w:jc w:val="center"/>
              <w:rPr>
                <w:rFonts w:ascii="David" w:hAnsi="David"/>
                <w:b/>
                <w:bCs/>
                <w:noProof w:val="0"/>
                <w:sz w:val="32"/>
                <w:szCs w:val="32"/>
                <w:u w:val="single"/>
              </w:rPr>
            </w:pPr>
            <w:bookmarkStart w:id="5" w:name="PsakDin" w:colFirst="0" w:colLast="0"/>
            <w:bookmarkEnd w:id="0"/>
            <w:r w:rsidRPr="000E1AD2">
              <w:rPr>
                <w:rFonts w:ascii="David" w:hAnsi="David"/>
                <w:b/>
                <w:bCs/>
                <w:noProof w:val="0"/>
                <w:sz w:val="32"/>
                <w:szCs w:val="32"/>
                <w:u w:val="single"/>
                <w:rtl/>
              </w:rPr>
              <w:t>גזר דין</w:t>
            </w:r>
          </w:p>
          <w:p w14:paraId="6D730407" w14:textId="77777777" w:rsidR="00E07A59" w:rsidRPr="000E1AD2" w:rsidRDefault="00E07A59" w:rsidP="000E1AD2">
            <w:pPr>
              <w:bidi w:val="0"/>
              <w:spacing w:line="360" w:lineRule="auto"/>
              <w:jc w:val="center"/>
              <w:rPr>
                <w:rFonts w:ascii="David" w:hAnsi="David"/>
                <w:b/>
                <w:bCs/>
                <w:noProof w:val="0"/>
                <w:sz w:val="32"/>
                <w:szCs w:val="32"/>
                <w:u w:val="single"/>
              </w:rPr>
            </w:pPr>
          </w:p>
        </w:tc>
      </w:tr>
      <w:bookmarkEnd w:id="5"/>
    </w:tbl>
    <w:p w14:paraId="56B61A84" w14:textId="77777777" w:rsidR="00E07A59" w:rsidRPr="001F1754" w:rsidRDefault="00E07A59" w:rsidP="00E07A59">
      <w:pPr>
        <w:spacing w:line="360" w:lineRule="auto"/>
        <w:jc w:val="both"/>
        <w:rPr>
          <w:rFonts w:ascii="David" w:hAnsi="David"/>
          <w:noProof w:val="0"/>
          <w:rtl/>
        </w:rPr>
      </w:pPr>
    </w:p>
    <w:p w14:paraId="232428C6" w14:textId="77777777" w:rsidR="00E07A59" w:rsidRPr="001F1754" w:rsidRDefault="00E07A59" w:rsidP="00E07A59">
      <w:pPr>
        <w:pStyle w:val="1"/>
        <w:numPr>
          <w:ilvl w:val="0"/>
          <w:numId w:val="1"/>
        </w:numPr>
        <w:spacing w:before="0" w:line="360" w:lineRule="auto"/>
        <w:ind w:left="-341" w:right="-426"/>
        <w:jc w:val="both"/>
        <w:rPr>
          <w:rFonts w:ascii="David" w:hAnsi="David" w:cs="David"/>
          <w:b/>
          <w:bCs/>
          <w:color w:val="auto"/>
          <w:sz w:val="28"/>
          <w:szCs w:val="28"/>
          <w:u w:val="single"/>
        </w:rPr>
      </w:pPr>
      <w:bookmarkStart w:id="6" w:name="NGCSBookmark"/>
      <w:bookmarkEnd w:id="6"/>
      <w:r w:rsidRPr="001F1754">
        <w:rPr>
          <w:rFonts w:ascii="David" w:hAnsi="David" w:cs="David"/>
          <w:b/>
          <w:bCs/>
          <w:color w:val="auto"/>
          <w:sz w:val="28"/>
          <w:szCs w:val="28"/>
          <w:u w:val="single"/>
          <w:rtl/>
        </w:rPr>
        <w:t>רקע עובדתי</w:t>
      </w:r>
    </w:p>
    <w:p w14:paraId="3D3D0035" w14:textId="77777777" w:rsidR="00E07A59" w:rsidRPr="001F1754" w:rsidRDefault="00E07A59" w:rsidP="00E07A59">
      <w:pPr>
        <w:pStyle w:val="11"/>
        <w:numPr>
          <w:ilvl w:val="0"/>
          <w:numId w:val="2"/>
        </w:numPr>
        <w:spacing w:after="0"/>
        <w:ind w:left="-341" w:right="284" w:hanging="425"/>
        <w:rPr>
          <w:rFonts w:ascii="David" w:hAnsi="David" w:cs="David"/>
          <w:sz w:val="24"/>
          <w:szCs w:val="24"/>
        </w:rPr>
      </w:pPr>
      <w:bookmarkStart w:id="7" w:name="ABSTRACT_START"/>
      <w:bookmarkEnd w:id="7"/>
      <w:r w:rsidRPr="001F1754">
        <w:rPr>
          <w:rFonts w:ascii="David" w:hAnsi="David" w:cs="David"/>
          <w:sz w:val="24"/>
          <w:szCs w:val="24"/>
          <w:rtl/>
        </w:rPr>
        <w:t xml:space="preserve">על פי הנטען בעובדות כתב האישום המתוקן, ביום 11.05.2021 סמוך לשעה 10:25 בדירה ברח' רוגוזין 11/3 באשדוד, החזיק הנאשם בחדרו בסם מסוכן מסוג קוקאין במשקל של 3 גר' נטו שלא לצריכתו העצמית. </w:t>
      </w:r>
    </w:p>
    <w:p w14:paraId="683DC7A5" w14:textId="77777777" w:rsidR="00E07A59" w:rsidRPr="001F1754" w:rsidRDefault="00E07A59" w:rsidP="00E07A59">
      <w:pPr>
        <w:pStyle w:val="11"/>
        <w:numPr>
          <w:ilvl w:val="0"/>
          <w:numId w:val="2"/>
        </w:numPr>
        <w:spacing w:after="0"/>
        <w:ind w:left="-341" w:right="284" w:hanging="425"/>
        <w:rPr>
          <w:rFonts w:ascii="David" w:hAnsi="David" w:cs="David"/>
          <w:sz w:val="24"/>
          <w:szCs w:val="24"/>
        </w:rPr>
      </w:pPr>
      <w:r w:rsidRPr="001F1754">
        <w:rPr>
          <w:rFonts w:ascii="David" w:hAnsi="David" w:cs="David"/>
          <w:sz w:val="24"/>
          <w:szCs w:val="24"/>
          <w:rtl/>
        </w:rPr>
        <w:t xml:space="preserve">עוד ובאותו מעמד, החזיק הנאשם בחדרו סם מסוכן מסוג קנבוס במשקל של 50 גר' נטו שלא לצריכתו העצמית וכן בשקיות חלוקה. </w:t>
      </w:r>
    </w:p>
    <w:p w14:paraId="2520EF57" w14:textId="77777777" w:rsidR="00E07A59" w:rsidRPr="001F1754" w:rsidRDefault="00E07A59" w:rsidP="00E07A59">
      <w:pPr>
        <w:pStyle w:val="11"/>
        <w:numPr>
          <w:ilvl w:val="0"/>
          <w:numId w:val="2"/>
        </w:numPr>
        <w:spacing w:after="0"/>
        <w:ind w:left="-341" w:right="284"/>
        <w:rPr>
          <w:rFonts w:ascii="David" w:hAnsi="David" w:cs="David"/>
          <w:sz w:val="24"/>
          <w:szCs w:val="24"/>
        </w:rPr>
      </w:pPr>
      <w:bookmarkStart w:id="8" w:name="ABSTRACT_END"/>
      <w:bookmarkEnd w:id="8"/>
      <w:r w:rsidRPr="001F1754">
        <w:rPr>
          <w:rFonts w:ascii="David" w:hAnsi="David" w:cs="David"/>
          <w:sz w:val="24"/>
          <w:szCs w:val="24"/>
          <w:rtl/>
        </w:rPr>
        <w:t>בגין כל אלו הורשע הנאשם בעבירה של</w:t>
      </w:r>
      <w:r w:rsidRPr="001F1754">
        <w:rPr>
          <w:rFonts w:ascii="David" w:hAnsi="David" w:cs="David"/>
          <w:b/>
          <w:bCs/>
          <w:sz w:val="24"/>
          <w:szCs w:val="24"/>
          <w:rtl/>
        </w:rPr>
        <w:t xml:space="preserve"> החזקת סם שלא לצריכה עצמית</w:t>
      </w:r>
      <w:r w:rsidRPr="001F1754">
        <w:rPr>
          <w:rFonts w:ascii="David" w:hAnsi="David" w:cs="David"/>
          <w:sz w:val="24"/>
          <w:szCs w:val="24"/>
          <w:rtl/>
        </w:rPr>
        <w:t xml:space="preserve"> לפי </w:t>
      </w:r>
      <w:hyperlink r:id="rId14" w:history="1">
        <w:r w:rsidR="00BF4CBC" w:rsidRPr="00BF4CBC">
          <w:rPr>
            <w:rStyle w:val="Hyperlink"/>
            <w:rFonts w:ascii="David" w:hAnsi="David" w:cs="David"/>
            <w:color w:val="0000FF"/>
            <w:sz w:val="24"/>
            <w:szCs w:val="24"/>
            <w:rtl/>
          </w:rPr>
          <w:t>סעיפים 7 (א)+7(ג)</w:t>
        </w:r>
      </w:hyperlink>
      <w:r w:rsidRPr="001F1754">
        <w:rPr>
          <w:rFonts w:ascii="David" w:hAnsi="David" w:cs="David"/>
          <w:sz w:val="24"/>
          <w:szCs w:val="24"/>
          <w:rtl/>
        </w:rPr>
        <w:t xml:space="preserve"> רישא </w:t>
      </w:r>
      <w:r w:rsidRPr="001F1754">
        <w:rPr>
          <w:rFonts w:ascii="David" w:hAnsi="David" w:cs="David"/>
          <w:sz w:val="24"/>
          <w:szCs w:val="24"/>
          <w:u w:val="single"/>
          <w:rtl/>
        </w:rPr>
        <w:t>ל</w:t>
      </w:r>
      <w:hyperlink r:id="rId15" w:history="1">
        <w:r w:rsidR="000E1AD2" w:rsidRPr="000E1AD2">
          <w:rPr>
            <w:rFonts w:ascii="David" w:hAnsi="David" w:cs="David"/>
            <w:color w:val="0000FF"/>
            <w:sz w:val="24"/>
            <w:szCs w:val="24"/>
            <w:u w:val="single"/>
            <w:rtl/>
          </w:rPr>
          <w:t>פקודת הסמים המסוכנים</w:t>
        </w:r>
      </w:hyperlink>
      <w:r w:rsidRPr="001F1754">
        <w:rPr>
          <w:rFonts w:ascii="David" w:hAnsi="David" w:cs="David"/>
          <w:sz w:val="24"/>
          <w:szCs w:val="24"/>
          <w:u w:val="single"/>
          <w:rtl/>
        </w:rPr>
        <w:t xml:space="preserve"> (נוסח חדש) תשל"ג- 1973</w:t>
      </w:r>
      <w:r w:rsidRPr="001F1754">
        <w:rPr>
          <w:rFonts w:ascii="David" w:hAnsi="David" w:cs="David"/>
          <w:sz w:val="24"/>
          <w:szCs w:val="24"/>
          <w:rtl/>
        </w:rPr>
        <w:t xml:space="preserve"> (להלן: </w:t>
      </w:r>
      <w:r w:rsidRPr="001F1754">
        <w:rPr>
          <w:rFonts w:ascii="David" w:hAnsi="David" w:cs="David"/>
          <w:b/>
          <w:bCs/>
          <w:sz w:val="24"/>
          <w:szCs w:val="24"/>
          <w:rtl/>
        </w:rPr>
        <w:t>"פקודת הסמים המסוכנים"</w:t>
      </w:r>
      <w:r w:rsidRPr="001F1754">
        <w:rPr>
          <w:rFonts w:ascii="David" w:hAnsi="David" w:cs="David"/>
          <w:sz w:val="24"/>
          <w:szCs w:val="24"/>
          <w:rtl/>
        </w:rPr>
        <w:t xml:space="preserve"> או </w:t>
      </w:r>
      <w:r w:rsidRPr="001F1754">
        <w:rPr>
          <w:rFonts w:ascii="David" w:hAnsi="David" w:cs="David"/>
          <w:b/>
          <w:bCs/>
          <w:sz w:val="24"/>
          <w:szCs w:val="24"/>
          <w:rtl/>
        </w:rPr>
        <w:t>"הפקודה"</w:t>
      </w:r>
      <w:r w:rsidRPr="001F1754">
        <w:rPr>
          <w:rFonts w:ascii="David" w:hAnsi="David" w:cs="David"/>
          <w:sz w:val="24"/>
          <w:szCs w:val="24"/>
          <w:rtl/>
        </w:rPr>
        <w:t>)</w:t>
      </w:r>
      <w:r w:rsidRPr="001F1754">
        <w:rPr>
          <w:rFonts w:ascii="David" w:hAnsi="David" w:cs="David"/>
          <w:b/>
          <w:bCs/>
          <w:sz w:val="24"/>
          <w:szCs w:val="24"/>
          <w:rtl/>
        </w:rPr>
        <w:t xml:space="preserve">. </w:t>
      </w:r>
    </w:p>
    <w:p w14:paraId="7B8AB3BE" w14:textId="77777777" w:rsidR="00E07A59" w:rsidRPr="001F1754" w:rsidRDefault="00E07A59" w:rsidP="00E07A59">
      <w:pPr>
        <w:pStyle w:val="aa"/>
        <w:numPr>
          <w:ilvl w:val="0"/>
          <w:numId w:val="2"/>
        </w:numPr>
        <w:spacing w:after="0"/>
        <w:ind w:left="-341" w:right="284"/>
      </w:pPr>
      <w:r w:rsidRPr="001F1754">
        <w:rPr>
          <w:rtl/>
        </w:rPr>
        <w:t xml:space="preserve">במסגרת הסדר הטיעון הסכימו הצדדים כי יתקבל תסקיר בעניינו של הנאשם שיבחן לבקשת ההגנה את שאלת ביטול ההרשעה וכי כל צד טען לעונש כראות עיניו. למען שלמות התמונה יצוין כי במעמד הטיעונים לעונש </w:t>
      </w:r>
      <w:r w:rsidRPr="001F1754">
        <w:rPr>
          <w:b/>
          <w:bCs/>
          <w:rtl/>
        </w:rPr>
        <w:t>חזרה בה ההגנה מעתירתה לביטול ההרשעה.</w:t>
      </w:r>
      <w:r w:rsidRPr="001F1754">
        <w:rPr>
          <w:rtl/>
        </w:rPr>
        <w:t xml:space="preserve"> </w:t>
      </w:r>
    </w:p>
    <w:p w14:paraId="131E89BF" w14:textId="77777777" w:rsidR="00E07A59" w:rsidRPr="001F1754" w:rsidRDefault="00E07A59" w:rsidP="00E07A59">
      <w:pPr>
        <w:pStyle w:val="11"/>
        <w:numPr>
          <w:ilvl w:val="0"/>
          <w:numId w:val="2"/>
        </w:numPr>
        <w:spacing w:after="0"/>
        <w:ind w:left="-341" w:right="284"/>
        <w:rPr>
          <w:rFonts w:ascii="David" w:hAnsi="David" w:cs="David"/>
          <w:sz w:val="24"/>
          <w:szCs w:val="24"/>
        </w:rPr>
      </w:pPr>
      <w:r w:rsidRPr="001F1754">
        <w:rPr>
          <w:rFonts w:ascii="David" w:hAnsi="David" w:cs="David"/>
          <w:sz w:val="24"/>
          <w:szCs w:val="24"/>
          <w:rtl/>
        </w:rPr>
        <w:t xml:space="preserve">בעניינו של הנאשם התקבלו </w:t>
      </w:r>
      <w:r w:rsidRPr="001F1754">
        <w:rPr>
          <w:rFonts w:ascii="David" w:hAnsi="David" w:cs="David"/>
          <w:b/>
          <w:bCs/>
          <w:sz w:val="24"/>
          <w:szCs w:val="24"/>
          <w:rtl/>
        </w:rPr>
        <w:t>כמה תסקירים,</w:t>
      </w:r>
      <w:r w:rsidRPr="001F1754">
        <w:rPr>
          <w:rFonts w:ascii="David" w:hAnsi="David" w:cs="David"/>
          <w:sz w:val="24"/>
          <w:szCs w:val="24"/>
          <w:rtl/>
        </w:rPr>
        <w:t xml:space="preserve"> ובסופם, המליץ שירות המבחן לבכר בעניינו את הפן השיקומי-חינוכי ולהשית עליו עונש בדמות צווי מבחן ושל"צ, ולהורות על ביטול הרשעתו. בגוף התסקירים, עומד שירות המבחן על קורות חייו וחיי משפחתו של הנאשם, על מאפייניו האישיותיים, </w:t>
      </w:r>
      <w:r w:rsidRPr="001F1754">
        <w:rPr>
          <w:rFonts w:ascii="David" w:hAnsi="David" w:cs="David"/>
          <w:sz w:val="24"/>
          <w:szCs w:val="24"/>
          <w:rtl/>
        </w:rPr>
        <w:lastRenderedPageBreak/>
        <w:t>יחסו לעבירה, ההליכים הטיפוליים שנעשו בעניינו, ועוד. מטעמים של צנעת הפרט לא אעלה עלי גזר הדין את כל המפורט בתסקירים האמורים, מלבד אותם נתונים הרלוונטיים לשאלת העונש שאליהם אתייחס בהמשך.</w:t>
      </w:r>
    </w:p>
    <w:p w14:paraId="15971278" w14:textId="77777777" w:rsidR="00E07A59" w:rsidRPr="001F1754" w:rsidRDefault="00E07A59" w:rsidP="00E07A59">
      <w:pPr>
        <w:pStyle w:val="11"/>
        <w:numPr>
          <w:ilvl w:val="0"/>
          <w:numId w:val="2"/>
        </w:numPr>
        <w:spacing w:after="0"/>
        <w:ind w:left="-341" w:right="284"/>
        <w:rPr>
          <w:rFonts w:ascii="David" w:hAnsi="David" w:cs="David"/>
          <w:sz w:val="24"/>
          <w:szCs w:val="24"/>
        </w:rPr>
      </w:pPr>
      <w:r w:rsidRPr="001F1754">
        <w:rPr>
          <w:rFonts w:ascii="David" w:hAnsi="David" w:cs="David"/>
          <w:b/>
          <w:bCs/>
          <w:sz w:val="24"/>
          <w:szCs w:val="24"/>
          <w:rtl/>
        </w:rPr>
        <w:t>מחוות דעת הממונה</w:t>
      </w:r>
      <w:r w:rsidRPr="001F1754">
        <w:rPr>
          <w:rFonts w:ascii="David" w:hAnsi="David" w:cs="David"/>
          <w:sz w:val="24"/>
          <w:szCs w:val="24"/>
          <w:rtl/>
        </w:rPr>
        <w:t xml:space="preserve"> שהוגשה בעניינו של הנאשם ביום 10.12.2024, עולה כי הנאשם מתאים לביצוע עבודות שירות. </w:t>
      </w:r>
    </w:p>
    <w:p w14:paraId="5FAC5444" w14:textId="77777777" w:rsidR="00E07A59" w:rsidRPr="001F1754" w:rsidRDefault="00E07A59" w:rsidP="00E07A59">
      <w:pPr>
        <w:pStyle w:val="11"/>
        <w:spacing w:after="0"/>
        <w:ind w:left="-341" w:right="-426" w:firstLine="0"/>
        <w:rPr>
          <w:rFonts w:ascii="David" w:hAnsi="David" w:cs="David"/>
          <w:sz w:val="24"/>
          <w:szCs w:val="24"/>
        </w:rPr>
      </w:pPr>
    </w:p>
    <w:p w14:paraId="7129AA43" w14:textId="77777777" w:rsidR="00E07A59" w:rsidRPr="001F1754" w:rsidRDefault="00E07A59" w:rsidP="00E07A59">
      <w:pPr>
        <w:pStyle w:val="1"/>
        <w:numPr>
          <w:ilvl w:val="0"/>
          <w:numId w:val="3"/>
        </w:numPr>
        <w:spacing w:before="0" w:line="360" w:lineRule="auto"/>
        <w:ind w:left="-341" w:right="-426"/>
        <w:jc w:val="both"/>
        <w:rPr>
          <w:rFonts w:ascii="David" w:hAnsi="David" w:cs="David"/>
          <w:b/>
          <w:bCs/>
          <w:color w:val="auto"/>
          <w:u w:val="single"/>
        </w:rPr>
      </w:pPr>
      <w:r w:rsidRPr="001F1754">
        <w:rPr>
          <w:rFonts w:ascii="David" w:hAnsi="David" w:cs="David"/>
          <w:b/>
          <w:bCs/>
          <w:color w:val="auto"/>
          <w:u w:val="single"/>
          <w:rtl/>
        </w:rPr>
        <w:t>טיעוני הצדדים (עיקרי הדברים)</w:t>
      </w:r>
    </w:p>
    <w:p w14:paraId="6675CC51" w14:textId="77777777" w:rsidR="00E07A59" w:rsidRPr="001F1754" w:rsidRDefault="00E07A59" w:rsidP="00E07A59">
      <w:pPr>
        <w:pStyle w:val="aa"/>
        <w:numPr>
          <w:ilvl w:val="0"/>
          <w:numId w:val="2"/>
        </w:numPr>
        <w:spacing w:after="0"/>
        <w:rPr>
          <w:rtl/>
        </w:rPr>
      </w:pPr>
      <w:r w:rsidRPr="001F1754">
        <w:rPr>
          <w:b/>
          <w:bCs/>
          <w:rtl/>
        </w:rPr>
        <w:t>המאשימה,</w:t>
      </w:r>
      <w:r w:rsidRPr="001F1754">
        <w:rPr>
          <w:rtl/>
        </w:rPr>
        <w:t xml:space="preserve"> עמדה על הערכים המוגנים שנפגעו כתוצאה ממעשיו של הנאשם, על חומרת מעשיו בדגש על סוג וכמות הסם שנתפסה בחזקתו לצד שקית חלוקה ועתרה לקבוע מתחם עונש הולם הנע בין 8 לבין-18 חודשים מאסר בפועל. בתוך המתחם, סברה המאשימה כי משלא נקבע ע"י שירות המבחן כי רמת מסוכנותו של נאשם פחתה וכי לא נהיר שמא הטיפול שבו משולב הנאשם יפחית ממסוכנותו, הרי שאין מקום לקבל את המלצות התסקיר לעניין העונש אשר חורגות משמעותית לקולה ממתחם העונש הראוי. בסופו של דבר, המאשימה עתרה להשית על הנאשם עונש המצוי בשליש התחתון של מתחם העונש ההולם בדמות 9 חודשים מאסר שיכול שירוצו בעבודות שירות, מאסר מותנה, פסילה מותנית, קנס והתחייבות. </w:t>
      </w:r>
    </w:p>
    <w:p w14:paraId="502C228E" w14:textId="77777777" w:rsidR="00E07A59" w:rsidRPr="001F1754" w:rsidRDefault="00E07A59" w:rsidP="00E07A59">
      <w:pPr>
        <w:numPr>
          <w:ilvl w:val="0"/>
          <w:numId w:val="2"/>
        </w:numPr>
        <w:spacing w:line="360" w:lineRule="auto"/>
        <w:ind w:left="-341" w:hanging="283"/>
        <w:jc w:val="both"/>
        <w:rPr>
          <w:rFonts w:ascii="David" w:eastAsia="Calibri" w:hAnsi="David"/>
        </w:rPr>
      </w:pPr>
      <w:r w:rsidRPr="001F1754">
        <w:rPr>
          <w:rFonts w:ascii="David" w:eastAsia="Calibri" w:hAnsi="David"/>
          <w:b/>
          <w:bCs/>
          <w:rtl/>
        </w:rPr>
        <w:t>מנגד,</w:t>
      </w:r>
      <w:r w:rsidRPr="001F1754">
        <w:rPr>
          <w:rFonts w:ascii="David" w:eastAsia="Calibri" w:hAnsi="David"/>
          <w:rtl/>
        </w:rPr>
        <w:t xml:space="preserve"> באת כוח הנאשם חלקה על מתחם העונש לו עתרה המאשימה וביקשה להעמידו על בין 3-9 חודשים מאסר שיכול שוירוצו בעבודות שירות. בהמשך לאלו, סברה ההגנה שיש לחרוג לקולה ממתחם העונש ההולם משיקולי שיקום בשל להליך השיקום המשמעותי שעבר הנאשם במסגרת שירות המבחן. בכל הנוגע לנסיבות שאינן קשורות לביצוע העבירה, הפנתה ההגנה לנסיבותיו האישיות של הנאשם, לגילו הצעיר, להיותו חף מהרשעות קודמות ולזמן הרב שחלף מאז ביצוע העבירה. מכל האמור עתרה ההגנה לאמץ את המלצות שירות המבחן לעניין העונש (למעט ההמלצה לביטול ההרשעה) ולהשית עליו ענישה בדמות עבודות של"צ לצד ענישה נילווית. </w:t>
      </w:r>
    </w:p>
    <w:p w14:paraId="48368757" w14:textId="77777777" w:rsidR="00E07A59" w:rsidRPr="001F1754" w:rsidRDefault="00E07A59" w:rsidP="00E07A59">
      <w:pPr>
        <w:pStyle w:val="aa"/>
        <w:numPr>
          <w:ilvl w:val="0"/>
          <w:numId w:val="2"/>
        </w:numPr>
        <w:spacing w:after="0"/>
        <w:rPr>
          <w:noProof/>
          <w:rtl/>
        </w:rPr>
      </w:pPr>
      <w:r w:rsidRPr="001F1754">
        <w:rPr>
          <w:noProof/>
          <w:rtl/>
        </w:rPr>
        <w:t>הנאשם אשר קיבל את "זכות המילה האחרונה", הצטער על מעשיו וביקש כי בית המשפט יתחשב בו לעניין העונש.</w:t>
      </w:r>
    </w:p>
    <w:p w14:paraId="6EF2E1B4" w14:textId="77777777" w:rsidR="00E07A59" w:rsidRPr="001F1754" w:rsidRDefault="00E07A59" w:rsidP="00E07A59">
      <w:pPr>
        <w:numPr>
          <w:ilvl w:val="0"/>
          <w:numId w:val="2"/>
        </w:numPr>
        <w:spacing w:line="360" w:lineRule="auto"/>
        <w:ind w:left="-341"/>
        <w:contextualSpacing/>
        <w:jc w:val="both"/>
        <w:rPr>
          <w:rFonts w:ascii="David" w:eastAsia="Calibri" w:hAnsi="David"/>
        </w:rPr>
      </w:pPr>
      <w:r w:rsidRPr="001F1754">
        <w:rPr>
          <w:rFonts w:ascii="David" w:eastAsia="Calibri" w:hAnsi="David"/>
          <w:rtl/>
        </w:rPr>
        <w:t>לאור אלה, ובהתאם למתווה גזירת הדין שאומץ בתיקון 113 ל</w:t>
      </w:r>
      <w:hyperlink r:id="rId16" w:history="1">
        <w:r w:rsidR="000E1AD2" w:rsidRPr="000E1AD2">
          <w:rPr>
            <w:rFonts w:ascii="David" w:eastAsia="Calibri" w:hAnsi="David" w:cs="Times New Roman"/>
            <w:color w:val="0000FF"/>
            <w:u w:val="single"/>
            <w:rtl/>
          </w:rPr>
          <w:t>חוק העונשין</w:t>
        </w:r>
      </w:hyperlink>
      <w:r w:rsidRPr="001F1754">
        <w:rPr>
          <w:rFonts w:ascii="David" w:eastAsia="Calibri" w:hAnsi="David"/>
          <w:rtl/>
        </w:rPr>
        <w:t>, בית המשפט יקבע תחילה את מתחם העונש ההולם; ולאחר מכן יגזור את העונש המתאים לנאשם, תוך בחינה שמא יש מקום במקרה הנדון לסטות לקולה מהמתחם שייקבע.</w:t>
      </w:r>
    </w:p>
    <w:p w14:paraId="76C9B311" w14:textId="77777777" w:rsidR="00E07A59" w:rsidRPr="001F1754" w:rsidRDefault="00E07A59" w:rsidP="00E07A59">
      <w:pPr>
        <w:keepNext/>
        <w:keepLines/>
        <w:spacing w:line="360" w:lineRule="auto"/>
        <w:jc w:val="center"/>
        <w:outlineLvl w:val="0"/>
        <w:rPr>
          <w:rFonts w:ascii="David" w:hAnsi="David"/>
          <w:bCs/>
          <w:sz w:val="32"/>
          <w:szCs w:val="32"/>
          <w:u w:val="single"/>
        </w:rPr>
      </w:pPr>
      <w:r w:rsidRPr="001F1754">
        <w:rPr>
          <w:rFonts w:ascii="David" w:hAnsi="David"/>
          <w:bCs/>
          <w:sz w:val="32"/>
          <w:szCs w:val="32"/>
          <w:u w:val="single"/>
          <w:rtl/>
        </w:rPr>
        <w:t>דיון והכרעה</w:t>
      </w:r>
    </w:p>
    <w:p w14:paraId="32E79CF8" w14:textId="77777777" w:rsidR="00E07A59" w:rsidRPr="001F1754" w:rsidRDefault="00E07A59" w:rsidP="00E07A59">
      <w:pPr>
        <w:pStyle w:val="1"/>
        <w:numPr>
          <w:ilvl w:val="0"/>
          <w:numId w:val="3"/>
        </w:numPr>
        <w:spacing w:before="0" w:line="360" w:lineRule="auto"/>
        <w:ind w:left="-341" w:right="-426"/>
        <w:jc w:val="both"/>
        <w:rPr>
          <w:rFonts w:ascii="David" w:hAnsi="David" w:cs="David"/>
          <w:b/>
          <w:bCs/>
          <w:color w:val="auto"/>
          <w:sz w:val="28"/>
          <w:szCs w:val="28"/>
          <w:u w:val="single"/>
          <w:rtl/>
        </w:rPr>
      </w:pPr>
      <w:r w:rsidRPr="001F1754">
        <w:rPr>
          <w:rFonts w:ascii="David" w:hAnsi="David" w:cs="David"/>
          <w:b/>
          <w:bCs/>
          <w:color w:val="auto"/>
          <w:sz w:val="28"/>
          <w:szCs w:val="28"/>
          <w:u w:val="single"/>
          <w:rtl/>
        </w:rPr>
        <w:t xml:space="preserve">קביעת מתחם העונש ההולם </w:t>
      </w:r>
    </w:p>
    <w:p w14:paraId="7A7DB16E" w14:textId="77777777" w:rsidR="00E07A59" w:rsidRPr="001F1754" w:rsidRDefault="00E07A59" w:rsidP="00E07A59">
      <w:pPr>
        <w:numPr>
          <w:ilvl w:val="0"/>
          <w:numId w:val="2"/>
        </w:numPr>
        <w:spacing w:line="360" w:lineRule="auto"/>
        <w:ind w:left="-341"/>
        <w:contextualSpacing/>
        <w:jc w:val="both"/>
        <w:rPr>
          <w:rFonts w:ascii="David" w:eastAsia="Calibri" w:hAnsi="David"/>
          <w:rtl/>
        </w:rPr>
      </w:pPr>
      <w:r w:rsidRPr="001F1754">
        <w:rPr>
          <w:rFonts w:ascii="David" w:eastAsia="Calibri" w:hAnsi="David"/>
          <w:rtl/>
        </w:rPr>
        <w:t xml:space="preserve">כאמור </w:t>
      </w:r>
      <w:hyperlink r:id="rId17" w:history="1">
        <w:r w:rsidR="00BF4CBC" w:rsidRPr="00BF4CBC">
          <w:rPr>
            <w:rStyle w:val="Hyperlink"/>
            <w:rFonts w:ascii="David" w:eastAsia="Calibri" w:hAnsi="David" w:cs="David"/>
            <w:color w:val="0000FF"/>
            <w:rtl/>
          </w:rPr>
          <w:t>בסעיף 40ג(א)</w:t>
        </w:r>
      </w:hyperlink>
      <w:r w:rsidRPr="001F1754">
        <w:rPr>
          <w:rFonts w:ascii="David" w:eastAsia="Calibri" w:hAnsi="David"/>
          <w:rtl/>
        </w:rPr>
        <w:t xml:space="preserve"> </w:t>
      </w:r>
      <w:r w:rsidRPr="001F1754">
        <w:rPr>
          <w:rFonts w:ascii="David" w:eastAsia="Calibri" w:hAnsi="David"/>
          <w:u w:val="single"/>
          <w:rtl/>
        </w:rPr>
        <w:t>ל</w:t>
      </w:r>
      <w:hyperlink r:id="rId18" w:history="1">
        <w:r w:rsidR="000E1AD2" w:rsidRPr="000E1AD2">
          <w:rPr>
            <w:rFonts w:ascii="David" w:eastAsia="Calibri" w:hAnsi="David"/>
            <w:color w:val="0000FF"/>
            <w:u w:val="single"/>
            <w:rtl/>
          </w:rPr>
          <w:t>חוק העונשין</w:t>
        </w:r>
      </w:hyperlink>
      <w:r w:rsidRPr="001F1754">
        <w:rPr>
          <w:rFonts w:ascii="David" w:eastAsia="Calibri" w:hAnsi="David"/>
          <w:u w:val="single"/>
          <w:rtl/>
        </w:rPr>
        <w:t>, התשל"ז-1977</w:t>
      </w:r>
      <w:r w:rsidRPr="001F1754">
        <w:rPr>
          <w:rFonts w:ascii="David" w:eastAsia="Calibri" w:hAnsi="David"/>
          <w:rtl/>
        </w:rPr>
        <w:t xml:space="preserve"> (להלן: </w:t>
      </w:r>
      <w:r w:rsidRPr="001F1754">
        <w:rPr>
          <w:rFonts w:ascii="David" w:eastAsia="Calibri" w:hAnsi="David"/>
          <w:b/>
          <w:bCs/>
          <w:rtl/>
        </w:rPr>
        <w:t>"חוק העונשין"</w:t>
      </w:r>
      <w:r w:rsidRPr="001F1754">
        <w:rPr>
          <w:rFonts w:ascii="David" w:eastAsia="Calibri" w:hAnsi="David"/>
          <w:rtl/>
        </w:rPr>
        <w:t>), קביעת מתחם העונש ההולם תיעשה בהתאם לעקרון ההלימה (הוא העיקרון המנחה בענישה), תוך התחשבות בנסיבות הקשורות בביצוע העבירה, בערכים החברתיים שנפגעו כתוצאה מביצועה, במידת הפגיעה בהם ובמדיניות הענישה הנוהגת.</w:t>
      </w:r>
    </w:p>
    <w:p w14:paraId="430CB2E9" w14:textId="77777777" w:rsidR="00E07A59" w:rsidRPr="001F1754" w:rsidRDefault="00E07A59" w:rsidP="00E07A59">
      <w:pPr>
        <w:numPr>
          <w:ilvl w:val="0"/>
          <w:numId w:val="2"/>
        </w:numPr>
        <w:spacing w:line="360" w:lineRule="auto"/>
        <w:ind w:left="-341"/>
        <w:contextualSpacing/>
        <w:jc w:val="both"/>
        <w:rPr>
          <w:rFonts w:ascii="David" w:eastAsia="Calibri" w:hAnsi="David"/>
          <w:rtl/>
        </w:rPr>
      </w:pPr>
      <w:r w:rsidRPr="001F1754">
        <w:rPr>
          <w:rFonts w:ascii="David" w:eastAsia="Calibri" w:hAnsi="David"/>
          <w:rtl/>
        </w:rPr>
        <w:t xml:space="preserve">לגופו של עניין, ובכל הנוגע לעבירת הסמים אותה עבר הנאשם, נדמה כי אין צורך להכביר מילים על אודות החומרה הרבה הכרוכה בעבירה זו. </w:t>
      </w:r>
      <w:hyperlink r:id="rId19" w:history="1">
        <w:r w:rsidR="000E1AD2" w:rsidRPr="000E1AD2">
          <w:rPr>
            <w:rFonts w:ascii="David" w:eastAsia="Calibri" w:hAnsi="David"/>
            <w:color w:val="0000FF"/>
            <w:u w:val="single"/>
            <w:rtl/>
          </w:rPr>
          <w:t>פקודת הסמים המסוכנים</w:t>
        </w:r>
      </w:hyperlink>
      <w:r w:rsidRPr="001F1754">
        <w:rPr>
          <w:rFonts w:ascii="David" w:eastAsia="Calibri" w:hAnsi="David"/>
          <w:rtl/>
        </w:rPr>
        <w:t xml:space="preserve"> נחקקה על מנת להגן על ערכים חברתיים מרכזיים ובראשם החובה להגן על שלומו של הציבור, בריאותו, על בטחונו האישי ועל רכושו. </w:t>
      </w:r>
    </w:p>
    <w:p w14:paraId="5938687D" w14:textId="77777777" w:rsidR="00E07A59" w:rsidRPr="001F1754" w:rsidRDefault="00E07A59" w:rsidP="00E07A59">
      <w:pPr>
        <w:numPr>
          <w:ilvl w:val="0"/>
          <w:numId w:val="2"/>
        </w:numPr>
        <w:spacing w:line="360" w:lineRule="auto"/>
        <w:ind w:left="-341"/>
        <w:contextualSpacing/>
        <w:jc w:val="both"/>
        <w:rPr>
          <w:rFonts w:ascii="David" w:eastAsia="Calibri" w:hAnsi="David"/>
        </w:rPr>
      </w:pPr>
      <w:r w:rsidRPr="001F1754">
        <w:rPr>
          <w:rFonts w:ascii="David" w:eastAsia="Calibri" w:hAnsi="David"/>
          <w:rtl/>
        </w:rPr>
        <w:lastRenderedPageBreak/>
        <w:t xml:space="preserve">בית המשפט העליון קבע בשורה ארוכה של פסקי דין כי נגע הסמים פשה בארצנו כמגיפה ומשכך מצווים בתי המשפט לתרום את חלקם במלחמה בנגע זה באמצעות הטלת עונשים חמורים ומרתיעים, וכי מי שנגרר אחרי מעשי עבירה המסכנים חיי אדם בצורה מפליגה, צריך לדעת אל-נכון כי אם ייתפס יטופל עניינו בכל חומרת הדין (ראו לעניין זה, למשל, </w:t>
      </w:r>
      <w:hyperlink r:id="rId20" w:history="1">
        <w:r w:rsidR="000E1AD2" w:rsidRPr="000E1AD2">
          <w:rPr>
            <w:rFonts w:ascii="David" w:eastAsia="Calibri" w:hAnsi="David"/>
            <w:color w:val="0000FF"/>
            <w:u w:val="single"/>
            <w:rtl/>
          </w:rPr>
          <w:t>ע"פ 575/88</w:t>
        </w:r>
      </w:hyperlink>
      <w:r w:rsidRPr="001F1754">
        <w:rPr>
          <w:rFonts w:ascii="David" w:eastAsia="Calibri" w:hAnsi="David"/>
          <w:rtl/>
        </w:rPr>
        <w:t xml:space="preserve"> </w:t>
      </w:r>
      <w:r w:rsidRPr="001F1754">
        <w:rPr>
          <w:rFonts w:ascii="David" w:eastAsia="Calibri" w:hAnsi="David"/>
          <w:b/>
          <w:bCs/>
          <w:rtl/>
        </w:rPr>
        <w:t xml:space="preserve">עודה נ' מדינת ישראל </w:t>
      </w:r>
      <w:r w:rsidRPr="001F1754">
        <w:rPr>
          <w:rFonts w:ascii="David" w:eastAsia="Calibri" w:hAnsi="David"/>
          <w:rtl/>
        </w:rPr>
        <w:t xml:space="preserve">[פורסם בנבו] (11.12.1988); </w:t>
      </w:r>
      <w:hyperlink r:id="rId21" w:history="1">
        <w:r w:rsidR="000E1AD2" w:rsidRPr="000E1AD2">
          <w:rPr>
            <w:rFonts w:ascii="David" w:eastAsia="Calibri" w:hAnsi="David"/>
            <w:color w:val="0000FF"/>
            <w:u w:val="single"/>
            <w:rtl/>
          </w:rPr>
          <w:t>ע"פ 972/11</w:t>
        </w:r>
      </w:hyperlink>
      <w:r w:rsidRPr="001F1754">
        <w:rPr>
          <w:rFonts w:ascii="David" w:eastAsia="Calibri" w:hAnsi="David"/>
          <w:u w:val="single"/>
          <w:rtl/>
        </w:rPr>
        <w:t xml:space="preserve"> </w:t>
      </w:r>
      <w:r w:rsidRPr="001F1754">
        <w:rPr>
          <w:rFonts w:ascii="David" w:eastAsia="Calibri" w:hAnsi="David"/>
          <w:b/>
          <w:bCs/>
          <w:rtl/>
        </w:rPr>
        <w:t>מדינת ישראל נ' יונה</w:t>
      </w:r>
      <w:r w:rsidRPr="001F1754">
        <w:rPr>
          <w:rFonts w:ascii="David" w:eastAsia="Calibri" w:hAnsi="David"/>
          <w:rtl/>
        </w:rPr>
        <w:t xml:space="preserve"> [פורסם בנבו] (04.07.2012); </w:t>
      </w:r>
      <w:hyperlink r:id="rId22" w:history="1">
        <w:r w:rsidR="000E1AD2" w:rsidRPr="000E1AD2">
          <w:rPr>
            <w:rFonts w:ascii="David" w:eastAsia="Calibri" w:hAnsi="David"/>
            <w:color w:val="0000FF"/>
            <w:u w:val="single"/>
            <w:rtl/>
          </w:rPr>
          <w:t>ע"פ 3117/12</w:t>
        </w:r>
      </w:hyperlink>
      <w:r w:rsidRPr="001F1754">
        <w:rPr>
          <w:rFonts w:ascii="David" w:eastAsia="Calibri" w:hAnsi="David"/>
          <w:rtl/>
        </w:rPr>
        <w:t xml:space="preserve"> </w:t>
      </w:r>
      <w:r w:rsidRPr="001F1754">
        <w:rPr>
          <w:rFonts w:ascii="David" w:eastAsia="Calibri" w:hAnsi="David"/>
          <w:b/>
          <w:bCs/>
          <w:rtl/>
        </w:rPr>
        <w:t>ארביב נ' מדינת ישראל</w:t>
      </w:r>
      <w:r w:rsidRPr="001F1754">
        <w:rPr>
          <w:rFonts w:ascii="David" w:eastAsia="Calibri" w:hAnsi="David"/>
          <w:rtl/>
        </w:rPr>
        <w:t xml:space="preserve"> [פורסם בנבו] (06.09.2012)) (הדברים נאמרים באופן כללי, כאשר ברי כי שיקול ההרתעה אינו בא במניין השיקולים שנשקלים לצורך קביעת מתחם העונש ההולם).</w:t>
      </w:r>
    </w:p>
    <w:p w14:paraId="640D6710" w14:textId="77777777" w:rsidR="00E07A59" w:rsidRPr="001F1754" w:rsidRDefault="00E07A59" w:rsidP="00E07A59">
      <w:pPr>
        <w:numPr>
          <w:ilvl w:val="0"/>
          <w:numId w:val="2"/>
        </w:numPr>
        <w:spacing w:line="360" w:lineRule="auto"/>
        <w:ind w:left="-341"/>
        <w:contextualSpacing/>
        <w:jc w:val="both"/>
        <w:rPr>
          <w:rFonts w:ascii="David" w:eastAsia="Calibri" w:hAnsi="David"/>
        </w:rPr>
      </w:pPr>
      <w:r w:rsidRPr="001F1754">
        <w:rPr>
          <w:rFonts w:ascii="David" w:eastAsia="Calibri" w:hAnsi="David"/>
          <w:rtl/>
        </w:rPr>
        <w:t xml:space="preserve">אם לא די באלה, הרי שעל חומרתה היתרה של עבירת החזקת הסם שלא לצריכה עצמית, אותה עבר הנאשם, יכולה להעיד גם הענישה אשר נקבעה בצדה. וכך, העונש המרבי בגין ביצוע עבירת החזקת הסם שלא לצריכה עצמית הוא 20 שנות מאסר. </w:t>
      </w:r>
    </w:p>
    <w:p w14:paraId="7137C0FA" w14:textId="77777777" w:rsidR="00E07A59" w:rsidRPr="001F1754" w:rsidRDefault="00E07A59" w:rsidP="00E07A59">
      <w:pPr>
        <w:numPr>
          <w:ilvl w:val="0"/>
          <w:numId w:val="2"/>
        </w:numPr>
        <w:spacing w:line="360" w:lineRule="auto"/>
        <w:ind w:left="-341"/>
        <w:contextualSpacing/>
        <w:jc w:val="both"/>
        <w:rPr>
          <w:rFonts w:ascii="David" w:eastAsia="Calibri" w:hAnsi="David"/>
        </w:rPr>
      </w:pPr>
      <w:r w:rsidRPr="001F1754">
        <w:rPr>
          <w:rFonts w:ascii="David" w:eastAsia="Calibri" w:hAnsi="David"/>
          <w:rtl/>
        </w:rPr>
        <w:t xml:space="preserve">בשים לב לכמות הסם ולסוגי הסם שאותם החזיק הנאשם שלא לצריכתו העצמית, ובשים לב ליתר הנסיבות הקשורות בביצוע העבירה, כפי שיפורט בהמשך הדברים, נדמה כי מידת הפגיעה בערכים המוגנים במקרה הנדון הינה ממשית. </w:t>
      </w:r>
    </w:p>
    <w:p w14:paraId="02F333CE" w14:textId="77777777" w:rsidR="00E07A59" w:rsidRPr="00E07A59" w:rsidRDefault="00E07A59" w:rsidP="00E07A59">
      <w:pPr>
        <w:pStyle w:val="aa"/>
        <w:numPr>
          <w:ilvl w:val="0"/>
          <w:numId w:val="2"/>
        </w:numPr>
        <w:spacing w:after="0"/>
      </w:pPr>
      <w:r w:rsidRPr="001F1754">
        <w:rPr>
          <w:rtl/>
        </w:rPr>
        <w:t xml:space="preserve">בבחינת </w:t>
      </w:r>
      <w:r w:rsidRPr="001F1754">
        <w:rPr>
          <w:b/>
          <w:bCs/>
          <w:rtl/>
        </w:rPr>
        <w:t xml:space="preserve">הנסיבות הקשורות בביצוע העבירה, </w:t>
      </w:r>
      <w:r w:rsidRPr="001F1754">
        <w:rPr>
          <w:rtl/>
        </w:rPr>
        <w:t>לחומרה,</w:t>
      </w:r>
      <w:r w:rsidRPr="001F1754">
        <w:rPr>
          <w:b/>
          <w:bCs/>
          <w:rtl/>
        </w:rPr>
        <w:t xml:space="preserve"> </w:t>
      </w:r>
      <w:r w:rsidRPr="001F1754">
        <w:rPr>
          <w:rtl/>
        </w:rPr>
        <w:t xml:space="preserve">נתתי דעתי בראש ובראשונה לכך שהנאשם החזיק שלא לצריכתו העצמית בשני סוג סם. בכל הנוגע לסם מסוג קוקאין, הרי שסם זה נמנה עם "הסמים הקשים", כאשר שנים רבות של מחקרים מדעיים שנעשו בתחום לימדונו כי הנזקים שסם זה מביא עמו קשים מהנזקים הנגרמים עקב שימוש בסמים "קלים" כגון חשיש, מריחואנה או קנבוס. באשר למשקל הסם, הנאמד ב 50 גר' נטו, ברי כי כמות זו אינה מבוטלת כלל ועיקר והגבוהה פי כמה וכמה מ"חזקת הצריכה העצמית" הקבועה בפקודה. בכל הנוגע לסם מסוג קנבוס, הרי שמבלי להתעלם מכך שעסקינן בסם ה'קנבוס' אשר נמנה עם הסמים "הקלים", ואינו מצוי במדרג חומרה גבוה מבין הסמים השונים (כמובן שהדברים נאמרים מבלי שבית המשפט מקל ראש ולו לרגע בנזקים שגם סמים 'קלים' אלה עלולים להסב לנאשם ולסביבתו), הרי שבשיקולים לחומרה, נתתי דעתי גם כאן לכמות הסם במשקל כולל של 50 גר' אשר נתפסה ברשותו של הנאשם, שאף היא גבוהה פי כמה וכמה מ"חזקת הצריכה העצמית" הקבועה בפקודה. בנוסף לאלו בית המשפט נותן דעתו לכך שהנאשם החזיק ברשותו בשקיות חלוקות שנועדו לצורך השימוש בסם שלא לצריכתו העצמית. </w:t>
      </w:r>
    </w:p>
    <w:p w14:paraId="4717186A" w14:textId="77777777" w:rsidR="00E07A59" w:rsidRPr="001F1754" w:rsidRDefault="00E07A59" w:rsidP="00E07A59">
      <w:pPr>
        <w:pStyle w:val="aa"/>
        <w:numPr>
          <w:ilvl w:val="0"/>
          <w:numId w:val="2"/>
        </w:numPr>
        <w:spacing w:after="0"/>
        <w:ind w:left="-341"/>
      </w:pPr>
      <w:r w:rsidRPr="001F1754">
        <w:rPr>
          <w:rtl/>
        </w:rPr>
        <w:t>לצד זאת ולקולה, הבאתי בחשבון כי כעולה מכתב האישום המתוקן, מעשיו של הנאשם מסתכמים באירוע בודד וחד פעמי של החזקת סם שלא לצריכה עצמית בנסיבות שאינן מלמדות על כוונת סחר, מכירה או הפקת רווח כספי.</w:t>
      </w:r>
    </w:p>
    <w:p w14:paraId="5C10654A" w14:textId="77777777" w:rsidR="00E07A59" w:rsidRPr="001F1754" w:rsidRDefault="00E07A59" w:rsidP="00E07A59">
      <w:pPr>
        <w:numPr>
          <w:ilvl w:val="0"/>
          <w:numId w:val="2"/>
        </w:numPr>
        <w:spacing w:line="360" w:lineRule="auto"/>
        <w:ind w:left="-341"/>
        <w:contextualSpacing/>
        <w:jc w:val="both"/>
        <w:rPr>
          <w:rFonts w:ascii="David" w:eastAsia="Calibri" w:hAnsi="David"/>
        </w:rPr>
      </w:pPr>
      <w:r w:rsidRPr="001F1754">
        <w:rPr>
          <w:rFonts w:ascii="David" w:eastAsia="Calibri" w:hAnsi="David"/>
          <w:b/>
          <w:bCs/>
          <w:rtl/>
        </w:rPr>
        <w:t>בכל הנוגע לסיבות שהביאו את הנאשם לבצע את העבירה</w:t>
      </w:r>
      <w:r w:rsidRPr="001F1754">
        <w:rPr>
          <w:rFonts w:ascii="David" w:eastAsia="Calibri" w:hAnsi="David"/>
          <w:rtl/>
        </w:rPr>
        <w:t xml:space="preserve">, הרי שהלה טען בשירות המבחן כי ברקע לביצוע העבירה עמדה התמכרותו לסם מגיל צעיר והרצון שלו להפסיק את השימוש בו באופן עצמאי. </w:t>
      </w:r>
      <w:r w:rsidRPr="001F1754">
        <w:rPr>
          <w:rFonts w:ascii="David" w:hAnsi="David"/>
          <w:rtl/>
        </w:rPr>
        <w:t xml:space="preserve">ועדיין, </w:t>
      </w:r>
      <w:r w:rsidRPr="001F1754">
        <w:rPr>
          <w:rFonts w:ascii="David" w:eastAsia="Calibri" w:hAnsi="David"/>
          <w:rtl/>
        </w:rPr>
        <w:t xml:space="preserve">אין בכך כדי להצדיק במאומה את ביצוע העבירה שנעברה על ידו שאין להקל ראש בחומרתה. </w:t>
      </w:r>
    </w:p>
    <w:p w14:paraId="7C0A9CFF" w14:textId="77777777" w:rsidR="00E07A59" w:rsidRPr="001F1754" w:rsidRDefault="00E07A59" w:rsidP="00E07A59">
      <w:pPr>
        <w:pStyle w:val="aa"/>
        <w:numPr>
          <w:ilvl w:val="0"/>
          <w:numId w:val="2"/>
        </w:numPr>
        <w:spacing w:after="0"/>
      </w:pPr>
      <w:r w:rsidRPr="001F1754">
        <w:rPr>
          <w:rtl/>
        </w:rPr>
        <w:t xml:space="preserve">אשר </w:t>
      </w:r>
      <w:r w:rsidRPr="001F1754">
        <w:rPr>
          <w:b/>
          <w:bCs/>
          <w:rtl/>
        </w:rPr>
        <w:t>למדיניות הענישה הנוהגת</w:t>
      </w:r>
      <w:r w:rsidRPr="001F1754">
        <w:rPr>
          <w:rtl/>
        </w:rPr>
        <w:t xml:space="preserve">, סקירת הפסיקה מלמדת כי במקרים שבהם דובר בנאשמים שהחזיקו שלא לצריכתם העצמית, </w:t>
      </w:r>
      <w:r w:rsidRPr="001F1754">
        <w:rPr>
          <w:b/>
          <w:bCs/>
          <w:rtl/>
        </w:rPr>
        <w:t xml:space="preserve">סם מסוג קוקאין </w:t>
      </w:r>
      <w:r w:rsidRPr="001F1754">
        <w:rPr>
          <w:rtl/>
        </w:rPr>
        <w:t xml:space="preserve">נקבעו מתחמי ענישה הנעים </w:t>
      </w:r>
      <w:r w:rsidRPr="001F1754">
        <w:rPr>
          <w:b/>
          <w:bCs/>
          <w:rtl/>
        </w:rPr>
        <w:t>בין מאסר של כמה חודשים שיכול וירוצו בעבודות שירות, לבין 18 חודשים לריצוי בפועל,</w:t>
      </w:r>
      <w:r w:rsidRPr="001F1754">
        <w:rPr>
          <w:rtl/>
        </w:rPr>
        <w:t xml:space="preserve"> וראו בעניין זה, למשל </w:t>
      </w:r>
      <w:r w:rsidR="000E1AD2">
        <w:t xml:space="preserve"> </w:t>
      </w:r>
      <w:hyperlink r:id="rId23" w:history="1">
        <w:r w:rsidR="000E1AD2" w:rsidRPr="000E1AD2">
          <w:rPr>
            <w:color w:val="0000FF"/>
            <w:u w:val="single"/>
            <w:rtl/>
          </w:rPr>
          <w:t>רע"פ 5382/22</w:t>
        </w:r>
      </w:hyperlink>
      <w:r w:rsidR="000E1AD2">
        <w:t xml:space="preserve"> </w:t>
      </w:r>
      <w:r w:rsidRPr="001F1754">
        <w:rPr>
          <w:b/>
          <w:bCs/>
          <w:rtl/>
        </w:rPr>
        <w:t xml:space="preserve">דסיה נ' מדינת ישראל </w:t>
      </w:r>
      <w:r w:rsidRPr="001F1754">
        <w:rPr>
          <w:rtl/>
        </w:rPr>
        <w:t>[פורסם בנבו]</w:t>
      </w:r>
      <w:r w:rsidRPr="001F1754">
        <w:t xml:space="preserve">(28.08.2022) </w:t>
      </w:r>
      <w:r w:rsidRPr="001F1754">
        <w:rPr>
          <w:rtl/>
        </w:rPr>
        <w:t xml:space="preserve">; </w:t>
      </w:r>
      <w:hyperlink r:id="rId24" w:history="1">
        <w:r w:rsidR="000E1AD2" w:rsidRPr="000E1AD2">
          <w:rPr>
            <w:color w:val="0000FF"/>
            <w:u w:val="single"/>
            <w:rtl/>
          </w:rPr>
          <w:t>רע"פ 8510/22</w:t>
        </w:r>
      </w:hyperlink>
      <w:r w:rsidR="000E1AD2">
        <w:rPr>
          <w:u w:val="single"/>
          <w:rtl/>
        </w:rPr>
        <w:t xml:space="preserve"> </w:t>
      </w:r>
      <w:r w:rsidRPr="001F1754">
        <w:rPr>
          <w:b/>
          <w:bCs/>
          <w:rtl/>
        </w:rPr>
        <w:t xml:space="preserve"> דיאב</w:t>
      </w:r>
      <w:r w:rsidR="000E1AD2">
        <w:rPr>
          <w:b/>
          <w:bCs/>
          <w:rtl/>
        </w:rPr>
        <w:t xml:space="preserve"> </w:t>
      </w:r>
      <w:r w:rsidRPr="001F1754">
        <w:rPr>
          <w:b/>
          <w:bCs/>
          <w:rtl/>
        </w:rPr>
        <w:t>נ' מדינת ישראל</w:t>
      </w:r>
      <w:r w:rsidR="000E1AD2">
        <w:rPr>
          <w:rtl/>
        </w:rPr>
        <w:t xml:space="preserve"> </w:t>
      </w:r>
      <w:r w:rsidRPr="001F1754">
        <w:rPr>
          <w:rtl/>
        </w:rPr>
        <w:t xml:space="preserve">[פורסם בנבו] (22.04.2018); </w:t>
      </w:r>
      <w:hyperlink r:id="rId25" w:history="1">
        <w:r w:rsidR="000E1AD2" w:rsidRPr="000E1AD2">
          <w:rPr>
            <w:color w:val="0000FF"/>
            <w:u w:val="single"/>
            <w:rtl/>
          </w:rPr>
          <w:t>רע"פ 1473/18</w:t>
        </w:r>
      </w:hyperlink>
      <w:r w:rsidR="000E1AD2">
        <w:t xml:space="preserve"> </w:t>
      </w:r>
      <w:r w:rsidRPr="001F1754">
        <w:rPr>
          <w:b/>
          <w:bCs/>
          <w:rtl/>
        </w:rPr>
        <w:t>אוחיון נ' מדינת ישראל</w:t>
      </w:r>
      <w:r w:rsidR="000E1AD2">
        <w:rPr>
          <w:rtl/>
        </w:rPr>
        <w:t xml:space="preserve"> </w:t>
      </w:r>
      <w:r w:rsidRPr="001F1754">
        <w:rPr>
          <w:rtl/>
        </w:rPr>
        <w:t>[פורסם בנבו] (22.04.2018);</w:t>
      </w:r>
      <w:r w:rsidRPr="001F1754">
        <w:t xml:space="preserve"> </w:t>
      </w:r>
      <w:hyperlink r:id="rId26" w:history="1">
        <w:r w:rsidR="000E1AD2" w:rsidRPr="000E1AD2">
          <w:rPr>
            <w:color w:val="0000FF"/>
            <w:u w:val="single"/>
            <w:rtl/>
          </w:rPr>
          <w:t>ת"פ (שלום ב"ש) 54068-08-20</w:t>
        </w:r>
      </w:hyperlink>
      <w:r w:rsidR="000E1AD2">
        <w:rPr>
          <w:u w:val="single"/>
          <w:rtl/>
        </w:rPr>
        <w:t xml:space="preserve"> </w:t>
      </w:r>
      <w:r w:rsidRPr="001F1754">
        <w:rPr>
          <w:u w:val="single"/>
          <w:rtl/>
        </w:rPr>
        <w:t xml:space="preserve"> </w:t>
      </w:r>
      <w:r w:rsidRPr="001F1754">
        <w:rPr>
          <w:b/>
          <w:bCs/>
          <w:rtl/>
        </w:rPr>
        <w:t>מדינת ישראל נ' ניסימוב</w:t>
      </w:r>
      <w:r w:rsidRPr="001F1754">
        <w:rPr>
          <w:rtl/>
        </w:rPr>
        <w:t xml:space="preserve"> [פורסם בנבו] (10.12.2023); </w:t>
      </w:r>
      <w:hyperlink r:id="rId27" w:history="1">
        <w:r w:rsidR="000E1AD2" w:rsidRPr="000E1AD2">
          <w:rPr>
            <w:noProof/>
            <w:color w:val="0000FF"/>
            <w:u w:val="single"/>
            <w:rtl/>
          </w:rPr>
          <w:t>ת"פ (שלום ב"ש) 18280-06-19</w:t>
        </w:r>
      </w:hyperlink>
      <w:r w:rsidRPr="001F1754">
        <w:rPr>
          <w:noProof/>
          <w:rtl/>
        </w:rPr>
        <w:t xml:space="preserve">  </w:t>
      </w:r>
      <w:r w:rsidRPr="001F1754">
        <w:rPr>
          <w:b/>
          <w:bCs/>
          <w:noProof/>
          <w:rtl/>
        </w:rPr>
        <w:t>מדינת ישראל נ' אלי יו</w:t>
      </w:r>
      <w:r w:rsidRPr="001F1754">
        <w:rPr>
          <w:noProof/>
          <w:rtl/>
        </w:rPr>
        <w:t xml:space="preserve"> [פורסם בנבו] (30.03.2022);</w:t>
      </w:r>
      <w:r w:rsidRPr="001F1754">
        <w:rPr>
          <w:u w:val="single"/>
          <w:rtl/>
        </w:rPr>
        <w:t xml:space="preserve"> </w:t>
      </w:r>
      <w:hyperlink r:id="rId28" w:history="1">
        <w:r w:rsidR="000E1AD2" w:rsidRPr="000E1AD2">
          <w:rPr>
            <w:color w:val="0000FF"/>
            <w:u w:val="single"/>
            <w:rtl/>
          </w:rPr>
          <w:t>ת"פ (שלום ת"א) 40199-07-20</w:t>
        </w:r>
      </w:hyperlink>
      <w:r w:rsidR="000E1AD2">
        <w:rPr>
          <w:rtl/>
        </w:rPr>
        <w:t xml:space="preserve"> </w:t>
      </w:r>
      <w:r w:rsidRPr="001F1754">
        <w:rPr>
          <w:b/>
          <w:bCs/>
          <w:rtl/>
        </w:rPr>
        <w:t>מדינת ישראל נ' סולוניקוב</w:t>
      </w:r>
      <w:r w:rsidRPr="001F1754">
        <w:rPr>
          <w:b/>
          <w:bCs/>
        </w:rPr>
        <w:t xml:space="preserve"> </w:t>
      </w:r>
      <w:r w:rsidRPr="001F1754">
        <w:rPr>
          <w:rtl/>
        </w:rPr>
        <w:t>[פורסם בנבו] (27.09.2023);</w:t>
      </w:r>
      <w:r w:rsidRPr="001F1754">
        <w:t xml:space="preserve"> </w:t>
      </w:r>
      <w:hyperlink r:id="rId29" w:history="1">
        <w:r w:rsidR="000E1AD2" w:rsidRPr="000E1AD2">
          <w:rPr>
            <w:noProof/>
            <w:color w:val="0000FF"/>
            <w:u w:val="single"/>
            <w:rtl/>
          </w:rPr>
          <w:t>ת"פ (שלום אשק') 23613-02-22</w:t>
        </w:r>
      </w:hyperlink>
      <w:r w:rsidR="000E1AD2">
        <w:rPr>
          <w:rtl/>
        </w:rPr>
        <w:t xml:space="preserve"> </w:t>
      </w:r>
      <w:r w:rsidRPr="001F1754">
        <w:rPr>
          <w:rtl/>
        </w:rPr>
        <w:t xml:space="preserve"> </w:t>
      </w:r>
      <w:r w:rsidRPr="001F1754">
        <w:rPr>
          <w:b/>
          <w:bCs/>
          <w:rtl/>
        </w:rPr>
        <w:t xml:space="preserve">מדינת ישראל נ'  טטרואשוילי </w:t>
      </w:r>
      <w:r w:rsidRPr="001F1754">
        <w:rPr>
          <w:rtl/>
        </w:rPr>
        <w:t xml:space="preserve">[פורסם בנבו] (16.05.2024); </w:t>
      </w:r>
      <w:hyperlink r:id="rId30" w:history="1">
        <w:r w:rsidR="000E1AD2" w:rsidRPr="000E1AD2">
          <w:rPr>
            <w:color w:val="0000FF"/>
            <w:u w:val="single"/>
            <w:rtl/>
          </w:rPr>
          <w:t>ת"פ (שלום ב"ש) 20538-12-22</w:t>
        </w:r>
      </w:hyperlink>
      <w:r w:rsidR="000E1AD2">
        <w:rPr>
          <w:b/>
          <w:bCs/>
          <w:rtl/>
        </w:rPr>
        <w:t xml:space="preserve"> </w:t>
      </w:r>
      <w:r w:rsidRPr="001F1754">
        <w:rPr>
          <w:b/>
          <w:bCs/>
          <w:rtl/>
        </w:rPr>
        <w:t xml:space="preserve"> מדינת ישראל נ' בן דוד</w:t>
      </w:r>
      <w:r w:rsidRPr="001F1754">
        <w:t xml:space="preserve"> </w:t>
      </w:r>
      <w:r w:rsidRPr="001F1754">
        <w:rPr>
          <w:rtl/>
        </w:rPr>
        <w:t>[פורסם בנבו] (20.03.2024);</w:t>
      </w:r>
      <w:r w:rsidRPr="001F1754">
        <w:t xml:space="preserve"> </w:t>
      </w:r>
      <w:r w:rsidRPr="001F1754">
        <w:rPr>
          <w:u w:val="single"/>
          <w:rtl/>
        </w:rPr>
        <w:t>ו</w:t>
      </w:r>
      <w:hyperlink r:id="rId31" w:history="1">
        <w:r w:rsidR="000E1AD2" w:rsidRPr="000E1AD2">
          <w:rPr>
            <w:color w:val="0000FF"/>
            <w:u w:val="single"/>
            <w:rtl/>
          </w:rPr>
          <w:t>ת"פ (שלום אשק') 4719-02-23</w:t>
        </w:r>
      </w:hyperlink>
      <w:r w:rsidR="000E1AD2">
        <w:rPr>
          <w:b/>
          <w:bCs/>
          <w:rtl/>
        </w:rPr>
        <w:t xml:space="preserve"> </w:t>
      </w:r>
      <w:r w:rsidRPr="001F1754">
        <w:rPr>
          <w:b/>
          <w:bCs/>
          <w:rtl/>
        </w:rPr>
        <w:t xml:space="preserve"> מדינת ישראל נ' מנגיסטו</w:t>
      </w:r>
      <w:r w:rsidRPr="001F1754">
        <w:rPr>
          <w:rtl/>
        </w:rPr>
        <w:t xml:space="preserve"> [פורסם בנבו] (17.02.2024).</w:t>
      </w:r>
    </w:p>
    <w:p w14:paraId="3E35F007" w14:textId="77777777" w:rsidR="00E07A59" w:rsidRPr="00E07A59" w:rsidRDefault="00E07A59" w:rsidP="00E07A59">
      <w:pPr>
        <w:pStyle w:val="aa"/>
        <w:numPr>
          <w:ilvl w:val="0"/>
          <w:numId w:val="2"/>
        </w:numPr>
        <w:spacing w:after="0"/>
        <w:rPr>
          <w:rtl/>
        </w:rPr>
      </w:pPr>
      <w:r w:rsidRPr="001F1754">
        <w:rPr>
          <w:rtl/>
        </w:rPr>
        <w:t xml:space="preserve">במקרים שבהם דובר בנאשמים שהחזיקו שלא לצריכתם העצמית, סם מסוג קנבוס </w:t>
      </w:r>
      <w:r w:rsidRPr="001F1754">
        <w:rPr>
          <w:b/>
          <w:bCs/>
          <w:rtl/>
        </w:rPr>
        <w:t>(או  חשיש), בכמויות דומות לאלו שבעניינינו</w:t>
      </w:r>
      <w:r w:rsidRPr="001F1754">
        <w:rPr>
          <w:rtl/>
        </w:rPr>
        <w:t xml:space="preserve">, קיים מנעד רחב של עונשים, הכול בהתאם לכמות הסם ונסיבות החזקתו, ואולם, </w:t>
      </w:r>
      <w:r w:rsidRPr="001F1754">
        <w:rPr>
          <w:b/>
          <w:bCs/>
          <w:rtl/>
        </w:rPr>
        <w:t>בדרך כלל,</w:t>
      </w:r>
      <w:r w:rsidRPr="001F1754">
        <w:rPr>
          <w:rtl/>
        </w:rPr>
        <w:t xml:space="preserve"> העונש הדומיננטי הוא, עונש הנע בין כמה חודשים מאסר שיכול להיות מרוצה בעבודות שירות ועד לתקופה ארוכה יותר המרוצה מאחורי סורג ובריח (ראו למשל,</w:t>
      </w:r>
      <w:r w:rsidRPr="001F1754">
        <w:rPr>
          <w:shd w:val="clear" w:color="auto" w:fill="FAFAFA"/>
          <w:rtl/>
        </w:rPr>
        <w:t xml:space="preserve"> </w:t>
      </w:r>
      <w:hyperlink r:id="rId32" w:history="1">
        <w:r w:rsidR="000E1AD2" w:rsidRPr="000E1AD2">
          <w:rPr>
            <w:color w:val="0000FF"/>
            <w:u w:val="single"/>
            <w:shd w:val="clear" w:color="auto" w:fill="FAFAFA"/>
            <w:rtl/>
          </w:rPr>
          <w:t>עפ"ג (מחוזי – מרכז) 61313-02-20</w:t>
        </w:r>
      </w:hyperlink>
      <w:r w:rsidRPr="001F1754">
        <w:rPr>
          <w:shd w:val="clear" w:color="auto" w:fill="FAFAFA"/>
          <w:rtl/>
        </w:rPr>
        <w:t xml:space="preserve"> </w:t>
      </w:r>
      <w:r w:rsidRPr="001F1754">
        <w:rPr>
          <w:b/>
          <w:bCs/>
          <w:shd w:val="clear" w:color="auto" w:fill="FAFAFA"/>
          <w:rtl/>
        </w:rPr>
        <w:t>פצו'לקין נגד מדינת ישראל</w:t>
      </w:r>
      <w:r w:rsidRPr="001F1754">
        <w:rPr>
          <w:shd w:val="clear" w:color="auto" w:fill="FAFAFA"/>
          <w:rtl/>
        </w:rPr>
        <w:t xml:space="preserve"> [לא פורסם] (08.09.2020);</w:t>
      </w:r>
      <w:r w:rsidRPr="001F1754">
        <w:rPr>
          <w:rtl/>
        </w:rPr>
        <w:t xml:space="preserve"> </w:t>
      </w:r>
      <w:hyperlink r:id="rId33" w:history="1">
        <w:r w:rsidR="000E1AD2" w:rsidRPr="000E1AD2">
          <w:rPr>
            <w:color w:val="0000FF"/>
            <w:u w:val="single"/>
            <w:rtl/>
          </w:rPr>
          <w:t>ת"פ (שלום ק"ג) 15091-06-21</w:t>
        </w:r>
      </w:hyperlink>
      <w:r w:rsidRPr="001F1754">
        <w:rPr>
          <w:rtl/>
        </w:rPr>
        <w:t xml:space="preserve">  </w:t>
      </w:r>
      <w:r w:rsidRPr="001F1754">
        <w:rPr>
          <w:b/>
          <w:bCs/>
          <w:rtl/>
        </w:rPr>
        <w:t>מדינת ישראל נ' אידו</w:t>
      </w:r>
      <w:r w:rsidRPr="001F1754">
        <w:rPr>
          <w:rtl/>
        </w:rPr>
        <w:t xml:space="preserve"> [פורסם בנבו] (</w:t>
      </w:r>
      <w:r w:rsidRPr="001F1754">
        <w:t>11.04.2022</w:t>
      </w:r>
      <w:r w:rsidRPr="001F1754">
        <w:rPr>
          <w:rtl/>
        </w:rPr>
        <w:t xml:space="preserve">); </w:t>
      </w:r>
      <w:hyperlink r:id="rId34" w:history="1">
        <w:r w:rsidR="000E1AD2" w:rsidRPr="000E1AD2">
          <w:rPr>
            <w:color w:val="0000FF"/>
            <w:u w:val="single"/>
            <w:shd w:val="clear" w:color="auto" w:fill="FAFAFA"/>
            <w:rtl/>
          </w:rPr>
          <w:t>ת"פ (שלום ק"ג) 10215-10-19</w:t>
        </w:r>
      </w:hyperlink>
      <w:r w:rsidR="000E1AD2">
        <w:rPr>
          <w:shd w:val="clear" w:color="auto" w:fill="FAFAFA"/>
          <w:rtl/>
        </w:rPr>
        <w:t xml:space="preserve"> </w:t>
      </w:r>
      <w:r w:rsidRPr="001F1754">
        <w:rPr>
          <w:b/>
          <w:bCs/>
          <w:shd w:val="clear" w:color="auto" w:fill="FAFAFA"/>
          <w:rtl/>
        </w:rPr>
        <w:t>מדינת ישראל נ' עמר</w:t>
      </w:r>
      <w:r w:rsidR="000E1AD2">
        <w:rPr>
          <w:shd w:val="clear" w:color="auto" w:fill="FAFAFA"/>
          <w:rtl/>
        </w:rPr>
        <w:t xml:space="preserve"> </w:t>
      </w:r>
      <w:r w:rsidRPr="001F1754">
        <w:rPr>
          <w:shd w:val="clear" w:color="auto" w:fill="FAFAFA"/>
          <w:rtl/>
        </w:rPr>
        <w:t>[פורסם בנבו] (14.07.2021)</w:t>
      </w:r>
      <w:r w:rsidRPr="001F1754">
        <w:rPr>
          <w:rtl/>
        </w:rPr>
        <w:t xml:space="preserve"> – ויוער כי הערעור שהוגש על ידי הנאשם במסגרת </w:t>
      </w:r>
      <w:hyperlink r:id="rId35" w:history="1">
        <w:r w:rsidR="000E1AD2" w:rsidRPr="000E1AD2">
          <w:rPr>
            <w:color w:val="0000FF"/>
            <w:u w:val="single"/>
            <w:rtl/>
          </w:rPr>
          <w:t>עפ"ג (מחוזי ב"ש) 51992-08-21</w:t>
        </w:r>
      </w:hyperlink>
      <w:r w:rsidRPr="001F1754">
        <w:rPr>
          <w:rtl/>
        </w:rPr>
        <w:t xml:space="preserve"> </w:t>
      </w:r>
      <w:r w:rsidRPr="001F1754">
        <w:rPr>
          <w:b/>
          <w:bCs/>
          <w:rtl/>
        </w:rPr>
        <w:t>עמר נגד מדינת ישראל</w:t>
      </w:r>
      <w:r w:rsidRPr="001F1754">
        <w:rPr>
          <w:rtl/>
        </w:rPr>
        <w:t xml:space="preserve"> [לא פורסם] (12.01.2022), נמחק בהסכמתו);</w:t>
      </w:r>
      <w:r w:rsidRPr="001F1754">
        <w:rPr>
          <w:b/>
          <w:bCs/>
          <w:rtl/>
        </w:rPr>
        <w:t xml:space="preserve"> </w:t>
      </w:r>
      <w:hyperlink r:id="rId36" w:history="1">
        <w:r w:rsidR="000E1AD2" w:rsidRPr="000E1AD2">
          <w:rPr>
            <w:color w:val="0000FF"/>
            <w:u w:val="single"/>
            <w:rtl/>
          </w:rPr>
          <w:t>ת"פ (שלום ק"ג) 44015-11-21</w:t>
        </w:r>
      </w:hyperlink>
      <w:r w:rsidRPr="001F1754">
        <w:rPr>
          <w:u w:val="single"/>
          <w:rtl/>
        </w:rPr>
        <w:t xml:space="preserve"> </w:t>
      </w:r>
      <w:r w:rsidRPr="001F1754">
        <w:rPr>
          <w:b/>
          <w:bCs/>
          <w:rtl/>
        </w:rPr>
        <w:t xml:space="preserve">מדינת ישראל נ' נגבקר </w:t>
      </w:r>
      <w:r w:rsidRPr="001F1754">
        <w:rPr>
          <w:rtl/>
        </w:rPr>
        <w:t xml:space="preserve">[פורסם בנבו] (12.07.2023); </w:t>
      </w:r>
      <w:hyperlink r:id="rId37" w:history="1">
        <w:r w:rsidR="000E1AD2" w:rsidRPr="000E1AD2">
          <w:rPr>
            <w:color w:val="0000FF"/>
            <w:u w:val="single"/>
            <w:rtl/>
          </w:rPr>
          <w:t>ת"פ (שלום ת"א) 43383-08-18</w:t>
        </w:r>
      </w:hyperlink>
      <w:r w:rsidRPr="001F1754">
        <w:rPr>
          <w:rtl/>
        </w:rPr>
        <w:t xml:space="preserve"> </w:t>
      </w:r>
      <w:r w:rsidRPr="001F1754">
        <w:rPr>
          <w:b/>
          <w:bCs/>
          <w:rtl/>
        </w:rPr>
        <w:t xml:space="preserve">מדינת ישראל נ' אביתבול </w:t>
      </w:r>
      <w:r w:rsidRPr="001F1754">
        <w:rPr>
          <w:rtl/>
        </w:rPr>
        <w:t xml:space="preserve">[טרם פורסם במאגרים המשפטיים]  (11.02.2020); </w:t>
      </w:r>
      <w:r w:rsidR="000E1AD2">
        <w:t xml:space="preserve"> </w:t>
      </w:r>
      <w:hyperlink r:id="rId38" w:history="1">
        <w:r w:rsidR="000E1AD2" w:rsidRPr="000E1AD2">
          <w:rPr>
            <w:color w:val="0000FF"/>
            <w:u w:val="single"/>
            <w:rtl/>
          </w:rPr>
          <w:t>ת"פ (שלום ב"ש) 39829-08-21</w:t>
        </w:r>
      </w:hyperlink>
      <w:r w:rsidR="000E1AD2">
        <w:t xml:space="preserve"> </w:t>
      </w:r>
      <w:r w:rsidRPr="001F1754">
        <w:rPr>
          <w:b/>
          <w:bCs/>
          <w:rtl/>
        </w:rPr>
        <w:t>מדינת ישראל נ' אלקשחר</w:t>
      </w:r>
      <w:r w:rsidRPr="001F1754">
        <w:rPr>
          <w:rtl/>
        </w:rPr>
        <w:t xml:space="preserve"> [פורסם בנבו]</w:t>
      </w:r>
      <w:r w:rsidR="000E1AD2">
        <w:rPr>
          <w:rtl/>
        </w:rPr>
        <w:t xml:space="preserve"> </w:t>
      </w:r>
      <w:r w:rsidRPr="001F1754">
        <w:t>(26.03.2023)</w:t>
      </w:r>
      <w:r w:rsidRPr="001F1754">
        <w:rPr>
          <w:rtl/>
        </w:rPr>
        <w:t xml:space="preserve">; </w:t>
      </w:r>
      <w:r w:rsidRPr="001F1754">
        <w:rPr>
          <w:u w:val="single"/>
          <w:rtl/>
        </w:rPr>
        <w:t>ו</w:t>
      </w:r>
      <w:hyperlink r:id="rId39" w:history="1">
        <w:r w:rsidR="000E1AD2" w:rsidRPr="000E1AD2">
          <w:rPr>
            <w:color w:val="0000FF"/>
            <w:u w:val="single"/>
            <w:rtl/>
          </w:rPr>
          <w:t>ת"פ (שלום ב"ש) 14656-12-20</w:t>
        </w:r>
      </w:hyperlink>
      <w:r w:rsidR="000E1AD2">
        <w:t xml:space="preserve"> </w:t>
      </w:r>
      <w:r w:rsidRPr="001F1754">
        <w:rPr>
          <w:b/>
          <w:bCs/>
          <w:rtl/>
        </w:rPr>
        <w:t>מדינת ישראל נ' אל עלאווין</w:t>
      </w:r>
      <w:r w:rsidRPr="001F1754">
        <w:rPr>
          <w:rtl/>
        </w:rPr>
        <w:t xml:space="preserve"> [טרם פורסם במאגרים המשפטיים]</w:t>
      </w:r>
      <w:r w:rsidRPr="001F1754">
        <w:t>(10.03.2021)</w:t>
      </w:r>
      <w:r w:rsidR="000E1AD2">
        <w:t xml:space="preserve"> </w:t>
      </w:r>
      <w:r w:rsidRPr="001F1754">
        <w:rPr>
          <w:rtl/>
        </w:rPr>
        <w:t xml:space="preserve"> .</w:t>
      </w:r>
    </w:p>
    <w:p w14:paraId="36460D18" w14:textId="77777777" w:rsidR="00E07A59" w:rsidRPr="001F1754" w:rsidRDefault="00E07A59" w:rsidP="00E07A59">
      <w:pPr>
        <w:numPr>
          <w:ilvl w:val="0"/>
          <w:numId w:val="2"/>
        </w:numPr>
        <w:spacing w:line="360" w:lineRule="auto"/>
        <w:contextualSpacing/>
        <w:jc w:val="both"/>
        <w:rPr>
          <w:rFonts w:ascii="David" w:eastAsia="Calibri" w:hAnsi="David"/>
        </w:rPr>
      </w:pPr>
      <w:r w:rsidRPr="001F1754">
        <w:rPr>
          <w:rFonts w:ascii="David" w:eastAsia="Calibri" w:hAnsi="David"/>
          <w:rtl/>
        </w:rPr>
        <w:t xml:space="preserve">כאן אציין כי לא התעלמתי מהפסיקה אליה הפנו ב"כ הצדדים, תוך ביצוע האבחנות הנדרשות. </w:t>
      </w:r>
      <w:r w:rsidRPr="001F1754">
        <w:rPr>
          <w:rFonts w:ascii="David" w:eastAsia="Calibri" w:hAnsi="David"/>
          <w:b/>
          <w:bCs/>
          <w:rtl/>
        </w:rPr>
        <w:t>בכל הנוגע לפסיקה שאליה הפנתה המאשימה</w:t>
      </w:r>
      <w:r w:rsidRPr="001F1754">
        <w:rPr>
          <w:rFonts w:ascii="David" w:eastAsia="Calibri" w:hAnsi="David"/>
          <w:rtl/>
        </w:rPr>
        <w:t xml:space="preserve"> ייאמר כי, </w:t>
      </w:r>
      <w:r w:rsidRPr="001F1754">
        <w:rPr>
          <w:rFonts w:ascii="David" w:eastAsia="Calibri" w:hAnsi="David"/>
          <w:u w:val="single"/>
          <w:rtl/>
        </w:rPr>
        <w:t>ב</w:t>
      </w:r>
      <w:hyperlink r:id="rId40" w:history="1">
        <w:r w:rsidR="000E1AD2" w:rsidRPr="000E1AD2">
          <w:rPr>
            <w:rFonts w:ascii="David" w:eastAsia="Calibri" w:hAnsi="David"/>
            <w:color w:val="0000FF"/>
            <w:u w:val="single"/>
            <w:rtl/>
          </w:rPr>
          <w:t>רע"פ 1473/18</w:t>
        </w:r>
      </w:hyperlink>
      <w:r w:rsidRPr="001F1754">
        <w:rPr>
          <w:rFonts w:ascii="David" w:eastAsia="Calibri" w:hAnsi="David"/>
          <w:rtl/>
        </w:rPr>
        <w:t xml:space="preserve"> </w:t>
      </w:r>
      <w:r w:rsidRPr="001F1754">
        <w:rPr>
          <w:rFonts w:ascii="David" w:eastAsia="Calibri" w:hAnsi="David"/>
          <w:b/>
          <w:bCs/>
          <w:rtl/>
        </w:rPr>
        <w:t>אוחיון נ' מדינת ישראל</w:t>
      </w:r>
      <w:r w:rsidRPr="001F1754">
        <w:rPr>
          <w:rFonts w:ascii="David" w:eastAsia="Calibri" w:hAnsi="David"/>
          <w:rtl/>
        </w:rPr>
        <w:t xml:space="preserve"> [פורסם בנבו] (22.04.2018), נדחתה בקשת רשות ערעור של נאשם על פסק דינו של בית המשפט המחוזי, אשר קיבל את ערעור המדינה על גזר דינו של בית משפט השלום. הנאשם, צעיר נעדר עבר פלילי, הורשע בהחזקת</w:t>
      </w:r>
      <w:r w:rsidRPr="001F1754">
        <w:rPr>
          <w:rFonts w:ascii="David" w:eastAsia="Calibri" w:hAnsi="David"/>
        </w:rPr>
        <w:t xml:space="preserve">4 </w:t>
      </w:r>
      <w:r w:rsidRPr="001F1754">
        <w:rPr>
          <w:rFonts w:ascii="David" w:eastAsia="Calibri" w:hAnsi="David"/>
          <w:rtl/>
        </w:rPr>
        <w:t xml:space="preserve"> יחידות סם מסוכן מסוג קוקאין, במשקל של 1.6888 גר' נטו וכן בהחזקת יחידת סם מסוכן מסוג קוקאין במשקל של 0.418 גר' נטו, בביתו ושלא לצריכתו העצמית. ערכאת הערעור קבעה כי מתחם העונש נע בין 6 ל- 12 חודשים מאסר, אך מצאה לחרוג לקולה מהמתחם מטעמי שיקום באופן שבו הושת על הנאשם מאסר בן חודשיים לריצוי בעבודות שירות וענישה נלווית</w:t>
      </w:r>
      <w:r w:rsidRPr="001F1754">
        <w:rPr>
          <w:rFonts w:ascii="David" w:eastAsia="Calibri" w:hAnsi="David"/>
        </w:rPr>
        <w:t>.</w:t>
      </w:r>
      <w:r w:rsidRPr="001F1754">
        <w:rPr>
          <w:rFonts w:ascii="David" w:eastAsia="Calibri" w:hAnsi="David"/>
          <w:rtl/>
        </w:rPr>
        <w:t xml:space="preserve"> הנה כי כן, פסיקה זו מלמדת, כי יכול ובתי המשפט יבכרו את שיקולי השיקום אף במקרים חמורים מאלו שלפנינו, תוך סטייה ממתחמי הענישה; </w:t>
      </w:r>
      <w:r w:rsidRPr="001F1754">
        <w:rPr>
          <w:rFonts w:ascii="David" w:eastAsia="Calibri" w:hAnsi="David"/>
          <w:u w:val="single"/>
          <w:rtl/>
        </w:rPr>
        <w:t>ב</w:t>
      </w:r>
      <w:hyperlink r:id="rId41" w:history="1">
        <w:r w:rsidR="000E1AD2" w:rsidRPr="000E1AD2">
          <w:rPr>
            <w:rFonts w:ascii="David" w:eastAsia="Calibri" w:hAnsi="David"/>
            <w:color w:val="0000FF"/>
            <w:u w:val="single"/>
            <w:rtl/>
          </w:rPr>
          <w:t>רע"פ 747/14</w:t>
        </w:r>
      </w:hyperlink>
      <w:r w:rsidRPr="001F1754">
        <w:rPr>
          <w:rFonts w:ascii="David" w:eastAsia="Calibri" w:hAnsi="David"/>
          <w:u w:val="single"/>
          <w:rtl/>
        </w:rPr>
        <w:t xml:space="preserve"> </w:t>
      </w:r>
      <w:r w:rsidRPr="001F1754">
        <w:rPr>
          <w:rFonts w:ascii="David" w:eastAsia="Calibri" w:hAnsi="David"/>
          <w:b/>
          <w:bCs/>
          <w:rtl/>
        </w:rPr>
        <w:t>לוי נ' מדינת ישראל</w:t>
      </w:r>
      <w:r w:rsidRPr="001F1754">
        <w:rPr>
          <w:rFonts w:ascii="David" w:eastAsia="Calibri" w:hAnsi="David"/>
          <w:rtl/>
        </w:rPr>
        <w:t xml:space="preserve"> [פורסם בנבו] (11.02.20214), הנאשם הורשע לאחר שמיעת הוכחות בעבירה של החזקת סמים שלא לצריכה עצמית, בכך שהחזיק כ-5 גר' של סם מסוכן מסוג הרואין, מחולק ל-6 אריזות וכן בעבירה של החזקת סם מסוכן מסוג קוקאין במשקל של 0.095 גר'. בנוסף לאלו, הנאשם הודה והורשע בכתב אישום נוסף אשר ייחס לו החזקת כחצי גר' הרואין לצריכתו העצמית. בית משפט השלום קבע מתחם עונש הולם בגין עבירות של החזקת סם שלא לצריכה עצמית, הנע  בין 8 ל- 18 חודשים מאסר לריצוי בפועל וגזר  על הנאשם עונש בדמות 8 חודשים מאסר לריצוי בפועל.</w:t>
      </w:r>
      <w:r w:rsidR="000E1AD2">
        <w:rPr>
          <w:rFonts w:ascii="David" w:eastAsia="Calibri" w:hAnsi="David"/>
        </w:rPr>
        <w:t xml:space="preserve"> </w:t>
      </w:r>
      <w:r w:rsidRPr="001F1754">
        <w:rPr>
          <w:rFonts w:ascii="David" w:eastAsia="Calibri" w:hAnsi="David"/>
          <w:rtl/>
        </w:rPr>
        <w:t>מקרה זה שונה מעניינו הן בשל כך שהנאשם שם הורשע בשני כתבי אישום שונים והן מפאת הנסיבות שאינן קשורות לביצוע העבירה בשעה שהלה נמצא אך בראשית הליך השיקום וזאת בשונה מענייננו שבו הנאשם עבר וצלח הליך טיפולי משמעותי וממושך; ו</w:t>
      </w:r>
      <w:r w:rsidRPr="001F1754">
        <w:rPr>
          <w:rFonts w:ascii="David" w:eastAsia="Calibri" w:hAnsi="David"/>
          <w:u w:val="single"/>
          <w:rtl/>
        </w:rPr>
        <w:t>ב</w:t>
      </w:r>
      <w:hyperlink r:id="rId42" w:history="1">
        <w:r w:rsidR="000E1AD2" w:rsidRPr="000E1AD2">
          <w:rPr>
            <w:rFonts w:ascii="David" w:eastAsia="Calibri" w:hAnsi="David"/>
            <w:color w:val="0000FF"/>
            <w:u w:val="single"/>
            <w:rtl/>
          </w:rPr>
          <w:t>ת"פ (שלום אשק') 15208-11-20</w:t>
        </w:r>
      </w:hyperlink>
      <w:r w:rsidRPr="001F1754">
        <w:rPr>
          <w:rFonts w:ascii="David" w:eastAsia="Calibri" w:hAnsi="David"/>
          <w:rtl/>
        </w:rPr>
        <w:t xml:space="preserve"> </w:t>
      </w:r>
      <w:r w:rsidRPr="001F1754">
        <w:rPr>
          <w:rFonts w:ascii="David" w:eastAsia="Calibri" w:hAnsi="David"/>
          <w:b/>
          <w:bCs/>
          <w:rtl/>
        </w:rPr>
        <w:t>מדינת ישראל נ' בן לולו</w:t>
      </w:r>
      <w:r w:rsidRPr="001F1754">
        <w:rPr>
          <w:rFonts w:ascii="David" w:eastAsia="Calibri" w:hAnsi="David"/>
          <w:rtl/>
        </w:rPr>
        <w:t xml:space="preserve"> [פורסם בנבו] (20.07.2021), הרי ששם הורשע הנאשם בהחזקת סמים שלא לצריכה עצמית וכן בעבירה של הפרעה לשוטר במילוי תפקידו. הנאשם שם ניהל הליך הוכחות שבסופם הורשע והוטל עליו עונש בדמות 14 חודשים מאסר לריצוי בפועל. ברי כי מקרה זה שונה בתכלית השוני מהמקרה שלפניי הן בשל כך שהנאשם שלפניי הודה והורשע בכתב האישום המתוקן מבלי שניהל הליך הוכחות והן מפאת העובדה כי הלה לא הורשע בעבירה של הפרעה לשוטר במילוי תפקידו. כך שיקשה על בית המשפט לגזור תובנות מפסיקה זו, למקרה המונח לפתחי.</w:t>
      </w:r>
    </w:p>
    <w:p w14:paraId="38710F50" w14:textId="77777777" w:rsidR="00E07A59" w:rsidRPr="001F1754" w:rsidRDefault="00E07A59" w:rsidP="00E07A59">
      <w:pPr>
        <w:pStyle w:val="aa"/>
        <w:numPr>
          <w:ilvl w:val="0"/>
          <w:numId w:val="2"/>
        </w:numPr>
        <w:spacing w:after="0"/>
        <w:rPr>
          <w:noProof/>
        </w:rPr>
      </w:pPr>
      <w:r w:rsidRPr="001F1754">
        <w:rPr>
          <w:rtl/>
        </w:rPr>
        <w:t xml:space="preserve">בכל הנוגע לפסיקה שאליה הפנתה  ההגנה ייאמר כי, </w:t>
      </w:r>
      <w:r w:rsidRPr="001F1754">
        <w:rPr>
          <w:u w:val="single"/>
          <w:rtl/>
        </w:rPr>
        <w:t>ב</w:t>
      </w:r>
      <w:hyperlink r:id="rId43" w:history="1">
        <w:r w:rsidR="000E1AD2" w:rsidRPr="000E1AD2">
          <w:rPr>
            <w:color w:val="0000FF"/>
            <w:u w:val="single"/>
            <w:rtl/>
          </w:rPr>
          <w:t>ת"פ (שלום אשק') 73677-06-20</w:t>
        </w:r>
      </w:hyperlink>
      <w:r w:rsidRPr="001F1754">
        <w:rPr>
          <w:u w:val="single"/>
          <w:rtl/>
        </w:rPr>
        <w:t xml:space="preserve"> </w:t>
      </w:r>
      <w:r w:rsidRPr="001F1754">
        <w:rPr>
          <w:b/>
          <w:bCs/>
          <w:rtl/>
        </w:rPr>
        <w:t xml:space="preserve">מדינת ישראל נ' משיח </w:t>
      </w:r>
      <w:r w:rsidRPr="001F1754">
        <w:rPr>
          <w:rtl/>
        </w:rPr>
        <w:t xml:space="preserve">[טרם פורסם במאגרים המשפטיים] (15.01.2023), הורשע הנאשם, שלחובתו 6 הרשעות קודמות, בעבירה של החזקת סמים שלא לצריכה עצמית מסוג קוקאין במשקל של 10 גרם  ובעבירה של הפרעה לשוטר במילוי תפקידו והוטלו עליו 450 שעות של"צ; </w:t>
      </w:r>
      <w:r w:rsidRPr="001F1754">
        <w:rPr>
          <w:u w:val="single"/>
          <w:rtl/>
        </w:rPr>
        <w:t>ב</w:t>
      </w:r>
      <w:hyperlink r:id="rId44" w:history="1">
        <w:r w:rsidR="000E1AD2" w:rsidRPr="000E1AD2">
          <w:rPr>
            <w:color w:val="0000FF"/>
            <w:u w:val="single"/>
            <w:rtl/>
          </w:rPr>
          <w:t>ת"פ (שלום י-ם) 29664-09-22</w:t>
        </w:r>
      </w:hyperlink>
      <w:r w:rsidRPr="001F1754">
        <w:rPr>
          <w:u w:val="single"/>
          <w:rtl/>
        </w:rPr>
        <w:t xml:space="preserve"> </w:t>
      </w:r>
      <w:r w:rsidRPr="001F1754">
        <w:rPr>
          <w:b/>
          <w:bCs/>
          <w:rtl/>
        </w:rPr>
        <w:t>מדינת ישראל נ' בן אבו</w:t>
      </w:r>
      <w:r w:rsidRPr="001F1754">
        <w:rPr>
          <w:rtl/>
        </w:rPr>
        <w:t xml:space="preserve"> [פורסם בנבו] (25.06.2024), הנאשם הורשע בעבירה של החזקת סם מסוג קנבוס שלא לצריכה עצמית בכמות של כ-133 גר', וניסיון מכירה של 10 גר' של סם מסוכן מסוג קנבוס. בית המשפט ביטל את הרשעת הנאשם והשית עליו עונש בדמות 300 שעות של"צ; </w:t>
      </w:r>
      <w:r w:rsidRPr="001F1754">
        <w:rPr>
          <w:u w:val="single"/>
          <w:rtl/>
        </w:rPr>
        <w:t>ב</w:t>
      </w:r>
      <w:hyperlink r:id="rId45" w:history="1">
        <w:r w:rsidR="000E1AD2" w:rsidRPr="000E1AD2">
          <w:rPr>
            <w:color w:val="0000FF"/>
            <w:u w:val="single"/>
            <w:rtl/>
          </w:rPr>
          <w:t>ת"פ (שלום ב"ש) 8330-12-21</w:t>
        </w:r>
      </w:hyperlink>
      <w:r w:rsidRPr="001F1754">
        <w:rPr>
          <w:rtl/>
        </w:rPr>
        <w:t xml:space="preserve"> </w:t>
      </w:r>
      <w:r w:rsidRPr="001F1754">
        <w:rPr>
          <w:b/>
          <w:bCs/>
          <w:rtl/>
        </w:rPr>
        <w:t>מדינת ישראל נ' לביא</w:t>
      </w:r>
      <w:r w:rsidRPr="001F1754">
        <w:rPr>
          <w:rtl/>
        </w:rPr>
        <w:t xml:space="preserve"> [פורסם בנבו] (05.06.2024), הורשע הנאשם בהחזקת 6 יחידות של סם מסוכן מסוג קנבוס במשקל של 80 גר' שלא לצריכתו העצמית ובהחזקת שרשיר של 20 כדורי תחמושת קליעית של נשק מסוג "נדב" ללא היתר כדין. בית המשפט ביטל את הרשעתו, תוך העדפת שיקולי השיקום והשית עליו עונש בדמות 340 שעות של"צ; </w:t>
      </w:r>
      <w:r w:rsidRPr="001F1754">
        <w:rPr>
          <w:u w:val="single"/>
          <w:rtl/>
        </w:rPr>
        <w:t>וב</w:t>
      </w:r>
      <w:hyperlink r:id="rId46" w:history="1">
        <w:r w:rsidR="000E1AD2" w:rsidRPr="000E1AD2">
          <w:rPr>
            <w:color w:val="0000FF"/>
            <w:u w:val="single"/>
            <w:rtl/>
          </w:rPr>
          <w:t>ת"פ (שלום-י-ם) 8960-10-20</w:t>
        </w:r>
      </w:hyperlink>
      <w:r w:rsidRPr="001F1754">
        <w:rPr>
          <w:u w:val="single"/>
          <w:rtl/>
        </w:rPr>
        <w:t xml:space="preserve"> </w:t>
      </w:r>
      <w:r w:rsidRPr="001F1754">
        <w:rPr>
          <w:b/>
          <w:bCs/>
          <w:rtl/>
        </w:rPr>
        <w:t>מדינת ישראל נ' בוחבוט</w:t>
      </w:r>
      <w:r w:rsidRPr="001F1754">
        <w:rPr>
          <w:rtl/>
        </w:rPr>
        <w:t xml:space="preserve"> [פורסם בנבו] (15.05.2022), הנאשם, בעל עבר פלילי, הורשע בהחזקת  96.5 גר' של סם מסוכן מסוג קוקאין. הנאשם אף צרף תיק נוסף שבו הודה והורשע בעבירה של החזקת סכין שלא כדין. בית המשפט ביטל את הרשעתו, תוך חריגה ממתחם הענישה והשית עליו עונש בדמות 420 שעות של"צ. ערעור המדינה לבית המשפט המחוזי – נדחה. הנה כי כן, </w:t>
      </w:r>
      <w:r w:rsidRPr="001F1754">
        <w:rPr>
          <w:noProof/>
          <w:rtl/>
        </w:rPr>
        <w:t>מפסיקה זו נלמד כי קיימים מקרים שבהם התקיימו נסיבות מיוחדות, ושיקולי שיקום שבהם הושתו עונשים החורגים לקולה ממדיניות הענישה הנוהגת.</w:t>
      </w:r>
    </w:p>
    <w:p w14:paraId="64652F60" w14:textId="77777777" w:rsidR="00E07A59" w:rsidRPr="001F1754" w:rsidRDefault="00E07A59" w:rsidP="00E07A59">
      <w:pPr>
        <w:numPr>
          <w:ilvl w:val="0"/>
          <w:numId w:val="2"/>
        </w:numPr>
        <w:spacing w:line="360" w:lineRule="auto"/>
        <w:ind w:left="-341"/>
        <w:contextualSpacing/>
        <w:jc w:val="both"/>
        <w:rPr>
          <w:rFonts w:ascii="David" w:eastAsia="Calibri" w:hAnsi="David"/>
          <w:rtl/>
        </w:rPr>
      </w:pPr>
      <w:r w:rsidRPr="001F1754">
        <w:rPr>
          <w:rFonts w:ascii="David" w:eastAsia="Calibri" w:hAnsi="David"/>
          <w:rtl/>
        </w:rPr>
        <w:t xml:space="preserve">על כל פנים, וזאת חשוב להדגיש, נהיר לבית המשפט כי קיימים מקרים שבהם הושתו עונשים החורגים, לכאן או לכאן, ממנעד הענישה שהוצג לעיל, ועדיין, דומני כי הפסיקה שהוזכרה היא-היא המייצגת נכונה את מדיניות הענישה הנוהגת. עוד ראוי להזכיר, כי ממילא גם לאחר תיקון 113 הענישה נותרה אינדיווידואלית </w:t>
      </w:r>
      <w:r w:rsidRPr="001F1754">
        <w:rPr>
          <w:rFonts w:ascii="David" w:eastAsia="Calibri" w:hAnsi="David"/>
          <w:b/>
          <w:bCs/>
          <w:rtl/>
        </w:rPr>
        <w:t>ו"אין עסקינן בשיטת ניקוד, או באריתמטיקה. ענישה היא מלאכת מחשבת – ולא מלאכת מחשב"</w:t>
      </w:r>
      <w:r w:rsidRPr="001F1754">
        <w:rPr>
          <w:rFonts w:ascii="David" w:eastAsia="Calibri" w:hAnsi="David"/>
          <w:rtl/>
        </w:rPr>
        <w:t xml:space="preserve"> (ראו לעניין זה,</w:t>
      </w:r>
      <w:r w:rsidRPr="001F1754">
        <w:rPr>
          <w:rFonts w:ascii="David" w:eastAsia="Calibri" w:hAnsi="David"/>
          <w:u w:val="single"/>
          <w:rtl/>
        </w:rPr>
        <w:t xml:space="preserve"> </w:t>
      </w:r>
      <w:hyperlink r:id="rId47" w:history="1">
        <w:r w:rsidR="000E1AD2" w:rsidRPr="000E1AD2">
          <w:rPr>
            <w:rFonts w:ascii="David" w:eastAsia="Calibri" w:hAnsi="David"/>
            <w:color w:val="0000FF"/>
            <w:u w:val="single"/>
            <w:rtl/>
          </w:rPr>
          <w:t>ע"פ 5768/10</w:t>
        </w:r>
      </w:hyperlink>
      <w:r w:rsidRPr="001F1754">
        <w:rPr>
          <w:rFonts w:ascii="David" w:eastAsia="Calibri" w:hAnsi="David"/>
          <w:rtl/>
        </w:rPr>
        <w:t xml:space="preserve"> </w:t>
      </w:r>
      <w:r w:rsidRPr="001F1754">
        <w:rPr>
          <w:rFonts w:ascii="David" w:eastAsia="Calibri" w:hAnsi="David"/>
          <w:b/>
          <w:bCs/>
          <w:rtl/>
        </w:rPr>
        <w:t>פלוני נ' מדינת ישראל</w:t>
      </w:r>
      <w:r w:rsidRPr="001F1754">
        <w:rPr>
          <w:rFonts w:ascii="David" w:eastAsia="Calibri" w:hAnsi="David"/>
          <w:rtl/>
        </w:rPr>
        <w:t xml:space="preserve"> </w:t>
      </w:r>
      <w:r w:rsidRPr="001F1754">
        <w:rPr>
          <w:rFonts w:ascii="David" w:hAnsi="David"/>
          <w:rtl/>
        </w:rPr>
        <w:t xml:space="preserve">[פורסם בנבו] </w:t>
      </w:r>
      <w:r w:rsidRPr="001F1754">
        <w:rPr>
          <w:rFonts w:ascii="David" w:eastAsia="Calibri" w:hAnsi="David"/>
          <w:rtl/>
        </w:rPr>
        <w:t xml:space="preserve">(08.06.2015)). לעולם אין לגזור עונשו של נאשם על סמך כותרות העבירות שבהן הוא הורשע, ויש להתחשב במכלול הנסיבות בכל מקרה לגופו (ראו והשוו, </w:t>
      </w:r>
      <w:hyperlink r:id="rId48" w:history="1">
        <w:r w:rsidR="000E1AD2" w:rsidRPr="000E1AD2">
          <w:rPr>
            <w:rFonts w:ascii="David" w:eastAsia="Calibri" w:hAnsi="David"/>
            <w:color w:val="0000FF"/>
            <w:u w:val="single"/>
            <w:rtl/>
          </w:rPr>
          <w:t>ע"פ 433/89</w:t>
        </w:r>
      </w:hyperlink>
      <w:r w:rsidRPr="001F1754">
        <w:rPr>
          <w:rFonts w:ascii="David" w:eastAsia="Calibri" w:hAnsi="David"/>
          <w:rtl/>
        </w:rPr>
        <w:t xml:space="preserve"> </w:t>
      </w:r>
      <w:r w:rsidRPr="001F1754">
        <w:rPr>
          <w:rFonts w:ascii="David" w:eastAsia="Calibri" w:hAnsi="David"/>
          <w:b/>
          <w:bCs/>
          <w:rtl/>
        </w:rPr>
        <w:t>אטיאס נ' מדינת ישראל</w:t>
      </w:r>
      <w:r w:rsidRPr="001F1754">
        <w:rPr>
          <w:rFonts w:ascii="David" w:eastAsia="Calibri" w:hAnsi="David"/>
          <w:rtl/>
        </w:rPr>
        <w:t xml:space="preserve">, פ"ד מג(4) 170, (1989); </w:t>
      </w:r>
      <w:r w:rsidRPr="001F1754">
        <w:rPr>
          <w:rFonts w:ascii="David" w:eastAsia="Calibri" w:hAnsi="David"/>
          <w:u w:val="single"/>
          <w:rtl/>
        </w:rPr>
        <w:t>ו</w:t>
      </w:r>
      <w:hyperlink r:id="rId49" w:history="1">
        <w:r w:rsidR="000E1AD2" w:rsidRPr="000E1AD2">
          <w:rPr>
            <w:rFonts w:ascii="David" w:eastAsia="Calibri" w:hAnsi="David"/>
            <w:color w:val="0000FF"/>
            <w:u w:val="single"/>
            <w:rtl/>
          </w:rPr>
          <w:t>רע"פ 3173/09</w:t>
        </w:r>
      </w:hyperlink>
      <w:r w:rsidRPr="001F1754">
        <w:rPr>
          <w:rFonts w:ascii="David" w:eastAsia="Calibri" w:hAnsi="David"/>
          <w:rtl/>
        </w:rPr>
        <w:t xml:space="preserve"> </w:t>
      </w:r>
      <w:r w:rsidRPr="001F1754">
        <w:rPr>
          <w:rFonts w:ascii="David" w:eastAsia="Calibri" w:hAnsi="David"/>
          <w:b/>
          <w:bCs/>
          <w:rtl/>
        </w:rPr>
        <w:t>פראגין נ' מדינת ישראל</w:t>
      </w:r>
      <w:r w:rsidRPr="001F1754">
        <w:rPr>
          <w:rFonts w:ascii="David" w:eastAsia="Calibri" w:hAnsi="David"/>
          <w:rtl/>
        </w:rPr>
        <w:t xml:space="preserve"> </w:t>
      </w:r>
      <w:r w:rsidRPr="001F1754">
        <w:rPr>
          <w:rFonts w:ascii="David" w:hAnsi="David"/>
          <w:rtl/>
        </w:rPr>
        <w:t>[פורסם בנבו]</w:t>
      </w:r>
      <w:r w:rsidRPr="001F1754">
        <w:rPr>
          <w:rFonts w:ascii="David" w:eastAsia="Calibri" w:hAnsi="David"/>
          <w:rtl/>
        </w:rPr>
        <w:t xml:space="preserve"> (05.05.2009)). לבסוף, ראוי להזכיר כי השיקול של "מדיניות הענישה" הינו אך שיקול אחד מבין מכלול השיקולים אותם ישקול בית המשפט בטרם קביעת מתחם העונש ההולם וגזירת הדין (ראו בעניין זה, </w:t>
      </w:r>
      <w:hyperlink r:id="rId50" w:history="1">
        <w:r w:rsidR="000E1AD2" w:rsidRPr="000E1AD2">
          <w:rPr>
            <w:rFonts w:ascii="David" w:eastAsia="Calibri" w:hAnsi="David"/>
            <w:color w:val="0000FF"/>
            <w:u w:val="single"/>
            <w:rtl/>
          </w:rPr>
          <w:t>ע"פ 1903/13</w:t>
        </w:r>
      </w:hyperlink>
      <w:r w:rsidRPr="001F1754">
        <w:rPr>
          <w:rFonts w:ascii="David" w:eastAsia="Calibri" w:hAnsi="David"/>
          <w:rtl/>
        </w:rPr>
        <w:t xml:space="preserve"> </w:t>
      </w:r>
      <w:r w:rsidRPr="001F1754">
        <w:rPr>
          <w:rFonts w:ascii="David" w:eastAsia="Calibri" w:hAnsi="David"/>
          <w:b/>
          <w:bCs/>
          <w:rtl/>
        </w:rPr>
        <w:t>עיאשה נ' מדינת ישראל</w:t>
      </w:r>
      <w:r w:rsidRPr="001F1754">
        <w:rPr>
          <w:rFonts w:ascii="David" w:eastAsia="Calibri" w:hAnsi="David"/>
          <w:rtl/>
        </w:rPr>
        <w:t xml:space="preserve"> </w:t>
      </w:r>
      <w:r w:rsidRPr="001F1754">
        <w:rPr>
          <w:rFonts w:ascii="David" w:hAnsi="David"/>
          <w:rtl/>
        </w:rPr>
        <w:t xml:space="preserve">[פורסם בנבו] </w:t>
      </w:r>
      <w:r w:rsidRPr="001F1754">
        <w:rPr>
          <w:rFonts w:ascii="David" w:eastAsia="Calibri" w:hAnsi="David"/>
          <w:rtl/>
        </w:rPr>
        <w:t xml:space="preserve">(25.06.2013)). </w:t>
      </w:r>
    </w:p>
    <w:p w14:paraId="18D76260" w14:textId="77777777" w:rsidR="00E07A59" w:rsidRPr="001F1754" w:rsidRDefault="00E07A59" w:rsidP="00E07A59">
      <w:pPr>
        <w:numPr>
          <w:ilvl w:val="0"/>
          <w:numId w:val="2"/>
        </w:numPr>
        <w:spacing w:line="360" w:lineRule="auto"/>
        <w:ind w:left="-341"/>
        <w:contextualSpacing/>
        <w:jc w:val="both"/>
        <w:rPr>
          <w:rFonts w:ascii="David" w:eastAsia="Calibri" w:hAnsi="David"/>
          <w:b/>
          <w:bCs/>
        </w:rPr>
      </w:pPr>
      <w:r w:rsidRPr="001F1754">
        <w:rPr>
          <w:rFonts w:ascii="David" w:hAnsi="David"/>
          <w:rtl/>
        </w:rPr>
        <w:t xml:space="preserve">כללם של דברים, לאחר שנתתי את דעתי לעיקרון המנחה בענישה, לערכים המוגנים שנפגעו ולמידת הפגיעה בהם, למדיניות הענישה הנוהגת ולנסיבות הקשורות בביצוע העבירה, כפי שפורט בהרחבה לעיל, </w:t>
      </w:r>
      <w:r w:rsidRPr="001F1754">
        <w:rPr>
          <w:rFonts w:ascii="David" w:eastAsia="Calibri" w:hAnsi="David"/>
          <w:rtl/>
        </w:rPr>
        <w:t xml:space="preserve">נדמה כי </w:t>
      </w:r>
      <w:r w:rsidRPr="001F1754">
        <w:rPr>
          <w:rFonts w:ascii="David" w:eastAsia="Calibri" w:hAnsi="David"/>
          <w:b/>
          <w:bCs/>
          <w:rtl/>
        </w:rPr>
        <w:t>על מתחם העונש ההולם במקרה הנדון לנוע בין מאסר של כמה חודשים שניתן לרצותם בעבודות שירות לבין 12 חודשים מאסר בפועל.</w:t>
      </w:r>
    </w:p>
    <w:p w14:paraId="19E5B0F4" w14:textId="77777777" w:rsidR="00E07A59" w:rsidRPr="001F1754" w:rsidRDefault="00E07A59" w:rsidP="00E07A59">
      <w:pPr>
        <w:spacing w:line="360" w:lineRule="auto"/>
        <w:ind w:left="-341"/>
        <w:contextualSpacing/>
        <w:jc w:val="both"/>
        <w:rPr>
          <w:rFonts w:ascii="David" w:eastAsia="Calibri" w:hAnsi="David"/>
          <w:b/>
          <w:bCs/>
        </w:rPr>
      </w:pPr>
    </w:p>
    <w:p w14:paraId="1BC23D56" w14:textId="77777777" w:rsidR="00E07A59" w:rsidRPr="001F1754" w:rsidRDefault="00E07A59" w:rsidP="00E07A59">
      <w:pPr>
        <w:pStyle w:val="1"/>
        <w:numPr>
          <w:ilvl w:val="0"/>
          <w:numId w:val="3"/>
        </w:numPr>
        <w:spacing w:before="0" w:line="360" w:lineRule="auto"/>
        <w:ind w:left="-341" w:right="-426"/>
        <w:jc w:val="both"/>
        <w:rPr>
          <w:rFonts w:ascii="David" w:hAnsi="David" w:cs="David"/>
          <w:b/>
          <w:bCs/>
          <w:color w:val="auto"/>
          <w:sz w:val="28"/>
          <w:szCs w:val="28"/>
          <w:u w:val="single"/>
        </w:rPr>
      </w:pPr>
      <w:r w:rsidRPr="001F1754">
        <w:rPr>
          <w:rFonts w:ascii="David" w:hAnsi="David" w:cs="David"/>
          <w:b/>
          <w:bCs/>
          <w:color w:val="auto"/>
          <w:sz w:val="28"/>
          <w:szCs w:val="28"/>
          <w:u w:val="single"/>
          <w:rtl/>
        </w:rPr>
        <w:t>גזירת העונש המתאים לנאשם</w:t>
      </w:r>
    </w:p>
    <w:p w14:paraId="05B7C4AB" w14:textId="77777777" w:rsidR="00E07A59" w:rsidRPr="001F1754" w:rsidRDefault="00E07A59" w:rsidP="00E07A59">
      <w:pPr>
        <w:pStyle w:val="11"/>
        <w:numPr>
          <w:ilvl w:val="0"/>
          <w:numId w:val="2"/>
        </w:numPr>
        <w:tabs>
          <w:tab w:val="right" w:pos="7371"/>
        </w:tabs>
        <w:spacing w:after="0"/>
        <w:ind w:left="-341" w:right="284" w:hanging="426"/>
        <w:rPr>
          <w:rFonts w:ascii="David" w:hAnsi="David" w:cs="David"/>
          <w:sz w:val="24"/>
          <w:szCs w:val="24"/>
          <w:rtl/>
        </w:rPr>
      </w:pPr>
      <w:r w:rsidRPr="001F1754">
        <w:rPr>
          <w:rFonts w:ascii="David" w:hAnsi="David" w:cs="David"/>
          <w:sz w:val="24"/>
          <w:szCs w:val="24"/>
          <w:rtl/>
        </w:rPr>
        <w:t xml:space="preserve">כעת נותר לגזור את עונשו של הנאשם, ולצורך כך, כמצוות המחוקק </w:t>
      </w:r>
      <w:hyperlink r:id="rId51" w:history="1">
        <w:r w:rsidR="00BF4CBC" w:rsidRPr="00BF4CBC">
          <w:rPr>
            <w:rStyle w:val="Hyperlink"/>
            <w:rFonts w:ascii="David" w:hAnsi="David" w:cs="David"/>
            <w:color w:val="0000FF"/>
            <w:sz w:val="24"/>
            <w:szCs w:val="24"/>
            <w:rtl/>
          </w:rPr>
          <w:t>בסעיף 40יא</w:t>
        </w:r>
      </w:hyperlink>
      <w:r w:rsidRPr="001F1754">
        <w:rPr>
          <w:rFonts w:ascii="David" w:hAnsi="David" w:cs="David"/>
          <w:sz w:val="24"/>
          <w:szCs w:val="24"/>
          <w:rtl/>
        </w:rPr>
        <w:t xml:space="preserve"> </w:t>
      </w:r>
      <w:r w:rsidRPr="001F1754">
        <w:rPr>
          <w:rFonts w:ascii="David" w:hAnsi="David" w:cs="David"/>
          <w:sz w:val="24"/>
          <w:szCs w:val="24"/>
          <w:u w:val="single"/>
          <w:rtl/>
        </w:rPr>
        <w:t>ל</w:t>
      </w:r>
      <w:hyperlink r:id="rId52" w:history="1">
        <w:r w:rsidR="000E1AD2" w:rsidRPr="000E1AD2">
          <w:rPr>
            <w:rFonts w:ascii="David" w:hAnsi="David" w:cs="David"/>
            <w:color w:val="0000FF"/>
            <w:sz w:val="24"/>
            <w:szCs w:val="24"/>
            <w:u w:val="single"/>
            <w:rtl/>
          </w:rPr>
          <w:t>חוק העונשין</w:t>
        </w:r>
      </w:hyperlink>
      <w:r w:rsidRPr="001F1754">
        <w:rPr>
          <w:rFonts w:ascii="David" w:hAnsi="David" w:cs="David"/>
          <w:sz w:val="24"/>
          <w:szCs w:val="24"/>
          <w:rtl/>
        </w:rPr>
        <w:t xml:space="preserve">, יש להתחשב  בנסיבות שאינן קשורות בביצוע העבירה. </w:t>
      </w:r>
    </w:p>
    <w:p w14:paraId="76007EFA" w14:textId="77777777" w:rsidR="00E07A59" w:rsidRPr="001F1754" w:rsidRDefault="00E07A59" w:rsidP="00E07A59">
      <w:pPr>
        <w:pStyle w:val="11"/>
        <w:numPr>
          <w:ilvl w:val="0"/>
          <w:numId w:val="2"/>
        </w:numPr>
        <w:tabs>
          <w:tab w:val="right" w:pos="7371"/>
        </w:tabs>
        <w:spacing w:after="0"/>
        <w:ind w:left="-341" w:right="284" w:hanging="426"/>
        <w:rPr>
          <w:rFonts w:ascii="David" w:hAnsi="David" w:cs="David"/>
          <w:sz w:val="24"/>
          <w:szCs w:val="24"/>
          <w:rtl/>
        </w:rPr>
      </w:pPr>
      <w:r w:rsidRPr="001F1754">
        <w:rPr>
          <w:rFonts w:ascii="David" w:hAnsi="David" w:cs="David"/>
          <w:sz w:val="24"/>
          <w:szCs w:val="24"/>
          <w:rtl/>
        </w:rPr>
        <w:t xml:space="preserve"> בעניין זה נתתי דעתי לכך כי הנאשם הודה במיוחס לו והביא לחיסכון בזמן שיפוטי יקר; להיותו חף מהרשעות קודמות; ולעובדה שהנאשם הביע חרטה כנה על מעשיו. כן הבאתי בחשבון את הפגיעה שעלולה להיגרם לנאשם ככל שיושת עליו עונש מאסר, ולו לריצוי בעבודות שירות, וזאת בשים לב לגילו הצעיר ולכך שהלה חף מהרשעות קודמות וכי הכלא זר לו. </w:t>
      </w:r>
    </w:p>
    <w:p w14:paraId="0C143921" w14:textId="77777777" w:rsidR="00E07A59" w:rsidRPr="001F1754" w:rsidRDefault="00E07A59" w:rsidP="00E07A59">
      <w:pPr>
        <w:pStyle w:val="11"/>
        <w:numPr>
          <w:ilvl w:val="0"/>
          <w:numId w:val="2"/>
        </w:numPr>
        <w:tabs>
          <w:tab w:val="right" w:pos="7371"/>
        </w:tabs>
        <w:spacing w:after="0"/>
        <w:ind w:left="-341" w:right="284" w:hanging="426"/>
        <w:rPr>
          <w:rFonts w:ascii="David" w:hAnsi="David" w:cs="David"/>
          <w:sz w:val="24"/>
          <w:szCs w:val="24"/>
        </w:rPr>
      </w:pPr>
      <w:r w:rsidRPr="001F1754">
        <w:rPr>
          <w:rFonts w:ascii="David" w:hAnsi="David" w:cs="David"/>
          <w:sz w:val="24"/>
          <w:szCs w:val="24"/>
          <w:rtl/>
        </w:rPr>
        <w:t>עוד נתתי דעתי לעובדה שהעבירה שבמוקד כתב האישום המתוקן בוצעה לפני כ- שלוש שנים וחצי  אם כי, את מירב המשקל בנקודה זו יש להעניק לא לאותה ספירת זמן "טכנית" –אלא לכך שבפרק הזמן שחלף מאז, הנאשם שיתף פעולה באופן מלא עם שירות המבחן, וכמובן נמנע מלהסתבך עוד בפלילים.</w:t>
      </w:r>
    </w:p>
    <w:p w14:paraId="7EE067A6" w14:textId="77777777" w:rsidR="00E07A59" w:rsidRPr="001F1754" w:rsidRDefault="00E07A59" w:rsidP="00E07A59">
      <w:pPr>
        <w:pStyle w:val="aa"/>
        <w:numPr>
          <w:ilvl w:val="0"/>
          <w:numId w:val="2"/>
        </w:numPr>
        <w:tabs>
          <w:tab w:val="right" w:pos="7371"/>
        </w:tabs>
        <w:spacing w:after="0"/>
        <w:ind w:left="-341" w:right="284"/>
      </w:pPr>
      <w:r w:rsidRPr="001F1754">
        <w:rPr>
          <w:rtl/>
        </w:rPr>
        <w:t xml:space="preserve">כל אלה, על פניו, היו צריכים להביא את בית-המשפט למסקנה כי יש לגזור את עונשו של הנאשם ברף הנמוך של מתחם העונש ההולם. אולם, בשים לב לאמור </w:t>
      </w:r>
      <w:hyperlink r:id="rId53" w:history="1">
        <w:r w:rsidR="00BF4CBC" w:rsidRPr="00BF4CBC">
          <w:rPr>
            <w:rStyle w:val="Hyperlink"/>
            <w:rFonts w:ascii="David" w:hAnsi="David" w:cs="David"/>
            <w:color w:val="0000FF"/>
            <w:rtl/>
          </w:rPr>
          <w:t>בסעיף 40ד(א)</w:t>
        </w:r>
      </w:hyperlink>
      <w:r w:rsidRPr="001F1754">
        <w:rPr>
          <w:rtl/>
        </w:rPr>
        <w:t xml:space="preserve"> </w:t>
      </w:r>
      <w:r w:rsidRPr="001F1754">
        <w:rPr>
          <w:u w:val="single"/>
          <w:rtl/>
        </w:rPr>
        <w:t>ל</w:t>
      </w:r>
      <w:hyperlink r:id="rId54" w:history="1">
        <w:r w:rsidR="000E1AD2" w:rsidRPr="000E1AD2">
          <w:rPr>
            <w:color w:val="0000FF"/>
            <w:u w:val="single"/>
            <w:rtl/>
          </w:rPr>
          <w:t>חוק העונשין</w:t>
        </w:r>
      </w:hyperlink>
      <w:r w:rsidRPr="001F1754">
        <w:rPr>
          <w:u w:val="single"/>
          <w:rtl/>
        </w:rPr>
        <w:t xml:space="preserve">, </w:t>
      </w:r>
      <w:r w:rsidRPr="001F1754">
        <w:rPr>
          <w:rtl/>
        </w:rPr>
        <w:t xml:space="preserve">שוכנעתי כי יש מקום במקרה הנדון לסטות לקולה מהמתחם שקבעתי לעיל, וזאת לאחר שהשתכנעתי כי קיים סיכוי של ממש כי הנאשם ישתקם בעתיד. </w:t>
      </w:r>
      <w:r w:rsidRPr="001F1754">
        <w:rPr>
          <w:b/>
          <w:bCs/>
          <w:rtl/>
        </w:rPr>
        <w:t>ובמה דברים אמורים?</w:t>
      </w:r>
    </w:p>
    <w:p w14:paraId="01F54225" w14:textId="77777777" w:rsidR="00E07A59" w:rsidRPr="001F1754" w:rsidRDefault="00E07A59" w:rsidP="00E07A59">
      <w:pPr>
        <w:pStyle w:val="aa"/>
        <w:numPr>
          <w:ilvl w:val="0"/>
          <w:numId w:val="2"/>
        </w:numPr>
        <w:tabs>
          <w:tab w:val="right" w:pos="7371"/>
        </w:tabs>
        <w:spacing w:after="0"/>
        <w:ind w:left="-341" w:right="284"/>
      </w:pPr>
      <w:r w:rsidRPr="001F1754">
        <w:rPr>
          <w:b/>
          <w:bCs/>
          <w:rtl/>
        </w:rPr>
        <w:t>בראש ובראשונה,</w:t>
      </w:r>
      <w:r w:rsidRPr="001F1754">
        <w:rPr>
          <w:rtl/>
        </w:rPr>
        <w:t xml:space="preserve"> יצוין כי בשלב הטיעונים לעונש הייתה לבית-המשפט הזדמנות להתרשם מהנאשם בצורה בלתי אמצעית, עת בין היתר הוא לקח אחריות מלאה על מעשיו והצטער עליהם, ושוכנעתי כי הלה מכה על חטא ומביע חרטה כנה ומעמקי ליבו. כמו כן, ניכר כי ההליכים המשפטיים יצרו השפעה מרתיעה ומציבה גבולות עבורו, והובילוהו להתבוננות בבחירותיו ודפוסיו. עוד יצוין, כי במהלך פרק הזמן שחלף מאז ביצוע העבירה הנאשם גם מסר בדיקות לאיתור שרידי סם שהעידו על ניקיונו מסמים תוך שהלה נמנע מלשוב ולהסתבך בפלילים.</w:t>
      </w:r>
    </w:p>
    <w:p w14:paraId="38F73C37" w14:textId="77777777" w:rsidR="00E07A59" w:rsidRPr="001F1754" w:rsidRDefault="00E07A59" w:rsidP="00E07A59">
      <w:pPr>
        <w:pStyle w:val="aa"/>
        <w:numPr>
          <w:ilvl w:val="0"/>
          <w:numId w:val="2"/>
        </w:numPr>
        <w:spacing w:after="0"/>
        <w:ind w:right="284"/>
      </w:pPr>
      <w:r w:rsidRPr="001F1754">
        <w:rPr>
          <w:b/>
          <w:bCs/>
          <w:rtl/>
        </w:rPr>
        <w:t>שנית,</w:t>
      </w:r>
      <w:r w:rsidRPr="001F1754">
        <w:rPr>
          <w:rtl/>
        </w:rPr>
        <w:t xml:space="preserve"> הבאתי בחשבון בין מכלול שיקוליי את </w:t>
      </w:r>
      <w:r w:rsidRPr="001F1754">
        <w:rPr>
          <w:b/>
          <w:bCs/>
          <w:rtl/>
        </w:rPr>
        <w:t>גילו הצעיר של הנאשם</w:t>
      </w:r>
      <w:r w:rsidRPr="001F1754">
        <w:rPr>
          <w:rtl/>
        </w:rPr>
        <w:t xml:space="preserve">, הן בעת ביצוע העבירה והן כיום. כזכור, הנאשם ביצע את העבירה עת היה כבן 20 בלבד. כיום הנאשם כבן 24, ולא מן הנמנע לסבור שהוא משתייך לקבוצת </w:t>
      </w:r>
      <w:r w:rsidRPr="001F1754">
        <w:rPr>
          <w:b/>
          <w:bCs/>
          <w:rtl/>
        </w:rPr>
        <w:t>"הבגירים צעירים"</w:t>
      </w:r>
      <w:r w:rsidRPr="001F1754">
        <w:rPr>
          <w:rtl/>
        </w:rPr>
        <w:t xml:space="preserve">. ברי כי יש לבחון כל מקרה לגופו ו"בגיר צעיר" איננו ביטוי קסם, ואין זה אומר כי נאשם המשתייך לקבוצת הגיל האמורה צריך לזכות באופן אוטומטי להקלה בעונשו. יחד עם זאת, כדבריו של כב' השו' א' רובינשטיין </w:t>
      </w:r>
      <w:r w:rsidRPr="001F1754">
        <w:rPr>
          <w:u w:val="single"/>
          <w:rtl/>
        </w:rPr>
        <w:t>ב</w:t>
      </w:r>
      <w:hyperlink r:id="rId55" w:history="1">
        <w:r w:rsidR="000E1AD2" w:rsidRPr="000E1AD2">
          <w:rPr>
            <w:color w:val="0000FF"/>
            <w:u w:val="single"/>
            <w:rtl/>
          </w:rPr>
          <w:t>ע"פ 4466/13</w:t>
        </w:r>
      </w:hyperlink>
      <w:r w:rsidRPr="001F1754">
        <w:rPr>
          <w:rtl/>
        </w:rPr>
        <w:t xml:space="preserve"> ‏</w:t>
      </w:r>
      <w:r w:rsidRPr="001F1754">
        <w:rPr>
          <w:b/>
          <w:bCs/>
          <w:rtl/>
        </w:rPr>
        <w:t xml:space="preserve">פורטל נ' מדינת ישראל </w:t>
      </w:r>
      <w:r w:rsidRPr="001F1754">
        <w:rPr>
          <w:rtl/>
        </w:rPr>
        <w:t>[פורסם בנבו] (22.05.2014), גילו של הנאשם והיותו ב"גיל המעבר" מקטינות לבגירות הוא נתון שבהחלט יש להידרש אליו (כן ראו השיקולים שפורטו לעניין שאלת ההרשעה, שבהם גילו של הנאשם, ב</w:t>
      </w:r>
      <w:hyperlink r:id="rId56" w:history="1">
        <w:r w:rsidR="000E1AD2" w:rsidRPr="000E1AD2">
          <w:rPr>
            <w:color w:val="0000FF"/>
            <w:u w:val="single"/>
            <w:rtl/>
          </w:rPr>
          <w:t>ע"פ 2669/00</w:t>
        </w:r>
      </w:hyperlink>
      <w:r w:rsidRPr="001F1754">
        <w:rPr>
          <w:rtl/>
        </w:rPr>
        <w:t xml:space="preserve"> </w:t>
      </w:r>
      <w:r w:rsidRPr="001F1754">
        <w:rPr>
          <w:b/>
          <w:bCs/>
          <w:rtl/>
        </w:rPr>
        <w:t>מדינת ישראל נ' פלוני</w:t>
      </w:r>
      <w:r w:rsidRPr="001F1754">
        <w:rPr>
          <w:rtl/>
        </w:rPr>
        <w:t>, נד(3) 685 (2000), אשר צוטט קודם לכן).</w:t>
      </w:r>
    </w:p>
    <w:p w14:paraId="7FCDDB5A" w14:textId="77777777" w:rsidR="00E07A59" w:rsidRPr="001F1754" w:rsidRDefault="00E07A59" w:rsidP="00E07A59">
      <w:pPr>
        <w:pStyle w:val="11"/>
        <w:numPr>
          <w:ilvl w:val="0"/>
          <w:numId w:val="2"/>
        </w:numPr>
        <w:tabs>
          <w:tab w:val="right" w:pos="7371"/>
        </w:tabs>
        <w:spacing w:after="0"/>
        <w:ind w:left="-341" w:right="284"/>
        <w:rPr>
          <w:rFonts w:ascii="David" w:hAnsi="David" w:cs="David"/>
          <w:sz w:val="24"/>
          <w:szCs w:val="24"/>
        </w:rPr>
      </w:pPr>
      <w:r w:rsidRPr="001F1754">
        <w:rPr>
          <w:rFonts w:ascii="David" w:hAnsi="David" w:cs="David"/>
          <w:b/>
          <w:bCs/>
          <w:sz w:val="24"/>
          <w:szCs w:val="24"/>
          <w:rtl/>
        </w:rPr>
        <w:t>שלישית,</w:t>
      </w:r>
      <w:r w:rsidRPr="001F1754">
        <w:rPr>
          <w:rFonts w:ascii="David" w:hAnsi="David" w:cs="David"/>
          <w:sz w:val="24"/>
          <w:szCs w:val="24"/>
          <w:rtl/>
        </w:rPr>
        <w:t xml:space="preserve"> לא אוכל להתעלם מההליך הטיפולי–שיקומי הממושך שעבר הנאשם </w:t>
      </w:r>
      <w:r w:rsidRPr="001F1754">
        <w:rPr>
          <w:rFonts w:ascii="David" w:hAnsi="David" w:cs="David"/>
          <w:b/>
          <w:bCs/>
          <w:sz w:val="24"/>
          <w:szCs w:val="24"/>
          <w:rtl/>
        </w:rPr>
        <w:t>כעולה מהאמור בתסקירי שירות המבחן</w:t>
      </w:r>
      <w:r w:rsidRPr="001F1754">
        <w:rPr>
          <w:rFonts w:ascii="David" w:hAnsi="David" w:cs="David"/>
          <w:sz w:val="24"/>
          <w:szCs w:val="24"/>
          <w:rtl/>
        </w:rPr>
        <w:t xml:space="preserve">. </w:t>
      </w:r>
    </w:p>
    <w:p w14:paraId="17650695" w14:textId="77777777" w:rsidR="00E07A59" w:rsidRPr="001F1754" w:rsidRDefault="00E07A59" w:rsidP="00E07A59">
      <w:pPr>
        <w:pStyle w:val="11"/>
        <w:numPr>
          <w:ilvl w:val="0"/>
          <w:numId w:val="2"/>
        </w:numPr>
        <w:tabs>
          <w:tab w:val="right" w:pos="7371"/>
        </w:tabs>
        <w:spacing w:after="0"/>
        <w:ind w:left="-341" w:right="284"/>
        <w:rPr>
          <w:rFonts w:ascii="David" w:hAnsi="David" w:cs="David"/>
          <w:sz w:val="24"/>
          <w:szCs w:val="24"/>
        </w:rPr>
      </w:pPr>
      <w:r w:rsidRPr="001F1754">
        <w:rPr>
          <w:rFonts w:ascii="David" w:hAnsi="David" w:cs="David"/>
          <w:sz w:val="24"/>
          <w:szCs w:val="24"/>
          <w:rtl/>
        </w:rPr>
        <w:t xml:space="preserve">כך, </w:t>
      </w:r>
      <w:r w:rsidRPr="001F1754">
        <w:rPr>
          <w:rFonts w:ascii="David" w:hAnsi="David" w:cs="David"/>
          <w:sz w:val="24"/>
          <w:szCs w:val="24"/>
          <w:u w:val="single"/>
          <w:rtl/>
        </w:rPr>
        <w:t>מתסקיר שירות המבחן שהוגש בעניינו של הנאשם ביום 26.12.2023</w:t>
      </w:r>
      <w:r w:rsidRPr="001F1754">
        <w:rPr>
          <w:rFonts w:ascii="David" w:hAnsi="David" w:cs="David"/>
          <w:sz w:val="24"/>
          <w:szCs w:val="24"/>
          <w:rtl/>
        </w:rPr>
        <w:t xml:space="preserve"> התרשם שירות המבחן מגורמי </w:t>
      </w:r>
      <w:r w:rsidRPr="001F1754">
        <w:rPr>
          <w:rFonts w:ascii="David" w:hAnsi="David" w:cs="David"/>
          <w:b/>
          <w:bCs/>
          <w:sz w:val="24"/>
          <w:szCs w:val="24"/>
          <w:rtl/>
        </w:rPr>
        <w:t>הסיכון</w:t>
      </w:r>
      <w:r w:rsidRPr="001F1754">
        <w:rPr>
          <w:rFonts w:ascii="David" w:hAnsi="David" w:cs="David"/>
          <w:sz w:val="24"/>
          <w:szCs w:val="24"/>
          <w:rtl/>
        </w:rPr>
        <w:t xml:space="preserve"> להישנות התנהגות פורצת חוק בתחום עבירות הסמים. להערכתו זו הגיע השירות תוך שהביא בין מכלול שיקוליו את הנתונים הבאים: דפוס התמכרותי; חבירה לחברה שולית מגיל צעיר;</w:t>
      </w:r>
      <w:r w:rsidRPr="001F1754">
        <w:rPr>
          <w:rFonts w:ascii="David" w:hAnsi="David" w:cs="David"/>
          <w:sz w:val="24"/>
          <w:szCs w:val="24"/>
        </w:rPr>
        <w:t xml:space="preserve"> </w:t>
      </w:r>
      <w:r w:rsidRPr="001F1754">
        <w:rPr>
          <w:rFonts w:ascii="David" w:hAnsi="David" w:cs="David"/>
          <w:sz w:val="24"/>
          <w:szCs w:val="24"/>
          <w:rtl/>
        </w:rPr>
        <w:t xml:space="preserve">סביבה משפחתית נעדרת יציבות ופניות; העדר תמיכה מציבת גבול והיות הנאשם בעל גבולות רופפים. לצד זאת התרשם השירות כי הנאשם הינו צעיר; נעדר עבר פלילי; גמילתו העצמית מסמים; והעובדה כי הלה מכיר בהתנהלותו הכושלת ומביע מוטיבציה לטיפול. </w:t>
      </w:r>
    </w:p>
    <w:p w14:paraId="19BA3169" w14:textId="77777777" w:rsidR="00E07A59" w:rsidRPr="001F1754" w:rsidRDefault="00E07A59" w:rsidP="00E07A59">
      <w:pPr>
        <w:pStyle w:val="11"/>
        <w:tabs>
          <w:tab w:val="right" w:pos="7371"/>
        </w:tabs>
        <w:spacing w:after="0"/>
        <w:ind w:left="-341" w:right="284" w:firstLine="0"/>
        <w:rPr>
          <w:rFonts w:ascii="David" w:hAnsi="David" w:cs="David"/>
          <w:sz w:val="24"/>
          <w:szCs w:val="24"/>
        </w:rPr>
      </w:pPr>
      <w:r w:rsidRPr="001F1754">
        <w:rPr>
          <w:rFonts w:ascii="David" w:hAnsi="David" w:cs="David"/>
          <w:sz w:val="24"/>
          <w:szCs w:val="24"/>
          <w:rtl/>
        </w:rPr>
        <w:t xml:space="preserve">בסופו של תסקיר, ציין השירות כי בשל האמביוולנטיות ביחסו של הנאשם להליך טיפולי, יש מקום לדחות את הדיון לצורך ניסיון לגייסו לטיפול בתחום הסמים במרכז לטיפול בהתמכרויות באשדוד. </w:t>
      </w:r>
    </w:p>
    <w:p w14:paraId="1706543A" w14:textId="77777777" w:rsidR="00E07A59" w:rsidRPr="001F1754" w:rsidRDefault="00E07A59" w:rsidP="00E07A59">
      <w:pPr>
        <w:pStyle w:val="aa"/>
        <w:numPr>
          <w:ilvl w:val="0"/>
          <w:numId w:val="2"/>
        </w:numPr>
        <w:spacing w:after="0"/>
        <w:ind w:right="284"/>
      </w:pPr>
      <w:r w:rsidRPr="001F1754">
        <w:rPr>
          <w:rtl/>
        </w:rPr>
        <w:t xml:space="preserve">כך, </w:t>
      </w:r>
      <w:r w:rsidRPr="001F1754">
        <w:rPr>
          <w:u w:val="single"/>
          <w:rtl/>
        </w:rPr>
        <w:t xml:space="preserve">מתסקיר שירות המבחן שהוגש בעניינו של הנאשם ביום  06.03.2024 </w:t>
      </w:r>
      <w:r w:rsidRPr="001F1754">
        <w:rPr>
          <w:rtl/>
        </w:rPr>
        <w:t xml:space="preserve">עלה, כי הנאשם החל לעבוד בהתקנת מערכות כיבוי וכי הלה שולב במרכז לטיפול בהתמכרויות באשדוד. בהמשך לאלו ציין השירות כי על פי גורמי הטיפול הנאשם עומד בדרישות המסגרת ומשתף פעולה. עוד עדכן השירות כי לא נפתחו תיקים פליליים חדשים בתקופה זו כנגד הנאשם. </w:t>
      </w:r>
    </w:p>
    <w:p w14:paraId="68D9E8B2" w14:textId="77777777" w:rsidR="00E07A59" w:rsidRPr="001F1754" w:rsidRDefault="00E07A59" w:rsidP="00E07A59">
      <w:pPr>
        <w:pStyle w:val="aa"/>
        <w:numPr>
          <w:ilvl w:val="0"/>
          <w:numId w:val="2"/>
        </w:numPr>
        <w:tabs>
          <w:tab w:val="right" w:pos="7371"/>
        </w:tabs>
        <w:spacing w:after="0"/>
        <w:ind w:left="-341" w:right="284"/>
      </w:pPr>
      <w:r w:rsidRPr="001F1754">
        <w:rPr>
          <w:rtl/>
        </w:rPr>
        <w:t xml:space="preserve">כך, </w:t>
      </w:r>
      <w:r w:rsidRPr="001F1754">
        <w:rPr>
          <w:u w:val="single"/>
          <w:rtl/>
        </w:rPr>
        <w:t>מתסקיר שירות המבחן שהוגש בעניינו של הנאשם ביום  19.05.2024 עלה,</w:t>
      </w:r>
      <w:r w:rsidRPr="001F1754">
        <w:rPr>
          <w:rtl/>
        </w:rPr>
        <w:t xml:space="preserve"> כי הנאשם ממשיך לעמוד בקשר רציף עם גורמי הטיפול ומגיע לשיחות המעקב. עוד ציין השירות, כי על פי מידע שהעבירו גורמי הטיפול במרכז לטיפול בהתמכרויות, הלה משתף פעולה עמם באופן מלא ושומר על כללי המרכז. שירות המבחן התרשם כי הנאשם ערך התבוננות פנימית במניעי התנהגותו ובדפוסיו, ולהערכתו, המשך הטיפול יסייע לנאשם בהפחתת הסיכון לבצע עבירות דומות בעתיד. </w:t>
      </w:r>
    </w:p>
    <w:p w14:paraId="0AC0D447" w14:textId="77777777" w:rsidR="00E07A59" w:rsidRPr="001F1754" w:rsidRDefault="00E07A59" w:rsidP="00E07A59">
      <w:pPr>
        <w:pStyle w:val="aa"/>
        <w:tabs>
          <w:tab w:val="right" w:pos="7371"/>
        </w:tabs>
        <w:spacing w:after="0"/>
        <w:ind w:left="-341" w:right="284" w:firstLine="0"/>
      </w:pPr>
      <w:r w:rsidRPr="001F1754">
        <w:rPr>
          <w:rtl/>
        </w:rPr>
        <w:t>בסופו של תסקיר, המליץ שירות המבחן על צו מבחן למשך שנה שבמסגרתו ימשיך הנאשם בהליך הטיפולי שבו החל במרכז לטיפול בהתמכרויות באשדוד ועל ענישה בדמות 340 שעות של"צ כעונש מוחשי - חינוכי – שיקומי, בבית אבות באשדוד בתפקיד אחזקה.</w:t>
      </w:r>
    </w:p>
    <w:p w14:paraId="229C5294" w14:textId="77777777" w:rsidR="00E07A59" w:rsidRPr="001F1754" w:rsidRDefault="00E07A59" w:rsidP="00E07A59">
      <w:pPr>
        <w:pStyle w:val="aa"/>
        <w:numPr>
          <w:ilvl w:val="0"/>
          <w:numId w:val="2"/>
        </w:numPr>
        <w:tabs>
          <w:tab w:val="right" w:pos="7371"/>
        </w:tabs>
        <w:spacing w:after="0"/>
        <w:ind w:left="-341" w:right="284"/>
        <w:rPr>
          <w:rtl/>
        </w:rPr>
      </w:pPr>
      <w:r w:rsidRPr="001F1754">
        <w:rPr>
          <w:rtl/>
        </w:rPr>
        <w:t xml:space="preserve">כך, </w:t>
      </w:r>
      <w:r w:rsidRPr="001F1754">
        <w:rPr>
          <w:u w:val="single"/>
          <w:rtl/>
        </w:rPr>
        <w:t>מתסקיר שירות המבחן שהוגש בעניינו של הנאשם ביום  27.08.2024</w:t>
      </w:r>
      <w:r w:rsidRPr="001F1754">
        <w:rPr>
          <w:rtl/>
        </w:rPr>
        <w:t xml:space="preserve">, עדכן שירות המבחן כי במהלך תקופת הדחייה, נערכה בעניינו של הנאשם וועדת אבחון ביום 30.06.2024 בנוכחות קצינת המבחן וגורמי הטיפול במרכז. מהאבחון עלה כי הנאשם עבר הליך טיפולי של שיחות טיפוליות פרטניות לצד מסירת בדיקות שתן מדי שבוע, אשר תוצאותיהן היו נקיות משרידי סם.  עוד עלה, כי הנאשם משתף פעולה, מגיע לפגישות באופן רציף ועקבי,  ומודע להשלכות השליליות של שימוש בסמים. עוד ציין השירות כי הנאשם משקיע בעבודתו וכי ההליך המשפטי מהווה עבורו גורם מרתיע וסיבה להתרחקותו מהסמים. בנוסף, התרשם השירות כי הנאשם לראשונה משתף בקשייו בפני גורמי הטיפול ומבטא מוטיבציה ורצון להמשיך את הטיפול במרכז להתמכרויות כולל מסירת בדיקות שתן שבועיות. בסופו של תסקיר, המליץ שירות המבחן לסיים את ההליך המשפטי בעניינו לאור ביסוס מחויבותו להליך הטיפולי שצלח מזה כ-שבעה חודשים. </w:t>
      </w:r>
    </w:p>
    <w:p w14:paraId="6218C6BD" w14:textId="77777777" w:rsidR="00E07A59" w:rsidRPr="001F1754" w:rsidRDefault="00E07A59" w:rsidP="00E07A59">
      <w:pPr>
        <w:pStyle w:val="aa"/>
        <w:tabs>
          <w:tab w:val="right" w:pos="7371"/>
        </w:tabs>
        <w:spacing w:after="0"/>
        <w:ind w:left="-341" w:right="284" w:firstLine="0"/>
      </w:pPr>
      <w:r w:rsidRPr="001F1754">
        <w:rPr>
          <w:rtl/>
        </w:rPr>
        <w:t>באשר לשאלת ביטול ההרשעה, ציין שירות המבחן כי אמנם הנאשם לא הציג בפניו מסמכים המעידים על פגיעה אפשרית בתעסוקה, אך השירות סבר שיש לשקול בעניין זה את גילו הצעיר, העדר עבר פלילי, שילובו בטיפול והאפשרות שההרשעה תפגע בתעסוקה בעתיד.</w:t>
      </w:r>
    </w:p>
    <w:p w14:paraId="6B8D2BBB" w14:textId="77777777" w:rsidR="00E07A59" w:rsidRPr="001F1754" w:rsidRDefault="00E07A59" w:rsidP="00E07A59">
      <w:pPr>
        <w:pStyle w:val="aa"/>
        <w:numPr>
          <w:ilvl w:val="0"/>
          <w:numId w:val="2"/>
        </w:numPr>
        <w:tabs>
          <w:tab w:val="right" w:pos="7371"/>
        </w:tabs>
        <w:spacing w:after="0"/>
        <w:ind w:left="-341" w:right="284"/>
        <w:rPr>
          <w:b/>
          <w:bCs/>
        </w:rPr>
      </w:pPr>
      <w:r w:rsidRPr="001F1754">
        <w:rPr>
          <w:rtl/>
        </w:rPr>
        <w:t xml:space="preserve">כך, </w:t>
      </w:r>
      <w:r w:rsidRPr="001F1754">
        <w:rPr>
          <w:u w:val="single"/>
          <w:rtl/>
        </w:rPr>
        <w:t>מהבהרתו של שירות המבחן מיום 01.10.2024,</w:t>
      </w:r>
      <w:r w:rsidRPr="001F1754">
        <w:rPr>
          <w:rtl/>
        </w:rPr>
        <w:t xml:space="preserve"> ציין שירות המבחן כי  להתרשמותו </w:t>
      </w:r>
      <w:r w:rsidRPr="001F1754">
        <w:rPr>
          <w:b/>
          <w:bCs/>
          <w:u w:val="single"/>
          <w:rtl/>
        </w:rPr>
        <w:t>רמת הסיכון להישנות התנהגות עוברת חוק בעתיד מצדו של הנאשם פחתה משמעותית</w:t>
      </w:r>
      <w:r w:rsidRPr="001F1754">
        <w:rPr>
          <w:rtl/>
        </w:rPr>
        <w:t xml:space="preserve">. שירות המבחן התבסס על </w:t>
      </w:r>
      <w:r w:rsidRPr="001F1754">
        <w:rPr>
          <w:b/>
          <w:bCs/>
          <w:rtl/>
        </w:rPr>
        <w:t>הטיפול  הייעודי שעבר הנאשם</w:t>
      </w:r>
      <w:r w:rsidRPr="001F1754">
        <w:rPr>
          <w:rtl/>
        </w:rPr>
        <w:t>; הימנעותו משימוש בסמים;</w:t>
      </w:r>
      <w:r w:rsidRPr="001F1754">
        <w:t xml:space="preserve"> </w:t>
      </w:r>
      <w:r w:rsidRPr="001F1754">
        <w:rPr>
          <w:rtl/>
        </w:rPr>
        <w:t xml:space="preserve"> תוצאות בדיקות הסם הנקיות שמסר; מודעותו של הנאשם לדפוסיו המכשילים והבעייתיים שעמדו במרכז דפוס התמכרותו בעבר ויציבותו התעסוקתית שמהווה אלמנט משמעותי בשיקום. בנוסף, </w:t>
      </w:r>
      <w:r w:rsidRPr="001F1754">
        <w:rPr>
          <w:b/>
          <w:bCs/>
          <w:rtl/>
        </w:rPr>
        <w:t>להערכת השירות המשך שילובו של הנאשם בטיפול בתחום ההתמכרות והעמקת התכנים הטיפוליים – יסייעו ויחזקו את הישגיו ויצמצמו סיכוי הישנות עבירות דומות בעתיד.</w:t>
      </w:r>
    </w:p>
    <w:p w14:paraId="21D3946E" w14:textId="77777777" w:rsidR="00E07A59" w:rsidRPr="001F1754" w:rsidRDefault="00E07A59" w:rsidP="00E07A59">
      <w:pPr>
        <w:pStyle w:val="aa"/>
        <w:numPr>
          <w:ilvl w:val="0"/>
          <w:numId w:val="2"/>
        </w:numPr>
        <w:tabs>
          <w:tab w:val="right" w:pos="7371"/>
        </w:tabs>
        <w:spacing w:after="0"/>
        <w:ind w:left="-341" w:right="284"/>
      </w:pPr>
      <w:r w:rsidRPr="001F1754">
        <w:rPr>
          <w:rtl/>
        </w:rPr>
        <w:t xml:space="preserve">וכך, </w:t>
      </w:r>
      <w:r w:rsidRPr="001F1754">
        <w:rPr>
          <w:u w:val="single"/>
          <w:rtl/>
        </w:rPr>
        <w:t xml:space="preserve">מתסקירו המסכם של שירות המבחן מיום 11.12.2024 </w:t>
      </w:r>
      <w:r w:rsidRPr="001F1754">
        <w:rPr>
          <w:rtl/>
        </w:rPr>
        <w:t xml:space="preserve">עלה כי הנאשם המשיך עם הטיפול כנדרש  ומהמידע שהתקבל בעניינו מהמרכז נמסר כי הלה מגיע באופן רציף ועקבי לשיחות הפרטניות ולמתן בדיקות השתן. כמו כן ציין השירות, כי הנאשם משתף אותם באופן כן מעולמו הפנימי, החברתי והתעסוקתי. עוד התרשם השירות כי הנאשם ערך מאמצים על מנת לערוך שינוי בהתמכרותו ובאורח ניהול חייו וכי הוא נתרם מההליך הטיפולי שנמשך למעלה מ- 10 חודשים. </w:t>
      </w:r>
    </w:p>
    <w:p w14:paraId="4CF1FE3A" w14:textId="77777777" w:rsidR="00E07A59" w:rsidRPr="001F1754" w:rsidRDefault="00E07A59" w:rsidP="00E07A59">
      <w:pPr>
        <w:pStyle w:val="aa"/>
        <w:tabs>
          <w:tab w:val="right" w:pos="7371"/>
        </w:tabs>
        <w:spacing w:after="0"/>
        <w:ind w:left="-341" w:right="284" w:firstLine="0"/>
      </w:pPr>
      <w:r w:rsidRPr="001F1754">
        <w:rPr>
          <w:rtl/>
        </w:rPr>
        <w:t xml:space="preserve">בסופו של תסקיר, שירות המבחן שב והמליץ להשית על הנאשם עונש שיקומי ומוחשי בדמות 340 שעות של"צ בבית אבות באשדוד בתפקיד אחזקה. </w:t>
      </w:r>
    </w:p>
    <w:p w14:paraId="7AB2CEBC" w14:textId="77777777" w:rsidR="00E07A59" w:rsidRPr="001F1754" w:rsidRDefault="00E07A59" w:rsidP="00E07A59">
      <w:pPr>
        <w:pStyle w:val="aa"/>
        <w:numPr>
          <w:ilvl w:val="0"/>
          <w:numId w:val="2"/>
        </w:numPr>
        <w:tabs>
          <w:tab w:val="right" w:pos="7371"/>
        </w:tabs>
        <w:spacing w:after="0"/>
        <w:ind w:right="284"/>
      </w:pPr>
      <w:r w:rsidRPr="001F1754">
        <w:rPr>
          <w:rtl/>
        </w:rPr>
        <w:t xml:space="preserve">הנה כי כן, תמוהה עמדת המאשימה, לפיה אין מקום לסטות מהמתחם לקולה במקרהו של הנאשם, עת הוברר ע"י שירות המבחן "ברחל בתך הקטנה" כי </w:t>
      </w:r>
      <w:r w:rsidRPr="001F1754">
        <w:rPr>
          <w:b/>
          <w:bCs/>
          <w:rtl/>
        </w:rPr>
        <w:t>רמת הסיכון להישנות התנהגות עוברת חוק בעתיד מצדו של הנאשם פחתה משמעותית</w:t>
      </w:r>
      <w:r w:rsidRPr="001F1754">
        <w:rPr>
          <w:rtl/>
        </w:rPr>
        <w:t xml:space="preserve"> הן בשל הטיפול הייעודי שהלה עבר, גמילתו מסם, מודעותו לדפוסיו המכשילים שעמדו ברקע להתנהגותו ויציבותו התעסוקתית. </w:t>
      </w:r>
    </w:p>
    <w:p w14:paraId="38B1F011" w14:textId="77777777" w:rsidR="00E07A59" w:rsidRPr="001F1754" w:rsidRDefault="00E07A59" w:rsidP="00E07A59">
      <w:pPr>
        <w:pStyle w:val="aa"/>
        <w:numPr>
          <w:ilvl w:val="0"/>
          <w:numId w:val="2"/>
        </w:numPr>
        <w:tabs>
          <w:tab w:val="right" w:pos="7371"/>
        </w:tabs>
        <w:spacing w:after="0"/>
        <w:ind w:right="284"/>
        <w:rPr>
          <w:rtl/>
        </w:rPr>
      </w:pPr>
      <w:r w:rsidRPr="001F1754">
        <w:rPr>
          <w:b/>
          <w:bCs/>
          <w:rtl/>
        </w:rPr>
        <w:t>ורביעית,</w:t>
      </w:r>
      <w:r w:rsidRPr="001F1754">
        <w:rPr>
          <w:rtl/>
        </w:rPr>
        <w:t xml:space="preserve"> מעצם שמירת הנאשם על יציבות תעסוקתית, ניהול אורח חיים תקין ונורמטיבי, התמקדות בהליך השיקום, והיותו, הלכה למעשה, אזרח יצרני ושומר חוק מזה כשלוש שנים מאז ביצע את העבירה שבגינה הוא נותן את הדין כיום – יש כדי לחזק את מסקנתי, לפיה הנאשם השתקם או לחילופין כי קיים סיכוי ממשי שישתקם באופן מלא בעתיד. לצד אותו "שיקום מוסדי" שעבר, שוכנעתי, כי בעצם שיתוף הפעולה של הנאשם עם שירות המבחן, המוטיבציה שאותה הוא מביע להשתקם ולשנות מאורחות חייו והעובדה כי הוא אינו שב עוד לדרכיו הרעות, יש כדי ללמד על אודות המהפך החיובי שהנאשם עבר ועל הסיכויים הגבוהים לשיקומו (ראו והשוו, </w:t>
      </w:r>
      <w:hyperlink r:id="rId57" w:history="1">
        <w:r w:rsidR="000E1AD2" w:rsidRPr="000E1AD2">
          <w:rPr>
            <w:rFonts w:ascii="Times New Roman" w:hAnsi="Times New Roman" w:cs="Times New Roman"/>
            <w:color w:val="0000FF"/>
            <w:u w:val="single"/>
            <w:rtl/>
          </w:rPr>
          <w:t>רע"פ 7683/13</w:t>
        </w:r>
      </w:hyperlink>
      <w:r w:rsidRPr="001F1754">
        <w:rPr>
          <w:rtl/>
        </w:rPr>
        <w:t xml:space="preserve"> </w:t>
      </w:r>
      <w:r w:rsidRPr="001F1754">
        <w:rPr>
          <w:b/>
          <w:bCs/>
          <w:rtl/>
        </w:rPr>
        <w:t>פרלמן נ' מדינת ישראל</w:t>
      </w:r>
      <w:r w:rsidRPr="001F1754">
        <w:rPr>
          <w:rtl/>
        </w:rPr>
        <w:t xml:space="preserve"> [פורסם בנבו] (23.02.2014); </w:t>
      </w:r>
      <w:hyperlink r:id="rId58" w:history="1">
        <w:r w:rsidR="000E1AD2" w:rsidRPr="000E1AD2">
          <w:rPr>
            <w:rFonts w:ascii="Times New Roman" w:hAnsi="Times New Roman" w:cs="Times New Roman"/>
            <w:color w:val="0000FF"/>
            <w:u w:val="single"/>
            <w:rtl/>
          </w:rPr>
          <w:t>רע"פ 1441/14</w:t>
        </w:r>
      </w:hyperlink>
      <w:r w:rsidRPr="001F1754">
        <w:rPr>
          <w:rtl/>
        </w:rPr>
        <w:t xml:space="preserve"> </w:t>
      </w:r>
      <w:r w:rsidRPr="001F1754">
        <w:rPr>
          <w:b/>
          <w:bCs/>
          <w:rtl/>
        </w:rPr>
        <w:t>חמיס נ' מדינת ישראל</w:t>
      </w:r>
      <w:r w:rsidRPr="001F1754">
        <w:rPr>
          <w:rtl/>
        </w:rPr>
        <w:t xml:space="preserve"> [פורסם בנבו] (09.12.2014); </w:t>
      </w:r>
      <w:r w:rsidRPr="001F1754">
        <w:rPr>
          <w:u w:val="single"/>
          <w:rtl/>
        </w:rPr>
        <w:t>ו</w:t>
      </w:r>
      <w:hyperlink r:id="rId59" w:history="1">
        <w:r w:rsidR="000E1AD2" w:rsidRPr="000E1AD2">
          <w:rPr>
            <w:rFonts w:ascii="Times New Roman" w:hAnsi="Times New Roman" w:cs="Times New Roman"/>
            <w:color w:val="0000FF"/>
            <w:u w:val="single"/>
            <w:rtl/>
          </w:rPr>
          <w:t>עפ"ג (מחוזי באר שבע) 37682-03-13</w:t>
        </w:r>
      </w:hyperlink>
      <w:r w:rsidRPr="001F1754">
        <w:rPr>
          <w:rtl/>
        </w:rPr>
        <w:t xml:space="preserve"> </w:t>
      </w:r>
      <w:r w:rsidRPr="001F1754">
        <w:rPr>
          <w:b/>
          <w:bCs/>
          <w:rtl/>
        </w:rPr>
        <w:t>גרניק נ' מדינת ישראל</w:t>
      </w:r>
      <w:r w:rsidRPr="001F1754">
        <w:rPr>
          <w:rtl/>
        </w:rPr>
        <w:t xml:space="preserve"> [פורסם בנבו] (20.11.2013)). </w:t>
      </w:r>
    </w:p>
    <w:p w14:paraId="1D539A10" w14:textId="77777777" w:rsidR="00E07A59" w:rsidRPr="001F1754" w:rsidRDefault="00E07A59" w:rsidP="00E07A59">
      <w:pPr>
        <w:pStyle w:val="aa"/>
        <w:numPr>
          <w:ilvl w:val="0"/>
          <w:numId w:val="2"/>
        </w:numPr>
        <w:spacing w:after="0"/>
        <w:ind w:right="284"/>
        <w:rPr>
          <w:rtl/>
        </w:rPr>
      </w:pPr>
      <w:r w:rsidRPr="001F1754">
        <w:rPr>
          <w:rtl/>
        </w:rPr>
        <w:t xml:space="preserve">הנה כי כן, דרך החיים שהנאשם דבק בה מאז האירוע שבמוקד כתב האישום המתוקן, הירתמותו לטיפול ושיתוף הפעולה המלא שלו עם שירות המבחן, והתרשמות שירות המבחן, לפיה יש לבכר בעניינו את הפן השיקומי, מעידים כי הלה זנח את עמדותיו ודפוסיו העברייניים וכי כעת הוא מבקש לשקם את חייו ולהשיבם למסלול נורמטיבי. למעשה, נדמה כי כיום ניצב בפני בית-המשפט "אדם חדש", שונה בתכלית מזה שביצע את העבירה שבמוקד כתב האישום המתוקן (ראו והשוו דבריה של כב' השו' ד' ברק ארז בפסקה 15 </w:t>
      </w:r>
      <w:r w:rsidRPr="001F1754">
        <w:rPr>
          <w:u w:val="single"/>
          <w:rtl/>
        </w:rPr>
        <w:t>ב</w:t>
      </w:r>
      <w:hyperlink r:id="rId60" w:history="1">
        <w:r w:rsidR="000E1AD2" w:rsidRPr="000E1AD2">
          <w:rPr>
            <w:color w:val="0000FF"/>
            <w:u w:val="single"/>
            <w:rtl/>
          </w:rPr>
          <w:t>ע"פ 111/14</w:t>
        </w:r>
      </w:hyperlink>
      <w:r w:rsidRPr="001F1754">
        <w:rPr>
          <w:rtl/>
        </w:rPr>
        <w:t xml:space="preserve"> </w:t>
      </w:r>
      <w:r w:rsidRPr="001F1754">
        <w:rPr>
          <w:b/>
          <w:bCs/>
          <w:rtl/>
        </w:rPr>
        <w:t>פלוני נ' מדינת ישראל</w:t>
      </w:r>
      <w:r w:rsidRPr="001F1754">
        <w:rPr>
          <w:rtl/>
        </w:rPr>
        <w:t xml:space="preserve"> [פורסם בנבו] (01.04.2014)).</w:t>
      </w:r>
    </w:p>
    <w:p w14:paraId="2B4A2225" w14:textId="77777777" w:rsidR="00E07A59" w:rsidRPr="001F1754" w:rsidRDefault="00E07A59" w:rsidP="00E07A59">
      <w:pPr>
        <w:pStyle w:val="aa"/>
        <w:numPr>
          <w:ilvl w:val="0"/>
          <w:numId w:val="2"/>
        </w:numPr>
        <w:spacing w:after="0"/>
        <w:ind w:right="284"/>
      </w:pPr>
      <w:r w:rsidRPr="001F1754">
        <w:rPr>
          <w:rtl/>
        </w:rPr>
        <w:t>כמו כן, יש לתת את הדעת לכך ששירות המבחן, שהוא כידוע הגורם האמון על בחינת התקדמותו של הנאשם בהליך הטיפול, התרשם ממכלול השיקולים ובחן את כלל ההליכים הטיפוליים שבהם משולב הנאשם והעריך בסופו של יום כי הנאשם מצוי בתהליך שינוי משמעותי, והמליץ לבכר בעניינו את שיקולי השיקום.</w:t>
      </w:r>
    </w:p>
    <w:p w14:paraId="560CA01C" w14:textId="77777777" w:rsidR="00E07A59" w:rsidRPr="001F1754" w:rsidRDefault="00E07A59" w:rsidP="00E07A59">
      <w:pPr>
        <w:pStyle w:val="aa"/>
        <w:numPr>
          <w:ilvl w:val="0"/>
          <w:numId w:val="2"/>
        </w:numPr>
        <w:spacing w:after="0"/>
        <w:ind w:right="284"/>
      </w:pPr>
      <w:r w:rsidRPr="001F1754">
        <w:rPr>
          <w:rtl/>
        </w:rPr>
        <w:t xml:space="preserve">כללם של דברים, מצאתי כי יש לבכר במקרה הנדון את שיקולי השיקום על פני יתר השיקולים שבענישה, ולסטות לקולה ממתחם העונש ההולם שנקבע על ידי. </w:t>
      </w:r>
    </w:p>
    <w:p w14:paraId="3D6734A1" w14:textId="77777777" w:rsidR="00E07A59" w:rsidRPr="001F1754" w:rsidRDefault="00E07A59" w:rsidP="00E07A59">
      <w:pPr>
        <w:pStyle w:val="aa"/>
        <w:numPr>
          <w:ilvl w:val="0"/>
          <w:numId w:val="2"/>
        </w:numPr>
        <w:spacing w:after="0"/>
        <w:ind w:right="284"/>
      </w:pPr>
      <w:r w:rsidRPr="001F1754">
        <w:rPr>
          <w:rtl/>
        </w:rPr>
        <w:t xml:space="preserve">נהיר לכל, כי גם בעבירות סמים חמורות מזו שלפנינו כדוגמת הסחר בסמים ואף בעבירות של החזקת סמים שלא לצריכה עצמית בכמויות בלתי מבוטלות ואף גבוהות מאלו שבמקרה המונח לפתחי, חריגה ממתחם העונש ההולם אפשרית, בהתקיים פוטנציאל שיקומי ממשי (ראו והשוו, </w:t>
      </w:r>
      <w:hyperlink r:id="rId61" w:history="1">
        <w:r w:rsidR="000E1AD2" w:rsidRPr="000E1AD2">
          <w:rPr>
            <w:color w:val="0000FF"/>
            <w:u w:val="single"/>
            <w:rtl/>
          </w:rPr>
          <w:t>ע"פ 8092/04</w:t>
        </w:r>
      </w:hyperlink>
      <w:r w:rsidRPr="001F1754">
        <w:rPr>
          <w:rtl/>
        </w:rPr>
        <w:t xml:space="preserve"> </w:t>
      </w:r>
      <w:r w:rsidRPr="001F1754">
        <w:rPr>
          <w:b/>
          <w:bCs/>
          <w:rtl/>
        </w:rPr>
        <w:t>חביב נ' מדינת</w:t>
      </w:r>
      <w:r w:rsidRPr="001F1754">
        <w:rPr>
          <w:rtl/>
        </w:rPr>
        <w:t xml:space="preserve"> </w:t>
      </w:r>
      <w:r w:rsidRPr="001F1754">
        <w:rPr>
          <w:b/>
          <w:bCs/>
          <w:rtl/>
        </w:rPr>
        <w:t xml:space="preserve">ישראל </w:t>
      </w:r>
      <w:r w:rsidRPr="001F1754">
        <w:rPr>
          <w:rtl/>
        </w:rPr>
        <w:t xml:space="preserve">[פורסם בנבו] (10.09.2006); </w:t>
      </w:r>
      <w:hyperlink r:id="rId62" w:history="1">
        <w:r w:rsidR="000E1AD2" w:rsidRPr="000E1AD2">
          <w:rPr>
            <w:color w:val="0000FF"/>
            <w:u w:val="single"/>
            <w:rtl/>
          </w:rPr>
          <w:t>עפ"ג (חיפה) 53142-12-16</w:t>
        </w:r>
      </w:hyperlink>
      <w:r w:rsidRPr="001F1754">
        <w:rPr>
          <w:rtl/>
        </w:rPr>
        <w:t xml:space="preserve"> </w:t>
      </w:r>
      <w:r w:rsidRPr="001F1754">
        <w:rPr>
          <w:b/>
          <w:bCs/>
          <w:rtl/>
        </w:rPr>
        <w:t>רחמימוב נ' מדינת ישראל</w:t>
      </w:r>
      <w:r w:rsidRPr="001F1754">
        <w:rPr>
          <w:rtl/>
        </w:rPr>
        <w:t xml:space="preserve"> [פורסם בנבו]  (17.05.2017); </w:t>
      </w:r>
      <w:hyperlink r:id="rId63" w:history="1">
        <w:r w:rsidR="000E1AD2" w:rsidRPr="000E1AD2">
          <w:rPr>
            <w:color w:val="0000FF"/>
            <w:u w:val="single"/>
            <w:rtl/>
          </w:rPr>
          <w:t>ת"פ (רחובות) 44822-08-17</w:t>
        </w:r>
      </w:hyperlink>
      <w:r w:rsidRPr="001F1754">
        <w:rPr>
          <w:u w:val="single"/>
          <w:rtl/>
        </w:rPr>
        <w:t xml:space="preserve"> </w:t>
      </w:r>
      <w:r w:rsidRPr="001F1754">
        <w:rPr>
          <w:b/>
          <w:bCs/>
          <w:rtl/>
        </w:rPr>
        <w:t>מדינת ישראל נ' אידו</w:t>
      </w:r>
      <w:r w:rsidRPr="001F1754">
        <w:rPr>
          <w:rtl/>
        </w:rPr>
        <w:t xml:space="preserve"> [פורסם בנבו] (12.09.2018); </w:t>
      </w:r>
      <w:hyperlink r:id="rId64" w:history="1">
        <w:r w:rsidR="000E1AD2" w:rsidRPr="000E1AD2">
          <w:rPr>
            <w:color w:val="0000FF"/>
            <w:u w:val="single"/>
            <w:rtl/>
          </w:rPr>
          <w:t>ת"פ (ירושלים) 57276-02-16</w:t>
        </w:r>
      </w:hyperlink>
      <w:r w:rsidRPr="001F1754">
        <w:rPr>
          <w:rtl/>
        </w:rPr>
        <w:t xml:space="preserve"> </w:t>
      </w:r>
      <w:r w:rsidRPr="001F1754">
        <w:rPr>
          <w:b/>
          <w:bCs/>
          <w:rtl/>
        </w:rPr>
        <w:t xml:space="preserve">מדינת ישראל נ' פלוני </w:t>
      </w:r>
      <w:r w:rsidRPr="001F1754">
        <w:rPr>
          <w:rtl/>
        </w:rPr>
        <w:t>[פורסם בנבו]</w:t>
      </w:r>
      <w:r w:rsidRPr="001F1754">
        <w:rPr>
          <w:b/>
          <w:bCs/>
          <w:rtl/>
        </w:rPr>
        <w:t xml:space="preserve"> </w:t>
      </w:r>
      <w:r w:rsidRPr="001F1754">
        <w:rPr>
          <w:rtl/>
        </w:rPr>
        <w:t xml:space="preserve">(15.03.2017); </w:t>
      </w:r>
      <w:hyperlink r:id="rId65" w:history="1">
        <w:r w:rsidR="000E1AD2" w:rsidRPr="000E1AD2">
          <w:rPr>
            <w:color w:val="0000FF"/>
            <w:u w:val="single"/>
            <w:rtl/>
          </w:rPr>
          <w:t>ת"פ (רמלה) 48135-05-14</w:t>
        </w:r>
      </w:hyperlink>
      <w:r w:rsidRPr="001F1754">
        <w:rPr>
          <w:rtl/>
        </w:rPr>
        <w:t xml:space="preserve"> </w:t>
      </w:r>
      <w:r w:rsidRPr="001F1754">
        <w:rPr>
          <w:b/>
          <w:bCs/>
          <w:rtl/>
        </w:rPr>
        <w:t>מדינת ישראל נ' עבו</w:t>
      </w:r>
      <w:r w:rsidRPr="001F1754">
        <w:rPr>
          <w:rtl/>
        </w:rPr>
        <w:t xml:space="preserve"> [פורסם בנבו] (24.02.2016), אליו הפנה הסנגור בטיעוניו לעונש; </w:t>
      </w:r>
      <w:r w:rsidRPr="001F1754">
        <w:rPr>
          <w:u w:val="single"/>
          <w:rtl/>
        </w:rPr>
        <w:t>ו</w:t>
      </w:r>
      <w:hyperlink r:id="rId66" w:history="1">
        <w:r w:rsidR="000E1AD2" w:rsidRPr="000E1AD2">
          <w:rPr>
            <w:color w:val="0000FF"/>
            <w:u w:val="single"/>
            <w:rtl/>
          </w:rPr>
          <w:t>ת"פ (רמלה) 36431-04-15</w:t>
        </w:r>
      </w:hyperlink>
      <w:r w:rsidRPr="001F1754">
        <w:rPr>
          <w:rtl/>
        </w:rPr>
        <w:t xml:space="preserve"> </w:t>
      </w:r>
      <w:r w:rsidRPr="001F1754">
        <w:rPr>
          <w:b/>
          <w:bCs/>
          <w:rtl/>
        </w:rPr>
        <w:t xml:space="preserve">מדינת ישראל נ' קורקין </w:t>
      </w:r>
      <w:r w:rsidRPr="001F1754">
        <w:rPr>
          <w:rtl/>
        </w:rPr>
        <w:t>[פורסם בנבו] (6.01.2016)).</w:t>
      </w:r>
    </w:p>
    <w:p w14:paraId="3B5AD1E4" w14:textId="77777777" w:rsidR="00E07A59" w:rsidRPr="001F1754" w:rsidRDefault="00E07A59" w:rsidP="00E07A59">
      <w:pPr>
        <w:pStyle w:val="aa"/>
        <w:numPr>
          <w:ilvl w:val="0"/>
          <w:numId w:val="2"/>
        </w:numPr>
        <w:tabs>
          <w:tab w:val="right" w:pos="7371"/>
        </w:tabs>
        <w:spacing w:after="0"/>
        <w:ind w:left="-341" w:right="284" w:hanging="426"/>
      </w:pPr>
      <w:r w:rsidRPr="001F1754">
        <w:rPr>
          <w:b/>
          <w:bCs/>
          <w:rtl/>
        </w:rPr>
        <w:t>ומן התם אל הכא,</w:t>
      </w:r>
      <w:r w:rsidRPr="001F1754">
        <w:rPr>
          <w:rtl/>
        </w:rPr>
        <w:t xml:space="preserve"> במקרה הנדון בית המשפט אינו מקל ראש בחומרת מעשיו של הנאשם, ומביע מהם סלידה רבתי. אולם, באיזון הראוי בין מכלול השיקולים והנסיבות אשר פורטו לעיל, הגם אם לא בלי התלבטות, ובייחוד בשים לב לכך שעסקינן בנאשם צעיר, נעדר עבר פלילי, שהודה בביצוע העבירה, והביע צער וחרטה על מעשיו, לאור ההליך הטיפולי מעורר הרושם שעבר, ונוכח התרשמותו החיובית של שירות המבחן, מצאתי כי ניתן בזו הפעם ללכת לקראתו ולבכר את שיקול השיקום בעניינו. לצד האמור, מצאתי להדגיש בפניו של הנאשם כי ככל שלא יתמיד בדרכו השיקומית, וחלילה ישוב לסורו, הרי שטוב שידע כי לא יזכה להתחשבות נוספת מצדו של בית-המשפט. מן הראוי שידיעה זו תרחף מעל ראשו כל העת. </w:t>
      </w:r>
    </w:p>
    <w:p w14:paraId="2632E3A8" w14:textId="77777777" w:rsidR="00E07A59" w:rsidRPr="001F1754" w:rsidRDefault="00E07A59" w:rsidP="00E07A59">
      <w:pPr>
        <w:pStyle w:val="aa"/>
        <w:numPr>
          <w:ilvl w:val="0"/>
          <w:numId w:val="2"/>
        </w:numPr>
        <w:spacing w:after="0"/>
        <w:ind w:right="284"/>
      </w:pPr>
      <w:r w:rsidRPr="001F1754">
        <w:rPr>
          <w:rtl/>
        </w:rPr>
        <w:t xml:space="preserve">בהקשר זה יצוין כי נתתי דעתי להמלצת שירות המבחן, אם כי מצאתי להשית על הנאשם צו של"צ בהיקף נרחב יותר מזה שהומלץ על ידי השירות, בתקווה שהדבר יחדד עבור הנאשם את הבעייתיות שבמעשיו, ולמען לא ישנו מצדו מעשים דומים בעתיד. כפי הידוע המלצתו של שירות המבחן, כשמה כן היא – המלצה בלבד, ובכל הכבוד הראוי, בית-המשפט איננו מחויב לה. כפי הידוע, ככלל, שוקל שירות המבחן ומביא בחשבון בעת גיבוש המלצתו בעיקר את האינטרס האישי של הנאשם. לעומתו, אמון בית-המשפט על שקילת אינטרסים שונים ורחבים יותר, ושומה עליו להביא בחשבון אף את אינטרס הציבור בכללותו. לשירות המבחן תרומה חשובה ביותר להליך השיפוטי, אך המלצתו של שירות המבחן מבטאת פן אחד בלבד מתוך שיקולי הענישה בית-המשפט מחויב לשקול (ראו והשוו, דבריו של כב' השו' (כתוארו אז) מ' שמגר </w:t>
      </w:r>
      <w:r w:rsidRPr="001F1754">
        <w:rPr>
          <w:u w:val="single"/>
          <w:rtl/>
        </w:rPr>
        <w:t>ב</w:t>
      </w:r>
      <w:hyperlink r:id="rId67" w:history="1">
        <w:r w:rsidR="000E1AD2" w:rsidRPr="000E1AD2">
          <w:rPr>
            <w:color w:val="0000FF"/>
            <w:u w:val="single"/>
            <w:rtl/>
          </w:rPr>
          <w:t>ע"פ 344/81</w:t>
        </w:r>
      </w:hyperlink>
      <w:r w:rsidRPr="001F1754">
        <w:rPr>
          <w:u w:val="single"/>
          <w:rtl/>
        </w:rPr>
        <w:t xml:space="preserve"> מדינת ישראל נ' שחר סגל, פ"ד לה</w:t>
      </w:r>
      <w:r w:rsidRPr="001F1754">
        <w:rPr>
          <w:rtl/>
        </w:rPr>
        <w:t xml:space="preserve">(4) 313, 318 (1981); </w:t>
      </w:r>
      <w:r w:rsidRPr="001F1754">
        <w:rPr>
          <w:u w:val="single"/>
          <w:rtl/>
        </w:rPr>
        <w:t>ב</w:t>
      </w:r>
      <w:hyperlink r:id="rId68" w:history="1">
        <w:r w:rsidR="000E1AD2" w:rsidRPr="000E1AD2">
          <w:rPr>
            <w:color w:val="0000FF"/>
            <w:u w:val="single"/>
            <w:rtl/>
          </w:rPr>
          <w:t>ע"פ 1472/15</w:t>
        </w:r>
      </w:hyperlink>
      <w:r w:rsidRPr="001F1754">
        <w:rPr>
          <w:rtl/>
        </w:rPr>
        <w:t xml:space="preserve"> </w:t>
      </w:r>
      <w:r w:rsidRPr="001F1754">
        <w:rPr>
          <w:b/>
          <w:bCs/>
          <w:rtl/>
        </w:rPr>
        <w:t>שעשוע נ' מדינת ישראל</w:t>
      </w:r>
      <w:r w:rsidRPr="001F1754">
        <w:rPr>
          <w:rtl/>
        </w:rPr>
        <w:t xml:space="preserve"> [פורסם בנבו]  (17.05.2015); </w:t>
      </w:r>
      <w:r w:rsidRPr="001F1754">
        <w:rPr>
          <w:u w:val="single"/>
          <w:rtl/>
        </w:rPr>
        <w:t>ב</w:t>
      </w:r>
      <w:hyperlink r:id="rId69" w:history="1">
        <w:r w:rsidR="000E1AD2" w:rsidRPr="000E1AD2">
          <w:rPr>
            <w:color w:val="0000FF"/>
            <w:u w:val="single"/>
            <w:rtl/>
          </w:rPr>
          <w:t>רע"פ 7389/13</w:t>
        </w:r>
      </w:hyperlink>
      <w:r w:rsidRPr="001F1754">
        <w:rPr>
          <w:rtl/>
        </w:rPr>
        <w:t xml:space="preserve"> </w:t>
      </w:r>
      <w:r w:rsidRPr="001F1754">
        <w:rPr>
          <w:b/>
          <w:bCs/>
          <w:rtl/>
        </w:rPr>
        <w:t>טייטלבאום נ' מדינת ישראל</w:t>
      </w:r>
      <w:r w:rsidRPr="001F1754">
        <w:rPr>
          <w:rtl/>
        </w:rPr>
        <w:t xml:space="preserve"> [פורסם בנבו] (17.12.2013); </w:t>
      </w:r>
      <w:r w:rsidRPr="001F1754">
        <w:rPr>
          <w:u w:val="single"/>
          <w:rtl/>
        </w:rPr>
        <w:t>וב</w:t>
      </w:r>
      <w:hyperlink r:id="rId70" w:history="1">
        <w:r w:rsidR="000E1AD2" w:rsidRPr="000E1AD2">
          <w:rPr>
            <w:color w:val="0000FF"/>
            <w:u w:val="single"/>
            <w:rtl/>
          </w:rPr>
          <w:t>רע"פ 5212/13</w:t>
        </w:r>
      </w:hyperlink>
      <w:r w:rsidRPr="001F1754">
        <w:rPr>
          <w:rtl/>
        </w:rPr>
        <w:t xml:space="preserve"> </w:t>
      </w:r>
      <w:r w:rsidRPr="001F1754">
        <w:rPr>
          <w:b/>
          <w:bCs/>
          <w:rtl/>
        </w:rPr>
        <w:t>שמעון נ' מדינת ישראל</w:t>
      </w:r>
      <w:r w:rsidRPr="001F1754">
        <w:rPr>
          <w:rtl/>
        </w:rPr>
        <w:t xml:space="preserve"> [פורסם בנבו]  (29.08.2013)). </w:t>
      </w:r>
    </w:p>
    <w:p w14:paraId="095476FB" w14:textId="77777777" w:rsidR="00E07A59" w:rsidRPr="001F1754" w:rsidRDefault="00E07A59" w:rsidP="00E07A59">
      <w:pPr>
        <w:pStyle w:val="aa"/>
        <w:numPr>
          <w:ilvl w:val="0"/>
          <w:numId w:val="2"/>
        </w:numPr>
        <w:spacing w:after="0"/>
        <w:ind w:right="284"/>
        <w:rPr>
          <w:rtl/>
        </w:rPr>
      </w:pPr>
      <w:r w:rsidRPr="001F1754">
        <w:rPr>
          <w:rtl/>
        </w:rPr>
        <w:t>בכל הנוגע לרכיב פסילת רישיון הנהיגה של הנאשם, בשים לב לעובדה שהמדובר בנאשם הנקי מסמים, מצאתי כי ניתן בזו הפעם ללכת לקראתו בפן הזה ולהסתפק בפסילת רישיון מותנית בלבד. בכל הנוגע לרכיב הכלכלי שבענישה, הרי שבית-המשפט לא ימנע מלהשית על הנאשם קנס, אולם לצד חומרת העבירה, בקביעת גובהו יילקחו בחשבון גם מכלול מאפייניו החיוביים של הנאשם.</w:t>
      </w:r>
    </w:p>
    <w:p w14:paraId="08653196" w14:textId="77777777" w:rsidR="00E07A59" w:rsidRPr="001F1754" w:rsidRDefault="00E07A59" w:rsidP="00E07A59">
      <w:pPr>
        <w:pStyle w:val="aa"/>
        <w:numPr>
          <w:ilvl w:val="0"/>
          <w:numId w:val="2"/>
        </w:numPr>
        <w:spacing w:after="0"/>
        <w:rPr>
          <w:b/>
          <w:bCs/>
        </w:rPr>
      </w:pPr>
      <w:r w:rsidRPr="001F1754">
        <w:rPr>
          <w:b/>
          <w:bCs/>
          <w:rtl/>
        </w:rPr>
        <w:t xml:space="preserve">מכל המקובץ לעיל, אני גוזרת על הנאשם עונש כולל אחד כדלקמן: </w:t>
      </w:r>
    </w:p>
    <w:p w14:paraId="2D2BF606" w14:textId="77777777" w:rsidR="00E07A59" w:rsidRPr="001F1754" w:rsidRDefault="00E07A59" w:rsidP="00E07A59">
      <w:pPr>
        <w:pStyle w:val="aa"/>
        <w:numPr>
          <w:ilvl w:val="0"/>
          <w:numId w:val="4"/>
        </w:numPr>
        <w:spacing w:after="0"/>
      </w:pPr>
      <w:r w:rsidRPr="001F1754">
        <w:rPr>
          <w:b/>
          <w:bCs/>
          <w:rtl/>
        </w:rPr>
        <w:t>צו של"צ בהיקף של 360 שעות.</w:t>
      </w:r>
      <w:r w:rsidRPr="001F1754">
        <w:rPr>
          <w:b/>
          <w:bCs/>
          <w:u w:val="single"/>
          <w:rtl/>
        </w:rPr>
        <w:t xml:space="preserve"> תוקף הצו למשך 18 חודשים מהיום. </w:t>
      </w:r>
    </w:p>
    <w:p w14:paraId="0A8A164E" w14:textId="77777777" w:rsidR="00E07A59" w:rsidRPr="001F1754" w:rsidRDefault="00E07A59" w:rsidP="00E07A59">
      <w:pPr>
        <w:pStyle w:val="aa"/>
        <w:spacing w:after="0"/>
        <w:ind w:left="30" w:firstLine="0"/>
        <w:rPr>
          <w:b/>
          <w:bCs/>
          <w:rtl/>
        </w:rPr>
      </w:pPr>
      <w:r w:rsidRPr="001F1754">
        <w:rPr>
          <w:rtl/>
        </w:rPr>
        <w:t xml:space="preserve">העבודות תבוצענה בבית אבות באשדוד בתפקיד אחזקה. </w:t>
      </w:r>
    </w:p>
    <w:p w14:paraId="6E8664CE" w14:textId="77777777" w:rsidR="00E07A59" w:rsidRPr="001F1754" w:rsidRDefault="00E07A59" w:rsidP="00E07A59">
      <w:pPr>
        <w:pStyle w:val="aa"/>
        <w:numPr>
          <w:ilvl w:val="0"/>
          <w:numId w:val="4"/>
        </w:numPr>
        <w:spacing w:after="0"/>
        <w:rPr>
          <w:rtl/>
        </w:rPr>
      </w:pPr>
      <w:r w:rsidRPr="001F1754">
        <w:rPr>
          <w:b/>
          <w:bCs/>
          <w:rtl/>
        </w:rPr>
        <w:t>צו מבחן של שירות המבחן למשך שנה מהיום</w:t>
      </w:r>
      <w:r w:rsidRPr="001F1754">
        <w:rPr>
          <w:rtl/>
        </w:rPr>
        <w:t>.</w:t>
      </w:r>
    </w:p>
    <w:p w14:paraId="34D63510" w14:textId="77777777" w:rsidR="00E07A59" w:rsidRPr="001F1754" w:rsidRDefault="00E07A59" w:rsidP="00E07A59">
      <w:pPr>
        <w:pStyle w:val="aa"/>
        <w:numPr>
          <w:ilvl w:val="0"/>
          <w:numId w:val="4"/>
        </w:numPr>
        <w:spacing w:after="0"/>
        <w:rPr>
          <w:b/>
          <w:bCs/>
          <w:u w:val="single"/>
          <w:rtl/>
        </w:rPr>
      </w:pPr>
      <w:r w:rsidRPr="001F1754">
        <w:rPr>
          <w:rtl/>
        </w:rPr>
        <w:t xml:space="preserve">הובהרה לנאשם חשיבות שיתוף הפעולה עם שירות המבחן בביצוע צו המבחן וצו השל"צ, והמשמעויות של אי עמידה בתנאי הצווים. </w:t>
      </w:r>
    </w:p>
    <w:p w14:paraId="18BE74F7" w14:textId="77777777" w:rsidR="00E07A59" w:rsidRPr="001F1754" w:rsidRDefault="00E07A59" w:rsidP="00E07A59">
      <w:pPr>
        <w:pStyle w:val="aa"/>
        <w:spacing w:after="0"/>
        <w:ind w:left="30" w:firstLine="0"/>
        <w:rPr>
          <w:rtl/>
        </w:rPr>
      </w:pPr>
      <w:r w:rsidRPr="001F1754">
        <w:rPr>
          <w:rtl/>
        </w:rPr>
        <w:t>העתק גזר הדין יישלח בדחיפות לשירות המבחן.</w:t>
      </w:r>
    </w:p>
    <w:p w14:paraId="5D99EC83" w14:textId="77777777" w:rsidR="00E07A59" w:rsidRPr="001F1754" w:rsidRDefault="00E07A59" w:rsidP="00E07A59">
      <w:pPr>
        <w:pStyle w:val="aa"/>
        <w:numPr>
          <w:ilvl w:val="0"/>
          <w:numId w:val="4"/>
        </w:numPr>
        <w:spacing w:after="0"/>
        <w:rPr>
          <w:b/>
          <w:bCs/>
          <w:rtl/>
        </w:rPr>
      </w:pPr>
      <w:r w:rsidRPr="001F1754">
        <w:rPr>
          <w:b/>
          <w:bCs/>
          <w:rtl/>
        </w:rPr>
        <w:t>מאסר מותנה למשך 8 חודשים, אשר יופעל אם תוך תקופה של 3 שנים מהיום הנאשם יעבור כל עבירת סמים מסוג פשע.</w:t>
      </w:r>
    </w:p>
    <w:p w14:paraId="7513540C" w14:textId="77777777" w:rsidR="00E07A59" w:rsidRPr="001F1754" w:rsidRDefault="00E07A59" w:rsidP="00E07A59">
      <w:pPr>
        <w:pStyle w:val="aa"/>
        <w:numPr>
          <w:ilvl w:val="0"/>
          <w:numId w:val="4"/>
        </w:numPr>
        <w:spacing w:after="0"/>
        <w:rPr>
          <w:b/>
          <w:bCs/>
          <w:rtl/>
        </w:rPr>
      </w:pPr>
      <w:r w:rsidRPr="001F1754">
        <w:rPr>
          <w:b/>
          <w:bCs/>
          <w:rtl/>
        </w:rPr>
        <w:t xml:space="preserve">מאסר מותנה למשך 4 חודשים, אשר יופעל אם תוך תקופה של 3 שנים מהיום הנאשם יעבור כל עבירת סמים מסוג עוון. </w:t>
      </w:r>
    </w:p>
    <w:p w14:paraId="018C573C" w14:textId="77777777" w:rsidR="00E07A59" w:rsidRPr="001F1754" w:rsidRDefault="00E07A59" w:rsidP="00E07A59">
      <w:pPr>
        <w:pStyle w:val="aa"/>
        <w:numPr>
          <w:ilvl w:val="0"/>
          <w:numId w:val="4"/>
        </w:numPr>
        <w:spacing w:after="0"/>
        <w:rPr>
          <w:rtl/>
        </w:rPr>
      </w:pPr>
      <w:r w:rsidRPr="001F1754">
        <w:rPr>
          <w:b/>
          <w:bCs/>
          <w:rtl/>
        </w:rPr>
        <w:t>קנס בסך 1,000 ₪ או 10 ימי מאסר תמורתו</w:t>
      </w:r>
      <w:r w:rsidRPr="001F1754">
        <w:rPr>
          <w:rtl/>
        </w:rPr>
        <w:t>.</w:t>
      </w:r>
    </w:p>
    <w:p w14:paraId="7FFB4A79" w14:textId="77777777" w:rsidR="00E07A59" w:rsidRPr="001F1754" w:rsidRDefault="00E07A59" w:rsidP="00E07A59">
      <w:pPr>
        <w:pStyle w:val="aa"/>
        <w:spacing w:after="0"/>
        <w:ind w:left="30" w:firstLine="0"/>
      </w:pPr>
      <w:r w:rsidRPr="001F1754">
        <w:rPr>
          <w:rtl/>
        </w:rPr>
        <w:t xml:space="preserve">הקנס ישולם בתוך 60 יום מהיום. </w:t>
      </w:r>
    </w:p>
    <w:p w14:paraId="6664EE34" w14:textId="77777777" w:rsidR="00E07A59" w:rsidRPr="001F1754" w:rsidRDefault="00E07A59" w:rsidP="00E07A59">
      <w:pPr>
        <w:pStyle w:val="aa"/>
        <w:spacing w:after="0"/>
        <w:ind w:left="30" w:firstLine="0"/>
        <w:rPr>
          <w:sz w:val="22"/>
          <w:szCs w:val="22"/>
        </w:rPr>
      </w:pPr>
      <w:r w:rsidRPr="001F1754">
        <w:rPr>
          <w:rtl/>
        </w:rPr>
        <w:t>תשומת לב הנאשם כי החוב מועבר למרכז לגביית קנסות, אגרות והוצאות ברשות האכיפה והגבייה, בהתאם למועדים והתשלומים שנקבעו בגזר הדין.</w:t>
      </w:r>
    </w:p>
    <w:p w14:paraId="49133BFF" w14:textId="77777777" w:rsidR="00E07A59" w:rsidRPr="001F1754" w:rsidRDefault="00E07A59" w:rsidP="00E07A59">
      <w:pPr>
        <w:pStyle w:val="aa"/>
        <w:spacing w:after="0"/>
        <w:ind w:left="30" w:firstLine="0"/>
        <w:rPr>
          <w:szCs w:val="26"/>
          <w:rtl/>
        </w:rPr>
      </w:pPr>
      <w:r w:rsidRPr="001F1754">
        <w:rPr>
          <w:rtl/>
        </w:rPr>
        <w:t>ניתן יהיה לשלם את הקנס כעבור שלושה ימים מיום מתן גזר הדין לחשבון המרכז לגביית קנסות, אגרות והוצאות ברשות האכיפה והגבייה באחת מהדרכים הבאות:</w:t>
      </w:r>
    </w:p>
    <w:p w14:paraId="01F19030" w14:textId="77777777" w:rsidR="00E07A59" w:rsidRPr="001F1754" w:rsidRDefault="00E07A59" w:rsidP="00E07A59">
      <w:pPr>
        <w:pStyle w:val="aa"/>
        <w:spacing w:after="0"/>
        <w:ind w:left="30" w:firstLine="0"/>
        <w:rPr>
          <w:sz w:val="22"/>
        </w:rPr>
      </w:pPr>
      <w:r w:rsidRPr="001F1754">
        <w:rPr>
          <w:sz w:val="22"/>
          <w:szCs w:val="22"/>
          <w:rtl/>
        </w:rPr>
        <w:t xml:space="preserve">בכרטיס אשראי – באתר המקוון של רשות האכיפה והגבייה, </w:t>
      </w:r>
      <w:hyperlink r:id="rId71" w:history="1">
        <w:r w:rsidRPr="001F1754">
          <w:rPr>
            <w:rStyle w:val="Hyperlink"/>
            <w:sz w:val="22"/>
            <w:szCs w:val="22"/>
          </w:rPr>
          <w:t>www.eca.gov.il</w:t>
        </w:r>
      </w:hyperlink>
      <w:r w:rsidRPr="001F1754">
        <w:rPr>
          <w:sz w:val="22"/>
          <w:szCs w:val="22"/>
        </w:rPr>
        <w:t xml:space="preserve"> </w:t>
      </w:r>
      <w:r w:rsidRPr="001F1754">
        <w:rPr>
          <w:sz w:val="22"/>
          <w:szCs w:val="22"/>
          <w:rtl/>
        </w:rPr>
        <w:t>.</w:t>
      </w:r>
      <w:r w:rsidR="000E1AD2">
        <w:rPr>
          <w:sz w:val="22"/>
          <w:szCs w:val="22"/>
          <w:rtl/>
        </w:rPr>
        <w:t xml:space="preserve"> </w:t>
      </w:r>
    </w:p>
    <w:p w14:paraId="2B354027" w14:textId="77777777" w:rsidR="00E07A59" w:rsidRPr="001F1754" w:rsidRDefault="00E07A59" w:rsidP="00E07A59">
      <w:pPr>
        <w:pStyle w:val="aa"/>
        <w:spacing w:after="0"/>
        <w:ind w:left="30" w:firstLine="0"/>
        <w:rPr>
          <w:sz w:val="22"/>
          <w:szCs w:val="22"/>
        </w:rPr>
      </w:pPr>
      <w:r w:rsidRPr="001F1754">
        <w:rPr>
          <w:sz w:val="22"/>
          <w:szCs w:val="22"/>
          <w:rtl/>
        </w:rPr>
        <w:t>במוקד שירות טלפוני בשרות עצמי (מרכז גבייה)</w:t>
      </w:r>
      <w:r w:rsidR="000E1AD2">
        <w:rPr>
          <w:sz w:val="22"/>
          <w:szCs w:val="22"/>
          <w:rtl/>
        </w:rPr>
        <w:t xml:space="preserve"> </w:t>
      </w:r>
      <w:r w:rsidRPr="001F1754">
        <w:rPr>
          <w:sz w:val="22"/>
          <w:szCs w:val="22"/>
          <w:rtl/>
        </w:rPr>
        <w:t xml:space="preserve"> – בטלפון 35592* או בטלפון 073-2055000.</w:t>
      </w:r>
    </w:p>
    <w:p w14:paraId="34EAF349" w14:textId="77777777" w:rsidR="00E07A59" w:rsidRPr="001F1754" w:rsidRDefault="00E07A59" w:rsidP="00E07A59">
      <w:pPr>
        <w:pStyle w:val="aa"/>
        <w:spacing w:after="0"/>
        <w:ind w:left="30" w:firstLine="0"/>
        <w:rPr>
          <w:sz w:val="22"/>
          <w:szCs w:val="22"/>
        </w:rPr>
      </w:pPr>
      <w:r w:rsidRPr="001F1754">
        <w:rPr>
          <w:sz w:val="22"/>
          <w:szCs w:val="22"/>
          <w:rtl/>
        </w:rPr>
        <w:t>במזומן בכל סניף של בנק הדואר – בהצגת תעודת זהות בלבד (אין צורך בשוברי תשלום).</w:t>
      </w:r>
    </w:p>
    <w:p w14:paraId="3483FD34" w14:textId="77777777" w:rsidR="00E07A59" w:rsidRPr="001F1754" w:rsidRDefault="00E07A59" w:rsidP="00E07A59">
      <w:pPr>
        <w:pStyle w:val="aa"/>
        <w:numPr>
          <w:ilvl w:val="0"/>
          <w:numId w:val="4"/>
        </w:numPr>
        <w:spacing w:after="0"/>
        <w:rPr>
          <w:b/>
          <w:bCs/>
          <w:rtl/>
        </w:rPr>
      </w:pPr>
      <w:r w:rsidRPr="001F1754">
        <w:rPr>
          <w:b/>
          <w:bCs/>
          <w:rtl/>
        </w:rPr>
        <w:t xml:space="preserve">אני פוסלת את הנאשם מלקבל או מלהחזיק רישיון נהיגה למשך 8 חודשים, וזאת על תנאי שלא יעבור כל עבירה בניגוד </w:t>
      </w:r>
      <w:r w:rsidRPr="001F1754">
        <w:rPr>
          <w:b/>
          <w:bCs/>
          <w:u w:val="single"/>
          <w:rtl/>
        </w:rPr>
        <w:t>ל</w:t>
      </w:r>
      <w:hyperlink r:id="rId72" w:history="1">
        <w:r w:rsidR="000E1AD2" w:rsidRPr="000E1AD2">
          <w:rPr>
            <w:b/>
            <w:bCs/>
            <w:color w:val="0000FF"/>
            <w:u w:val="single"/>
            <w:rtl/>
          </w:rPr>
          <w:t>פקודת הסמים המסוכנים</w:t>
        </w:r>
      </w:hyperlink>
      <w:r w:rsidRPr="001F1754">
        <w:rPr>
          <w:b/>
          <w:bCs/>
          <w:rtl/>
        </w:rPr>
        <w:t xml:space="preserve"> במשך שנתיים מהיום.</w:t>
      </w:r>
    </w:p>
    <w:p w14:paraId="46958AE2" w14:textId="77777777" w:rsidR="00E07A59" w:rsidRPr="00E07A59" w:rsidRDefault="00E07A59" w:rsidP="00E07A59">
      <w:pPr>
        <w:pStyle w:val="aa"/>
        <w:numPr>
          <w:ilvl w:val="0"/>
          <w:numId w:val="4"/>
        </w:numPr>
        <w:spacing w:after="0"/>
        <w:rPr>
          <w:b/>
          <w:bCs/>
          <w:u w:val="single"/>
          <w:rtl/>
        </w:rPr>
      </w:pPr>
      <w:r w:rsidRPr="001F1754">
        <w:rPr>
          <w:b/>
          <w:bCs/>
          <w:rtl/>
        </w:rPr>
        <w:t xml:space="preserve">הנאשם יצהיר על התחייבות כספית על סך 5,000 ₪ שלא לעבור כל עבירה בניגוד </w:t>
      </w:r>
      <w:r w:rsidRPr="001F1754">
        <w:rPr>
          <w:b/>
          <w:bCs/>
          <w:u w:val="single"/>
          <w:rtl/>
        </w:rPr>
        <w:t>ל</w:t>
      </w:r>
      <w:hyperlink r:id="rId73" w:history="1">
        <w:r w:rsidR="000E1AD2" w:rsidRPr="000E1AD2">
          <w:rPr>
            <w:b/>
            <w:bCs/>
            <w:color w:val="0000FF"/>
            <w:u w:val="single"/>
            <w:rtl/>
          </w:rPr>
          <w:t>פקודת הסמים המסוכנים</w:t>
        </w:r>
      </w:hyperlink>
      <w:r w:rsidRPr="001F1754">
        <w:rPr>
          <w:b/>
          <w:bCs/>
          <w:rtl/>
        </w:rPr>
        <w:t xml:space="preserve"> לתקופה של שנתיים מהיום.</w:t>
      </w:r>
      <w:r w:rsidRPr="001F1754">
        <w:rPr>
          <w:b/>
          <w:bCs/>
          <w:u w:val="single"/>
          <w:rtl/>
        </w:rPr>
        <w:t xml:space="preserve"> </w:t>
      </w:r>
    </w:p>
    <w:p w14:paraId="71FDD584" w14:textId="77777777" w:rsidR="00E07A59" w:rsidRPr="001F1754" w:rsidRDefault="00E07A59" w:rsidP="00E07A59">
      <w:pPr>
        <w:spacing w:line="360" w:lineRule="auto"/>
        <w:rPr>
          <w:rFonts w:ascii="David" w:hAnsi="David"/>
          <w:b/>
          <w:bCs/>
          <w:noProof w:val="0"/>
          <w:rtl/>
        </w:rPr>
      </w:pPr>
    </w:p>
    <w:p w14:paraId="31F52BDB" w14:textId="77777777" w:rsidR="00E07A59" w:rsidRPr="001F1754" w:rsidRDefault="00E07A59" w:rsidP="00E07A59">
      <w:pPr>
        <w:spacing w:line="360" w:lineRule="auto"/>
        <w:rPr>
          <w:rFonts w:ascii="David" w:hAnsi="David"/>
          <w:rtl/>
        </w:rPr>
      </w:pPr>
      <w:r w:rsidRPr="001F1754">
        <w:rPr>
          <w:rFonts w:ascii="David" w:hAnsi="David"/>
          <w:rtl/>
        </w:rPr>
        <w:t>הנני מורה על השמדת המוצגים – סמים ומשקל, בכפוף לחלוף תקופת הערעור.</w:t>
      </w:r>
    </w:p>
    <w:p w14:paraId="25A030A0" w14:textId="77777777" w:rsidR="00E07A59" w:rsidRPr="001F1754" w:rsidRDefault="00E07A59" w:rsidP="00E07A59">
      <w:pPr>
        <w:spacing w:line="360" w:lineRule="auto"/>
        <w:rPr>
          <w:rFonts w:ascii="David" w:hAnsi="David"/>
          <w:rtl/>
        </w:rPr>
      </w:pPr>
    </w:p>
    <w:p w14:paraId="0D762938" w14:textId="77777777" w:rsidR="00E07A59" w:rsidRPr="001F1754" w:rsidRDefault="00E07A59" w:rsidP="00E07A59">
      <w:pPr>
        <w:spacing w:line="360" w:lineRule="auto"/>
        <w:rPr>
          <w:rFonts w:ascii="David" w:hAnsi="David"/>
          <w:rtl/>
        </w:rPr>
      </w:pPr>
      <w:r w:rsidRPr="001F1754">
        <w:rPr>
          <w:rFonts w:ascii="David" w:hAnsi="David"/>
          <w:rtl/>
        </w:rPr>
        <w:t>הנני מורה על השבת המוצגים – טלפונים ניידים – לבעליהם.</w:t>
      </w:r>
    </w:p>
    <w:p w14:paraId="0917FA93" w14:textId="77777777" w:rsidR="00E07A59" w:rsidRPr="001F1754" w:rsidRDefault="00E07A59" w:rsidP="00E07A59">
      <w:pPr>
        <w:tabs>
          <w:tab w:val="right" w:pos="7371"/>
        </w:tabs>
        <w:spacing w:line="360" w:lineRule="auto"/>
        <w:ind w:left="720"/>
        <w:rPr>
          <w:rFonts w:ascii="David" w:hAnsi="David"/>
          <w:b/>
          <w:bCs/>
          <w:rtl/>
        </w:rPr>
      </w:pPr>
    </w:p>
    <w:p w14:paraId="77F499D6" w14:textId="77777777" w:rsidR="00E07A59" w:rsidRPr="001F1754" w:rsidRDefault="00E07A59" w:rsidP="00E07A59">
      <w:pPr>
        <w:tabs>
          <w:tab w:val="right" w:pos="7371"/>
        </w:tabs>
        <w:spacing w:line="360" w:lineRule="auto"/>
        <w:ind w:firstLine="5"/>
        <w:rPr>
          <w:rFonts w:ascii="David" w:hAnsi="David"/>
          <w:rtl/>
        </w:rPr>
      </w:pPr>
      <w:r w:rsidRPr="001F1754">
        <w:rPr>
          <w:rFonts w:ascii="David" w:hAnsi="David"/>
          <w:b/>
          <w:bCs/>
          <w:rtl/>
        </w:rPr>
        <w:t>זכות ערעור כחוק</w:t>
      </w:r>
      <w:r w:rsidRPr="001F1754">
        <w:rPr>
          <w:rFonts w:ascii="David" w:hAnsi="David"/>
          <w:rtl/>
        </w:rPr>
        <w:t>.</w:t>
      </w:r>
    </w:p>
    <w:p w14:paraId="7DBEAF09" w14:textId="77777777" w:rsidR="00E07A59" w:rsidRPr="001F1754" w:rsidRDefault="00E07A59" w:rsidP="00E07A59">
      <w:pPr>
        <w:spacing w:line="360" w:lineRule="auto"/>
        <w:jc w:val="both"/>
        <w:rPr>
          <w:rFonts w:ascii="David" w:hAnsi="David"/>
          <w:b/>
          <w:bCs/>
          <w:noProof w:val="0"/>
          <w:rtl/>
        </w:rPr>
      </w:pPr>
    </w:p>
    <w:p w14:paraId="174DD5B2" w14:textId="77777777" w:rsidR="00E07A59" w:rsidRPr="001F1754" w:rsidRDefault="00E07A59" w:rsidP="00E07A59">
      <w:pPr>
        <w:spacing w:line="360" w:lineRule="auto"/>
        <w:jc w:val="both"/>
        <w:rPr>
          <w:rFonts w:ascii="David" w:hAnsi="David"/>
          <w:b/>
          <w:bCs/>
          <w:noProof w:val="0"/>
          <w:rtl/>
        </w:rPr>
      </w:pPr>
      <w:r w:rsidRPr="001F1754">
        <w:rPr>
          <w:rFonts w:ascii="David" w:hAnsi="David"/>
          <w:b/>
          <w:bCs/>
          <w:noProof w:val="0"/>
          <w:rtl/>
        </w:rPr>
        <w:t xml:space="preserve">ניתנה היום, </w:t>
      </w:r>
      <w:r>
        <w:rPr>
          <w:rFonts w:ascii="David" w:hAnsi="David"/>
          <w:b/>
          <w:bCs/>
          <w:noProof w:val="0"/>
          <w:rtl/>
        </w:rPr>
        <w:t>כ"ח שבט תשפ"ה</w:t>
      </w:r>
      <w:r w:rsidRPr="001F1754">
        <w:rPr>
          <w:rFonts w:ascii="David" w:hAnsi="David"/>
          <w:b/>
          <w:bCs/>
          <w:noProof w:val="0"/>
          <w:rtl/>
        </w:rPr>
        <w:t xml:space="preserve">, </w:t>
      </w:r>
      <w:r>
        <w:rPr>
          <w:rFonts w:ascii="David" w:hAnsi="David"/>
          <w:b/>
          <w:bCs/>
          <w:noProof w:val="0"/>
          <w:rtl/>
        </w:rPr>
        <w:t>26 פברואר 2025</w:t>
      </w:r>
      <w:r w:rsidRPr="001F1754">
        <w:rPr>
          <w:rFonts w:ascii="David" w:hAnsi="David"/>
          <w:b/>
          <w:bCs/>
          <w:noProof w:val="0"/>
          <w:rtl/>
        </w:rPr>
        <w:t>, במעמד הצדדים.</w:t>
      </w:r>
    </w:p>
    <w:p w14:paraId="200BD705" w14:textId="77777777" w:rsidR="00E07A59" w:rsidRPr="001F1754" w:rsidRDefault="00E07A59" w:rsidP="00E07A59">
      <w:pPr>
        <w:tabs>
          <w:tab w:val="left" w:pos="2553"/>
        </w:tabs>
        <w:spacing w:line="360" w:lineRule="auto"/>
        <w:ind w:left="5040"/>
        <w:rPr>
          <w:rFonts w:ascii="David" w:hAnsi="David"/>
          <w:rtl/>
        </w:rPr>
      </w:pPr>
      <w:r w:rsidRPr="001F1754">
        <w:rPr>
          <w:rFonts w:ascii="David" w:hAnsi="David"/>
          <w:rtl/>
        </w:rPr>
        <w:t xml:space="preserve">     </w:t>
      </w:r>
    </w:p>
    <w:p w14:paraId="0144ADFE" w14:textId="77777777" w:rsidR="00E07A59" w:rsidRPr="001F1754" w:rsidRDefault="00E07A59" w:rsidP="00E07A59">
      <w:pPr>
        <w:tabs>
          <w:tab w:val="left" w:pos="2553"/>
        </w:tabs>
        <w:spacing w:line="360" w:lineRule="auto"/>
      </w:pPr>
      <w:r w:rsidRPr="001F1754">
        <w:rPr>
          <w:rFonts w:ascii="David" w:hAnsi="David"/>
          <w:rtl/>
        </w:rPr>
        <w:tab/>
      </w:r>
      <w:r w:rsidRPr="001F1754">
        <w:rPr>
          <w:rFonts w:ascii="David" w:hAnsi="David"/>
          <w:rtl/>
        </w:rPr>
        <w:tab/>
      </w:r>
      <w:r w:rsidRPr="001F1754">
        <w:rPr>
          <w:rFonts w:ascii="David" w:hAnsi="David"/>
          <w:rtl/>
        </w:rPr>
        <w:tab/>
      </w:r>
      <w:r w:rsidRPr="001F1754">
        <w:rPr>
          <w:rFonts w:ascii="David" w:hAnsi="David"/>
          <w:rtl/>
        </w:rPr>
        <w:tab/>
        <w:t xml:space="preserve">        </w:t>
      </w:r>
      <w:r w:rsidR="009F10DE">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156pt;height:62.25pt;visibility:visible">
            <v:imagedata r:id="rId74" o:title=""/>
          </v:shape>
        </w:pict>
      </w:r>
    </w:p>
    <w:p w14:paraId="42D38E37" w14:textId="77777777" w:rsidR="00E07A59" w:rsidRPr="001F1754" w:rsidRDefault="00E07A59" w:rsidP="00E07A59">
      <w:pPr>
        <w:tabs>
          <w:tab w:val="left" w:pos="2553"/>
        </w:tabs>
        <w:spacing w:line="360" w:lineRule="auto"/>
        <w:rPr>
          <w:rFonts w:ascii="David" w:hAnsi="David"/>
          <w:noProof w:val="0"/>
          <w:rtl/>
        </w:rPr>
      </w:pPr>
    </w:p>
    <w:p w14:paraId="49039C83" w14:textId="77777777" w:rsidR="00E07A59" w:rsidRPr="001F1754" w:rsidRDefault="00E07A59" w:rsidP="00E07A59">
      <w:pPr>
        <w:tabs>
          <w:tab w:val="right" w:pos="7371"/>
        </w:tabs>
        <w:spacing w:line="360" w:lineRule="auto"/>
        <w:ind w:right="284"/>
        <w:rPr>
          <w:rFonts w:ascii="David" w:hAnsi="David"/>
          <w:b/>
          <w:bCs/>
          <w:u w:val="single"/>
          <w:rtl/>
        </w:rPr>
      </w:pPr>
      <w:r w:rsidRPr="001F1754">
        <w:rPr>
          <w:rFonts w:ascii="David" w:hAnsi="David"/>
          <w:b/>
          <w:bCs/>
          <w:u w:val="single"/>
          <w:rtl/>
        </w:rPr>
        <w:t>הנאשם:</w:t>
      </w:r>
    </w:p>
    <w:p w14:paraId="2A982C4D" w14:textId="77777777" w:rsidR="00E07A59" w:rsidRPr="001F1754" w:rsidRDefault="00E07A59" w:rsidP="00E07A59">
      <w:pPr>
        <w:tabs>
          <w:tab w:val="right" w:pos="7371"/>
        </w:tabs>
        <w:spacing w:line="360" w:lineRule="auto"/>
        <w:ind w:right="284"/>
        <w:jc w:val="both"/>
        <w:rPr>
          <w:rFonts w:ascii="David" w:hAnsi="David"/>
          <w:rtl/>
        </w:rPr>
      </w:pPr>
      <w:r w:rsidRPr="001F1754">
        <w:rPr>
          <w:rFonts w:ascii="David" w:hAnsi="David"/>
          <w:rtl/>
        </w:rPr>
        <w:t xml:space="preserve">כמפורט בגזר הדין, אני מתחייב להימנע במשך שנתיים מהיום מביצוע כל עבירה בניגוד </w:t>
      </w:r>
      <w:r w:rsidRPr="001F1754">
        <w:rPr>
          <w:rFonts w:ascii="David" w:hAnsi="David"/>
          <w:u w:val="single"/>
          <w:rtl/>
        </w:rPr>
        <w:t>ל</w:t>
      </w:r>
      <w:hyperlink r:id="rId75" w:history="1">
        <w:r w:rsidR="000E1AD2" w:rsidRPr="000E1AD2">
          <w:rPr>
            <w:rFonts w:ascii="David" w:hAnsi="David"/>
            <w:color w:val="0000FF"/>
            <w:u w:val="single"/>
            <w:rtl/>
          </w:rPr>
          <w:t>פקודת הסמים המסוכנים</w:t>
        </w:r>
      </w:hyperlink>
      <w:r w:rsidRPr="001F1754">
        <w:rPr>
          <w:rFonts w:ascii="David" w:hAnsi="David"/>
          <w:rtl/>
        </w:rPr>
        <w:t xml:space="preserve">. הובהר לי כי ככל כל עבירה בניגוד </w:t>
      </w:r>
      <w:r w:rsidRPr="001F1754">
        <w:rPr>
          <w:rFonts w:ascii="David" w:hAnsi="David"/>
          <w:u w:val="single"/>
          <w:rtl/>
        </w:rPr>
        <w:t>ל</w:t>
      </w:r>
      <w:hyperlink r:id="rId76" w:history="1">
        <w:r w:rsidR="000E1AD2" w:rsidRPr="000E1AD2">
          <w:rPr>
            <w:rFonts w:ascii="David" w:hAnsi="David"/>
            <w:color w:val="0000FF"/>
            <w:u w:val="single"/>
            <w:rtl/>
          </w:rPr>
          <w:t>פקודת הסמים המסוכנים</w:t>
        </w:r>
      </w:hyperlink>
      <w:r w:rsidRPr="001F1754">
        <w:rPr>
          <w:rFonts w:ascii="David" w:hAnsi="David"/>
          <w:rtl/>
        </w:rPr>
        <w:t xml:space="preserve"> במשך שנתיים מהיום, יושת עלי סך של 5,000 ₪ במזומן. </w:t>
      </w:r>
    </w:p>
    <w:p w14:paraId="2AE8503A" w14:textId="77777777" w:rsidR="00E07A59" w:rsidRPr="001F1754" w:rsidRDefault="00E07A59" w:rsidP="00E07A59">
      <w:pPr>
        <w:tabs>
          <w:tab w:val="right" w:pos="7371"/>
        </w:tabs>
        <w:spacing w:line="360" w:lineRule="auto"/>
        <w:rPr>
          <w:rFonts w:ascii="David" w:hAnsi="David"/>
          <w:b/>
          <w:bCs/>
          <w:u w:val="single"/>
        </w:rPr>
      </w:pPr>
      <w:r w:rsidRPr="001F1754">
        <w:rPr>
          <w:rFonts w:ascii="David" w:hAnsi="David"/>
          <w:b/>
          <w:bCs/>
          <w:rtl/>
        </w:rPr>
        <w:t xml:space="preserve">                                                                          </w:t>
      </w:r>
      <w:r w:rsidRPr="001F1754">
        <w:rPr>
          <w:rFonts w:ascii="David" w:hAnsi="David"/>
          <w:b/>
          <w:bCs/>
          <w:u w:val="single"/>
          <w:rtl/>
        </w:rPr>
        <w:t>החלטה</w:t>
      </w:r>
    </w:p>
    <w:p w14:paraId="2D5A9B23" w14:textId="77777777" w:rsidR="00E07A59" w:rsidRPr="001F1754" w:rsidRDefault="000E1AD2" w:rsidP="00E07A59">
      <w:pPr>
        <w:tabs>
          <w:tab w:val="right" w:pos="7371"/>
        </w:tabs>
        <w:spacing w:line="360" w:lineRule="auto"/>
        <w:rPr>
          <w:rFonts w:ascii="David" w:hAnsi="David"/>
          <w:sz w:val="6"/>
          <w:szCs w:val="6"/>
          <w:rtl/>
        </w:rPr>
      </w:pPr>
      <w:r w:rsidRPr="000E1AD2">
        <w:rPr>
          <w:rFonts w:ascii="David" w:hAnsi="David"/>
          <w:color w:val="FFFFFF"/>
          <w:sz w:val="2"/>
          <w:szCs w:val="2"/>
          <w:rtl/>
        </w:rPr>
        <w:t>5129371</w:t>
      </w:r>
      <w:r w:rsidR="00E07A59" w:rsidRPr="001F1754">
        <w:rPr>
          <w:rFonts w:ascii="David" w:hAnsi="David"/>
          <w:rtl/>
        </w:rPr>
        <w:t xml:space="preserve">נרשמה לפניי התחייבות הנאשם להימנע מביצוע העבירות כמפורט בגזר הדין. </w:t>
      </w:r>
      <w:r w:rsidR="00E07A59" w:rsidRPr="001F1754">
        <w:rPr>
          <w:rFonts w:ascii="David" w:hAnsi="David"/>
          <w:sz w:val="6"/>
          <w:szCs w:val="6"/>
          <w:rtl/>
        </w:rPr>
        <w:t>&lt;#5#&gt;</w:t>
      </w:r>
    </w:p>
    <w:tbl>
      <w:tblPr>
        <w:bidiVisual/>
        <w:tblW w:w="3936" w:type="dxa"/>
        <w:tblInd w:w="5040" w:type="dxa"/>
        <w:tblBorders>
          <w:insideH w:val="single" w:sz="4" w:space="0" w:color="auto"/>
          <w:insideV w:val="single" w:sz="4" w:space="0" w:color="auto"/>
        </w:tblBorders>
        <w:tblLook w:val="01E0" w:firstRow="1" w:lastRow="1" w:firstColumn="1" w:lastColumn="1" w:noHBand="0" w:noVBand="0"/>
      </w:tblPr>
      <w:tblGrid>
        <w:gridCol w:w="3936"/>
      </w:tblGrid>
      <w:tr w:rsidR="00E07A59" w:rsidRPr="001F1754" w14:paraId="4200707D" w14:textId="77777777" w:rsidTr="00E07A59">
        <w:trPr>
          <w:trHeight w:val="316"/>
        </w:trPr>
        <w:tc>
          <w:tcPr>
            <w:tcW w:w="3936" w:type="dxa"/>
            <w:tcBorders>
              <w:top w:val="nil"/>
              <w:left w:val="nil"/>
              <w:bottom w:val="single" w:sz="4" w:space="0" w:color="auto"/>
              <w:right w:val="nil"/>
            </w:tcBorders>
            <w:shd w:val="clear" w:color="auto" w:fill="auto"/>
          </w:tcPr>
          <w:p w14:paraId="07FE4DEF" w14:textId="77777777" w:rsidR="00E07A59" w:rsidRPr="00E07A59" w:rsidRDefault="000E1AD2" w:rsidP="000E1AD2">
            <w:pPr>
              <w:spacing w:line="360" w:lineRule="auto"/>
              <w:jc w:val="center"/>
              <w:rPr>
                <w:rFonts w:ascii="David" w:hAnsi="David"/>
                <w:rtl/>
              </w:rPr>
            </w:pPr>
            <w:bookmarkStart w:id="9" w:name="Nitan"/>
            <w:r w:rsidRPr="000E1AD2">
              <w:rPr>
                <w:rFonts w:ascii="David" w:hAnsi="David"/>
                <w:b/>
                <w:bCs/>
                <w:color w:val="FFFFFF"/>
                <w:sz w:val="2"/>
                <w:szCs w:val="2"/>
                <w:rtl/>
              </w:rPr>
              <w:t>54678313</w:t>
            </w:r>
            <w:r>
              <w:rPr>
                <w:rFonts w:ascii="David" w:hAnsi="David"/>
                <w:b/>
                <w:bCs/>
                <w:rtl/>
              </w:rPr>
              <w:t xml:space="preserve">ניתנה והודעה היום כ"ח שבט תשפ"ה, 26/02/2025 במעמד הנוכחים. </w:t>
            </w:r>
            <w:bookmarkEnd w:id="9"/>
          </w:p>
        </w:tc>
      </w:tr>
      <w:tr w:rsidR="00E07A59" w:rsidRPr="001F1754" w14:paraId="59230C07" w14:textId="77777777" w:rsidTr="00E07A59">
        <w:trPr>
          <w:trHeight w:val="361"/>
        </w:trPr>
        <w:tc>
          <w:tcPr>
            <w:tcW w:w="3936" w:type="dxa"/>
            <w:tcBorders>
              <w:top w:val="single" w:sz="4" w:space="0" w:color="auto"/>
              <w:left w:val="nil"/>
              <w:bottom w:val="nil"/>
              <w:right w:val="nil"/>
            </w:tcBorders>
            <w:shd w:val="clear" w:color="auto" w:fill="auto"/>
          </w:tcPr>
          <w:p w14:paraId="25E83AC3" w14:textId="77777777" w:rsidR="00E07A59" w:rsidRPr="00E07A59" w:rsidRDefault="00E07A59" w:rsidP="00E07A59">
            <w:pPr>
              <w:spacing w:line="360" w:lineRule="auto"/>
              <w:jc w:val="center"/>
              <w:rPr>
                <w:rFonts w:ascii="David" w:hAnsi="David"/>
                <w:b/>
                <w:bCs/>
                <w:rtl/>
              </w:rPr>
            </w:pPr>
            <w:r w:rsidRPr="00E07A59">
              <w:rPr>
                <w:rFonts w:ascii="David" w:hAnsi="David"/>
                <w:b/>
                <w:bCs/>
                <w:rtl/>
              </w:rPr>
              <w:t xml:space="preserve">נגה שמואלי </w:t>
            </w:r>
            <w:r w:rsidRPr="00E07A59">
              <w:rPr>
                <w:rFonts w:ascii="David" w:hAnsi="David"/>
                <w:b/>
                <w:bCs/>
                <w:vertAlign w:val="superscript"/>
                <w:rtl/>
              </w:rPr>
              <w:t>–</w:t>
            </w:r>
            <w:r w:rsidRPr="00E07A59">
              <w:rPr>
                <w:rFonts w:ascii="David" w:hAnsi="David"/>
                <w:b/>
                <w:bCs/>
                <w:rtl/>
              </w:rPr>
              <w:t xml:space="preserve"> מאייר, שופטת בכירה</w:t>
            </w:r>
          </w:p>
        </w:tc>
      </w:tr>
    </w:tbl>
    <w:p w14:paraId="3091436F" w14:textId="77777777" w:rsidR="00E07A59" w:rsidRPr="00BF4CBC" w:rsidRDefault="00BF4CBC" w:rsidP="00E07A59">
      <w:pPr>
        <w:tabs>
          <w:tab w:val="left" w:pos="1238"/>
        </w:tabs>
        <w:spacing w:line="360" w:lineRule="auto"/>
        <w:rPr>
          <w:rFonts w:ascii="David" w:hAnsi="David"/>
          <w:color w:val="FFFFFF"/>
          <w:sz w:val="2"/>
          <w:szCs w:val="2"/>
          <w:rtl/>
        </w:rPr>
      </w:pPr>
      <w:r w:rsidRPr="00BF4CBC">
        <w:rPr>
          <w:rFonts w:ascii="David" w:hAnsi="David"/>
          <w:color w:val="FFFFFF"/>
          <w:sz w:val="2"/>
          <w:szCs w:val="2"/>
          <w:rtl/>
        </w:rPr>
        <w:t>5129371</w:t>
      </w:r>
    </w:p>
    <w:p w14:paraId="4FD4B976" w14:textId="77777777" w:rsidR="004647CE" w:rsidRPr="00BF4CBC" w:rsidRDefault="00BF4CBC" w:rsidP="000E1AD2">
      <w:pPr>
        <w:keepNext/>
        <w:rPr>
          <w:rFonts w:ascii="David" w:hAnsi="David" w:hint="cs"/>
          <w:color w:val="FFFFFF"/>
          <w:sz w:val="2"/>
          <w:szCs w:val="2"/>
          <w:rtl/>
        </w:rPr>
      </w:pPr>
      <w:r w:rsidRPr="00BF4CBC">
        <w:rPr>
          <w:rFonts w:ascii="David" w:hAnsi="David"/>
          <w:color w:val="FFFFFF"/>
          <w:sz w:val="2"/>
          <w:szCs w:val="2"/>
          <w:rtl/>
        </w:rPr>
        <w:t>54678313</w:t>
      </w:r>
    </w:p>
    <w:p w14:paraId="2EDBD04A" w14:textId="77777777" w:rsidR="000E1AD2" w:rsidRDefault="000E1AD2" w:rsidP="000E1AD2">
      <w:pPr>
        <w:rPr>
          <w:rtl/>
        </w:rPr>
      </w:pPr>
    </w:p>
    <w:p w14:paraId="41D27A5A" w14:textId="77777777" w:rsidR="000E1AD2" w:rsidRDefault="000E1AD2" w:rsidP="000E1AD2">
      <w:pPr>
        <w:jc w:val="center"/>
        <w:rPr>
          <w:color w:val="0000FF"/>
          <w:u w:val="single"/>
        </w:rPr>
      </w:pPr>
      <w:hyperlink r:id="rId77" w:history="1">
        <w:r>
          <w:rPr>
            <w:color w:val="0000FF"/>
            <w:u w:val="single"/>
            <w:rtl/>
          </w:rPr>
          <w:t>בעניין עריכה ושינויים במסמכי פסיקה, חקיקה ועוד באתר נבו – הקש כאן</w:t>
        </w:r>
      </w:hyperlink>
    </w:p>
    <w:p w14:paraId="42ACB5DF" w14:textId="77777777" w:rsidR="00BF4CBC" w:rsidRPr="00BF4CBC" w:rsidRDefault="00BF4CBC" w:rsidP="00BF4CBC">
      <w:pPr>
        <w:keepNext/>
        <w:rPr>
          <w:rFonts w:ascii="David" w:hAnsi="David" w:hint="cs"/>
          <w:color w:val="000000"/>
          <w:sz w:val="22"/>
          <w:szCs w:val="22"/>
          <w:rtl/>
        </w:rPr>
      </w:pPr>
    </w:p>
    <w:p w14:paraId="76CA0A6B" w14:textId="77777777" w:rsidR="00BF4CBC" w:rsidRPr="00BF4CBC" w:rsidRDefault="00BF4CBC" w:rsidP="00BF4CBC">
      <w:pPr>
        <w:keepNext/>
        <w:rPr>
          <w:rFonts w:ascii="David" w:hAnsi="David"/>
          <w:color w:val="000000"/>
          <w:sz w:val="22"/>
          <w:szCs w:val="22"/>
          <w:rtl/>
        </w:rPr>
      </w:pPr>
      <w:r w:rsidRPr="00BF4CBC">
        <w:rPr>
          <w:rFonts w:ascii="David" w:hAnsi="David"/>
          <w:color w:val="000000"/>
          <w:sz w:val="22"/>
          <w:szCs w:val="22"/>
          <w:rtl/>
        </w:rPr>
        <w:t>נגה שמואלי מאייר 54678313-/</w:t>
      </w:r>
    </w:p>
    <w:p w14:paraId="3FFEA5FB" w14:textId="77777777" w:rsidR="000E1AD2" w:rsidRPr="000E1AD2" w:rsidRDefault="00BF4CBC" w:rsidP="00BF4CBC">
      <w:pPr>
        <w:rPr>
          <w:rFonts w:hint="cs"/>
          <w:color w:val="0000FF"/>
          <w:u w:val="single"/>
        </w:rPr>
      </w:pPr>
      <w:r w:rsidRPr="00BF4CBC">
        <w:rPr>
          <w:color w:val="000000"/>
          <w:u w:val="single"/>
          <w:rtl/>
        </w:rPr>
        <w:t>נוסח מסמך זה כפוף לשינויי ניסוח ועריכה</w:t>
      </w:r>
    </w:p>
    <w:sectPr w:rsidR="000E1AD2" w:rsidRPr="000E1AD2" w:rsidSect="00BF4CBC">
      <w:headerReference w:type="even" r:id="rId78"/>
      <w:headerReference w:type="default" r:id="rId79"/>
      <w:footerReference w:type="even" r:id="rId80"/>
      <w:footerReference w:type="default" r:id="rId81"/>
      <w:pgSz w:w="11907" w:h="16840" w:code="9"/>
      <w:pgMar w:top="1701" w:right="1701" w:bottom="1701" w:left="1701" w:header="720" w:footer="51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736580" w14:textId="77777777" w:rsidR="006006D9" w:rsidRDefault="006006D9" w:rsidP="009F10DE">
      <w:r>
        <w:separator/>
      </w:r>
    </w:p>
  </w:endnote>
  <w:endnote w:type="continuationSeparator" w:id="0">
    <w:p w14:paraId="268A061F" w14:textId="77777777" w:rsidR="006006D9" w:rsidRDefault="006006D9" w:rsidP="009F10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A8B48F" w14:textId="77777777" w:rsidR="00BF4CBC" w:rsidRDefault="00BF4CBC" w:rsidP="00BF4CB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5</w:t>
    </w:r>
    <w:r>
      <w:rPr>
        <w:rFonts w:ascii="FrankRuehl" w:hAnsi="FrankRuehl" w:cs="FrankRuehl"/>
        <w:rtl/>
      </w:rPr>
      <w:fldChar w:fldCharType="end"/>
    </w:r>
  </w:p>
  <w:p w14:paraId="5C23A904" w14:textId="77777777" w:rsidR="000E1AD2" w:rsidRPr="00BF4CBC" w:rsidRDefault="00BF4CBC" w:rsidP="00BF4CBC">
    <w:pPr>
      <w:pStyle w:val="a5"/>
      <w:pBdr>
        <w:top w:val="single" w:sz="4" w:space="1" w:color="auto"/>
        <w:between w:val="single" w:sz="4" w:space="0" w:color="auto"/>
      </w:pBdr>
      <w:spacing w:after="60"/>
      <w:jc w:val="center"/>
      <w:rPr>
        <w:rFonts w:ascii="FrankRuehl" w:hAnsi="FrankRuehl" w:cs="FrankRuehl"/>
        <w:color w:val="000000"/>
      </w:rPr>
    </w:pPr>
    <w:r w:rsidRPr="00BF4CB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334286" w14:textId="77777777" w:rsidR="00BF4CBC" w:rsidRDefault="00BF4CBC" w:rsidP="00BF4CBC">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F2228E">
      <w:rPr>
        <w:rStyle w:val="a8"/>
        <w:rFonts w:ascii="FrankRuehl" w:hAnsi="FrankRuehl" w:cs="FrankRuehl"/>
        <w:rtl/>
      </w:rPr>
      <w:t>1</w:t>
    </w:r>
    <w:r>
      <w:rPr>
        <w:rStyle w:val="a8"/>
        <w:rFonts w:ascii="FrankRuehl" w:hAnsi="FrankRuehl" w:cs="FrankRuehl"/>
        <w:rtl/>
      </w:rPr>
      <w:fldChar w:fldCharType="end"/>
    </w:r>
  </w:p>
  <w:p w14:paraId="168BCF0C" w14:textId="77777777" w:rsidR="004647CE" w:rsidRPr="00BF4CBC" w:rsidRDefault="00BF4CBC" w:rsidP="00BF4CBC">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BF4CBC">
      <w:rPr>
        <w:rStyle w:val="a8"/>
        <w:rFonts w:ascii="FrankRuehl" w:hAnsi="FrankRuehl" w:cs="FrankRuehl" w:hint="cs"/>
        <w:color w:val="000000"/>
      </w:rPr>
      <w:pict w14:anchorId="14D529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91A519" w14:textId="77777777" w:rsidR="006006D9" w:rsidRDefault="006006D9" w:rsidP="009F10DE">
      <w:r>
        <w:separator/>
      </w:r>
    </w:p>
  </w:footnote>
  <w:footnote w:type="continuationSeparator" w:id="0">
    <w:p w14:paraId="4A85B952" w14:textId="77777777" w:rsidR="006006D9" w:rsidRDefault="006006D9" w:rsidP="009F10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411094" w14:textId="77777777" w:rsidR="000E1AD2" w:rsidRPr="00BF4CBC" w:rsidRDefault="00BF4CBC" w:rsidP="00BF4CB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(ק"ג) 66889-01-22</w:t>
    </w:r>
    <w:r>
      <w:rPr>
        <w:rFonts w:ascii="David" w:hAnsi="David"/>
        <w:color w:val="000000"/>
        <w:sz w:val="22"/>
        <w:szCs w:val="22"/>
        <w:rtl/>
      </w:rPr>
      <w:tab/>
      <w:t xml:space="preserve"> מדינת ישראל נ' דוד שנייר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854A38" w14:textId="77777777" w:rsidR="000E1AD2" w:rsidRPr="00BF4CBC" w:rsidRDefault="00BF4CBC" w:rsidP="00BF4CB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(ק"ג) 66889-01-22</w:t>
    </w:r>
    <w:r>
      <w:rPr>
        <w:rFonts w:ascii="David" w:hAnsi="David"/>
        <w:color w:val="000000"/>
        <w:sz w:val="22"/>
        <w:szCs w:val="22"/>
        <w:rtl/>
      </w:rPr>
      <w:tab/>
      <w:t xml:space="preserve"> מדינת ישראל נ' דוד שנייר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57762D"/>
    <w:multiLevelType w:val="hybridMultilevel"/>
    <w:tmpl w:val="C9C8AD52"/>
    <w:lvl w:ilvl="0" w:tplc="A58ED094">
      <w:start w:val="1"/>
      <w:numFmt w:val="hebrew1"/>
      <w:lvlText w:val="%1."/>
      <w:lvlJc w:val="center"/>
      <w:pPr>
        <w:ind w:left="30" w:hanging="360"/>
      </w:pPr>
      <w:rPr>
        <w:rFonts w:ascii="David" w:hAnsi="David" w:cs="David" w:hint="default"/>
        <w:b/>
        <w:bCs/>
      </w:rPr>
    </w:lvl>
    <w:lvl w:ilvl="1" w:tplc="04090019">
      <w:start w:val="1"/>
      <w:numFmt w:val="lowerLetter"/>
      <w:lvlText w:val="%2."/>
      <w:lvlJc w:val="left"/>
      <w:pPr>
        <w:ind w:left="750" w:hanging="360"/>
      </w:pPr>
    </w:lvl>
    <w:lvl w:ilvl="2" w:tplc="0409001B">
      <w:start w:val="1"/>
      <w:numFmt w:val="lowerRoman"/>
      <w:lvlText w:val="%3."/>
      <w:lvlJc w:val="right"/>
      <w:pPr>
        <w:ind w:left="1470" w:hanging="180"/>
      </w:pPr>
    </w:lvl>
    <w:lvl w:ilvl="3" w:tplc="0409000F">
      <w:start w:val="1"/>
      <w:numFmt w:val="decimal"/>
      <w:lvlText w:val="%4."/>
      <w:lvlJc w:val="left"/>
      <w:pPr>
        <w:ind w:left="2190" w:hanging="360"/>
      </w:pPr>
    </w:lvl>
    <w:lvl w:ilvl="4" w:tplc="04090019">
      <w:start w:val="1"/>
      <w:numFmt w:val="lowerLetter"/>
      <w:lvlText w:val="%5."/>
      <w:lvlJc w:val="left"/>
      <w:pPr>
        <w:ind w:left="2910" w:hanging="360"/>
      </w:pPr>
    </w:lvl>
    <w:lvl w:ilvl="5" w:tplc="0409001B">
      <w:start w:val="1"/>
      <w:numFmt w:val="lowerRoman"/>
      <w:lvlText w:val="%6."/>
      <w:lvlJc w:val="right"/>
      <w:pPr>
        <w:ind w:left="3630" w:hanging="180"/>
      </w:pPr>
    </w:lvl>
    <w:lvl w:ilvl="6" w:tplc="0409000F">
      <w:start w:val="1"/>
      <w:numFmt w:val="decimal"/>
      <w:lvlText w:val="%7."/>
      <w:lvlJc w:val="left"/>
      <w:pPr>
        <w:ind w:left="4350" w:hanging="360"/>
      </w:pPr>
    </w:lvl>
    <w:lvl w:ilvl="7" w:tplc="04090019">
      <w:start w:val="1"/>
      <w:numFmt w:val="lowerLetter"/>
      <w:lvlText w:val="%8."/>
      <w:lvlJc w:val="left"/>
      <w:pPr>
        <w:ind w:left="5070" w:hanging="360"/>
      </w:pPr>
    </w:lvl>
    <w:lvl w:ilvl="8" w:tplc="0409001B">
      <w:start w:val="1"/>
      <w:numFmt w:val="lowerRoman"/>
      <w:lvlText w:val="%9."/>
      <w:lvlJc w:val="right"/>
      <w:pPr>
        <w:ind w:left="5790" w:hanging="180"/>
      </w:pPr>
    </w:lvl>
  </w:abstractNum>
  <w:abstractNum w:abstractNumId="1" w15:restartNumberingAfterBreak="0">
    <w:nsid w:val="5A71790A"/>
    <w:multiLevelType w:val="hybridMultilevel"/>
    <w:tmpl w:val="ECA65B78"/>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06F5F9C"/>
    <w:multiLevelType w:val="hybridMultilevel"/>
    <w:tmpl w:val="F1D62F28"/>
    <w:lvl w:ilvl="0" w:tplc="84B8F21C">
      <w:start w:val="2"/>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FC743EF"/>
    <w:multiLevelType w:val="hybridMultilevel"/>
    <w:tmpl w:val="77E8A10C"/>
    <w:lvl w:ilvl="0" w:tplc="EF6ED752">
      <w:start w:val="1"/>
      <w:numFmt w:val="decimal"/>
      <w:lvlText w:val="%1."/>
      <w:lvlJc w:val="left"/>
      <w:pPr>
        <w:ind w:left="-330" w:hanging="360"/>
      </w:pPr>
      <w:rPr>
        <w:rFonts w:ascii="David" w:hAnsi="David" w:cs="David" w:hint="default"/>
        <w:b w:val="0"/>
        <w:bCs w:val="0"/>
        <w:sz w:val="24"/>
        <w:szCs w:val="24"/>
      </w:rPr>
    </w:lvl>
    <w:lvl w:ilvl="1" w:tplc="04090019">
      <w:start w:val="1"/>
      <w:numFmt w:val="lowerLetter"/>
      <w:lvlText w:val="%2."/>
      <w:lvlJc w:val="left"/>
      <w:pPr>
        <w:ind w:left="390" w:hanging="360"/>
      </w:pPr>
    </w:lvl>
    <w:lvl w:ilvl="2" w:tplc="0409001B">
      <w:start w:val="1"/>
      <w:numFmt w:val="lowerRoman"/>
      <w:lvlText w:val="%3."/>
      <w:lvlJc w:val="right"/>
      <w:pPr>
        <w:ind w:left="1110" w:hanging="180"/>
      </w:pPr>
    </w:lvl>
    <w:lvl w:ilvl="3" w:tplc="0409000F">
      <w:start w:val="1"/>
      <w:numFmt w:val="decimal"/>
      <w:lvlText w:val="%4."/>
      <w:lvlJc w:val="left"/>
      <w:pPr>
        <w:ind w:left="1830" w:hanging="360"/>
      </w:pPr>
    </w:lvl>
    <w:lvl w:ilvl="4" w:tplc="04090019">
      <w:start w:val="1"/>
      <w:numFmt w:val="lowerLetter"/>
      <w:lvlText w:val="%5."/>
      <w:lvlJc w:val="left"/>
      <w:pPr>
        <w:ind w:left="2550" w:hanging="360"/>
      </w:pPr>
    </w:lvl>
    <w:lvl w:ilvl="5" w:tplc="0409001B">
      <w:start w:val="1"/>
      <w:numFmt w:val="lowerRoman"/>
      <w:lvlText w:val="%6."/>
      <w:lvlJc w:val="right"/>
      <w:pPr>
        <w:ind w:left="3270" w:hanging="180"/>
      </w:pPr>
    </w:lvl>
    <w:lvl w:ilvl="6" w:tplc="0409000F">
      <w:start w:val="1"/>
      <w:numFmt w:val="decimal"/>
      <w:lvlText w:val="%7."/>
      <w:lvlJc w:val="left"/>
      <w:pPr>
        <w:ind w:left="3990" w:hanging="360"/>
      </w:pPr>
    </w:lvl>
    <w:lvl w:ilvl="7" w:tplc="04090019">
      <w:start w:val="1"/>
      <w:numFmt w:val="lowerLetter"/>
      <w:lvlText w:val="%8."/>
      <w:lvlJc w:val="left"/>
      <w:pPr>
        <w:ind w:left="4710" w:hanging="360"/>
      </w:pPr>
    </w:lvl>
    <w:lvl w:ilvl="8" w:tplc="0409001B">
      <w:start w:val="1"/>
      <w:numFmt w:val="lowerRoman"/>
      <w:lvlText w:val="%9."/>
      <w:lvlJc w:val="right"/>
      <w:pPr>
        <w:ind w:left="5430" w:hanging="180"/>
      </w:pPr>
    </w:lvl>
  </w:abstractNum>
  <w:num w:numId="1" w16cid:durableId="11075031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304802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78167896">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068883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07A59"/>
    <w:rsid w:val="00026226"/>
    <w:rsid w:val="000E1AD2"/>
    <w:rsid w:val="0018641C"/>
    <w:rsid w:val="004647CE"/>
    <w:rsid w:val="006006D9"/>
    <w:rsid w:val="00676B76"/>
    <w:rsid w:val="009F10DE"/>
    <w:rsid w:val="00BF4CBC"/>
    <w:rsid w:val="00E07A59"/>
    <w:rsid w:val="00F2228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33907F2"/>
  <w15:chartTrackingRefBased/>
  <w15:docId w15:val="{B4A61EAD-696F-4AB4-ABF5-AF84B7F66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07A59"/>
    <w:pPr>
      <w:bidi/>
    </w:pPr>
    <w:rPr>
      <w:rFonts w:ascii="Times New Roman" w:eastAsia="Times New Roman" w:hAnsi="Times New Roman" w:cs="David"/>
      <w:noProof/>
      <w:sz w:val="24"/>
      <w:szCs w:val="24"/>
    </w:rPr>
  </w:style>
  <w:style w:type="paragraph" w:styleId="1">
    <w:name w:val="heading 1"/>
    <w:basedOn w:val="a"/>
    <w:next w:val="a"/>
    <w:link w:val="10"/>
    <w:qFormat/>
    <w:rsid w:val="00E07A59"/>
    <w:pPr>
      <w:keepNext/>
      <w:keepLines/>
      <w:spacing w:before="240"/>
      <w:outlineLvl w:val="0"/>
    </w:pPr>
    <w:rPr>
      <w:rFonts w:ascii="Calibri Light" w:hAnsi="Calibri Light" w:cs="Times New Roman"/>
      <w:color w:val="2E74B5"/>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E07A59"/>
    <w:rPr>
      <w:rFonts w:ascii="Calibri Light" w:eastAsia="Times New Roman" w:hAnsi="Calibri Light" w:cs="Times New Roman"/>
      <w:noProof/>
      <w:color w:val="2E74B5"/>
      <w:sz w:val="32"/>
      <w:szCs w:val="32"/>
    </w:rPr>
  </w:style>
  <w:style w:type="paragraph" w:styleId="a3">
    <w:name w:val="header"/>
    <w:basedOn w:val="a"/>
    <w:link w:val="a4"/>
    <w:rsid w:val="00E07A59"/>
    <w:pPr>
      <w:tabs>
        <w:tab w:val="center" w:pos="4153"/>
        <w:tab w:val="right" w:pos="8306"/>
      </w:tabs>
    </w:pPr>
  </w:style>
  <w:style w:type="character" w:customStyle="1" w:styleId="a4">
    <w:name w:val="כותרת עליונה תו"/>
    <w:link w:val="a3"/>
    <w:rsid w:val="00E07A59"/>
    <w:rPr>
      <w:rFonts w:ascii="Times New Roman" w:eastAsia="Times New Roman" w:hAnsi="Times New Roman" w:cs="David"/>
      <w:noProof/>
      <w:sz w:val="24"/>
      <w:szCs w:val="24"/>
    </w:rPr>
  </w:style>
  <w:style w:type="paragraph" w:styleId="a5">
    <w:name w:val="footer"/>
    <w:basedOn w:val="a"/>
    <w:link w:val="a6"/>
    <w:rsid w:val="00E07A59"/>
    <w:pPr>
      <w:tabs>
        <w:tab w:val="center" w:pos="4153"/>
        <w:tab w:val="right" w:pos="8306"/>
      </w:tabs>
    </w:pPr>
  </w:style>
  <w:style w:type="character" w:customStyle="1" w:styleId="a6">
    <w:name w:val="כותרת תחתונה תו"/>
    <w:link w:val="a5"/>
    <w:rsid w:val="00E07A59"/>
    <w:rPr>
      <w:rFonts w:ascii="Times New Roman" w:eastAsia="Times New Roman" w:hAnsi="Times New Roman" w:cs="David"/>
      <w:noProof/>
      <w:sz w:val="24"/>
      <w:szCs w:val="24"/>
    </w:rPr>
  </w:style>
  <w:style w:type="table" w:styleId="a7">
    <w:name w:val="Table Grid"/>
    <w:basedOn w:val="a1"/>
    <w:rsid w:val="00E07A5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07A59"/>
  </w:style>
  <w:style w:type="character" w:styleId="Hyperlink">
    <w:name w:val="Hyperlink"/>
    <w:rsid w:val="00E07A59"/>
    <w:rPr>
      <w:rFonts w:ascii="Times New Roman" w:hAnsi="Times New Roman" w:cs="Times New Roman" w:hint="default"/>
      <w:color w:val="0563C1"/>
      <w:u w:val="single"/>
    </w:rPr>
  </w:style>
  <w:style w:type="character" w:customStyle="1" w:styleId="a9">
    <w:name w:val="פיסקת רשימה תו"/>
    <w:link w:val="aa"/>
    <w:locked/>
    <w:rsid w:val="00E07A59"/>
    <w:rPr>
      <w:rFonts w:ascii="David" w:hAnsi="David" w:cs="David"/>
      <w:sz w:val="24"/>
      <w:szCs w:val="24"/>
    </w:rPr>
  </w:style>
  <w:style w:type="paragraph" w:styleId="aa">
    <w:name w:val="List Paragraph"/>
    <w:basedOn w:val="a"/>
    <w:link w:val="a9"/>
    <w:qFormat/>
    <w:rsid w:val="00E07A59"/>
    <w:pPr>
      <w:spacing w:after="160" w:line="360" w:lineRule="auto"/>
      <w:ind w:left="720" w:hanging="357"/>
      <w:contextualSpacing/>
      <w:jc w:val="both"/>
    </w:pPr>
    <w:rPr>
      <w:rFonts w:ascii="David" w:eastAsia="Calibri" w:hAnsi="David"/>
      <w:noProof w:val="0"/>
    </w:rPr>
  </w:style>
  <w:style w:type="character" w:customStyle="1" w:styleId="ListParagraphChar">
    <w:name w:val="List Paragraph Char"/>
    <w:link w:val="11"/>
    <w:locked/>
    <w:rsid w:val="00E07A59"/>
  </w:style>
  <w:style w:type="paragraph" w:customStyle="1" w:styleId="11">
    <w:name w:val="פיסקת רשימה1"/>
    <w:basedOn w:val="a"/>
    <w:link w:val="ListParagraphChar"/>
    <w:rsid w:val="00E07A59"/>
    <w:pPr>
      <w:spacing w:after="160" w:line="360" w:lineRule="auto"/>
      <w:ind w:left="720" w:hanging="357"/>
      <w:contextualSpacing/>
      <w:jc w:val="both"/>
    </w:pPr>
    <w:rPr>
      <w:rFonts w:ascii="Calibri" w:eastAsia="Calibri" w:hAnsi="Calibri" w:cs="Arial"/>
      <w:noProof w:val="0"/>
      <w:sz w:val="22"/>
      <w:szCs w:val="22"/>
    </w:rPr>
  </w:style>
  <w:style w:type="character" w:styleId="ab">
    <w:name w:val="line number"/>
    <w:rsid w:val="00E07A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26952591" TargetMode="External"/><Relationship Id="rId21" Type="http://schemas.openxmlformats.org/officeDocument/2006/relationships/hyperlink" Target="http://www.nevo.co.il/case/5738608" TargetMode="External"/><Relationship Id="rId42" Type="http://schemas.openxmlformats.org/officeDocument/2006/relationships/hyperlink" Target="http://www.nevo.co.il/case/27134689" TargetMode="External"/><Relationship Id="rId47" Type="http://schemas.openxmlformats.org/officeDocument/2006/relationships/hyperlink" Target="http://www.nevo.co.il/case/6032057" TargetMode="External"/><Relationship Id="rId63" Type="http://schemas.openxmlformats.org/officeDocument/2006/relationships/hyperlink" Target="http://www.nevo.co.il/case/22932636" TargetMode="External"/><Relationship Id="rId68" Type="http://schemas.openxmlformats.org/officeDocument/2006/relationships/hyperlink" Target="http://www.nevo.co.il/case/20053795" TargetMode="External"/><Relationship Id="rId16" Type="http://schemas.openxmlformats.org/officeDocument/2006/relationships/hyperlink" Target="http://www.nevo.co.il/law/70301" TargetMode="External"/><Relationship Id="rId11" Type="http://schemas.openxmlformats.org/officeDocument/2006/relationships/hyperlink" Target="http://www.nevo.co.il/law/70301/40c.a" TargetMode="External"/><Relationship Id="rId32" Type="http://schemas.openxmlformats.org/officeDocument/2006/relationships/hyperlink" Target="http://www.nevo.co.il/case/26490107" TargetMode="External"/><Relationship Id="rId37" Type="http://schemas.openxmlformats.org/officeDocument/2006/relationships/hyperlink" Target="http://www.nevo.co.il/case/24934713" TargetMode="External"/><Relationship Id="rId53" Type="http://schemas.openxmlformats.org/officeDocument/2006/relationships/hyperlink" Target="http://www.nevo.co.il/law/70301/40d.a" TargetMode="External"/><Relationship Id="rId58" Type="http://schemas.openxmlformats.org/officeDocument/2006/relationships/hyperlink" Target="http://www.nevo.co.il/case/12930657" TargetMode="External"/><Relationship Id="rId74" Type="http://schemas.openxmlformats.org/officeDocument/2006/relationships/image" Target="media/image1.jpeg"/><Relationship Id="rId79"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hyperlink" Target="http://www.nevo.co.il/case/6120591" TargetMode="External"/><Relationship Id="rId82" Type="http://schemas.openxmlformats.org/officeDocument/2006/relationships/fontTable" Target="fontTable.xml"/><Relationship Id="rId19" Type="http://schemas.openxmlformats.org/officeDocument/2006/relationships/hyperlink" Target="http://www.nevo.co.il/law/4216" TargetMode="External"/><Relationship Id="rId14" Type="http://schemas.openxmlformats.org/officeDocument/2006/relationships/hyperlink" Target="http://www.nevo.co.il/law/4216/7.a.;7.c" TargetMode="External"/><Relationship Id="rId22" Type="http://schemas.openxmlformats.org/officeDocument/2006/relationships/hyperlink" Target="http://www.nevo.co.il/case/5583030" TargetMode="External"/><Relationship Id="rId27" Type="http://schemas.openxmlformats.org/officeDocument/2006/relationships/hyperlink" Target="http://www.nevo.co.il/case/25766453" TargetMode="External"/><Relationship Id="rId30" Type="http://schemas.openxmlformats.org/officeDocument/2006/relationships/hyperlink" Target="http://www.nevo.co.il/case/29206830" TargetMode="External"/><Relationship Id="rId35" Type="http://schemas.openxmlformats.org/officeDocument/2006/relationships/hyperlink" Target="http://www.nevo.co.il/case/27886851" TargetMode="External"/><Relationship Id="rId43" Type="http://schemas.openxmlformats.org/officeDocument/2006/relationships/hyperlink" Target="http://www.nevo.co.il/case/26806178" TargetMode="External"/><Relationship Id="rId48" Type="http://schemas.openxmlformats.org/officeDocument/2006/relationships/hyperlink" Target="http://www.nevo.co.il/case/17941073" TargetMode="External"/><Relationship Id="rId56" Type="http://schemas.openxmlformats.org/officeDocument/2006/relationships/hyperlink" Target="http://www.nevo.co.il/case/5849797" TargetMode="External"/><Relationship Id="rId64" Type="http://schemas.openxmlformats.org/officeDocument/2006/relationships/hyperlink" Target="http://www.nevo.co.il/case/20996125" TargetMode="External"/><Relationship Id="rId69" Type="http://schemas.openxmlformats.org/officeDocument/2006/relationships/hyperlink" Target="http://www.nevo.co.il/case/10442894" TargetMode="External"/><Relationship Id="rId77" Type="http://schemas.openxmlformats.org/officeDocument/2006/relationships/hyperlink" Target="http://www.nevo.co.il/advertisements/nevo-100.doc" TargetMode="External"/><Relationship Id="rId8" Type="http://schemas.openxmlformats.org/officeDocument/2006/relationships/hyperlink" Target="http://www.nevo.co.il/law/4216/7.a." TargetMode="External"/><Relationship Id="rId51" Type="http://schemas.openxmlformats.org/officeDocument/2006/relationships/hyperlink" Target="http://www.nevo.co.il/law/70301/40ja" TargetMode="External"/><Relationship Id="rId72" Type="http://schemas.openxmlformats.org/officeDocument/2006/relationships/hyperlink" Target="http://www.nevo.co.il/law/4216" TargetMode="External"/><Relationship Id="rId80"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nevo.co.il/law/70301/40d.a" TargetMode="External"/><Relationship Id="rId17" Type="http://schemas.openxmlformats.org/officeDocument/2006/relationships/hyperlink" Target="http://www.nevo.co.il/law/70301/40c.a" TargetMode="External"/><Relationship Id="rId25" Type="http://schemas.openxmlformats.org/officeDocument/2006/relationships/hyperlink" Target="http://www.nevo.co.il/case/23750765" TargetMode="External"/><Relationship Id="rId33" Type="http://schemas.openxmlformats.org/officeDocument/2006/relationships/hyperlink" Target="http://www.nevo.co.il/case/27684323" TargetMode="External"/><Relationship Id="rId38" Type="http://schemas.openxmlformats.org/officeDocument/2006/relationships/hyperlink" Target="http://www.nevo.co.il/case/27871630" TargetMode="External"/><Relationship Id="rId46" Type="http://schemas.openxmlformats.org/officeDocument/2006/relationships/hyperlink" Target="http://www.nevo.co.il/case/27047553" TargetMode="External"/><Relationship Id="rId59" Type="http://schemas.openxmlformats.org/officeDocument/2006/relationships/hyperlink" Target="http://www.nevo.co.il/case/6848505" TargetMode="External"/><Relationship Id="rId67" Type="http://schemas.openxmlformats.org/officeDocument/2006/relationships/hyperlink" Target="http://www.nevo.co.il/case/17939098" TargetMode="External"/><Relationship Id="rId20" Type="http://schemas.openxmlformats.org/officeDocument/2006/relationships/hyperlink" Target="http://www.nevo.co.il/case/17939812" TargetMode="External"/><Relationship Id="rId41" Type="http://schemas.openxmlformats.org/officeDocument/2006/relationships/hyperlink" Target="http://www.nevo.co.il/case/11279208" TargetMode="External"/><Relationship Id="rId54" Type="http://schemas.openxmlformats.org/officeDocument/2006/relationships/hyperlink" Target="http://www.nevo.co.il/law/70301" TargetMode="External"/><Relationship Id="rId62" Type="http://schemas.openxmlformats.org/officeDocument/2006/relationships/hyperlink" Target="http://www.nevo.co.il/case/21827077" TargetMode="External"/><Relationship Id="rId70" Type="http://schemas.openxmlformats.org/officeDocument/2006/relationships/hyperlink" Target="http://www.nevo.co.il/case/7807295" TargetMode="External"/><Relationship Id="rId75" Type="http://schemas.openxmlformats.org/officeDocument/2006/relationships/hyperlink" Target="http://www.nevo.co.il/law/4216"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 TargetMode="External"/><Relationship Id="rId23" Type="http://schemas.openxmlformats.org/officeDocument/2006/relationships/hyperlink" Target="http://www.nevo.co.il/case/28854489" TargetMode="External"/><Relationship Id="rId28" Type="http://schemas.openxmlformats.org/officeDocument/2006/relationships/hyperlink" Target="http://www.nevo.co.il/case/26854279" TargetMode="External"/><Relationship Id="rId36" Type="http://schemas.openxmlformats.org/officeDocument/2006/relationships/hyperlink" Target="http://www.nevo.co.il/case/28105689" TargetMode="External"/><Relationship Id="rId49" Type="http://schemas.openxmlformats.org/officeDocument/2006/relationships/hyperlink" Target="http://www.nevo.co.il/case/5880417" TargetMode="External"/><Relationship Id="rId57" Type="http://schemas.openxmlformats.org/officeDocument/2006/relationships/hyperlink" Target="http://www.nevo.co.il/case/10459128" TargetMode="External"/><Relationship Id="rId10" Type="http://schemas.openxmlformats.org/officeDocument/2006/relationships/hyperlink" Target="http://www.nevo.co.il/law/70301" TargetMode="External"/><Relationship Id="rId31" Type="http://schemas.openxmlformats.org/officeDocument/2006/relationships/hyperlink" Target="http://www.nevo.co.il/case/29367014" TargetMode="External"/><Relationship Id="rId44" Type="http://schemas.openxmlformats.org/officeDocument/2006/relationships/hyperlink" Target="http://www.nevo.co.il/case/28940704" TargetMode="External"/><Relationship Id="rId52" Type="http://schemas.openxmlformats.org/officeDocument/2006/relationships/hyperlink" Target="http://www.nevo.co.il/law/70301" TargetMode="External"/><Relationship Id="rId60" Type="http://schemas.openxmlformats.org/officeDocument/2006/relationships/hyperlink" Target="http://www.nevo.co.il/case/11269559" TargetMode="External"/><Relationship Id="rId65" Type="http://schemas.openxmlformats.org/officeDocument/2006/relationships/hyperlink" Target="http://www.nevo.co.il/case/16958004" TargetMode="External"/><Relationship Id="rId73" Type="http://schemas.openxmlformats.org/officeDocument/2006/relationships/hyperlink" Target="http://www.nevo.co.il/law/4216" TargetMode="External"/><Relationship Id="rId78" Type="http://schemas.openxmlformats.org/officeDocument/2006/relationships/header" Target="header1.xml"/><Relationship Id="rId8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70301/40ja" TargetMode="External"/><Relationship Id="rId18" Type="http://schemas.openxmlformats.org/officeDocument/2006/relationships/hyperlink" Target="http://www.nevo.co.il/law/70301" TargetMode="External"/><Relationship Id="rId39" Type="http://schemas.openxmlformats.org/officeDocument/2006/relationships/hyperlink" Target="http://www.nevo.co.il/case/27217205" TargetMode="External"/><Relationship Id="rId34" Type="http://schemas.openxmlformats.org/officeDocument/2006/relationships/hyperlink" Target="http://www.nevo.co.il/case/26089042" TargetMode="External"/><Relationship Id="rId50" Type="http://schemas.openxmlformats.org/officeDocument/2006/relationships/hyperlink" Target="http://www.nevo.co.il/case/6824952" TargetMode="External"/><Relationship Id="rId55" Type="http://schemas.openxmlformats.org/officeDocument/2006/relationships/hyperlink" Target="http://www.nevo.co.il/case/7688113" TargetMode="External"/><Relationship Id="rId76" Type="http://schemas.openxmlformats.org/officeDocument/2006/relationships/hyperlink" Target="http://www.nevo.co.il/law/4216" TargetMode="External"/><Relationship Id="rId7" Type="http://schemas.openxmlformats.org/officeDocument/2006/relationships/hyperlink" Target="http://www.nevo.co.il/law/4216" TargetMode="External"/><Relationship Id="rId71" Type="http://schemas.openxmlformats.org/officeDocument/2006/relationships/hyperlink" Target="http://www.eca.gov.il" TargetMode="External"/><Relationship Id="rId2" Type="http://schemas.openxmlformats.org/officeDocument/2006/relationships/styles" Target="styles.xml"/><Relationship Id="rId29" Type="http://schemas.openxmlformats.org/officeDocument/2006/relationships/hyperlink" Target="http://www.nevo.co.il/case/28308137" TargetMode="External"/><Relationship Id="rId24" Type="http://schemas.openxmlformats.org/officeDocument/2006/relationships/hyperlink" Target="http://www.nevo.co.il/case/29212627" TargetMode="External"/><Relationship Id="rId40" Type="http://schemas.openxmlformats.org/officeDocument/2006/relationships/hyperlink" Target="http://www.nevo.co.il/case/23750765" TargetMode="External"/><Relationship Id="rId45" Type="http://schemas.openxmlformats.org/officeDocument/2006/relationships/hyperlink" Target="http://www.nevo.co.il/case/28151006" TargetMode="External"/><Relationship Id="rId66" Type="http://schemas.openxmlformats.org/officeDocument/2006/relationships/hyperlink" Target="http://www.nevo.co.il/case/20222040"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4874</Words>
  <Characters>24372</Characters>
  <Application>Microsoft Office Word</Application>
  <DocSecurity>0</DocSecurity>
  <Lines>203</Lines>
  <Paragraphs>58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29188</CharactersWithSpaces>
  <SharedDoc>false</SharedDoc>
  <HLinks>
    <vt:vector size="420" baseType="variant">
      <vt:variant>
        <vt:i4>393283</vt:i4>
      </vt:variant>
      <vt:variant>
        <vt:i4>207</vt:i4>
      </vt:variant>
      <vt:variant>
        <vt:i4>0</vt:i4>
      </vt:variant>
      <vt:variant>
        <vt:i4>5</vt:i4>
      </vt:variant>
      <vt:variant>
        <vt:lpwstr>http://www.nevo.co.il/advertisements/nevo-100.doc</vt:lpwstr>
      </vt:variant>
      <vt:variant>
        <vt:lpwstr/>
      </vt:variant>
      <vt:variant>
        <vt:i4>8257637</vt:i4>
      </vt:variant>
      <vt:variant>
        <vt:i4>204</vt:i4>
      </vt:variant>
      <vt:variant>
        <vt:i4>0</vt:i4>
      </vt:variant>
      <vt:variant>
        <vt:i4>5</vt:i4>
      </vt:variant>
      <vt:variant>
        <vt:lpwstr>http://www.nevo.co.il/law/4216</vt:lpwstr>
      </vt:variant>
      <vt:variant>
        <vt:lpwstr/>
      </vt:variant>
      <vt:variant>
        <vt:i4>8257637</vt:i4>
      </vt:variant>
      <vt:variant>
        <vt:i4>201</vt:i4>
      </vt:variant>
      <vt:variant>
        <vt:i4>0</vt:i4>
      </vt:variant>
      <vt:variant>
        <vt:i4>5</vt:i4>
      </vt:variant>
      <vt:variant>
        <vt:lpwstr>http://www.nevo.co.il/law/4216</vt:lpwstr>
      </vt:variant>
      <vt:variant>
        <vt:lpwstr/>
      </vt:variant>
      <vt:variant>
        <vt:i4>8257637</vt:i4>
      </vt:variant>
      <vt:variant>
        <vt:i4>198</vt:i4>
      </vt:variant>
      <vt:variant>
        <vt:i4>0</vt:i4>
      </vt:variant>
      <vt:variant>
        <vt:i4>5</vt:i4>
      </vt:variant>
      <vt:variant>
        <vt:lpwstr>http://www.nevo.co.il/law/4216</vt:lpwstr>
      </vt:variant>
      <vt:variant>
        <vt:lpwstr/>
      </vt:variant>
      <vt:variant>
        <vt:i4>8257637</vt:i4>
      </vt:variant>
      <vt:variant>
        <vt:i4>195</vt:i4>
      </vt:variant>
      <vt:variant>
        <vt:i4>0</vt:i4>
      </vt:variant>
      <vt:variant>
        <vt:i4>5</vt:i4>
      </vt:variant>
      <vt:variant>
        <vt:lpwstr>http://www.nevo.co.il/law/4216</vt:lpwstr>
      </vt:variant>
      <vt:variant>
        <vt:lpwstr/>
      </vt:variant>
      <vt:variant>
        <vt:i4>7864368</vt:i4>
      </vt:variant>
      <vt:variant>
        <vt:i4>192</vt:i4>
      </vt:variant>
      <vt:variant>
        <vt:i4>0</vt:i4>
      </vt:variant>
      <vt:variant>
        <vt:i4>5</vt:i4>
      </vt:variant>
      <vt:variant>
        <vt:lpwstr>http://www.eca.gov.il/</vt:lpwstr>
      </vt:variant>
      <vt:variant>
        <vt:lpwstr/>
      </vt:variant>
      <vt:variant>
        <vt:i4>3145842</vt:i4>
      </vt:variant>
      <vt:variant>
        <vt:i4>189</vt:i4>
      </vt:variant>
      <vt:variant>
        <vt:i4>0</vt:i4>
      </vt:variant>
      <vt:variant>
        <vt:i4>5</vt:i4>
      </vt:variant>
      <vt:variant>
        <vt:lpwstr>http://www.nevo.co.il/case/7807295</vt:lpwstr>
      </vt:variant>
      <vt:variant>
        <vt:lpwstr/>
      </vt:variant>
      <vt:variant>
        <vt:i4>4063352</vt:i4>
      </vt:variant>
      <vt:variant>
        <vt:i4>186</vt:i4>
      </vt:variant>
      <vt:variant>
        <vt:i4>0</vt:i4>
      </vt:variant>
      <vt:variant>
        <vt:i4>5</vt:i4>
      </vt:variant>
      <vt:variant>
        <vt:lpwstr>http://www.nevo.co.il/case/10442894</vt:lpwstr>
      </vt:variant>
      <vt:variant>
        <vt:lpwstr/>
      </vt:variant>
      <vt:variant>
        <vt:i4>3670134</vt:i4>
      </vt:variant>
      <vt:variant>
        <vt:i4>183</vt:i4>
      </vt:variant>
      <vt:variant>
        <vt:i4>0</vt:i4>
      </vt:variant>
      <vt:variant>
        <vt:i4>5</vt:i4>
      </vt:variant>
      <vt:variant>
        <vt:lpwstr>http://www.nevo.co.il/case/20053795</vt:lpwstr>
      </vt:variant>
      <vt:variant>
        <vt:lpwstr/>
      </vt:variant>
      <vt:variant>
        <vt:i4>3670128</vt:i4>
      </vt:variant>
      <vt:variant>
        <vt:i4>180</vt:i4>
      </vt:variant>
      <vt:variant>
        <vt:i4>0</vt:i4>
      </vt:variant>
      <vt:variant>
        <vt:i4>5</vt:i4>
      </vt:variant>
      <vt:variant>
        <vt:lpwstr>http://www.nevo.co.il/case/17939098</vt:lpwstr>
      </vt:variant>
      <vt:variant>
        <vt:lpwstr/>
      </vt:variant>
      <vt:variant>
        <vt:i4>3539062</vt:i4>
      </vt:variant>
      <vt:variant>
        <vt:i4>177</vt:i4>
      </vt:variant>
      <vt:variant>
        <vt:i4>0</vt:i4>
      </vt:variant>
      <vt:variant>
        <vt:i4>5</vt:i4>
      </vt:variant>
      <vt:variant>
        <vt:lpwstr>http://www.nevo.co.il/case/20222040</vt:lpwstr>
      </vt:variant>
      <vt:variant>
        <vt:lpwstr/>
      </vt:variant>
      <vt:variant>
        <vt:i4>3145847</vt:i4>
      </vt:variant>
      <vt:variant>
        <vt:i4>174</vt:i4>
      </vt:variant>
      <vt:variant>
        <vt:i4>0</vt:i4>
      </vt:variant>
      <vt:variant>
        <vt:i4>5</vt:i4>
      </vt:variant>
      <vt:variant>
        <vt:lpwstr>http://www.nevo.co.il/case/16958004</vt:lpwstr>
      </vt:variant>
      <vt:variant>
        <vt:lpwstr/>
      </vt:variant>
      <vt:variant>
        <vt:i4>4128892</vt:i4>
      </vt:variant>
      <vt:variant>
        <vt:i4>171</vt:i4>
      </vt:variant>
      <vt:variant>
        <vt:i4>0</vt:i4>
      </vt:variant>
      <vt:variant>
        <vt:i4>5</vt:i4>
      </vt:variant>
      <vt:variant>
        <vt:lpwstr>http://www.nevo.co.il/case/20996125</vt:lpwstr>
      </vt:variant>
      <vt:variant>
        <vt:lpwstr/>
      </vt:variant>
      <vt:variant>
        <vt:i4>3801203</vt:i4>
      </vt:variant>
      <vt:variant>
        <vt:i4>168</vt:i4>
      </vt:variant>
      <vt:variant>
        <vt:i4>0</vt:i4>
      </vt:variant>
      <vt:variant>
        <vt:i4>5</vt:i4>
      </vt:variant>
      <vt:variant>
        <vt:lpwstr>http://www.nevo.co.il/case/22932636</vt:lpwstr>
      </vt:variant>
      <vt:variant>
        <vt:lpwstr/>
      </vt:variant>
      <vt:variant>
        <vt:i4>3801207</vt:i4>
      </vt:variant>
      <vt:variant>
        <vt:i4>165</vt:i4>
      </vt:variant>
      <vt:variant>
        <vt:i4>0</vt:i4>
      </vt:variant>
      <vt:variant>
        <vt:i4>5</vt:i4>
      </vt:variant>
      <vt:variant>
        <vt:lpwstr>http://www.nevo.co.il/case/21827077</vt:lpwstr>
      </vt:variant>
      <vt:variant>
        <vt:lpwstr/>
      </vt:variant>
      <vt:variant>
        <vt:i4>3145852</vt:i4>
      </vt:variant>
      <vt:variant>
        <vt:i4>162</vt:i4>
      </vt:variant>
      <vt:variant>
        <vt:i4>0</vt:i4>
      </vt:variant>
      <vt:variant>
        <vt:i4>5</vt:i4>
      </vt:variant>
      <vt:variant>
        <vt:lpwstr>http://www.nevo.co.il/case/6120591</vt:lpwstr>
      </vt:variant>
      <vt:variant>
        <vt:lpwstr/>
      </vt:variant>
      <vt:variant>
        <vt:i4>4128886</vt:i4>
      </vt:variant>
      <vt:variant>
        <vt:i4>159</vt:i4>
      </vt:variant>
      <vt:variant>
        <vt:i4>0</vt:i4>
      </vt:variant>
      <vt:variant>
        <vt:i4>5</vt:i4>
      </vt:variant>
      <vt:variant>
        <vt:lpwstr>http://www.nevo.co.il/case/11269559</vt:lpwstr>
      </vt:variant>
      <vt:variant>
        <vt:lpwstr/>
      </vt:variant>
      <vt:variant>
        <vt:i4>3276916</vt:i4>
      </vt:variant>
      <vt:variant>
        <vt:i4>156</vt:i4>
      </vt:variant>
      <vt:variant>
        <vt:i4>0</vt:i4>
      </vt:variant>
      <vt:variant>
        <vt:i4>5</vt:i4>
      </vt:variant>
      <vt:variant>
        <vt:lpwstr>http://www.nevo.co.il/case/6848505</vt:lpwstr>
      </vt:variant>
      <vt:variant>
        <vt:lpwstr/>
      </vt:variant>
      <vt:variant>
        <vt:i4>3997811</vt:i4>
      </vt:variant>
      <vt:variant>
        <vt:i4>153</vt:i4>
      </vt:variant>
      <vt:variant>
        <vt:i4>0</vt:i4>
      </vt:variant>
      <vt:variant>
        <vt:i4>5</vt:i4>
      </vt:variant>
      <vt:variant>
        <vt:lpwstr>http://www.nevo.co.il/case/12930657</vt:lpwstr>
      </vt:variant>
      <vt:variant>
        <vt:lpwstr/>
      </vt:variant>
      <vt:variant>
        <vt:i4>4063344</vt:i4>
      </vt:variant>
      <vt:variant>
        <vt:i4>150</vt:i4>
      </vt:variant>
      <vt:variant>
        <vt:i4>0</vt:i4>
      </vt:variant>
      <vt:variant>
        <vt:i4>5</vt:i4>
      </vt:variant>
      <vt:variant>
        <vt:lpwstr>http://www.nevo.co.il/case/10459128</vt:lpwstr>
      </vt:variant>
      <vt:variant>
        <vt:lpwstr/>
      </vt:variant>
      <vt:variant>
        <vt:i4>3211388</vt:i4>
      </vt:variant>
      <vt:variant>
        <vt:i4>147</vt:i4>
      </vt:variant>
      <vt:variant>
        <vt:i4>0</vt:i4>
      </vt:variant>
      <vt:variant>
        <vt:i4>5</vt:i4>
      </vt:variant>
      <vt:variant>
        <vt:lpwstr>http://www.nevo.co.il/case/5849797</vt:lpwstr>
      </vt:variant>
      <vt:variant>
        <vt:lpwstr/>
      </vt:variant>
      <vt:variant>
        <vt:i4>3997819</vt:i4>
      </vt:variant>
      <vt:variant>
        <vt:i4>144</vt:i4>
      </vt:variant>
      <vt:variant>
        <vt:i4>0</vt:i4>
      </vt:variant>
      <vt:variant>
        <vt:i4>5</vt:i4>
      </vt:variant>
      <vt:variant>
        <vt:lpwstr>http://www.nevo.co.il/case/7688113</vt:lpwstr>
      </vt:variant>
      <vt:variant>
        <vt:lpwstr/>
      </vt:variant>
      <vt:variant>
        <vt:i4>7995492</vt:i4>
      </vt:variant>
      <vt:variant>
        <vt:i4>141</vt:i4>
      </vt:variant>
      <vt:variant>
        <vt:i4>0</vt:i4>
      </vt:variant>
      <vt:variant>
        <vt:i4>5</vt:i4>
      </vt:variant>
      <vt:variant>
        <vt:lpwstr>http://www.nevo.co.il/law/70301</vt:lpwstr>
      </vt:variant>
      <vt:variant>
        <vt:lpwstr/>
      </vt:variant>
      <vt:variant>
        <vt:i4>4915205</vt:i4>
      </vt:variant>
      <vt:variant>
        <vt:i4>138</vt:i4>
      </vt:variant>
      <vt:variant>
        <vt:i4>0</vt:i4>
      </vt:variant>
      <vt:variant>
        <vt:i4>5</vt:i4>
      </vt:variant>
      <vt:variant>
        <vt:lpwstr>http://www.nevo.co.il/law/70301/40d.a</vt:lpwstr>
      </vt:variant>
      <vt:variant>
        <vt:lpwstr/>
      </vt:variant>
      <vt:variant>
        <vt:i4>7995492</vt:i4>
      </vt:variant>
      <vt:variant>
        <vt:i4>135</vt:i4>
      </vt:variant>
      <vt:variant>
        <vt:i4>0</vt:i4>
      </vt:variant>
      <vt:variant>
        <vt:i4>5</vt:i4>
      </vt:variant>
      <vt:variant>
        <vt:lpwstr>http://www.nevo.co.il/law/70301</vt:lpwstr>
      </vt:variant>
      <vt:variant>
        <vt:lpwstr/>
      </vt:variant>
      <vt:variant>
        <vt:i4>262155</vt:i4>
      </vt:variant>
      <vt:variant>
        <vt:i4>132</vt:i4>
      </vt:variant>
      <vt:variant>
        <vt:i4>0</vt:i4>
      </vt:variant>
      <vt:variant>
        <vt:i4>5</vt:i4>
      </vt:variant>
      <vt:variant>
        <vt:lpwstr>http://www.nevo.co.il/law/70301/40ja</vt:lpwstr>
      </vt:variant>
      <vt:variant>
        <vt:lpwstr/>
      </vt:variant>
      <vt:variant>
        <vt:i4>4128893</vt:i4>
      </vt:variant>
      <vt:variant>
        <vt:i4>129</vt:i4>
      </vt:variant>
      <vt:variant>
        <vt:i4>0</vt:i4>
      </vt:variant>
      <vt:variant>
        <vt:i4>5</vt:i4>
      </vt:variant>
      <vt:variant>
        <vt:lpwstr>http://www.nevo.co.il/case/6824952</vt:lpwstr>
      </vt:variant>
      <vt:variant>
        <vt:lpwstr/>
      </vt:variant>
      <vt:variant>
        <vt:i4>4063357</vt:i4>
      </vt:variant>
      <vt:variant>
        <vt:i4>126</vt:i4>
      </vt:variant>
      <vt:variant>
        <vt:i4>0</vt:i4>
      </vt:variant>
      <vt:variant>
        <vt:i4>5</vt:i4>
      </vt:variant>
      <vt:variant>
        <vt:lpwstr>http://www.nevo.co.il/case/5880417</vt:lpwstr>
      </vt:variant>
      <vt:variant>
        <vt:lpwstr/>
      </vt:variant>
      <vt:variant>
        <vt:i4>4063351</vt:i4>
      </vt:variant>
      <vt:variant>
        <vt:i4>123</vt:i4>
      </vt:variant>
      <vt:variant>
        <vt:i4>0</vt:i4>
      </vt:variant>
      <vt:variant>
        <vt:i4>5</vt:i4>
      </vt:variant>
      <vt:variant>
        <vt:lpwstr>http://www.nevo.co.il/case/17941073</vt:lpwstr>
      </vt:variant>
      <vt:variant>
        <vt:lpwstr/>
      </vt:variant>
      <vt:variant>
        <vt:i4>3276915</vt:i4>
      </vt:variant>
      <vt:variant>
        <vt:i4>120</vt:i4>
      </vt:variant>
      <vt:variant>
        <vt:i4>0</vt:i4>
      </vt:variant>
      <vt:variant>
        <vt:i4>5</vt:i4>
      </vt:variant>
      <vt:variant>
        <vt:lpwstr>http://www.nevo.co.il/case/6032057</vt:lpwstr>
      </vt:variant>
      <vt:variant>
        <vt:lpwstr/>
      </vt:variant>
      <vt:variant>
        <vt:i4>3145842</vt:i4>
      </vt:variant>
      <vt:variant>
        <vt:i4>117</vt:i4>
      </vt:variant>
      <vt:variant>
        <vt:i4>0</vt:i4>
      </vt:variant>
      <vt:variant>
        <vt:i4>5</vt:i4>
      </vt:variant>
      <vt:variant>
        <vt:lpwstr>http://www.nevo.co.il/case/27047553</vt:lpwstr>
      </vt:variant>
      <vt:variant>
        <vt:lpwstr/>
      </vt:variant>
      <vt:variant>
        <vt:i4>3276921</vt:i4>
      </vt:variant>
      <vt:variant>
        <vt:i4>114</vt:i4>
      </vt:variant>
      <vt:variant>
        <vt:i4>0</vt:i4>
      </vt:variant>
      <vt:variant>
        <vt:i4>5</vt:i4>
      </vt:variant>
      <vt:variant>
        <vt:lpwstr>http://www.nevo.co.il/case/28151006</vt:lpwstr>
      </vt:variant>
      <vt:variant>
        <vt:lpwstr/>
      </vt:variant>
      <vt:variant>
        <vt:i4>3866751</vt:i4>
      </vt:variant>
      <vt:variant>
        <vt:i4>111</vt:i4>
      </vt:variant>
      <vt:variant>
        <vt:i4>0</vt:i4>
      </vt:variant>
      <vt:variant>
        <vt:i4>5</vt:i4>
      </vt:variant>
      <vt:variant>
        <vt:lpwstr>http://www.nevo.co.il/case/28940704</vt:lpwstr>
      </vt:variant>
      <vt:variant>
        <vt:lpwstr/>
      </vt:variant>
      <vt:variant>
        <vt:i4>3866739</vt:i4>
      </vt:variant>
      <vt:variant>
        <vt:i4>108</vt:i4>
      </vt:variant>
      <vt:variant>
        <vt:i4>0</vt:i4>
      </vt:variant>
      <vt:variant>
        <vt:i4>5</vt:i4>
      </vt:variant>
      <vt:variant>
        <vt:lpwstr>http://www.nevo.co.il/case/26806178</vt:lpwstr>
      </vt:variant>
      <vt:variant>
        <vt:lpwstr/>
      </vt:variant>
      <vt:variant>
        <vt:i4>4128886</vt:i4>
      </vt:variant>
      <vt:variant>
        <vt:i4>105</vt:i4>
      </vt:variant>
      <vt:variant>
        <vt:i4>0</vt:i4>
      </vt:variant>
      <vt:variant>
        <vt:i4>5</vt:i4>
      </vt:variant>
      <vt:variant>
        <vt:lpwstr>http://www.nevo.co.il/case/27134689</vt:lpwstr>
      </vt:variant>
      <vt:variant>
        <vt:lpwstr/>
      </vt:variant>
      <vt:variant>
        <vt:i4>3801200</vt:i4>
      </vt:variant>
      <vt:variant>
        <vt:i4>102</vt:i4>
      </vt:variant>
      <vt:variant>
        <vt:i4>0</vt:i4>
      </vt:variant>
      <vt:variant>
        <vt:i4>5</vt:i4>
      </vt:variant>
      <vt:variant>
        <vt:lpwstr>http://www.nevo.co.il/case/11279208</vt:lpwstr>
      </vt:variant>
      <vt:variant>
        <vt:lpwstr/>
      </vt:variant>
      <vt:variant>
        <vt:i4>3342453</vt:i4>
      </vt:variant>
      <vt:variant>
        <vt:i4>99</vt:i4>
      </vt:variant>
      <vt:variant>
        <vt:i4>0</vt:i4>
      </vt:variant>
      <vt:variant>
        <vt:i4>5</vt:i4>
      </vt:variant>
      <vt:variant>
        <vt:lpwstr>http://www.nevo.co.il/case/23750765</vt:lpwstr>
      </vt:variant>
      <vt:variant>
        <vt:lpwstr/>
      </vt:variant>
      <vt:variant>
        <vt:i4>3604592</vt:i4>
      </vt:variant>
      <vt:variant>
        <vt:i4>96</vt:i4>
      </vt:variant>
      <vt:variant>
        <vt:i4>0</vt:i4>
      </vt:variant>
      <vt:variant>
        <vt:i4>5</vt:i4>
      </vt:variant>
      <vt:variant>
        <vt:lpwstr>http://www.nevo.co.il/case/27217205</vt:lpwstr>
      </vt:variant>
      <vt:variant>
        <vt:lpwstr/>
      </vt:variant>
      <vt:variant>
        <vt:i4>3670130</vt:i4>
      </vt:variant>
      <vt:variant>
        <vt:i4>93</vt:i4>
      </vt:variant>
      <vt:variant>
        <vt:i4>0</vt:i4>
      </vt:variant>
      <vt:variant>
        <vt:i4>5</vt:i4>
      </vt:variant>
      <vt:variant>
        <vt:lpwstr>http://www.nevo.co.il/case/27871630</vt:lpwstr>
      </vt:variant>
      <vt:variant>
        <vt:lpwstr/>
      </vt:variant>
      <vt:variant>
        <vt:i4>4063348</vt:i4>
      </vt:variant>
      <vt:variant>
        <vt:i4>90</vt:i4>
      </vt:variant>
      <vt:variant>
        <vt:i4>0</vt:i4>
      </vt:variant>
      <vt:variant>
        <vt:i4>5</vt:i4>
      </vt:variant>
      <vt:variant>
        <vt:lpwstr>http://www.nevo.co.il/case/24934713</vt:lpwstr>
      </vt:variant>
      <vt:variant>
        <vt:lpwstr/>
      </vt:variant>
      <vt:variant>
        <vt:i4>4063354</vt:i4>
      </vt:variant>
      <vt:variant>
        <vt:i4>87</vt:i4>
      </vt:variant>
      <vt:variant>
        <vt:i4>0</vt:i4>
      </vt:variant>
      <vt:variant>
        <vt:i4>5</vt:i4>
      </vt:variant>
      <vt:variant>
        <vt:lpwstr>http://www.nevo.co.il/case/28105689</vt:lpwstr>
      </vt:variant>
      <vt:variant>
        <vt:lpwstr/>
      </vt:variant>
      <vt:variant>
        <vt:i4>3735667</vt:i4>
      </vt:variant>
      <vt:variant>
        <vt:i4>84</vt:i4>
      </vt:variant>
      <vt:variant>
        <vt:i4>0</vt:i4>
      </vt:variant>
      <vt:variant>
        <vt:i4>5</vt:i4>
      </vt:variant>
      <vt:variant>
        <vt:lpwstr>http://www.nevo.co.il/case/27886851</vt:lpwstr>
      </vt:variant>
      <vt:variant>
        <vt:lpwstr/>
      </vt:variant>
      <vt:variant>
        <vt:i4>4128890</vt:i4>
      </vt:variant>
      <vt:variant>
        <vt:i4>81</vt:i4>
      </vt:variant>
      <vt:variant>
        <vt:i4>0</vt:i4>
      </vt:variant>
      <vt:variant>
        <vt:i4>5</vt:i4>
      </vt:variant>
      <vt:variant>
        <vt:lpwstr>http://www.nevo.co.il/case/26089042</vt:lpwstr>
      </vt:variant>
      <vt:variant>
        <vt:lpwstr/>
      </vt:variant>
      <vt:variant>
        <vt:i4>3276920</vt:i4>
      </vt:variant>
      <vt:variant>
        <vt:i4>78</vt:i4>
      </vt:variant>
      <vt:variant>
        <vt:i4>0</vt:i4>
      </vt:variant>
      <vt:variant>
        <vt:i4>5</vt:i4>
      </vt:variant>
      <vt:variant>
        <vt:lpwstr>http://www.nevo.co.il/case/27684323</vt:lpwstr>
      </vt:variant>
      <vt:variant>
        <vt:lpwstr/>
      </vt:variant>
      <vt:variant>
        <vt:i4>3539066</vt:i4>
      </vt:variant>
      <vt:variant>
        <vt:i4>75</vt:i4>
      </vt:variant>
      <vt:variant>
        <vt:i4>0</vt:i4>
      </vt:variant>
      <vt:variant>
        <vt:i4>5</vt:i4>
      </vt:variant>
      <vt:variant>
        <vt:lpwstr>http://www.nevo.co.il/case/26490107</vt:lpwstr>
      </vt:variant>
      <vt:variant>
        <vt:lpwstr/>
      </vt:variant>
      <vt:variant>
        <vt:i4>3604603</vt:i4>
      </vt:variant>
      <vt:variant>
        <vt:i4>72</vt:i4>
      </vt:variant>
      <vt:variant>
        <vt:i4>0</vt:i4>
      </vt:variant>
      <vt:variant>
        <vt:i4>5</vt:i4>
      </vt:variant>
      <vt:variant>
        <vt:lpwstr>http://www.nevo.co.il/case/29367014</vt:lpwstr>
      </vt:variant>
      <vt:variant>
        <vt:lpwstr/>
      </vt:variant>
      <vt:variant>
        <vt:i4>3473525</vt:i4>
      </vt:variant>
      <vt:variant>
        <vt:i4>69</vt:i4>
      </vt:variant>
      <vt:variant>
        <vt:i4>0</vt:i4>
      </vt:variant>
      <vt:variant>
        <vt:i4>5</vt:i4>
      </vt:variant>
      <vt:variant>
        <vt:lpwstr>http://www.nevo.co.il/case/29206830</vt:lpwstr>
      </vt:variant>
      <vt:variant>
        <vt:lpwstr/>
      </vt:variant>
      <vt:variant>
        <vt:i4>3801213</vt:i4>
      </vt:variant>
      <vt:variant>
        <vt:i4>66</vt:i4>
      </vt:variant>
      <vt:variant>
        <vt:i4>0</vt:i4>
      </vt:variant>
      <vt:variant>
        <vt:i4>5</vt:i4>
      </vt:variant>
      <vt:variant>
        <vt:lpwstr>http://www.nevo.co.il/case/28308137</vt:lpwstr>
      </vt:variant>
      <vt:variant>
        <vt:lpwstr/>
      </vt:variant>
      <vt:variant>
        <vt:i4>3735669</vt:i4>
      </vt:variant>
      <vt:variant>
        <vt:i4>63</vt:i4>
      </vt:variant>
      <vt:variant>
        <vt:i4>0</vt:i4>
      </vt:variant>
      <vt:variant>
        <vt:i4>5</vt:i4>
      </vt:variant>
      <vt:variant>
        <vt:lpwstr>http://www.nevo.co.il/case/26854279</vt:lpwstr>
      </vt:variant>
      <vt:variant>
        <vt:lpwstr/>
      </vt:variant>
      <vt:variant>
        <vt:i4>3539059</vt:i4>
      </vt:variant>
      <vt:variant>
        <vt:i4>60</vt:i4>
      </vt:variant>
      <vt:variant>
        <vt:i4>0</vt:i4>
      </vt:variant>
      <vt:variant>
        <vt:i4>5</vt:i4>
      </vt:variant>
      <vt:variant>
        <vt:lpwstr>http://www.nevo.co.il/case/25766453</vt:lpwstr>
      </vt:variant>
      <vt:variant>
        <vt:lpwstr/>
      </vt:variant>
      <vt:variant>
        <vt:i4>3145842</vt:i4>
      </vt:variant>
      <vt:variant>
        <vt:i4>57</vt:i4>
      </vt:variant>
      <vt:variant>
        <vt:i4>0</vt:i4>
      </vt:variant>
      <vt:variant>
        <vt:i4>5</vt:i4>
      </vt:variant>
      <vt:variant>
        <vt:lpwstr>http://www.nevo.co.il/case/26952591</vt:lpwstr>
      </vt:variant>
      <vt:variant>
        <vt:lpwstr/>
      </vt:variant>
      <vt:variant>
        <vt:i4>3342453</vt:i4>
      </vt:variant>
      <vt:variant>
        <vt:i4>54</vt:i4>
      </vt:variant>
      <vt:variant>
        <vt:i4>0</vt:i4>
      </vt:variant>
      <vt:variant>
        <vt:i4>5</vt:i4>
      </vt:variant>
      <vt:variant>
        <vt:lpwstr>http://www.nevo.co.il/case/23750765</vt:lpwstr>
      </vt:variant>
      <vt:variant>
        <vt:lpwstr/>
      </vt:variant>
      <vt:variant>
        <vt:i4>3145850</vt:i4>
      </vt:variant>
      <vt:variant>
        <vt:i4>51</vt:i4>
      </vt:variant>
      <vt:variant>
        <vt:i4>0</vt:i4>
      </vt:variant>
      <vt:variant>
        <vt:i4>5</vt:i4>
      </vt:variant>
      <vt:variant>
        <vt:lpwstr>http://www.nevo.co.il/case/29212627</vt:lpwstr>
      </vt:variant>
      <vt:variant>
        <vt:lpwstr/>
      </vt:variant>
      <vt:variant>
        <vt:i4>3539069</vt:i4>
      </vt:variant>
      <vt:variant>
        <vt:i4>48</vt:i4>
      </vt:variant>
      <vt:variant>
        <vt:i4>0</vt:i4>
      </vt:variant>
      <vt:variant>
        <vt:i4>5</vt:i4>
      </vt:variant>
      <vt:variant>
        <vt:lpwstr>http://www.nevo.co.il/case/28854489</vt:lpwstr>
      </vt:variant>
      <vt:variant>
        <vt:lpwstr/>
      </vt:variant>
      <vt:variant>
        <vt:i4>3997809</vt:i4>
      </vt:variant>
      <vt:variant>
        <vt:i4>45</vt:i4>
      </vt:variant>
      <vt:variant>
        <vt:i4>0</vt:i4>
      </vt:variant>
      <vt:variant>
        <vt:i4>5</vt:i4>
      </vt:variant>
      <vt:variant>
        <vt:lpwstr>http://www.nevo.co.il/case/5583030</vt:lpwstr>
      </vt:variant>
      <vt:variant>
        <vt:lpwstr/>
      </vt:variant>
      <vt:variant>
        <vt:i4>3670139</vt:i4>
      </vt:variant>
      <vt:variant>
        <vt:i4>42</vt:i4>
      </vt:variant>
      <vt:variant>
        <vt:i4>0</vt:i4>
      </vt:variant>
      <vt:variant>
        <vt:i4>5</vt:i4>
      </vt:variant>
      <vt:variant>
        <vt:lpwstr>http://www.nevo.co.il/case/5738608</vt:lpwstr>
      </vt:variant>
      <vt:variant>
        <vt:lpwstr/>
      </vt:variant>
      <vt:variant>
        <vt:i4>3145848</vt:i4>
      </vt:variant>
      <vt:variant>
        <vt:i4>39</vt:i4>
      </vt:variant>
      <vt:variant>
        <vt:i4>0</vt:i4>
      </vt:variant>
      <vt:variant>
        <vt:i4>5</vt:i4>
      </vt:variant>
      <vt:variant>
        <vt:lpwstr>http://www.nevo.co.il/case/17939812</vt:lpwstr>
      </vt:variant>
      <vt:variant>
        <vt:lpwstr/>
      </vt:variant>
      <vt:variant>
        <vt:i4>8257637</vt:i4>
      </vt:variant>
      <vt:variant>
        <vt:i4>36</vt:i4>
      </vt:variant>
      <vt:variant>
        <vt:i4>0</vt:i4>
      </vt:variant>
      <vt:variant>
        <vt:i4>5</vt:i4>
      </vt:variant>
      <vt:variant>
        <vt:lpwstr>http://www.nevo.co.il/law/4216</vt:lpwstr>
      </vt:variant>
      <vt:variant>
        <vt:lpwstr/>
      </vt:variant>
      <vt:variant>
        <vt:i4>7995492</vt:i4>
      </vt:variant>
      <vt:variant>
        <vt:i4>33</vt:i4>
      </vt:variant>
      <vt:variant>
        <vt:i4>0</vt:i4>
      </vt:variant>
      <vt:variant>
        <vt:i4>5</vt:i4>
      </vt:variant>
      <vt:variant>
        <vt:lpwstr>http://www.nevo.co.il/law/70301</vt:lpwstr>
      </vt:variant>
      <vt:variant>
        <vt:lpwstr/>
      </vt:variant>
      <vt:variant>
        <vt:i4>4915202</vt:i4>
      </vt:variant>
      <vt:variant>
        <vt:i4>30</vt:i4>
      </vt:variant>
      <vt:variant>
        <vt:i4>0</vt:i4>
      </vt:variant>
      <vt:variant>
        <vt:i4>5</vt:i4>
      </vt:variant>
      <vt:variant>
        <vt:lpwstr>http://www.nevo.co.il/law/70301/40c.a</vt:lpwstr>
      </vt:variant>
      <vt:variant>
        <vt:lpwstr/>
      </vt:variant>
      <vt:variant>
        <vt:i4>7995492</vt:i4>
      </vt:variant>
      <vt:variant>
        <vt:i4>27</vt:i4>
      </vt:variant>
      <vt:variant>
        <vt:i4>0</vt:i4>
      </vt:variant>
      <vt:variant>
        <vt:i4>5</vt:i4>
      </vt:variant>
      <vt:variant>
        <vt:lpwstr>http://www.nevo.co.il/law/70301</vt:lpwstr>
      </vt:variant>
      <vt:variant>
        <vt:lpwstr/>
      </vt:variant>
      <vt:variant>
        <vt:i4>8257637</vt:i4>
      </vt:variant>
      <vt:variant>
        <vt:i4>24</vt:i4>
      </vt:variant>
      <vt:variant>
        <vt:i4>0</vt:i4>
      </vt:variant>
      <vt:variant>
        <vt:i4>5</vt:i4>
      </vt:variant>
      <vt:variant>
        <vt:lpwstr>http://www.nevo.co.il/law/4216</vt:lpwstr>
      </vt:variant>
      <vt:variant>
        <vt:lpwstr/>
      </vt:variant>
      <vt:variant>
        <vt:i4>3997821</vt:i4>
      </vt:variant>
      <vt:variant>
        <vt:i4>21</vt:i4>
      </vt:variant>
      <vt:variant>
        <vt:i4>0</vt:i4>
      </vt:variant>
      <vt:variant>
        <vt:i4>5</vt:i4>
      </vt:variant>
      <vt:variant>
        <vt:lpwstr>http://www.nevo.co.il/law/4216/7.a.;7.c</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4915205</vt:i4>
      </vt:variant>
      <vt:variant>
        <vt:i4>15</vt:i4>
      </vt:variant>
      <vt:variant>
        <vt:i4>0</vt:i4>
      </vt:variant>
      <vt:variant>
        <vt:i4>5</vt:i4>
      </vt:variant>
      <vt:variant>
        <vt:lpwstr>http://www.nevo.co.il/law/70301/40d.a</vt:lpwstr>
      </vt:variant>
      <vt:variant>
        <vt:lpwstr/>
      </vt:variant>
      <vt:variant>
        <vt:i4>4915202</vt:i4>
      </vt:variant>
      <vt:variant>
        <vt:i4>12</vt:i4>
      </vt:variant>
      <vt:variant>
        <vt:i4>0</vt:i4>
      </vt:variant>
      <vt:variant>
        <vt:i4>5</vt:i4>
      </vt:variant>
      <vt:variant>
        <vt:lpwstr>http://www.nevo.co.il/law/70301/40c.a</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2025-04-23T01:21:00Z</dcterms:created>
  <dcterms:modified xsi:type="dcterms:W3CDTF">2025-04-23T01:21:00Z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66889</vt:lpwstr>
  </property>
  <property fmtid="{D5CDD505-2E9C-101B-9397-08002B2CF9AE}" pid="6" name="NEWPARTB">
    <vt:lpwstr>01</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דוד שנייר</vt:lpwstr>
  </property>
  <property fmtid="{D5CDD505-2E9C-101B-9397-08002B2CF9AE}" pid="10" name="LAWYER">
    <vt:lpwstr>הדס טוביה;יונת בן חיים</vt:lpwstr>
  </property>
  <property fmtid="{D5CDD505-2E9C-101B-9397-08002B2CF9AE}" pid="11" name="JUDGE">
    <vt:lpwstr>נגה שמואלי מאייר</vt:lpwstr>
  </property>
  <property fmtid="{D5CDD505-2E9C-101B-9397-08002B2CF9AE}" pid="12" name="CITY">
    <vt:lpwstr>ק"ג</vt:lpwstr>
  </property>
  <property fmtid="{D5CDD505-2E9C-101B-9397-08002B2CF9AE}" pid="13" name="DATE">
    <vt:lpwstr>20250226</vt:lpwstr>
  </property>
  <property fmtid="{D5CDD505-2E9C-101B-9397-08002B2CF9AE}" pid="14" name="TYPE_N_DATE">
    <vt:lpwstr>38020250226</vt:lpwstr>
  </property>
  <property fmtid="{D5CDD505-2E9C-101B-9397-08002B2CF9AE}" pid="15" name="CASESLISTTMP1">
    <vt:lpwstr>17939812;5738608;5583030;28854489;29212627;23750765:2;26952591;25766453;26854279;28308137;29206830;29367014;26490107;27684323;26089042;27886851;28105689;24934713;27871630;27217205;11279208;27134689;26806178;28940704;28151006;27047553;6032057;17941073</vt:lpwstr>
  </property>
  <property fmtid="{D5CDD505-2E9C-101B-9397-08002B2CF9AE}" pid="16" name="CASESLISTTMP2">
    <vt:lpwstr>5880417;6824952;7688113;5849797;10459128;12930657;6848505;11269559;6120591;21827077;22932636;20996125;16958004;20222040;17939098;20053795;10442894;7807295</vt:lpwstr>
  </property>
  <property fmtid="{D5CDD505-2E9C-101B-9397-08002B2CF9AE}" pid="17" name="WORDNUMPAGES">
    <vt:lpwstr>11</vt:lpwstr>
  </property>
  <property fmtid="{D5CDD505-2E9C-101B-9397-08002B2CF9AE}" pid="18" name="TYPE_ABS_DATE">
    <vt:lpwstr>380020250226</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4216/007.a;007.c</vt:lpwstr>
  </property>
  <property fmtid="{D5CDD505-2E9C-101B-9397-08002B2CF9AE}" pid="37" name="LAWLISTTMP2">
    <vt:lpwstr>70301/040c.a;40ja;040d.a</vt:lpwstr>
  </property>
  <property fmtid="{D5CDD505-2E9C-101B-9397-08002B2CF9AE}" pid="38" name="ISABSTRACT">
    <vt:lpwstr>Y</vt:lpwstr>
  </property>
</Properties>
</file>