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C20F1" w:rsidRPr="00BB36E3" w14:paraId="3233E39F" w14:textId="77777777" w:rsidTr="00DF60B0">
        <w:trPr>
          <w:trHeight w:hRule="exact" w:val="418"/>
          <w:jc w:val="center"/>
        </w:trPr>
        <w:tc>
          <w:tcPr>
            <w:tcW w:w="8721" w:type="dxa"/>
            <w:gridSpan w:val="2"/>
          </w:tcPr>
          <w:p w14:paraId="5C227D75" w14:textId="77777777" w:rsidR="008C20F1" w:rsidRPr="00BB36E3" w:rsidRDefault="008C20F1" w:rsidP="00C80128">
            <w:pPr>
              <w:pStyle w:val="a3"/>
              <w:jc w:val="center"/>
              <w:rPr>
                <w:rFonts w:ascii="Tahoma" w:hAnsi="Tahoma" w:cs="Tahoma"/>
                <w:color w:val="000080"/>
                <w:rtl/>
              </w:rPr>
            </w:pPr>
            <w:bookmarkStart w:id="0" w:name="LastJudge"/>
            <w:r w:rsidRPr="00BB36E3">
              <w:rPr>
                <w:rFonts w:ascii="Tahoma" w:hAnsi="Tahoma" w:cs="Tahoma"/>
                <w:b/>
                <w:bCs/>
                <w:color w:val="000080"/>
                <w:rtl/>
              </w:rPr>
              <w:t>בית משפט השלום בירושלים</w:t>
            </w:r>
          </w:p>
        </w:tc>
      </w:tr>
      <w:tr w:rsidR="008C20F1" w:rsidRPr="00BB36E3" w14:paraId="2DFE4D19" w14:textId="77777777" w:rsidTr="00DF60B0">
        <w:trPr>
          <w:trHeight w:val="337"/>
          <w:jc w:val="center"/>
        </w:trPr>
        <w:tc>
          <w:tcPr>
            <w:tcW w:w="5054" w:type="dxa"/>
          </w:tcPr>
          <w:p w14:paraId="0BB016BE" w14:textId="77777777" w:rsidR="008C20F1" w:rsidRPr="00BB36E3" w:rsidRDefault="008C20F1" w:rsidP="00C80128">
            <w:pPr>
              <w:rPr>
                <w:rFonts w:ascii="David" w:hAnsi="David"/>
                <w:b/>
                <w:bCs/>
                <w:sz w:val="26"/>
                <w:szCs w:val="26"/>
                <w:rtl/>
              </w:rPr>
            </w:pPr>
            <w:r w:rsidRPr="00BB36E3">
              <w:rPr>
                <w:rFonts w:ascii="David" w:hAnsi="David"/>
                <w:b/>
                <w:bCs/>
                <w:sz w:val="26"/>
                <w:szCs w:val="26"/>
                <w:rtl/>
              </w:rPr>
              <w:t>ת"פ 15481-02-22 מדינת ישראל נ' אבו סווי</w:t>
            </w:r>
          </w:p>
          <w:p w14:paraId="7D65318A" w14:textId="77777777" w:rsidR="008C20F1" w:rsidRPr="00BB36E3" w:rsidRDefault="008C20F1" w:rsidP="00C80128">
            <w:pPr>
              <w:pStyle w:val="a3"/>
              <w:rPr>
                <w:rFonts w:cs="FrankRuehl"/>
                <w:sz w:val="28"/>
                <w:szCs w:val="28"/>
                <w:rtl/>
              </w:rPr>
            </w:pPr>
          </w:p>
        </w:tc>
        <w:tc>
          <w:tcPr>
            <w:tcW w:w="3667" w:type="dxa"/>
          </w:tcPr>
          <w:p w14:paraId="2E2A7604" w14:textId="77777777" w:rsidR="008C20F1" w:rsidRPr="00BB36E3" w:rsidRDefault="008C20F1" w:rsidP="00C80128">
            <w:pPr>
              <w:pStyle w:val="a3"/>
              <w:jc w:val="right"/>
              <w:rPr>
                <w:rFonts w:cs="FrankRuehl"/>
                <w:sz w:val="28"/>
                <w:szCs w:val="28"/>
                <w:rtl/>
              </w:rPr>
            </w:pPr>
          </w:p>
        </w:tc>
      </w:tr>
    </w:tbl>
    <w:p w14:paraId="0FE0832A" w14:textId="77777777" w:rsidR="008C20F1" w:rsidRPr="00BB36E3" w:rsidRDefault="008C20F1" w:rsidP="008C20F1">
      <w:pPr>
        <w:pStyle w:val="a3"/>
        <w:rPr>
          <w:rtl/>
        </w:rPr>
      </w:pPr>
      <w:r w:rsidRPr="00BB36E3">
        <w:rPr>
          <w:rFonts w:hint="cs"/>
          <w:rtl/>
        </w:rPr>
        <w:t xml:space="preserve"> </w:t>
      </w:r>
    </w:p>
    <w:p w14:paraId="331495E2" w14:textId="77777777" w:rsidR="008C20F1" w:rsidRPr="00BB36E3" w:rsidRDefault="008C20F1" w:rsidP="008C20F1">
      <w:pPr>
        <w:rPr>
          <w:sz w:val="26"/>
          <w:szCs w:val="26"/>
          <w:rtl/>
        </w:rPr>
      </w:pPr>
    </w:p>
    <w:p w14:paraId="37C6DEB6" w14:textId="77777777" w:rsidR="008C20F1" w:rsidRPr="00BB36E3" w:rsidRDefault="008C20F1" w:rsidP="008C20F1">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8C20F1" w:rsidRPr="00BB36E3" w14:paraId="7353E7E9" w14:textId="77777777" w:rsidTr="008C20F1">
        <w:trPr>
          <w:trHeight w:val="295"/>
          <w:jc w:val="center"/>
        </w:trPr>
        <w:tc>
          <w:tcPr>
            <w:tcW w:w="923" w:type="dxa"/>
            <w:tcBorders>
              <w:top w:val="nil"/>
              <w:left w:val="nil"/>
              <w:bottom w:val="nil"/>
              <w:right w:val="nil"/>
            </w:tcBorders>
            <w:shd w:val="clear" w:color="auto" w:fill="auto"/>
          </w:tcPr>
          <w:p w14:paraId="635ABD43" w14:textId="77777777" w:rsidR="008C20F1" w:rsidRPr="00BB36E3" w:rsidRDefault="008C20F1" w:rsidP="008C20F1">
            <w:pPr>
              <w:jc w:val="both"/>
              <w:rPr>
                <w:rFonts w:ascii="David" w:hAnsi="David"/>
                <w:b/>
                <w:bCs/>
                <w:sz w:val="26"/>
                <w:szCs w:val="26"/>
              </w:rPr>
            </w:pPr>
            <w:r w:rsidRPr="00BB36E3">
              <w:rPr>
                <w:rFonts w:ascii="David" w:hAnsi="David" w:hint="cs"/>
                <w:b/>
                <w:bCs/>
                <w:sz w:val="26"/>
                <w:szCs w:val="26"/>
                <w:rtl/>
              </w:rPr>
              <w:t>ל</w:t>
            </w:r>
            <w:r w:rsidRPr="00BB36E3">
              <w:rPr>
                <w:rFonts w:ascii="David" w:hAnsi="David"/>
                <w:b/>
                <w:bCs/>
                <w:sz w:val="26"/>
                <w:szCs w:val="26"/>
                <w:rtl/>
              </w:rPr>
              <w:t xml:space="preserve">פני </w:t>
            </w:r>
          </w:p>
        </w:tc>
        <w:tc>
          <w:tcPr>
            <w:tcW w:w="7897" w:type="dxa"/>
            <w:gridSpan w:val="2"/>
            <w:tcBorders>
              <w:top w:val="nil"/>
              <w:left w:val="nil"/>
              <w:bottom w:val="nil"/>
              <w:right w:val="nil"/>
            </w:tcBorders>
            <w:shd w:val="clear" w:color="auto" w:fill="auto"/>
          </w:tcPr>
          <w:p w14:paraId="2B1BA8AE" w14:textId="77777777" w:rsidR="008C20F1" w:rsidRPr="00BB36E3" w:rsidRDefault="008C20F1" w:rsidP="00C80128">
            <w:pPr>
              <w:rPr>
                <w:rFonts w:ascii="David" w:hAnsi="David"/>
                <w:b/>
                <w:bCs/>
                <w:sz w:val="26"/>
                <w:szCs w:val="26"/>
                <w:rtl/>
              </w:rPr>
            </w:pPr>
            <w:r w:rsidRPr="00BB36E3">
              <w:rPr>
                <w:rFonts w:ascii="David" w:hAnsi="David"/>
                <w:b/>
                <w:bCs/>
                <w:sz w:val="26"/>
                <w:szCs w:val="26"/>
                <w:rtl/>
              </w:rPr>
              <w:t>כבוד השופט  דוד שאול גבאי ריכטר</w:t>
            </w:r>
          </w:p>
          <w:p w14:paraId="5F22DFEB" w14:textId="77777777" w:rsidR="008C20F1" w:rsidRPr="00BB36E3" w:rsidRDefault="008C20F1" w:rsidP="00C80128">
            <w:pPr>
              <w:rPr>
                <w:rFonts w:ascii="David" w:hAnsi="David"/>
                <w:b/>
                <w:bCs/>
                <w:sz w:val="26"/>
                <w:szCs w:val="26"/>
                <w:rtl/>
              </w:rPr>
            </w:pPr>
          </w:p>
          <w:p w14:paraId="57F529DD" w14:textId="77777777" w:rsidR="008C20F1" w:rsidRPr="00BB36E3" w:rsidRDefault="008C20F1" w:rsidP="008C20F1">
            <w:pPr>
              <w:jc w:val="both"/>
              <w:rPr>
                <w:rFonts w:ascii="David" w:hAnsi="David"/>
                <w:b/>
                <w:bCs/>
                <w:sz w:val="26"/>
                <w:szCs w:val="26"/>
              </w:rPr>
            </w:pPr>
          </w:p>
        </w:tc>
      </w:tr>
      <w:tr w:rsidR="008C20F1" w:rsidRPr="00BB36E3" w14:paraId="71EDB305" w14:textId="77777777" w:rsidTr="008C20F1">
        <w:trPr>
          <w:trHeight w:val="355"/>
          <w:jc w:val="center"/>
        </w:trPr>
        <w:tc>
          <w:tcPr>
            <w:tcW w:w="923" w:type="dxa"/>
            <w:tcBorders>
              <w:top w:val="nil"/>
              <w:left w:val="nil"/>
              <w:bottom w:val="nil"/>
              <w:right w:val="nil"/>
            </w:tcBorders>
            <w:shd w:val="clear" w:color="auto" w:fill="auto"/>
          </w:tcPr>
          <w:p w14:paraId="74F4D3AC" w14:textId="77777777" w:rsidR="008C20F1" w:rsidRPr="00BB36E3" w:rsidRDefault="008C20F1" w:rsidP="008C20F1">
            <w:pPr>
              <w:jc w:val="both"/>
              <w:rPr>
                <w:rFonts w:ascii="David" w:hAnsi="David"/>
                <w:b/>
                <w:bCs/>
                <w:sz w:val="26"/>
                <w:szCs w:val="26"/>
              </w:rPr>
            </w:pPr>
            <w:bookmarkStart w:id="1" w:name="FirstAppellant"/>
            <w:bookmarkStart w:id="2" w:name="FirstLawyer"/>
            <w:r w:rsidRPr="00BB36E3">
              <w:rPr>
                <w:rFonts w:ascii="David" w:hAnsi="David"/>
                <w:b/>
                <w:bCs/>
                <w:sz w:val="26"/>
                <w:szCs w:val="26"/>
                <w:rtl/>
              </w:rPr>
              <w:t>בעניין:</w:t>
            </w:r>
          </w:p>
        </w:tc>
        <w:tc>
          <w:tcPr>
            <w:tcW w:w="3219" w:type="dxa"/>
            <w:tcBorders>
              <w:top w:val="nil"/>
              <w:left w:val="nil"/>
              <w:bottom w:val="nil"/>
              <w:right w:val="nil"/>
            </w:tcBorders>
            <w:shd w:val="clear" w:color="auto" w:fill="auto"/>
          </w:tcPr>
          <w:p w14:paraId="6F695B67" w14:textId="77777777" w:rsidR="008C20F1" w:rsidRPr="00BB36E3" w:rsidRDefault="008C20F1" w:rsidP="008C20F1">
            <w:pPr>
              <w:suppressLineNumbers/>
              <w:rPr>
                <w:b/>
                <w:bCs/>
                <w:sz w:val="26"/>
                <w:szCs w:val="26"/>
              </w:rPr>
            </w:pPr>
            <w:r w:rsidRPr="00BB36E3">
              <w:rPr>
                <w:rFonts w:ascii="Arial" w:hAnsi="Arial" w:hint="cs"/>
                <w:b/>
                <w:bCs/>
                <w:sz w:val="26"/>
                <w:szCs w:val="26"/>
                <w:rtl/>
              </w:rPr>
              <w:t>ה</w:t>
            </w:r>
            <w:r w:rsidRPr="00BB36E3">
              <w:rPr>
                <w:rFonts w:ascii="Arial" w:hAnsi="Arial"/>
                <w:b/>
                <w:bCs/>
                <w:sz w:val="26"/>
                <w:szCs w:val="26"/>
                <w:rtl/>
              </w:rPr>
              <w:t>מאשימה</w:t>
            </w:r>
          </w:p>
          <w:p w14:paraId="37E46A3E" w14:textId="77777777" w:rsidR="008C20F1" w:rsidRPr="00BB36E3" w:rsidRDefault="008C20F1" w:rsidP="00C80128">
            <w:pPr>
              <w:rPr>
                <w:rFonts w:ascii="David" w:hAnsi="David"/>
                <w:b/>
                <w:bCs/>
                <w:sz w:val="26"/>
                <w:szCs w:val="26"/>
              </w:rPr>
            </w:pPr>
          </w:p>
        </w:tc>
        <w:tc>
          <w:tcPr>
            <w:tcW w:w="4678" w:type="dxa"/>
            <w:tcBorders>
              <w:top w:val="nil"/>
              <w:left w:val="nil"/>
              <w:bottom w:val="nil"/>
              <w:right w:val="nil"/>
            </w:tcBorders>
            <w:shd w:val="clear" w:color="auto" w:fill="auto"/>
            <w:vAlign w:val="center"/>
          </w:tcPr>
          <w:p w14:paraId="50CC8EAF" w14:textId="77777777" w:rsidR="008C20F1" w:rsidRPr="00BB36E3" w:rsidRDefault="008C20F1" w:rsidP="008C20F1">
            <w:pPr>
              <w:suppressLineNumbers/>
              <w:rPr>
                <w:rFonts w:ascii="Arial" w:hAnsi="Arial"/>
                <w:b/>
                <w:bCs/>
                <w:sz w:val="26"/>
                <w:szCs w:val="26"/>
                <w:rtl/>
              </w:rPr>
            </w:pPr>
            <w:r w:rsidRPr="00BB36E3">
              <w:rPr>
                <w:rFonts w:ascii="Arial" w:hAnsi="Arial"/>
                <w:b/>
                <w:bCs/>
                <w:sz w:val="26"/>
                <w:szCs w:val="26"/>
                <w:rtl/>
              </w:rPr>
              <w:t>מדינת ישראל</w:t>
            </w:r>
            <w:r w:rsidRPr="00BB36E3">
              <w:rPr>
                <w:rFonts w:ascii="Arial" w:hAnsi="Arial" w:hint="cs"/>
                <w:b/>
                <w:bCs/>
                <w:sz w:val="26"/>
                <w:szCs w:val="26"/>
                <w:rtl/>
              </w:rPr>
              <w:t xml:space="preserve"> </w:t>
            </w:r>
          </w:p>
          <w:p w14:paraId="528AB853" w14:textId="77777777" w:rsidR="008C20F1" w:rsidRPr="00BB36E3" w:rsidRDefault="008C20F1" w:rsidP="008C20F1">
            <w:pPr>
              <w:suppressLineNumbers/>
              <w:rPr>
                <w:b/>
                <w:bCs/>
                <w:sz w:val="26"/>
                <w:szCs w:val="26"/>
                <w:rtl/>
              </w:rPr>
            </w:pPr>
            <w:r w:rsidRPr="00BB36E3">
              <w:rPr>
                <w:rFonts w:ascii="Arial" w:hAnsi="Arial"/>
                <w:b/>
                <w:bCs/>
                <w:sz w:val="26"/>
                <w:szCs w:val="26"/>
                <w:rtl/>
              </w:rPr>
              <w:t>ע"י ב"כ עוה"ד</w:t>
            </w:r>
            <w:r w:rsidRPr="00BB36E3">
              <w:rPr>
                <w:rFonts w:hint="cs"/>
                <w:b/>
                <w:bCs/>
                <w:sz w:val="26"/>
                <w:szCs w:val="26"/>
                <w:rtl/>
              </w:rPr>
              <w:t xml:space="preserve"> ואא'ל עתאמנה </w:t>
            </w:r>
          </w:p>
          <w:p w14:paraId="2ECE1F72" w14:textId="77777777" w:rsidR="008C20F1" w:rsidRPr="00BB36E3" w:rsidRDefault="008C20F1" w:rsidP="008C20F1">
            <w:pPr>
              <w:suppressLineNumbers/>
              <w:rPr>
                <w:b/>
                <w:bCs/>
                <w:sz w:val="26"/>
                <w:szCs w:val="26"/>
              </w:rPr>
            </w:pPr>
            <w:r w:rsidRPr="00BB36E3">
              <w:rPr>
                <w:rFonts w:hint="cs"/>
                <w:b/>
                <w:bCs/>
                <w:sz w:val="26"/>
                <w:szCs w:val="26"/>
                <w:rtl/>
              </w:rPr>
              <w:t>ועוה"ד קרן מטלוב מתביעות ירושלים</w:t>
            </w:r>
          </w:p>
          <w:p w14:paraId="34992358" w14:textId="77777777" w:rsidR="008C20F1" w:rsidRPr="00BB36E3" w:rsidRDefault="008C20F1" w:rsidP="00C80128">
            <w:pPr>
              <w:rPr>
                <w:rFonts w:ascii="David" w:hAnsi="David"/>
                <w:b/>
                <w:bCs/>
                <w:sz w:val="26"/>
                <w:szCs w:val="26"/>
              </w:rPr>
            </w:pPr>
          </w:p>
        </w:tc>
      </w:tr>
      <w:bookmarkEnd w:id="1"/>
      <w:bookmarkEnd w:id="2"/>
      <w:tr w:rsidR="008C20F1" w:rsidRPr="00BB36E3" w14:paraId="08DFC202" w14:textId="77777777" w:rsidTr="008C20F1">
        <w:trPr>
          <w:trHeight w:val="355"/>
          <w:jc w:val="center"/>
        </w:trPr>
        <w:tc>
          <w:tcPr>
            <w:tcW w:w="923" w:type="dxa"/>
            <w:tcBorders>
              <w:top w:val="nil"/>
              <w:left w:val="nil"/>
              <w:bottom w:val="nil"/>
              <w:right w:val="nil"/>
            </w:tcBorders>
            <w:shd w:val="clear" w:color="auto" w:fill="auto"/>
          </w:tcPr>
          <w:p w14:paraId="46F9AEAB" w14:textId="77777777" w:rsidR="008C20F1" w:rsidRPr="00BB36E3" w:rsidRDefault="008C20F1" w:rsidP="008C20F1">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73AEA6AB" w14:textId="77777777" w:rsidR="008C20F1" w:rsidRPr="00BB36E3" w:rsidRDefault="008C20F1" w:rsidP="008C20F1">
            <w:pPr>
              <w:jc w:val="center"/>
              <w:rPr>
                <w:rFonts w:ascii="David" w:hAnsi="David"/>
                <w:b/>
                <w:bCs/>
                <w:sz w:val="26"/>
                <w:szCs w:val="26"/>
                <w:rtl/>
              </w:rPr>
            </w:pPr>
          </w:p>
          <w:p w14:paraId="0E3CD214" w14:textId="77777777" w:rsidR="008C20F1" w:rsidRPr="00BB36E3" w:rsidRDefault="008C20F1" w:rsidP="008C20F1">
            <w:pPr>
              <w:jc w:val="center"/>
              <w:rPr>
                <w:rFonts w:ascii="David" w:hAnsi="David"/>
                <w:b/>
                <w:bCs/>
                <w:sz w:val="26"/>
                <w:szCs w:val="26"/>
                <w:rtl/>
              </w:rPr>
            </w:pPr>
            <w:r w:rsidRPr="00BB36E3">
              <w:rPr>
                <w:rFonts w:ascii="David" w:hAnsi="David"/>
                <w:b/>
                <w:bCs/>
                <w:sz w:val="26"/>
                <w:szCs w:val="26"/>
                <w:rtl/>
              </w:rPr>
              <w:t>נגד</w:t>
            </w:r>
          </w:p>
          <w:p w14:paraId="4E5408BB" w14:textId="77777777" w:rsidR="008C20F1" w:rsidRPr="00BB36E3" w:rsidRDefault="008C20F1" w:rsidP="008C20F1">
            <w:pPr>
              <w:jc w:val="both"/>
              <w:rPr>
                <w:rFonts w:ascii="David" w:hAnsi="David"/>
                <w:b/>
                <w:bCs/>
                <w:sz w:val="26"/>
                <w:szCs w:val="26"/>
              </w:rPr>
            </w:pPr>
          </w:p>
        </w:tc>
      </w:tr>
      <w:tr w:rsidR="008C20F1" w:rsidRPr="00BB36E3" w14:paraId="283AA792" w14:textId="77777777" w:rsidTr="008C20F1">
        <w:trPr>
          <w:trHeight w:val="355"/>
          <w:jc w:val="center"/>
        </w:trPr>
        <w:tc>
          <w:tcPr>
            <w:tcW w:w="923" w:type="dxa"/>
            <w:tcBorders>
              <w:top w:val="nil"/>
              <w:left w:val="nil"/>
              <w:bottom w:val="nil"/>
              <w:right w:val="nil"/>
            </w:tcBorders>
            <w:shd w:val="clear" w:color="auto" w:fill="auto"/>
          </w:tcPr>
          <w:p w14:paraId="0B227290" w14:textId="77777777" w:rsidR="008C20F1" w:rsidRPr="00BB36E3" w:rsidRDefault="008C20F1" w:rsidP="00C80128">
            <w:pPr>
              <w:rPr>
                <w:rFonts w:ascii="David" w:hAnsi="David"/>
                <w:b/>
                <w:bCs/>
                <w:sz w:val="26"/>
                <w:szCs w:val="26"/>
                <w:rtl/>
              </w:rPr>
            </w:pPr>
          </w:p>
        </w:tc>
        <w:tc>
          <w:tcPr>
            <w:tcW w:w="3219" w:type="dxa"/>
            <w:tcBorders>
              <w:top w:val="nil"/>
              <w:left w:val="nil"/>
              <w:bottom w:val="nil"/>
              <w:right w:val="nil"/>
            </w:tcBorders>
            <w:shd w:val="clear" w:color="auto" w:fill="auto"/>
          </w:tcPr>
          <w:p w14:paraId="4391BBC1" w14:textId="77777777" w:rsidR="008C20F1" w:rsidRPr="00BB36E3" w:rsidRDefault="008C20F1" w:rsidP="00C80128">
            <w:pPr>
              <w:rPr>
                <w:rFonts w:ascii="Arial" w:hAnsi="Arial"/>
                <w:b/>
                <w:bCs/>
                <w:sz w:val="26"/>
                <w:szCs w:val="26"/>
                <w:rtl/>
              </w:rPr>
            </w:pPr>
            <w:r w:rsidRPr="00BB36E3">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8DCB2DB" w14:textId="77777777" w:rsidR="008C20F1" w:rsidRPr="00BB36E3" w:rsidRDefault="008C20F1" w:rsidP="008C20F1">
            <w:pPr>
              <w:suppressLineNumbers/>
              <w:rPr>
                <w:rFonts w:ascii="Arial" w:hAnsi="Arial"/>
                <w:b/>
                <w:bCs/>
                <w:sz w:val="26"/>
                <w:szCs w:val="26"/>
                <w:rtl/>
              </w:rPr>
            </w:pPr>
            <w:r w:rsidRPr="00BB36E3">
              <w:rPr>
                <w:rFonts w:ascii="Arial" w:hAnsi="Arial"/>
                <w:b/>
                <w:bCs/>
                <w:sz w:val="26"/>
                <w:szCs w:val="26"/>
                <w:rtl/>
              </w:rPr>
              <w:t>כמאל אבו סווי</w:t>
            </w:r>
            <w:r w:rsidRPr="00BB36E3">
              <w:rPr>
                <w:rFonts w:ascii="Arial" w:hAnsi="Arial" w:hint="cs"/>
                <w:b/>
                <w:bCs/>
                <w:sz w:val="26"/>
                <w:szCs w:val="26"/>
                <w:rtl/>
              </w:rPr>
              <w:t xml:space="preserve"> </w:t>
            </w:r>
          </w:p>
          <w:p w14:paraId="55C649EF" w14:textId="77777777" w:rsidR="008C20F1" w:rsidRPr="00BB36E3" w:rsidRDefault="008C20F1" w:rsidP="008C20F1">
            <w:pPr>
              <w:suppressLineNumbers/>
              <w:rPr>
                <w:rFonts w:ascii="Arial" w:hAnsi="Arial"/>
                <w:b/>
                <w:bCs/>
                <w:sz w:val="26"/>
                <w:szCs w:val="26"/>
                <w:rtl/>
              </w:rPr>
            </w:pPr>
            <w:r w:rsidRPr="00BB36E3">
              <w:rPr>
                <w:rFonts w:ascii="Arial" w:hAnsi="Arial"/>
                <w:b/>
                <w:bCs/>
                <w:sz w:val="26"/>
                <w:szCs w:val="26"/>
                <w:rtl/>
              </w:rPr>
              <w:t>ע"י ב"כ עוה"ד</w:t>
            </w:r>
            <w:r w:rsidRPr="00BB36E3">
              <w:rPr>
                <w:rFonts w:ascii="Arial" w:hAnsi="Arial" w:hint="cs"/>
                <w:b/>
                <w:bCs/>
                <w:sz w:val="26"/>
                <w:szCs w:val="26"/>
                <w:rtl/>
              </w:rPr>
              <w:t xml:space="preserve"> פארס עלי מצטפא</w:t>
            </w:r>
          </w:p>
          <w:p w14:paraId="330F2F84" w14:textId="77777777" w:rsidR="008C20F1" w:rsidRPr="00BB36E3" w:rsidRDefault="008C20F1" w:rsidP="008C20F1">
            <w:pPr>
              <w:suppressLineNumbers/>
              <w:rPr>
                <w:b/>
                <w:bCs/>
                <w:sz w:val="26"/>
                <w:szCs w:val="26"/>
              </w:rPr>
            </w:pPr>
            <w:r w:rsidRPr="00BB36E3">
              <w:rPr>
                <w:rFonts w:hint="cs"/>
                <w:b/>
                <w:bCs/>
                <w:sz w:val="26"/>
                <w:szCs w:val="26"/>
                <w:rtl/>
              </w:rPr>
              <w:t>מטעם הסניגוריה הציבורית</w:t>
            </w:r>
          </w:p>
          <w:p w14:paraId="689E9EB0" w14:textId="77777777" w:rsidR="008C20F1" w:rsidRPr="00BB36E3" w:rsidRDefault="008C20F1" w:rsidP="00C80128">
            <w:pPr>
              <w:rPr>
                <w:rFonts w:ascii="David" w:hAnsi="David"/>
                <w:b/>
                <w:bCs/>
                <w:sz w:val="26"/>
                <w:szCs w:val="26"/>
              </w:rPr>
            </w:pPr>
          </w:p>
        </w:tc>
      </w:tr>
    </w:tbl>
    <w:p w14:paraId="6D3B5983" w14:textId="77777777" w:rsidR="008C20F1" w:rsidRPr="00BB36E3" w:rsidRDefault="008C20F1" w:rsidP="008C20F1">
      <w:pPr>
        <w:rPr>
          <w:sz w:val="26"/>
          <w:szCs w:val="26"/>
        </w:rPr>
      </w:pPr>
    </w:p>
    <w:p w14:paraId="18E5EFC0" w14:textId="77777777" w:rsidR="0065319D" w:rsidRPr="0065319D" w:rsidRDefault="0065319D" w:rsidP="0065319D">
      <w:pPr>
        <w:spacing w:before="120" w:after="120" w:line="240" w:lineRule="exact"/>
        <w:ind w:left="283" w:hanging="283"/>
        <w:jc w:val="both"/>
        <w:rPr>
          <w:rFonts w:ascii="FrankRuehl" w:hAnsi="FrankRuehl" w:cs="FrankRuehl"/>
          <w:rtl/>
        </w:rPr>
      </w:pPr>
    </w:p>
    <w:p w14:paraId="482B67A6" w14:textId="77777777" w:rsidR="00430C31" w:rsidRDefault="00430C31" w:rsidP="00430C31">
      <w:pPr>
        <w:rPr>
          <w:rFonts w:ascii="Arial" w:hAnsi="Arial"/>
          <w:sz w:val="26"/>
          <w:szCs w:val="26"/>
          <w:rtl/>
        </w:rPr>
      </w:pPr>
      <w:bookmarkStart w:id="3" w:name="LawTable"/>
      <w:bookmarkEnd w:id="3"/>
    </w:p>
    <w:p w14:paraId="44342F69" w14:textId="77777777" w:rsidR="00430C31" w:rsidRPr="00430C31" w:rsidRDefault="00430C31" w:rsidP="00430C31">
      <w:pPr>
        <w:spacing w:before="120" w:after="120" w:line="240" w:lineRule="exact"/>
        <w:ind w:left="283" w:hanging="283"/>
        <w:jc w:val="both"/>
        <w:rPr>
          <w:rFonts w:ascii="FrankRuehl" w:hAnsi="FrankRuehl" w:cs="FrankRuehl"/>
          <w:rtl/>
        </w:rPr>
      </w:pPr>
    </w:p>
    <w:p w14:paraId="210B9C66" w14:textId="77777777" w:rsidR="00430C31" w:rsidRPr="00430C31" w:rsidRDefault="00430C31" w:rsidP="00430C31">
      <w:pPr>
        <w:spacing w:before="120" w:after="120" w:line="240" w:lineRule="exact"/>
        <w:ind w:left="283" w:hanging="283"/>
        <w:jc w:val="both"/>
        <w:rPr>
          <w:rFonts w:ascii="FrankRuehl" w:hAnsi="FrankRuehl" w:cs="FrankRuehl"/>
          <w:rtl/>
        </w:rPr>
      </w:pPr>
    </w:p>
    <w:p w14:paraId="557BB2F2" w14:textId="77777777" w:rsidR="00430C31" w:rsidRPr="00430C31" w:rsidRDefault="00430C31" w:rsidP="00430C31">
      <w:pPr>
        <w:spacing w:before="120" w:after="120" w:line="240" w:lineRule="exact"/>
        <w:ind w:left="283" w:hanging="283"/>
        <w:jc w:val="both"/>
        <w:rPr>
          <w:rFonts w:ascii="FrankRuehl" w:hAnsi="FrankRuehl" w:cs="FrankRuehl"/>
          <w:rtl/>
        </w:rPr>
      </w:pPr>
      <w:r w:rsidRPr="00430C31">
        <w:rPr>
          <w:rFonts w:ascii="FrankRuehl" w:hAnsi="FrankRuehl" w:cs="FrankRuehl"/>
          <w:rtl/>
        </w:rPr>
        <w:t xml:space="preserve">חקיקה שאוזכרה: </w:t>
      </w:r>
    </w:p>
    <w:p w14:paraId="058CC91B" w14:textId="77777777" w:rsidR="00430C31" w:rsidRPr="00430C31" w:rsidRDefault="00430C31" w:rsidP="00430C31">
      <w:pPr>
        <w:spacing w:before="120" w:after="120" w:line="240" w:lineRule="exact"/>
        <w:ind w:left="283" w:hanging="283"/>
        <w:jc w:val="both"/>
        <w:rPr>
          <w:rFonts w:ascii="FrankRuehl" w:hAnsi="FrankRuehl" w:cs="FrankRuehl"/>
          <w:rtl/>
        </w:rPr>
      </w:pPr>
      <w:hyperlink r:id="rId7" w:history="1">
        <w:r w:rsidRPr="00430C31">
          <w:rPr>
            <w:rFonts w:ascii="FrankRuehl" w:hAnsi="FrankRuehl" w:cs="FrankRuehl"/>
            <w:color w:val="0000FF"/>
            <w:rtl/>
          </w:rPr>
          <w:t>פקודת הסמים המסוכנים [נוסח חדש], תשל"ג-1973</w:t>
        </w:r>
      </w:hyperlink>
      <w:r w:rsidRPr="00430C31">
        <w:rPr>
          <w:rFonts w:ascii="FrankRuehl" w:hAnsi="FrankRuehl" w:cs="FrankRuehl"/>
          <w:rtl/>
        </w:rPr>
        <w:t xml:space="preserve">: סע'  </w:t>
      </w:r>
      <w:hyperlink r:id="rId8" w:history="1">
        <w:r w:rsidRPr="00430C31">
          <w:rPr>
            <w:rFonts w:ascii="FrankRuehl" w:hAnsi="FrankRuehl" w:cs="FrankRuehl"/>
            <w:color w:val="0000FF"/>
            <w:rtl/>
          </w:rPr>
          <w:t>7(א)(ג)</w:t>
        </w:r>
      </w:hyperlink>
    </w:p>
    <w:p w14:paraId="050BC676" w14:textId="77777777" w:rsidR="00430C31" w:rsidRPr="00430C31" w:rsidRDefault="00430C31" w:rsidP="00430C31">
      <w:pPr>
        <w:rPr>
          <w:rFonts w:ascii="Arial" w:hAnsi="Arial"/>
          <w:sz w:val="26"/>
          <w:szCs w:val="26"/>
          <w:rtl/>
        </w:rPr>
      </w:pPr>
      <w:bookmarkStart w:id="4" w:name="LawTable_End"/>
      <w:bookmarkEnd w:id="4"/>
    </w:p>
    <w:p w14:paraId="2FC95271" w14:textId="77777777" w:rsidR="008C20F1" w:rsidRPr="0065319D" w:rsidRDefault="008C20F1" w:rsidP="0065319D">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C20F1" w14:paraId="40C152FF" w14:textId="77777777" w:rsidTr="008C20F1">
        <w:trPr>
          <w:trHeight w:val="355"/>
          <w:jc w:val="center"/>
        </w:trPr>
        <w:tc>
          <w:tcPr>
            <w:tcW w:w="8820" w:type="dxa"/>
            <w:tcBorders>
              <w:top w:val="nil"/>
              <w:left w:val="nil"/>
              <w:bottom w:val="nil"/>
              <w:right w:val="nil"/>
            </w:tcBorders>
            <w:shd w:val="clear" w:color="auto" w:fill="auto"/>
          </w:tcPr>
          <w:p w14:paraId="596C8E05" w14:textId="77777777" w:rsidR="00BB36E3" w:rsidRPr="00BB36E3" w:rsidRDefault="00BB36E3" w:rsidP="00BB36E3">
            <w:pPr>
              <w:jc w:val="center"/>
              <w:rPr>
                <w:rFonts w:ascii="David" w:hAnsi="David"/>
                <w:b/>
                <w:bCs/>
                <w:sz w:val="32"/>
                <w:szCs w:val="32"/>
                <w:u w:val="single"/>
                <w:rtl/>
              </w:rPr>
            </w:pPr>
            <w:bookmarkStart w:id="5" w:name="PsakDin" w:colFirst="0" w:colLast="0"/>
            <w:bookmarkEnd w:id="0"/>
            <w:r w:rsidRPr="00BB36E3">
              <w:rPr>
                <w:rFonts w:ascii="David" w:hAnsi="David"/>
                <w:b/>
                <w:bCs/>
                <w:sz w:val="32"/>
                <w:szCs w:val="32"/>
                <w:u w:val="single"/>
                <w:rtl/>
              </w:rPr>
              <w:t>גזר דין</w:t>
            </w:r>
          </w:p>
          <w:p w14:paraId="34912EE8" w14:textId="77777777" w:rsidR="008C20F1" w:rsidRPr="00BB36E3" w:rsidRDefault="008C20F1" w:rsidP="00BB36E3">
            <w:pPr>
              <w:jc w:val="center"/>
              <w:rPr>
                <w:rFonts w:ascii="David" w:hAnsi="David"/>
                <w:bCs/>
                <w:sz w:val="32"/>
                <w:szCs w:val="32"/>
                <w:u w:val="single"/>
                <w:rtl/>
              </w:rPr>
            </w:pPr>
          </w:p>
        </w:tc>
      </w:tr>
      <w:bookmarkEnd w:id="5"/>
    </w:tbl>
    <w:p w14:paraId="5399DCDF" w14:textId="77777777" w:rsidR="008C20F1" w:rsidRPr="000F2247" w:rsidRDefault="008C20F1" w:rsidP="008C20F1">
      <w:pPr>
        <w:rPr>
          <w:rFonts w:ascii="Arial" w:hAnsi="Arial"/>
          <w:b/>
          <w:bCs/>
          <w:sz w:val="26"/>
          <w:szCs w:val="26"/>
          <w:rtl/>
        </w:rPr>
      </w:pPr>
    </w:p>
    <w:p w14:paraId="50BB47DA" w14:textId="77777777" w:rsidR="008C20F1" w:rsidRPr="000F2247" w:rsidRDefault="008C20F1" w:rsidP="008C20F1">
      <w:pPr>
        <w:rPr>
          <w:rFonts w:ascii="Arial" w:hAnsi="Arial"/>
          <w:b/>
          <w:bCs/>
          <w:sz w:val="26"/>
          <w:szCs w:val="26"/>
          <w:rtl/>
        </w:rPr>
      </w:pPr>
    </w:p>
    <w:p w14:paraId="3BC0652A" w14:textId="77777777" w:rsidR="008C20F1" w:rsidRDefault="008C20F1" w:rsidP="008C20F1">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המתוקן בו הודה הנאשם</w:t>
      </w:r>
    </w:p>
    <w:p w14:paraId="5EF5D678" w14:textId="77777777" w:rsidR="008C20F1" w:rsidRDefault="008C20F1" w:rsidP="008C20F1">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עבירה של </w:t>
      </w:r>
      <w:r w:rsidRPr="00094732">
        <w:rPr>
          <w:rFonts w:ascii="David" w:hAnsi="David" w:hint="cs"/>
          <w:b/>
          <w:bCs/>
          <w:sz w:val="26"/>
          <w:szCs w:val="26"/>
          <w:rtl/>
        </w:rPr>
        <w:t>החזקת סם שלא לצריכה עצמית</w:t>
      </w:r>
      <w:r>
        <w:rPr>
          <w:rFonts w:ascii="David" w:hAnsi="David" w:hint="cs"/>
          <w:sz w:val="26"/>
          <w:szCs w:val="26"/>
          <w:rtl/>
        </w:rPr>
        <w:t xml:space="preserve">, לפי </w:t>
      </w:r>
      <w:hyperlink r:id="rId9" w:history="1">
        <w:r w:rsidR="00DF60B0" w:rsidRPr="00DF60B0">
          <w:rPr>
            <w:rStyle w:val="Hyperlink"/>
            <w:rFonts w:ascii="David" w:hAnsi="David" w:hint="eastAsia"/>
            <w:sz w:val="26"/>
            <w:szCs w:val="26"/>
            <w:rtl/>
          </w:rPr>
          <w:t>סעיפים</w:t>
        </w:r>
        <w:r w:rsidR="00DF60B0" w:rsidRPr="00DF60B0">
          <w:rPr>
            <w:rStyle w:val="Hyperlink"/>
            <w:rFonts w:ascii="David" w:hAnsi="David"/>
            <w:sz w:val="26"/>
            <w:szCs w:val="26"/>
            <w:rtl/>
          </w:rPr>
          <w:t xml:space="preserve"> 7(א)(ג)</w:t>
        </w:r>
      </w:hyperlink>
      <w:r>
        <w:rPr>
          <w:rFonts w:ascii="David" w:hAnsi="David" w:hint="cs"/>
          <w:sz w:val="26"/>
          <w:szCs w:val="26"/>
          <w:rtl/>
        </w:rPr>
        <w:t xml:space="preserve"> רישא ל</w:t>
      </w:r>
      <w:hyperlink r:id="rId10" w:history="1">
        <w:r w:rsidR="00DF60B0" w:rsidRPr="00DF60B0">
          <w:rPr>
            <w:rStyle w:val="Hyperlink"/>
            <w:rFonts w:ascii="David" w:hAnsi="David" w:hint="eastAsia"/>
            <w:sz w:val="26"/>
            <w:szCs w:val="26"/>
            <w:rtl/>
          </w:rPr>
          <w:t>פקודת</w:t>
        </w:r>
        <w:r w:rsidR="00DF60B0" w:rsidRPr="00DF60B0">
          <w:rPr>
            <w:rStyle w:val="Hyperlink"/>
            <w:rFonts w:ascii="David" w:hAnsi="David"/>
            <w:sz w:val="26"/>
            <w:szCs w:val="26"/>
            <w:rtl/>
          </w:rPr>
          <w:t xml:space="preserve"> הסמים</w:t>
        </w:r>
      </w:hyperlink>
      <w:r>
        <w:rPr>
          <w:rFonts w:ascii="David" w:hAnsi="David" w:hint="cs"/>
          <w:sz w:val="26"/>
          <w:szCs w:val="26"/>
          <w:rtl/>
        </w:rPr>
        <w:t xml:space="preserve"> בכך כשביום 25.6.2019 בשעת לילה נתפס ע"י כוח משטרתי כשהוא יושב ברכב. בחיפוש ברכב נמצאה שקית שחורה אותה החזיק הנאשם מתחת למושב הנוסע, ובה סם מסוג חשיש במשקל 83.9 גרם נטו שלא לצריכה עצמית וכן סכום כסף בסך 1,350 ₪. </w:t>
      </w:r>
    </w:p>
    <w:p w14:paraId="1831AE1C" w14:textId="77777777" w:rsidR="008C20F1" w:rsidRDefault="008C20F1" w:rsidP="008C20F1">
      <w:pPr>
        <w:spacing w:after="160" w:line="360" w:lineRule="auto"/>
        <w:jc w:val="both"/>
        <w:rPr>
          <w:rFonts w:ascii="David" w:hAnsi="David"/>
          <w:b/>
          <w:bCs/>
          <w:sz w:val="26"/>
          <w:szCs w:val="26"/>
          <w:u w:val="single"/>
        </w:rPr>
      </w:pPr>
      <w:bookmarkStart w:id="7" w:name="ABSTRACT_END"/>
      <w:bookmarkEnd w:id="7"/>
    </w:p>
    <w:p w14:paraId="44F12CF5" w14:textId="77777777" w:rsidR="008C20F1" w:rsidRDefault="008C20F1" w:rsidP="008C20F1">
      <w:pPr>
        <w:spacing w:after="160" w:line="360" w:lineRule="auto"/>
        <w:jc w:val="both"/>
        <w:rPr>
          <w:rFonts w:ascii="David" w:hAnsi="David"/>
          <w:b/>
          <w:bCs/>
          <w:sz w:val="26"/>
          <w:szCs w:val="26"/>
          <w:u w:val="single"/>
        </w:rPr>
      </w:pPr>
      <w:r>
        <w:rPr>
          <w:rFonts w:ascii="David" w:hAnsi="David"/>
          <w:b/>
          <w:bCs/>
          <w:sz w:val="26"/>
          <w:szCs w:val="26"/>
          <w:u w:val="single"/>
          <w:rtl/>
        </w:rPr>
        <w:lastRenderedPageBreak/>
        <w:t>מהלך הדיון</w:t>
      </w:r>
    </w:p>
    <w:p w14:paraId="73568319" w14:textId="77777777" w:rsidR="008C20F1" w:rsidRDefault="008C20F1" w:rsidP="008C20F1">
      <w:pPr>
        <w:pStyle w:val="a9"/>
        <w:numPr>
          <w:ilvl w:val="0"/>
          <w:numId w:val="2"/>
        </w:numPr>
        <w:spacing w:after="160" w:line="360" w:lineRule="auto"/>
        <w:jc w:val="both"/>
        <w:rPr>
          <w:rFonts w:ascii="David" w:hAnsi="David"/>
          <w:sz w:val="26"/>
          <w:szCs w:val="26"/>
        </w:rPr>
      </w:pPr>
      <w:r>
        <w:rPr>
          <w:rFonts w:ascii="David" w:hAnsi="David" w:hint="cs"/>
          <w:sz w:val="26"/>
          <w:szCs w:val="26"/>
          <w:rtl/>
        </w:rPr>
        <w:t>הצדדים הגיעו להסדר דיוני שכלל הסכמה על תיקון כתב האישום והסכמה חלקית על הטלת רכיבי ענישה, ושליחת הנאשם לשירות המבחן לקבלת תסקיר. לבקשת המאשימה שלחתי את הנאשם גם לממונה על עבודות השירות.</w:t>
      </w:r>
    </w:p>
    <w:p w14:paraId="58F05CF4" w14:textId="77777777" w:rsidR="008C20F1" w:rsidRDefault="008C20F1" w:rsidP="008C20F1">
      <w:pPr>
        <w:spacing w:after="160" w:line="360" w:lineRule="auto"/>
        <w:jc w:val="both"/>
        <w:rPr>
          <w:rFonts w:ascii="David" w:hAnsi="David"/>
          <w:b/>
          <w:bCs/>
          <w:sz w:val="26"/>
          <w:szCs w:val="26"/>
          <w:u w:val="single"/>
        </w:rPr>
      </w:pPr>
    </w:p>
    <w:p w14:paraId="182AD4AF" w14:textId="77777777" w:rsidR="008C20F1" w:rsidRDefault="008C20F1" w:rsidP="008C20F1">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3E2E0176" w14:textId="77777777" w:rsidR="008C20F1" w:rsidRDefault="008C20F1" w:rsidP="008C20F1">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כי הנאשם בשנות הארבעים לחייו, נשוי ואב לארבעה ילדים קטינים, עובד כשכיר בחברת ניקיון. שירות המבחן פירט על אודות נסיבות ילדותו והתבגרותו של הנאשם, שחווה אובדן אמו בגיל צעיר ונטל על עצמו תפקיד הורי לאחיו הקטנים ממנו כבר בשלב מוקדם של נערותו. אז עזב את מסגרת הלימודים ויצא לעבוד לפרנסת המשפחה כאמור. במהלך השנים נפצע בתאונת עבודה והחל לצרוך סמים, תחילה כדי להתמודד עם מכאוביו. בהמשך העמיק השימוש והפך לשימוש תלותי והתמכרותי, ועל רקע זה ביצע הנאשם עבירות שונות, בגינן אף ריצה מאסרים. כיום הנאשם נקי מסמים (נמסרה בדיקה נקיה) והנאשם סיפר כי נגמל מסמים בכוחות עצמו. שירות המבחן התרשם כי הנאשם ממזער מקבלת האחריות למעשים, ואינו מגלה תובנה לגבי צרכים טיפוליים. שירות המבחן התרשם כי מדובר באדם שמתפקד במישורי חייו השונים באופן תקין, אך יחד עם זאת יש בעברו הפלילי ללמד שלא הורתע מן העונשים שקיבל. שירות המבחן עמד על חלוף הזמן ואי פתיחת תיקים חדשים, והמליץ בסופו של יום על הטלת מאסר בעבודות שירות ומאסר מותנה.</w:t>
      </w:r>
    </w:p>
    <w:p w14:paraId="05FAD513" w14:textId="77777777" w:rsidR="008C20F1" w:rsidRDefault="008C20F1" w:rsidP="008C20F1">
      <w:pPr>
        <w:spacing w:after="160" w:line="360" w:lineRule="auto"/>
        <w:jc w:val="both"/>
        <w:rPr>
          <w:rFonts w:ascii="David" w:hAnsi="David"/>
          <w:b/>
          <w:bCs/>
          <w:sz w:val="26"/>
          <w:szCs w:val="26"/>
          <w:u w:val="single"/>
        </w:rPr>
      </w:pPr>
    </w:p>
    <w:p w14:paraId="02CCFF24" w14:textId="77777777" w:rsidR="008C20F1" w:rsidRDefault="008C20F1" w:rsidP="008C20F1">
      <w:pPr>
        <w:spacing w:after="160" w:line="360" w:lineRule="auto"/>
        <w:jc w:val="both"/>
        <w:rPr>
          <w:rFonts w:ascii="David" w:hAnsi="David"/>
          <w:b/>
          <w:bCs/>
          <w:sz w:val="26"/>
          <w:szCs w:val="26"/>
          <w:u w:val="single"/>
          <w:rtl/>
        </w:rPr>
      </w:pPr>
      <w:r>
        <w:rPr>
          <w:rFonts w:ascii="David" w:hAnsi="David"/>
          <w:b/>
          <w:bCs/>
          <w:sz w:val="26"/>
          <w:szCs w:val="26"/>
          <w:u w:val="single"/>
          <w:rtl/>
        </w:rPr>
        <w:t>חוות הדעת של הממונה על עבודות השירות</w:t>
      </w:r>
    </w:p>
    <w:p w14:paraId="0D64B543" w14:textId="77777777" w:rsidR="008C20F1" w:rsidRPr="005E34F2" w:rsidRDefault="008C20F1" w:rsidP="008C20F1">
      <w:pPr>
        <w:pStyle w:val="a9"/>
        <w:numPr>
          <w:ilvl w:val="0"/>
          <w:numId w:val="2"/>
        </w:numPr>
        <w:spacing w:after="160" w:line="360" w:lineRule="auto"/>
        <w:jc w:val="both"/>
        <w:rPr>
          <w:rFonts w:ascii="David" w:hAnsi="David"/>
          <w:sz w:val="26"/>
          <w:szCs w:val="26"/>
          <w:rtl/>
        </w:rPr>
      </w:pPr>
      <w:r>
        <w:rPr>
          <w:rFonts w:ascii="David" w:hAnsi="David"/>
          <w:sz w:val="26"/>
          <w:szCs w:val="26"/>
          <w:rtl/>
        </w:rPr>
        <w:t xml:space="preserve">הממונה הגיש חוות דעת על אודות כשירות הנאשם לבצע מאסר בעבודות שירות. מחוות הדעת עולה, כי </w:t>
      </w:r>
      <w:r>
        <w:rPr>
          <w:rFonts w:ascii="David" w:hAnsi="David" w:hint="cs"/>
          <w:sz w:val="26"/>
          <w:szCs w:val="26"/>
          <w:rtl/>
        </w:rPr>
        <w:t>הנאשם מתאים לבצע עבודות שירות בגן הבוטני האוניברסיטאי החל מיום 20.5.2024.</w:t>
      </w:r>
    </w:p>
    <w:p w14:paraId="6B8A931F" w14:textId="77777777" w:rsidR="008C20F1" w:rsidRDefault="008C20F1" w:rsidP="008C20F1">
      <w:pPr>
        <w:spacing w:after="160" w:line="360" w:lineRule="auto"/>
        <w:jc w:val="both"/>
        <w:rPr>
          <w:rFonts w:ascii="David" w:hAnsi="David"/>
          <w:sz w:val="26"/>
          <w:szCs w:val="26"/>
          <w:rtl/>
        </w:rPr>
      </w:pPr>
    </w:p>
    <w:p w14:paraId="3E3AFD8E" w14:textId="77777777" w:rsidR="008C20F1" w:rsidRPr="005E34F2" w:rsidRDefault="008C20F1" w:rsidP="008C20F1">
      <w:pPr>
        <w:spacing w:after="160" w:line="360" w:lineRule="auto"/>
        <w:jc w:val="both"/>
        <w:rPr>
          <w:rFonts w:ascii="David" w:hAnsi="David"/>
          <w:b/>
          <w:bCs/>
          <w:sz w:val="26"/>
          <w:szCs w:val="26"/>
          <w:u w:val="single"/>
          <w:rtl/>
        </w:rPr>
      </w:pPr>
      <w:r w:rsidRPr="005E34F2">
        <w:rPr>
          <w:rFonts w:ascii="David" w:hAnsi="David" w:hint="cs"/>
          <w:b/>
          <w:bCs/>
          <w:sz w:val="26"/>
          <w:szCs w:val="26"/>
          <w:u w:val="single"/>
          <w:rtl/>
        </w:rPr>
        <w:t>ראיות לעונש</w:t>
      </w:r>
    </w:p>
    <w:p w14:paraId="781DFCA3" w14:textId="77777777" w:rsidR="008C20F1" w:rsidRPr="005E34F2" w:rsidRDefault="008C20F1" w:rsidP="008C20F1">
      <w:pPr>
        <w:pStyle w:val="a9"/>
        <w:numPr>
          <w:ilvl w:val="0"/>
          <w:numId w:val="2"/>
        </w:numPr>
        <w:spacing w:after="160" w:line="360" w:lineRule="auto"/>
        <w:jc w:val="both"/>
        <w:rPr>
          <w:rFonts w:ascii="David" w:hAnsi="David"/>
          <w:sz w:val="26"/>
          <w:szCs w:val="26"/>
          <w:rtl/>
        </w:rPr>
      </w:pPr>
      <w:r>
        <w:rPr>
          <w:rFonts w:ascii="David" w:hAnsi="David" w:hint="cs"/>
          <w:sz w:val="26"/>
          <w:szCs w:val="26"/>
          <w:rtl/>
        </w:rPr>
        <w:t xml:space="preserve">לנאשם רישום פלילי הכולל 3 הרשעות קודמות. הרשעתו האחרונה משנת 2017 בעבירות תקיפה חבלנית בצוותא וגניבה משנת 2016, בגינן ריצה מאסר בפועל בן שישה חודשים; </w:t>
      </w:r>
      <w:r>
        <w:rPr>
          <w:rFonts w:ascii="David" w:hAnsi="David" w:hint="cs"/>
          <w:sz w:val="26"/>
          <w:szCs w:val="26"/>
          <w:rtl/>
        </w:rPr>
        <w:lastRenderedPageBreak/>
        <w:t>הרשעה נוספת משנת 2015, בגין עבירות סחר בסמים משנת 2013, בגינן ריצה מאסר בן 5 חודשים, והרשעה מוקדמת משנת 2011 בגין עבירות נהיגה ללא רישיון והפרעה לשוטר משנת 2008 בגינן הוטל עליו מאסר מותנה.</w:t>
      </w:r>
    </w:p>
    <w:p w14:paraId="3171E111" w14:textId="77777777" w:rsidR="008C20F1" w:rsidRDefault="008C20F1" w:rsidP="008C20F1">
      <w:pPr>
        <w:spacing w:after="160" w:line="360" w:lineRule="auto"/>
        <w:jc w:val="both"/>
        <w:rPr>
          <w:rFonts w:ascii="David" w:hAnsi="David"/>
          <w:b/>
          <w:bCs/>
          <w:sz w:val="26"/>
          <w:szCs w:val="26"/>
          <w:u w:val="single"/>
          <w:rtl/>
        </w:rPr>
      </w:pPr>
    </w:p>
    <w:p w14:paraId="78D419B8" w14:textId="77777777" w:rsidR="008C20F1" w:rsidRPr="009A4B4C" w:rsidRDefault="008C20F1" w:rsidP="008C20F1">
      <w:pPr>
        <w:spacing w:after="160" w:line="360" w:lineRule="auto"/>
        <w:jc w:val="both"/>
        <w:rPr>
          <w:rFonts w:ascii="David" w:hAnsi="David"/>
          <w:sz w:val="26"/>
          <w:szCs w:val="26"/>
          <w:rtl/>
        </w:rPr>
      </w:pPr>
      <w:r>
        <w:rPr>
          <w:rFonts w:ascii="David" w:hAnsi="David" w:hint="cs"/>
          <w:b/>
          <w:bCs/>
          <w:sz w:val="26"/>
          <w:szCs w:val="26"/>
          <w:u w:val="single"/>
          <w:rtl/>
        </w:rPr>
        <w:t>טיעונים לעונש</w:t>
      </w:r>
    </w:p>
    <w:p w14:paraId="7BEBB228" w14:textId="77777777" w:rsidR="008C20F1" w:rsidRPr="009A4B4C" w:rsidRDefault="008C20F1" w:rsidP="008C20F1">
      <w:pPr>
        <w:pStyle w:val="a9"/>
        <w:numPr>
          <w:ilvl w:val="0"/>
          <w:numId w:val="2"/>
        </w:numPr>
        <w:spacing w:after="160" w:line="360" w:lineRule="auto"/>
        <w:jc w:val="both"/>
        <w:rPr>
          <w:rFonts w:ascii="David" w:hAnsi="David"/>
          <w:sz w:val="26"/>
          <w:szCs w:val="26"/>
          <w:rtl/>
        </w:rPr>
      </w:pPr>
      <w:r w:rsidRPr="009A4B4C">
        <w:rPr>
          <w:rFonts w:ascii="David" w:hAnsi="David" w:hint="cs"/>
          <w:sz w:val="26"/>
          <w:szCs w:val="26"/>
          <w:rtl/>
        </w:rPr>
        <w:t xml:space="preserve">ב"כ המאשימה עתר להטיל על הנאשם 5 חודשי מאסר בעבודות שירות וענישה נלווית על בסיס מתחם שבין ארבעה חודשים לשנת מאסר נוכח מכלול הנסיבות והעבר הפלילי. </w:t>
      </w:r>
      <w:r>
        <w:rPr>
          <w:rFonts w:ascii="David" w:hAnsi="David" w:hint="cs"/>
          <w:sz w:val="26"/>
          <w:szCs w:val="26"/>
          <w:rtl/>
        </w:rPr>
        <w:t>ב"כ הנאשם עמד על מכלול הנסיבות, על חלוף הזמן ועל אי פתיחת תיקים חדשים וביקש להסתפק בענישה צופה פני עתיד.</w:t>
      </w:r>
    </w:p>
    <w:p w14:paraId="1C1EB4B9" w14:textId="77777777" w:rsidR="008C20F1" w:rsidRDefault="008C20F1" w:rsidP="008C20F1">
      <w:pPr>
        <w:spacing w:after="160" w:line="360" w:lineRule="auto"/>
        <w:jc w:val="both"/>
        <w:rPr>
          <w:rFonts w:ascii="David" w:hAnsi="David"/>
          <w:b/>
          <w:bCs/>
          <w:sz w:val="26"/>
          <w:szCs w:val="26"/>
          <w:u w:val="single"/>
          <w:rtl/>
        </w:rPr>
      </w:pPr>
    </w:p>
    <w:p w14:paraId="6107F15A" w14:textId="77777777" w:rsidR="008C20F1" w:rsidRDefault="008C20F1" w:rsidP="008C20F1">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08C2E2DD" w14:textId="77777777" w:rsidR="008C20F1" w:rsidRDefault="008C20F1" w:rsidP="008C20F1">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3785F19B" w14:textId="77777777" w:rsidR="008C20F1" w:rsidRDefault="008C20F1" w:rsidP="008C20F1">
      <w:pPr>
        <w:spacing w:after="160" w:line="360" w:lineRule="auto"/>
        <w:jc w:val="both"/>
        <w:rPr>
          <w:rFonts w:ascii="David" w:hAnsi="David"/>
          <w:b/>
          <w:bCs/>
          <w:sz w:val="26"/>
          <w:szCs w:val="26"/>
          <w:u w:val="single"/>
          <w:rtl/>
        </w:rPr>
      </w:pPr>
    </w:p>
    <w:p w14:paraId="28929F6D" w14:textId="77777777" w:rsidR="008C20F1" w:rsidRDefault="008C20F1" w:rsidP="008C20F1">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לערך המוגן, </w:t>
      </w:r>
      <w:r>
        <w:rPr>
          <w:rFonts w:ascii="David" w:hAnsi="David"/>
          <w:sz w:val="26"/>
          <w:szCs w:val="26"/>
          <w:rtl/>
        </w:rPr>
        <w:t xml:space="preserve">העבירות אותן עבר הנאשם פוגעות בערך המוגן של </w:t>
      </w:r>
      <w:r>
        <w:rPr>
          <w:rFonts w:ascii="David" w:hAnsi="David" w:hint="cs"/>
          <w:sz w:val="26"/>
          <w:szCs w:val="26"/>
          <w:rtl/>
        </w:rPr>
        <w:t>בריאות הציבור, שלומו וביטחונו וזאת במידה נמוכה עד בינונית.</w:t>
      </w:r>
    </w:p>
    <w:p w14:paraId="1BFAE374" w14:textId="77777777" w:rsidR="008C20F1" w:rsidRDefault="008C20F1" w:rsidP="008C20F1">
      <w:pPr>
        <w:pStyle w:val="a9"/>
        <w:rPr>
          <w:rFonts w:ascii="David" w:hAnsi="David"/>
          <w:sz w:val="26"/>
          <w:szCs w:val="26"/>
          <w:rtl/>
        </w:rPr>
      </w:pPr>
    </w:p>
    <w:p w14:paraId="02F49E3B" w14:textId="77777777" w:rsidR="008C20F1" w:rsidRDefault="008C20F1" w:rsidP="008C20F1">
      <w:pPr>
        <w:spacing w:after="160" w:line="360" w:lineRule="auto"/>
        <w:jc w:val="both"/>
        <w:rPr>
          <w:rFonts w:ascii="David" w:hAnsi="David"/>
          <w:sz w:val="26"/>
          <w:szCs w:val="26"/>
          <w:rtl/>
        </w:rPr>
      </w:pPr>
    </w:p>
    <w:p w14:paraId="7D66DCAD" w14:textId="77777777" w:rsidR="008C20F1" w:rsidRDefault="008C20F1" w:rsidP="008C20F1">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בעבירה מתוכננת שבמסגרתה הוחזק סם מסוג חשיש בכמות גדולה יחסית בתוך רכב, וכן נתפסו מזומנים בסכום גבוה. עם זאת, נוכח תיקון כתב האישום והסבריו של הנאשם לשירות המבחן, כי השתמש ברכב, בו לא נהג, כסוג של "מחסן", אין מדובר בנסיבה מחמירה. מדובר בסם "קל" אך עם זאת, ככל סם מסוכן, פגיעתו בבריאות קשה וכך גם פוטנציאל הפגיעה. הנאשם אחראי למעשיו. </w:t>
      </w:r>
    </w:p>
    <w:p w14:paraId="6E2CCF3C" w14:textId="77777777" w:rsidR="008C20F1" w:rsidRDefault="008C20F1" w:rsidP="008C20F1">
      <w:pPr>
        <w:spacing w:after="160" w:line="360" w:lineRule="auto"/>
        <w:jc w:val="both"/>
        <w:rPr>
          <w:rFonts w:ascii="David" w:hAnsi="David"/>
          <w:b/>
          <w:bCs/>
          <w:sz w:val="26"/>
          <w:szCs w:val="26"/>
          <w:u w:val="single"/>
          <w:rtl/>
        </w:rPr>
      </w:pPr>
    </w:p>
    <w:p w14:paraId="4817216A" w14:textId="77777777" w:rsidR="008C20F1" w:rsidRDefault="008C20F1" w:rsidP="008C20F1">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למדיניות הענישה הנוהגת, </w:t>
      </w:r>
      <w:r>
        <w:rPr>
          <w:rFonts w:ascii="David" w:hAnsi="David" w:hint="cs"/>
          <w:sz w:val="26"/>
          <w:szCs w:val="26"/>
          <w:rtl/>
        </w:rPr>
        <w:t xml:space="preserve">זו מתונה בנסיבות דומות למקרנו והיא נעה בין של"ץ לחודשי מאסר ספורים לרבות בעבודות שירות. </w:t>
      </w:r>
    </w:p>
    <w:p w14:paraId="3A69B9A6" w14:textId="77777777" w:rsidR="008C20F1" w:rsidRPr="001F5EC8" w:rsidRDefault="00BB36E3" w:rsidP="008C20F1">
      <w:pPr>
        <w:pStyle w:val="a9"/>
        <w:numPr>
          <w:ilvl w:val="0"/>
          <w:numId w:val="4"/>
        </w:numPr>
        <w:spacing w:after="160" w:line="360" w:lineRule="auto"/>
        <w:jc w:val="both"/>
        <w:rPr>
          <w:rFonts w:ascii="David" w:hAnsi="David"/>
          <w:sz w:val="26"/>
          <w:szCs w:val="26"/>
          <w:rtl/>
        </w:rPr>
      </w:pPr>
      <w:hyperlink r:id="rId11" w:history="1">
        <w:r w:rsidRPr="00BB36E3">
          <w:rPr>
            <w:rFonts w:ascii="David" w:hAnsi="David"/>
            <w:color w:val="0000FF"/>
            <w:sz w:val="26"/>
            <w:szCs w:val="26"/>
            <w:u w:val="single"/>
            <w:rtl/>
          </w:rPr>
          <w:t>רע"פ 5243/23</w:t>
        </w:r>
      </w:hyperlink>
      <w:r w:rsidR="008C20F1" w:rsidRPr="001F5EC8">
        <w:rPr>
          <w:rFonts w:ascii="David" w:hAnsi="David" w:hint="cs"/>
          <w:sz w:val="26"/>
          <w:szCs w:val="26"/>
          <w:rtl/>
        </w:rPr>
        <w:t xml:space="preserve"> </w:t>
      </w:r>
      <w:r w:rsidR="008C20F1" w:rsidRPr="001F5EC8">
        <w:rPr>
          <w:rFonts w:ascii="David" w:hAnsi="David" w:hint="cs"/>
          <w:b/>
          <w:bCs/>
          <w:sz w:val="26"/>
          <w:szCs w:val="26"/>
          <w:rtl/>
        </w:rPr>
        <w:t>שמאייב נ' מ"י</w:t>
      </w:r>
      <w:r w:rsidR="008C20F1" w:rsidRPr="001F5EC8">
        <w:rPr>
          <w:rFonts w:ascii="David" w:hAnsi="David" w:hint="cs"/>
          <w:sz w:val="26"/>
          <w:szCs w:val="26"/>
          <w:rtl/>
        </w:rPr>
        <w:t xml:space="preserve"> (מיום 17.7.2023) </w:t>
      </w:r>
      <w:r w:rsidR="008C20F1" w:rsidRPr="001F5EC8">
        <w:rPr>
          <w:rFonts w:ascii="David" w:hAnsi="David"/>
          <w:sz w:val="26"/>
          <w:szCs w:val="26"/>
          <w:rtl/>
        </w:rPr>
        <w:t>–</w:t>
      </w:r>
      <w:r w:rsidR="008C20F1" w:rsidRPr="001F5EC8">
        <w:rPr>
          <w:rFonts w:ascii="David" w:hAnsi="David" w:hint="cs"/>
          <w:sz w:val="26"/>
          <w:szCs w:val="26"/>
          <w:rtl/>
        </w:rPr>
        <w:t xml:space="preserve"> הנאשם החזיק 1,300 גרם קנביס וחלקי תחמושת בדירתו. אושר מתחם שבין 5 ל-10 חודשי מאסר ועונש שהותיר הרשעה על כנה והסתפק במאסר מותנה, מבחן וקנס, במסגרת חריגה מטעמי שיקום.</w:t>
      </w:r>
    </w:p>
    <w:p w14:paraId="0503DC7E" w14:textId="77777777" w:rsidR="008C20F1" w:rsidRPr="001F5EC8" w:rsidRDefault="008C20F1" w:rsidP="008C20F1">
      <w:pPr>
        <w:pStyle w:val="a9"/>
        <w:numPr>
          <w:ilvl w:val="0"/>
          <w:numId w:val="4"/>
        </w:numPr>
        <w:spacing w:after="160" w:line="360" w:lineRule="auto"/>
        <w:jc w:val="both"/>
        <w:rPr>
          <w:rFonts w:ascii="David" w:hAnsi="David"/>
          <w:sz w:val="26"/>
          <w:szCs w:val="26"/>
          <w:rtl/>
        </w:rPr>
      </w:pPr>
      <w:r w:rsidRPr="001F5EC8">
        <w:rPr>
          <w:rFonts w:ascii="David" w:hAnsi="David" w:hint="cs"/>
          <w:sz w:val="26"/>
          <w:szCs w:val="26"/>
          <w:rtl/>
        </w:rPr>
        <w:t xml:space="preserve">רע"פ 4212/22 </w:t>
      </w:r>
      <w:r w:rsidRPr="001F5EC8">
        <w:rPr>
          <w:rFonts w:ascii="David" w:hAnsi="David" w:hint="cs"/>
          <w:b/>
          <w:bCs/>
          <w:sz w:val="26"/>
          <w:szCs w:val="26"/>
          <w:rtl/>
        </w:rPr>
        <w:t>יצחק נ' מ"י</w:t>
      </w:r>
      <w:r w:rsidRPr="001F5EC8">
        <w:rPr>
          <w:rFonts w:ascii="David" w:hAnsi="David" w:hint="cs"/>
          <w:sz w:val="26"/>
          <w:szCs w:val="26"/>
          <w:rtl/>
        </w:rPr>
        <w:t xml:space="preserve"> (מיום 7.7.2022) </w:t>
      </w:r>
      <w:r w:rsidRPr="001F5EC8">
        <w:rPr>
          <w:rFonts w:ascii="David" w:hAnsi="David"/>
          <w:sz w:val="26"/>
          <w:szCs w:val="26"/>
          <w:rtl/>
        </w:rPr>
        <w:t>–</w:t>
      </w:r>
      <w:r w:rsidRPr="001F5EC8">
        <w:rPr>
          <w:rFonts w:ascii="David" w:hAnsi="David" w:hint="cs"/>
          <w:sz w:val="26"/>
          <w:szCs w:val="26"/>
          <w:rtl/>
        </w:rPr>
        <w:t xml:space="preserve"> הנאשם החזיק בשני מקומות ברכבו 150 גרם קנביס מוכנים לחלוקה. אושר מתחם שבין מאסר מותנה ועד 10 חודשי מאסר ועונש של 180 שעות של"ץ.</w:t>
      </w:r>
    </w:p>
    <w:p w14:paraId="002E7052" w14:textId="77777777" w:rsidR="008C20F1" w:rsidRPr="001F5EC8" w:rsidRDefault="00BB36E3" w:rsidP="008C20F1">
      <w:pPr>
        <w:pStyle w:val="a9"/>
        <w:numPr>
          <w:ilvl w:val="0"/>
          <w:numId w:val="4"/>
        </w:numPr>
        <w:spacing w:after="160" w:line="360" w:lineRule="auto"/>
        <w:jc w:val="both"/>
        <w:rPr>
          <w:rFonts w:ascii="David" w:hAnsi="David"/>
          <w:sz w:val="26"/>
          <w:szCs w:val="26"/>
          <w:rtl/>
        </w:rPr>
      </w:pPr>
      <w:hyperlink r:id="rId12" w:history="1">
        <w:r w:rsidRPr="00BB36E3">
          <w:rPr>
            <w:rFonts w:ascii="David" w:hAnsi="David"/>
            <w:color w:val="0000FF"/>
            <w:sz w:val="26"/>
            <w:szCs w:val="26"/>
            <w:u w:val="single"/>
            <w:rtl/>
          </w:rPr>
          <w:t>רע"פ 3262/19</w:t>
        </w:r>
      </w:hyperlink>
      <w:r w:rsidR="008C20F1" w:rsidRPr="001F5EC8">
        <w:rPr>
          <w:rFonts w:ascii="David" w:hAnsi="David" w:hint="cs"/>
          <w:sz w:val="26"/>
          <w:szCs w:val="26"/>
          <w:rtl/>
        </w:rPr>
        <w:t xml:space="preserve"> </w:t>
      </w:r>
      <w:r w:rsidR="008C20F1" w:rsidRPr="001F5EC8">
        <w:rPr>
          <w:rFonts w:ascii="David" w:hAnsi="David" w:hint="cs"/>
          <w:b/>
          <w:bCs/>
          <w:sz w:val="26"/>
          <w:szCs w:val="26"/>
          <w:rtl/>
        </w:rPr>
        <w:t>מסעוד נ' מ"י</w:t>
      </w:r>
      <w:r w:rsidR="008C20F1" w:rsidRPr="001F5EC8">
        <w:rPr>
          <w:rFonts w:ascii="David" w:hAnsi="David" w:hint="cs"/>
          <w:sz w:val="26"/>
          <w:szCs w:val="26"/>
          <w:rtl/>
        </w:rPr>
        <w:t xml:space="preserve"> (מיום 16.5.2019) </w:t>
      </w:r>
      <w:r w:rsidR="008C20F1" w:rsidRPr="001F5EC8">
        <w:rPr>
          <w:rFonts w:ascii="David" w:hAnsi="David"/>
          <w:sz w:val="26"/>
          <w:szCs w:val="26"/>
          <w:rtl/>
        </w:rPr>
        <w:t>–</w:t>
      </w:r>
      <w:r w:rsidR="008C20F1" w:rsidRPr="001F5EC8">
        <w:rPr>
          <w:rFonts w:ascii="David" w:hAnsi="David" w:hint="cs"/>
          <w:sz w:val="26"/>
          <w:szCs w:val="26"/>
          <w:rtl/>
        </w:rPr>
        <w:t xml:space="preserve"> נסיבות חמורות ממקרנו בהן החזיק נאשם 300 גרם חשיש ו-83 גרם קוקאין בביתו עבור אחר, ואף חילק סם לאחרים. אושר מתחם שבין 10 ל-30 חודשי מאסר ועונש של 5 חודשי מאסר בפועל שהופחת מ-8 חודשי מאסר.</w:t>
      </w:r>
    </w:p>
    <w:p w14:paraId="1097A327" w14:textId="77777777" w:rsidR="008C20F1" w:rsidRDefault="00BB36E3" w:rsidP="008C20F1">
      <w:pPr>
        <w:pStyle w:val="a9"/>
        <w:numPr>
          <w:ilvl w:val="0"/>
          <w:numId w:val="4"/>
        </w:numPr>
        <w:spacing w:after="160" w:line="360" w:lineRule="auto"/>
        <w:jc w:val="both"/>
        <w:rPr>
          <w:rFonts w:ascii="David" w:hAnsi="David"/>
          <w:sz w:val="26"/>
          <w:szCs w:val="26"/>
        </w:rPr>
      </w:pPr>
      <w:hyperlink r:id="rId13" w:history="1">
        <w:r w:rsidRPr="00BB36E3">
          <w:rPr>
            <w:rFonts w:ascii="David" w:hAnsi="David"/>
            <w:color w:val="0000FF"/>
            <w:sz w:val="26"/>
            <w:szCs w:val="26"/>
            <w:u w:val="single"/>
            <w:rtl/>
          </w:rPr>
          <w:t>רע"פ 1830/16</w:t>
        </w:r>
      </w:hyperlink>
      <w:r w:rsidR="008C20F1" w:rsidRPr="001F5EC8">
        <w:rPr>
          <w:rFonts w:ascii="David" w:hAnsi="David" w:hint="cs"/>
          <w:sz w:val="26"/>
          <w:szCs w:val="26"/>
          <w:rtl/>
        </w:rPr>
        <w:t xml:space="preserve"> </w:t>
      </w:r>
      <w:r w:rsidR="008C20F1" w:rsidRPr="001F5EC8">
        <w:rPr>
          <w:rFonts w:ascii="David" w:hAnsi="David" w:hint="cs"/>
          <w:b/>
          <w:bCs/>
          <w:sz w:val="26"/>
          <w:szCs w:val="26"/>
          <w:rtl/>
        </w:rPr>
        <w:t>רקיבי נ' מ"י</w:t>
      </w:r>
      <w:r w:rsidR="008C20F1" w:rsidRPr="001F5EC8">
        <w:rPr>
          <w:rFonts w:ascii="David" w:hAnsi="David" w:hint="cs"/>
          <w:sz w:val="26"/>
          <w:szCs w:val="26"/>
          <w:rtl/>
        </w:rPr>
        <w:t xml:space="preserve"> (מיום 11.4.2016) </w:t>
      </w:r>
      <w:r w:rsidR="008C20F1" w:rsidRPr="001F5EC8">
        <w:rPr>
          <w:rFonts w:ascii="David" w:hAnsi="David"/>
          <w:sz w:val="26"/>
          <w:szCs w:val="26"/>
          <w:rtl/>
        </w:rPr>
        <w:t>–</w:t>
      </w:r>
      <w:r w:rsidR="008C20F1" w:rsidRPr="001F5EC8">
        <w:rPr>
          <w:rFonts w:ascii="David" w:hAnsi="David" w:hint="cs"/>
          <w:sz w:val="26"/>
          <w:szCs w:val="26"/>
          <w:rtl/>
        </w:rPr>
        <w:t xml:space="preserve"> נסיבות חמורות ממקרנו בהן נתפסו אצל נאשם 2.3 ק"ג חשיש מוכן לחלוקה. אושר מתחם שבין 6 ל-15 חודשי מאסר וכן אושר עונש של 8 חודשי מאסר בפועל.</w:t>
      </w:r>
    </w:p>
    <w:p w14:paraId="245ACCD6" w14:textId="77777777" w:rsidR="008C20F1" w:rsidRPr="001F5EC8" w:rsidRDefault="008C20F1" w:rsidP="008C20F1">
      <w:pPr>
        <w:pStyle w:val="a9"/>
        <w:spacing w:after="160" w:line="360" w:lineRule="auto"/>
        <w:ind w:left="1080"/>
        <w:jc w:val="both"/>
        <w:rPr>
          <w:rFonts w:ascii="David" w:hAnsi="David"/>
          <w:sz w:val="26"/>
          <w:szCs w:val="26"/>
          <w:rtl/>
        </w:rPr>
      </w:pPr>
    </w:p>
    <w:p w14:paraId="4A710264" w14:textId="77777777" w:rsidR="008C20F1" w:rsidRDefault="008C20F1" w:rsidP="008C20F1">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מאסר על-תנאי ו/או של"ץ או שניהם ועד ל-5 חודשי מאסר בפועל שיכול וירוצו בעבודות שירות.</w:t>
      </w:r>
    </w:p>
    <w:p w14:paraId="6C75A1C6" w14:textId="77777777" w:rsidR="008C20F1" w:rsidRDefault="008C20F1" w:rsidP="008C20F1">
      <w:pPr>
        <w:spacing w:after="160" w:line="360" w:lineRule="auto"/>
        <w:jc w:val="both"/>
        <w:rPr>
          <w:rFonts w:ascii="David" w:hAnsi="David"/>
          <w:b/>
          <w:bCs/>
          <w:sz w:val="26"/>
          <w:szCs w:val="26"/>
          <w:rtl/>
        </w:rPr>
      </w:pPr>
    </w:p>
    <w:p w14:paraId="77CC14E6" w14:textId="77777777" w:rsidR="008C20F1" w:rsidRDefault="008C20F1" w:rsidP="008C20F1">
      <w:pPr>
        <w:spacing w:after="160" w:line="360" w:lineRule="auto"/>
        <w:jc w:val="both"/>
        <w:rPr>
          <w:rFonts w:ascii="David" w:hAnsi="David"/>
          <w:b/>
          <w:bCs/>
          <w:sz w:val="26"/>
          <w:szCs w:val="26"/>
          <w:u w:val="single"/>
          <w:rtl/>
        </w:rPr>
      </w:pPr>
      <w:r>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6B4AB204" w14:textId="77777777" w:rsidR="008C20F1" w:rsidRDefault="008C20F1" w:rsidP="008C20F1">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מצד אחד ולקולה, הנאשם הודה במיוחס לו ומבחינה זו קיבל אחריות למעשים, קיים רכיב ניכר של חלוף זמן, ובחלוף הזמן (4 שנים) לא נפתחו לנאשם תיקים נוספים. כמו כן לא קיבלתי הסבר מספק להגשת כתב האישום בעיכוב כה גדול. מצד שני ולחומרה, עברו הפלילי בעבירות רלבנטיות. אני סבור כי יש קושי במסקנות שירות המבחן. הנאשם העיד על עצמו כי נגמל מסמים ואכן מסר בדיקת שתן נקיה. הנאשם הסביר את אורחות חייו, ואף שירות המבחן סבר, כי הנאשם נטל על עצמו תפקיד הורי מגיל צעיר וכיום הוא מנהל אורח חיים נורמטיבי ויצרני ושומר על יציבות תעסוקתית. העובדה שהנאשם לא סבר שהוא זקוק לטיפול, או שמסר הסברים אותם פירש שירות המבחן, שלא בצדק, כאי-קבלת אחריות, אין בהם להוביל למסקנה, כי הוא אינו יכול לבצע עונש של של"ץ. לדעתי שירות המבחן לא נתן משקל לכך שעבירה זו היא עבירה ישנה וסמוכה למדי לרישום הפלילי האחרון של הנאשם, ומאז לא נפתחו לו תיקים חדשים. הדבר מלמד לטעמי, על כך שהעבירה נעברה בתקופה בה טרם עבר הנאשם שינוי והתייצב באורחותיו. מכל האמור סברתי, שמסקנת שירות המבחן אינה מוצדקת, וכי יש להעמיד את הנאשם בחלק הראשון של המתחם ולהטיל עליו עונש מוחשי בדמות של"ץ. לטעמי, הטלת עבודות שירות, אינה בגדר עונש הולם בהתחשב במכלול הנסיבות, טיב הסם, מדיניות הענישה הנוהגת וחלוף הזמן.</w:t>
      </w:r>
    </w:p>
    <w:p w14:paraId="2B9C240A" w14:textId="77777777" w:rsidR="008C20F1" w:rsidRDefault="008C20F1" w:rsidP="008C20F1">
      <w:pPr>
        <w:spacing w:after="160" w:line="360" w:lineRule="auto"/>
        <w:jc w:val="both"/>
        <w:rPr>
          <w:rFonts w:ascii="David" w:hAnsi="David"/>
          <w:b/>
          <w:bCs/>
          <w:sz w:val="26"/>
          <w:szCs w:val="26"/>
          <w:u w:val="single"/>
          <w:rtl/>
        </w:rPr>
      </w:pPr>
    </w:p>
    <w:p w14:paraId="201F4C5B" w14:textId="77777777" w:rsidR="008C20F1" w:rsidRDefault="008C20F1" w:rsidP="008C20F1">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6BC105CA" w14:textId="77777777" w:rsidR="008C20F1" w:rsidRDefault="008C20F1" w:rsidP="008C20F1">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7080234" w14:textId="77777777" w:rsidR="008C20F1" w:rsidRDefault="008C20F1" w:rsidP="008C20F1">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6 </w:t>
      </w:r>
      <w:r>
        <w:rPr>
          <w:rFonts w:ascii="David" w:hAnsi="David"/>
          <w:sz w:val="26"/>
          <w:szCs w:val="26"/>
          <w:rtl/>
        </w:rPr>
        <w:t xml:space="preserve">חודשי מאסר על-תנאי, שלא יעבור הנאשם בתוך </w:t>
      </w:r>
      <w:r>
        <w:rPr>
          <w:rFonts w:ascii="David" w:hAnsi="David" w:hint="cs"/>
          <w:sz w:val="26"/>
          <w:szCs w:val="26"/>
          <w:rtl/>
        </w:rPr>
        <w:t xml:space="preserve">3 </w:t>
      </w:r>
      <w:r>
        <w:rPr>
          <w:rFonts w:ascii="David" w:hAnsi="David"/>
          <w:sz w:val="26"/>
          <w:szCs w:val="26"/>
          <w:rtl/>
        </w:rPr>
        <w:t>שנים מהיום</w:t>
      </w:r>
      <w:r>
        <w:rPr>
          <w:rFonts w:ascii="David" w:hAnsi="David" w:hint="cs"/>
          <w:sz w:val="26"/>
          <w:szCs w:val="26"/>
          <w:rtl/>
        </w:rPr>
        <w:t xml:space="preserve"> כל עבירת פשע לפי פקודת הסמים</w:t>
      </w:r>
      <w:r>
        <w:rPr>
          <w:rFonts w:ascii="David" w:hAnsi="David"/>
          <w:sz w:val="26"/>
          <w:szCs w:val="26"/>
          <w:rtl/>
        </w:rPr>
        <w:t>;</w:t>
      </w:r>
    </w:p>
    <w:p w14:paraId="39496D6B" w14:textId="77777777" w:rsidR="008C20F1" w:rsidRDefault="008C20F1" w:rsidP="008C20F1">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קנס בסך  </w:t>
      </w:r>
      <w:r>
        <w:rPr>
          <w:rFonts w:ascii="David" w:hAnsi="David" w:hint="cs"/>
          <w:sz w:val="26"/>
          <w:szCs w:val="26"/>
          <w:rtl/>
        </w:rPr>
        <w:t>1,000</w:t>
      </w:r>
      <w:r>
        <w:rPr>
          <w:rFonts w:ascii="David" w:hAnsi="David"/>
          <w:sz w:val="26"/>
          <w:szCs w:val="26"/>
          <w:rtl/>
        </w:rPr>
        <w:t xml:space="preserve"> ₪, או </w:t>
      </w:r>
      <w:r>
        <w:rPr>
          <w:rFonts w:ascii="David" w:hAnsi="David" w:hint="cs"/>
          <w:sz w:val="26"/>
          <w:szCs w:val="26"/>
          <w:rtl/>
        </w:rPr>
        <w:t xml:space="preserve">4 </w:t>
      </w:r>
      <w:r>
        <w:rPr>
          <w:rFonts w:ascii="David" w:hAnsi="David"/>
          <w:sz w:val="26"/>
          <w:szCs w:val="26"/>
          <w:rtl/>
        </w:rPr>
        <w:t>ימי מאסר תמורתו אם לא ישולם. הקנס ישולם ב-</w:t>
      </w:r>
      <w:r>
        <w:rPr>
          <w:rFonts w:ascii="David" w:hAnsi="David" w:hint="cs"/>
          <w:sz w:val="26"/>
          <w:szCs w:val="26"/>
          <w:rtl/>
        </w:rPr>
        <w:t xml:space="preserve">4 </w:t>
      </w:r>
      <w:r>
        <w:rPr>
          <w:rFonts w:ascii="David" w:hAnsi="David"/>
          <w:sz w:val="26"/>
          <w:szCs w:val="26"/>
          <w:rtl/>
        </w:rPr>
        <w:t xml:space="preserve">תשלומים שווים ורצופים החל מיום </w:t>
      </w:r>
      <w:r>
        <w:rPr>
          <w:rFonts w:ascii="David" w:hAnsi="David" w:hint="cs"/>
          <w:sz w:val="26"/>
          <w:szCs w:val="26"/>
          <w:rtl/>
        </w:rPr>
        <w:t xml:space="preserve">1.5.2024 </w:t>
      </w:r>
      <w:r>
        <w:rPr>
          <w:rFonts w:ascii="David" w:hAnsi="David"/>
          <w:sz w:val="26"/>
          <w:szCs w:val="26"/>
          <w:rtl/>
        </w:rPr>
        <w:t xml:space="preserve">ובכל </w:t>
      </w:r>
      <w:r>
        <w:rPr>
          <w:rFonts w:ascii="David" w:hAnsi="David" w:hint="cs"/>
          <w:sz w:val="26"/>
          <w:szCs w:val="26"/>
          <w:rtl/>
        </w:rPr>
        <w:t xml:space="preserve">1 </w:t>
      </w:r>
      <w:r>
        <w:rPr>
          <w:rFonts w:ascii="David" w:hAnsi="David"/>
          <w:sz w:val="26"/>
          <w:szCs w:val="26"/>
          <w:rtl/>
        </w:rPr>
        <w:t>בחודש. לא ישולם תשלום במועד או לא ישולם כלל, יעמוד הקנס לפירעון מיידי;</w:t>
      </w:r>
    </w:p>
    <w:p w14:paraId="50F76442" w14:textId="77777777" w:rsidR="008C20F1" w:rsidRDefault="008C20F1" w:rsidP="008C20F1">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150 </w:t>
      </w:r>
      <w:r>
        <w:rPr>
          <w:rFonts w:ascii="David" w:hAnsi="David"/>
          <w:sz w:val="26"/>
          <w:szCs w:val="26"/>
          <w:rtl/>
        </w:rPr>
        <w:t>שעות שירות לתועלת הציבור (של"ץ)</w:t>
      </w:r>
      <w:r>
        <w:rPr>
          <w:rFonts w:ascii="David" w:hAnsi="David" w:hint="cs"/>
          <w:sz w:val="26"/>
          <w:szCs w:val="26"/>
          <w:rtl/>
        </w:rPr>
        <w:t>.</w:t>
      </w:r>
      <w:r>
        <w:rPr>
          <w:rFonts w:ascii="David" w:hAnsi="David"/>
          <w:sz w:val="26"/>
          <w:szCs w:val="26"/>
          <w:rtl/>
        </w:rPr>
        <w:t xml:space="preserve"> שירות המבחן </w:t>
      </w:r>
      <w:r>
        <w:rPr>
          <w:rFonts w:ascii="David" w:hAnsi="David" w:hint="cs"/>
          <w:sz w:val="26"/>
          <w:szCs w:val="26"/>
          <w:rtl/>
        </w:rPr>
        <w:t xml:space="preserve">יכין תוכנית </w:t>
      </w:r>
      <w:r>
        <w:rPr>
          <w:rFonts w:ascii="David" w:hAnsi="David"/>
          <w:sz w:val="26"/>
          <w:szCs w:val="26"/>
          <w:rtl/>
        </w:rPr>
        <w:t>ויגיש</w:t>
      </w:r>
      <w:r>
        <w:rPr>
          <w:rFonts w:ascii="David" w:hAnsi="David" w:hint="cs"/>
          <w:sz w:val="26"/>
          <w:szCs w:val="26"/>
          <w:rtl/>
        </w:rPr>
        <w:t>ה</w:t>
      </w:r>
      <w:r>
        <w:rPr>
          <w:rFonts w:ascii="David" w:hAnsi="David"/>
          <w:sz w:val="26"/>
          <w:szCs w:val="26"/>
          <w:rtl/>
        </w:rPr>
        <w:t xml:space="preserve"> לבית המשפט </w:t>
      </w:r>
      <w:r>
        <w:rPr>
          <w:rFonts w:ascii="David" w:hAnsi="David" w:hint="cs"/>
          <w:sz w:val="26"/>
          <w:szCs w:val="26"/>
          <w:rtl/>
        </w:rPr>
        <w:t>עד ליום 1.4.2024</w:t>
      </w:r>
      <w:r>
        <w:rPr>
          <w:rFonts w:ascii="David" w:hAnsi="David"/>
          <w:sz w:val="26"/>
          <w:szCs w:val="26"/>
          <w:rtl/>
        </w:rPr>
        <w:t>;</w:t>
      </w:r>
    </w:p>
    <w:p w14:paraId="3DCE0F45" w14:textId="77777777" w:rsidR="008C20F1" w:rsidRDefault="008C20F1" w:rsidP="008C20F1">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5,000 </w:t>
      </w:r>
      <w:r>
        <w:rPr>
          <w:rFonts w:ascii="David" w:hAnsi="David"/>
          <w:sz w:val="26"/>
          <w:szCs w:val="26"/>
          <w:rtl/>
        </w:rPr>
        <w:t xml:space="preserve">₪ שלא לעבור כל </w:t>
      </w:r>
      <w:r>
        <w:rPr>
          <w:rFonts w:ascii="David" w:hAnsi="David" w:hint="cs"/>
          <w:sz w:val="26"/>
          <w:szCs w:val="26"/>
          <w:rtl/>
        </w:rPr>
        <w:t xml:space="preserve">עבירת פשע לפי פקודת הסמים </w:t>
      </w:r>
      <w:r>
        <w:rPr>
          <w:rFonts w:ascii="David" w:hAnsi="David"/>
          <w:sz w:val="26"/>
          <w:szCs w:val="26"/>
          <w:rtl/>
        </w:rPr>
        <w:t>במשך שנתיים מהיום. הובהר לנאשם שמשמעות ההתחייבות היא, כי אם יעבור את העבירה בתוך התקופה שצוינה, בית המשפט שיגזור את הדין יהא חייב לחלט את ההתחייבות כקנס</w:t>
      </w:r>
      <w:r>
        <w:rPr>
          <w:rFonts w:ascii="David" w:hAnsi="David" w:hint="cs"/>
          <w:sz w:val="26"/>
          <w:szCs w:val="26"/>
          <w:rtl/>
        </w:rPr>
        <w:t>;</w:t>
      </w:r>
    </w:p>
    <w:p w14:paraId="252C94FF" w14:textId="77777777" w:rsidR="008C20F1" w:rsidRDefault="008C20F1" w:rsidP="008C20F1">
      <w:pPr>
        <w:numPr>
          <w:ilvl w:val="0"/>
          <w:numId w:val="1"/>
        </w:numPr>
        <w:spacing w:after="160" w:line="360" w:lineRule="auto"/>
        <w:contextualSpacing/>
        <w:jc w:val="both"/>
        <w:rPr>
          <w:rFonts w:ascii="David" w:hAnsi="David"/>
          <w:sz w:val="26"/>
          <w:szCs w:val="26"/>
        </w:rPr>
      </w:pPr>
      <w:r>
        <w:rPr>
          <w:rFonts w:ascii="David" w:hAnsi="David" w:hint="cs"/>
          <w:sz w:val="26"/>
          <w:szCs w:val="26"/>
          <w:rtl/>
        </w:rPr>
        <w:t>חודשיים פסילה מלהחזיק או מלקבל רישיון נהיגה, וזאת על-תנאי שלא יעבור הנאשם בתוך שנתיים מהיום כל עבירת פשע לפי פקודת הסמים;</w:t>
      </w:r>
    </w:p>
    <w:p w14:paraId="3A5CC6B1" w14:textId="77777777" w:rsidR="008C20F1" w:rsidRDefault="008C20F1" w:rsidP="008C20F1">
      <w:pPr>
        <w:numPr>
          <w:ilvl w:val="0"/>
          <w:numId w:val="1"/>
        </w:numPr>
        <w:spacing w:after="160" w:line="360" w:lineRule="auto"/>
        <w:contextualSpacing/>
        <w:jc w:val="both"/>
        <w:rPr>
          <w:rFonts w:ascii="David" w:hAnsi="David"/>
          <w:sz w:val="26"/>
          <w:szCs w:val="26"/>
        </w:rPr>
      </w:pPr>
      <w:r>
        <w:rPr>
          <w:rFonts w:ascii="David" w:hAnsi="David" w:hint="cs"/>
          <w:sz w:val="26"/>
          <w:szCs w:val="26"/>
          <w:rtl/>
        </w:rPr>
        <w:t>מורה על השמדת הסמים ועל חילוט הכספים שנתפסו.</w:t>
      </w:r>
    </w:p>
    <w:p w14:paraId="143F35CB" w14:textId="77777777" w:rsidR="008C20F1" w:rsidRDefault="008C20F1" w:rsidP="008C20F1">
      <w:pPr>
        <w:spacing w:after="160" w:line="360" w:lineRule="auto"/>
        <w:jc w:val="both"/>
        <w:rPr>
          <w:rFonts w:ascii="David" w:hAnsi="David"/>
          <w:b/>
          <w:bCs/>
          <w:sz w:val="26"/>
          <w:szCs w:val="26"/>
          <w:rtl/>
        </w:rPr>
      </w:pPr>
      <w:r>
        <w:rPr>
          <w:rFonts w:ascii="David" w:hAnsi="David"/>
          <w:b/>
          <w:bCs/>
          <w:sz w:val="26"/>
          <w:szCs w:val="26"/>
          <w:rtl/>
        </w:rPr>
        <w:t xml:space="preserve">הנאשם הוזהר כי אי ביצוע צו השל"ץ עלול להוביל להפקעתו ולהטלת כל עונש חלופי לרבות מאסר. </w:t>
      </w:r>
    </w:p>
    <w:p w14:paraId="57FF56C8" w14:textId="77777777" w:rsidR="008C20F1" w:rsidRDefault="008C20F1" w:rsidP="008C20F1">
      <w:pPr>
        <w:spacing w:line="360" w:lineRule="auto"/>
        <w:jc w:val="both"/>
        <w:rPr>
          <w:rFonts w:ascii="David" w:hAnsi="David"/>
          <w:b/>
          <w:bCs/>
          <w:sz w:val="26"/>
          <w:szCs w:val="26"/>
          <w:rtl/>
        </w:rPr>
      </w:pPr>
    </w:p>
    <w:p w14:paraId="79B10CAC" w14:textId="77777777" w:rsidR="008C20F1" w:rsidRDefault="008C20F1" w:rsidP="008C20F1">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8401068" w14:textId="77777777" w:rsidR="008C20F1" w:rsidRDefault="008C20F1" w:rsidP="008C20F1">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14"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6CC22B3D" w14:textId="77777777" w:rsidR="008C20F1" w:rsidRDefault="008C20F1" w:rsidP="008C20F1">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7001AB9C" w14:textId="77777777" w:rsidR="008C20F1" w:rsidRDefault="008C20F1" w:rsidP="008C20F1">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0B21619B" w14:textId="77777777" w:rsidR="008C20F1" w:rsidRDefault="008C20F1" w:rsidP="008C20F1">
      <w:pPr>
        <w:spacing w:line="360" w:lineRule="auto"/>
        <w:jc w:val="both"/>
        <w:rPr>
          <w:rFonts w:ascii="David" w:hAnsi="David"/>
          <w:b/>
          <w:bCs/>
          <w:sz w:val="26"/>
          <w:szCs w:val="26"/>
        </w:rPr>
      </w:pPr>
      <w:r>
        <w:rPr>
          <w:rFonts w:ascii="David" w:hAnsi="David"/>
          <w:b/>
          <w:bCs/>
          <w:sz w:val="26"/>
          <w:szCs w:val="26"/>
          <w:rtl/>
        </w:rPr>
        <w:t>לא יונפקו שוברי תשלום.</w:t>
      </w:r>
    </w:p>
    <w:p w14:paraId="1AAA3A5F" w14:textId="77777777" w:rsidR="008C20F1" w:rsidRDefault="008C20F1" w:rsidP="008C20F1">
      <w:pPr>
        <w:spacing w:line="360" w:lineRule="auto"/>
        <w:jc w:val="both"/>
        <w:rPr>
          <w:b/>
          <w:bCs/>
          <w:sz w:val="26"/>
          <w:szCs w:val="26"/>
        </w:rPr>
      </w:pPr>
      <w:r>
        <w:rPr>
          <w:b/>
          <w:bCs/>
          <w:sz w:val="26"/>
          <w:szCs w:val="26"/>
          <w:rtl/>
        </w:rPr>
        <w:t>ניתן לקזז מכל הפקדה שבתיק או בתיק קשור על אף הודעת עיקול. ככל שקיימות יתרות זכות ואין עיקולים ניתן להשיב למפקיד.</w:t>
      </w:r>
    </w:p>
    <w:p w14:paraId="0F8E17CB" w14:textId="77777777" w:rsidR="008C20F1" w:rsidRDefault="008C20F1" w:rsidP="008C20F1"/>
    <w:p w14:paraId="593392F2" w14:textId="77777777" w:rsidR="008C20F1" w:rsidRPr="009A4B4C" w:rsidRDefault="00BB36E3" w:rsidP="008C20F1">
      <w:pPr>
        <w:spacing w:after="160" w:line="360" w:lineRule="auto"/>
        <w:rPr>
          <w:rFonts w:ascii="David" w:hAnsi="David"/>
          <w:b/>
          <w:bCs/>
          <w:sz w:val="26"/>
          <w:szCs w:val="26"/>
          <w:rtl/>
        </w:rPr>
      </w:pPr>
      <w:r w:rsidRPr="00BB36E3">
        <w:rPr>
          <w:rFonts w:ascii="David" w:hAnsi="David"/>
          <w:b/>
          <w:bCs/>
          <w:color w:val="FFFFFF"/>
          <w:sz w:val="2"/>
          <w:szCs w:val="2"/>
          <w:rtl/>
        </w:rPr>
        <w:t>5129371</w:t>
      </w:r>
      <w:r w:rsidR="008C20F1" w:rsidRPr="009A4B4C">
        <w:rPr>
          <w:rFonts w:ascii="David" w:hAnsi="David"/>
          <w:b/>
          <w:bCs/>
          <w:sz w:val="26"/>
          <w:szCs w:val="26"/>
          <w:rtl/>
        </w:rPr>
        <w:t>יש לשלוח לשירות המבחן ולממונה על עבודות שירות.</w:t>
      </w:r>
    </w:p>
    <w:p w14:paraId="2A9943B4" w14:textId="77777777" w:rsidR="008C20F1" w:rsidRDefault="00BB36E3" w:rsidP="008C20F1">
      <w:pPr>
        <w:spacing w:after="160" w:line="252" w:lineRule="auto"/>
        <w:rPr>
          <w:rFonts w:ascii="David" w:hAnsi="David"/>
          <w:b/>
          <w:bCs/>
          <w:sz w:val="26"/>
          <w:szCs w:val="26"/>
        </w:rPr>
      </w:pPr>
      <w:r w:rsidRPr="00BB36E3">
        <w:rPr>
          <w:rFonts w:ascii="David" w:hAnsi="David"/>
          <w:b/>
          <w:bCs/>
          <w:color w:val="FFFFFF"/>
          <w:sz w:val="2"/>
          <w:szCs w:val="2"/>
          <w:rtl/>
        </w:rPr>
        <w:t>54678313</w:t>
      </w:r>
      <w:r w:rsidR="008C20F1">
        <w:rPr>
          <w:rFonts w:ascii="David" w:hAnsi="David"/>
          <w:b/>
          <w:bCs/>
          <w:sz w:val="26"/>
          <w:szCs w:val="26"/>
          <w:rtl/>
        </w:rPr>
        <w:t>זכות ערעור כחוק לבית המשפט המחוזי בירושלים בתוך 45 יום מהיום.</w:t>
      </w:r>
    </w:p>
    <w:p w14:paraId="54C7188C" w14:textId="77777777" w:rsidR="008C20F1" w:rsidRPr="006D6E76" w:rsidRDefault="008C20F1" w:rsidP="008C20F1">
      <w:pPr>
        <w:rPr>
          <w:rtl/>
        </w:rPr>
      </w:pPr>
    </w:p>
    <w:p w14:paraId="750589A0" w14:textId="77777777" w:rsidR="008C20F1" w:rsidRPr="000F2247" w:rsidRDefault="00BB36E3" w:rsidP="008C20F1">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ה' אדר א' תשפ"ד, 14 פברואר 2024, במעמד הצדדים. </w:t>
      </w:r>
      <w:bookmarkEnd w:id="8"/>
      <w:r w:rsidR="008C20F1">
        <w:rPr>
          <w:rFonts w:ascii="Arial" w:hAnsi="Arial"/>
          <w:b/>
          <w:bCs/>
          <w:sz w:val="26"/>
          <w:szCs w:val="26"/>
          <w:rtl/>
        </w:rPr>
        <w:tab/>
      </w:r>
      <w:r w:rsidR="008C20F1">
        <w:rPr>
          <w:rFonts w:ascii="Arial" w:hAnsi="Arial"/>
          <w:b/>
          <w:bCs/>
          <w:sz w:val="26"/>
          <w:szCs w:val="26"/>
          <w:rtl/>
        </w:rPr>
        <w:tab/>
      </w:r>
      <w:r w:rsidR="008C20F1">
        <w:rPr>
          <w:rFonts w:ascii="Arial" w:hAnsi="Arial"/>
          <w:b/>
          <w:bCs/>
          <w:sz w:val="26"/>
          <w:szCs w:val="26"/>
          <w:rtl/>
        </w:rPr>
        <w:tab/>
      </w:r>
      <w:r w:rsidR="008C20F1">
        <w:rPr>
          <w:rFonts w:ascii="Arial" w:hAnsi="Arial"/>
          <w:b/>
          <w:bCs/>
          <w:sz w:val="26"/>
          <w:szCs w:val="26"/>
          <w:rtl/>
        </w:rPr>
        <w:tab/>
      </w:r>
      <w:r w:rsidR="008C20F1">
        <w:rPr>
          <w:rFonts w:ascii="Arial" w:hAnsi="Arial"/>
          <w:b/>
          <w:bCs/>
          <w:sz w:val="26"/>
          <w:szCs w:val="26"/>
          <w:rtl/>
        </w:rPr>
        <w:tab/>
      </w:r>
      <w:r w:rsidR="008C20F1">
        <w:rPr>
          <w:rFonts w:ascii="Arial" w:hAnsi="Arial"/>
          <w:b/>
          <w:bCs/>
          <w:sz w:val="26"/>
          <w:szCs w:val="26"/>
          <w:rtl/>
        </w:rPr>
        <w:tab/>
      </w:r>
      <w:r w:rsidR="008C20F1">
        <w:rPr>
          <w:rFonts w:ascii="Arial" w:hAnsi="Arial" w:hint="cs"/>
          <w:b/>
          <w:bCs/>
          <w:sz w:val="26"/>
          <w:szCs w:val="26"/>
          <w:rtl/>
        </w:rPr>
        <w:t xml:space="preserve">         </w:t>
      </w:r>
    </w:p>
    <w:p w14:paraId="707DA600" w14:textId="77777777" w:rsidR="008C20F1" w:rsidRPr="000F2247" w:rsidRDefault="008C20F1" w:rsidP="00BB36E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1F5636FA" w14:textId="77777777" w:rsidR="008C20F1" w:rsidRPr="000F2247" w:rsidRDefault="008C20F1" w:rsidP="008C20F1">
      <w:pPr>
        <w:jc w:val="center"/>
        <w:rPr>
          <w:rFonts w:ascii="Arial" w:hAnsi="Arial"/>
          <w:b/>
          <w:bCs/>
          <w:sz w:val="26"/>
          <w:szCs w:val="26"/>
          <w:rtl/>
        </w:rPr>
      </w:pPr>
    </w:p>
    <w:p w14:paraId="4987DABA" w14:textId="77777777" w:rsidR="005920D5" w:rsidRPr="00BB36E3" w:rsidRDefault="005920D5" w:rsidP="00BB36E3">
      <w:pPr>
        <w:keepNext/>
        <w:rPr>
          <w:rFonts w:ascii="David" w:hAnsi="David"/>
          <w:color w:val="000000"/>
          <w:sz w:val="22"/>
          <w:szCs w:val="22"/>
          <w:rtl/>
        </w:rPr>
      </w:pPr>
    </w:p>
    <w:p w14:paraId="7BDEFD77" w14:textId="77777777" w:rsidR="00BB36E3" w:rsidRPr="00BB36E3" w:rsidRDefault="00BB36E3" w:rsidP="00BB36E3">
      <w:pPr>
        <w:keepNext/>
        <w:rPr>
          <w:rFonts w:ascii="David" w:hAnsi="David"/>
          <w:color w:val="000000"/>
          <w:sz w:val="22"/>
          <w:szCs w:val="22"/>
          <w:rtl/>
        </w:rPr>
      </w:pPr>
      <w:r w:rsidRPr="00BB36E3">
        <w:rPr>
          <w:rFonts w:ascii="David" w:hAnsi="David"/>
          <w:color w:val="000000"/>
          <w:sz w:val="22"/>
          <w:szCs w:val="22"/>
          <w:rtl/>
        </w:rPr>
        <w:t>דוד שאול גבאי ריכטר 54678313</w:t>
      </w:r>
    </w:p>
    <w:p w14:paraId="34AEADA6" w14:textId="77777777" w:rsidR="00BB36E3" w:rsidRDefault="00BB36E3" w:rsidP="00BB36E3">
      <w:r w:rsidRPr="00BB36E3">
        <w:rPr>
          <w:color w:val="000000"/>
          <w:rtl/>
        </w:rPr>
        <w:t>נוסח מסמך זה כפוף לשינויי ניסוח ועריכה</w:t>
      </w:r>
    </w:p>
    <w:p w14:paraId="2C48970B" w14:textId="77777777" w:rsidR="00BB36E3" w:rsidRDefault="00BB36E3" w:rsidP="00BB36E3">
      <w:pPr>
        <w:rPr>
          <w:rtl/>
        </w:rPr>
      </w:pPr>
    </w:p>
    <w:p w14:paraId="77D73D63" w14:textId="77777777" w:rsidR="00BB36E3" w:rsidRDefault="00BB36E3" w:rsidP="00BB36E3">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175AE83E" w14:textId="77777777" w:rsidR="00BB36E3" w:rsidRPr="00BB36E3" w:rsidRDefault="00BB36E3" w:rsidP="00BB36E3">
      <w:pPr>
        <w:jc w:val="center"/>
        <w:rPr>
          <w:color w:val="0000FF"/>
          <w:u w:val="single"/>
        </w:rPr>
      </w:pPr>
    </w:p>
    <w:sectPr w:rsidR="00BB36E3" w:rsidRPr="00BB36E3" w:rsidSect="00BB36E3">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F87716" w14:textId="77777777" w:rsidR="00CF7B4E" w:rsidRDefault="00CF7B4E" w:rsidP="003966F2">
      <w:r>
        <w:separator/>
      </w:r>
    </w:p>
  </w:endnote>
  <w:endnote w:type="continuationSeparator" w:id="0">
    <w:p w14:paraId="7C898540" w14:textId="77777777" w:rsidR="00CF7B4E" w:rsidRDefault="00CF7B4E" w:rsidP="00396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FFB1A" w14:textId="77777777" w:rsidR="00BB36E3" w:rsidRDefault="00BB36E3" w:rsidP="00BB36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0A50D018" w14:textId="77777777" w:rsidR="00C80128" w:rsidRPr="00BB36E3" w:rsidRDefault="00BB36E3" w:rsidP="00BB36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C4F8D" w14:textId="77777777" w:rsidR="00BB36E3" w:rsidRDefault="00BB36E3" w:rsidP="00BB36E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26FA5">
      <w:rPr>
        <w:rFonts w:ascii="FrankRuehl" w:hAnsi="FrankRuehl" w:cs="FrankRuehl"/>
        <w:noProof/>
        <w:rtl/>
      </w:rPr>
      <w:t>1</w:t>
    </w:r>
    <w:r>
      <w:rPr>
        <w:rFonts w:ascii="FrankRuehl" w:hAnsi="FrankRuehl" w:cs="FrankRuehl"/>
        <w:rtl/>
      </w:rPr>
      <w:fldChar w:fldCharType="end"/>
    </w:r>
  </w:p>
  <w:p w14:paraId="2364A5BF" w14:textId="77777777" w:rsidR="00C80128" w:rsidRPr="00BB36E3" w:rsidRDefault="00BB36E3" w:rsidP="00BB36E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83A5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6F1F7" w14:textId="77777777" w:rsidR="00CF7B4E" w:rsidRDefault="00CF7B4E" w:rsidP="003966F2">
      <w:r>
        <w:separator/>
      </w:r>
    </w:p>
  </w:footnote>
  <w:footnote w:type="continuationSeparator" w:id="0">
    <w:p w14:paraId="6833CF17" w14:textId="77777777" w:rsidR="00CF7B4E" w:rsidRDefault="00CF7B4E" w:rsidP="003966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F2D25" w14:textId="77777777" w:rsidR="00BB36E3" w:rsidRPr="00BB36E3" w:rsidRDefault="00BB36E3" w:rsidP="00BB36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15481-02-22</w:t>
    </w:r>
    <w:r>
      <w:rPr>
        <w:rFonts w:ascii="David" w:hAnsi="David"/>
        <w:color w:val="000000"/>
        <w:sz w:val="22"/>
        <w:szCs w:val="22"/>
        <w:rtl/>
      </w:rPr>
      <w:tab/>
      <w:t xml:space="preserve"> מדינת ישראל נ' כמאל אבו סווי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9786DF" w14:textId="77777777" w:rsidR="00BB36E3" w:rsidRPr="00BB36E3" w:rsidRDefault="00BB36E3" w:rsidP="00BB36E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15481-02-22</w:t>
    </w:r>
    <w:r>
      <w:rPr>
        <w:rFonts w:ascii="David" w:hAnsi="David"/>
        <w:color w:val="000000"/>
        <w:sz w:val="22"/>
        <w:szCs w:val="22"/>
        <w:rtl/>
      </w:rPr>
      <w:tab/>
      <w:t xml:space="preserve"> מדינת ישראל נ' כמאל אבו סווי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26070361"/>
    <w:multiLevelType w:val="hybridMultilevel"/>
    <w:tmpl w:val="93F803B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344914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2423328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9598530">
    <w:abstractNumId w:val="0"/>
  </w:num>
  <w:num w:numId="4" w16cid:durableId="1379744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C20F1"/>
    <w:rsid w:val="001B5A3B"/>
    <w:rsid w:val="003966F2"/>
    <w:rsid w:val="00430C31"/>
    <w:rsid w:val="005920D5"/>
    <w:rsid w:val="005A100F"/>
    <w:rsid w:val="005E6D04"/>
    <w:rsid w:val="0065319D"/>
    <w:rsid w:val="008C20F1"/>
    <w:rsid w:val="00A26FA5"/>
    <w:rsid w:val="00AD3907"/>
    <w:rsid w:val="00BB36E3"/>
    <w:rsid w:val="00C80128"/>
    <w:rsid w:val="00CF7B4E"/>
    <w:rsid w:val="00DF60B0"/>
    <w:rsid w:val="00E72B63"/>
    <w:rsid w:val="00ED6646"/>
    <w:rsid w:val="00F56E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BEDD735"/>
  <w15:chartTrackingRefBased/>
  <w15:docId w15:val="{552F5242-F125-493C-B5A1-6637B9C4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C20F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C20F1"/>
    <w:pPr>
      <w:tabs>
        <w:tab w:val="center" w:pos="4153"/>
        <w:tab w:val="right" w:pos="8306"/>
      </w:tabs>
    </w:pPr>
  </w:style>
  <w:style w:type="character" w:customStyle="1" w:styleId="a4">
    <w:name w:val="כותרת עליונה תו"/>
    <w:link w:val="a3"/>
    <w:rsid w:val="008C20F1"/>
    <w:rPr>
      <w:rFonts w:ascii="Times New Roman" w:eastAsia="Times New Roman" w:hAnsi="Times New Roman" w:cs="David"/>
      <w:sz w:val="24"/>
      <w:szCs w:val="24"/>
    </w:rPr>
  </w:style>
  <w:style w:type="paragraph" w:styleId="a5">
    <w:name w:val="footer"/>
    <w:basedOn w:val="a"/>
    <w:link w:val="a6"/>
    <w:rsid w:val="008C20F1"/>
    <w:pPr>
      <w:tabs>
        <w:tab w:val="center" w:pos="4153"/>
        <w:tab w:val="right" w:pos="8306"/>
      </w:tabs>
    </w:pPr>
  </w:style>
  <w:style w:type="character" w:customStyle="1" w:styleId="a6">
    <w:name w:val="כותרת תחתונה תו"/>
    <w:link w:val="a5"/>
    <w:rsid w:val="008C20F1"/>
    <w:rPr>
      <w:rFonts w:ascii="Times New Roman" w:eastAsia="Times New Roman" w:hAnsi="Times New Roman" w:cs="David"/>
      <w:sz w:val="24"/>
      <w:szCs w:val="24"/>
    </w:rPr>
  </w:style>
  <w:style w:type="table" w:styleId="a7">
    <w:name w:val="Table Grid"/>
    <w:basedOn w:val="a1"/>
    <w:rsid w:val="008C20F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C20F1"/>
  </w:style>
  <w:style w:type="character" w:styleId="Hyperlink">
    <w:name w:val="Hyperlink"/>
    <w:rsid w:val="008C20F1"/>
    <w:rPr>
      <w:noProof w:val="0"/>
      <w:color w:val="0000FF"/>
      <w:u w:val="single"/>
    </w:rPr>
  </w:style>
  <w:style w:type="paragraph" w:styleId="a9">
    <w:name w:val="List Paragraph"/>
    <w:basedOn w:val="a"/>
    <w:qFormat/>
    <w:rsid w:val="008C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1017469"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5694663"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9823684"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a.c" TargetMode="External"/><Relationship Id="rId14" Type="http://schemas.openxmlformats.org/officeDocument/2006/relationships/hyperlink" Target="http://www.eca.gov.i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1300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7786</CharactersWithSpaces>
  <SharedDoc>false</SharedDoc>
  <HLinks>
    <vt:vector size="54" baseType="variant">
      <vt:variant>
        <vt:i4>393283</vt:i4>
      </vt:variant>
      <vt:variant>
        <vt:i4>24</vt:i4>
      </vt:variant>
      <vt:variant>
        <vt:i4>0</vt:i4>
      </vt:variant>
      <vt:variant>
        <vt:i4>5</vt:i4>
      </vt:variant>
      <vt:variant>
        <vt:lpwstr>http://www.nevo.co.il/advertisements/nevo-100.doc</vt:lpwstr>
      </vt:variant>
      <vt:variant>
        <vt:lpwstr/>
      </vt:variant>
      <vt:variant>
        <vt:i4>7864368</vt:i4>
      </vt:variant>
      <vt:variant>
        <vt:i4>21</vt:i4>
      </vt:variant>
      <vt:variant>
        <vt:i4>0</vt:i4>
      </vt:variant>
      <vt:variant>
        <vt:i4>5</vt:i4>
      </vt:variant>
      <vt:variant>
        <vt:lpwstr>http://www.eca.gov.il/</vt:lpwstr>
      </vt:variant>
      <vt:variant>
        <vt:lpwstr/>
      </vt:variant>
      <vt:variant>
        <vt:i4>3342448</vt:i4>
      </vt:variant>
      <vt:variant>
        <vt:i4>18</vt:i4>
      </vt:variant>
      <vt:variant>
        <vt:i4>0</vt:i4>
      </vt:variant>
      <vt:variant>
        <vt:i4>5</vt:i4>
      </vt:variant>
      <vt:variant>
        <vt:lpwstr>http://www.nevo.co.il/case/21017469</vt:lpwstr>
      </vt:variant>
      <vt:variant>
        <vt:lpwstr/>
      </vt:variant>
      <vt:variant>
        <vt:i4>3539070</vt:i4>
      </vt:variant>
      <vt:variant>
        <vt:i4>15</vt:i4>
      </vt:variant>
      <vt:variant>
        <vt:i4>0</vt:i4>
      </vt:variant>
      <vt:variant>
        <vt:i4>5</vt:i4>
      </vt:variant>
      <vt:variant>
        <vt:lpwstr>http://www.nevo.co.il/case/25694663</vt:lpwstr>
      </vt:variant>
      <vt:variant>
        <vt:lpwstr/>
      </vt:variant>
      <vt:variant>
        <vt:i4>3211385</vt:i4>
      </vt:variant>
      <vt:variant>
        <vt:i4>12</vt:i4>
      </vt:variant>
      <vt:variant>
        <vt:i4>0</vt:i4>
      </vt:variant>
      <vt:variant>
        <vt:i4>5</vt:i4>
      </vt:variant>
      <vt:variant>
        <vt:lpwstr>http://www.nevo.co.il/case/29823684</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4915274</vt:i4>
      </vt:variant>
      <vt:variant>
        <vt:i4>6</vt:i4>
      </vt:variant>
      <vt:variant>
        <vt:i4>0</vt:i4>
      </vt:variant>
      <vt:variant>
        <vt:i4>5</vt:i4>
      </vt:variant>
      <vt:variant>
        <vt:lpwstr>http://www.nevo.co.il/law/4216/7.a.c</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2025-04-23T01:22:00Z</dcterms:created>
  <dcterms:modified xsi:type="dcterms:W3CDTF">2025-04-23T01:22:00Z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15481</vt:lpwstr>
  </property>
  <property fmtid="{D5CDD505-2E9C-101B-9397-08002B2CF9AE}" pid="6" name="NEWPARTB">
    <vt:lpwstr>02</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כמאל אבו סווי</vt:lpwstr>
  </property>
  <property fmtid="{D5CDD505-2E9C-101B-9397-08002B2CF9AE}" pid="10" name="LAWYER">
    <vt:lpwstr>ואא'ל עתאמנה ;קרן מטלוב ;פארס עלי מצטפא </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20240214</vt:lpwstr>
  </property>
  <property fmtid="{D5CDD505-2E9C-101B-9397-08002B2CF9AE}" pid="14" name="TYPE_N_DATE">
    <vt:lpwstr>38020240214</vt:lpwstr>
  </property>
  <property fmtid="{D5CDD505-2E9C-101B-9397-08002B2CF9AE}" pid="15" name="WORDNUMPAGES">
    <vt:lpwstr>6</vt:lpwstr>
  </property>
  <property fmtid="{D5CDD505-2E9C-101B-9397-08002B2CF9AE}" pid="16" name="TYPE_ABS_DATE">
    <vt:lpwstr>380020240214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29823684;25694663;21017469</vt:lpwstr>
  </property>
  <property fmtid="{D5CDD505-2E9C-101B-9397-08002B2CF9AE}" pid="36" name="LAWLISTTMP1">
    <vt:lpwstr>4216/007.a.c</vt:lpwstr>
  </property>
</Properties>
</file>