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B61280" w:rsidRPr="00AE0E4C" w14:paraId="311A3F25" w14:textId="77777777" w:rsidTr="00407E24">
        <w:trPr>
          <w:gridAfter w:val="1"/>
          <w:wAfter w:w="99" w:type="dxa"/>
          <w:trHeight w:hRule="exact" w:val="418"/>
          <w:jc w:val="center"/>
        </w:trPr>
        <w:tc>
          <w:tcPr>
            <w:tcW w:w="8721" w:type="dxa"/>
            <w:gridSpan w:val="4"/>
          </w:tcPr>
          <w:p w14:paraId="0E320C9B" w14:textId="77777777" w:rsidR="00B61280" w:rsidRPr="00AE0E4C" w:rsidRDefault="00B61280" w:rsidP="00B70623">
            <w:pPr>
              <w:pStyle w:val="a3"/>
              <w:jc w:val="center"/>
              <w:rPr>
                <w:rFonts w:ascii="Tahoma" w:hAnsi="Tahoma" w:cs="Tahoma"/>
                <w:color w:val="000080"/>
                <w:rtl/>
              </w:rPr>
            </w:pPr>
            <w:bookmarkStart w:id="0" w:name="LastJudge"/>
            <w:r w:rsidRPr="00AE0E4C">
              <w:rPr>
                <w:rFonts w:ascii="Tahoma" w:hAnsi="Tahoma" w:cs="Tahoma"/>
                <w:b/>
                <w:bCs/>
                <w:color w:val="000080"/>
                <w:rtl/>
              </w:rPr>
              <w:t>בית משפט השלום בתל אביב -יפו</w:t>
            </w:r>
          </w:p>
        </w:tc>
      </w:tr>
      <w:tr w:rsidR="00B61280" w:rsidRPr="00AE0E4C" w14:paraId="12E2F467" w14:textId="77777777" w:rsidTr="00407E24">
        <w:trPr>
          <w:gridAfter w:val="1"/>
          <w:wAfter w:w="99" w:type="dxa"/>
          <w:trHeight w:val="337"/>
          <w:jc w:val="center"/>
        </w:trPr>
        <w:tc>
          <w:tcPr>
            <w:tcW w:w="5054" w:type="dxa"/>
            <w:gridSpan w:val="3"/>
          </w:tcPr>
          <w:p w14:paraId="56F5480E" w14:textId="77777777" w:rsidR="00B61280" w:rsidRPr="00AE0E4C" w:rsidRDefault="00B61280" w:rsidP="00B70623">
            <w:pPr>
              <w:rPr>
                <w:rFonts w:cs="FrankRuehl"/>
                <w:sz w:val="28"/>
                <w:szCs w:val="28"/>
                <w:rtl/>
              </w:rPr>
            </w:pPr>
            <w:r w:rsidRPr="00AE0E4C">
              <w:rPr>
                <w:rFonts w:cs="FrankRuehl"/>
                <w:sz w:val="28"/>
                <w:szCs w:val="28"/>
                <w:rtl/>
              </w:rPr>
              <w:t>ת"פ</w:t>
            </w:r>
            <w:r w:rsidRPr="00AE0E4C">
              <w:rPr>
                <w:rFonts w:cs="FrankRuehl" w:hint="cs"/>
                <w:sz w:val="28"/>
                <w:szCs w:val="28"/>
                <w:rtl/>
              </w:rPr>
              <w:t xml:space="preserve"> </w:t>
            </w:r>
            <w:r w:rsidRPr="00AE0E4C">
              <w:rPr>
                <w:rFonts w:cs="FrankRuehl"/>
                <w:sz w:val="28"/>
                <w:szCs w:val="28"/>
                <w:rtl/>
              </w:rPr>
              <w:t>28435-02-22</w:t>
            </w:r>
            <w:r w:rsidRPr="00AE0E4C">
              <w:rPr>
                <w:rFonts w:cs="FrankRuehl" w:hint="cs"/>
                <w:sz w:val="28"/>
                <w:szCs w:val="28"/>
                <w:rtl/>
              </w:rPr>
              <w:t xml:space="preserve"> </w:t>
            </w:r>
            <w:r w:rsidRPr="00AE0E4C">
              <w:rPr>
                <w:rFonts w:cs="FrankRuehl"/>
                <w:sz w:val="28"/>
                <w:szCs w:val="28"/>
                <w:rtl/>
              </w:rPr>
              <w:t>מדינת ישראל נ' רובס</w:t>
            </w:r>
          </w:p>
          <w:p w14:paraId="1ADA2438" w14:textId="77777777" w:rsidR="00B61280" w:rsidRPr="00AE0E4C" w:rsidRDefault="00B61280" w:rsidP="00B70623">
            <w:pPr>
              <w:pStyle w:val="a3"/>
              <w:rPr>
                <w:rFonts w:cs="FrankRuehl"/>
                <w:sz w:val="28"/>
                <w:szCs w:val="28"/>
                <w:rtl/>
              </w:rPr>
            </w:pPr>
          </w:p>
        </w:tc>
        <w:tc>
          <w:tcPr>
            <w:tcW w:w="3667" w:type="dxa"/>
          </w:tcPr>
          <w:p w14:paraId="3DAC37BC" w14:textId="77777777" w:rsidR="00B61280" w:rsidRPr="00AE0E4C" w:rsidRDefault="00B61280" w:rsidP="00B70623">
            <w:pPr>
              <w:pStyle w:val="a3"/>
              <w:jc w:val="right"/>
              <w:rPr>
                <w:rFonts w:cs="FrankRuehl"/>
                <w:sz w:val="28"/>
                <w:szCs w:val="28"/>
                <w:rtl/>
              </w:rPr>
            </w:pPr>
          </w:p>
        </w:tc>
      </w:tr>
      <w:tr w:rsidR="00B61280" w:rsidRPr="00AE0E4C" w14:paraId="782E4C8A" w14:textId="77777777" w:rsidTr="00407E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7C6C360" w14:textId="77777777" w:rsidR="00B61280" w:rsidRPr="00AE0E4C" w:rsidRDefault="00B61280" w:rsidP="00B61280">
            <w:pPr>
              <w:spacing w:line="360" w:lineRule="auto"/>
              <w:jc w:val="both"/>
              <w:rPr>
                <w:rFonts w:ascii="David" w:hAnsi="David"/>
                <w:b/>
                <w:bCs/>
                <w:sz w:val="26"/>
                <w:szCs w:val="26"/>
              </w:rPr>
            </w:pPr>
            <w:r w:rsidRPr="00AE0E4C">
              <w:rPr>
                <w:rFonts w:hint="cs"/>
                <w:rtl/>
              </w:rPr>
              <w:t xml:space="preserve"> </w:t>
            </w:r>
            <w:r w:rsidRPr="00AE0E4C">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0F41F6F2" w14:textId="77777777" w:rsidR="00B61280" w:rsidRPr="00AE0E4C" w:rsidRDefault="00B61280" w:rsidP="00B61280">
            <w:pPr>
              <w:spacing w:line="360" w:lineRule="auto"/>
              <w:rPr>
                <w:rFonts w:ascii="David" w:hAnsi="David"/>
                <w:b/>
                <w:bCs/>
                <w:sz w:val="26"/>
                <w:szCs w:val="26"/>
                <w:rtl/>
              </w:rPr>
            </w:pPr>
            <w:r w:rsidRPr="00AE0E4C">
              <w:rPr>
                <w:rFonts w:ascii="David" w:hAnsi="David" w:hint="cs"/>
                <w:b/>
                <w:bCs/>
                <w:sz w:val="26"/>
                <w:szCs w:val="26"/>
                <w:rtl/>
              </w:rPr>
              <w:t>כבוד השופט הבכיר, שאול אבינור</w:t>
            </w:r>
          </w:p>
          <w:p w14:paraId="70AB56D0" w14:textId="77777777" w:rsidR="00B61280" w:rsidRPr="00AE0E4C" w:rsidRDefault="00B61280" w:rsidP="00B61280">
            <w:pPr>
              <w:spacing w:line="360" w:lineRule="auto"/>
              <w:rPr>
                <w:rFonts w:ascii="David" w:hAnsi="David"/>
                <w:sz w:val="26"/>
                <w:szCs w:val="26"/>
              </w:rPr>
            </w:pPr>
          </w:p>
        </w:tc>
      </w:tr>
      <w:tr w:rsidR="00B61280" w:rsidRPr="00AE0E4C" w14:paraId="37FBE989" w14:textId="77777777" w:rsidTr="00407E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33B4864" w14:textId="77777777" w:rsidR="00B61280" w:rsidRPr="00AE0E4C" w:rsidRDefault="00B61280" w:rsidP="00B61280">
            <w:pPr>
              <w:spacing w:line="360" w:lineRule="auto"/>
              <w:jc w:val="both"/>
              <w:rPr>
                <w:rFonts w:ascii="David" w:hAnsi="David"/>
                <w:sz w:val="26"/>
                <w:szCs w:val="26"/>
              </w:rPr>
            </w:pPr>
            <w:bookmarkStart w:id="1" w:name="FirstAppellant"/>
            <w:bookmarkStart w:id="2" w:name="FirstLawyer"/>
            <w:r w:rsidRPr="00AE0E4C">
              <w:rPr>
                <w:rFonts w:ascii="David" w:hAnsi="David"/>
                <w:sz w:val="26"/>
                <w:szCs w:val="26"/>
                <w:rtl/>
              </w:rPr>
              <w:t>בעניין:</w:t>
            </w:r>
          </w:p>
        </w:tc>
        <w:tc>
          <w:tcPr>
            <w:tcW w:w="3219" w:type="dxa"/>
            <w:tcBorders>
              <w:top w:val="nil"/>
              <w:left w:val="nil"/>
              <w:bottom w:val="nil"/>
              <w:right w:val="nil"/>
            </w:tcBorders>
            <w:shd w:val="clear" w:color="auto" w:fill="auto"/>
          </w:tcPr>
          <w:p w14:paraId="3454DA5A" w14:textId="77777777" w:rsidR="00B61280" w:rsidRPr="00AE0E4C" w:rsidRDefault="00B61280" w:rsidP="00B61280">
            <w:pPr>
              <w:suppressLineNumbers/>
              <w:spacing w:line="360" w:lineRule="auto"/>
            </w:pPr>
            <w:r w:rsidRPr="00AE0E4C">
              <w:rPr>
                <w:rFonts w:ascii="Arial" w:hAnsi="Arial" w:hint="cs"/>
                <w:b/>
                <w:bCs/>
                <w:sz w:val="26"/>
                <w:szCs w:val="26"/>
                <w:rtl/>
              </w:rPr>
              <w:t>המאשימה:</w:t>
            </w:r>
          </w:p>
          <w:p w14:paraId="3649871D" w14:textId="77777777" w:rsidR="00B61280" w:rsidRPr="00AE0E4C" w:rsidRDefault="00B61280" w:rsidP="00B61280">
            <w:pPr>
              <w:spacing w:line="360" w:lineRule="auto"/>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DD123E6" w14:textId="77777777" w:rsidR="00B61280" w:rsidRPr="00AE0E4C" w:rsidRDefault="00B61280" w:rsidP="00B61280">
            <w:pPr>
              <w:suppressLineNumbers/>
              <w:spacing w:line="360" w:lineRule="auto"/>
              <w:rPr>
                <w:rFonts w:ascii="Arial" w:hAnsi="Arial"/>
                <w:rtl/>
              </w:rPr>
            </w:pPr>
            <w:r w:rsidRPr="00AE0E4C">
              <w:rPr>
                <w:rFonts w:ascii="Arial" w:hAnsi="Arial"/>
                <w:b/>
                <w:bCs/>
                <w:sz w:val="26"/>
                <w:szCs w:val="26"/>
                <w:rtl/>
              </w:rPr>
              <w:t>מדינת ישראל</w:t>
            </w:r>
            <w:r w:rsidRPr="00AE0E4C">
              <w:rPr>
                <w:rFonts w:ascii="Arial" w:hAnsi="Arial" w:hint="cs"/>
                <w:b/>
                <w:bCs/>
                <w:sz w:val="26"/>
                <w:szCs w:val="26"/>
                <w:rtl/>
              </w:rPr>
              <w:t xml:space="preserve"> </w:t>
            </w:r>
          </w:p>
          <w:p w14:paraId="1B5B0985" w14:textId="77777777" w:rsidR="00B61280" w:rsidRPr="00AE0E4C" w:rsidRDefault="00B61280" w:rsidP="00B61280">
            <w:pPr>
              <w:suppressLineNumbers/>
              <w:spacing w:line="360" w:lineRule="auto"/>
            </w:pPr>
            <w:r w:rsidRPr="00AE0E4C">
              <w:rPr>
                <w:rFonts w:ascii="Arial" w:hAnsi="Arial"/>
                <w:rtl/>
              </w:rPr>
              <w:t>ע"י</w:t>
            </w:r>
            <w:r w:rsidRPr="00AE0E4C">
              <w:rPr>
                <w:rFonts w:ascii="Arial" w:hAnsi="Arial"/>
                <w:b/>
                <w:bCs/>
                <w:sz w:val="26"/>
                <w:szCs w:val="26"/>
                <w:rtl/>
              </w:rPr>
              <w:t xml:space="preserve"> </w:t>
            </w:r>
            <w:r w:rsidRPr="00AE0E4C">
              <w:rPr>
                <w:rFonts w:ascii="Arial" w:hAnsi="Arial"/>
                <w:rtl/>
              </w:rPr>
              <w:t>ב"כ עו"ד</w:t>
            </w:r>
            <w:r w:rsidRPr="00AE0E4C">
              <w:rPr>
                <w:rFonts w:ascii="Arial" w:hAnsi="Arial" w:hint="cs"/>
                <w:rtl/>
              </w:rPr>
              <w:t xml:space="preserve"> ספיר שחף-יגר</w:t>
            </w:r>
          </w:p>
          <w:p w14:paraId="0E88FA6D" w14:textId="77777777" w:rsidR="00B61280" w:rsidRPr="00AE0E4C" w:rsidRDefault="00B61280" w:rsidP="00B61280">
            <w:pPr>
              <w:spacing w:line="360" w:lineRule="auto"/>
              <w:rPr>
                <w:rFonts w:ascii="David" w:hAnsi="David"/>
                <w:sz w:val="26"/>
                <w:szCs w:val="26"/>
              </w:rPr>
            </w:pPr>
          </w:p>
        </w:tc>
      </w:tr>
      <w:bookmarkEnd w:id="1"/>
      <w:bookmarkEnd w:id="2"/>
      <w:tr w:rsidR="00B61280" w:rsidRPr="00AE0E4C" w14:paraId="04EEBAEA" w14:textId="77777777" w:rsidTr="00407E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63B009D" w14:textId="77777777" w:rsidR="00B61280" w:rsidRPr="00AE0E4C" w:rsidRDefault="00B61280" w:rsidP="00B61280">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14:paraId="30936AB1" w14:textId="77777777" w:rsidR="00B61280" w:rsidRPr="00AE0E4C" w:rsidRDefault="00B61280" w:rsidP="00B61280">
            <w:pPr>
              <w:spacing w:line="360" w:lineRule="auto"/>
              <w:jc w:val="center"/>
              <w:rPr>
                <w:rFonts w:ascii="David" w:hAnsi="David"/>
                <w:b/>
                <w:bCs/>
                <w:sz w:val="26"/>
                <w:szCs w:val="26"/>
                <w:rtl/>
              </w:rPr>
            </w:pPr>
          </w:p>
          <w:p w14:paraId="2270D21B" w14:textId="77777777" w:rsidR="00B61280" w:rsidRPr="00AE0E4C" w:rsidRDefault="00B61280" w:rsidP="00B61280">
            <w:pPr>
              <w:spacing w:line="360" w:lineRule="auto"/>
              <w:jc w:val="center"/>
              <w:rPr>
                <w:rFonts w:ascii="David" w:hAnsi="David"/>
                <w:b/>
                <w:bCs/>
                <w:sz w:val="26"/>
                <w:szCs w:val="26"/>
                <w:rtl/>
              </w:rPr>
            </w:pPr>
            <w:r w:rsidRPr="00AE0E4C">
              <w:rPr>
                <w:rFonts w:ascii="David" w:hAnsi="David"/>
                <w:b/>
                <w:bCs/>
                <w:sz w:val="26"/>
                <w:szCs w:val="26"/>
                <w:rtl/>
              </w:rPr>
              <w:t>נגד</w:t>
            </w:r>
          </w:p>
          <w:p w14:paraId="5D392C6D" w14:textId="77777777" w:rsidR="00B61280" w:rsidRPr="00AE0E4C" w:rsidRDefault="00B61280" w:rsidP="00B61280">
            <w:pPr>
              <w:spacing w:line="360" w:lineRule="auto"/>
              <w:jc w:val="both"/>
              <w:rPr>
                <w:rFonts w:ascii="David" w:hAnsi="David"/>
                <w:sz w:val="26"/>
                <w:szCs w:val="26"/>
                <w:rtl/>
              </w:rPr>
            </w:pPr>
          </w:p>
          <w:p w14:paraId="756A2A89" w14:textId="77777777" w:rsidR="00B61280" w:rsidRPr="00AE0E4C" w:rsidRDefault="00B61280" w:rsidP="00B61280">
            <w:pPr>
              <w:spacing w:line="360" w:lineRule="auto"/>
              <w:jc w:val="both"/>
              <w:rPr>
                <w:rFonts w:ascii="David" w:hAnsi="David"/>
                <w:sz w:val="26"/>
                <w:szCs w:val="26"/>
              </w:rPr>
            </w:pPr>
          </w:p>
        </w:tc>
      </w:tr>
      <w:tr w:rsidR="00B61280" w:rsidRPr="00AE0E4C" w14:paraId="61642238" w14:textId="77777777" w:rsidTr="00407E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5856146" w14:textId="77777777" w:rsidR="00B61280" w:rsidRPr="00AE0E4C" w:rsidRDefault="00B61280" w:rsidP="00B61280">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78F19218" w14:textId="77777777" w:rsidR="00B61280" w:rsidRPr="00AE0E4C" w:rsidRDefault="00B61280" w:rsidP="00B61280">
            <w:pPr>
              <w:spacing w:line="360" w:lineRule="auto"/>
              <w:rPr>
                <w:rFonts w:ascii="Arial" w:hAnsi="Arial"/>
                <w:b/>
                <w:bCs/>
                <w:sz w:val="26"/>
                <w:szCs w:val="26"/>
                <w:rtl/>
              </w:rPr>
            </w:pPr>
            <w:r w:rsidRPr="00AE0E4C">
              <w:rPr>
                <w:rFonts w:ascii="Arial" w:hAnsi="Arial" w:hint="cs"/>
                <w:b/>
                <w:bCs/>
                <w:sz w:val="26"/>
                <w:szCs w:val="26"/>
                <w:rtl/>
              </w:rPr>
              <w:t>הנאשמת:</w:t>
            </w:r>
          </w:p>
        </w:tc>
        <w:tc>
          <w:tcPr>
            <w:tcW w:w="4678" w:type="dxa"/>
            <w:gridSpan w:val="3"/>
            <w:tcBorders>
              <w:top w:val="nil"/>
              <w:left w:val="nil"/>
              <w:bottom w:val="nil"/>
              <w:right w:val="nil"/>
            </w:tcBorders>
            <w:shd w:val="clear" w:color="auto" w:fill="auto"/>
            <w:vAlign w:val="center"/>
          </w:tcPr>
          <w:p w14:paraId="667E907D" w14:textId="77777777" w:rsidR="00B61280" w:rsidRPr="00AE0E4C" w:rsidRDefault="00B61280" w:rsidP="00B61280">
            <w:pPr>
              <w:suppressLineNumbers/>
              <w:spacing w:line="360" w:lineRule="auto"/>
              <w:rPr>
                <w:rFonts w:ascii="Arial" w:hAnsi="Arial"/>
                <w:b/>
                <w:bCs/>
                <w:sz w:val="26"/>
                <w:szCs w:val="26"/>
                <w:rtl/>
              </w:rPr>
            </w:pPr>
            <w:r w:rsidRPr="00AE0E4C">
              <w:rPr>
                <w:rFonts w:ascii="Arial" w:hAnsi="Arial"/>
                <w:b/>
                <w:bCs/>
                <w:sz w:val="26"/>
                <w:szCs w:val="26"/>
                <w:rtl/>
              </w:rPr>
              <w:t>ג'וליה רובס</w:t>
            </w:r>
            <w:r w:rsidRPr="00AE0E4C">
              <w:rPr>
                <w:rFonts w:ascii="Arial" w:hAnsi="Arial" w:hint="cs"/>
                <w:b/>
                <w:bCs/>
                <w:sz w:val="26"/>
                <w:szCs w:val="26"/>
                <w:rtl/>
              </w:rPr>
              <w:t xml:space="preserve"> </w:t>
            </w:r>
          </w:p>
          <w:p w14:paraId="2079E94C" w14:textId="77777777" w:rsidR="00B61280" w:rsidRPr="00AE0E4C" w:rsidRDefault="00B61280" w:rsidP="00B61280">
            <w:pPr>
              <w:suppressLineNumbers/>
              <w:spacing w:line="360" w:lineRule="auto"/>
            </w:pPr>
            <w:r w:rsidRPr="00AE0E4C">
              <w:rPr>
                <w:rFonts w:ascii="Arial" w:hAnsi="Arial"/>
                <w:rtl/>
              </w:rPr>
              <w:t>ע"י</w:t>
            </w:r>
            <w:r w:rsidRPr="00AE0E4C">
              <w:rPr>
                <w:rFonts w:ascii="Arial" w:hAnsi="Arial"/>
                <w:b/>
                <w:bCs/>
                <w:sz w:val="26"/>
                <w:szCs w:val="26"/>
                <w:rtl/>
              </w:rPr>
              <w:t xml:space="preserve"> </w:t>
            </w:r>
            <w:r w:rsidRPr="00AE0E4C">
              <w:rPr>
                <w:rFonts w:ascii="Arial" w:hAnsi="Arial"/>
                <w:rtl/>
              </w:rPr>
              <w:t>ב"כ עו"ד</w:t>
            </w:r>
            <w:r w:rsidRPr="00AE0E4C">
              <w:rPr>
                <w:rFonts w:ascii="Arial" w:hAnsi="Arial" w:hint="cs"/>
                <w:rtl/>
              </w:rPr>
              <w:t xml:space="preserve"> שי רודה</w:t>
            </w:r>
          </w:p>
          <w:p w14:paraId="7FF7D2EF" w14:textId="77777777" w:rsidR="00B61280" w:rsidRPr="00AE0E4C" w:rsidRDefault="00B61280" w:rsidP="00B61280">
            <w:pPr>
              <w:spacing w:line="360" w:lineRule="auto"/>
              <w:rPr>
                <w:rFonts w:ascii="David" w:hAnsi="David"/>
                <w:sz w:val="26"/>
                <w:szCs w:val="26"/>
              </w:rPr>
            </w:pPr>
          </w:p>
        </w:tc>
      </w:tr>
    </w:tbl>
    <w:p w14:paraId="5981A0E0" w14:textId="77777777" w:rsidR="00AE0E4C" w:rsidRPr="00AE0E4C" w:rsidRDefault="00AE0E4C" w:rsidP="00AE0E4C">
      <w:pPr>
        <w:spacing w:before="120" w:after="120" w:line="240" w:lineRule="exact"/>
        <w:ind w:left="283" w:hanging="283"/>
        <w:jc w:val="both"/>
        <w:rPr>
          <w:rFonts w:ascii="FrankRuehl" w:hAnsi="FrankRuehl" w:cs="FrankRuehl"/>
          <w:rtl/>
        </w:rPr>
      </w:pPr>
    </w:p>
    <w:p w14:paraId="5D0585BE" w14:textId="77777777" w:rsidR="00AE0E4C" w:rsidRPr="00AE0E4C" w:rsidRDefault="00AE0E4C" w:rsidP="00AE0E4C">
      <w:pPr>
        <w:spacing w:line="360" w:lineRule="auto"/>
        <w:rPr>
          <w:sz w:val="26"/>
          <w:szCs w:val="26"/>
          <w:rtl/>
        </w:rPr>
      </w:pPr>
    </w:p>
    <w:p w14:paraId="37E8B818" w14:textId="77777777" w:rsidR="00407E24" w:rsidRPr="00407E24" w:rsidRDefault="00407E24" w:rsidP="00407E24">
      <w:pPr>
        <w:spacing w:before="120" w:after="120" w:line="240" w:lineRule="exact"/>
        <w:ind w:left="283" w:hanging="283"/>
        <w:jc w:val="both"/>
        <w:rPr>
          <w:rFonts w:ascii="FrankRuehl" w:hAnsi="FrankRuehl" w:cs="FrankRuehl"/>
          <w:rtl/>
        </w:rPr>
      </w:pPr>
    </w:p>
    <w:p w14:paraId="75EB4409" w14:textId="77777777" w:rsidR="0058075B" w:rsidRPr="0058075B" w:rsidRDefault="0058075B" w:rsidP="0058075B">
      <w:pPr>
        <w:spacing w:before="120" w:after="120" w:line="240" w:lineRule="exact"/>
        <w:ind w:left="283" w:hanging="283"/>
        <w:jc w:val="both"/>
        <w:rPr>
          <w:rFonts w:ascii="FrankRuehl" w:hAnsi="FrankRuehl" w:cs="FrankRuehl"/>
          <w:rtl/>
        </w:rPr>
      </w:pPr>
    </w:p>
    <w:p w14:paraId="5D9E0CDF" w14:textId="77777777" w:rsidR="004D0125" w:rsidRDefault="004D0125" w:rsidP="004D0125">
      <w:pPr>
        <w:spacing w:line="360" w:lineRule="auto"/>
        <w:rPr>
          <w:sz w:val="26"/>
          <w:szCs w:val="26"/>
          <w:rtl/>
        </w:rPr>
      </w:pPr>
      <w:bookmarkStart w:id="3" w:name="LawTable"/>
      <w:bookmarkEnd w:id="3"/>
    </w:p>
    <w:p w14:paraId="1360ADBE" w14:textId="77777777" w:rsidR="004D0125" w:rsidRPr="004D0125" w:rsidRDefault="004D0125" w:rsidP="004D0125">
      <w:pPr>
        <w:spacing w:before="120" w:after="120" w:line="240" w:lineRule="exact"/>
        <w:ind w:left="283" w:hanging="283"/>
        <w:jc w:val="both"/>
        <w:rPr>
          <w:rFonts w:ascii="FrankRuehl" w:hAnsi="FrankRuehl" w:cs="FrankRuehl"/>
          <w:rtl/>
        </w:rPr>
      </w:pPr>
    </w:p>
    <w:p w14:paraId="7EF6069F" w14:textId="77777777" w:rsidR="004D0125" w:rsidRPr="004D0125" w:rsidRDefault="004D0125" w:rsidP="004D0125">
      <w:pPr>
        <w:spacing w:before="120" w:after="120" w:line="240" w:lineRule="exact"/>
        <w:ind w:left="283" w:hanging="283"/>
        <w:jc w:val="both"/>
        <w:rPr>
          <w:rFonts w:ascii="FrankRuehl" w:hAnsi="FrankRuehl" w:cs="FrankRuehl"/>
          <w:rtl/>
        </w:rPr>
      </w:pPr>
    </w:p>
    <w:p w14:paraId="3F68EF3B" w14:textId="77777777" w:rsidR="004D0125" w:rsidRPr="004D0125" w:rsidRDefault="004D0125" w:rsidP="004D0125">
      <w:pPr>
        <w:spacing w:before="120" w:after="120" w:line="240" w:lineRule="exact"/>
        <w:ind w:left="283" w:hanging="283"/>
        <w:jc w:val="both"/>
        <w:rPr>
          <w:rFonts w:ascii="FrankRuehl" w:hAnsi="FrankRuehl" w:cs="FrankRuehl"/>
          <w:rtl/>
        </w:rPr>
      </w:pPr>
      <w:r w:rsidRPr="004D0125">
        <w:rPr>
          <w:rFonts w:ascii="FrankRuehl" w:hAnsi="FrankRuehl" w:cs="FrankRuehl"/>
          <w:rtl/>
        </w:rPr>
        <w:t xml:space="preserve">חקיקה שאוזכרה: </w:t>
      </w:r>
    </w:p>
    <w:p w14:paraId="37AE92CF" w14:textId="77777777" w:rsidR="004D0125" w:rsidRPr="004D0125" w:rsidRDefault="004D0125" w:rsidP="004D0125">
      <w:pPr>
        <w:spacing w:before="120" w:after="120" w:line="240" w:lineRule="exact"/>
        <w:ind w:left="283" w:hanging="283"/>
        <w:jc w:val="both"/>
        <w:rPr>
          <w:rFonts w:ascii="FrankRuehl" w:hAnsi="FrankRuehl" w:cs="FrankRuehl"/>
          <w:rtl/>
        </w:rPr>
      </w:pPr>
      <w:hyperlink r:id="rId7" w:history="1">
        <w:r w:rsidRPr="004D0125">
          <w:rPr>
            <w:rFonts w:ascii="FrankRuehl" w:hAnsi="FrankRuehl" w:cs="FrankRuehl"/>
            <w:color w:val="0000FF"/>
            <w:rtl/>
          </w:rPr>
          <w:t>פקודת הסמים המסוכנים [נוסח חדש], תשל"ג-1973</w:t>
        </w:r>
      </w:hyperlink>
      <w:r w:rsidRPr="004D0125">
        <w:rPr>
          <w:rFonts w:ascii="FrankRuehl" w:hAnsi="FrankRuehl" w:cs="FrankRuehl"/>
          <w:rtl/>
        </w:rPr>
        <w:t xml:space="preserve">: סע'  </w:t>
      </w:r>
      <w:hyperlink r:id="rId8" w:history="1">
        <w:r w:rsidRPr="004D0125">
          <w:rPr>
            <w:rFonts w:ascii="FrankRuehl" w:hAnsi="FrankRuehl" w:cs="FrankRuehl"/>
            <w:color w:val="0000FF"/>
            <w:rtl/>
          </w:rPr>
          <w:t>7(א)</w:t>
        </w:r>
      </w:hyperlink>
      <w:r w:rsidRPr="004D0125">
        <w:rPr>
          <w:rFonts w:ascii="FrankRuehl" w:hAnsi="FrankRuehl" w:cs="FrankRuehl"/>
          <w:rtl/>
        </w:rPr>
        <w:t xml:space="preserve">, </w:t>
      </w:r>
      <w:hyperlink r:id="rId9" w:history="1">
        <w:r w:rsidRPr="004D0125">
          <w:rPr>
            <w:rFonts w:ascii="FrankRuehl" w:hAnsi="FrankRuehl" w:cs="FrankRuehl"/>
            <w:color w:val="0000FF"/>
            <w:rtl/>
          </w:rPr>
          <w:t>7(ג)</w:t>
        </w:r>
      </w:hyperlink>
    </w:p>
    <w:p w14:paraId="3F42EA03" w14:textId="77777777" w:rsidR="004D0125" w:rsidRPr="004D0125" w:rsidRDefault="004D0125" w:rsidP="004D0125">
      <w:pPr>
        <w:spacing w:before="120" w:after="120" w:line="240" w:lineRule="exact"/>
        <w:ind w:left="283" w:hanging="283"/>
        <w:jc w:val="both"/>
        <w:rPr>
          <w:rFonts w:ascii="FrankRuehl" w:hAnsi="FrankRuehl" w:cs="FrankRuehl"/>
          <w:rtl/>
        </w:rPr>
      </w:pPr>
      <w:hyperlink r:id="rId10" w:history="1">
        <w:r w:rsidRPr="004D0125">
          <w:rPr>
            <w:rFonts w:ascii="FrankRuehl" w:hAnsi="FrankRuehl" w:cs="FrankRuehl"/>
            <w:color w:val="0000FF"/>
            <w:rtl/>
          </w:rPr>
          <w:t>חוק העונשין, תשל"ז-1977</w:t>
        </w:r>
      </w:hyperlink>
      <w:r w:rsidRPr="004D0125">
        <w:rPr>
          <w:rFonts w:ascii="FrankRuehl" w:hAnsi="FrankRuehl" w:cs="FrankRuehl"/>
          <w:rtl/>
        </w:rPr>
        <w:t xml:space="preserve">: סע'  </w:t>
      </w:r>
      <w:hyperlink r:id="rId11" w:history="1">
        <w:r w:rsidRPr="004D0125">
          <w:rPr>
            <w:rFonts w:ascii="FrankRuehl" w:hAnsi="FrankRuehl" w:cs="FrankRuehl"/>
            <w:color w:val="0000FF"/>
            <w:rtl/>
          </w:rPr>
          <w:t>40ג</w:t>
        </w:r>
      </w:hyperlink>
      <w:r w:rsidRPr="004D0125">
        <w:rPr>
          <w:rFonts w:ascii="FrankRuehl" w:hAnsi="FrankRuehl" w:cs="FrankRuehl"/>
          <w:rtl/>
        </w:rPr>
        <w:t xml:space="preserve">, </w:t>
      </w:r>
      <w:hyperlink r:id="rId12" w:history="1">
        <w:r w:rsidRPr="004D0125">
          <w:rPr>
            <w:rFonts w:ascii="FrankRuehl" w:hAnsi="FrankRuehl" w:cs="FrankRuehl"/>
            <w:color w:val="0000FF"/>
            <w:rtl/>
          </w:rPr>
          <w:t>40ד</w:t>
        </w:r>
      </w:hyperlink>
      <w:r w:rsidRPr="004D0125">
        <w:rPr>
          <w:rFonts w:ascii="FrankRuehl" w:hAnsi="FrankRuehl" w:cs="FrankRuehl"/>
          <w:rtl/>
        </w:rPr>
        <w:t xml:space="preserve">, </w:t>
      </w:r>
      <w:hyperlink r:id="rId13" w:history="1">
        <w:r w:rsidRPr="004D0125">
          <w:rPr>
            <w:rFonts w:ascii="FrankRuehl" w:hAnsi="FrankRuehl" w:cs="FrankRuehl"/>
            <w:color w:val="0000FF"/>
            <w:rtl/>
          </w:rPr>
          <w:t>40ט</w:t>
        </w:r>
      </w:hyperlink>
      <w:r w:rsidRPr="004D0125">
        <w:rPr>
          <w:rFonts w:ascii="FrankRuehl" w:hAnsi="FrankRuehl" w:cs="FrankRuehl"/>
          <w:rtl/>
        </w:rPr>
        <w:t xml:space="preserve">, </w:t>
      </w:r>
      <w:hyperlink r:id="rId14" w:history="1">
        <w:r w:rsidRPr="004D0125">
          <w:rPr>
            <w:rFonts w:ascii="FrankRuehl" w:hAnsi="FrankRuehl" w:cs="FrankRuehl"/>
            <w:color w:val="0000FF"/>
            <w:rtl/>
          </w:rPr>
          <w:t>40יא</w:t>
        </w:r>
      </w:hyperlink>
      <w:r w:rsidRPr="004D0125">
        <w:rPr>
          <w:rFonts w:ascii="FrankRuehl" w:hAnsi="FrankRuehl" w:cs="FrankRuehl"/>
          <w:rtl/>
        </w:rPr>
        <w:t xml:space="preserve">, </w:t>
      </w:r>
      <w:hyperlink r:id="rId15" w:history="1">
        <w:r w:rsidRPr="004D0125">
          <w:rPr>
            <w:rFonts w:ascii="FrankRuehl" w:hAnsi="FrankRuehl" w:cs="FrankRuehl"/>
            <w:color w:val="0000FF"/>
            <w:rtl/>
          </w:rPr>
          <w:t>40יג</w:t>
        </w:r>
      </w:hyperlink>
    </w:p>
    <w:p w14:paraId="051854A1" w14:textId="77777777" w:rsidR="004D0125" w:rsidRPr="004D0125" w:rsidRDefault="004D0125" w:rsidP="004D0125">
      <w:pPr>
        <w:spacing w:line="360" w:lineRule="auto"/>
        <w:rPr>
          <w:sz w:val="26"/>
          <w:szCs w:val="26"/>
          <w:rtl/>
        </w:rPr>
      </w:pPr>
      <w:bookmarkStart w:id="4" w:name="LawTable_End"/>
      <w:bookmarkEnd w:id="4"/>
    </w:p>
    <w:p w14:paraId="1173484F" w14:textId="77777777" w:rsidR="00B61280" w:rsidRPr="0058075B" w:rsidRDefault="00B61280" w:rsidP="0058075B">
      <w:pPr>
        <w:spacing w:line="360" w:lineRule="auto"/>
        <w:rPr>
          <w:sz w:val="26"/>
          <w:szCs w:val="26"/>
        </w:rPr>
      </w:pPr>
    </w:p>
    <w:p w14:paraId="0EA9AB6F" w14:textId="77777777" w:rsidR="00407E24" w:rsidRPr="00AE0E4C" w:rsidRDefault="00407E24" w:rsidP="00AE0E4C">
      <w:pPr>
        <w:spacing w:after="120" w:line="360" w:lineRule="auto"/>
        <w:jc w:val="center"/>
        <w:rPr>
          <w:rFonts w:ascii="David" w:hAnsi="David"/>
          <w:b/>
          <w:bCs/>
          <w:sz w:val="36"/>
          <w:szCs w:val="36"/>
          <w:u w:val="single"/>
          <w:rtl/>
        </w:rPr>
      </w:pPr>
      <w:bookmarkStart w:id="5" w:name="PsakDin" w:colFirst="0" w:colLast="0"/>
      <w:bookmarkEnd w:id="0"/>
      <w:r w:rsidRPr="00AE0E4C">
        <w:rPr>
          <w:rFonts w:ascii="David" w:hAnsi="David"/>
          <w:b/>
          <w:bCs/>
          <w:sz w:val="36"/>
          <w:szCs w:val="36"/>
          <w:u w:val="single"/>
          <w:rtl/>
        </w:rPr>
        <w:t>גזר דין</w:t>
      </w:r>
    </w:p>
    <w:p w14:paraId="1E2285A9" w14:textId="77777777" w:rsidR="00407E24" w:rsidRPr="00AE0E4C" w:rsidRDefault="00407E24" w:rsidP="00AE0E4C">
      <w:pPr>
        <w:spacing w:after="120" w:line="360" w:lineRule="auto"/>
        <w:jc w:val="center"/>
        <w:rPr>
          <w:rFonts w:ascii="David" w:hAnsi="David"/>
          <w:bCs/>
          <w:sz w:val="36"/>
          <w:szCs w:val="36"/>
          <w:u w:val="single"/>
          <w:rtl/>
        </w:rPr>
      </w:pPr>
    </w:p>
    <w:bookmarkEnd w:id="5"/>
    <w:p w14:paraId="2D6E710C" w14:textId="77777777" w:rsidR="00B61280" w:rsidRDefault="00B61280" w:rsidP="00B61280">
      <w:pPr>
        <w:numPr>
          <w:ilvl w:val="0"/>
          <w:numId w:val="1"/>
        </w:numPr>
        <w:spacing w:after="120" w:line="360" w:lineRule="auto"/>
        <w:ind w:left="368"/>
        <w:jc w:val="both"/>
        <w:rPr>
          <w:rFonts w:ascii="Tahoma" w:hAnsi="Tahoma"/>
          <w:b/>
          <w:bCs/>
          <w:u w:val="single"/>
          <w:rtl/>
        </w:rPr>
      </w:pPr>
      <w:r>
        <w:rPr>
          <w:rFonts w:ascii="Tahoma" w:hAnsi="Tahoma"/>
          <w:b/>
          <w:bCs/>
          <w:u w:val="single"/>
          <w:rtl/>
        </w:rPr>
        <w:t>רקע כללי:</w:t>
      </w:r>
    </w:p>
    <w:p w14:paraId="00F3AC3C" w14:textId="77777777" w:rsidR="00B61280" w:rsidRDefault="00B61280" w:rsidP="00B61280">
      <w:pPr>
        <w:numPr>
          <w:ilvl w:val="0"/>
          <w:numId w:val="2"/>
        </w:numPr>
        <w:spacing w:after="120" w:line="360" w:lineRule="auto"/>
        <w:ind w:left="360"/>
        <w:jc w:val="both"/>
        <w:rPr>
          <w:rFonts w:ascii="Tahoma" w:hAnsi="Tahoma"/>
        </w:rPr>
      </w:pPr>
      <w:bookmarkStart w:id="6" w:name="ABSTRACT_START"/>
      <w:bookmarkEnd w:id="6"/>
      <w:r>
        <w:rPr>
          <w:rFonts w:ascii="Tahoma" w:hAnsi="Tahoma"/>
          <w:rtl/>
        </w:rPr>
        <w:lastRenderedPageBreak/>
        <w:t>הנאשמת הורשעה – במסגרת הסדר טיעון ועל יסוד הודאתה בעובדות כתב האישום המתוקן בתיק שבכותרת (להלן – התיק העיקרי) ובעובדות כתב האישום המתוקן ב</w:t>
      </w:r>
      <w:hyperlink r:id="rId16" w:history="1">
        <w:r w:rsidR="00AE0E4C" w:rsidRPr="00AE0E4C">
          <w:rPr>
            <w:rFonts w:ascii="Tahoma" w:hAnsi="Tahoma"/>
            <w:color w:val="0000FF"/>
            <w:u w:val="single"/>
            <w:rtl/>
          </w:rPr>
          <w:t>ת"פ 71164-03-23</w:t>
        </w:r>
      </w:hyperlink>
      <w:r>
        <w:rPr>
          <w:rFonts w:ascii="Tahoma" w:hAnsi="Tahoma"/>
          <w:rtl/>
        </w:rPr>
        <w:t xml:space="preserve"> (להלן – התיק המצורף) – בביצוע שתי עבירות של </w:t>
      </w:r>
      <w:r>
        <w:rPr>
          <w:rFonts w:ascii="Tahoma" w:hAnsi="Tahoma"/>
          <w:b/>
          <w:bCs/>
          <w:rtl/>
        </w:rPr>
        <w:t>החזקת סמים מסוכנים שלא</w:t>
      </w:r>
      <w:r>
        <w:rPr>
          <w:rFonts w:ascii="Tahoma" w:hAnsi="Tahoma"/>
          <w:rtl/>
        </w:rPr>
        <w:t xml:space="preserve"> </w:t>
      </w:r>
      <w:r>
        <w:rPr>
          <w:rFonts w:ascii="Tahoma" w:hAnsi="Tahoma"/>
          <w:b/>
          <w:bCs/>
          <w:rtl/>
        </w:rPr>
        <w:t>לצריכה עצמית</w:t>
      </w:r>
      <w:r>
        <w:rPr>
          <w:rFonts w:ascii="Tahoma" w:hAnsi="Tahoma"/>
          <w:rtl/>
        </w:rPr>
        <w:t xml:space="preserve">, לפי הוראות </w:t>
      </w:r>
      <w:hyperlink r:id="rId17" w:history="1">
        <w:r w:rsidR="00407E24" w:rsidRPr="00407E24">
          <w:rPr>
            <w:rStyle w:val="Hyperlink"/>
            <w:rFonts w:ascii="Tahoma" w:hAnsi="Tahoma"/>
            <w:rtl/>
          </w:rPr>
          <w:t>סעיף 7(א)</w:t>
        </w:r>
      </w:hyperlink>
      <w:r>
        <w:rPr>
          <w:rFonts w:ascii="Tahoma" w:hAnsi="Tahoma"/>
          <w:rtl/>
        </w:rPr>
        <w:t xml:space="preserve"> יחד עם </w:t>
      </w:r>
      <w:hyperlink r:id="rId18" w:history="1">
        <w:r w:rsidR="00407E24" w:rsidRPr="00407E24">
          <w:rPr>
            <w:rStyle w:val="Hyperlink"/>
            <w:rFonts w:ascii="Tahoma" w:hAnsi="Tahoma"/>
            <w:rtl/>
          </w:rPr>
          <w:t>סעיף 7(ג)</w:t>
        </w:r>
      </w:hyperlink>
      <w:r>
        <w:rPr>
          <w:rFonts w:ascii="Tahoma" w:hAnsi="Tahoma"/>
          <w:rtl/>
        </w:rPr>
        <w:t xml:space="preserve"> רישא ל</w:t>
      </w:r>
      <w:hyperlink r:id="rId19" w:history="1">
        <w:r w:rsidR="00AE0E4C" w:rsidRPr="00AE0E4C">
          <w:rPr>
            <w:rFonts w:ascii="Tahoma" w:hAnsi="Tahoma"/>
            <w:color w:val="0000FF"/>
            <w:u w:val="single"/>
            <w:rtl/>
          </w:rPr>
          <w:t>פקודת הסמים המסוכנים</w:t>
        </w:r>
      </w:hyperlink>
      <w:r>
        <w:rPr>
          <w:rFonts w:ascii="Tahoma" w:hAnsi="Tahoma"/>
          <w:rtl/>
        </w:rPr>
        <w:t xml:space="preserve"> [נוסח חדש], תשל"ג-1973 (להלן – פקודת הסמים המסוכנים).</w:t>
      </w:r>
    </w:p>
    <w:p w14:paraId="1F23293B" w14:textId="77777777" w:rsidR="00B61280" w:rsidRDefault="00B61280" w:rsidP="00B61280">
      <w:pPr>
        <w:numPr>
          <w:ilvl w:val="0"/>
          <w:numId w:val="2"/>
        </w:numPr>
        <w:spacing w:after="120" w:line="360" w:lineRule="auto"/>
        <w:ind w:left="360"/>
        <w:jc w:val="both"/>
        <w:rPr>
          <w:rFonts w:ascii="Tahoma" w:hAnsi="Tahoma"/>
        </w:rPr>
      </w:pPr>
      <w:bookmarkStart w:id="7" w:name="ABSTRACT_END"/>
      <w:bookmarkEnd w:id="7"/>
      <w:r>
        <w:rPr>
          <w:rFonts w:ascii="Tahoma" w:hAnsi="Tahoma"/>
          <w:rtl/>
        </w:rPr>
        <w:t>בעובדות כתבי האישום המתוקנים נטען, בתמצית, כלהלן:</w:t>
      </w:r>
    </w:p>
    <w:p w14:paraId="22F16F17" w14:textId="77777777" w:rsidR="00B61280" w:rsidRDefault="00B61280" w:rsidP="00B61280">
      <w:pPr>
        <w:pStyle w:val="a9"/>
        <w:numPr>
          <w:ilvl w:val="0"/>
          <w:numId w:val="3"/>
        </w:numPr>
        <w:spacing w:after="120" w:line="360" w:lineRule="auto"/>
        <w:ind w:left="720"/>
        <w:jc w:val="both"/>
        <w:rPr>
          <w:rFonts w:ascii="Tahoma" w:hAnsi="Tahoma"/>
        </w:rPr>
      </w:pPr>
      <w:r>
        <w:rPr>
          <w:rFonts w:ascii="Tahoma" w:hAnsi="Tahoma"/>
          <w:b/>
          <w:bCs/>
          <w:rtl/>
        </w:rPr>
        <w:t>בתיק העיקרי</w:t>
      </w:r>
      <w:r>
        <w:rPr>
          <w:rFonts w:ascii="Tahoma" w:hAnsi="Tahoma"/>
          <w:rtl/>
        </w:rPr>
        <w:t xml:space="preserve"> – נטען כי ביום 07.12.2020 בשעה 23:12 או בסמוך לכך, ברחוב </w:t>
      </w:r>
      <w:r>
        <w:rPr>
          <w:rFonts w:ascii="Tahoma" w:hAnsi="Tahoma" w:hint="cs"/>
          <w:rtl/>
        </w:rPr>
        <w:t xml:space="preserve">בראזני </w:t>
      </w:r>
      <w:r>
        <w:rPr>
          <w:rFonts w:ascii="Tahoma" w:hAnsi="Tahoma"/>
          <w:rtl/>
        </w:rPr>
        <w:t>בתל אביב, החזיקה הנאשמת ברכב סמים מסוכנים מסוג קנבוס</w:t>
      </w:r>
      <w:r>
        <w:rPr>
          <w:rFonts w:ascii="Tahoma" w:hAnsi="Tahoma" w:hint="cs"/>
          <w:rtl/>
        </w:rPr>
        <w:t>,</w:t>
      </w:r>
      <w:r>
        <w:rPr>
          <w:rFonts w:ascii="Tahoma" w:hAnsi="Tahoma"/>
          <w:rtl/>
        </w:rPr>
        <w:t xml:space="preserve"> במשקל כולל של 380.83 גרם נטו, וכן בכסף מזומן בסך כולל של 3,080 ₪.</w:t>
      </w:r>
    </w:p>
    <w:p w14:paraId="233F7C3E" w14:textId="77777777" w:rsidR="00B61280" w:rsidRDefault="00B61280" w:rsidP="00B61280">
      <w:pPr>
        <w:pStyle w:val="a9"/>
        <w:numPr>
          <w:ilvl w:val="0"/>
          <w:numId w:val="3"/>
        </w:numPr>
        <w:spacing w:after="120" w:line="360" w:lineRule="auto"/>
        <w:ind w:left="720"/>
        <w:jc w:val="both"/>
        <w:rPr>
          <w:rFonts w:ascii="Tahoma" w:hAnsi="Tahoma"/>
        </w:rPr>
      </w:pPr>
      <w:r>
        <w:rPr>
          <w:rFonts w:ascii="Tahoma" w:hAnsi="Tahoma"/>
          <w:b/>
          <w:bCs/>
          <w:rtl/>
        </w:rPr>
        <w:t>בתיק המצורף</w:t>
      </w:r>
      <w:r>
        <w:rPr>
          <w:rFonts w:ascii="Tahoma" w:hAnsi="Tahoma"/>
          <w:rtl/>
        </w:rPr>
        <w:t xml:space="preserve"> – נטען כי ביום 30.06.2022 בשעה 23:52 או בסמוך לכך, ברחוב </w:t>
      </w:r>
      <w:r>
        <w:rPr>
          <w:rFonts w:ascii="Tahoma" w:hAnsi="Tahoma" w:hint="cs"/>
          <w:rtl/>
        </w:rPr>
        <w:t xml:space="preserve">קזז </w:t>
      </w:r>
      <w:r>
        <w:rPr>
          <w:rFonts w:ascii="Tahoma" w:hAnsi="Tahoma"/>
          <w:rtl/>
        </w:rPr>
        <w:t>באור יהודה, החזיקה הנאשמת ברכב סמים מסוכנים מסוג קנבוס</w:t>
      </w:r>
      <w:r>
        <w:rPr>
          <w:rFonts w:ascii="Tahoma" w:hAnsi="Tahoma" w:hint="cs"/>
          <w:rtl/>
        </w:rPr>
        <w:t>,</w:t>
      </w:r>
      <w:r>
        <w:rPr>
          <w:rFonts w:ascii="Tahoma" w:hAnsi="Tahoma"/>
          <w:rtl/>
        </w:rPr>
        <w:t xml:space="preserve"> במשקל כולל של 140 גרם נטו. </w:t>
      </w:r>
    </w:p>
    <w:p w14:paraId="558E1F2A" w14:textId="77777777" w:rsidR="00B61280" w:rsidRDefault="00B61280" w:rsidP="00B61280">
      <w:pPr>
        <w:numPr>
          <w:ilvl w:val="0"/>
          <w:numId w:val="2"/>
        </w:numPr>
        <w:spacing w:after="120" w:line="360" w:lineRule="auto"/>
        <w:ind w:left="360"/>
        <w:jc w:val="both"/>
        <w:rPr>
          <w:rFonts w:ascii="Tahoma" w:hAnsi="Tahoma"/>
        </w:rPr>
      </w:pPr>
      <w:r>
        <w:rPr>
          <w:rFonts w:ascii="Tahoma" w:hAnsi="Tahoma"/>
          <w:rtl/>
        </w:rPr>
        <w:t xml:space="preserve">במסגרת הדיונים המקדמיים לפניי הגיעו הצדדים להסדר טיעון, שבמסגרתו הוגשו כתבי האישום המתוקנים הנ"ל. בשני כתבי האישום נערכו תיקונים מהותיים בעובדות, ובתיק העיקרי </w:t>
      </w:r>
      <w:r>
        <w:rPr>
          <w:rFonts w:ascii="Tahoma" w:hAnsi="Tahoma" w:hint="cs"/>
          <w:rtl/>
        </w:rPr>
        <w:t xml:space="preserve">גם </w:t>
      </w:r>
      <w:r>
        <w:rPr>
          <w:rFonts w:ascii="Tahoma" w:hAnsi="Tahoma"/>
          <w:rtl/>
        </w:rPr>
        <w:t xml:space="preserve">הושמטה עבירה חמורה יותר (של הספקת סמים) שיוחסה לנאשמת. עוד הוסכם על גניזת שני תיקי פל"א נוספים </w:t>
      </w:r>
      <w:r>
        <w:rPr>
          <w:rFonts w:ascii="Tahoma" w:hAnsi="Tahoma" w:hint="cs"/>
          <w:rtl/>
        </w:rPr>
        <w:t xml:space="preserve">שנפתחו נגד הנאשמת </w:t>
      </w:r>
      <w:r>
        <w:rPr>
          <w:rFonts w:ascii="Tahoma" w:hAnsi="Tahoma"/>
          <w:rtl/>
        </w:rPr>
        <w:t>(תיק 211813/2022 של תחנת גלילות ותיק 820090/2021 של תחנת ראשון לציון, שלגבי צוין כי כבר נגנז) (ר' בפרוטוקול, עמ' 7 שורה 8 ואילך).</w:t>
      </w:r>
    </w:p>
    <w:p w14:paraId="484E7F23" w14:textId="77777777" w:rsidR="00B61280" w:rsidRDefault="00B61280" w:rsidP="00B61280">
      <w:pPr>
        <w:numPr>
          <w:ilvl w:val="0"/>
          <w:numId w:val="2"/>
        </w:numPr>
        <w:spacing w:after="120" w:line="360" w:lineRule="auto"/>
        <w:ind w:left="360"/>
        <w:jc w:val="both"/>
        <w:rPr>
          <w:rFonts w:ascii="Tahoma" w:hAnsi="Tahoma"/>
        </w:rPr>
      </w:pPr>
      <w:r>
        <w:rPr>
          <w:rFonts w:ascii="Tahoma" w:hAnsi="Tahoma"/>
          <w:rtl/>
        </w:rPr>
        <w:t>לעניין הטיעונים לעונש לא הגיעו הצדדים לכלל הסכמות, הגם שהסכימו לעתור במשותף לחילוט סכום הכסף המזומן שנתפס ברשות הנאשמת, כאמור בסך כולל של 3,080 ₪</w:t>
      </w:r>
      <w:r>
        <w:rPr>
          <w:rFonts w:ascii="Tahoma" w:hAnsi="Tahoma" w:hint="cs"/>
          <w:rtl/>
        </w:rPr>
        <w:t>, ולהשבת הטלפון הנייד והרכב שנתפסו מהנאשמת</w:t>
      </w:r>
      <w:r>
        <w:rPr>
          <w:rFonts w:ascii="Tahoma" w:hAnsi="Tahoma"/>
          <w:rtl/>
        </w:rPr>
        <w:t xml:space="preserve">. עוד ציינה התובעת, בהקשר זה, כי נוכח העתירה המשותפת </w:t>
      </w:r>
      <w:r>
        <w:rPr>
          <w:rFonts w:ascii="Tahoma" w:hAnsi="Tahoma" w:hint="cs"/>
          <w:rtl/>
        </w:rPr>
        <w:t xml:space="preserve">לחילוט </w:t>
      </w:r>
      <w:r>
        <w:rPr>
          <w:rFonts w:ascii="Tahoma" w:hAnsi="Tahoma"/>
          <w:rtl/>
        </w:rPr>
        <w:t xml:space="preserve">לא תעתור </w:t>
      </w:r>
      <w:r>
        <w:rPr>
          <w:rFonts w:ascii="Tahoma" w:hAnsi="Tahoma" w:hint="cs"/>
          <w:rtl/>
        </w:rPr>
        <w:t xml:space="preserve">המאשימה </w:t>
      </w:r>
      <w:r>
        <w:rPr>
          <w:rFonts w:ascii="Tahoma" w:hAnsi="Tahoma"/>
          <w:rtl/>
        </w:rPr>
        <w:t>להכרזת הנאשמת כסוחרת סמים (בפרוטוקול, עמ' 7 שורה 16).</w:t>
      </w:r>
    </w:p>
    <w:p w14:paraId="06704107" w14:textId="77777777" w:rsidR="00B61280" w:rsidRDefault="00B61280" w:rsidP="00B61280">
      <w:pPr>
        <w:numPr>
          <w:ilvl w:val="0"/>
          <w:numId w:val="2"/>
        </w:numPr>
        <w:spacing w:after="120" w:line="360" w:lineRule="auto"/>
        <w:ind w:left="360"/>
        <w:jc w:val="both"/>
        <w:rPr>
          <w:rFonts w:ascii="Tahoma" w:hAnsi="Tahoma"/>
        </w:rPr>
      </w:pPr>
      <w:r>
        <w:rPr>
          <w:rFonts w:ascii="Tahoma" w:hAnsi="Tahoma"/>
          <w:rtl/>
        </w:rPr>
        <w:t xml:space="preserve">הנאשמת הודתה אפוא בעובדות כתבי האישום המתוקנים והורשעה, על יסוד הודאה זו, בביצוע שתי עבירות של החזקת סמים מסוכנים שלא לצריכה עצמית </w:t>
      </w:r>
      <w:r>
        <w:rPr>
          <w:rFonts w:ascii="Tahoma" w:hAnsi="Tahoma" w:hint="cs"/>
          <w:rtl/>
        </w:rPr>
        <w:t>(</w:t>
      </w:r>
      <w:r>
        <w:rPr>
          <w:rFonts w:ascii="Tahoma" w:hAnsi="Tahoma"/>
          <w:rtl/>
        </w:rPr>
        <w:t>כאמור בפסקה 1 דלעיל</w:t>
      </w:r>
      <w:r>
        <w:rPr>
          <w:rFonts w:ascii="Tahoma" w:hAnsi="Tahoma" w:hint="cs"/>
          <w:rtl/>
        </w:rPr>
        <w:t>)</w:t>
      </w:r>
      <w:r>
        <w:rPr>
          <w:rFonts w:ascii="Tahoma" w:hAnsi="Tahoma"/>
          <w:rtl/>
        </w:rPr>
        <w:t>. שמיעת הטיעונים לעונש נדחתה לבקשת ב"כ המאשימה.</w:t>
      </w:r>
    </w:p>
    <w:p w14:paraId="1B7B5ED2" w14:textId="77777777" w:rsidR="00B61280" w:rsidRPr="00204E3E" w:rsidRDefault="00B61280" w:rsidP="00B61280">
      <w:pPr>
        <w:spacing w:after="120" w:line="360" w:lineRule="auto"/>
        <w:jc w:val="both"/>
        <w:rPr>
          <w:rFonts w:ascii="Tahoma" w:hAnsi="Tahoma"/>
        </w:rPr>
      </w:pPr>
    </w:p>
    <w:p w14:paraId="66F15762" w14:textId="77777777" w:rsidR="00B61280" w:rsidRDefault="00B61280" w:rsidP="00B61280">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עיקר טיעוני הצדדים:</w:t>
      </w:r>
    </w:p>
    <w:p w14:paraId="53B2342D" w14:textId="77777777" w:rsidR="00B61280" w:rsidRDefault="00B61280" w:rsidP="00B61280">
      <w:pPr>
        <w:numPr>
          <w:ilvl w:val="0"/>
          <w:numId w:val="2"/>
        </w:numPr>
        <w:spacing w:after="120" w:line="360" w:lineRule="auto"/>
        <w:ind w:left="360"/>
        <w:jc w:val="both"/>
        <w:rPr>
          <w:rFonts w:ascii="Tahoma" w:hAnsi="Tahoma"/>
        </w:rPr>
      </w:pPr>
      <w:r>
        <w:rPr>
          <w:rFonts w:ascii="Tahoma" w:hAnsi="Tahoma"/>
          <w:rtl/>
        </w:rPr>
        <w:t xml:space="preserve">ב"כ המאשימה עמדה בטיעוניה על עובדות שני כתבי האישום המתוקנים (בתיק העיקרי ובתיק המצורף), בהן הודתה הנאשמת, והטעימה את נסיבות החומרה שבהן. לשיטת ב"כ המאשימה, העובדה שמדובר בשני מועדים רחוקים יחסית זה מזה מלמדת על מעורבות עמוקה של </w:t>
      </w:r>
      <w:r>
        <w:rPr>
          <w:rFonts w:ascii="Tahoma" w:hAnsi="Tahoma"/>
          <w:rtl/>
        </w:rPr>
        <w:lastRenderedPageBreak/>
        <w:t xml:space="preserve">הנאשמת בעולם הסמים. עוד הדגישה התובעת את הכמות הכוללת הגדולה-יחסית של הסמים </w:t>
      </w:r>
      <w:r>
        <w:rPr>
          <w:rFonts w:ascii="Tahoma" w:hAnsi="Tahoma" w:hint="cs"/>
          <w:rtl/>
        </w:rPr>
        <w:t xml:space="preserve">שהוחזקו </w:t>
      </w:r>
      <w:r>
        <w:rPr>
          <w:rFonts w:ascii="Tahoma" w:hAnsi="Tahoma"/>
          <w:rtl/>
        </w:rPr>
        <w:t>(520 גרם) וכן את הסלקתם במקומות שונים ברכב.</w:t>
      </w:r>
    </w:p>
    <w:p w14:paraId="76887990" w14:textId="77777777" w:rsidR="00B61280" w:rsidRDefault="00B61280" w:rsidP="00B61280">
      <w:pPr>
        <w:numPr>
          <w:ilvl w:val="0"/>
          <w:numId w:val="2"/>
        </w:numPr>
        <w:spacing w:after="120" w:line="360" w:lineRule="auto"/>
        <w:ind w:left="360"/>
        <w:jc w:val="both"/>
        <w:rPr>
          <w:rFonts w:ascii="Tahoma" w:hAnsi="Tahoma"/>
        </w:rPr>
      </w:pPr>
      <w:r>
        <w:rPr>
          <w:rFonts w:ascii="Tahoma" w:hAnsi="Tahoma"/>
          <w:rtl/>
        </w:rPr>
        <w:t>ב"כ המאשימה עמדה על הערכים החברתיים, שנפגעו כתולדה ממעשי הנאשמת, וביניהם ההגנה על הבריאות והשלמות הפיסית, הן של הציבור בכללו והן של הנאשמת והסובבים אותה, ו</w:t>
      </w:r>
      <w:r>
        <w:rPr>
          <w:rFonts w:ascii="Tahoma" w:hAnsi="Tahoma" w:hint="cs"/>
          <w:rtl/>
        </w:rPr>
        <w:t xml:space="preserve">לעניין מדיניות הענישה הנהוגה הפנתה </w:t>
      </w:r>
      <w:r>
        <w:rPr>
          <w:rFonts w:ascii="Tahoma" w:hAnsi="Tahoma"/>
          <w:rtl/>
        </w:rPr>
        <w:t xml:space="preserve">לפסיקה (בין השאר – </w:t>
      </w:r>
      <w:hyperlink r:id="rId20" w:history="1">
        <w:r w:rsidR="00AE0E4C" w:rsidRPr="00AE0E4C">
          <w:rPr>
            <w:rFonts w:ascii="Tahoma" w:hAnsi="Tahoma"/>
            <w:color w:val="0000FF"/>
            <w:u w:val="single"/>
            <w:rtl/>
          </w:rPr>
          <w:t>ת"פ (שלום ת"א) 40226-07-21</w:t>
        </w:r>
      </w:hyperlink>
      <w:r>
        <w:rPr>
          <w:rFonts w:ascii="Tahoma" w:hAnsi="Tahoma"/>
          <w:rtl/>
        </w:rPr>
        <w:t xml:space="preserve"> </w:t>
      </w:r>
      <w:r>
        <w:rPr>
          <w:rFonts w:ascii="Tahoma" w:hAnsi="Tahoma"/>
          <w:b/>
          <w:bCs/>
          <w:rtl/>
        </w:rPr>
        <w:t>מדינת ישראל נ' כהן</w:t>
      </w:r>
      <w:r>
        <w:rPr>
          <w:rFonts w:ascii="Tahoma" w:hAnsi="Tahoma"/>
          <w:rtl/>
        </w:rPr>
        <w:t xml:space="preserve"> (16.02.2023), הגם שיוער ששם דובר במספר אישומים, שרובם בגין סחר; </w:t>
      </w:r>
      <w:hyperlink r:id="rId21" w:history="1">
        <w:r w:rsidR="00AE0E4C" w:rsidRPr="00AE0E4C">
          <w:rPr>
            <w:rFonts w:ascii="Tahoma" w:hAnsi="Tahoma"/>
            <w:color w:val="0000FF"/>
            <w:u w:val="single"/>
            <w:rtl/>
          </w:rPr>
          <w:t>רע"פ 1267/23</w:t>
        </w:r>
      </w:hyperlink>
      <w:r w:rsidR="00AE0E4C">
        <w:rPr>
          <w:rFonts w:ascii="Tahoma" w:hAnsi="Tahoma"/>
          <w:rtl/>
        </w:rPr>
        <w:t xml:space="preserve"> </w:t>
      </w:r>
      <w:r>
        <w:rPr>
          <w:rFonts w:ascii="Tahoma" w:hAnsi="Tahoma"/>
          <w:b/>
          <w:bCs/>
          <w:rtl/>
        </w:rPr>
        <w:t>בלקר נ' מדינת ישראל</w:t>
      </w:r>
      <w:r w:rsidR="00AE0E4C">
        <w:rPr>
          <w:rFonts w:ascii="Tahoma" w:hAnsi="Tahoma"/>
          <w:rtl/>
        </w:rPr>
        <w:t xml:space="preserve"> </w:t>
      </w:r>
      <w:r>
        <w:rPr>
          <w:rFonts w:ascii="Tahoma" w:hAnsi="Tahoma"/>
          <w:rtl/>
        </w:rPr>
        <w:t>(06.03.2023)). עוד הדגישה התובעת כי נוכח פער הזמנים בין המקרים ראוי לקבוע לכל תיק מתחם עונש הולם נפרד, על אף נסיבותיהם הדומות, וביקשה לקבוע לכל מקרה מתחם עונש הולם שבין ארבעה חודשי מאסר בפועל, לנשיאה בדרך של עבודות שירות, לבין 12 חודשי מאסר בפועל.</w:t>
      </w:r>
    </w:p>
    <w:p w14:paraId="6CAC73A2" w14:textId="77777777" w:rsidR="00B61280" w:rsidRDefault="00B61280" w:rsidP="00B61280">
      <w:pPr>
        <w:numPr>
          <w:ilvl w:val="0"/>
          <w:numId w:val="2"/>
        </w:numPr>
        <w:spacing w:after="120" w:line="360" w:lineRule="auto"/>
        <w:ind w:left="360"/>
        <w:jc w:val="both"/>
        <w:rPr>
          <w:rFonts w:ascii="Tahoma" w:hAnsi="Tahoma"/>
        </w:rPr>
      </w:pPr>
      <w:r>
        <w:rPr>
          <w:rFonts w:ascii="Tahoma" w:hAnsi="Tahoma"/>
          <w:rtl/>
        </w:rPr>
        <w:t>אשר לגזירת עונשה של הנאשמת בתוך מתחמי העונש ההולמים ציינה התובעת, בהגינותה, את נסיבות הקולה (העדר עבר</w:t>
      </w:r>
      <w:r>
        <w:rPr>
          <w:rFonts w:ascii="Tahoma" w:hAnsi="Tahoma" w:hint="cs"/>
          <w:rtl/>
        </w:rPr>
        <w:t xml:space="preserve"> פלילי</w:t>
      </w:r>
      <w:r>
        <w:rPr>
          <w:rFonts w:ascii="Tahoma" w:hAnsi="Tahoma"/>
          <w:rtl/>
        </w:rPr>
        <w:t>, גיל צעיר ונטילת אחריות), ועתרה לגזירת העונש ברף התחתון של המתחמים להם עתרה. עוד הדגישה התובעת כי בעניינה של הנאשמת לא נתקבל תסקיר שירות המבחן ועל כן לא ניתן לדעת מה</w:t>
      </w:r>
      <w:r>
        <w:rPr>
          <w:rFonts w:ascii="Tahoma" w:hAnsi="Tahoma" w:hint="cs"/>
          <w:rtl/>
        </w:rPr>
        <w:t>ן</w:t>
      </w:r>
      <w:r>
        <w:rPr>
          <w:rFonts w:ascii="Tahoma" w:hAnsi="Tahoma"/>
          <w:rtl/>
        </w:rPr>
        <w:t xml:space="preserve"> עמדותיה ביחס לביצוע העבירות</w:t>
      </w:r>
      <w:r>
        <w:rPr>
          <w:rFonts w:ascii="Tahoma" w:hAnsi="Tahoma" w:hint="cs"/>
          <w:rtl/>
        </w:rPr>
        <w:t>;</w:t>
      </w:r>
      <w:r>
        <w:rPr>
          <w:rFonts w:ascii="Tahoma" w:hAnsi="Tahoma"/>
          <w:rtl/>
        </w:rPr>
        <w:t xml:space="preserve"> ובוודאי שהנאשמת לא שולבה בהליכים טיפוליים. לבסוף עתרה ב"כ המאשימה להשתת ענישה נלווית – מאסר מותנה, קנס כספי והתחייבות – וכן חילוט הכספים שנתפסו ברשות הנאשמת</w:t>
      </w:r>
      <w:r>
        <w:rPr>
          <w:rFonts w:ascii="Tahoma" w:hAnsi="Tahoma" w:hint="cs"/>
          <w:rtl/>
        </w:rPr>
        <w:t>,</w:t>
      </w:r>
      <w:r>
        <w:rPr>
          <w:rFonts w:ascii="Tahoma" w:hAnsi="Tahoma"/>
          <w:rtl/>
        </w:rPr>
        <w:t xml:space="preserve"> כאמור בהסכמות הצדדים.</w:t>
      </w:r>
    </w:p>
    <w:p w14:paraId="2EDD0477" w14:textId="77777777" w:rsidR="00B61280" w:rsidRDefault="00B61280" w:rsidP="00B61280">
      <w:pPr>
        <w:numPr>
          <w:ilvl w:val="0"/>
          <w:numId w:val="2"/>
        </w:numPr>
        <w:spacing w:after="120" w:line="360" w:lineRule="auto"/>
        <w:ind w:left="360"/>
        <w:jc w:val="both"/>
        <w:rPr>
          <w:rFonts w:ascii="Tahoma" w:hAnsi="Tahoma"/>
        </w:rPr>
      </w:pPr>
      <w:r>
        <w:rPr>
          <w:rFonts w:ascii="Tahoma" w:hAnsi="Tahoma"/>
          <w:rtl/>
        </w:rPr>
        <w:t>ב"כ הנאשמת, מצידו, מתח ביקורת על מתחמי העונש להם עתרה התובעת וחזר וטען כי בנסיבות דומות – דהיינו החזקת סמים מסוכנים מסוג קנבוס במשקל של עד חצי ק"ג, גם שלא לצריכה עצמית – נקבע במקרים רבים מתחם עונש הולם שתחילתו בענישה צופה פני עתיד (הסניגור הפנה בין השאר ל</w:t>
      </w:r>
      <w:hyperlink r:id="rId22" w:history="1">
        <w:r w:rsidR="00AE0E4C" w:rsidRPr="00AE0E4C">
          <w:rPr>
            <w:rFonts w:ascii="Tahoma" w:hAnsi="Tahoma"/>
            <w:color w:val="0000FF"/>
            <w:u w:val="single"/>
            <w:rtl/>
          </w:rPr>
          <w:t>ת"פ (שלום ת"א) 38341-10-20</w:t>
        </w:r>
      </w:hyperlink>
      <w:r>
        <w:rPr>
          <w:rFonts w:ascii="Tahoma" w:hAnsi="Tahoma"/>
          <w:rtl/>
        </w:rPr>
        <w:t xml:space="preserve"> </w:t>
      </w:r>
      <w:r>
        <w:rPr>
          <w:rFonts w:ascii="Tahoma" w:hAnsi="Tahoma"/>
          <w:b/>
          <w:bCs/>
          <w:rtl/>
        </w:rPr>
        <w:t>מדינת ישראל נ' ירוזלסקי</w:t>
      </w:r>
      <w:r>
        <w:rPr>
          <w:rFonts w:ascii="Tahoma" w:hAnsi="Tahoma"/>
          <w:rtl/>
        </w:rPr>
        <w:t xml:space="preserve"> (27.03.2023), שניתן על ידי</w:t>
      </w:r>
      <w:r>
        <w:rPr>
          <w:rFonts w:ascii="Tahoma" w:hAnsi="Tahoma" w:hint="cs"/>
          <w:rtl/>
        </w:rPr>
        <w:t>, אלא ששם דובר במקרה אחד של החזקה בדירה</w:t>
      </w:r>
      <w:r>
        <w:rPr>
          <w:rFonts w:ascii="Tahoma" w:hAnsi="Tahoma"/>
          <w:rtl/>
        </w:rPr>
        <w:t>).</w:t>
      </w:r>
    </w:p>
    <w:p w14:paraId="70011162" w14:textId="77777777" w:rsidR="00B61280" w:rsidRDefault="00B61280" w:rsidP="00B61280">
      <w:pPr>
        <w:numPr>
          <w:ilvl w:val="0"/>
          <w:numId w:val="2"/>
        </w:numPr>
        <w:spacing w:after="120" w:line="360" w:lineRule="auto"/>
        <w:ind w:left="360"/>
        <w:jc w:val="both"/>
        <w:rPr>
          <w:rFonts w:ascii="Tahoma" w:hAnsi="Tahoma"/>
        </w:rPr>
      </w:pPr>
      <w:r>
        <w:rPr>
          <w:rFonts w:ascii="Tahoma" w:hAnsi="Tahoma"/>
          <w:rtl/>
        </w:rPr>
        <w:t xml:space="preserve">עוד עמד הסניגור על נסיבותיה האישיות של הנאשמת, </w:t>
      </w:r>
      <w:r>
        <w:rPr>
          <w:rFonts w:ascii="Tahoma" w:hAnsi="Tahoma" w:hint="cs"/>
          <w:rtl/>
        </w:rPr>
        <w:t xml:space="preserve">אישה </w:t>
      </w:r>
      <w:r>
        <w:rPr>
          <w:rFonts w:ascii="Tahoma" w:hAnsi="Tahoma"/>
          <w:rtl/>
        </w:rPr>
        <w:t xml:space="preserve">צעירה חסרת עבר פלילי, והדגיש במיוחד את "ניקוי השולחן" שערכה, אשר במסגרתו נטלה אחריות בשני התיקים </w:t>
      </w:r>
      <w:r>
        <w:rPr>
          <w:rFonts w:ascii="Tahoma" w:hAnsi="Tahoma" w:hint="cs"/>
          <w:rtl/>
        </w:rPr>
        <w:t xml:space="preserve">דנא </w:t>
      </w:r>
      <w:r>
        <w:rPr>
          <w:rFonts w:ascii="Tahoma" w:hAnsi="Tahoma"/>
          <w:rtl/>
        </w:rPr>
        <w:t xml:space="preserve">וכן נסגרו לה שני תיקים נוספים. נסיבות אלה מלמדות על חרטתה הכנה של הנאשמת ועל רצונה </w:t>
      </w:r>
      <w:r>
        <w:rPr>
          <w:rFonts w:ascii="Tahoma" w:hAnsi="Tahoma" w:hint="cs"/>
          <w:rtl/>
        </w:rPr>
        <w:t xml:space="preserve">האמתי </w:t>
      </w:r>
      <w:r>
        <w:rPr>
          <w:rFonts w:ascii="Tahoma" w:hAnsi="Tahoma"/>
          <w:rtl/>
        </w:rPr>
        <w:t xml:space="preserve">לשנות את דרכיה, גם מבלי שהתקבל תסקיר שירות המבחן; בפרט </w:t>
      </w:r>
      <w:r>
        <w:rPr>
          <w:rFonts w:ascii="Tahoma" w:hAnsi="Tahoma" w:hint="cs"/>
          <w:rtl/>
        </w:rPr>
        <w:t xml:space="preserve">כאשר </w:t>
      </w:r>
      <w:r>
        <w:rPr>
          <w:rFonts w:ascii="Tahoma" w:hAnsi="Tahoma"/>
          <w:rtl/>
        </w:rPr>
        <w:t xml:space="preserve">מאז ביצוע העבירות לא חזרה הנאשמת לדרך העבירה. על רקע זה, וכאשר מדובר </w:t>
      </w:r>
      <w:r>
        <w:rPr>
          <w:rFonts w:ascii="Tahoma" w:hAnsi="Tahoma" w:hint="cs"/>
          <w:rtl/>
        </w:rPr>
        <w:t xml:space="preserve">כאמור </w:t>
      </w:r>
      <w:r>
        <w:rPr>
          <w:rFonts w:ascii="Tahoma" w:hAnsi="Tahoma"/>
          <w:rtl/>
        </w:rPr>
        <w:t>באישה צעירה בתחילת דרכה בחיים, עתר הסניגור להימנע מהשתת מאסר בפועל.</w:t>
      </w:r>
    </w:p>
    <w:p w14:paraId="7404D9BB" w14:textId="77777777" w:rsidR="00B61280" w:rsidRDefault="00B61280" w:rsidP="00B61280">
      <w:pPr>
        <w:numPr>
          <w:ilvl w:val="0"/>
          <w:numId w:val="2"/>
        </w:numPr>
        <w:spacing w:after="120" w:line="360" w:lineRule="auto"/>
        <w:ind w:left="360"/>
        <w:jc w:val="both"/>
        <w:rPr>
          <w:rFonts w:ascii="Tahoma" w:hAnsi="Tahoma"/>
        </w:rPr>
      </w:pPr>
      <w:r>
        <w:rPr>
          <w:rFonts w:ascii="Tahoma" w:hAnsi="Tahoma"/>
          <w:rtl/>
        </w:rPr>
        <w:t>לבסוף הנאשמת, בדברה האחרון לעונש, אמרה: "</w:t>
      </w:r>
      <w:r>
        <w:rPr>
          <w:rFonts w:ascii="Tahoma" w:hAnsi="Tahoma"/>
          <w:b/>
          <w:bCs/>
          <w:rtl/>
        </w:rPr>
        <w:t>אני מבקשת סליחה, זה לא יחזור על עצמו</w:t>
      </w:r>
      <w:r>
        <w:rPr>
          <w:rFonts w:ascii="Tahoma" w:hAnsi="Tahoma"/>
          <w:rtl/>
        </w:rPr>
        <w:t xml:space="preserve">" (בפרוטוקול, עמ' 12 שורה 13).  </w:t>
      </w:r>
    </w:p>
    <w:p w14:paraId="7921C1F5" w14:textId="77777777" w:rsidR="00B61280" w:rsidRDefault="00B61280" w:rsidP="00B61280">
      <w:pPr>
        <w:spacing w:after="120" w:line="360" w:lineRule="auto"/>
        <w:jc w:val="both"/>
        <w:rPr>
          <w:rFonts w:ascii="Tahoma" w:hAnsi="Tahoma"/>
        </w:rPr>
      </w:pPr>
    </w:p>
    <w:p w14:paraId="1F1ACAEB" w14:textId="77777777" w:rsidR="00B61280" w:rsidRDefault="00B61280" w:rsidP="00B61280">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קביעת מתחם העונש ההולם:</w:t>
      </w:r>
    </w:p>
    <w:p w14:paraId="61E75709" w14:textId="77777777" w:rsidR="00B61280" w:rsidRDefault="00B61280" w:rsidP="00B61280">
      <w:pPr>
        <w:numPr>
          <w:ilvl w:val="0"/>
          <w:numId w:val="2"/>
        </w:numPr>
        <w:spacing w:after="120" w:line="360" w:lineRule="auto"/>
        <w:ind w:left="360"/>
        <w:jc w:val="both"/>
        <w:rPr>
          <w:rFonts w:ascii="Tahoma" w:hAnsi="Tahoma"/>
        </w:rPr>
      </w:pPr>
      <w:r>
        <w:rPr>
          <w:rFonts w:ascii="Tahoma" w:hAnsi="Tahoma"/>
          <w:rtl/>
        </w:rPr>
        <w:t xml:space="preserve">בעת גזירת עונשו של נאשם על בית המשפט לקבוע, תחילה, את מתחם העונש ההולם לכל "אירוע" עברייני שבגינו הורשע הנאשם, ולאחר מכן לגזור את עונשו של הנאשם בתוך מתחם זה; והכל כאמור בהוראות </w:t>
      </w:r>
      <w:hyperlink r:id="rId23" w:history="1">
        <w:r w:rsidR="00407E24" w:rsidRPr="00407E24">
          <w:rPr>
            <w:rStyle w:val="Hyperlink"/>
            <w:rFonts w:ascii="Tahoma" w:hAnsi="Tahoma"/>
            <w:rtl/>
          </w:rPr>
          <w:t>סעיף 40ג</w:t>
        </w:r>
      </w:hyperlink>
      <w:r>
        <w:rPr>
          <w:rFonts w:ascii="Tahoma" w:hAnsi="Tahoma"/>
          <w:rtl/>
        </w:rPr>
        <w:t xml:space="preserve"> יחד עם </w:t>
      </w:r>
      <w:hyperlink r:id="rId24" w:history="1">
        <w:r w:rsidR="00407E24" w:rsidRPr="00407E24">
          <w:rPr>
            <w:rStyle w:val="Hyperlink"/>
            <w:rFonts w:ascii="Tahoma" w:hAnsi="Tahoma"/>
            <w:rtl/>
          </w:rPr>
          <w:t>סעיף 40יג</w:t>
        </w:r>
      </w:hyperlink>
      <w:r>
        <w:rPr>
          <w:rFonts w:ascii="Tahoma" w:hAnsi="Tahoma"/>
          <w:rtl/>
        </w:rPr>
        <w:t xml:space="preserve"> ל</w:t>
      </w:r>
      <w:hyperlink r:id="rId25" w:history="1">
        <w:r w:rsidR="00AE0E4C" w:rsidRPr="00AE0E4C">
          <w:rPr>
            <w:rFonts w:ascii="Tahoma" w:hAnsi="Tahoma"/>
            <w:color w:val="0000FF"/>
            <w:u w:val="single"/>
            <w:rtl/>
          </w:rPr>
          <w:t>חוק העונשין</w:t>
        </w:r>
      </w:hyperlink>
      <w:r>
        <w:rPr>
          <w:rFonts w:ascii="Tahoma" w:hAnsi="Tahoma"/>
          <w:rtl/>
        </w:rPr>
        <w:t>. בענייננו מדובר בשני כתבי אישום שונים, העוסקים בעבירות שנעברו בפער זמנים של כשנה וחצי, ולכן לכאורה מדובר באירועים נפרדים. עם זאת, כפי שאף ב"כ המאשימה ציינה בטיעוניה, מדובר בעבירות שנעברו בנסיבות דומות, למעשה כמעט זהות. בנסיבות אלה – אם גם מתוך גישה מקלה-משהו – ניתן לראות את העבירות בשני התיקים כחלק ממסכת עבריינית אחת.</w:t>
      </w:r>
    </w:p>
    <w:p w14:paraId="0302E0EB" w14:textId="77777777" w:rsidR="00B61280" w:rsidRDefault="00B61280" w:rsidP="00B61280">
      <w:pPr>
        <w:numPr>
          <w:ilvl w:val="0"/>
          <w:numId w:val="2"/>
        </w:numPr>
        <w:spacing w:after="120" w:line="360" w:lineRule="auto"/>
        <w:ind w:left="360"/>
        <w:jc w:val="both"/>
        <w:rPr>
          <w:rFonts w:ascii="Tahoma" w:hAnsi="Tahoma"/>
        </w:rPr>
      </w:pPr>
      <w:r>
        <w:rPr>
          <w:rFonts w:ascii="Tahoma" w:hAnsi="Tahoma"/>
          <w:rtl/>
        </w:rPr>
        <w:t xml:space="preserve">אשר למתחם העונש ההולם לאירוע אחד זה, קביעתו תיעשה בהתאם לעיקרון המנחה בענישה – הוא עקרון ההלימה – תוך התחשבות בערך החברתי שנפגע מביצוע העבירות ובמידת הפגיעה בו, במדיניות הענישה הנהוגה ובנסיבות הקשורות בביצוע העבירות, לרבות אלה המפורטות בהוראות </w:t>
      </w:r>
      <w:hyperlink r:id="rId26" w:history="1">
        <w:r w:rsidR="00407E24" w:rsidRPr="00407E24">
          <w:rPr>
            <w:rStyle w:val="Hyperlink"/>
            <w:rFonts w:ascii="Tahoma" w:hAnsi="Tahoma"/>
            <w:rtl/>
          </w:rPr>
          <w:t>סעיף 40ט</w:t>
        </w:r>
      </w:hyperlink>
      <w:r>
        <w:rPr>
          <w:rFonts w:ascii="Tahoma" w:hAnsi="Tahoma"/>
          <w:rtl/>
        </w:rPr>
        <w:t xml:space="preserve"> ל</w:t>
      </w:r>
      <w:hyperlink r:id="rId27" w:history="1">
        <w:r w:rsidR="00AE0E4C" w:rsidRPr="00AE0E4C">
          <w:rPr>
            <w:rFonts w:ascii="Tahoma" w:hAnsi="Tahoma"/>
            <w:color w:val="0000FF"/>
            <w:u w:val="single"/>
            <w:rtl/>
          </w:rPr>
          <w:t>חוק העונשין</w:t>
        </w:r>
      </w:hyperlink>
      <w:r>
        <w:rPr>
          <w:rFonts w:ascii="Tahoma" w:hAnsi="Tahoma"/>
          <w:rtl/>
        </w:rPr>
        <w:t xml:space="preserve">. </w:t>
      </w:r>
    </w:p>
    <w:p w14:paraId="207B5963" w14:textId="77777777" w:rsidR="00B61280" w:rsidRDefault="00B61280" w:rsidP="00B61280">
      <w:pPr>
        <w:numPr>
          <w:ilvl w:val="0"/>
          <w:numId w:val="2"/>
        </w:numPr>
        <w:spacing w:after="120" w:line="360" w:lineRule="auto"/>
        <w:ind w:left="360"/>
        <w:jc w:val="both"/>
        <w:rPr>
          <w:rFonts w:ascii="Tahoma" w:hAnsi="Tahoma"/>
        </w:rPr>
      </w:pPr>
      <w:r>
        <w:rPr>
          <w:rFonts w:ascii="Tahoma" w:hAnsi="Tahoma"/>
          <w:rtl/>
        </w:rPr>
        <w:t>אכן – כטיעון ההגנה וכאמור בפסיקה אליה הפנתה – מדיניות הענישה כיום מלמדת ככלל, ובהיעדר נסיבות חריגות, כי בעבירות של החזקת סמים מסוכנים מסוג קנבוס במשקל של עד חצי ק"ג, גם שלא לצריכה עצמית, מתחם העונש ההולם יכול שיתחיל בענישה צופה פני עתיד וענישה נלווית. עם זאת, בהתאם ל</w:t>
      </w:r>
      <w:r>
        <w:rPr>
          <w:rFonts w:ascii="Tahoma" w:hAnsi="Tahoma" w:hint="cs"/>
          <w:rtl/>
        </w:rPr>
        <w:t>הוראות ה</w:t>
      </w:r>
      <w:r>
        <w:rPr>
          <w:rFonts w:ascii="Tahoma" w:hAnsi="Tahoma"/>
          <w:rtl/>
        </w:rPr>
        <w:t>דין</w:t>
      </w:r>
      <w:r>
        <w:rPr>
          <w:rFonts w:ascii="Tahoma" w:hAnsi="Tahoma" w:hint="cs"/>
          <w:rtl/>
        </w:rPr>
        <w:t>,</w:t>
      </w:r>
      <w:r>
        <w:rPr>
          <w:rFonts w:ascii="Tahoma" w:hAnsi="Tahoma"/>
          <w:rtl/>
        </w:rPr>
        <w:t xml:space="preserve"> חומרת האירוע נגזרת </w:t>
      </w:r>
      <w:r>
        <w:rPr>
          <w:rFonts w:ascii="Tahoma" w:hAnsi="Tahoma" w:hint="cs"/>
          <w:rtl/>
        </w:rPr>
        <w:t xml:space="preserve">לא רק </w:t>
      </w:r>
      <w:r>
        <w:rPr>
          <w:rFonts w:ascii="Tahoma" w:hAnsi="Tahoma"/>
          <w:rtl/>
        </w:rPr>
        <w:t>מחומרת העבירות כשלעצמן, אלא גם מחומרתן בנסיבות הקונקרטיות שבהן בוצעו</w:t>
      </w:r>
      <w:r>
        <w:rPr>
          <w:rFonts w:ascii="Tahoma" w:hAnsi="Tahoma" w:hint="cs"/>
          <w:rtl/>
        </w:rPr>
        <w:t>;</w:t>
      </w:r>
      <w:r>
        <w:rPr>
          <w:rFonts w:ascii="Tahoma" w:hAnsi="Tahoma"/>
          <w:rtl/>
        </w:rPr>
        <w:t xml:space="preserve"> כאשר בענייננו קיימות שתי נסיבות חומרה מצטברות. </w:t>
      </w:r>
      <w:r>
        <w:rPr>
          <w:rFonts w:ascii="Tahoma" w:hAnsi="Tahoma"/>
          <w:b/>
          <w:bCs/>
          <w:rtl/>
        </w:rPr>
        <w:t>ראשית</w:t>
      </w:r>
      <w:r>
        <w:rPr>
          <w:rFonts w:ascii="Tahoma" w:hAnsi="Tahoma"/>
          <w:rtl/>
        </w:rPr>
        <w:t xml:space="preserve">, מדובר בשני מקרים, בפער זמנים לא מבוטל של כשנה וחצי. </w:t>
      </w:r>
      <w:r>
        <w:rPr>
          <w:rFonts w:ascii="Tahoma" w:hAnsi="Tahoma"/>
          <w:b/>
          <w:bCs/>
          <w:rtl/>
        </w:rPr>
        <w:t>שנית</w:t>
      </w:r>
      <w:r>
        <w:rPr>
          <w:rFonts w:ascii="Tahoma" w:hAnsi="Tahoma"/>
          <w:rtl/>
        </w:rPr>
        <w:t>, וזה אולי העיקר כאן, בשני המקרים מדובר בהחזקת הסמים ברכב, על כל החומרה הנוספת הנגזרת מכך.</w:t>
      </w:r>
    </w:p>
    <w:p w14:paraId="3720DF6B" w14:textId="77777777" w:rsidR="00B61280" w:rsidRDefault="00B61280" w:rsidP="00B61280">
      <w:pPr>
        <w:numPr>
          <w:ilvl w:val="0"/>
          <w:numId w:val="2"/>
        </w:numPr>
        <w:spacing w:after="120" w:line="360" w:lineRule="auto"/>
        <w:ind w:left="360"/>
        <w:jc w:val="both"/>
        <w:rPr>
          <w:rFonts w:ascii="Tahoma" w:hAnsi="Tahoma"/>
        </w:rPr>
      </w:pPr>
      <w:r>
        <w:rPr>
          <w:rFonts w:ascii="Tahoma" w:hAnsi="Tahoma"/>
          <w:rtl/>
        </w:rPr>
        <w:t xml:space="preserve">בנסיבות אלה </w:t>
      </w:r>
      <w:r>
        <w:rPr>
          <w:rFonts w:ascii="Tahoma" w:hAnsi="Tahoma" w:hint="cs"/>
          <w:rtl/>
        </w:rPr>
        <w:t xml:space="preserve">מדיניות הענישה הנהוגה מלמדת על </w:t>
      </w:r>
      <w:r>
        <w:rPr>
          <w:rFonts w:ascii="Tahoma" w:hAnsi="Tahoma"/>
          <w:rtl/>
        </w:rPr>
        <w:t xml:space="preserve">רף תחתון של מתחם העונש ההולם </w:t>
      </w:r>
      <w:r>
        <w:rPr>
          <w:rFonts w:ascii="Tahoma" w:hAnsi="Tahoma" w:hint="cs"/>
          <w:rtl/>
        </w:rPr>
        <w:t>ה</w:t>
      </w:r>
      <w:r>
        <w:rPr>
          <w:rFonts w:ascii="Tahoma" w:hAnsi="Tahoma"/>
          <w:rtl/>
        </w:rPr>
        <w:t>עומד על מאסר בפועל</w:t>
      </w:r>
      <w:r>
        <w:rPr>
          <w:rFonts w:ascii="Tahoma" w:hAnsi="Tahoma" w:hint="cs"/>
          <w:rtl/>
        </w:rPr>
        <w:t>,</w:t>
      </w:r>
      <w:r>
        <w:rPr>
          <w:rFonts w:ascii="Tahoma" w:hAnsi="Tahoma"/>
          <w:rtl/>
        </w:rPr>
        <w:t xml:space="preserve"> לנשיאה בדרך של עבודות שירות (ר' והשווה </w:t>
      </w:r>
      <w:hyperlink r:id="rId28" w:history="1">
        <w:r w:rsidR="00AE0E4C" w:rsidRPr="00AE0E4C">
          <w:rPr>
            <w:rFonts w:ascii="Tahoma" w:hAnsi="Tahoma"/>
            <w:color w:val="0000FF"/>
            <w:u w:val="single"/>
            <w:rtl/>
          </w:rPr>
          <w:t>ת"פ (שלום ת"א) 36891-03-22</w:t>
        </w:r>
      </w:hyperlink>
      <w:r>
        <w:rPr>
          <w:rFonts w:ascii="Tahoma" w:hAnsi="Tahoma"/>
          <w:rtl/>
        </w:rPr>
        <w:t xml:space="preserve"> </w:t>
      </w:r>
      <w:r>
        <w:rPr>
          <w:rFonts w:ascii="Tahoma" w:hAnsi="Tahoma"/>
          <w:b/>
          <w:bCs/>
          <w:rtl/>
        </w:rPr>
        <w:t>מדינת</w:t>
      </w:r>
      <w:r>
        <w:rPr>
          <w:rFonts w:ascii="Tahoma" w:hAnsi="Tahoma"/>
          <w:rtl/>
        </w:rPr>
        <w:t xml:space="preserve"> </w:t>
      </w:r>
      <w:r>
        <w:rPr>
          <w:rFonts w:ascii="Tahoma" w:hAnsi="Tahoma"/>
          <w:b/>
          <w:bCs/>
          <w:rtl/>
        </w:rPr>
        <w:t>ישראל נ' ביבליוביץ</w:t>
      </w:r>
      <w:r>
        <w:rPr>
          <w:rFonts w:ascii="Tahoma" w:hAnsi="Tahoma"/>
          <w:rtl/>
        </w:rPr>
        <w:t xml:space="preserve"> (28.06.2023)). באופן קונקרטי אני קובע </w:t>
      </w:r>
      <w:r>
        <w:rPr>
          <w:rFonts w:ascii="Tahoma" w:hAnsi="Tahoma" w:hint="cs"/>
          <w:rtl/>
        </w:rPr>
        <w:t xml:space="preserve">אפוא </w:t>
      </w:r>
      <w:r>
        <w:rPr>
          <w:rFonts w:ascii="Tahoma" w:hAnsi="Tahoma"/>
          <w:rtl/>
        </w:rPr>
        <w:t xml:space="preserve">את מתחם העונש ההולם, במקרה זה, בין מאסר בפועל לתקופה של 45 יום, שניתן לשאתו בדרך של עבודות שירות, לבין </w:t>
      </w:r>
      <w:r>
        <w:rPr>
          <w:rFonts w:ascii="Tahoma" w:hAnsi="Tahoma" w:hint="cs"/>
          <w:rtl/>
        </w:rPr>
        <w:t>12</w:t>
      </w:r>
      <w:r>
        <w:rPr>
          <w:rFonts w:ascii="Tahoma" w:hAnsi="Tahoma"/>
          <w:rtl/>
        </w:rPr>
        <w:t xml:space="preserve"> חודשי מאסר בפועל.</w:t>
      </w:r>
    </w:p>
    <w:p w14:paraId="0327DC0C" w14:textId="77777777" w:rsidR="00B61280" w:rsidRDefault="00B61280" w:rsidP="00B61280">
      <w:pPr>
        <w:spacing w:after="120" w:line="360" w:lineRule="auto"/>
        <w:jc w:val="both"/>
        <w:rPr>
          <w:rFonts w:ascii="Tahoma" w:hAnsi="Tahoma"/>
        </w:rPr>
      </w:pPr>
    </w:p>
    <w:p w14:paraId="2B317979" w14:textId="77777777" w:rsidR="00B61280" w:rsidRDefault="00B61280" w:rsidP="00B61280">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גזירת עונשה של הנאשמת בתוך מתחם העונש ההולם והאפשרות לחריגה הימנו:</w:t>
      </w:r>
    </w:p>
    <w:p w14:paraId="240DEAE2" w14:textId="77777777" w:rsidR="00B61280" w:rsidRDefault="00B61280" w:rsidP="00B61280">
      <w:pPr>
        <w:numPr>
          <w:ilvl w:val="0"/>
          <w:numId w:val="2"/>
        </w:numPr>
        <w:spacing w:after="120" w:line="360" w:lineRule="auto"/>
        <w:ind w:left="360"/>
        <w:jc w:val="both"/>
        <w:rPr>
          <w:rFonts w:ascii="Tahoma" w:hAnsi="Tahoma"/>
        </w:rPr>
      </w:pPr>
      <w:r>
        <w:rPr>
          <w:rFonts w:ascii="Tahoma" w:hAnsi="Tahoma"/>
          <w:rtl/>
        </w:rPr>
        <w:t xml:space="preserve">לאחר קביעת מתחם העונש ההולם על בית המשפט לגזור את עונשו של הנאשם בתוך מתחם זה תוך התחשבות בנסיבות שאינן קשורות בביצוע העבירה, לרבות אלה המנויות בהוראות </w:t>
      </w:r>
      <w:hyperlink r:id="rId29" w:history="1">
        <w:r w:rsidR="00407E24" w:rsidRPr="00407E24">
          <w:rPr>
            <w:rStyle w:val="Hyperlink"/>
            <w:rFonts w:ascii="Tahoma" w:hAnsi="Tahoma"/>
            <w:rtl/>
          </w:rPr>
          <w:t>סעיף 40יא</w:t>
        </w:r>
      </w:hyperlink>
      <w:r>
        <w:rPr>
          <w:rFonts w:ascii="Tahoma" w:hAnsi="Tahoma"/>
          <w:rtl/>
        </w:rPr>
        <w:t xml:space="preserve"> ל</w:t>
      </w:r>
      <w:hyperlink r:id="rId30" w:history="1">
        <w:r w:rsidR="00AE0E4C" w:rsidRPr="00AE0E4C">
          <w:rPr>
            <w:rFonts w:ascii="Tahoma" w:hAnsi="Tahoma"/>
            <w:color w:val="0000FF"/>
            <w:u w:val="single"/>
            <w:rtl/>
          </w:rPr>
          <w:t>חוק העונשין</w:t>
        </w:r>
      </w:hyperlink>
      <w:r>
        <w:rPr>
          <w:rFonts w:ascii="Tahoma" w:hAnsi="Tahoma"/>
          <w:rtl/>
        </w:rPr>
        <w:t>.</w:t>
      </w:r>
    </w:p>
    <w:p w14:paraId="44F89500" w14:textId="77777777" w:rsidR="00B61280" w:rsidRDefault="00B61280" w:rsidP="00B61280">
      <w:pPr>
        <w:numPr>
          <w:ilvl w:val="0"/>
          <w:numId w:val="2"/>
        </w:numPr>
        <w:spacing w:after="120" w:line="360" w:lineRule="auto"/>
        <w:ind w:left="360"/>
        <w:jc w:val="both"/>
        <w:rPr>
          <w:rFonts w:ascii="Tahoma" w:hAnsi="Tahoma"/>
        </w:rPr>
      </w:pPr>
      <w:r>
        <w:rPr>
          <w:rFonts w:ascii="Tahoma" w:hAnsi="Tahoma"/>
          <w:rtl/>
        </w:rPr>
        <w:t xml:space="preserve">עם זאת, לבית המשפט סמכות לחרוג לכף קולה ממתחם העונש ההולם, משיקולי שיקום, בהתאם להוראות </w:t>
      </w:r>
      <w:hyperlink r:id="rId31" w:history="1">
        <w:r w:rsidR="00407E24" w:rsidRPr="00407E24">
          <w:rPr>
            <w:rStyle w:val="Hyperlink"/>
            <w:rFonts w:ascii="Tahoma" w:hAnsi="Tahoma"/>
            <w:rtl/>
          </w:rPr>
          <w:t>סעיף 40ד</w:t>
        </w:r>
      </w:hyperlink>
      <w:r>
        <w:rPr>
          <w:rFonts w:ascii="Tahoma" w:hAnsi="Tahoma"/>
          <w:rtl/>
        </w:rPr>
        <w:t xml:space="preserve"> ל</w:t>
      </w:r>
      <w:hyperlink r:id="rId32" w:history="1">
        <w:r w:rsidR="00AE0E4C" w:rsidRPr="00AE0E4C">
          <w:rPr>
            <w:rFonts w:ascii="Tahoma" w:hAnsi="Tahoma"/>
            <w:color w:val="0000FF"/>
            <w:u w:val="single"/>
            <w:rtl/>
          </w:rPr>
          <w:t>חוק העונשין</w:t>
        </w:r>
      </w:hyperlink>
      <w:r>
        <w:rPr>
          <w:rFonts w:ascii="Tahoma" w:hAnsi="Tahoma"/>
          <w:rtl/>
        </w:rPr>
        <w:t>. לפי הוראות סעיף זה, אם מצא בית המשפט כי הנאשם השתקם או כי יש סיכוי של ממש שישתקם, הוא רשאי לחרוג ל</w:t>
      </w:r>
      <w:r>
        <w:rPr>
          <w:rFonts w:ascii="Tahoma" w:hAnsi="Tahoma" w:hint="cs"/>
          <w:rtl/>
        </w:rPr>
        <w:t xml:space="preserve">כף </w:t>
      </w:r>
      <w:r>
        <w:rPr>
          <w:rFonts w:ascii="Tahoma" w:hAnsi="Tahoma"/>
          <w:rtl/>
        </w:rPr>
        <w:t xml:space="preserve">קולה ממתחם העונש ההולם ולקבוע </w:t>
      </w:r>
      <w:r>
        <w:rPr>
          <w:rFonts w:ascii="Tahoma" w:hAnsi="Tahoma" w:hint="cs"/>
          <w:rtl/>
        </w:rPr>
        <w:t xml:space="preserve">את </w:t>
      </w:r>
      <w:r>
        <w:rPr>
          <w:rFonts w:ascii="Tahoma" w:hAnsi="Tahoma"/>
          <w:rtl/>
        </w:rPr>
        <w:t>עונשו של הנאשם לפי שיקולי שיקומו. לא למותר להוסיף ולהעיר כאן</w:t>
      </w:r>
      <w:r>
        <w:rPr>
          <w:rFonts w:ascii="Tahoma" w:hAnsi="Tahoma" w:hint="cs"/>
          <w:rtl/>
        </w:rPr>
        <w:t>,</w:t>
      </w:r>
      <w:r>
        <w:rPr>
          <w:rFonts w:ascii="Tahoma" w:hAnsi="Tahoma"/>
          <w:rtl/>
        </w:rPr>
        <w:t xml:space="preserve"> כי </w:t>
      </w:r>
      <w:hyperlink r:id="rId33" w:history="1">
        <w:r w:rsidR="00407E24" w:rsidRPr="00407E24">
          <w:rPr>
            <w:rStyle w:val="Hyperlink"/>
            <w:rFonts w:ascii="Tahoma" w:hAnsi="Tahoma"/>
            <w:rtl/>
          </w:rPr>
          <w:t>סעיף 40ד</w:t>
        </w:r>
      </w:hyperlink>
      <w:r>
        <w:rPr>
          <w:rFonts w:ascii="Tahoma" w:hAnsi="Tahoma"/>
          <w:rtl/>
        </w:rPr>
        <w:t xml:space="preserve"> </w:t>
      </w:r>
      <w:r>
        <w:rPr>
          <w:rFonts w:ascii="Tahoma" w:hAnsi="Tahoma" w:hint="cs"/>
          <w:rtl/>
        </w:rPr>
        <w:t xml:space="preserve">הנ"ל </w:t>
      </w:r>
      <w:r>
        <w:rPr>
          <w:rFonts w:ascii="Tahoma" w:hAnsi="Tahoma"/>
          <w:rtl/>
        </w:rPr>
        <w:t xml:space="preserve">אינו מסייג את תחולתו אך למקרים בהם קיימת המלצה </w:t>
      </w:r>
      <w:r>
        <w:rPr>
          <w:rFonts w:ascii="Tahoma" w:hAnsi="Tahoma" w:hint="cs"/>
          <w:rtl/>
        </w:rPr>
        <w:t xml:space="preserve">שיקומית </w:t>
      </w:r>
      <w:r>
        <w:rPr>
          <w:rFonts w:ascii="Tahoma" w:hAnsi="Tahoma"/>
          <w:rtl/>
        </w:rPr>
        <w:t>מטעם שירות המבחן, ו</w:t>
      </w:r>
      <w:r>
        <w:rPr>
          <w:rFonts w:ascii="Tahoma" w:hAnsi="Tahoma" w:hint="cs"/>
          <w:rtl/>
        </w:rPr>
        <w:t xml:space="preserve">קביעת שיקולי השיקום </w:t>
      </w:r>
      <w:r>
        <w:rPr>
          <w:rFonts w:ascii="Tahoma" w:hAnsi="Tahoma"/>
          <w:rtl/>
        </w:rPr>
        <w:t>מסורה לשיקול דעתו של בית המשפט היושב על מדין.</w:t>
      </w:r>
    </w:p>
    <w:p w14:paraId="0F7903FC" w14:textId="77777777" w:rsidR="00B61280" w:rsidRDefault="00B61280" w:rsidP="00B61280">
      <w:pPr>
        <w:numPr>
          <w:ilvl w:val="0"/>
          <w:numId w:val="2"/>
        </w:numPr>
        <w:spacing w:after="120" w:line="360" w:lineRule="auto"/>
        <w:ind w:left="360"/>
        <w:jc w:val="both"/>
        <w:rPr>
          <w:rFonts w:ascii="Tahoma" w:hAnsi="Tahoma"/>
        </w:rPr>
      </w:pPr>
      <w:r>
        <w:rPr>
          <w:rFonts w:ascii="Tahoma" w:hAnsi="Tahoma"/>
          <w:rtl/>
        </w:rPr>
        <w:t>התמונה המצטיירת בעניינה של הנאשמת דנא היא מורכבת. מצד אחד, מדובר כאמור בשני מקרים, בפער זמנים</w:t>
      </w:r>
      <w:r>
        <w:rPr>
          <w:rFonts w:ascii="Tahoma" w:hAnsi="Tahoma" w:hint="cs"/>
          <w:rtl/>
        </w:rPr>
        <w:t xml:space="preserve"> משמעותי</w:t>
      </w:r>
      <w:r>
        <w:rPr>
          <w:rFonts w:ascii="Tahoma" w:hAnsi="Tahoma"/>
          <w:rtl/>
        </w:rPr>
        <w:t xml:space="preserve">, ובהחזקת </w:t>
      </w:r>
      <w:r>
        <w:rPr>
          <w:rFonts w:ascii="Tahoma" w:hAnsi="Tahoma" w:hint="cs"/>
          <w:rtl/>
        </w:rPr>
        <w:t>ה</w:t>
      </w:r>
      <w:r>
        <w:rPr>
          <w:rFonts w:ascii="Tahoma" w:hAnsi="Tahoma"/>
          <w:rtl/>
        </w:rPr>
        <w:t xml:space="preserve">סמים </w:t>
      </w:r>
      <w:r>
        <w:rPr>
          <w:rFonts w:ascii="Tahoma" w:hAnsi="Tahoma" w:hint="cs"/>
          <w:rtl/>
        </w:rPr>
        <w:t>ה</w:t>
      </w:r>
      <w:r>
        <w:rPr>
          <w:rFonts w:ascii="Tahoma" w:hAnsi="Tahoma"/>
          <w:rtl/>
        </w:rPr>
        <w:t xml:space="preserve">מסוכנים ברכב. מצד שני, מדובר בנאשמת שהיא אישה צעירה, ילידת שנת 1997 (בת 26 שנים כיום), ללא כל רישומים קודמים – בין לפני המקרים מושא כתבי האישום המתוקנים ובין לאחריהם (תוך גניזת שני תיקי פל"א). בנוסף, הנאשמת נטלה אחריות מלאה ולמעשה מידית על </w:t>
      </w:r>
      <w:r>
        <w:rPr>
          <w:rFonts w:ascii="Tahoma" w:hAnsi="Tahoma" w:hint="cs"/>
          <w:rtl/>
        </w:rPr>
        <w:t xml:space="preserve">כל </w:t>
      </w:r>
      <w:r>
        <w:rPr>
          <w:rFonts w:ascii="Tahoma" w:hAnsi="Tahoma"/>
          <w:rtl/>
        </w:rPr>
        <w:t>מעשיה וביקשה ל"נקות שולחן"</w:t>
      </w:r>
      <w:r>
        <w:rPr>
          <w:rFonts w:ascii="Tahoma" w:hAnsi="Tahoma" w:hint="cs"/>
          <w:rtl/>
        </w:rPr>
        <w:t>;</w:t>
      </w:r>
      <w:r>
        <w:rPr>
          <w:rFonts w:ascii="Tahoma" w:hAnsi="Tahoma"/>
          <w:rtl/>
        </w:rPr>
        <w:t xml:space="preserve"> באופן המלמד-לכאורה על רצון להשתקם ולשנות את דרכיה. גם לפני בית המשפט הצהירה הנאשמת על רצונה זה, ביקש</w:t>
      </w:r>
      <w:r>
        <w:rPr>
          <w:rFonts w:ascii="Tahoma" w:hAnsi="Tahoma" w:hint="cs"/>
          <w:rtl/>
        </w:rPr>
        <w:t>ה</w:t>
      </w:r>
      <w:r>
        <w:rPr>
          <w:rFonts w:ascii="Tahoma" w:hAnsi="Tahoma"/>
          <w:rtl/>
        </w:rPr>
        <w:t xml:space="preserve"> סליחה </w:t>
      </w:r>
      <w:r>
        <w:rPr>
          <w:rFonts w:ascii="Tahoma" w:hAnsi="Tahoma" w:hint="cs"/>
          <w:rtl/>
        </w:rPr>
        <w:t xml:space="preserve">על מעשיה </w:t>
      </w:r>
      <w:r>
        <w:rPr>
          <w:rFonts w:ascii="Tahoma" w:hAnsi="Tahoma"/>
          <w:rtl/>
        </w:rPr>
        <w:t>והבטיחה כי לא תחזור על</w:t>
      </w:r>
      <w:r>
        <w:rPr>
          <w:rFonts w:ascii="Tahoma" w:hAnsi="Tahoma" w:hint="cs"/>
          <w:rtl/>
        </w:rPr>
        <w:t>יהם</w:t>
      </w:r>
      <w:r>
        <w:rPr>
          <w:rFonts w:ascii="Tahoma" w:hAnsi="Tahoma"/>
          <w:rtl/>
        </w:rPr>
        <w:t>.</w:t>
      </w:r>
    </w:p>
    <w:p w14:paraId="309A8C00" w14:textId="77777777" w:rsidR="00B61280" w:rsidRDefault="00B61280" w:rsidP="00B61280">
      <w:pPr>
        <w:numPr>
          <w:ilvl w:val="0"/>
          <w:numId w:val="2"/>
        </w:numPr>
        <w:spacing w:after="120" w:line="360" w:lineRule="auto"/>
        <w:ind w:left="360"/>
        <w:jc w:val="both"/>
        <w:rPr>
          <w:rFonts w:ascii="Tahoma" w:hAnsi="Tahoma"/>
        </w:rPr>
      </w:pPr>
      <w:r>
        <w:rPr>
          <w:rFonts w:ascii="Tahoma" w:hAnsi="Tahoma"/>
          <w:rtl/>
        </w:rPr>
        <w:t xml:space="preserve">השאלה מה המשקל שיש ליתן </w:t>
      </w:r>
      <w:r>
        <w:rPr>
          <w:rFonts w:ascii="Tahoma" w:hAnsi="Tahoma" w:hint="cs"/>
          <w:rtl/>
        </w:rPr>
        <w:t>להתנהלות ו</w:t>
      </w:r>
      <w:r>
        <w:rPr>
          <w:rFonts w:ascii="Tahoma" w:hAnsi="Tahoma"/>
          <w:rtl/>
        </w:rPr>
        <w:t xml:space="preserve">להצהרות כאמור היא כמובן שאלה </w:t>
      </w:r>
      <w:r>
        <w:rPr>
          <w:rFonts w:ascii="Tahoma" w:hAnsi="Tahoma" w:hint="cs"/>
          <w:rtl/>
        </w:rPr>
        <w:t>לא פשוטה</w:t>
      </w:r>
      <w:r>
        <w:rPr>
          <w:rFonts w:ascii="Tahoma" w:hAnsi="Tahoma"/>
          <w:rtl/>
        </w:rPr>
        <w:t>, אך ההתרשמות היא שבמקרה דנא הנאשמת אכן הפנימה את חומרת מעשיה</w:t>
      </w:r>
      <w:r>
        <w:rPr>
          <w:rFonts w:ascii="Tahoma" w:hAnsi="Tahoma" w:hint="cs"/>
          <w:rtl/>
        </w:rPr>
        <w:t>;</w:t>
      </w:r>
      <w:r>
        <w:rPr>
          <w:rFonts w:ascii="Tahoma" w:hAnsi="Tahoma"/>
          <w:rtl/>
        </w:rPr>
        <w:t xml:space="preserve"> ותקוות בית המשפט היא כי אכן תעמוד בדיבורה </w:t>
      </w:r>
      <w:r>
        <w:rPr>
          <w:rFonts w:ascii="Tahoma" w:hAnsi="Tahoma" w:hint="cs"/>
          <w:rtl/>
        </w:rPr>
        <w:t xml:space="preserve">ובהבטחותיה </w:t>
      </w:r>
      <w:r>
        <w:rPr>
          <w:rFonts w:ascii="Tahoma" w:hAnsi="Tahoma"/>
          <w:rtl/>
        </w:rPr>
        <w:t xml:space="preserve">ולא תשוב </w:t>
      </w:r>
      <w:r>
        <w:rPr>
          <w:rFonts w:ascii="Tahoma" w:hAnsi="Tahoma" w:hint="cs"/>
          <w:rtl/>
        </w:rPr>
        <w:t xml:space="preserve">עוד </w:t>
      </w:r>
      <w:r>
        <w:rPr>
          <w:rFonts w:ascii="Tahoma" w:hAnsi="Tahoma"/>
          <w:rtl/>
        </w:rPr>
        <w:t xml:space="preserve">לדרך העבירה. בנסיבות אלה, ולו לפנים משורת הדין, ניתן במקרה זה לחרוג לכף קולה ממתחם העונש ההולם </w:t>
      </w:r>
      <w:r>
        <w:rPr>
          <w:rFonts w:ascii="Tahoma" w:hAnsi="Tahoma" w:hint="cs"/>
          <w:rtl/>
        </w:rPr>
        <w:t xml:space="preserve">משיקולי שיקום </w:t>
      </w:r>
      <w:r>
        <w:rPr>
          <w:rFonts w:ascii="Tahoma" w:hAnsi="Tahoma"/>
          <w:rtl/>
        </w:rPr>
        <w:t xml:space="preserve">ולהימנע מהשתת מאסר בפועל; וכל זאת תוך איזון הקלה </w:t>
      </w:r>
      <w:r>
        <w:rPr>
          <w:rFonts w:ascii="Tahoma" w:hAnsi="Tahoma" w:hint="cs"/>
          <w:rtl/>
        </w:rPr>
        <w:t xml:space="preserve">משמעותית </w:t>
      </w:r>
      <w:r>
        <w:rPr>
          <w:rFonts w:ascii="Tahoma" w:hAnsi="Tahoma"/>
          <w:rtl/>
        </w:rPr>
        <w:t xml:space="preserve">זו </w:t>
      </w:r>
      <w:r>
        <w:rPr>
          <w:rFonts w:ascii="Tahoma" w:hAnsi="Tahoma" w:hint="cs"/>
          <w:rtl/>
        </w:rPr>
        <w:t>במאסר מותנה הולם ו</w:t>
      </w:r>
      <w:r>
        <w:rPr>
          <w:rFonts w:ascii="Tahoma" w:hAnsi="Tahoma"/>
          <w:rtl/>
        </w:rPr>
        <w:t>בסנקצי</w:t>
      </w:r>
      <w:r>
        <w:rPr>
          <w:rFonts w:ascii="Tahoma" w:hAnsi="Tahoma" w:hint="cs"/>
          <w:rtl/>
        </w:rPr>
        <w:t>ות</w:t>
      </w:r>
      <w:r>
        <w:rPr>
          <w:rFonts w:ascii="Tahoma" w:hAnsi="Tahoma"/>
          <w:rtl/>
        </w:rPr>
        <w:t xml:space="preserve"> כלכלי</w:t>
      </w:r>
      <w:r>
        <w:rPr>
          <w:rFonts w:ascii="Tahoma" w:hAnsi="Tahoma" w:hint="cs"/>
          <w:rtl/>
        </w:rPr>
        <w:t>ו</w:t>
      </w:r>
      <w:r>
        <w:rPr>
          <w:rFonts w:ascii="Tahoma" w:hAnsi="Tahoma"/>
          <w:rtl/>
        </w:rPr>
        <w:t>ת של ממש.</w:t>
      </w:r>
    </w:p>
    <w:p w14:paraId="33F9B158" w14:textId="77777777" w:rsidR="00B61280" w:rsidRPr="002059D0" w:rsidRDefault="00B61280" w:rsidP="00B61280">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שפורטו לעיל </w:t>
      </w:r>
      <w:r>
        <w:rPr>
          <w:rtl/>
        </w:rPr>
        <w:t>–</w:t>
      </w:r>
      <w:r>
        <w:rPr>
          <w:rFonts w:hint="cs"/>
          <w:rtl/>
        </w:rPr>
        <w:t xml:space="preserve"> אני גוזר על הנאשמת את העונשים הבאים:</w:t>
      </w:r>
    </w:p>
    <w:p w14:paraId="0D15528A" w14:textId="77777777" w:rsidR="00B61280" w:rsidRDefault="00B61280" w:rsidP="00B61280">
      <w:pPr>
        <w:spacing w:after="120" w:line="360" w:lineRule="auto"/>
        <w:ind w:left="1080" w:hanging="720"/>
        <w:jc w:val="both"/>
        <w:rPr>
          <w:rFonts w:ascii="Tahoma" w:hAnsi="Tahoma"/>
          <w:rtl/>
        </w:rPr>
      </w:pPr>
      <w:r>
        <w:rPr>
          <w:rFonts w:hint="cs"/>
          <w:rtl/>
        </w:rPr>
        <w:t>(א)</w:t>
      </w:r>
      <w:r>
        <w:rPr>
          <w:rtl/>
        </w:rPr>
        <w:tab/>
      </w:r>
      <w:r>
        <w:rPr>
          <w:rFonts w:hint="cs"/>
          <w:rtl/>
        </w:rPr>
        <w:t xml:space="preserve">מאסר על תנאי למשך 6 חודשים אותו לא תישא הנאשמת אלא אם כן תעבור, תוך שלוש שנים מהיום, עבירה </w:t>
      </w:r>
      <w:r>
        <w:rPr>
          <w:rFonts w:ascii="Tahoma" w:hAnsi="Tahoma" w:hint="cs"/>
          <w:rtl/>
        </w:rPr>
        <w:t xml:space="preserve">לפי הוראות </w:t>
      </w:r>
      <w:hyperlink r:id="rId34" w:history="1">
        <w:r w:rsidR="00AE0E4C" w:rsidRPr="00AE0E4C">
          <w:rPr>
            <w:rFonts w:ascii="Tahoma" w:hAnsi="Tahoma"/>
            <w:color w:val="0000FF"/>
            <w:u w:val="single"/>
            <w:rtl/>
          </w:rPr>
          <w:t>פקודת הסמים המסוכנים</w:t>
        </w:r>
      </w:hyperlink>
      <w:r>
        <w:rPr>
          <w:rFonts w:ascii="Tahoma" w:hAnsi="Tahoma" w:hint="cs"/>
          <w:rtl/>
        </w:rPr>
        <w:t xml:space="preserve"> מסוג פשע.</w:t>
      </w:r>
    </w:p>
    <w:p w14:paraId="060C3C3F" w14:textId="77777777" w:rsidR="00B61280" w:rsidRDefault="00B61280" w:rsidP="00B61280">
      <w:pPr>
        <w:spacing w:after="120" w:line="360" w:lineRule="auto"/>
        <w:ind w:left="1080" w:hanging="720"/>
        <w:jc w:val="both"/>
        <w:rPr>
          <w:rtl/>
        </w:rPr>
      </w:pPr>
      <w:r>
        <w:rPr>
          <w:rFonts w:hint="cs"/>
          <w:rtl/>
        </w:rPr>
        <w:t>(ב)</w:t>
      </w:r>
      <w:r>
        <w:rPr>
          <w:rtl/>
        </w:rPr>
        <w:tab/>
      </w:r>
      <w:r>
        <w:rPr>
          <w:rFonts w:hint="cs"/>
          <w:rtl/>
        </w:rPr>
        <w:t>קנס בסך של 5,000 ₪, או חודש מאסר תמורתו.</w:t>
      </w:r>
    </w:p>
    <w:p w14:paraId="1E6FF4A3" w14:textId="77777777" w:rsidR="00B61280" w:rsidRDefault="00B61280" w:rsidP="00B61280">
      <w:pPr>
        <w:spacing w:after="120" w:line="360" w:lineRule="auto"/>
        <w:ind w:left="1080"/>
        <w:jc w:val="both"/>
        <w:rPr>
          <w:rFonts w:ascii="Tahoma" w:hAnsi="Tahoma"/>
          <w:rtl/>
        </w:rPr>
      </w:pPr>
      <w:r>
        <w:rPr>
          <w:rFonts w:hint="cs"/>
          <w:rtl/>
        </w:rPr>
        <w:t>הקנס ישולם ב-10 תשלומים חודשיים, שווים ורצופים, החל מיום 01.11.2023 ובכל אחד בחודש שלאחריו. היה והנאשמת לא תשלם את אחד התשלומים במועד תועמד כל יתרת הקנס לפירעון מידי.</w:t>
      </w:r>
    </w:p>
    <w:p w14:paraId="4808CA16" w14:textId="77777777" w:rsidR="00B61280" w:rsidRPr="00B61280" w:rsidRDefault="00AE0E4C" w:rsidP="00B61280">
      <w:pPr>
        <w:spacing w:after="120" w:line="360" w:lineRule="auto"/>
        <w:ind w:left="1080" w:hanging="720"/>
        <w:jc w:val="both"/>
        <w:rPr>
          <w:rFonts w:ascii="Calibri" w:hAnsi="Calibri"/>
          <w:rtl/>
        </w:rPr>
      </w:pPr>
      <w:r w:rsidRPr="00AE0E4C">
        <w:rPr>
          <w:rFonts w:ascii="Calibri" w:hAnsi="Calibri"/>
          <w:color w:val="FFFFFF"/>
          <w:sz w:val="2"/>
          <w:szCs w:val="2"/>
          <w:rtl/>
        </w:rPr>
        <w:t>5129371</w:t>
      </w:r>
      <w:r w:rsidR="00B61280" w:rsidRPr="00B61280">
        <w:rPr>
          <w:rFonts w:ascii="Calibri" w:hAnsi="Calibri" w:hint="cs"/>
          <w:rtl/>
        </w:rPr>
        <w:t>(ג)</w:t>
      </w:r>
      <w:r w:rsidR="00B61280" w:rsidRPr="00B61280">
        <w:rPr>
          <w:rFonts w:ascii="Calibri" w:hAnsi="Calibri"/>
          <w:rtl/>
        </w:rPr>
        <w:tab/>
      </w:r>
      <w:r w:rsidR="00B61280" w:rsidRPr="00B61280">
        <w:rPr>
          <w:rFonts w:ascii="Calibri" w:hAnsi="Calibri" w:hint="cs"/>
          <w:rtl/>
        </w:rPr>
        <w:t>חילוט הכסף בסך 3,080 ₪ שנתפס ברשות הנאשמת, כאמור בהודעה שבסיפא לכתב האישום המתוקן בתיק העיקרי.</w:t>
      </w:r>
    </w:p>
    <w:p w14:paraId="143D82AA" w14:textId="77777777" w:rsidR="00B61280" w:rsidRDefault="00AE0E4C" w:rsidP="00B61280">
      <w:pPr>
        <w:spacing w:after="120" w:line="360" w:lineRule="auto"/>
        <w:jc w:val="both"/>
        <w:rPr>
          <w:rtl/>
        </w:rPr>
      </w:pPr>
      <w:r w:rsidRPr="00AE0E4C">
        <w:rPr>
          <w:color w:val="FFFFFF"/>
          <w:sz w:val="2"/>
          <w:szCs w:val="2"/>
          <w:rtl/>
        </w:rPr>
        <w:t>54678313</w:t>
      </w:r>
      <w:r w:rsidR="00B61280">
        <w:rPr>
          <w:rFonts w:hint="cs"/>
          <w:rtl/>
        </w:rPr>
        <w:t>ניתן בזה צו כללי, לעניין מוצגים, לשיקול דעתו של קצין משטרה. הסמים יושמדו. הטלפון הנייד והרכב (</w:t>
      </w:r>
      <w:r w:rsidR="00B61280" w:rsidRPr="00B61280">
        <w:rPr>
          <w:rFonts w:ascii="Calibri" w:hAnsi="Calibri" w:hint="cs"/>
          <w:rtl/>
        </w:rPr>
        <w:t>המצוינים בהודעה שבסיפא לכתב האישום המתוקן בתיק העיקרי</w:t>
      </w:r>
      <w:r w:rsidR="00B61280">
        <w:rPr>
          <w:rFonts w:hint="cs"/>
          <w:rtl/>
        </w:rPr>
        <w:t>) יושבו לנאשמת, ככל שטרם הושבו לה.</w:t>
      </w:r>
    </w:p>
    <w:p w14:paraId="16CA70FA" w14:textId="77777777" w:rsidR="00B61280" w:rsidRDefault="00B61280" w:rsidP="00B61280">
      <w:pPr>
        <w:snapToGrid w:val="0"/>
        <w:spacing w:after="120" w:line="360" w:lineRule="auto"/>
        <w:jc w:val="both"/>
        <w:rPr>
          <w:rtl/>
        </w:rPr>
      </w:pPr>
      <w:r>
        <w:rPr>
          <w:rFonts w:hint="cs"/>
          <w:rtl/>
        </w:rPr>
        <w:t>זכות ערעור בתוך 45 יום מהיום.</w:t>
      </w:r>
    </w:p>
    <w:p w14:paraId="6F5CE9A7" w14:textId="77777777" w:rsidR="00B61280" w:rsidRPr="000F2247" w:rsidRDefault="00AE0E4C" w:rsidP="00B61280">
      <w:pPr>
        <w:spacing w:line="360" w:lineRule="auto"/>
        <w:jc w:val="both"/>
        <w:rPr>
          <w:rFonts w:ascii="Arial" w:hAnsi="Arial"/>
          <w:b/>
          <w:bCs/>
          <w:sz w:val="26"/>
          <w:szCs w:val="26"/>
          <w:rtl/>
        </w:rPr>
      </w:pPr>
      <w:bookmarkStart w:id="8" w:name="Nitan"/>
      <w:r>
        <w:rPr>
          <w:rFonts w:ascii="Arial" w:hAnsi="Arial"/>
          <w:rtl/>
        </w:rPr>
        <w:t xml:space="preserve">ניתן היום, י"א תשרי תשפ"ד, 26 ספטמבר 2023, במעמד הצדדים. </w:t>
      </w:r>
      <w:bookmarkEnd w:id="8"/>
      <w:r w:rsidR="00B61280">
        <w:rPr>
          <w:rFonts w:ascii="Arial" w:hAnsi="Arial"/>
          <w:b/>
          <w:bCs/>
          <w:sz w:val="26"/>
          <w:szCs w:val="26"/>
          <w:rtl/>
        </w:rPr>
        <w:tab/>
      </w:r>
      <w:r w:rsidR="00B61280">
        <w:rPr>
          <w:rFonts w:ascii="Arial" w:hAnsi="Arial"/>
          <w:b/>
          <w:bCs/>
          <w:sz w:val="26"/>
          <w:szCs w:val="26"/>
          <w:rtl/>
        </w:rPr>
        <w:tab/>
      </w:r>
      <w:r w:rsidR="00B61280">
        <w:rPr>
          <w:rFonts w:ascii="Arial" w:hAnsi="Arial"/>
          <w:b/>
          <w:bCs/>
          <w:sz w:val="26"/>
          <w:szCs w:val="26"/>
          <w:rtl/>
        </w:rPr>
        <w:tab/>
      </w:r>
      <w:r w:rsidR="00B61280">
        <w:rPr>
          <w:rFonts w:ascii="Arial" w:hAnsi="Arial"/>
          <w:b/>
          <w:bCs/>
          <w:sz w:val="26"/>
          <w:szCs w:val="26"/>
          <w:rtl/>
        </w:rPr>
        <w:tab/>
      </w:r>
      <w:r w:rsidR="00B61280">
        <w:rPr>
          <w:rFonts w:ascii="Arial" w:hAnsi="Arial"/>
          <w:b/>
          <w:bCs/>
          <w:sz w:val="26"/>
          <w:szCs w:val="26"/>
          <w:rtl/>
        </w:rPr>
        <w:tab/>
      </w:r>
      <w:r w:rsidR="00B61280">
        <w:rPr>
          <w:rFonts w:ascii="Arial" w:hAnsi="Arial"/>
          <w:b/>
          <w:bCs/>
          <w:sz w:val="26"/>
          <w:szCs w:val="26"/>
          <w:rtl/>
        </w:rPr>
        <w:tab/>
      </w:r>
      <w:r w:rsidR="00B61280">
        <w:rPr>
          <w:rFonts w:ascii="Arial" w:hAnsi="Arial"/>
          <w:b/>
          <w:bCs/>
          <w:sz w:val="26"/>
          <w:szCs w:val="26"/>
          <w:rtl/>
        </w:rPr>
        <w:tab/>
      </w:r>
      <w:r w:rsidR="00B61280">
        <w:rPr>
          <w:rFonts w:ascii="Arial" w:hAnsi="Arial" w:hint="cs"/>
          <w:b/>
          <w:bCs/>
          <w:sz w:val="26"/>
          <w:szCs w:val="26"/>
          <w:rtl/>
        </w:rPr>
        <w:t xml:space="preserve">         </w:t>
      </w:r>
    </w:p>
    <w:p w14:paraId="5A7CACC5" w14:textId="77777777" w:rsidR="00B61280" w:rsidRPr="000F2247" w:rsidRDefault="00B61280" w:rsidP="00AE0E4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BFCDA34" w14:textId="77777777" w:rsidR="00B61280" w:rsidRPr="000F2247" w:rsidRDefault="00B61280" w:rsidP="00B61280">
      <w:pPr>
        <w:jc w:val="center"/>
        <w:rPr>
          <w:rFonts w:ascii="Arial" w:hAnsi="Arial"/>
          <w:b/>
          <w:bCs/>
          <w:sz w:val="26"/>
          <w:szCs w:val="26"/>
          <w:rtl/>
        </w:rPr>
      </w:pPr>
    </w:p>
    <w:p w14:paraId="2E4BF886" w14:textId="77777777" w:rsidR="00DF0979" w:rsidRPr="00AE0E4C" w:rsidRDefault="00DF0979" w:rsidP="00AE0E4C">
      <w:pPr>
        <w:keepNext/>
        <w:rPr>
          <w:rFonts w:ascii="David" w:hAnsi="David"/>
          <w:color w:val="000000"/>
          <w:sz w:val="22"/>
          <w:szCs w:val="22"/>
          <w:rtl/>
        </w:rPr>
      </w:pPr>
    </w:p>
    <w:p w14:paraId="3389FB6E" w14:textId="77777777" w:rsidR="00AE0E4C" w:rsidRPr="00AE0E4C" w:rsidRDefault="00AE0E4C" w:rsidP="00AE0E4C">
      <w:pPr>
        <w:keepNext/>
        <w:rPr>
          <w:rFonts w:ascii="David" w:hAnsi="David"/>
          <w:color w:val="000000"/>
          <w:sz w:val="22"/>
          <w:szCs w:val="22"/>
          <w:rtl/>
        </w:rPr>
      </w:pPr>
      <w:r w:rsidRPr="00AE0E4C">
        <w:rPr>
          <w:rFonts w:ascii="David" w:hAnsi="David"/>
          <w:color w:val="000000"/>
          <w:sz w:val="22"/>
          <w:szCs w:val="22"/>
          <w:rtl/>
        </w:rPr>
        <w:t>שאול אבינור 54678313</w:t>
      </w:r>
    </w:p>
    <w:p w14:paraId="4F7F8121" w14:textId="77777777" w:rsidR="00AE0E4C" w:rsidRDefault="00AE0E4C" w:rsidP="00AE0E4C">
      <w:r w:rsidRPr="00AE0E4C">
        <w:rPr>
          <w:color w:val="000000"/>
          <w:rtl/>
        </w:rPr>
        <w:t>נוסח מסמך זה כפוף לשינויי ניסוח ועריכה</w:t>
      </w:r>
    </w:p>
    <w:p w14:paraId="6989A47B" w14:textId="77777777" w:rsidR="00AE0E4C" w:rsidRDefault="00AE0E4C" w:rsidP="00AE0E4C">
      <w:pPr>
        <w:rPr>
          <w:rtl/>
        </w:rPr>
      </w:pPr>
    </w:p>
    <w:p w14:paraId="6077E630" w14:textId="77777777" w:rsidR="00AE0E4C" w:rsidRDefault="00AE0E4C" w:rsidP="00AE0E4C">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72C6A1AA" w14:textId="77777777" w:rsidR="00AE0E4C" w:rsidRPr="00AE0E4C" w:rsidRDefault="00AE0E4C" w:rsidP="00AE0E4C">
      <w:pPr>
        <w:jc w:val="center"/>
        <w:rPr>
          <w:color w:val="0000FF"/>
          <w:u w:val="single"/>
        </w:rPr>
      </w:pPr>
    </w:p>
    <w:sectPr w:rsidR="00AE0E4C" w:rsidRPr="00AE0E4C" w:rsidSect="00AE0E4C">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A7037" w14:textId="77777777" w:rsidR="001A47C2" w:rsidRDefault="001A47C2" w:rsidP="00437F36">
      <w:r>
        <w:separator/>
      </w:r>
    </w:p>
  </w:endnote>
  <w:endnote w:type="continuationSeparator" w:id="0">
    <w:p w14:paraId="2FC21BBE" w14:textId="77777777" w:rsidR="001A47C2" w:rsidRDefault="001A47C2" w:rsidP="00437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C5A8B" w14:textId="77777777" w:rsidR="00AE0E4C" w:rsidRDefault="00AE0E4C" w:rsidP="00AE0E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40A6A39" w14:textId="77777777" w:rsidR="00B70623" w:rsidRPr="00AE0E4C" w:rsidRDefault="00AE0E4C" w:rsidP="00AE0E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2481E" w14:textId="77777777" w:rsidR="00AE0E4C" w:rsidRDefault="00AE0E4C" w:rsidP="00AE0E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3617">
      <w:rPr>
        <w:rFonts w:ascii="FrankRuehl" w:hAnsi="FrankRuehl" w:cs="FrankRuehl"/>
        <w:noProof/>
        <w:rtl/>
      </w:rPr>
      <w:t>1</w:t>
    </w:r>
    <w:r>
      <w:rPr>
        <w:rFonts w:ascii="FrankRuehl" w:hAnsi="FrankRuehl" w:cs="FrankRuehl"/>
        <w:rtl/>
      </w:rPr>
      <w:fldChar w:fldCharType="end"/>
    </w:r>
  </w:p>
  <w:p w14:paraId="57E567C9" w14:textId="77777777" w:rsidR="00B70623" w:rsidRPr="00AE0E4C" w:rsidRDefault="00AE0E4C" w:rsidP="00AE0E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7BF13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3A487" w14:textId="77777777" w:rsidR="001A47C2" w:rsidRDefault="001A47C2" w:rsidP="00437F36">
      <w:r>
        <w:separator/>
      </w:r>
    </w:p>
  </w:footnote>
  <w:footnote w:type="continuationSeparator" w:id="0">
    <w:p w14:paraId="736E0FC5" w14:textId="77777777" w:rsidR="001A47C2" w:rsidRDefault="001A47C2" w:rsidP="00437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22A1D" w14:textId="77777777" w:rsidR="00AE0E4C" w:rsidRPr="00AE0E4C" w:rsidRDefault="00AE0E4C" w:rsidP="00AE0E4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28435-02-22</w:t>
    </w:r>
    <w:r>
      <w:rPr>
        <w:rFonts w:ascii="David" w:hAnsi="David"/>
        <w:color w:val="000000"/>
        <w:sz w:val="22"/>
        <w:szCs w:val="22"/>
        <w:rtl/>
      </w:rPr>
      <w:tab/>
      <w:t xml:space="preserve"> מדינת ישראל נ' ג'וליה רובס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37161" w14:textId="77777777" w:rsidR="00AE0E4C" w:rsidRPr="00AE0E4C" w:rsidRDefault="00AE0E4C" w:rsidP="00AE0E4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28435-02-22</w:t>
    </w:r>
    <w:r>
      <w:rPr>
        <w:rFonts w:ascii="David" w:hAnsi="David"/>
        <w:color w:val="000000"/>
        <w:sz w:val="22"/>
        <w:szCs w:val="22"/>
        <w:rtl/>
      </w:rPr>
      <w:tab/>
      <w:t xml:space="preserve"> מדינת ישראל נ' ג'וליה רובס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B42E8"/>
    <w:multiLevelType w:val="hybridMultilevel"/>
    <w:tmpl w:val="091EFF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0C4461A"/>
    <w:multiLevelType w:val="hybridMultilevel"/>
    <w:tmpl w:val="5B6EE736"/>
    <w:lvl w:ilvl="0" w:tplc="AA6A28DC">
      <w:start w:val="1"/>
      <w:numFmt w:val="decimal"/>
      <w:lvlText w:val="%1."/>
      <w:lvlJc w:val="left"/>
      <w:pPr>
        <w:ind w:left="720" w:hanging="360"/>
      </w:pPr>
      <w:rPr>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B65310C"/>
    <w:multiLevelType w:val="hybridMultilevel"/>
    <w:tmpl w:val="9448F7A0"/>
    <w:lvl w:ilvl="0" w:tplc="29AC2444">
      <w:start w:val="1"/>
      <w:numFmt w:val="hebrew1"/>
      <w:lvlText w:val="%1."/>
      <w:lvlJc w:val="left"/>
      <w:pPr>
        <w:ind w:left="728" w:hanging="360"/>
      </w:pPr>
      <w:rPr>
        <w:strike w:val="0"/>
        <w:dstrike w:val="0"/>
        <w:u w:val="none"/>
        <w:effect w:val="none"/>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num w:numId="1" w16cid:durableId="2907900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05597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846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1280"/>
    <w:rsid w:val="0010546D"/>
    <w:rsid w:val="001A47C2"/>
    <w:rsid w:val="001B5A3B"/>
    <w:rsid w:val="00352081"/>
    <w:rsid w:val="00407E24"/>
    <w:rsid w:val="00437F36"/>
    <w:rsid w:val="004B297C"/>
    <w:rsid w:val="004D0125"/>
    <w:rsid w:val="0058075B"/>
    <w:rsid w:val="006A3617"/>
    <w:rsid w:val="00AE0E4C"/>
    <w:rsid w:val="00B61280"/>
    <w:rsid w:val="00B70623"/>
    <w:rsid w:val="00BA097F"/>
    <w:rsid w:val="00DF0979"/>
    <w:rsid w:val="00F051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CFE823"/>
  <w15:chartTrackingRefBased/>
  <w15:docId w15:val="{A518389D-50C8-4328-B8E7-4EA4BCF0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128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61280"/>
    <w:pPr>
      <w:tabs>
        <w:tab w:val="center" w:pos="4153"/>
        <w:tab w:val="right" w:pos="8306"/>
      </w:tabs>
    </w:pPr>
  </w:style>
  <w:style w:type="character" w:customStyle="1" w:styleId="a4">
    <w:name w:val="כותרת עליונה תו"/>
    <w:link w:val="a3"/>
    <w:rsid w:val="00B61280"/>
    <w:rPr>
      <w:rFonts w:ascii="Times New Roman" w:eastAsia="Times New Roman" w:hAnsi="Times New Roman" w:cs="David"/>
      <w:sz w:val="24"/>
      <w:szCs w:val="24"/>
    </w:rPr>
  </w:style>
  <w:style w:type="paragraph" w:styleId="a5">
    <w:name w:val="footer"/>
    <w:basedOn w:val="a"/>
    <w:link w:val="a6"/>
    <w:rsid w:val="00B61280"/>
    <w:pPr>
      <w:tabs>
        <w:tab w:val="center" w:pos="4153"/>
        <w:tab w:val="right" w:pos="8306"/>
      </w:tabs>
    </w:pPr>
  </w:style>
  <w:style w:type="character" w:customStyle="1" w:styleId="a6">
    <w:name w:val="כותרת תחתונה תו"/>
    <w:link w:val="a5"/>
    <w:rsid w:val="00B61280"/>
    <w:rPr>
      <w:rFonts w:ascii="Times New Roman" w:eastAsia="Times New Roman" w:hAnsi="Times New Roman" w:cs="David"/>
      <w:sz w:val="24"/>
      <w:szCs w:val="24"/>
    </w:rPr>
  </w:style>
  <w:style w:type="table" w:styleId="a7">
    <w:name w:val="Table Grid"/>
    <w:basedOn w:val="a1"/>
    <w:rsid w:val="00B6128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61280"/>
  </w:style>
  <w:style w:type="paragraph" w:styleId="a9">
    <w:name w:val="List Paragraph"/>
    <w:basedOn w:val="a"/>
    <w:qFormat/>
    <w:rsid w:val="00B61280"/>
    <w:pPr>
      <w:ind w:left="720"/>
      <w:contextualSpacing/>
    </w:pPr>
    <w:rPr>
      <w:rFonts w:ascii="Arial (W1)" w:hAnsi="Arial (W1)"/>
    </w:rPr>
  </w:style>
  <w:style w:type="character" w:styleId="Hyperlink">
    <w:name w:val="Hyperlink"/>
    <w:rsid w:val="00AE0E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70301/40i" TargetMode="External"/><Relationship Id="rId39" Type="http://schemas.openxmlformats.org/officeDocument/2006/relationships/footer" Target="footer2.xml"/><Relationship Id="rId21" Type="http://schemas.openxmlformats.org/officeDocument/2006/relationships/hyperlink" Target="http://www.nevo.co.il/case/29396498"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9588398" TargetMode="External"/><Relationship Id="rId20" Type="http://schemas.openxmlformats.org/officeDocument/2006/relationships/hyperlink" Target="http://www.nevo.co.il/case/27795875" TargetMode="External"/><Relationship Id="rId29" Type="http://schemas.openxmlformats.org/officeDocument/2006/relationships/hyperlink" Target="http://www.nevo.co.il/law/70301/40ja"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 TargetMode="External"/><Relationship Id="rId24" Type="http://schemas.openxmlformats.org/officeDocument/2006/relationships/hyperlink" Target="http://www.nevo.co.il/law/70301/40jc" TargetMode="External"/><Relationship Id="rId32" Type="http://schemas.openxmlformats.org/officeDocument/2006/relationships/hyperlink" Target="http://www.nevo.co.il/law/7030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hyperlink" Target="http://www.nevo.co.il/law/70301/40c" TargetMode="External"/><Relationship Id="rId28" Type="http://schemas.openxmlformats.org/officeDocument/2006/relationships/hyperlink" Target="http://www.nevo.co.il/case/28407046"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40d"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7085430"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0d"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1728</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10349</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6619233</vt:i4>
      </vt:variant>
      <vt:variant>
        <vt:i4>78</vt:i4>
      </vt:variant>
      <vt:variant>
        <vt:i4>0</vt:i4>
      </vt:variant>
      <vt:variant>
        <vt:i4>5</vt:i4>
      </vt:variant>
      <vt:variant>
        <vt:lpwstr>http://www.nevo.co.il/law/70301/40d</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7995492</vt:i4>
      </vt:variant>
      <vt:variant>
        <vt:i4>69</vt:i4>
      </vt:variant>
      <vt:variant>
        <vt:i4>0</vt:i4>
      </vt:variant>
      <vt:variant>
        <vt:i4>5</vt:i4>
      </vt:variant>
      <vt:variant>
        <vt:lpwstr>http://www.nevo.co.il/law/70301</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3473532</vt:i4>
      </vt:variant>
      <vt:variant>
        <vt:i4>63</vt:i4>
      </vt:variant>
      <vt:variant>
        <vt:i4>0</vt:i4>
      </vt:variant>
      <vt:variant>
        <vt:i4>5</vt:i4>
      </vt:variant>
      <vt:variant>
        <vt:lpwstr>http://www.nevo.co.il/case/28407046</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7995492</vt:i4>
      </vt:variant>
      <vt:variant>
        <vt:i4>54</vt:i4>
      </vt:variant>
      <vt:variant>
        <vt:i4>0</vt:i4>
      </vt:variant>
      <vt:variant>
        <vt:i4>5</vt:i4>
      </vt:variant>
      <vt:variant>
        <vt:lpwstr>http://www.nevo.co.il/law/70301</vt:lpwstr>
      </vt:variant>
      <vt:variant>
        <vt:lpwstr/>
      </vt:variant>
      <vt:variant>
        <vt:i4>393227</vt:i4>
      </vt:variant>
      <vt:variant>
        <vt:i4>51</vt:i4>
      </vt:variant>
      <vt:variant>
        <vt:i4>0</vt:i4>
      </vt:variant>
      <vt:variant>
        <vt:i4>5</vt:i4>
      </vt:variant>
      <vt:variant>
        <vt:lpwstr>http://www.nevo.co.il/law/70301/40jc</vt:lpwstr>
      </vt:variant>
      <vt:variant>
        <vt:lpwstr/>
      </vt:variant>
      <vt:variant>
        <vt:i4>6619233</vt:i4>
      </vt:variant>
      <vt:variant>
        <vt:i4>48</vt:i4>
      </vt:variant>
      <vt:variant>
        <vt:i4>0</vt:i4>
      </vt:variant>
      <vt:variant>
        <vt:i4>5</vt:i4>
      </vt:variant>
      <vt:variant>
        <vt:lpwstr>http://www.nevo.co.il/law/70301/40c</vt:lpwstr>
      </vt:variant>
      <vt:variant>
        <vt:lpwstr/>
      </vt:variant>
      <vt:variant>
        <vt:i4>3407999</vt:i4>
      </vt:variant>
      <vt:variant>
        <vt:i4>45</vt:i4>
      </vt:variant>
      <vt:variant>
        <vt:i4>0</vt:i4>
      </vt:variant>
      <vt:variant>
        <vt:i4>5</vt:i4>
      </vt:variant>
      <vt:variant>
        <vt:lpwstr>http://www.nevo.co.il/case/27085430</vt:lpwstr>
      </vt:variant>
      <vt:variant>
        <vt:lpwstr/>
      </vt:variant>
      <vt:variant>
        <vt:i4>4063344</vt:i4>
      </vt:variant>
      <vt:variant>
        <vt:i4>42</vt:i4>
      </vt:variant>
      <vt:variant>
        <vt:i4>0</vt:i4>
      </vt:variant>
      <vt:variant>
        <vt:i4>5</vt:i4>
      </vt:variant>
      <vt:variant>
        <vt:lpwstr>http://www.nevo.co.il/case/29396498</vt:lpwstr>
      </vt:variant>
      <vt:variant>
        <vt:lpwstr/>
      </vt:variant>
      <vt:variant>
        <vt:i4>3604594</vt:i4>
      </vt:variant>
      <vt:variant>
        <vt:i4>39</vt:i4>
      </vt:variant>
      <vt:variant>
        <vt:i4>0</vt:i4>
      </vt:variant>
      <vt:variant>
        <vt:i4>5</vt:i4>
      </vt:variant>
      <vt:variant>
        <vt:lpwstr>http://www.nevo.co.il/case/27795875</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3539062</vt:i4>
      </vt:variant>
      <vt:variant>
        <vt:i4>27</vt:i4>
      </vt:variant>
      <vt:variant>
        <vt:i4>0</vt:i4>
      </vt:variant>
      <vt:variant>
        <vt:i4>5</vt:i4>
      </vt:variant>
      <vt:variant>
        <vt:lpwstr>http://www.nevo.co.il/case/29588398</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2025-04-23T01:22:00Z</dcterms:created>
  <dcterms:modified xsi:type="dcterms:W3CDTF">2025-04-23T01:22:00Z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28435</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ג'וליה רובס</vt:lpwstr>
  </property>
  <property fmtid="{D5CDD505-2E9C-101B-9397-08002B2CF9AE}" pid="10" name="LAWYER">
    <vt:lpwstr>ספיר שחף יגר;שי רודה</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20230926</vt:lpwstr>
  </property>
  <property fmtid="{D5CDD505-2E9C-101B-9397-08002B2CF9AE}" pid="14" name="TYPE_N_DATE">
    <vt:lpwstr>38020230926</vt:lpwstr>
  </property>
  <property fmtid="{D5CDD505-2E9C-101B-9397-08002B2CF9AE}" pid="15" name="WORDNUMPAGES">
    <vt:lpwstr>5</vt:lpwstr>
  </property>
  <property fmtid="{D5CDD505-2E9C-101B-9397-08002B2CF9AE}" pid="16" name="TYPE_ABS_DATE">
    <vt:lpwstr>380020230926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29588398;27795875;29396498;27085430;28407046</vt:lpwstr>
  </property>
  <property fmtid="{D5CDD505-2E9C-101B-9397-08002B2CF9AE}" pid="36" name="LAWLISTTMP1">
    <vt:lpwstr>4216/007.a;007.c</vt:lpwstr>
  </property>
  <property fmtid="{D5CDD505-2E9C-101B-9397-08002B2CF9AE}" pid="37" name="LAWLISTTMP2">
    <vt:lpwstr>70301/040c;40jc;040i;40ja;040d:2</vt:lpwstr>
  </property>
</Properties>
</file>