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B4C96" w:rsidRPr="001D59A9" w14:paraId="462F6295" w14:textId="77777777" w:rsidTr="007320F2">
        <w:trPr>
          <w:gridAfter w:val="1"/>
          <w:wAfter w:w="99" w:type="dxa"/>
          <w:trHeight w:hRule="exact" w:val="418"/>
          <w:jc w:val="center"/>
        </w:trPr>
        <w:tc>
          <w:tcPr>
            <w:tcW w:w="8721" w:type="dxa"/>
            <w:gridSpan w:val="4"/>
          </w:tcPr>
          <w:p w14:paraId="6D78966A" w14:textId="77777777" w:rsidR="009B4C96" w:rsidRPr="001D59A9" w:rsidRDefault="009B4C96" w:rsidP="00A16F9B">
            <w:pPr>
              <w:pStyle w:val="a3"/>
              <w:jc w:val="center"/>
              <w:rPr>
                <w:rFonts w:ascii="Tahoma" w:hAnsi="Tahoma" w:cs="Tahoma"/>
                <w:color w:val="000080"/>
                <w:rtl/>
              </w:rPr>
            </w:pPr>
            <w:bookmarkStart w:id="0" w:name="LastJudge"/>
            <w:r w:rsidRPr="001D59A9">
              <w:rPr>
                <w:rFonts w:ascii="Tahoma" w:hAnsi="Tahoma" w:cs="Tahoma"/>
                <w:b/>
                <w:bCs/>
                <w:color w:val="000080"/>
                <w:rtl/>
              </w:rPr>
              <w:t>בית משפט השלום בקריות</w:t>
            </w:r>
          </w:p>
        </w:tc>
      </w:tr>
      <w:tr w:rsidR="009B4C96" w:rsidRPr="001D59A9" w14:paraId="24608583" w14:textId="77777777" w:rsidTr="007320F2">
        <w:trPr>
          <w:gridAfter w:val="1"/>
          <w:wAfter w:w="99" w:type="dxa"/>
          <w:trHeight w:val="337"/>
          <w:jc w:val="center"/>
        </w:trPr>
        <w:tc>
          <w:tcPr>
            <w:tcW w:w="5054" w:type="dxa"/>
            <w:gridSpan w:val="3"/>
          </w:tcPr>
          <w:p w14:paraId="22E5D48F" w14:textId="77777777" w:rsidR="009B4C96" w:rsidRPr="001D59A9" w:rsidRDefault="009B4C96" w:rsidP="00A16F9B">
            <w:pPr>
              <w:rPr>
                <w:rFonts w:cs="FrankRuehl"/>
                <w:sz w:val="28"/>
                <w:szCs w:val="28"/>
                <w:rtl/>
              </w:rPr>
            </w:pPr>
            <w:r w:rsidRPr="001D59A9">
              <w:rPr>
                <w:rFonts w:cs="FrankRuehl"/>
                <w:sz w:val="28"/>
                <w:szCs w:val="28"/>
                <w:rtl/>
              </w:rPr>
              <w:t>ת"פ</w:t>
            </w:r>
            <w:r w:rsidRPr="001D59A9">
              <w:rPr>
                <w:rFonts w:cs="FrankRuehl" w:hint="cs"/>
                <w:sz w:val="28"/>
                <w:szCs w:val="28"/>
                <w:rtl/>
              </w:rPr>
              <w:t xml:space="preserve"> </w:t>
            </w:r>
            <w:r w:rsidRPr="001D59A9">
              <w:rPr>
                <w:rFonts w:cs="FrankRuehl"/>
                <w:sz w:val="28"/>
                <w:szCs w:val="28"/>
                <w:rtl/>
              </w:rPr>
              <w:t>30678-02-22</w:t>
            </w:r>
            <w:r w:rsidRPr="001D59A9">
              <w:rPr>
                <w:rFonts w:cs="FrankRuehl" w:hint="cs"/>
                <w:sz w:val="28"/>
                <w:szCs w:val="28"/>
                <w:rtl/>
              </w:rPr>
              <w:t xml:space="preserve"> </w:t>
            </w:r>
            <w:r w:rsidRPr="001D59A9">
              <w:rPr>
                <w:rFonts w:cs="FrankRuehl"/>
                <w:sz w:val="28"/>
                <w:szCs w:val="28"/>
                <w:rtl/>
              </w:rPr>
              <w:t>מדינת ישראל נ' מקמיל</w:t>
            </w:r>
          </w:p>
          <w:p w14:paraId="66183109" w14:textId="77777777" w:rsidR="009B4C96" w:rsidRPr="001D59A9" w:rsidRDefault="009B4C96" w:rsidP="00A16F9B">
            <w:pPr>
              <w:pStyle w:val="a3"/>
              <w:rPr>
                <w:rFonts w:cs="FrankRuehl"/>
                <w:sz w:val="28"/>
                <w:szCs w:val="28"/>
                <w:rtl/>
              </w:rPr>
            </w:pPr>
          </w:p>
        </w:tc>
        <w:tc>
          <w:tcPr>
            <w:tcW w:w="3667" w:type="dxa"/>
          </w:tcPr>
          <w:p w14:paraId="491E2439" w14:textId="77777777" w:rsidR="009B4C96" w:rsidRPr="001D59A9" w:rsidRDefault="009B4C96" w:rsidP="00A16F9B">
            <w:pPr>
              <w:pStyle w:val="a3"/>
              <w:jc w:val="right"/>
              <w:rPr>
                <w:rFonts w:cs="FrankRuehl"/>
                <w:sz w:val="28"/>
                <w:szCs w:val="28"/>
                <w:rtl/>
              </w:rPr>
            </w:pPr>
          </w:p>
        </w:tc>
      </w:tr>
      <w:tr w:rsidR="009B4C96" w:rsidRPr="001D59A9" w14:paraId="4B75956E" w14:textId="77777777" w:rsidTr="00732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5EEAE29" w14:textId="77777777" w:rsidR="009B4C96" w:rsidRPr="001D59A9" w:rsidRDefault="009B4C96" w:rsidP="009B4C96">
            <w:pPr>
              <w:jc w:val="both"/>
              <w:rPr>
                <w:rFonts w:ascii="David" w:hAnsi="David"/>
                <w:sz w:val="26"/>
                <w:szCs w:val="26"/>
              </w:rPr>
            </w:pPr>
            <w:r w:rsidRPr="001D59A9">
              <w:rPr>
                <w:rFonts w:hint="cs"/>
                <w:rtl/>
              </w:rPr>
              <w:t xml:space="preserve"> </w:t>
            </w:r>
            <w:r w:rsidRPr="001D59A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09C1DE1" w14:textId="77777777" w:rsidR="009B4C96" w:rsidRPr="001D59A9" w:rsidRDefault="009B4C96" w:rsidP="00A16F9B">
            <w:pPr>
              <w:rPr>
                <w:rFonts w:ascii="David" w:hAnsi="David"/>
                <w:b/>
                <w:bCs/>
                <w:sz w:val="26"/>
                <w:szCs w:val="26"/>
                <w:rtl/>
              </w:rPr>
            </w:pPr>
            <w:r w:rsidRPr="001D59A9">
              <w:rPr>
                <w:rFonts w:ascii="David" w:hAnsi="David"/>
                <w:b/>
                <w:bCs/>
                <w:sz w:val="26"/>
                <w:szCs w:val="26"/>
                <w:rtl/>
              </w:rPr>
              <w:t>כבוד השופטת  סימי פלג קימלוב</w:t>
            </w:r>
          </w:p>
          <w:p w14:paraId="1033296B" w14:textId="77777777" w:rsidR="009B4C96" w:rsidRPr="001D59A9" w:rsidRDefault="009B4C96" w:rsidP="00A16F9B">
            <w:pPr>
              <w:rPr>
                <w:rFonts w:ascii="David" w:hAnsi="David"/>
                <w:sz w:val="26"/>
                <w:szCs w:val="26"/>
                <w:rtl/>
              </w:rPr>
            </w:pPr>
          </w:p>
          <w:p w14:paraId="15C897D5" w14:textId="77777777" w:rsidR="009B4C96" w:rsidRPr="001D59A9" w:rsidRDefault="009B4C96" w:rsidP="009B4C96">
            <w:pPr>
              <w:jc w:val="both"/>
              <w:rPr>
                <w:rFonts w:ascii="David" w:hAnsi="David"/>
                <w:sz w:val="26"/>
                <w:szCs w:val="26"/>
              </w:rPr>
            </w:pPr>
          </w:p>
        </w:tc>
      </w:tr>
      <w:tr w:rsidR="009B4C96" w:rsidRPr="001D59A9" w14:paraId="375C5F27" w14:textId="77777777" w:rsidTr="00732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F268A3" w14:textId="77777777" w:rsidR="009B4C96" w:rsidRPr="001D59A9" w:rsidRDefault="009B4C96" w:rsidP="009B4C96">
            <w:pPr>
              <w:jc w:val="both"/>
              <w:rPr>
                <w:rFonts w:ascii="David" w:hAnsi="David"/>
                <w:sz w:val="26"/>
                <w:szCs w:val="26"/>
              </w:rPr>
            </w:pPr>
            <w:bookmarkStart w:id="1" w:name="FirstAppellant"/>
            <w:r w:rsidRPr="001D59A9">
              <w:rPr>
                <w:rFonts w:ascii="David" w:hAnsi="David"/>
                <w:sz w:val="26"/>
                <w:szCs w:val="26"/>
                <w:rtl/>
              </w:rPr>
              <w:t>בעניין:</w:t>
            </w:r>
          </w:p>
        </w:tc>
        <w:tc>
          <w:tcPr>
            <w:tcW w:w="3219" w:type="dxa"/>
            <w:tcBorders>
              <w:top w:val="nil"/>
              <w:left w:val="nil"/>
              <w:bottom w:val="nil"/>
              <w:right w:val="nil"/>
            </w:tcBorders>
            <w:shd w:val="clear" w:color="auto" w:fill="auto"/>
          </w:tcPr>
          <w:p w14:paraId="06A52097" w14:textId="77777777" w:rsidR="009B4C96" w:rsidRPr="001D59A9" w:rsidRDefault="009B4C96" w:rsidP="009B4C96">
            <w:pPr>
              <w:suppressLineNumbers/>
              <w:rPr>
                <w:rFonts w:ascii="David" w:hAnsi="David"/>
                <w:sz w:val="26"/>
                <w:szCs w:val="26"/>
              </w:rPr>
            </w:pPr>
            <w:r w:rsidRPr="001D59A9">
              <w:rPr>
                <w:rFonts w:ascii="Arial" w:hAnsi="Arial" w:hint="cs"/>
                <w:b/>
                <w:bCs/>
                <w:sz w:val="26"/>
                <w:szCs w:val="26"/>
                <w:rtl/>
              </w:rPr>
              <w:t>ה</w:t>
            </w:r>
            <w:r w:rsidRPr="001D59A9">
              <w:rPr>
                <w:rFonts w:ascii="Arial" w:hAnsi="Arial"/>
                <w:b/>
                <w:bCs/>
                <w:sz w:val="26"/>
                <w:szCs w:val="26"/>
                <w:rtl/>
              </w:rPr>
              <w:t>מאשימה</w:t>
            </w:r>
          </w:p>
        </w:tc>
        <w:tc>
          <w:tcPr>
            <w:tcW w:w="4678" w:type="dxa"/>
            <w:gridSpan w:val="3"/>
            <w:tcBorders>
              <w:top w:val="nil"/>
              <w:left w:val="nil"/>
              <w:bottom w:val="nil"/>
              <w:right w:val="nil"/>
            </w:tcBorders>
            <w:shd w:val="clear" w:color="auto" w:fill="auto"/>
            <w:vAlign w:val="center"/>
          </w:tcPr>
          <w:p w14:paraId="07DFFF93" w14:textId="77777777" w:rsidR="009B4C96" w:rsidRPr="001D59A9" w:rsidRDefault="009B4C96" w:rsidP="009B4C96">
            <w:pPr>
              <w:suppressLineNumbers/>
              <w:rPr>
                <w:rFonts w:ascii="David" w:hAnsi="David"/>
                <w:sz w:val="26"/>
                <w:szCs w:val="26"/>
              </w:rPr>
            </w:pPr>
            <w:r w:rsidRPr="001D59A9">
              <w:rPr>
                <w:rFonts w:ascii="Arial" w:hAnsi="Arial"/>
                <w:b/>
                <w:bCs/>
                <w:sz w:val="26"/>
                <w:szCs w:val="26"/>
                <w:rtl/>
              </w:rPr>
              <w:t>מדינת ישראל</w:t>
            </w:r>
            <w:r w:rsidRPr="001D59A9">
              <w:rPr>
                <w:rFonts w:ascii="Arial" w:hAnsi="Arial" w:hint="cs"/>
                <w:b/>
                <w:bCs/>
                <w:sz w:val="26"/>
                <w:szCs w:val="26"/>
                <w:rtl/>
              </w:rPr>
              <w:t xml:space="preserve"> </w:t>
            </w:r>
          </w:p>
        </w:tc>
      </w:tr>
      <w:bookmarkEnd w:id="1"/>
      <w:tr w:rsidR="009B4C96" w:rsidRPr="001D59A9" w14:paraId="0E155F80" w14:textId="77777777" w:rsidTr="00732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BB3036" w14:textId="77777777" w:rsidR="009B4C96" w:rsidRPr="001D59A9" w:rsidRDefault="009B4C96" w:rsidP="009B4C9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13567AD" w14:textId="77777777" w:rsidR="009B4C96" w:rsidRPr="001D59A9" w:rsidRDefault="009B4C96" w:rsidP="009B4C96">
            <w:pPr>
              <w:jc w:val="center"/>
              <w:rPr>
                <w:rFonts w:ascii="David" w:hAnsi="David"/>
                <w:b/>
                <w:bCs/>
                <w:sz w:val="26"/>
                <w:szCs w:val="26"/>
                <w:rtl/>
              </w:rPr>
            </w:pPr>
          </w:p>
          <w:p w14:paraId="38D72C98" w14:textId="77777777" w:rsidR="009B4C96" w:rsidRPr="001D59A9" w:rsidRDefault="009B4C96" w:rsidP="009B4C96">
            <w:pPr>
              <w:jc w:val="center"/>
              <w:rPr>
                <w:rFonts w:ascii="David" w:hAnsi="David"/>
                <w:b/>
                <w:bCs/>
                <w:sz w:val="26"/>
                <w:szCs w:val="26"/>
                <w:rtl/>
              </w:rPr>
            </w:pPr>
            <w:r w:rsidRPr="001D59A9">
              <w:rPr>
                <w:rFonts w:ascii="David" w:hAnsi="David"/>
                <w:b/>
                <w:bCs/>
                <w:sz w:val="26"/>
                <w:szCs w:val="26"/>
                <w:rtl/>
              </w:rPr>
              <w:t>נגד</w:t>
            </w:r>
          </w:p>
          <w:p w14:paraId="31D68768" w14:textId="77777777" w:rsidR="009B4C96" w:rsidRPr="001D59A9" w:rsidRDefault="009B4C96" w:rsidP="009B4C96">
            <w:pPr>
              <w:jc w:val="both"/>
              <w:rPr>
                <w:rFonts w:ascii="David" w:hAnsi="David"/>
                <w:sz w:val="26"/>
                <w:szCs w:val="26"/>
              </w:rPr>
            </w:pPr>
          </w:p>
        </w:tc>
      </w:tr>
      <w:tr w:rsidR="009B4C96" w:rsidRPr="001D59A9" w14:paraId="03C2A214" w14:textId="77777777" w:rsidTr="00732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FD663F" w14:textId="77777777" w:rsidR="009B4C96" w:rsidRPr="001D59A9" w:rsidRDefault="009B4C96" w:rsidP="00A16F9B">
            <w:pPr>
              <w:rPr>
                <w:rFonts w:ascii="David" w:hAnsi="David"/>
                <w:sz w:val="26"/>
                <w:szCs w:val="26"/>
                <w:rtl/>
              </w:rPr>
            </w:pPr>
          </w:p>
        </w:tc>
        <w:tc>
          <w:tcPr>
            <w:tcW w:w="3219" w:type="dxa"/>
            <w:tcBorders>
              <w:top w:val="nil"/>
              <w:left w:val="nil"/>
              <w:bottom w:val="nil"/>
              <w:right w:val="nil"/>
            </w:tcBorders>
            <w:shd w:val="clear" w:color="auto" w:fill="auto"/>
          </w:tcPr>
          <w:p w14:paraId="68487A4B" w14:textId="77777777" w:rsidR="009B4C96" w:rsidRPr="001D59A9" w:rsidRDefault="009B4C96" w:rsidP="00A16F9B">
            <w:pPr>
              <w:rPr>
                <w:rFonts w:ascii="Arial" w:hAnsi="Arial"/>
                <w:b/>
                <w:bCs/>
                <w:sz w:val="26"/>
                <w:szCs w:val="26"/>
                <w:rtl/>
              </w:rPr>
            </w:pPr>
            <w:r w:rsidRPr="001D59A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F886F4E" w14:textId="77777777" w:rsidR="009B4C96" w:rsidRPr="001D59A9" w:rsidRDefault="009B4C96" w:rsidP="009B4C96">
            <w:pPr>
              <w:suppressLineNumbers/>
            </w:pPr>
            <w:r w:rsidRPr="001D59A9">
              <w:rPr>
                <w:rFonts w:ascii="Arial" w:hAnsi="Arial"/>
                <w:b/>
                <w:bCs/>
                <w:sz w:val="26"/>
                <w:szCs w:val="26"/>
                <w:rtl/>
              </w:rPr>
              <w:t>אור מקמיל</w:t>
            </w:r>
            <w:r w:rsidRPr="001D59A9">
              <w:rPr>
                <w:rFonts w:ascii="Arial" w:hAnsi="Arial" w:hint="cs"/>
                <w:b/>
                <w:bCs/>
                <w:sz w:val="26"/>
                <w:szCs w:val="26"/>
                <w:rtl/>
              </w:rPr>
              <w:t xml:space="preserve"> </w:t>
            </w:r>
          </w:p>
          <w:p w14:paraId="7022D7ED" w14:textId="77777777" w:rsidR="009B4C96" w:rsidRPr="001D59A9" w:rsidRDefault="009B4C96" w:rsidP="00A16F9B">
            <w:pPr>
              <w:rPr>
                <w:rFonts w:ascii="David" w:hAnsi="David"/>
                <w:sz w:val="26"/>
                <w:szCs w:val="26"/>
              </w:rPr>
            </w:pPr>
          </w:p>
        </w:tc>
      </w:tr>
    </w:tbl>
    <w:p w14:paraId="5CD079DC" w14:textId="77777777" w:rsidR="007320F2" w:rsidRDefault="007320F2" w:rsidP="001D59A9">
      <w:pPr>
        <w:rPr>
          <w:sz w:val="26"/>
          <w:szCs w:val="26"/>
          <w:rtl/>
        </w:rPr>
      </w:pPr>
    </w:p>
    <w:p w14:paraId="44DFC749" w14:textId="77777777" w:rsidR="007320F2" w:rsidRPr="007320F2" w:rsidRDefault="007320F2" w:rsidP="007320F2">
      <w:pPr>
        <w:spacing w:after="120" w:line="240" w:lineRule="exact"/>
        <w:ind w:left="283" w:hanging="283"/>
        <w:jc w:val="both"/>
        <w:rPr>
          <w:rFonts w:ascii="FrankRuehl" w:hAnsi="FrankRuehl" w:cs="FrankRuehl"/>
          <w:rtl/>
        </w:rPr>
      </w:pPr>
    </w:p>
    <w:p w14:paraId="57ED179B" w14:textId="77777777" w:rsidR="00C77321" w:rsidRPr="00C77321" w:rsidRDefault="00C77321" w:rsidP="00C77321">
      <w:pPr>
        <w:spacing w:before="120" w:after="120" w:line="240" w:lineRule="exact"/>
        <w:ind w:left="283" w:hanging="283"/>
        <w:jc w:val="both"/>
        <w:rPr>
          <w:rFonts w:ascii="FrankRuehl" w:hAnsi="FrankRuehl" w:cs="FrankRuehl"/>
          <w:rtl/>
        </w:rPr>
      </w:pPr>
    </w:p>
    <w:p w14:paraId="3DAF7837" w14:textId="77777777" w:rsidR="00F07E9D" w:rsidRDefault="00F07E9D" w:rsidP="00F07E9D">
      <w:pPr>
        <w:rPr>
          <w:sz w:val="26"/>
          <w:szCs w:val="26"/>
          <w:rtl/>
        </w:rPr>
      </w:pPr>
      <w:bookmarkStart w:id="2" w:name="LawTable"/>
      <w:bookmarkEnd w:id="2"/>
    </w:p>
    <w:p w14:paraId="0FA3A6D5" w14:textId="77777777" w:rsidR="00F07E9D" w:rsidRPr="00F07E9D" w:rsidRDefault="00F07E9D" w:rsidP="00F07E9D">
      <w:pPr>
        <w:spacing w:before="120" w:after="120" w:line="240" w:lineRule="exact"/>
        <w:ind w:left="283" w:hanging="283"/>
        <w:jc w:val="both"/>
        <w:rPr>
          <w:rFonts w:ascii="FrankRuehl" w:hAnsi="FrankRuehl" w:cs="FrankRuehl"/>
          <w:rtl/>
        </w:rPr>
      </w:pPr>
    </w:p>
    <w:p w14:paraId="1443EC7C" w14:textId="77777777" w:rsidR="00F07E9D" w:rsidRPr="00F07E9D" w:rsidRDefault="00F07E9D" w:rsidP="00F07E9D">
      <w:pPr>
        <w:spacing w:before="120" w:after="120" w:line="240" w:lineRule="exact"/>
        <w:ind w:left="283" w:hanging="283"/>
        <w:jc w:val="both"/>
        <w:rPr>
          <w:rFonts w:ascii="FrankRuehl" w:hAnsi="FrankRuehl" w:cs="FrankRuehl"/>
          <w:rtl/>
        </w:rPr>
      </w:pPr>
    </w:p>
    <w:p w14:paraId="0CD3FFE1" w14:textId="77777777" w:rsidR="00F07E9D" w:rsidRPr="00F07E9D" w:rsidRDefault="00F07E9D" w:rsidP="00F07E9D">
      <w:pPr>
        <w:spacing w:before="120" w:after="120" w:line="240" w:lineRule="exact"/>
        <w:ind w:left="283" w:hanging="283"/>
        <w:jc w:val="both"/>
        <w:rPr>
          <w:rFonts w:ascii="FrankRuehl" w:hAnsi="FrankRuehl" w:cs="FrankRuehl"/>
          <w:rtl/>
        </w:rPr>
      </w:pPr>
      <w:r w:rsidRPr="00F07E9D">
        <w:rPr>
          <w:rFonts w:ascii="FrankRuehl" w:hAnsi="FrankRuehl" w:cs="FrankRuehl"/>
          <w:rtl/>
        </w:rPr>
        <w:t xml:space="preserve">חקיקה שאוזכרה: </w:t>
      </w:r>
    </w:p>
    <w:p w14:paraId="3C0C225F" w14:textId="77777777" w:rsidR="00F07E9D" w:rsidRPr="00F07E9D" w:rsidRDefault="00F07E9D" w:rsidP="00F07E9D">
      <w:pPr>
        <w:spacing w:before="120" w:after="120" w:line="240" w:lineRule="exact"/>
        <w:ind w:left="283" w:hanging="283"/>
        <w:jc w:val="both"/>
        <w:rPr>
          <w:rFonts w:ascii="FrankRuehl" w:hAnsi="FrankRuehl" w:cs="FrankRuehl"/>
          <w:rtl/>
        </w:rPr>
      </w:pPr>
      <w:hyperlink r:id="rId7" w:history="1">
        <w:r w:rsidRPr="00F07E9D">
          <w:rPr>
            <w:rFonts w:ascii="FrankRuehl" w:hAnsi="FrankRuehl" w:cs="FrankRuehl"/>
            <w:color w:val="0000FF"/>
            <w:rtl/>
          </w:rPr>
          <w:t>פקודת הסמים המסוכנים [נוסח חדש], תשל"ג-1973</w:t>
        </w:r>
      </w:hyperlink>
      <w:r w:rsidRPr="00F07E9D">
        <w:rPr>
          <w:rFonts w:ascii="FrankRuehl" w:hAnsi="FrankRuehl" w:cs="FrankRuehl"/>
          <w:rtl/>
        </w:rPr>
        <w:t xml:space="preserve">: סע'  </w:t>
      </w:r>
      <w:hyperlink r:id="rId8" w:history="1">
        <w:r w:rsidRPr="00F07E9D">
          <w:rPr>
            <w:rFonts w:ascii="FrankRuehl" w:hAnsi="FrankRuehl" w:cs="FrankRuehl"/>
            <w:color w:val="0000FF"/>
            <w:rtl/>
          </w:rPr>
          <w:t>7(א)</w:t>
        </w:r>
      </w:hyperlink>
      <w:r w:rsidRPr="00F07E9D">
        <w:rPr>
          <w:rFonts w:ascii="FrankRuehl" w:hAnsi="FrankRuehl" w:cs="FrankRuehl"/>
          <w:rtl/>
        </w:rPr>
        <w:t xml:space="preserve">, </w:t>
      </w:r>
      <w:hyperlink r:id="rId9" w:history="1">
        <w:r w:rsidRPr="00F07E9D">
          <w:rPr>
            <w:rFonts w:ascii="FrankRuehl" w:hAnsi="FrankRuehl" w:cs="FrankRuehl"/>
            <w:color w:val="0000FF"/>
            <w:rtl/>
          </w:rPr>
          <w:t>7(ג)</w:t>
        </w:r>
      </w:hyperlink>
    </w:p>
    <w:p w14:paraId="388F62DD" w14:textId="77777777" w:rsidR="00F07E9D" w:rsidRPr="00F07E9D" w:rsidRDefault="00F07E9D" w:rsidP="00F07E9D">
      <w:pPr>
        <w:spacing w:before="120" w:after="120" w:line="240" w:lineRule="exact"/>
        <w:ind w:left="283" w:hanging="283"/>
        <w:jc w:val="both"/>
        <w:rPr>
          <w:rFonts w:ascii="FrankRuehl" w:hAnsi="FrankRuehl" w:cs="FrankRuehl"/>
          <w:rtl/>
        </w:rPr>
      </w:pPr>
      <w:hyperlink r:id="rId10" w:history="1">
        <w:r w:rsidRPr="00F07E9D">
          <w:rPr>
            <w:rFonts w:ascii="FrankRuehl" w:hAnsi="FrankRuehl" w:cs="FrankRuehl"/>
            <w:color w:val="0000FF"/>
            <w:rtl/>
          </w:rPr>
          <w:t>חוק העונשין, תשל"ז-1977</w:t>
        </w:r>
      </w:hyperlink>
      <w:r w:rsidRPr="00F07E9D">
        <w:rPr>
          <w:rFonts w:ascii="FrankRuehl" w:hAnsi="FrankRuehl" w:cs="FrankRuehl"/>
          <w:rtl/>
        </w:rPr>
        <w:t xml:space="preserve">: סע'  </w:t>
      </w:r>
      <w:hyperlink r:id="rId11" w:history="1">
        <w:r w:rsidRPr="00F07E9D">
          <w:rPr>
            <w:rFonts w:ascii="FrankRuehl" w:hAnsi="FrankRuehl" w:cs="FrankRuehl"/>
            <w:color w:val="0000FF"/>
            <w:rtl/>
          </w:rPr>
          <w:t>40ד.</w:t>
        </w:r>
      </w:hyperlink>
      <w:r w:rsidRPr="00F07E9D">
        <w:rPr>
          <w:rFonts w:ascii="FrankRuehl" w:hAnsi="FrankRuehl" w:cs="FrankRuehl"/>
          <w:rtl/>
        </w:rPr>
        <w:t xml:space="preserve">, </w:t>
      </w:r>
      <w:hyperlink r:id="rId12" w:history="1">
        <w:r w:rsidRPr="00F07E9D">
          <w:rPr>
            <w:rFonts w:ascii="FrankRuehl" w:hAnsi="FrankRuehl" w:cs="FrankRuehl"/>
            <w:color w:val="0000FF"/>
            <w:rtl/>
          </w:rPr>
          <w:t>40ד(ב)</w:t>
        </w:r>
      </w:hyperlink>
    </w:p>
    <w:p w14:paraId="6FD095A5" w14:textId="77777777" w:rsidR="00F07E9D" w:rsidRPr="00F07E9D" w:rsidRDefault="00F07E9D" w:rsidP="00F07E9D">
      <w:pPr>
        <w:rPr>
          <w:sz w:val="26"/>
          <w:szCs w:val="26"/>
          <w:rtl/>
        </w:rPr>
      </w:pPr>
      <w:bookmarkStart w:id="3" w:name="LawTable_End"/>
      <w:bookmarkEnd w:id="3"/>
    </w:p>
    <w:p w14:paraId="3009C138" w14:textId="77777777" w:rsidR="009B4C96" w:rsidRPr="00C77321" w:rsidRDefault="009B4C96" w:rsidP="00C7732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4C96" w14:paraId="4E346F0F" w14:textId="77777777" w:rsidTr="009B4C96">
        <w:trPr>
          <w:trHeight w:val="355"/>
          <w:jc w:val="center"/>
        </w:trPr>
        <w:tc>
          <w:tcPr>
            <w:tcW w:w="8820" w:type="dxa"/>
            <w:tcBorders>
              <w:top w:val="nil"/>
              <w:left w:val="nil"/>
              <w:bottom w:val="nil"/>
              <w:right w:val="nil"/>
            </w:tcBorders>
            <w:shd w:val="clear" w:color="auto" w:fill="auto"/>
          </w:tcPr>
          <w:p w14:paraId="014658F0" w14:textId="77777777" w:rsidR="001D59A9" w:rsidRPr="001D59A9" w:rsidRDefault="001D59A9" w:rsidP="001D59A9">
            <w:pPr>
              <w:jc w:val="center"/>
              <w:rPr>
                <w:rFonts w:ascii="David" w:hAnsi="David"/>
                <w:b/>
                <w:bCs/>
                <w:sz w:val="32"/>
                <w:szCs w:val="32"/>
                <w:u w:val="single"/>
                <w:rtl/>
              </w:rPr>
            </w:pPr>
            <w:bookmarkStart w:id="4" w:name="PsakDin" w:colFirst="0" w:colLast="0"/>
            <w:bookmarkEnd w:id="0"/>
            <w:r w:rsidRPr="001D59A9">
              <w:rPr>
                <w:rFonts w:ascii="David" w:hAnsi="David"/>
                <w:b/>
                <w:bCs/>
                <w:sz w:val="32"/>
                <w:szCs w:val="32"/>
                <w:u w:val="single"/>
                <w:rtl/>
              </w:rPr>
              <w:t>גזר דין</w:t>
            </w:r>
          </w:p>
          <w:p w14:paraId="02CEAFA1" w14:textId="77777777" w:rsidR="009B4C96" w:rsidRPr="001D59A9" w:rsidRDefault="009B4C96" w:rsidP="001D59A9">
            <w:pPr>
              <w:jc w:val="center"/>
              <w:rPr>
                <w:rFonts w:ascii="David" w:hAnsi="David"/>
                <w:bCs/>
                <w:sz w:val="32"/>
                <w:szCs w:val="32"/>
                <w:u w:val="single"/>
                <w:rtl/>
              </w:rPr>
            </w:pPr>
          </w:p>
        </w:tc>
      </w:tr>
      <w:bookmarkEnd w:id="4"/>
    </w:tbl>
    <w:p w14:paraId="4C9560EF" w14:textId="77777777" w:rsidR="009B4C96" w:rsidRPr="000F2247" w:rsidRDefault="009B4C96" w:rsidP="009B4C96">
      <w:pPr>
        <w:rPr>
          <w:rFonts w:ascii="Arial" w:hAnsi="Arial"/>
          <w:b/>
          <w:bCs/>
          <w:sz w:val="26"/>
          <w:szCs w:val="26"/>
          <w:rtl/>
        </w:rPr>
      </w:pPr>
    </w:p>
    <w:p w14:paraId="19B4912F" w14:textId="77777777" w:rsidR="009B4C96" w:rsidRPr="009C3156" w:rsidRDefault="009B4C96" w:rsidP="009B4C96">
      <w:pPr>
        <w:rPr>
          <w:rFonts w:ascii="Arial" w:hAnsi="Arial"/>
          <w:b/>
          <w:bCs/>
          <w:u w:val="single"/>
          <w:rtl/>
        </w:rPr>
      </w:pPr>
      <w:r>
        <w:rPr>
          <w:rFonts w:ascii="Arial" w:hAnsi="Arial"/>
          <w:b/>
          <w:bCs/>
          <w:rtl/>
        </w:rPr>
        <w:tab/>
      </w:r>
      <w:r w:rsidRPr="009C3156">
        <w:rPr>
          <w:rFonts w:ascii="Arial" w:hAnsi="Arial" w:hint="cs"/>
          <w:b/>
          <w:bCs/>
          <w:u w:val="single"/>
          <w:rtl/>
        </w:rPr>
        <w:t xml:space="preserve">כתב אישום מתוקן </w:t>
      </w:r>
    </w:p>
    <w:p w14:paraId="3F32822E" w14:textId="77777777" w:rsidR="009B4C96" w:rsidRPr="000F2247" w:rsidRDefault="009B4C96" w:rsidP="009B4C96">
      <w:pPr>
        <w:rPr>
          <w:rFonts w:ascii="Arial" w:hAnsi="Arial"/>
          <w:b/>
          <w:bCs/>
          <w:sz w:val="26"/>
          <w:szCs w:val="26"/>
          <w:rtl/>
        </w:rPr>
      </w:pPr>
    </w:p>
    <w:p w14:paraId="0FB8EAD7" w14:textId="77777777" w:rsidR="009B4C96" w:rsidRDefault="009B4C96" w:rsidP="009B4C96">
      <w:pPr>
        <w:pStyle w:val="a9"/>
        <w:numPr>
          <w:ilvl w:val="0"/>
          <w:numId w:val="1"/>
        </w:numPr>
        <w:spacing w:line="360" w:lineRule="auto"/>
        <w:ind w:left="714" w:hanging="357"/>
        <w:jc w:val="both"/>
        <w:rPr>
          <w:rFonts w:ascii="Arial" w:hAnsi="Arial"/>
          <w:b/>
          <w:bCs/>
        </w:rPr>
      </w:pPr>
      <w:bookmarkStart w:id="5" w:name="ABSTRACT_START"/>
      <w:bookmarkEnd w:id="5"/>
      <w:r>
        <w:rPr>
          <w:rFonts w:ascii="Arial" w:hAnsi="Arial" w:hint="cs"/>
          <w:rtl/>
        </w:rPr>
        <w:t xml:space="preserve">הנאשם הורשע על פי הודאתו בעבירה של החזקת סמים שלא לצריכה עצמית </w:t>
      </w:r>
      <w:r>
        <w:rPr>
          <w:rFonts w:ascii="Arial" w:hAnsi="Arial"/>
          <w:rtl/>
        </w:rPr>
        <w:t>–</w:t>
      </w:r>
      <w:r>
        <w:rPr>
          <w:rFonts w:ascii="Arial" w:hAnsi="Arial" w:hint="cs"/>
          <w:rtl/>
        </w:rPr>
        <w:t xml:space="preserve"> עבירה לפי </w:t>
      </w:r>
      <w:hyperlink r:id="rId13" w:history="1">
        <w:r w:rsidR="007320F2" w:rsidRPr="007320F2">
          <w:rPr>
            <w:rStyle w:val="Hyperlink"/>
            <w:rFonts w:ascii="Arial" w:hAnsi="Arial" w:hint="eastAsia"/>
            <w:rtl/>
          </w:rPr>
          <w:t>סעיף</w:t>
        </w:r>
        <w:r w:rsidR="007320F2" w:rsidRPr="007320F2">
          <w:rPr>
            <w:rStyle w:val="Hyperlink"/>
            <w:rFonts w:ascii="Arial" w:hAnsi="Arial"/>
            <w:rtl/>
          </w:rPr>
          <w:t xml:space="preserve"> 7(א)</w:t>
        </w:r>
      </w:hyperlink>
      <w:r>
        <w:rPr>
          <w:rFonts w:ascii="Arial" w:hAnsi="Arial" w:hint="cs"/>
          <w:rtl/>
        </w:rPr>
        <w:t xml:space="preserve"> + </w:t>
      </w:r>
      <w:hyperlink r:id="rId14" w:history="1">
        <w:r w:rsidR="007320F2" w:rsidRPr="007320F2">
          <w:rPr>
            <w:rStyle w:val="Hyperlink"/>
            <w:rFonts w:ascii="Arial" w:hAnsi="Arial"/>
            <w:rtl/>
          </w:rPr>
          <w:t>7(ג)</w:t>
        </w:r>
      </w:hyperlink>
      <w:r>
        <w:rPr>
          <w:rFonts w:ascii="Arial" w:hAnsi="Arial" w:hint="cs"/>
          <w:rtl/>
        </w:rPr>
        <w:t xml:space="preserve"> ל</w:t>
      </w:r>
      <w:hyperlink r:id="rId15" w:history="1">
        <w:r w:rsidR="001D59A9" w:rsidRPr="001D59A9">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r w:rsidRPr="009C3156">
        <w:rPr>
          <w:rFonts w:ascii="Arial" w:hAnsi="Arial" w:hint="cs"/>
          <w:b/>
          <w:bCs/>
          <w:rtl/>
        </w:rPr>
        <w:t xml:space="preserve">(להלן: "פקודת הסמים"). </w:t>
      </w:r>
    </w:p>
    <w:p w14:paraId="44160290" w14:textId="77777777" w:rsidR="009B4C96" w:rsidRDefault="009B4C96" w:rsidP="009B4C96">
      <w:pPr>
        <w:pStyle w:val="a9"/>
        <w:spacing w:line="360" w:lineRule="auto"/>
        <w:ind w:left="714"/>
        <w:jc w:val="both"/>
        <w:rPr>
          <w:rFonts w:ascii="Arial" w:hAnsi="Arial"/>
          <w:b/>
          <w:bCs/>
        </w:rPr>
      </w:pPr>
    </w:p>
    <w:p w14:paraId="1B6D1A98" w14:textId="77777777" w:rsidR="009B4C96" w:rsidRDefault="009B4C96" w:rsidP="009B4C96">
      <w:pPr>
        <w:pStyle w:val="a9"/>
        <w:numPr>
          <w:ilvl w:val="0"/>
          <w:numId w:val="1"/>
        </w:numPr>
        <w:spacing w:line="360" w:lineRule="auto"/>
        <w:ind w:left="714" w:hanging="357"/>
        <w:jc w:val="both"/>
        <w:rPr>
          <w:rFonts w:ascii="Arial" w:hAnsi="Arial"/>
        </w:rPr>
      </w:pPr>
      <w:bookmarkStart w:id="6" w:name="ABSTRACT_END"/>
      <w:bookmarkEnd w:id="6"/>
      <w:r w:rsidRPr="009C3156">
        <w:rPr>
          <w:rFonts w:ascii="Arial" w:hAnsi="Arial" w:hint="cs"/>
          <w:rtl/>
        </w:rPr>
        <w:t xml:space="preserve">על פי עובדות כתב האישום המתוקן </w:t>
      </w:r>
      <w:r>
        <w:rPr>
          <w:rFonts w:ascii="Arial" w:hAnsi="Arial" w:hint="cs"/>
          <w:rtl/>
        </w:rPr>
        <w:t xml:space="preserve">בתאריך 7.2.22 בסמוך לשעה 23:00 במרכזית " המפרץ" בחיפה, נתפס הנאשם מחזיק סם מסוכן מסוג קנבוס במשקלים : 1.80 גרם נטו ו </w:t>
      </w:r>
      <w:r>
        <w:rPr>
          <w:rFonts w:ascii="Arial" w:hAnsi="Arial"/>
          <w:rtl/>
        </w:rPr>
        <w:t>–</w:t>
      </w:r>
      <w:r>
        <w:rPr>
          <w:rFonts w:ascii="Arial" w:hAnsi="Arial" w:hint="cs"/>
          <w:rtl/>
        </w:rPr>
        <w:t xml:space="preserve"> 298.82 גרם נטו וסם מסוכן מסוג </w:t>
      </w:r>
      <w:r>
        <w:rPr>
          <w:rFonts w:ascii="Arial" w:hAnsi="Arial" w:hint="cs"/>
        </w:rPr>
        <w:t>MDMA</w:t>
      </w:r>
      <w:r>
        <w:rPr>
          <w:rFonts w:ascii="Arial" w:hAnsi="Arial" w:hint="cs"/>
          <w:rtl/>
        </w:rPr>
        <w:t xml:space="preserve"> ו </w:t>
      </w:r>
      <w:r>
        <w:rPr>
          <w:rFonts w:ascii="Arial" w:hAnsi="Arial"/>
          <w:rtl/>
        </w:rPr>
        <w:t>–</w:t>
      </w:r>
      <w:r>
        <w:rPr>
          <w:rFonts w:ascii="Arial" w:hAnsi="Arial" w:hint="cs"/>
          <w:rtl/>
        </w:rPr>
        <w:t xml:space="preserve"> </w:t>
      </w:r>
      <w:r>
        <w:rPr>
          <w:rFonts w:ascii="Arial" w:hAnsi="Arial" w:hint="cs"/>
        </w:rPr>
        <w:t xml:space="preserve">KETAMINE </w:t>
      </w:r>
      <w:r>
        <w:rPr>
          <w:rFonts w:ascii="Arial" w:hAnsi="Arial" w:hint="cs"/>
          <w:rtl/>
        </w:rPr>
        <w:t xml:space="preserve"> במשקל כולל של 9.1568 גרם נטו. </w:t>
      </w:r>
    </w:p>
    <w:p w14:paraId="43A1E93F" w14:textId="77777777" w:rsidR="009B4C96" w:rsidRPr="006E6220" w:rsidRDefault="009B4C96" w:rsidP="009B4C96">
      <w:pPr>
        <w:pStyle w:val="a9"/>
        <w:rPr>
          <w:rFonts w:ascii="Arial" w:hAnsi="Arial"/>
          <w:rtl/>
        </w:rPr>
      </w:pPr>
    </w:p>
    <w:p w14:paraId="357E0049"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הצדדים הגיעו להסדר טיעון לפיו המאשימה תטען לעונש ראוי של 14 חודשי מאסר בפועל וזאת לצד ענישה נלווית והנאשם הופנה לקבלת תסקיר של שירות המבחן. </w:t>
      </w:r>
    </w:p>
    <w:p w14:paraId="3DDDC7A9" w14:textId="77777777" w:rsidR="009B4C96" w:rsidRPr="006E6220" w:rsidRDefault="009B4C96" w:rsidP="009B4C96">
      <w:pPr>
        <w:pStyle w:val="a9"/>
        <w:rPr>
          <w:rFonts w:ascii="Arial" w:hAnsi="Arial"/>
          <w:rtl/>
        </w:rPr>
      </w:pPr>
    </w:p>
    <w:p w14:paraId="004181C1" w14:textId="77777777" w:rsidR="009B4C96" w:rsidRPr="006E6220" w:rsidRDefault="009B4C96" w:rsidP="009B4C96">
      <w:pPr>
        <w:pStyle w:val="a9"/>
        <w:spacing w:line="360" w:lineRule="auto"/>
        <w:ind w:left="714"/>
        <w:jc w:val="both"/>
        <w:rPr>
          <w:rFonts w:ascii="Arial" w:hAnsi="Arial"/>
          <w:b/>
          <w:bCs/>
          <w:u w:val="single"/>
        </w:rPr>
      </w:pPr>
      <w:r w:rsidRPr="006E6220">
        <w:rPr>
          <w:rFonts w:ascii="Arial" w:hAnsi="Arial" w:hint="cs"/>
          <w:b/>
          <w:bCs/>
          <w:u w:val="single"/>
          <w:rtl/>
        </w:rPr>
        <w:t xml:space="preserve">תסקירי שירות המבחן </w:t>
      </w:r>
    </w:p>
    <w:p w14:paraId="6C1B770B"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ביום 7.9.22 שירות המבחן הגיש תסקיר ראשון בעניינו של הנאשם. שירות המבחן ציין כי בעניינו של הנאשם הוגש תסקיר במסגרת הליך מעצר עת היה תחת פיקוח מעצרים. שירות המבחן מציין כי מאז תחילת ההליך הטיפולי הנאשם מגלה מעורבות יותר מאשר בעבר והתנהלותו בקבוצה מותאמת לשלב שנמצא בו. הנאשם מצהיר כי בכוונתו לשתף פעולה בכל טיפול שיוצע לו ומהתרשמות מנחי הקבוצה עולה כי הוא עורך מאמצים רבים לשתף פעולה, לצד ביצוע בדיקות שתן. שירות המבחן מתאר את הרקע האישי והמשפחתי של הנאשם, בן 21 רווק ומאז חודש מרץ השנה שוהה במעצר בית בבית סבו וסבתו. עיון בגיליון הרשעותיו הקודמות של הנאשם מלמד כי לחובתו הרשעה קודמת בגין עבירה של החזקת אגרופן או סכין בהיותו קטין וכי הנאשם ומשפחתו לא שיתפו פעולה עם שירות המבחן בהליך זה ולפיכך לא הוגשה המלצה בעניינו. הנאשם הודה במיוחס לו בתיק זה ולקח אחריות מלאה על התנהלותו ומעשיו. הנאשם תיאר את מעצרו כחוויה מפחידה וקשה מאד. שירות המבחן מציין כי מאז הופנה הנאשם במסגרת פיקוח מעצרים הוא מבצע בדיקות שתן ופרט לבדיקה אחת כל הבדיקות העידו על ניקיון משרידי סם באופן עקבי. שירות המבחן מתרשם כי ללא המשך מענה טיפולי בתחום ההתמכרויות שיסייע לו , אין ביכולתו של שירות המבחן לשלול סיכון להישנות עבירות דומות מצדו בעתיד. שירות המבחן המליץ על הטלת צו מבחן למשך 18 חודשים במהלכו ישולב בהליך טיפולי. כמו כן המליץ שירות המבחן על צו של"צ בהיקף של 180 שעות. ענישה זו יש בה להערכת שירות המבחן כדי להפגישו ולעמת אותו עם השלכות מעשיו מחד ולאפשר לו להשתלב בשוק התעסוקה המהווה עבורו גורם שיקומי. </w:t>
      </w:r>
    </w:p>
    <w:p w14:paraId="74B2C819" w14:textId="77777777" w:rsidR="009B4C96" w:rsidRDefault="009B4C96" w:rsidP="009B4C96">
      <w:pPr>
        <w:pStyle w:val="a9"/>
        <w:spacing w:line="360" w:lineRule="auto"/>
        <w:ind w:left="714"/>
        <w:jc w:val="both"/>
        <w:rPr>
          <w:rFonts w:ascii="Arial" w:hAnsi="Arial"/>
        </w:rPr>
      </w:pPr>
    </w:p>
    <w:p w14:paraId="09B34CEA"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ביום 1.12.22 הוגש תסקיר נוסף של שירות המבחן. בתסקיר זה ציין שירות המבחן כי כל בדיקות השתן שנערכו לנאשם העידו על ניקיון מסמים וכי בשל רשימת המתנה ועל מנת שלא להשאירו ללא מענה טיפולי עד לקליטתו ביחידה להתמכרויות המשיך הנאשם להשתתף בקבוצה טיפולית לעצורי בית עד ליום 7.11.22 והשתלב לטיפול פרטני ביחידה להתמכרויות ביום 6.11.22 והקפיד להגיע לשיחות שהתקיימו עד כה וניכר כי אופן שיתוף הפעולה בהליך הטיפולי משקף רצון כן לשינוי ולשיקום חייו. שירות המבחן סבור שכל הנתונים מהווים גורמים מפחיתי סיכון להישנות עבירות דומות מצדו של הנאשם בעתיד. לפיכך המליץ שירות המבחן על הטלת צו מבחן לתקופה של 12 חודשים וכן צו של"צ בהיקף של 140 שעות. </w:t>
      </w:r>
    </w:p>
    <w:p w14:paraId="3E9A5ACA" w14:textId="77777777" w:rsidR="009B4C96" w:rsidRPr="00AF6FA6" w:rsidRDefault="009B4C96" w:rsidP="009B4C96">
      <w:pPr>
        <w:pStyle w:val="a9"/>
        <w:rPr>
          <w:rFonts w:ascii="Arial" w:hAnsi="Arial"/>
          <w:rtl/>
        </w:rPr>
      </w:pPr>
    </w:p>
    <w:p w14:paraId="4299D08C"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ביום 21.2.23 לאחר שהנאשם הופנה לקבלת חוות דעת של ממונה על עבודות השירות, הגיש שירות המבחן ביוזמתו תסקיר נוסף. בתסקיר ציין שירות המבחן כי למרות שלא התבקש תסקיר ראה לנכון להגיש עדכון לאור התמורה החיובית במצבו של הנאשם. שירות המבחן </w:t>
      </w:r>
      <w:r>
        <w:rPr>
          <w:rFonts w:ascii="Arial" w:hAnsi="Arial" w:hint="cs"/>
          <w:rtl/>
        </w:rPr>
        <w:lastRenderedPageBreak/>
        <w:t xml:space="preserve">ציין בתסקיר כי ביום 19.2.23 קוימה וועדת הערכה ביחידה להתמכרויות ובוועדה עלה כי מאז השתלבותו של הנאשם ביחידה בחודש נובמבר 2022 הנאשם מגיע בקביעות למפגשים הטיפוליים ובמקביל מבצע בדיקות שתן שבועיות המעידות על ניקיון משרידי סם בגופו. לדברי גומי הטיפול ביחידה, הנאשם מבטא מוטיבציה גבוהה לטיפול וכן מביע שאיפות ותכניות לעתיד, לרבות לימודים ועל כן הומלץ על המשך טיפול. עיון בגיליון הרשעותיו הקודמות של הנאשם מלמד שלא נפתחו תיקים חדשים מאז ביצוע העבירה ולאור זאת חוזר וממליץ שירות המבחן על העמדת הנאשם בצו מבחן למשך 12 חודשים וכן להטיל על הנאשם ענישה חינוכית </w:t>
      </w:r>
      <w:r>
        <w:rPr>
          <w:rFonts w:ascii="Arial" w:hAnsi="Arial"/>
          <w:rtl/>
        </w:rPr>
        <w:t>–</w:t>
      </w:r>
      <w:r>
        <w:rPr>
          <w:rFonts w:ascii="Arial" w:hAnsi="Arial" w:hint="cs"/>
          <w:rtl/>
        </w:rPr>
        <w:t xml:space="preserve"> שיקומית בדמות של"צ בהיקף של 180 שעות אותם יבצע תוך שנה בבית גיל הזהב בקרית בנימין  בתפקיד אחזקה וגינון. ענישה שיקומית לדעת שירות המבחן יש בה כדי להפגיש את הנאשם עם השלכות מעשיו מחד אולם גם לאפשר לו להשתלב בשוק התעסוקה המהווה גורם שיקומי ומאידך יש לכך כדי להפחית מהסיכון להישנות עבירות דומות בעתיד. </w:t>
      </w:r>
    </w:p>
    <w:p w14:paraId="21E26A8C" w14:textId="77777777" w:rsidR="009B4C96" w:rsidRPr="00E82078" w:rsidRDefault="009B4C96" w:rsidP="009B4C96">
      <w:pPr>
        <w:pStyle w:val="a9"/>
        <w:rPr>
          <w:rFonts w:ascii="Arial" w:hAnsi="Arial"/>
          <w:rtl/>
        </w:rPr>
      </w:pPr>
    </w:p>
    <w:p w14:paraId="061E2E9E" w14:textId="77777777" w:rsidR="009B4C96" w:rsidRPr="00E82078" w:rsidRDefault="009B4C96" w:rsidP="009B4C96">
      <w:pPr>
        <w:pStyle w:val="a9"/>
        <w:spacing w:line="360" w:lineRule="auto"/>
        <w:ind w:left="714"/>
        <w:jc w:val="both"/>
        <w:rPr>
          <w:rFonts w:ascii="Arial" w:hAnsi="Arial"/>
          <w:b/>
          <w:bCs/>
          <w:u w:val="single"/>
        </w:rPr>
      </w:pPr>
      <w:r w:rsidRPr="00E82078">
        <w:rPr>
          <w:rFonts w:ascii="Arial" w:hAnsi="Arial" w:hint="cs"/>
          <w:b/>
          <w:bCs/>
          <w:u w:val="single"/>
          <w:rtl/>
        </w:rPr>
        <w:t xml:space="preserve">תמצית טיעוני הצדדים לעונש </w:t>
      </w:r>
    </w:p>
    <w:p w14:paraId="4EEF07E3" w14:textId="77777777" w:rsidR="009B4C96" w:rsidRPr="00E82078" w:rsidRDefault="009B4C96" w:rsidP="009B4C96">
      <w:pPr>
        <w:pStyle w:val="a9"/>
        <w:rPr>
          <w:rFonts w:ascii="Arial" w:hAnsi="Arial"/>
          <w:b/>
          <w:bCs/>
          <w:u w:val="single"/>
          <w:rtl/>
        </w:rPr>
      </w:pPr>
    </w:p>
    <w:p w14:paraId="430E7AEA"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ב"כ המאשימה הגישה במסגרת הראיות לעונש את גיליון הרשעותיו הקודמות של הנאשם </w:t>
      </w:r>
      <w:r w:rsidRPr="00E82078">
        <w:rPr>
          <w:rFonts w:ascii="Arial" w:hAnsi="Arial" w:hint="cs"/>
          <w:b/>
          <w:bCs/>
          <w:rtl/>
        </w:rPr>
        <w:t xml:space="preserve">(ת/1). </w:t>
      </w:r>
      <w:r>
        <w:rPr>
          <w:rFonts w:ascii="Arial" w:hAnsi="Arial" w:hint="cs"/>
          <w:rtl/>
        </w:rPr>
        <w:t>ב"כ המאשימה הדגישה את הפגיעה בערכים חברתיים מוגנים כתוצאה ממעשיו של הנאשם וכן הדגישה את סוג הסם מסוג  ו</w:t>
      </w:r>
      <w:r>
        <w:rPr>
          <w:rFonts w:ascii="Arial" w:hAnsi="Arial" w:hint="cs"/>
        </w:rPr>
        <w:t>MDMA</w:t>
      </w:r>
      <w:r>
        <w:rPr>
          <w:rFonts w:ascii="Arial" w:hAnsi="Arial" w:hint="cs"/>
          <w:rtl/>
        </w:rPr>
        <w:t xml:space="preserve"> . ב"כ המאשימה ציינה כי לשיטת המאשימה מתחם העונש ההולם בעבירות של החזקת סמים בנסיבות תיק זה נע בין עונש של 12 חודשי מאסר ברף התחתון ועד לעונש של 24 חודשי מאסר ברף העליון והפנתה לפסיקה התואמת לשיטת המאשימה את מדיניות הענישה במקרים דומים. בעניינו של </w:t>
      </w:r>
      <w:r w:rsidRPr="0097761B">
        <w:rPr>
          <w:rFonts w:ascii="Arial" w:hAnsi="Arial" w:hint="cs"/>
          <w:rtl/>
        </w:rPr>
        <w:t xml:space="preserve">הנאשם כך נטען לחובתו הרשעה אחת קודמת בגין עבירה של החזקת סכין. </w:t>
      </w:r>
      <w:r>
        <w:rPr>
          <w:rFonts w:ascii="Arial" w:hAnsi="Arial" w:hint="cs"/>
          <w:rtl/>
        </w:rPr>
        <w:t xml:space="preserve">ב"כ המאשימה תהתה באשר להמלצת שירות המבחן המהווה סטייה ניכרת ממתחם העונש ההולם. בנסיבות העניין עתרה המאשימה להשית על הנאשם עונש של 14 חודשי מאסר בפועל, כאמור בהסדר בין הצדדים, מאסר על תנאי ארוך ומרתיע, קנס כספי, פסילת רישיון נהיגה בפועל ועל תנאי. </w:t>
      </w:r>
    </w:p>
    <w:p w14:paraId="1D8E289E" w14:textId="77777777" w:rsidR="009B4C96" w:rsidRDefault="009B4C96" w:rsidP="009B4C96">
      <w:pPr>
        <w:pStyle w:val="a9"/>
        <w:spacing w:line="360" w:lineRule="auto"/>
        <w:ind w:left="714"/>
        <w:jc w:val="both"/>
        <w:rPr>
          <w:rFonts w:ascii="Arial" w:hAnsi="Arial"/>
        </w:rPr>
      </w:pPr>
    </w:p>
    <w:p w14:paraId="71B9056B"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ב"כ הנאשם הפנה לתיקון כתב האישום ולכך שמדובר בסם מסוג קנבוס שנתפס על הנאשם במסעדה ולעניין הסמים האחרים טען ב"כ הנאשם שמדובר בשקית שנמצאו בה שני סוגי סם. ב"כ הנאשם טען שמדובר בנאשם שהודה בהזדמנות הראשונה ונטל אחריות על מעשיו. הנאשם כך נטען לראשונה בחייו היה עצור ולאחר מכן היה עצור בפיקוח אלקטרוני ולאחר מכן שוחרר בתנאים. הנאשם היה תחת צו פיקוח מעצרים של שירות המבחן תקופה ממושכת ותסקירי שירות המבחן מדברים בעד עצמם. לאורך הליך המעצר הותר לנאשם לצאת לעבודה בהמלצת שירות המבחן. ב"כ הנאשם טען שמדובר בבחור צעיר ונמנה לקבוצת גיל המוגדרת "בגיר צעיר" ועל כן יש לנקוט בהתייחסות מיוחדת לגבי קבוצה זו והפנה לשילובו של הנאשם בהליך הטיפולי והצלחתו בהליך. לאור כל האמור טען ב"כ הנאשם כי יש לאמץ את המלצות התסקיר במלואן והפנה לפסיקה רלוונטית לטענתו התומכת בטיעוניו. </w:t>
      </w:r>
    </w:p>
    <w:p w14:paraId="6211D9C6" w14:textId="77777777" w:rsidR="009B4C96" w:rsidRPr="00C048D7" w:rsidRDefault="009B4C96" w:rsidP="009B4C96">
      <w:pPr>
        <w:pStyle w:val="a9"/>
        <w:rPr>
          <w:rFonts w:ascii="Arial" w:hAnsi="Arial"/>
          <w:rtl/>
        </w:rPr>
      </w:pPr>
    </w:p>
    <w:p w14:paraId="61DC5D2A" w14:textId="77777777" w:rsidR="009B4C96" w:rsidRDefault="009B4C96" w:rsidP="009B4C96">
      <w:pPr>
        <w:pStyle w:val="a9"/>
        <w:numPr>
          <w:ilvl w:val="0"/>
          <w:numId w:val="1"/>
        </w:numPr>
        <w:spacing w:line="360" w:lineRule="auto"/>
        <w:ind w:left="714" w:hanging="357"/>
        <w:jc w:val="both"/>
        <w:rPr>
          <w:rFonts w:ascii="Arial" w:hAnsi="Arial"/>
        </w:rPr>
      </w:pPr>
      <w:r>
        <w:rPr>
          <w:rFonts w:ascii="Arial" w:hAnsi="Arial" w:hint="cs"/>
          <w:rtl/>
        </w:rPr>
        <w:t xml:space="preserve">הנאשם בדברו אמר שזו הפעם הראשונה שהוא לוקח חלק בהליך טיפולי. הנאשם הצטער על מעשיו ואמר שהוא לוקח אחריות מלאה על מעשיו. </w:t>
      </w:r>
    </w:p>
    <w:p w14:paraId="5DEF0519" w14:textId="77777777" w:rsidR="009B4C96" w:rsidRPr="0079196D" w:rsidRDefault="009B4C96" w:rsidP="009B4C96">
      <w:pPr>
        <w:pStyle w:val="a9"/>
        <w:rPr>
          <w:rFonts w:ascii="Arial" w:hAnsi="Arial"/>
          <w:rtl/>
        </w:rPr>
      </w:pPr>
    </w:p>
    <w:p w14:paraId="35A37F0D" w14:textId="77777777" w:rsidR="009B4C96" w:rsidRPr="009A12C1" w:rsidRDefault="009B4C96" w:rsidP="009B4C96">
      <w:pPr>
        <w:pStyle w:val="a9"/>
        <w:spacing w:line="360" w:lineRule="auto"/>
        <w:ind w:left="714"/>
        <w:jc w:val="both"/>
        <w:rPr>
          <w:rFonts w:ascii="Arial" w:hAnsi="Arial"/>
          <w:b/>
          <w:bCs/>
          <w:u w:val="single"/>
        </w:rPr>
      </w:pPr>
      <w:r w:rsidRPr="009A12C1">
        <w:rPr>
          <w:rFonts w:ascii="Arial" w:hAnsi="Arial" w:hint="cs"/>
          <w:b/>
          <w:bCs/>
          <w:u w:val="single"/>
          <w:rtl/>
        </w:rPr>
        <w:t>דיון והכרעה</w:t>
      </w:r>
    </w:p>
    <w:p w14:paraId="5C4DEFEF" w14:textId="77777777" w:rsidR="009B4C96" w:rsidRPr="009A12C1" w:rsidRDefault="009B4C96" w:rsidP="009B4C96">
      <w:pPr>
        <w:pStyle w:val="a9"/>
        <w:rPr>
          <w:rFonts w:ascii="Arial" w:hAnsi="Arial"/>
          <w:b/>
          <w:bCs/>
          <w:u w:val="single"/>
          <w:rtl/>
        </w:rPr>
      </w:pPr>
    </w:p>
    <w:p w14:paraId="34FA9857" w14:textId="77777777" w:rsidR="009B4C96" w:rsidRDefault="009B4C96" w:rsidP="009B4C96">
      <w:pPr>
        <w:pStyle w:val="1"/>
        <w:numPr>
          <w:ilvl w:val="0"/>
          <w:numId w:val="1"/>
        </w:numPr>
        <w:spacing w:line="360" w:lineRule="auto"/>
        <w:jc w:val="both"/>
        <w:rPr>
          <w:rFonts w:ascii="David" w:eastAsia="Calibri" w:hAnsi="David" w:cs="David"/>
        </w:rPr>
      </w:pPr>
      <w:r>
        <w:rPr>
          <w:rFonts w:ascii="David" w:eastAsia="Calibri" w:hAnsi="David" w:cs="David"/>
          <w:rtl/>
        </w:rPr>
        <w:t>על פי תיקון 113 ל</w:t>
      </w:r>
      <w:hyperlink r:id="rId16" w:history="1">
        <w:r w:rsidR="001D59A9" w:rsidRPr="001D59A9">
          <w:rPr>
            <w:rFonts w:ascii="David" w:eastAsia="Calibri" w:hAnsi="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ברי כי בענייננו מדובר באירוע אחד ומשכך ייקבע מתחם אחד (</w:t>
      </w:r>
      <w:hyperlink r:id="rId17" w:history="1">
        <w:r w:rsidR="001D59A9" w:rsidRPr="001D59A9">
          <w:rPr>
            <w:rFonts w:ascii="David" w:eastAsia="Calibri" w:hAnsi="David"/>
            <w:color w:val="0000FF"/>
            <w:u w:val="single"/>
            <w:rtl/>
          </w:rPr>
          <w:t>ע"פ 4910/13</w:t>
        </w:r>
      </w:hyperlink>
      <w:r>
        <w:rPr>
          <w:rFonts w:ascii="David" w:eastAsia="Calibri" w:hAnsi="David" w:cs="David"/>
          <w:rtl/>
        </w:rPr>
        <w:t xml:space="preserve"> </w:t>
      </w:r>
      <w:r>
        <w:rPr>
          <w:rFonts w:ascii="David" w:eastAsia="Calibri" w:hAnsi="David" w:cs="David" w:hint="cs"/>
          <w:b/>
          <w:bCs/>
          <w:rtl/>
        </w:rPr>
        <w:t>ג'אבר נ' מדינת ישראל</w:t>
      </w:r>
      <w:r>
        <w:rPr>
          <w:rFonts w:ascii="David" w:eastAsia="Calibri" w:hAnsi="David" w:cs="David" w:hint="cs"/>
          <w:rtl/>
        </w:rPr>
        <w:t xml:space="preserve"> </w:t>
      </w:r>
      <w:r>
        <w:rPr>
          <w:rFonts w:eastAsia="Calibri" w:cs="David"/>
          <w:sz w:val="22"/>
          <w:rtl/>
        </w:rPr>
        <w:t xml:space="preserve"> </w:t>
      </w:r>
      <w:r>
        <w:rPr>
          <w:rFonts w:ascii="David" w:eastAsia="Calibri" w:hAnsi="David" w:cs="David"/>
          <w:rtl/>
        </w:rPr>
        <w:t xml:space="preserve">(29.10.14)).  </w:t>
      </w:r>
    </w:p>
    <w:p w14:paraId="0CB30665" w14:textId="77777777" w:rsidR="009B4C96" w:rsidRDefault="009B4C96" w:rsidP="009B4C96">
      <w:pPr>
        <w:pStyle w:val="a9"/>
        <w:numPr>
          <w:ilvl w:val="0"/>
          <w:numId w:val="1"/>
        </w:numPr>
        <w:spacing w:before="120" w:after="120" w:line="360" w:lineRule="auto"/>
        <w:jc w:val="both"/>
      </w:pPr>
      <w:r>
        <w:rPr>
          <w:rtl/>
        </w:rPr>
        <w:t xml:space="preserve">בקביעת מתחם העונש ההולם את מעשי העבירות אותן ביצע הנאשם יתחשב בית המשפט </w:t>
      </w:r>
      <w:r>
        <w:rPr>
          <w:b/>
          <w:bCs/>
          <w:rtl/>
        </w:rPr>
        <w:t>בערך החברתי</w:t>
      </w:r>
      <w:r>
        <w:rPr>
          <w:rtl/>
        </w:rPr>
        <w:t xml:space="preserve"> הנפגע מביצוע העבירות, </w:t>
      </w:r>
      <w:r>
        <w:rPr>
          <w:b/>
          <w:bCs/>
          <w:rtl/>
        </w:rPr>
        <w:t>במידת הפגיעה בו,</w:t>
      </w:r>
      <w:r>
        <w:rPr>
          <w:rtl/>
        </w:rPr>
        <w:t xml:space="preserve"> </w:t>
      </w:r>
      <w:r>
        <w:rPr>
          <w:b/>
          <w:bCs/>
          <w:rtl/>
        </w:rPr>
        <w:t>במדיניות הענישה</w:t>
      </w:r>
      <w:r>
        <w:rPr>
          <w:rtl/>
        </w:rPr>
        <w:t xml:space="preserve"> הנהוגה </w:t>
      </w:r>
      <w:r>
        <w:rPr>
          <w:b/>
          <w:bCs/>
          <w:rtl/>
        </w:rPr>
        <w:t>ובנסיבות הקשורות בביצוע העבירה</w:t>
      </w:r>
      <w:r>
        <w:rPr>
          <w:rtl/>
        </w:rPr>
        <w:t>.</w:t>
      </w:r>
    </w:p>
    <w:p w14:paraId="4B08FA6D" w14:textId="77777777" w:rsidR="009B4C96" w:rsidRDefault="009B4C96" w:rsidP="009B4C96">
      <w:pPr>
        <w:pStyle w:val="a9"/>
        <w:spacing w:before="120" w:after="120" w:line="360" w:lineRule="auto"/>
        <w:jc w:val="both"/>
      </w:pPr>
    </w:p>
    <w:p w14:paraId="327C081B" w14:textId="77777777" w:rsidR="009B4C96" w:rsidRDefault="009B4C96" w:rsidP="009B4C96">
      <w:pPr>
        <w:pStyle w:val="a9"/>
        <w:numPr>
          <w:ilvl w:val="0"/>
          <w:numId w:val="1"/>
        </w:numPr>
        <w:spacing w:before="120" w:after="120" w:line="360" w:lineRule="auto"/>
        <w:jc w:val="both"/>
      </w:pPr>
      <w:r>
        <w:rPr>
          <w:rtl/>
        </w:rPr>
        <w:t xml:space="preserve">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18" w:history="1">
        <w:r w:rsidR="001D59A9" w:rsidRPr="001D59A9">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19" w:history="1">
        <w:r w:rsidR="001D59A9" w:rsidRPr="001D59A9">
          <w:rPr>
            <w:color w:val="0000FF"/>
            <w:u w:val="single"/>
            <w:rtl/>
          </w:rPr>
          <w:t>ע"פ 6029/03</w:t>
        </w:r>
      </w:hyperlink>
      <w:r w:rsidRPr="001D59A9">
        <w:rPr>
          <w:color w:val="000000"/>
          <w:rtl/>
        </w:rPr>
        <w:t xml:space="preserve"> מדינת ישראל נ' שמאי, פ"ד נח</w:t>
      </w:r>
      <w:r>
        <w:rPr>
          <w:rtl/>
        </w:rPr>
        <w:t xml:space="preserve"> (2) 734 (9.2.04); </w:t>
      </w:r>
      <w:hyperlink r:id="rId20" w:history="1">
        <w:r w:rsidR="001D59A9" w:rsidRPr="001D59A9">
          <w:rPr>
            <w:color w:val="0000FF"/>
            <w:u w:val="single"/>
            <w:rtl/>
          </w:rPr>
          <w:t>ע"פ 6021/95</w:t>
        </w:r>
      </w:hyperlink>
      <w:r>
        <w:rPr>
          <w:rtl/>
        </w:rPr>
        <w:t xml:space="preserve">, </w:t>
      </w:r>
      <w:r w:rsidRPr="001D59A9">
        <w:rPr>
          <w:color w:val="000000"/>
          <w:rtl/>
        </w:rPr>
        <w:t>4998/95</w:t>
      </w:r>
      <w:r>
        <w:rPr>
          <w:rtl/>
        </w:rPr>
        <w:t xml:space="preserve">, 5267/95, 5313/95 </w:t>
      </w:r>
      <w:r>
        <w:rPr>
          <w:b/>
          <w:bCs/>
          <w:rtl/>
        </w:rPr>
        <w:t xml:space="preserve">מדינת ישראל נ' גומז </w:t>
      </w:r>
      <w:r>
        <w:rPr>
          <w:rtl/>
        </w:rPr>
        <w:t xml:space="preserve">(31.7.97); </w:t>
      </w:r>
      <w:hyperlink r:id="rId21" w:history="1">
        <w:r w:rsidR="001D59A9" w:rsidRPr="001D59A9">
          <w:rPr>
            <w:color w:val="0000FF"/>
            <w:u w:val="single"/>
            <w:rtl/>
          </w:rPr>
          <w:t>ע"פ 575/88</w:t>
        </w:r>
      </w:hyperlink>
      <w:r w:rsidRPr="001D59A9">
        <w:rPr>
          <w:color w:val="000000"/>
          <w:rtl/>
        </w:rPr>
        <w:t xml:space="preserve"> עודה נ' מדינת ישראל, פ"ד מב</w:t>
      </w:r>
      <w:r>
        <w:rPr>
          <w:rtl/>
        </w:rPr>
        <w:t xml:space="preserve"> (4) 242 (11.12.88)).</w:t>
      </w:r>
    </w:p>
    <w:p w14:paraId="5B4FCBD9" w14:textId="77777777" w:rsidR="009B4C96" w:rsidRDefault="009B4C96" w:rsidP="009B4C96">
      <w:pPr>
        <w:pStyle w:val="a9"/>
        <w:spacing w:line="360" w:lineRule="auto"/>
        <w:jc w:val="both"/>
      </w:pPr>
    </w:p>
    <w:p w14:paraId="1F4C2E15" w14:textId="77777777" w:rsidR="009B4C96" w:rsidRDefault="009B4C96" w:rsidP="009B4C96">
      <w:pPr>
        <w:pStyle w:val="a9"/>
        <w:spacing w:line="360" w:lineRule="auto"/>
        <w:jc w:val="both"/>
      </w:pPr>
      <w:r>
        <w:rPr>
          <w:rFonts w:hint="cs"/>
          <w:rtl/>
        </w:rPr>
        <w:t>בעניין זה ראו דבריו של כב' השופט א. רובינשטיין ב</w:t>
      </w:r>
      <w:hyperlink r:id="rId22" w:history="1">
        <w:r w:rsidR="001D59A9" w:rsidRPr="001D59A9">
          <w:rPr>
            <w:color w:val="0000FF"/>
            <w:u w:val="single"/>
            <w:rtl/>
          </w:rPr>
          <w:t>ע"פ 972/11</w:t>
        </w:r>
      </w:hyperlink>
      <w:r>
        <w:rPr>
          <w:rFonts w:hint="cs"/>
          <w:rtl/>
        </w:rPr>
        <w:t xml:space="preserve"> מדינת ישראל נ' יניב יונה (4.7.2012) :</w:t>
      </w:r>
    </w:p>
    <w:p w14:paraId="4890A4D5" w14:textId="77777777" w:rsidR="009B4C96" w:rsidRDefault="009B4C96" w:rsidP="009B4C96">
      <w:pPr>
        <w:pStyle w:val="a9"/>
        <w:spacing w:line="360" w:lineRule="auto"/>
        <w:ind w:left="1440"/>
        <w:jc w:val="both"/>
        <w:rPr>
          <w:rFonts w:cs="Miriam"/>
          <w:rtl/>
        </w:rPr>
      </w:pPr>
      <w:r w:rsidRPr="00217FEA">
        <w:rPr>
          <w:rFonts w:cs="Miriam"/>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בכללותה...למאבק בנגע הסמים יש שותפים רבים. חלקם מתמקדים בחינוך מניעתי ובהסברה. אחרים מסייעים בהליכי הגמילה. לצדם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3" w:history="1">
        <w:r w:rsidR="001D59A9" w:rsidRPr="001D59A9">
          <w:rPr>
            <w:rFonts w:cs="Miriam"/>
            <w:color w:val="0000FF"/>
            <w:u w:val="single"/>
            <w:rtl/>
          </w:rPr>
          <w:t>ע"פ 8031/10</w:t>
        </w:r>
      </w:hyperlink>
      <w:r w:rsidRPr="00217FEA">
        <w:rPr>
          <w:rFonts w:cs="Miriam"/>
          <w:rtl/>
        </w:rPr>
        <w:t xml:space="preserve"> אורוסקו-צ'אבז נ' מדינת ישראל (1.3.2012))".</w:t>
      </w:r>
    </w:p>
    <w:p w14:paraId="70106AF9" w14:textId="77777777" w:rsidR="009B4C96" w:rsidRPr="00217FEA" w:rsidRDefault="009B4C96" w:rsidP="009B4C96">
      <w:pPr>
        <w:pStyle w:val="a9"/>
        <w:spacing w:line="360" w:lineRule="auto"/>
        <w:ind w:left="1440"/>
        <w:jc w:val="both"/>
        <w:rPr>
          <w:rFonts w:cs="Miriam"/>
          <w:rtl/>
        </w:rPr>
      </w:pPr>
    </w:p>
    <w:p w14:paraId="40E4CC5E" w14:textId="77777777" w:rsidR="009B4C96" w:rsidRDefault="009B4C96" w:rsidP="009B4C96">
      <w:pPr>
        <w:pStyle w:val="a9"/>
        <w:numPr>
          <w:ilvl w:val="0"/>
          <w:numId w:val="1"/>
        </w:numPr>
        <w:spacing w:line="360" w:lineRule="auto"/>
        <w:ind w:left="714" w:hanging="357"/>
        <w:jc w:val="both"/>
        <w:rPr>
          <w:rFonts w:ascii="David" w:hAnsi="David"/>
        </w:rPr>
      </w:pPr>
      <w:r>
        <w:rPr>
          <w:rFonts w:hint="cs"/>
          <w:rtl/>
        </w:rPr>
        <w:t xml:space="preserve">נסיבות ביצוע העבירות מלמד על פגיעה משמעותית בערכים חברתיים מוגנים שעה שהנאשם החזיק </w:t>
      </w:r>
      <w:r w:rsidRPr="002D6F8D">
        <w:rPr>
          <w:rFonts w:ascii="Arial" w:hAnsi="Arial" w:hint="cs"/>
          <w:rtl/>
        </w:rPr>
        <w:t xml:space="preserve"> בשעות לילה  במרכזית " המפרץ" בחיפה, םם מסוכן מסוג קנבוס במשקלים : 1.80 גרם נטו ו </w:t>
      </w:r>
      <w:r w:rsidRPr="002D6F8D">
        <w:rPr>
          <w:rFonts w:ascii="Arial" w:hAnsi="Arial"/>
          <w:rtl/>
        </w:rPr>
        <w:t>–</w:t>
      </w:r>
      <w:r w:rsidRPr="002D6F8D">
        <w:rPr>
          <w:rFonts w:ascii="Arial" w:hAnsi="Arial" w:hint="cs"/>
          <w:rtl/>
        </w:rPr>
        <w:t xml:space="preserve"> 298.82 גרם נטו וסם מסוכן מסוג </w:t>
      </w:r>
      <w:r w:rsidRPr="002D6F8D">
        <w:rPr>
          <w:rFonts w:ascii="Arial" w:hAnsi="Arial" w:hint="cs"/>
        </w:rPr>
        <w:t>MDMA</w:t>
      </w:r>
      <w:r w:rsidRPr="002D6F8D">
        <w:rPr>
          <w:rFonts w:ascii="Arial" w:hAnsi="Arial" w:hint="cs"/>
          <w:rtl/>
        </w:rPr>
        <w:t xml:space="preserve"> ו </w:t>
      </w:r>
      <w:r w:rsidRPr="002D6F8D">
        <w:rPr>
          <w:rFonts w:ascii="Arial" w:hAnsi="Arial"/>
          <w:rtl/>
        </w:rPr>
        <w:t>–</w:t>
      </w:r>
      <w:r w:rsidRPr="002D6F8D">
        <w:rPr>
          <w:rFonts w:ascii="Arial" w:hAnsi="Arial" w:hint="cs"/>
          <w:rtl/>
        </w:rPr>
        <w:t xml:space="preserve"> </w:t>
      </w:r>
      <w:r w:rsidRPr="002D6F8D">
        <w:rPr>
          <w:rFonts w:ascii="Arial" w:hAnsi="Arial" w:hint="cs"/>
        </w:rPr>
        <w:t xml:space="preserve">KETAMINE </w:t>
      </w:r>
      <w:r w:rsidRPr="002D6F8D">
        <w:rPr>
          <w:rFonts w:ascii="Arial" w:hAnsi="Arial" w:hint="cs"/>
          <w:rtl/>
        </w:rPr>
        <w:t xml:space="preserve"> במשקל כולל של 9.1568 גרם נטו. </w:t>
      </w:r>
    </w:p>
    <w:p w14:paraId="2480FA02" w14:textId="77777777" w:rsidR="009B4C96" w:rsidRPr="002D6F8D" w:rsidRDefault="009B4C96" w:rsidP="009B4C96">
      <w:pPr>
        <w:pStyle w:val="a9"/>
        <w:spacing w:line="360" w:lineRule="auto"/>
        <w:ind w:left="714"/>
        <w:jc w:val="both"/>
        <w:rPr>
          <w:rFonts w:ascii="David" w:hAnsi="David"/>
        </w:rPr>
      </w:pPr>
    </w:p>
    <w:p w14:paraId="0303D9A0" w14:textId="77777777" w:rsidR="009B4C96" w:rsidRPr="002D6F8D" w:rsidRDefault="009B4C96" w:rsidP="009B4C96">
      <w:pPr>
        <w:pStyle w:val="a9"/>
        <w:numPr>
          <w:ilvl w:val="0"/>
          <w:numId w:val="1"/>
        </w:numPr>
        <w:spacing w:line="360" w:lineRule="auto"/>
        <w:ind w:left="714" w:hanging="357"/>
        <w:jc w:val="both"/>
        <w:rPr>
          <w:rFonts w:ascii="David" w:hAnsi="David"/>
        </w:rPr>
      </w:pPr>
      <w:r>
        <w:rPr>
          <w:rFonts w:hint="cs"/>
          <w:rtl/>
        </w:rPr>
        <w:t xml:space="preserve">מדיניות הענישה מלמדת על ענישה שנותנת ביטוי לשיקולי הלימה וכן לסוג הסם, כמותו ולנסיבות ביצוע העבירות. אפנה בעניין זה לפסקי הדין הבאים: </w:t>
      </w:r>
    </w:p>
    <w:p w14:paraId="45C079C2" w14:textId="77777777" w:rsidR="009B4C96" w:rsidRDefault="009B4C96" w:rsidP="009B4C96">
      <w:pPr>
        <w:pStyle w:val="a9"/>
      </w:pPr>
    </w:p>
    <w:p w14:paraId="040BEEE2" w14:textId="77777777" w:rsidR="009B4C96" w:rsidRDefault="001D59A9" w:rsidP="009B4C96">
      <w:pPr>
        <w:pStyle w:val="a9"/>
        <w:spacing w:line="360" w:lineRule="auto"/>
        <w:ind w:left="714"/>
        <w:jc w:val="both"/>
        <w:rPr>
          <w:rFonts w:ascii="David" w:hAnsi="David"/>
          <w:rtl/>
        </w:rPr>
      </w:pPr>
      <w:hyperlink r:id="rId24" w:history="1">
        <w:r w:rsidRPr="001D59A9">
          <w:rPr>
            <w:rFonts w:ascii="David" w:hAnsi="David"/>
            <w:color w:val="0000FF"/>
            <w:u w:val="single"/>
            <w:rtl/>
          </w:rPr>
          <w:t>ת"פ (ירושלים) 15744-01-19</w:t>
        </w:r>
      </w:hyperlink>
      <w:r w:rsidR="009B4C96" w:rsidRPr="002D6F8D">
        <w:rPr>
          <w:rFonts w:ascii="David" w:hAnsi="David"/>
          <w:rtl/>
        </w:rPr>
        <w:t xml:space="preserve"> </w:t>
      </w:r>
      <w:r w:rsidR="009B4C96" w:rsidRPr="002D6F8D">
        <w:rPr>
          <w:rFonts w:ascii="David" w:hAnsi="David"/>
          <w:b/>
          <w:bCs/>
          <w:rtl/>
        </w:rPr>
        <w:t xml:space="preserve">מדינת ישראל נ' עואודה </w:t>
      </w:r>
      <w:r w:rsidR="009B4C96" w:rsidRPr="002D6F8D">
        <w:rPr>
          <w:rFonts w:ascii="David" w:hAnsi="David"/>
          <w:rtl/>
        </w:rPr>
        <w:t xml:space="preserve">(18.11.19), הנאשם הורשע בעבירה של החזקת סם שלא לצריכה עצמית. הנאשם החזיק בביתו 20 יחידות של סם מסוג </w:t>
      </w:r>
      <w:r w:rsidR="009B4C96" w:rsidRPr="002D6F8D">
        <w:rPr>
          <w:rFonts w:ascii="David" w:hAnsi="David"/>
        </w:rPr>
        <w:t>MDMA</w:t>
      </w:r>
      <w:r w:rsidR="009B4C96" w:rsidRPr="002D6F8D">
        <w:rPr>
          <w:rFonts w:ascii="David" w:hAnsi="David"/>
          <w:rtl/>
        </w:rPr>
        <w:t>. כמו כן, החזיק הנאשם בביתו מחסנית אקדח ריקה וכן 6 כדורי תחמושת בקליבר 9 מ"מ. בית המשפט קבע כי מתחם העונש ההולם צריך לעמוד על מאסר על תנאי ושל"צ נרחב, ועד ל-6 חודשי מאסר לרבות בעבודות שירות.</w:t>
      </w:r>
      <w:r w:rsidR="009B4C96" w:rsidRPr="002D6F8D">
        <w:rPr>
          <w:rFonts w:ascii="David" w:hAnsi="David"/>
          <w:b/>
          <w:bCs/>
          <w:rtl/>
        </w:rPr>
        <w:t xml:space="preserve"> </w:t>
      </w:r>
      <w:r w:rsidR="009B4C96" w:rsidRPr="002D6F8D">
        <w:rPr>
          <w:rFonts w:ascii="David" w:hAnsi="David"/>
          <w:rtl/>
        </w:rPr>
        <w:t>בית המשפט גזר על הנאשם עונש של  צו של"צ בהיקף של 300 שעות, לצד ענישה נלווית.</w:t>
      </w:r>
    </w:p>
    <w:p w14:paraId="58D811B1" w14:textId="77777777" w:rsidR="009B4C96" w:rsidRPr="002D6F8D" w:rsidRDefault="009B4C96" w:rsidP="009B4C96">
      <w:pPr>
        <w:pStyle w:val="a9"/>
        <w:spacing w:line="360" w:lineRule="auto"/>
        <w:ind w:left="714"/>
        <w:jc w:val="both"/>
        <w:rPr>
          <w:rFonts w:ascii="David" w:hAnsi="David"/>
        </w:rPr>
      </w:pPr>
    </w:p>
    <w:p w14:paraId="742B98FA" w14:textId="77777777" w:rsidR="009B4C96" w:rsidRDefault="001D59A9" w:rsidP="009B4C96">
      <w:pPr>
        <w:spacing w:line="360" w:lineRule="auto"/>
        <w:ind w:left="714"/>
        <w:jc w:val="both"/>
        <w:rPr>
          <w:rFonts w:ascii="David" w:hAnsi="David"/>
        </w:rPr>
      </w:pPr>
      <w:hyperlink r:id="rId25" w:history="1">
        <w:r w:rsidRPr="001D59A9">
          <w:rPr>
            <w:rFonts w:ascii="David" w:hAnsi="David"/>
            <w:color w:val="0000FF"/>
            <w:u w:val="single"/>
            <w:rtl/>
          </w:rPr>
          <w:t>ת"פ (תל-אביב) 46841-12-17</w:t>
        </w:r>
      </w:hyperlink>
      <w:r w:rsidR="009B4C96">
        <w:rPr>
          <w:rFonts w:ascii="David" w:hAnsi="David"/>
          <w:rtl/>
        </w:rPr>
        <w:t xml:space="preserve"> </w:t>
      </w:r>
      <w:r w:rsidR="009B4C96">
        <w:rPr>
          <w:rFonts w:ascii="David" w:hAnsi="David"/>
          <w:b/>
          <w:bCs/>
          <w:rtl/>
        </w:rPr>
        <w:t xml:space="preserve">מדינת ישראל נ' עיסה ואח' </w:t>
      </w:r>
      <w:r w:rsidR="009B4C96">
        <w:rPr>
          <w:rFonts w:ascii="David" w:hAnsi="David"/>
          <w:rtl/>
        </w:rPr>
        <w:t>(8.1.20), הנאשם הורשע בעבירה של החזקת סם שלא לצריכה עצמית בתיק העיקרי ועבירה של החזקת סם לצריכה עצמית בתיק הצירוף. החזיק הנאשם בדירתו סמים מסוכנים שלא לצריכה עצמית</w:t>
      </w:r>
      <w:r w:rsidR="009B4C96">
        <w:rPr>
          <w:rFonts w:ascii="David" w:hAnsi="David" w:hint="cs"/>
          <w:rtl/>
        </w:rPr>
        <w:t xml:space="preserve">: </w:t>
      </w:r>
      <w:r w:rsidR="009B4C96">
        <w:rPr>
          <w:rFonts w:ascii="David" w:hAnsi="David"/>
          <w:rtl/>
        </w:rPr>
        <w:t xml:space="preserve"> 45 בולי </w:t>
      </w:r>
      <w:r w:rsidR="009B4C96">
        <w:rPr>
          <w:rFonts w:ascii="David" w:hAnsi="David"/>
        </w:rPr>
        <w:t>LSD</w:t>
      </w:r>
      <w:r w:rsidR="009B4C96">
        <w:rPr>
          <w:rFonts w:ascii="David" w:hAnsi="David"/>
          <w:rtl/>
        </w:rPr>
        <w:t xml:space="preserve">, 16 טבליות </w:t>
      </w:r>
      <w:r w:rsidR="009B4C96">
        <w:rPr>
          <w:rFonts w:ascii="David" w:hAnsi="David"/>
        </w:rPr>
        <w:t>MDMA</w:t>
      </w:r>
      <w:r w:rsidR="009B4C96">
        <w:rPr>
          <w:rFonts w:ascii="David" w:hAnsi="David"/>
          <w:rtl/>
        </w:rPr>
        <w:t xml:space="preserve">, 5 גבישים של </w:t>
      </w:r>
      <w:r w:rsidR="009B4C96">
        <w:rPr>
          <w:rFonts w:ascii="David" w:hAnsi="David"/>
        </w:rPr>
        <w:t>MDMA</w:t>
      </w:r>
      <w:r w:rsidR="009B4C96">
        <w:rPr>
          <w:rFonts w:ascii="David" w:hAnsi="David"/>
          <w:rtl/>
        </w:rPr>
        <w:t xml:space="preserve"> במשקל 2.3 גרם, 4 בולי </w:t>
      </w:r>
      <w:r w:rsidR="009B4C96">
        <w:rPr>
          <w:rFonts w:ascii="David" w:hAnsi="David"/>
        </w:rPr>
        <w:t>LSD</w:t>
      </w:r>
      <w:r w:rsidR="009B4C96">
        <w:rPr>
          <w:rFonts w:ascii="David" w:hAnsi="David"/>
          <w:rtl/>
        </w:rPr>
        <w:t xml:space="preserve"> נוספים וחשיש במשקל 14 גרם. בנוסף, צירף הנאשם תיק נוסף על פיו החזיק הנאשם בחנייה סיגריה ובה סם מסוג חשיש במשקל של 3 גרם. בית המשפט קבע מתחם עונשי הנע בין מאסר קצר שיכול וירוצה בדרך של עבודות שירות ועד ל-15 חודשי מאסר לריצוי בפועל לצד ענישה נלוות. בית המשפט </w:t>
      </w:r>
      <w:r w:rsidR="009B4C96">
        <w:rPr>
          <w:rFonts w:ascii="David" w:hAnsi="David" w:hint="cs"/>
          <w:rtl/>
        </w:rPr>
        <w:t xml:space="preserve">חרג ממתחם הענישה </w:t>
      </w:r>
      <w:r w:rsidR="009B4C96">
        <w:rPr>
          <w:rFonts w:ascii="David" w:hAnsi="David"/>
          <w:rtl/>
        </w:rPr>
        <w:t xml:space="preserve">וגזר על הנאשם עונש של צו של"צ בהיקף של 200 שעות לצד ענישה נלווית. </w:t>
      </w:r>
    </w:p>
    <w:p w14:paraId="47989B51" w14:textId="77777777" w:rsidR="009B4C96" w:rsidRDefault="009B4C96" w:rsidP="009B4C96">
      <w:pPr>
        <w:spacing w:line="360" w:lineRule="auto"/>
        <w:jc w:val="both"/>
        <w:rPr>
          <w:rFonts w:ascii="David" w:hAnsi="David"/>
          <w:rtl/>
        </w:rPr>
      </w:pPr>
    </w:p>
    <w:p w14:paraId="448B4CDD" w14:textId="77777777" w:rsidR="009B4C96" w:rsidRDefault="001D59A9" w:rsidP="009B4C96">
      <w:pPr>
        <w:spacing w:line="360" w:lineRule="auto"/>
        <w:ind w:left="714"/>
        <w:jc w:val="both"/>
        <w:rPr>
          <w:rFonts w:ascii="David" w:hAnsi="David"/>
          <w:rtl/>
        </w:rPr>
      </w:pPr>
      <w:hyperlink r:id="rId26" w:history="1">
        <w:r w:rsidRPr="001D59A9">
          <w:rPr>
            <w:rFonts w:ascii="David" w:hAnsi="David"/>
            <w:color w:val="0000FF"/>
            <w:u w:val="single"/>
            <w:rtl/>
          </w:rPr>
          <w:t>ת"פ (ירושלים) 8491-10-19</w:t>
        </w:r>
      </w:hyperlink>
      <w:r w:rsidR="009B4C96">
        <w:rPr>
          <w:rFonts w:ascii="David" w:hAnsi="David"/>
          <w:rtl/>
        </w:rPr>
        <w:t xml:space="preserve"> </w:t>
      </w:r>
      <w:r w:rsidR="009B4C96">
        <w:rPr>
          <w:rFonts w:ascii="David" w:hAnsi="David"/>
          <w:b/>
          <w:bCs/>
          <w:rtl/>
        </w:rPr>
        <w:t xml:space="preserve">מדינת ישראל נ' נאגר </w:t>
      </w:r>
      <w:r w:rsidR="009B4C96">
        <w:rPr>
          <w:rFonts w:ascii="David" w:hAnsi="David"/>
          <w:rtl/>
        </w:rPr>
        <w:t xml:space="preserve">(22.6.20), שם הורשע הנאשם בעבירות של החזקת סם שלא לצריכה עצמית ושיבוש מהלכי משפט. הנאשם החזיק 25.3463 גרם של סם מסוג </w:t>
      </w:r>
      <w:r w:rsidR="009B4C96">
        <w:rPr>
          <w:rFonts w:ascii="David" w:hAnsi="David"/>
        </w:rPr>
        <w:t>MDMA</w:t>
      </w:r>
      <w:r w:rsidR="009B4C96">
        <w:rPr>
          <w:rFonts w:ascii="David" w:hAnsi="David"/>
          <w:rtl/>
        </w:rPr>
        <w:t xml:space="preserve"> וכן כמות קטנה של סמים מסוג קנאביס. </w:t>
      </w:r>
      <w:r w:rsidR="009B4C96">
        <w:rPr>
          <w:rFonts w:ascii="David" w:hAnsi="David" w:hint="cs"/>
          <w:rtl/>
        </w:rPr>
        <w:t xml:space="preserve">בית המשפט קבע </w:t>
      </w:r>
      <w:r w:rsidR="009B4C96">
        <w:rPr>
          <w:rFonts w:ascii="David" w:hAnsi="David"/>
          <w:rtl/>
        </w:rPr>
        <w:t>שמתחם העונש ההולם נע בין מספר חודשי מאסר שיכול וירוצו בעבודות שירות ועד ל- 15 חודשי מאסר.</w:t>
      </w:r>
      <w:r w:rsidR="009B4C96">
        <w:rPr>
          <w:rFonts w:ascii="David" w:hAnsi="David"/>
          <w:b/>
          <w:bCs/>
          <w:rtl/>
        </w:rPr>
        <w:t xml:space="preserve"> </w:t>
      </w:r>
      <w:r w:rsidR="009B4C96">
        <w:rPr>
          <w:rFonts w:ascii="David" w:hAnsi="David"/>
          <w:rtl/>
        </w:rPr>
        <w:t xml:space="preserve">על הנאשם נגזר עונש מאסר בן 5 חודשים לצד ענישה נלווית. </w:t>
      </w:r>
    </w:p>
    <w:p w14:paraId="2F109D57" w14:textId="77777777" w:rsidR="009B4C96" w:rsidRDefault="009B4C96" w:rsidP="009B4C96">
      <w:pPr>
        <w:spacing w:line="360" w:lineRule="auto"/>
        <w:jc w:val="both"/>
        <w:rPr>
          <w:rFonts w:ascii="David" w:hAnsi="David"/>
          <w:rtl/>
        </w:rPr>
      </w:pPr>
    </w:p>
    <w:p w14:paraId="2B70F164" w14:textId="77777777" w:rsidR="009B4C96" w:rsidRDefault="009B4C96" w:rsidP="009B4C96">
      <w:pPr>
        <w:spacing w:line="360" w:lineRule="auto"/>
        <w:ind w:left="714"/>
        <w:jc w:val="both"/>
      </w:pPr>
      <w:r>
        <w:rPr>
          <w:rtl/>
        </w:rPr>
        <w:t>ב</w:t>
      </w:r>
      <w:hyperlink r:id="rId27" w:history="1">
        <w:r w:rsidR="001D59A9" w:rsidRPr="001D59A9">
          <w:rPr>
            <w:color w:val="0000FF"/>
            <w:u w:val="single"/>
            <w:rtl/>
          </w:rPr>
          <w:t>עפ"ג 58296-05-19</w:t>
        </w:r>
      </w:hyperlink>
      <w:r>
        <w:rPr>
          <w:rtl/>
        </w:rPr>
        <w:t xml:space="preserve"> (מחוזי ב"ש</w:t>
      </w:r>
      <w:r w:rsidRPr="000C34C9">
        <w:rPr>
          <w:rFonts w:ascii="David" w:hAnsi="David"/>
          <w:rtl/>
        </w:rPr>
        <w:t xml:space="preserve">) </w:t>
      </w:r>
      <w:r w:rsidRPr="000C34C9">
        <w:rPr>
          <w:rFonts w:ascii="David" w:hAnsi="David"/>
          <w:b/>
          <w:bCs/>
          <w:rtl/>
        </w:rPr>
        <w:t>אלהואשלה נ' מדינת ישראל</w:t>
      </w:r>
      <w:r>
        <w:rPr>
          <w:b/>
          <w:bCs/>
          <w:rtl/>
        </w:rPr>
        <w:t xml:space="preserve"> </w:t>
      </w:r>
      <w:r>
        <w:rPr>
          <w:sz w:val="22"/>
          <w:rtl/>
        </w:rPr>
        <w:t xml:space="preserve"> </w:t>
      </w:r>
      <w:r>
        <w:rPr>
          <w:rtl/>
        </w:rPr>
        <w:t>(10.7.19) התקבל ערעורו של מי שהורשע בעבירה של סחר בסם קנבוס במשקל של 7.3 גרם תמורת 300 ₪ לסוכן משטרתי, כך שעונש</w:t>
      </w:r>
      <w:r>
        <w:rPr>
          <w:rFonts w:hint="cs"/>
          <w:rtl/>
        </w:rPr>
        <w:t xml:space="preserve"> שהושת עליו של </w:t>
      </w:r>
      <w:r>
        <w:rPr>
          <w:rtl/>
        </w:rPr>
        <w:t xml:space="preserve"> 9 חודשי מאסר לריצוי בעבודות שירות הופחת  ל-</w:t>
      </w:r>
      <w:r>
        <w:rPr>
          <w:b/>
          <w:bCs/>
          <w:rtl/>
        </w:rPr>
        <w:t>7 חודשי מאסר לריצוי בדרך של עבודות שירות</w:t>
      </w:r>
      <w:r>
        <w:rPr>
          <w:rtl/>
        </w:rPr>
        <w:t>.  בקבלו את הערעור ציין</w:t>
      </w:r>
      <w:r>
        <w:rPr>
          <w:rFonts w:hint="cs"/>
          <w:rtl/>
        </w:rPr>
        <w:t xml:space="preserve"> היעדר עבר פלילי  </w:t>
      </w:r>
      <w:r>
        <w:rPr>
          <w:rtl/>
        </w:rPr>
        <w:t>והתרשמות שירות המבחן לפיה אינו בעל דפוסים עבריינים מושרשים</w:t>
      </w:r>
      <w:r>
        <w:rPr>
          <w:rFonts w:hint="cs"/>
          <w:rtl/>
        </w:rPr>
        <w:t xml:space="preserve">. </w:t>
      </w:r>
      <w:r>
        <w:rPr>
          <w:rtl/>
        </w:rPr>
        <w:t xml:space="preserve">  </w:t>
      </w:r>
    </w:p>
    <w:p w14:paraId="26E95A8D" w14:textId="77777777" w:rsidR="009B4C96" w:rsidRDefault="009B4C96" w:rsidP="009B4C96">
      <w:pPr>
        <w:spacing w:line="360" w:lineRule="auto"/>
        <w:jc w:val="both"/>
        <w:rPr>
          <w:rtl/>
        </w:rPr>
      </w:pPr>
    </w:p>
    <w:p w14:paraId="6143A92A" w14:textId="77777777" w:rsidR="009B4C96" w:rsidRDefault="009B4C96" w:rsidP="009B4C96">
      <w:pPr>
        <w:spacing w:line="360" w:lineRule="auto"/>
        <w:ind w:left="714"/>
        <w:jc w:val="both"/>
        <w:rPr>
          <w:rFonts w:ascii="David" w:hAnsi="David"/>
        </w:rPr>
      </w:pPr>
      <w:r>
        <w:rPr>
          <w:rtl/>
        </w:rPr>
        <w:t>ב</w:t>
      </w:r>
      <w:hyperlink r:id="rId28" w:history="1">
        <w:r w:rsidR="001D59A9" w:rsidRPr="001D59A9">
          <w:rPr>
            <w:color w:val="0000FF"/>
            <w:u w:val="single"/>
            <w:rtl/>
          </w:rPr>
          <w:t>ת"פ 3045-02-20</w:t>
        </w:r>
      </w:hyperlink>
      <w:r>
        <w:rPr>
          <w:rtl/>
        </w:rPr>
        <w:t xml:space="preserve"> (שלום ב"ש)</w:t>
      </w:r>
      <w:r>
        <w:rPr>
          <w:b/>
          <w:bCs/>
          <w:rtl/>
        </w:rPr>
        <w:t xml:space="preserve"> </w:t>
      </w:r>
      <w:r w:rsidRPr="000C34C9">
        <w:rPr>
          <w:rFonts w:ascii="David" w:hAnsi="David"/>
          <w:b/>
          <w:bCs/>
          <w:rtl/>
        </w:rPr>
        <w:t>מדינת ישראל נ' בוטבול</w:t>
      </w:r>
      <w:r>
        <w:rPr>
          <w:b/>
          <w:bCs/>
          <w:rtl/>
        </w:rPr>
        <w:t xml:space="preserve"> (</w:t>
      </w:r>
      <w:r>
        <w:rPr>
          <w:rtl/>
        </w:rPr>
        <w:t xml:space="preserve">20.1.21) הורשע נאשם כבן 18 וחצי, במכירת סם מסוג קנבוס במשקל של כ 2 גרם </w:t>
      </w:r>
      <w:r>
        <w:rPr>
          <w:rFonts w:ascii="Arial" w:hAnsi="Arial"/>
          <w:rtl/>
        </w:rPr>
        <w:t>לקטין</w:t>
      </w:r>
      <w:r>
        <w:rPr>
          <w:rFonts w:ascii="Arial" w:hAnsi="Arial" w:hint="cs"/>
          <w:rtl/>
        </w:rPr>
        <w:t xml:space="preserve">. </w:t>
      </w:r>
      <w:r>
        <w:rPr>
          <w:rFonts w:ascii="Arial" w:hAnsi="Arial"/>
          <w:rtl/>
        </w:rPr>
        <w:t xml:space="preserve">בנוסף החזיק בכיס מעילו סם קנבוס </w:t>
      </w:r>
      <w:r>
        <w:rPr>
          <w:rtl/>
        </w:rPr>
        <w:t xml:space="preserve">במשקל של 0.8306 גרם נטו, שלא לצריכתו העצמית. </w:t>
      </w:r>
      <w:r>
        <w:rPr>
          <w:rFonts w:ascii="Arial" w:hAnsi="Arial"/>
          <w:b/>
          <w:bCs/>
          <w:rtl/>
        </w:rPr>
        <w:t>מתחם העונש ההולם נקבע</w:t>
      </w:r>
      <w:r>
        <w:rPr>
          <w:rFonts w:ascii="Arial" w:hAnsi="Arial"/>
          <w:rtl/>
        </w:rPr>
        <w:t xml:space="preserve">   </w:t>
      </w:r>
      <w:r>
        <w:rPr>
          <w:rFonts w:ascii="Arial" w:hAnsi="Arial"/>
          <w:b/>
          <w:bCs/>
          <w:rtl/>
        </w:rPr>
        <w:t>בין מאסר קצר שיכול וירוצה בעבודות שירות ועד 10 חודשי מאסר בפו</w:t>
      </w:r>
      <w:r>
        <w:rPr>
          <w:rFonts w:ascii="Arial" w:hAnsi="Arial"/>
          <w:rtl/>
        </w:rPr>
        <w:t xml:space="preserve">על. </w:t>
      </w:r>
      <w:r>
        <w:rPr>
          <w:rFonts w:ascii="Arial" w:hAnsi="Arial" w:hint="cs"/>
          <w:rtl/>
        </w:rPr>
        <w:t xml:space="preserve">בית המשפט ביטל הרשעת הקטין. </w:t>
      </w:r>
      <w:r>
        <w:rPr>
          <w:rFonts w:ascii="Arial" w:hAnsi="Arial"/>
          <w:rtl/>
        </w:rPr>
        <w:t xml:space="preserve"> </w:t>
      </w:r>
    </w:p>
    <w:p w14:paraId="7BBD9735" w14:textId="77777777" w:rsidR="009B4C96" w:rsidRDefault="009B4C96" w:rsidP="009B4C96">
      <w:pPr>
        <w:snapToGrid w:val="0"/>
        <w:spacing w:before="120" w:line="360" w:lineRule="auto"/>
        <w:ind w:left="714"/>
        <w:jc w:val="both"/>
        <w:rPr>
          <w:rFonts w:ascii="David" w:hAnsi="David"/>
          <w:rtl/>
        </w:rPr>
      </w:pPr>
    </w:p>
    <w:p w14:paraId="335EBC1F" w14:textId="77777777" w:rsidR="009B4C96" w:rsidRDefault="009B4C96" w:rsidP="009B4C96">
      <w:pPr>
        <w:snapToGrid w:val="0"/>
        <w:spacing w:before="120" w:line="360" w:lineRule="auto"/>
        <w:ind w:left="714"/>
        <w:jc w:val="both"/>
        <w:rPr>
          <w:b/>
          <w:bCs/>
          <w:lang w:eastAsia="he-IL"/>
        </w:rPr>
      </w:pPr>
      <w:r>
        <w:rPr>
          <w:rFonts w:ascii="David" w:hAnsi="David"/>
          <w:rtl/>
        </w:rPr>
        <w:t>ב</w:t>
      </w:r>
      <w:hyperlink r:id="rId29" w:history="1">
        <w:r w:rsidR="001D59A9" w:rsidRPr="001D59A9">
          <w:rPr>
            <w:rFonts w:ascii="David" w:hAnsi="David"/>
            <w:color w:val="0000FF"/>
            <w:u w:val="single"/>
            <w:rtl/>
          </w:rPr>
          <w:t>ת"פ (מחוזי-ת"א) 43983-05-19</w:t>
        </w:r>
      </w:hyperlink>
      <w:r>
        <w:rPr>
          <w:rFonts w:ascii="David" w:hAnsi="David"/>
          <w:rtl/>
        </w:rPr>
        <w:t xml:space="preserve"> </w:t>
      </w:r>
      <w:r w:rsidRPr="000C34C9">
        <w:rPr>
          <w:rFonts w:ascii="David" w:hAnsi="David"/>
          <w:b/>
          <w:bCs/>
          <w:rtl/>
        </w:rPr>
        <w:t>מדינת ישראל נ' ראובן</w:t>
      </w:r>
      <w:r>
        <w:rPr>
          <w:rFonts w:ascii="Miriam" w:hAnsi="Miriam" w:cs="Miriam"/>
          <w:b/>
          <w:bCs/>
          <w:sz w:val="18"/>
          <w:szCs w:val="22"/>
          <w:rtl/>
        </w:rPr>
        <w:t xml:space="preserve"> </w:t>
      </w:r>
      <w:r>
        <w:rPr>
          <w:sz w:val="22"/>
          <w:rtl/>
        </w:rPr>
        <w:t xml:space="preserve"> </w:t>
      </w:r>
      <w:r>
        <w:rPr>
          <w:rFonts w:ascii="David" w:hAnsi="David"/>
          <w:rtl/>
        </w:rPr>
        <w:t xml:space="preserve">(19.3.20) נקבע מתחם בין 18 ל 42 חודשי מאסר בפועל, בנסיבות בהן הורשע הנאשם בשתי עבירות החזקת סמים שלא לצריכה עצמית, ובהחזקת כלים המשמשים להכנת סם. המדובר בנאשם שהחזיק ברכבו 317.46 גרם </w:t>
      </w:r>
      <w:r>
        <w:rPr>
          <w:rFonts w:ascii="David" w:hAnsi="David"/>
          <w:sz w:val="22"/>
          <w:szCs w:val="22"/>
        </w:rPr>
        <w:t>MDMA</w:t>
      </w:r>
      <w:r>
        <w:rPr>
          <w:rFonts w:ascii="David" w:hAnsi="David"/>
          <w:rtl/>
        </w:rPr>
        <w:t xml:space="preserve"> ובדירתו החזיק 10 גרם קוקאין,</w:t>
      </w:r>
      <w:r>
        <w:rPr>
          <w:rFonts w:ascii="David" w:hAnsi="David"/>
          <w:b/>
          <w:bCs/>
          <w:rtl/>
        </w:rPr>
        <w:t xml:space="preserve"> </w:t>
      </w:r>
      <w:r>
        <w:rPr>
          <w:rFonts w:ascii="David" w:hAnsi="David"/>
          <w:rtl/>
        </w:rPr>
        <w:t xml:space="preserve">19 טבליות </w:t>
      </w:r>
      <w:r>
        <w:rPr>
          <w:rFonts w:ascii="David" w:hAnsi="David"/>
          <w:sz w:val="22"/>
          <w:szCs w:val="22"/>
        </w:rPr>
        <w:t>MDMA</w:t>
      </w:r>
      <w:r>
        <w:rPr>
          <w:rFonts w:ascii="David" w:hAnsi="David"/>
          <w:rtl/>
        </w:rPr>
        <w:t xml:space="preserve">, 15.62 גרם </w:t>
      </w:r>
      <w:r>
        <w:rPr>
          <w:rFonts w:ascii="David" w:hAnsi="David"/>
          <w:sz w:val="22"/>
          <w:szCs w:val="22"/>
        </w:rPr>
        <w:t>MDMA</w:t>
      </w:r>
      <w:r>
        <w:rPr>
          <w:rFonts w:ascii="David" w:hAnsi="David"/>
          <w:rtl/>
        </w:rPr>
        <w:t xml:space="preserve">, 6.26 גרם </w:t>
      </w:r>
      <w:r>
        <w:rPr>
          <w:rFonts w:ascii="David" w:hAnsi="David"/>
          <w:sz w:val="22"/>
          <w:szCs w:val="22"/>
        </w:rPr>
        <w:t>MMC</w:t>
      </w:r>
      <w:r>
        <w:rPr>
          <w:rFonts w:ascii="David" w:hAnsi="David"/>
          <w:rtl/>
        </w:rPr>
        <w:t xml:space="preserve">, 12.02 גרם קטמין, 56 בולי </w:t>
      </w:r>
      <w:r>
        <w:rPr>
          <w:rFonts w:ascii="David" w:hAnsi="David"/>
          <w:sz w:val="22"/>
          <w:szCs w:val="22"/>
        </w:rPr>
        <w:t>LSD</w:t>
      </w:r>
      <w:r>
        <w:rPr>
          <w:rFonts w:ascii="David" w:hAnsi="David"/>
          <w:rtl/>
        </w:rPr>
        <w:t xml:space="preserve"> ו-2 משקלים אלקטרוניים. </w:t>
      </w:r>
    </w:p>
    <w:p w14:paraId="5463D271" w14:textId="77777777" w:rsidR="009B4C96" w:rsidRPr="009D717E" w:rsidRDefault="009B4C96" w:rsidP="009B4C96">
      <w:pPr>
        <w:spacing w:line="360" w:lineRule="auto"/>
        <w:jc w:val="both"/>
        <w:rPr>
          <w:rFonts w:ascii="David" w:hAnsi="David"/>
          <w:rtl/>
        </w:rPr>
      </w:pPr>
    </w:p>
    <w:p w14:paraId="148D2972" w14:textId="77777777" w:rsidR="009B4C96" w:rsidRDefault="009B4C96" w:rsidP="009B4C96">
      <w:pPr>
        <w:pStyle w:val="a9"/>
        <w:numPr>
          <w:ilvl w:val="0"/>
          <w:numId w:val="1"/>
        </w:numPr>
        <w:spacing w:line="360" w:lineRule="auto"/>
        <w:jc w:val="both"/>
      </w:pPr>
      <w:r>
        <w:rPr>
          <w:rFonts w:hint="cs"/>
          <w:rtl/>
        </w:rPr>
        <w:t xml:space="preserve">אשר על כן אני סבורה שמתחם העונש ההולם את נסיבות תיק זה נע בין עונש של 6 חודשי מאסר שניתן במקרים מסוימים לשאת בדרך של עבודות שירות לבין עונש של 14 חודשי מאסר בפועל ברף העליון בצירוף ענישה נלווית. </w:t>
      </w:r>
    </w:p>
    <w:p w14:paraId="067BBF94" w14:textId="77777777" w:rsidR="009B4C96" w:rsidRDefault="009B4C96" w:rsidP="009B4C96">
      <w:pPr>
        <w:pStyle w:val="a9"/>
        <w:spacing w:line="360" w:lineRule="auto"/>
        <w:jc w:val="both"/>
      </w:pPr>
    </w:p>
    <w:p w14:paraId="547136FA" w14:textId="77777777" w:rsidR="009B4C96" w:rsidRDefault="009B4C96" w:rsidP="009B4C96">
      <w:pPr>
        <w:pStyle w:val="a9"/>
        <w:numPr>
          <w:ilvl w:val="0"/>
          <w:numId w:val="1"/>
        </w:numPr>
        <w:spacing w:line="360" w:lineRule="auto"/>
        <w:jc w:val="both"/>
      </w:pPr>
      <w:r>
        <w:rPr>
          <w:rFonts w:hint="cs"/>
          <w:rtl/>
        </w:rPr>
        <w:t xml:space="preserve">בהינתן מתחם העונש ההולם יש לבחון האם מתקיימים שיקולים לחריגה ממנו, ובעניינו של הנאשם דנן - יש לבחון התקיימותם של שיקולים המצדיקים חריגה לקולא בהתאם </w:t>
      </w:r>
      <w:hyperlink r:id="rId30" w:history="1">
        <w:r w:rsidR="007320F2" w:rsidRPr="007320F2">
          <w:rPr>
            <w:rStyle w:val="Hyperlink"/>
            <w:rFonts w:hint="eastAsia"/>
            <w:rtl/>
          </w:rPr>
          <w:t>לסעיף</w:t>
        </w:r>
        <w:r w:rsidR="007320F2" w:rsidRPr="007320F2">
          <w:rPr>
            <w:rStyle w:val="Hyperlink"/>
            <w:rtl/>
          </w:rPr>
          <w:t xml:space="preserve"> 40ד.</w:t>
        </w:r>
      </w:hyperlink>
      <w:r>
        <w:rPr>
          <w:rFonts w:hint="cs"/>
          <w:rtl/>
        </w:rPr>
        <w:t xml:space="preserve"> ל</w:t>
      </w:r>
      <w:hyperlink r:id="rId31" w:history="1">
        <w:r w:rsidR="001D59A9" w:rsidRPr="001D59A9">
          <w:rPr>
            <w:color w:val="0000FF"/>
            <w:u w:val="single"/>
            <w:rtl/>
          </w:rPr>
          <w:t>חוק העונשין</w:t>
        </w:r>
      </w:hyperlink>
      <w:r>
        <w:rPr>
          <w:rFonts w:hint="cs"/>
          <w:rtl/>
        </w:rPr>
        <w:t xml:space="preserve">, והכוונה היא לנתונים המלמדים על סיכוי ממשי לשיקום הנאשם. </w:t>
      </w:r>
    </w:p>
    <w:p w14:paraId="16570717" w14:textId="77777777" w:rsidR="009B4C96" w:rsidRDefault="009B4C96" w:rsidP="009B4C96">
      <w:pPr>
        <w:pStyle w:val="a9"/>
        <w:spacing w:line="360" w:lineRule="auto"/>
        <w:jc w:val="both"/>
        <w:rPr>
          <w:rtl/>
        </w:rPr>
      </w:pPr>
    </w:p>
    <w:p w14:paraId="23B7B0E8" w14:textId="77777777" w:rsidR="009B4C96" w:rsidRDefault="009B4C96" w:rsidP="009B4C96">
      <w:pPr>
        <w:pStyle w:val="a9"/>
        <w:spacing w:line="360" w:lineRule="auto"/>
        <w:jc w:val="both"/>
        <w:rPr>
          <w:rFonts w:eastAsia="David"/>
          <w:rtl/>
        </w:rPr>
      </w:pPr>
      <w:r>
        <w:rPr>
          <w:rFonts w:hint="cs"/>
          <w:rtl/>
        </w:rPr>
        <w:t xml:space="preserve">פרשנותו של </w:t>
      </w:r>
      <w:hyperlink r:id="rId32" w:history="1">
        <w:r w:rsidR="007320F2" w:rsidRPr="007320F2">
          <w:rPr>
            <w:rStyle w:val="Hyperlink"/>
            <w:rFonts w:hint="eastAsia"/>
            <w:rtl/>
          </w:rPr>
          <w:t>סעיף</w:t>
        </w:r>
        <w:r w:rsidR="007320F2" w:rsidRPr="007320F2">
          <w:rPr>
            <w:rStyle w:val="Hyperlink"/>
            <w:rtl/>
          </w:rPr>
          <w:t xml:space="preserve"> 40ד(ב)</w:t>
        </w:r>
      </w:hyperlink>
      <w:r>
        <w:rPr>
          <w:rFonts w:hint="cs"/>
          <w:rtl/>
        </w:rPr>
        <w:t xml:space="preserve"> ל</w:t>
      </w:r>
      <w:hyperlink r:id="rId33" w:history="1">
        <w:r w:rsidR="001D59A9" w:rsidRPr="001D59A9">
          <w:rPr>
            <w:color w:val="0000FF"/>
            <w:u w:val="single"/>
            <w:rtl/>
          </w:rPr>
          <w:t>חוק העונשין</w:t>
        </w:r>
      </w:hyperlink>
      <w:r>
        <w:rPr>
          <w:rFonts w:hint="cs"/>
          <w:rtl/>
        </w:rPr>
        <w:t xml:space="preserve"> ויישומו נדונה על ידי בית המשפט העליון ב</w:t>
      </w:r>
      <w:hyperlink r:id="rId34" w:history="1">
        <w:r w:rsidR="001D59A9" w:rsidRPr="001D59A9">
          <w:rPr>
            <w:color w:val="0000FF"/>
            <w:u w:val="single"/>
            <w:rtl/>
          </w:rPr>
          <w:t>ע"פ 5936/13</w:t>
        </w:r>
      </w:hyperlink>
      <w:r>
        <w:rPr>
          <w:rFonts w:hint="cs"/>
          <w:rtl/>
        </w:rPr>
        <w:t xml:space="preserve"> </w:t>
      </w:r>
      <w:r>
        <w:rPr>
          <w:rFonts w:hint="cs"/>
          <w:b/>
          <w:bCs/>
          <w:rtl/>
        </w:rPr>
        <w:t>פלוני נ' מדינת ישראל</w:t>
      </w:r>
      <w:r>
        <w:rPr>
          <w:rFonts w:hint="cs"/>
          <w:rtl/>
        </w:rPr>
        <w:t xml:space="preserve"> (14/01/2015) (להלן: "</w:t>
      </w:r>
      <w:r>
        <w:rPr>
          <w:rFonts w:hint="cs"/>
          <w:b/>
          <w:bCs/>
          <w:rtl/>
        </w:rPr>
        <w:t>ע"פ 5936/13</w:t>
      </w:r>
      <w:r>
        <w:rPr>
          <w:rFonts w:hint="cs"/>
          <w:rtl/>
        </w:rPr>
        <w:t xml:space="preserve">"), שם הבהיר בית המשפט העליון, כי </w:t>
      </w:r>
      <w:r>
        <w:rPr>
          <w:rFonts w:ascii="Miriam" w:hAnsi="Miriam" w:cs="Miriam"/>
          <w:rtl/>
        </w:rPr>
        <w:t>"ככל שהעבירה ונסיבותיה חמורות יותר-גובר הנטל על הטוען להקלה בשל שיקולי שיקום".</w:t>
      </w:r>
    </w:p>
    <w:p w14:paraId="590A8CEC" w14:textId="77777777" w:rsidR="009B4C96" w:rsidRDefault="009B4C96" w:rsidP="009B4C96">
      <w:pPr>
        <w:spacing w:line="360" w:lineRule="auto"/>
        <w:jc w:val="both"/>
        <w:rPr>
          <w:rtl/>
        </w:rPr>
      </w:pPr>
    </w:p>
    <w:p w14:paraId="04CD0F02" w14:textId="77777777" w:rsidR="009B4C96" w:rsidRDefault="009B4C96" w:rsidP="009B4C96">
      <w:pPr>
        <w:pStyle w:val="a9"/>
        <w:spacing w:line="360" w:lineRule="auto"/>
        <w:jc w:val="both"/>
        <w:rPr>
          <w:rtl/>
        </w:rPr>
      </w:pPr>
      <w:r>
        <w:rPr>
          <w:rFonts w:hint="cs"/>
          <w:rtl/>
        </w:rPr>
        <w:t>כמו כן אפנה ל</w:t>
      </w:r>
      <w:hyperlink r:id="rId35" w:history="1">
        <w:r w:rsidR="001D59A9" w:rsidRPr="001D59A9">
          <w:rPr>
            <w:color w:val="0000FF"/>
            <w:u w:val="single"/>
            <w:rtl/>
          </w:rPr>
          <w:t>ע"פ 6637/17</w:t>
        </w:r>
      </w:hyperlink>
      <w:r>
        <w:rPr>
          <w:rtl/>
        </w:rPr>
        <w:t xml:space="preserve"> </w:t>
      </w:r>
      <w:r w:rsidRPr="00E061B8">
        <w:rPr>
          <w:b/>
          <w:bCs/>
          <w:rtl/>
        </w:rPr>
        <w:t>קרנדל נ' מדינת ישראל</w:t>
      </w:r>
      <w:r>
        <w:rPr>
          <w:rtl/>
        </w:rPr>
        <w:t xml:space="preserve"> </w:t>
      </w:r>
      <w:r>
        <w:rPr>
          <w:rFonts w:hint="cs"/>
          <w:rtl/>
        </w:rPr>
        <w:t xml:space="preserve"> שם קבע בית המשפט מתווה  ל</w:t>
      </w:r>
      <w:r>
        <w:rPr>
          <w:rtl/>
        </w:rPr>
        <w:t>קריטריונים לשיקום שיצדיק חריגה מהמתחם</w:t>
      </w:r>
      <w:r>
        <w:rPr>
          <w:rFonts w:hint="cs"/>
          <w:rtl/>
        </w:rPr>
        <w:t xml:space="preserve">: </w:t>
      </w:r>
    </w:p>
    <w:p w14:paraId="49C567F6" w14:textId="77777777" w:rsidR="009B4C96" w:rsidRDefault="009B4C96" w:rsidP="009B4C96">
      <w:pPr>
        <w:pStyle w:val="a9"/>
        <w:spacing w:line="360" w:lineRule="auto"/>
        <w:jc w:val="both"/>
      </w:pPr>
    </w:p>
    <w:p w14:paraId="353236F6" w14:textId="77777777" w:rsidR="009B4C96" w:rsidRPr="00E061B8" w:rsidRDefault="009B4C96" w:rsidP="009B4C96">
      <w:pPr>
        <w:spacing w:line="360" w:lineRule="auto"/>
        <w:ind w:left="1080"/>
        <w:jc w:val="both"/>
        <w:rPr>
          <w:rFonts w:ascii="Miriam" w:hAnsi="Miriam" w:cs="Miriam"/>
          <w:rtl/>
        </w:rPr>
      </w:pPr>
      <w:r w:rsidRPr="00E061B8">
        <w:rPr>
          <w:rFonts w:ascii="Miriam" w:hAnsi="Miriam" w:cs="Miriam"/>
          <w:rtl/>
        </w:rPr>
        <w:t xml:space="preserve">"בקווים כלליים ניתן להצביע על כך שהפעלת הסמכות </w:t>
      </w:r>
      <w:r w:rsidRPr="001D59A9">
        <w:rPr>
          <w:rFonts w:ascii="Miriam" w:hAnsi="Miriam" w:cs="Miriam"/>
          <w:color w:val="000000"/>
          <w:rtl/>
        </w:rPr>
        <w:t>בסעיף 40ד</w:t>
      </w:r>
      <w:r w:rsidRPr="00E061B8">
        <w:rPr>
          <w:rFonts w:ascii="Miriam" w:hAnsi="Miriam" w:cs="Miriam"/>
          <w:rtl/>
        </w:rPr>
        <w:t xml:space="preserve"> אינה מוגבלת לעבירות קלות בלבד.... במקרים קודמים שבהם נדרש בית המשפט להעריך את סיכויי השיקום במסגרת </w:t>
      </w:r>
      <w:r w:rsidRPr="001D59A9">
        <w:rPr>
          <w:rFonts w:ascii="Miriam" w:hAnsi="Miriam" w:cs="Miriam"/>
          <w:color w:val="000000"/>
          <w:rtl/>
        </w:rPr>
        <w:t>סעיף 40ד</w:t>
      </w:r>
      <w:r w:rsidRPr="00E061B8">
        <w:rPr>
          <w:rFonts w:ascii="Miriam" w:hAnsi="Miriam" w:cs="Miriam"/>
          <w:rtl/>
        </w:rPr>
        <w:t xml:space="preserve"> ל</w:t>
      </w:r>
      <w:hyperlink r:id="rId36" w:history="1">
        <w:r w:rsidR="001D59A9" w:rsidRPr="001D59A9">
          <w:rPr>
            <w:rFonts w:ascii="Miriam" w:hAnsi="Miriam" w:cs="Miriam"/>
            <w:color w:val="0000FF"/>
            <w:u w:val="single"/>
            <w:rtl/>
          </w:rPr>
          <w:t>חוק העונשין</w:t>
        </w:r>
      </w:hyperlink>
      <w:r w:rsidRPr="00E061B8">
        <w:rPr>
          <w:rFonts w:ascii="Miriam" w:hAnsi="Miriam" w:cs="Miriam"/>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p>
    <w:p w14:paraId="6273591A" w14:textId="77777777" w:rsidR="009B4C96" w:rsidRDefault="009B4C96" w:rsidP="009B4C96">
      <w:pPr>
        <w:spacing w:line="360" w:lineRule="auto"/>
        <w:jc w:val="both"/>
        <w:rPr>
          <w:rtl/>
        </w:rPr>
      </w:pPr>
    </w:p>
    <w:p w14:paraId="7E2E1D33" w14:textId="77777777" w:rsidR="009B4C96" w:rsidRDefault="009B4C96" w:rsidP="009B4C96">
      <w:pPr>
        <w:pStyle w:val="a9"/>
        <w:spacing w:line="360" w:lineRule="auto"/>
        <w:jc w:val="both"/>
        <w:rPr>
          <w:rFonts w:ascii="Arial" w:hAnsi="Arial"/>
        </w:rPr>
      </w:pPr>
      <w:r>
        <w:rPr>
          <w:rFonts w:ascii="Arial" w:hAnsi="Arial" w:hint="cs"/>
          <w:rtl/>
        </w:rPr>
        <w:t xml:space="preserve">לכך אוסיף ואדגיש את העיקרון בענישה שהענישה היא לעולם אינדיבידואלית. ראה: </w:t>
      </w:r>
      <w:hyperlink r:id="rId37" w:history="1">
        <w:r w:rsidR="001D59A9" w:rsidRPr="001D59A9">
          <w:rPr>
            <w:rFonts w:ascii="Arial" w:hAnsi="Arial"/>
            <w:color w:val="0000FF"/>
            <w:u w:val="single"/>
            <w:rtl/>
          </w:rPr>
          <w:t>ע"פ 1307/15</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(01/04/2015); </w:t>
      </w:r>
      <w:hyperlink r:id="rId38" w:history="1">
        <w:r w:rsidR="001D59A9" w:rsidRPr="001D59A9">
          <w:rPr>
            <w:rFonts w:ascii="Arial" w:hAnsi="Arial"/>
            <w:color w:val="0000FF"/>
            <w:u w:val="single"/>
            <w:rtl/>
          </w:rPr>
          <w:t>ע"פ 8355/13</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(18/11/2014).</w:t>
      </w:r>
    </w:p>
    <w:p w14:paraId="4A2316CD" w14:textId="77777777" w:rsidR="009B4C96" w:rsidRDefault="009B4C96" w:rsidP="009B4C96">
      <w:pPr>
        <w:pStyle w:val="a9"/>
        <w:numPr>
          <w:ilvl w:val="0"/>
          <w:numId w:val="1"/>
        </w:numPr>
        <w:spacing w:line="360" w:lineRule="auto"/>
        <w:jc w:val="both"/>
        <w:rPr>
          <w:rFonts w:ascii="Arial" w:hAnsi="Arial"/>
        </w:rPr>
      </w:pPr>
      <w:r>
        <w:rPr>
          <w:rFonts w:ascii="Arial" w:hAnsi="Arial" w:hint="cs"/>
          <w:rtl/>
        </w:rPr>
        <w:t xml:space="preserve">בעניינו של הנאשם אני סבורה שיש לחרוג ממתחם הענישה אותו קבעתי בשל שיקולי שיקום. </w:t>
      </w:r>
    </w:p>
    <w:p w14:paraId="3F2E9841" w14:textId="77777777" w:rsidR="009B4C96" w:rsidRDefault="009B4C96" w:rsidP="009B4C96">
      <w:pPr>
        <w:spacing w:line="360" w:lineRule="auto"/>
        <w:ind w:left="720"/>
        <w:jc w:val="both"/>
        <w:rPr>
          <w:rFonts w:ascii="Arial" w:hAnsi="Arial"/>
          <w:rtl/>
        </w:rPr>
      </w:pPr>
      <w:r>
        <w:rPr>
          <w:rFonts w:ascii="Arial" w:hAnsi="Arial" w:hint="cs"/>
          <w:rtl/>
        </w:rPr>
        <w:t xml:space="preserve">שירות המבחן הגיש מספר תסקירים עקביים בעניינו של הנאשם. הנאשם התגייס להליך הטיפולי כבר מתחילת ההליך ושיתף פעולה. לא זו אף זו, שכאשר בית המשפט הפנה את הנאשם לקבלת חוות דעת של הממונה על עבודות השירות שירות המבחן ביוזמתו על אף שלא התבקש הגיש תסקיר נוסף והדגיש את השתלבותו של הנאשם בהליך הטיפולי וחשיבות הרצף השיקומי והמשמעות השיקומית לשילובו של הנאשם בתעסוקה. </w:t>
      </w:r>
    </w:p>
    <w:p w14:paraId="7993D106" w14:textId="77777777" w:rsidR="009B4C96" w:rsidRDefault="009B4C96" w:rsidP="009B4C96">
      <w:pPr>
        <w:spacing w:line="360" w:lineRule="auto"/>
        <w:ind w:left="720"/>
        <w:jc w:val="both"/>
        <w:rPr>
          <w:rFonts w:ascii="Arial" w:hAnsi="Arial"/>
          <w:rtl/>
        </w:rPr>
      </w:pPr>
      <w:r>
        <w:rPr>
          <w:rFonts w:ascii="Arial" w:hAnsi="Arial" w:hint="cs"/>
          <w:rtl/>
        </w:rPr>
        <w:t xml:space="preserve">לפיכך, אני סבורה שהוכחו סיכויי שיקום ממשיים המצדיקים חריגה ממתחם העונש ההולם. </w:t>
      </w:r>
    </w:p>
    <w:p w14:paraId="36C6C419" w14:textId="77777777" w:rsidR="009B4C96" w:rsidRDefault="009B4C96" w:rsidP="009B4C96">
      <w:pPr>
        <w:spacing w:line="360" w:lineRule="auto"/>
        <w:jc w:val="both"/>
        <w:rPr>
          <w:rFonts w:ascii="Arial" w:hAnsi="Arial"/>
          <w:rtl/>
        </w:rPr>
      </w:pPr>
    </w:p>
    <w:p w14:paraId="025DC2BC" w14:textId="77777777" w:rsidR="009B4C96" w:rsidRPr="00B245D3" w:rsidRDefault="009B4C96" w:rsidP="009B4C96">
      <w:pPr>
        <w:pStyle w:val="a9"/>
        <w:numPr>
          <w:ilvl w:val="0"/>
          <w:numId w:val="1"/>
        </w:numPr>
        <w:spacing w:line="360" w:lineRule="auto"/>
        <w:jc w:val="both"/>
        <w:rPr>
          <w:rFonts w:ascii="Arial" w:hAnsi="Arial"/>
          <w:b/>
          <w:bCs/>
        </w:rPr>
      </w:pPr>
      <w:r w:rsidRPr="00C32B43">
        <w:rPr>
          <w:rFonts w:ascii="Arial" w:hAnsi="Arial" w:hint="cs"/>
          <w:rtl/>
        </w:rPr>
        <w:t>הנאשם צעיר לגילו</w:t>
      </w:r>
      <w:r>
        <w:rPr>
          <w:rFonts w:ascii="Arial" w:hAnsi="Arial" w:hint="cs"/>
          <w:rtl/>
        </w:rPr>
        <w:t xml:space="preserve"> וטרם מלאו לו 22 . </w:t>
      </w:r>
      <w:r w:rsidRPr="00C32B43">
        <w:rPr>
          <w:rFonts w:ascii="Arial" w:hAnsi="Arial" w:hint="cs"/>
          <w:rtl/>
        </w:rPr>
        <w:t>לעניין זה אפנה ל</w:t>
      </w:r>
      <w:hyperlink r:id="rId39" w:history="1">
        <w:r w:rsidR="001D59A9" w:rsidRPr="001D59A9">
          <w:rPr>
            <w:rFonts w:ascii="Arial" w:hAnsi="Arial"/>
            <w:color w:val="0000FF"/>
            <w:u w:val="single"/>
            <w:rtl/>
          </w:rPr>
          <w:t>ע"פ 7781/12</w:t>
        </w:r>
      </w:hyperlink>
      <w:r w:rsidRPr="00C32B43">
        <w:rPr>
          <w:rFonts w:ascii="Arial" w:hAnsi="Arial" w:hint="cs"/>
          <w:rtl/>
        </w:rPr>
        <w:t xml:space="preserve"> פלוני נגד מדינת ישראל ( 25.6.13) בעניין מדיניות ענישה לקבוצת גיל </w:t>
      </w:r>
      <w:r w:rsidRPr="00B245D3">
        <w:rPr>
          <w:rFonts w:ascii="Arial" w:hAnsi="Arial" w:hint="cs"/>
          <w:b/>
          <w:bCs/>
          <w:rtl/>
        </w:rPr>
        <w:t xml:space="preserve">"בגיר צעיר " </w:t>
      </w:r>
      <w:r>
        <w:rPr>
          <w:rFonts w:ascii="Arial" w:hAnsi="Arial" w:hint="cs"/>
          <w:b/>
          <w:bCs/>
          <w:rtl/>
        </w:rPr>
        <w:t>:</w:t>
      </w:r>
    </w:p>
    <w:p w14:paraId="62045CFE" w14:textId="77777777" w:rsidR="009B4C96" w:rsidRDefault="009B4C96" w:rsidP="009B4C96">
      <w:pPr>
        <w:pStyle w:val="a9"/>
        <w:spacing w:line="360" w:lineRule="auto"/>
        <w:jc w:val="both"/>
        <w:rPr>
          <w:rFonts w:ascii="Arial" w:hAnsi="Arial"/>
          <w:rtl/>
        </w:rPr>
      </w:pPr>
    </w:p>
    <w:p w14:paraId="5C706D0B" w14:textId="77777777" w:rsidR="009B4C96" w:rsidRPr="00C32B43" w:rsidRDefault="009B4C96" w:rsidP="009B4C96">
      <w:pPr>
        <w:pStyle w:val="a9"/>
        <w:spacing w:line="360" w:lineRule="auto"/>
        <w:ind w:left="1440"/>
        <w:jc w:val="both"/>
        <w:rPr>
          <w:rFonts w:ascii="Miriam" w:hAnsi="Miriam" w:cs="Miriam"/>
        </w:rPr>
      </w:pPr>
      <w:r w:rsidRPr="00C32B43">
        <w:rPr>
          <w:rFonts w:ascii="Miriam" w:hAnsi="Miriam" w:cs="Miriam"/>
          <w:rtl/>
        </w:rPr>
        <w:t>"</w:t>
      </w:r>
      <w:r w:rsidRPr="00C32B43">
        <w:rPr>
          <w:rFonts w:ascii="Miriam" w:hAnsi="Miriam" w:cs="Miriam"/>
          <w:spacing w:val="10"/>
          <w:rtl/>
        </w:rPr>
        <w:t xml:space="preserve">לאור כל האמור לעיל,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601417A2" w14:textId="77777777" w:rsidR="009B4C96" w:rsidRDefault="009B4C96" w:rsidP="009B4C96">
      <w:pPr>
        <w:spacing w:line="360" w:lineRule="auto"/>
        <w:jc w:val="both"/>
        <w:rPr>
          <w:rFonts w:ascii="Arial" w:hAnsi="Arial"/>
          <w:rtl/>
        </w:rPr>
      </w:pPr>
      <w:r>
        <w:rPr>
          <w:rFonts w:ascii="Arial" w:hAnsi="Arial" w:hint="cs"/>
          <w:rtl/>
        </w:rPr>
        <w:t xml:space="preserve"> </w:t>
      </w:r>
    </w:p>
    <w:p w14:paraId="7DDB9D7B" w14:textId="77777777" w:rsidR="009B4C96" w:rsidRPr="00B245D3" w:rsidRDefault="009B4C96" w:rsidP="009B4C96">
      <w:pPr>
        <w:pStyle w:val="a9"/>
        <w:spacing w:line="360" w:lineRule="auto"/>
        <w:jc w:val="both"/>
        <w:rPr>
          <w:rFonts w:ascii="Arial" w:hAnsi="Arial"/>
          <w:rtl/>
        </w:rPr>
      </w:pPr>
      <w:r w:rsidRPr="00B245D3">
        <w:rPr>
          <w:rFonts w:ascii="Arial" w:hAnsi="Arial" w:hint="cs"/>
          <w:rtl/>
        </w:rPr>
        <w:t>וכן אפנה לפסיקה נוספת בעניין זה ל</w:t>
      </w:r>
      <w:hyperlink r:id="rId40" w:history="1">
        <w:r w:rsidR="001D59A9" w:rsidRPr="001D59A9">
          <w:rPr>
            <w:rFonts w:ascii="Arial" w:hAnsi="Arial"/>
            <w:color w:val="0000FF"/>
            <w:u w:val="single"/>
            <w:rtl/>
          </w:rPr>
          <w:t>ע"פ 2420/15</w:t>
        </w:r>
      </w:hyperlink>
      <w:r w:rsidRPr="00B245D3">
        <w:rPr>
          <w:rFonts w:ascii="Arial" w:hAnsi="Arial" w:hint="cs"/>
          <w:rtl/>
        </w:rPr>
        <w:t xml:space="preserve"> </w:t>
      </w:r>
      <w:r w:rsidRPr="00B245D3">
        <w:rPr>
          <w:rFonts w:ascii="Arial" w:hAnsi="Arial" w:hint="cs"/>
          <w:b/>
          <w:bCs/>
          <w:rtl/>
        </w:rPr>
        <w:t xml:space="preserve">אברהם אבטליון נ' מדינת ישראל </w:t>
      </w:r>
      <w:r w:rsidRPr="00B245D3">
        <w:rPr>
          <w:rFonts w:ascii="Arial" w:hAnsi="Arial" w:hint="cs"/>
          <w:rtl/>
        </w:rPr>
        <w:t xml:space="preserve">אשר בפסיקה זו הבהיר בית המשפט העליון דגשים בעניין קבוצת גיל "בגירים צעירים":  </w:t>
      </w:r>
    </w:p>
    <w:p w14:paraId="6D356CA5" w14:textId="77777777" w:rsidR="009B4C96" w:rsidRDefault="009B4C96" w:rsidP="009B4C96">
      <w:pPr>
        <w:spacing w:line="360" w:lineRule="auto"/>
        <w:jc w:val="both"/>
        <w:rPr>
          <w:rFonts w:ascii="Arial" w:hAnsi="Arial"/>
          <w:rtl/>
        </w:rPr>
      </w:pPr>
    </w:p>
    <w:p w14:paraId="3595E49D" w14:textId="77777777" w:rsidR="009B4C96" w:rsidRPr="00B245D3" w:rsidRDefault="009B4C96" w:rsidP="009B4C96">
      <w:pPr>
        <w:pStyle w:val="Ruller4"/>
        <w:numPr>
          <w:ilvl w:val="0"/>
          <w:numId w:val="0"/>
        </w:numPr>
        <w:tabs>
          <w:tab w:val="clear" w:pos="1080"/>
        </w:tabs>
        <w:ind w:left="1440"/>
        <w:rPr>
          <w:rFonts w:ascii="Miriam" w:hAnsi="Miriam" w:cs="Miriam"/>
          <w:szCs w:val="24"/>
        </w:rPr>
      </w:pPr>
      <w:r w:rsidRPr="00B245D3">
        <w:rPr>
          <w:rFonts w:ascii="Miriam" w:hAnsi="Miriam" w:cs="Miriam"/>
          <w:szCs w:val="24"/>
          <w:rtl/>
        </w:rPr>
        <w:t xml:space="preserve">"נוכח טענות המערער בערעורו, ונוכח דעתו החולקת של חברי השופט </w:t>
      </w:r>
      <w:r w:rsidRPr="00B245D3">
        <w:rPr>
          <w:rFonts w:ascii="Miriam" w:hAnsi="Miriam" w:cs="Miriam"/>
          <w:b/>
          <w:spacing w:val="0"/>
          <w:szCs w:val="24"/>
          <w:rtl/>
        </w:rPr>
        <w:t>י' עמית</w:t>
      </w:r>
      <w:r w:rsidRPr="00B245D3">
        <w:rPr>
          <w:rFonts w:ascii="Miriam" w:hAnsi="Miriam" w:cs="Miriam"/>
          <w:szCs w:val="24"/>
          <w:rtl/>
        </w:rPr>
        <w:t xml:space="preserve"> בעניין </w:t>
      </w:r>
      <w:r w:rsidRPr="00B245D3">
        <w:rPr>
          <w:rFonts w:ascii="Miriam" w:hAnsi="Miriam" w:cs="Miriam"/>
          <w:b/>
          <w:spacing w:val="0"/>
          <w:szCs w:val="24"/>
          <w:rtl/>
        </w:rPr>
        <w:t>פלוני</w:t>
      </w:r>
      <w:r w:rsidRPr="00B245D3">
        <w:rPr>
          <w:rFonts w:ascii="Miriam" w:hAnsi="Miriam" w:cs="Miriam"/>
          <w:szCs w:val="24"/>
          <w:rtl/>
        </w:rPr>
        <w:t xml:space="preserve">, ראיתי לנכון להבהיר ולחדד את דבריי באותו עניין. מטרתו של הדיון אשר נערך בפסק הדין בעניין </w:t>
      </w:r>
      <w:r w:rsidRPr="00B245D3">
        <w:rPr>
          <w:rFonts w:ascii="Miriam" w:hAnsi="Miriam" w:cs="Miriam"/>
          <w:b/>
          <w:spacing w:val="0"/>
          <w:szCs w:val="24"/>
          <w:rtl/>
        </w:rPr>
        <w:t>פלוני</w:t>
      </w:r>
      <w:r w:rsidRPr="00B245D3">
        <w:rPr>
          <w:rFonts w:ascii="Miriam" w:hAnsi="Miriam" w:cs="Miriam"/>
          <w:szCs w:val="24"/>
          <w:rtl/>
        </w:rPr>
        <w:t xml:space="preserve">, הייתה "לבחון את מאפייני קבוצה ייחודית זו (קבוצת הבגירים הצעירים – ס.ג'.), בחינה שתאפשר לנו לצקת תוכן לשיקולי הענישה הקבועים בדין ושעוצבו בהלכה הפסוקה, בהתאם לתכלית ההליך הפלילי" (שם, פסקה 35 לפסק דיני). במילים אחרות, פסק הדין בעניין </w:t>
      </w:r>
      <w:r w:rsidRPr="00B245D3">
        <w:rPr>
          <w:rFonts w:ascii="Miriam" w:hAnsi="Miriam" w:cs="Miriam"/>
          <w:b/>
          <w:spacing w:val="0"/>
          <w:szCs w:val="24"/>
          <w:rtl/>
        </w:rPr>
        <w:t>פלוני</w:t>
      </w:r>
      <w:r w:rsidRPr="00B245D3">
        <w:rPr>
          <w:rFonts w:ascii="Miriam" w:hAnsi="Miriam" w:cs="Miriam"/>
          <w:szCs w:val="24"/>
          <w:rtl/>
        </w:rPr>
        <w:t xml:space="preserve"> לא יצר עילה "פסיקתית" נפרדת להקלה בעונשם של בגירים צעירים, אלא יצק תוכן המבוסס על המאפיינים המיוחדים אשר עשויים להתקיים בקבוצה זו, לתוך הכללים הקבועים </w:t>
      </w:r>
      <w:r w:rsidRPr="001D59A9">
        <w:rPr>
          <w:rFonts w:ascii="Miriam" w:hAnsi="Miriam" w:cs="Miriam"/>
          <w:color w:val="000000"/>
          <w:rtl/>
        </w:rPr>
        <w:t>בסימן א'1</w:t>
      </w:r>
      <w:r w:rsidRPr="00B245D3">
        <w:rPr>
          <w:rFonts w:ascii="Miriam" w:hAnsi="Miriam" w:cs="Miriam"/>
          <w:szCs w:val="24"/>
          <w:rtl/>
        </w:rPr>
        <w:t xml:space="preserve"> לפרק ו' ל</w:t>
      </w:r>
      <w:hyperlink r:id="rId41" w:history="1">
        <w:r w:rsidR="001D59A9" w:rsidRPr="001D59A9">
          <w:rPr>
            <w:rFonts w:ascii="Miriam" w:hAnsi="Miriam" w:cs="Miriam"/>
            <w:color w:val="0000FF"/>
            <w:u w:val="single"/>
            <w:rtl/>
          </w:rPr>
          <w:t>חוק העונשין</w:t>
        </w:r>
      </w:hyperlink>
      <w:r w:rsidRPr="00B245D3">
        <w:rPr>
          <w:rFonts w:ascii="Miriam" w:hAnsi="Miriam" w:cs="Miriam"/>
          <w:szCs w:val="24"/>
          <w:rtl/>
        </w:rPr>
        <w:t xml:space="preserve"> – אשר מאפשרים לייחס משמעות לגילו של נאשם, להתפתחותו, לבשלותו ולפוטנציאל השיקומי שלו בעת גזירת עונשו (ראו והשוו: </w:t>
      </w:r>
      <w:hyperlink r:id="rId42" w:history="1">
        <w:r w:rsidR="001D59A9" w:rsidRPr="001D59A9">
          <w:rPr>
            <w:rFonts w:ascii="Miriam" w:hAnsi="Miriam" w:cs="Miriam"/>
            <w:color w:val="0000FF"/>
            <w:u w:val="single"/>
            <w:rtl/>
          </w:rPr>
          <w:t>ע"פ 2357/13</w:t>
        </w:r>
      </w:hyperlink>
      <w:r w:rsidRPr="00B245D3">
        <w:rPr>
          <w:rFonts w:ascii="Miriam" w:hAnsi="Miriam" w:cs="Miriam"/>
          <w:szCs w:val="24"/>
          <w:rtl/>
        </w:rPr>
        <w:t xml:space="preserve"> </w:t>
      </w:r>
      <w:r w:rsidRPr="00B245D3">
        <w:rPr>
          <w:rFonts w:ascii="Miriam" w:hAnsi="Miriam" w:cs="Miriam"/>
          <w:b/>
          <w:spacing w:val="0"/>
          <w:szCs w:val="24"/>
          <w:rtl/>
        </w:rPr>
        <w:t>רוש נ' מדינת ישראל</w:t>
      </w:r>
      <w:r w:rsidRPr="00B245D3">
        <w:rPr>
          <w:rFonts w:ascii="Miriam" w:hAnsi="Miriam" w:cs="Miriam"/>
          <w:szCs w:val="24"/>
          <w:rtl/>
        </w:rPr>
        <w:t xml:space="preserve">, </w:t>
      </w:r>
      <w:r w:rsidRPr="00B245D3">
        <w:rPr>
          <w:rFonts w:ascii="Miriam" w:hAnsi="Miriam" w:cs="Miriam"/>
          <w:spacing w:val="0"/>
          <w:szCs w:val="24"/>
          <w:rtl/>
        </w:rPr>
        <w:t xml:space="preserve">[פורסם בנבו] </w:t>
      </w:r>
      <w:r w:rsidRPr="00B245D3">
        <w:rPr>
          <w:rFonts w:ascii="Miriam" w:hAnsi="Miriam" w:cs="Miriam"/>
          <w:szCs w:val="24"/>
          <w:rtl/>
        </w:rPr>
        <w:t>פסקאות יח-יט (6.10.2013)). כפי שציינתי ב</w:t>
      </w:r>
      <w:hyperlink r:id="rId43" w:history="1">
        <w:r w:rsidR="001D59A9" w:rsidRPr="001D59A9">
          <w:rPr>
            <w:rFonts w:ascii="Miriam" w:hAnsi="Miriam" w:cs="Miriam"/>
            <w:color w:val="0000FF"/>
            <w:u w:val="single"/>
            <w:rtl/>
          </w:rPr>
          <w:t>ע"פ 452/14</w:t>
        </w:r>
      </w:hyperlink>
      <w:r w:rsidRPr="00B245D3">
        <w:rPr>
          <w:rFonts w:ascii="Miriam" w:hAnsi="Miriam" w:cs="Miriam"/>
          <w:szCs w:val="24"/>
          <w:rtl/>
        </w:rPr>
        <w:t xml:space="preserve"> </w:t>
      </w:r>
      <w:r w:rsidRPr="00B245D3">
        <w:rPr>
          <w:rFonts w:ascii="Miriam" w:hAnsi="Miriam" w:cs="Miriam"/>
          <w:b/>
          <w:spacing w:val="0"/>
          <w:szCs w:val="24"/>
          <w:rtl/>
        </w:rPr>
        <w:t>דבוש נ' מדינת ישראל</w:t>
      </w:r>
      <w:r w:rsidRPr="00B245D3">
        <w:rPr>
          <w:rFonts w:ascii="Miriam" w:hAnsi="Miriam" w:cs="Miriam"/>
          <w:szCs w:val="24"/>
          <w:rtl/>
        </w:rPr>
        <w:t xml:space="preserve">, </w:t>
      </w:r>
      <w:r w:rsidRPr="00B245D3">
        <w:rPr>
          <w:rFonts w:ascii="Miriam" w:hAnsi="Miriam" w:cs="Miriam"/>
          <w:spacing w:val="0"/>
          <w:szCs w:val="24"/>
          <w:rtl/>
        </w:rPr>
        <w:t xml:space="preserve">[פורסם בנבו] </w:t>
      </w:r>
      <w:r w:rsidRPr="00B245D3">
        <w:rPr>
          <w:rFonts w:ascii="Miriam" w:hAnsi="Miriam" w:cs="Miriam"/>
          <w:szCs w:val="24"/>
          <w:rtl/>
        </w:rPr>
        <w:t xml:space="preserve">פסקה 17 (3.4.2014): "כוחה של דוקטרינת 'בגירים-צעירים' הוא </w:t>
      </w:r>
      <w:r w:rsidRPr="00B245D3">
        <w:rPr>
          <w:rFonts w:ascii="Miriam" w:hAnsi="Miriam" w:cs="Miriam"/>
          <w:b/>
          <w:spacing w:val="0"/>
          <w:szCs w:val="24"/>
          <w:rtl/>
        </w:rPr>
        <w:t>כאמצעי פרשני</w:t>
      </w:r>
      <w:r w:rsidRPr="00B245D3">
        <w:rPr>
          <w:rFonts w:ascii="Miriam" w:hAnsi="Miriam" w:cs="Miriam"/>
          <w:szCs w:val="24"/>
          <w:rtl/>
        </w:rPr>
        <w:t xml:space="preserve"> אשר מנחה את בתי המשפט ונותן בידיהם כלי נוסף לביצוע מלאכת גזירת הדין" (ההדגשה הוספה – ס.ג'.). תכליתו של פסק הדין בעניין </w:t>
      </w:r>
      <w:r w:rsidRPr="00B245D3">
        <w:rPr>
          <w:rFonts w:ascii="Miriam" w:hAnsi="Miriam" w:cs="Miriam"/>
          <w:b/>
          <w:spacing w:val="0"/>
          <w:szCs w:val="24"/>
          <w:rtl/>
        </w:rPr>
        <w:t>פלוני</w:t>
      </w:r>
      <w:r w:rsidRPr="00B245D3">
        <w:rPr>
          <w:rFonts w:ascii="Miriam" w:hAnsi="Miriam" w:cs="Miriam"/>
          <w:szCs w:val="24"/>
          <w:rtl/>
        </w:rPr>
        <w:t xml:space="preserve"> היא להבטיח כי בשעת גזירת דינם של בגירים צעירים, בית המשפט יישם את </w:t>
      </w:r>
      <w:r w:rsidRPr="00B245D3">
        <w:rPr>
          <w:rFonts w:ascii="Miriam" w:hAnsi="Miriam" w:cs="Miriam"/>
          <w:b/>
          <w:szCs w:val="24"/>
          <w:rtl/>
        </w:rPr>
        <w:t xml:space="preserve">הוראות החוק </w:t>
      </w:r>
      <w:r w:rsidRPr="00B245D3">
        <w:rPr>
          <w:rFonts w:ascii="Miriam" w:hAnsi="Miriam" w:cs="Miriam"/>
          <w:szCs w:val="24"/>
          <w:rtl/>
        </w:rPr>
        <w:t>המבנות את שיקול הדעת השיפוטי באופן הלוקח בחשבון את ייחודיותה האפשרית של קבוצה זו ומייחס למאפייניה המיוחדים את המשקל המתאים והראוי להם, ככל שהם מתקיימים. הגשמת תכלית זו תבטיח כי העונש שייגזר על הבגיר הצעיר אכן יהלום את מידת אשמתו, וכי יוגשם האינטרס הציבורי בשיקומם של עבריינים, על ידי מיצוי פוטנציאל השיקום המוגבר הקיים בחלק מהבגירים הצעירים".</w:t>
      </w:r>
    </w:p>
    <w:p w14:paraId="52701973" w14:textId="77777777" w:rsidR="009B4C96" w:rsidRDefault="009B4C96" w:rsidP="009B4C96">
      <w:pPr>
        <w:pStyle w:val="Ruller41"/>
        <w:rPr>
          <w:rFonts w:ascii="Miriam" w:hAnsi="Miriam" w:cs="Miriam"/>
          <w:sz w:val="24"/>
          <w:szCs w:val="24"/>
          <w:rtl/>
        </w:rPr>
      </w:pPr>
    </w:p>
    <w:p w14:paraId="318D3662" w14:textId="77777777" w:rsidR="009B4C96" w:rsidRPr="00005030" w:rsidRDefault="009B4C96" w:rsidP="009B4C96">
      <w:pPr>
        <w:pStyle w:val="Ruller41"/>
        <w:rPr>
          <w:rFonts w:ascii="David" w:hAnsi="David" w:cs="David"/>
          <w:sz w:val="24"/>
          <w:szCs w:val="24"/>
          <w:rtl/>
        </w:rPr>
      </w:pPr>
      <w:r>
        <w:rPr>
          <w:rFonts w:ascii="Miriam" w:hAnsi="Miriam" w:cs="Miriam"/>
          <w:sz w:val="24"/>
          <w:szCs w:val="24"/>
          <w:rtl/>
        </w:rPr>
        <w:tab/>
      </w:r>
      <w:r w:rsidRPr="00005030">
        <w:rPr>
          <w:rFonts w:ascii="David" w:hAnsi="David" w:cs="David"/>
          <w:sz w:val="24"/>
          <w:szCs w:val="24"/>
          <w:rtl/>
        </w:rPr>
        <w:t>עוד הוסיף כבוד בית המשפט העליו</w:t>
      </w:r>
      <w:r>
        <w:rPr>
          <w:rFonts w:ascii="David" w:hAnsi="David" w:cs="David" w:hint="cs"/>
          <w:sz w:val="24"/>
          <w:szCs w:val="24"/>
          <w:rtl/>
        </w:rPr>
        <w:t>ן</w:t>
      </w:r>
      <w:r w:rsidRPr="00005030">
        <w:rPr>
          <w:rFonts w:ascii="David" w:hAnsi="David" w:cs="David"/>
          <w:sz w:val="24"/>
          <w:szCs w:val="24"/>
          <w:rtl/>
        </w:rPr>
        <w:t xml:space="preserve"> בפסק דין זה: </w:t>
      </w:r>
    </w:p>
    <w:p w14:paraId="116C0CC5" w14:textId="77777777" w:rsidR="009B4C96" w:rsidRPr="00005030" w:rsidRDefault="009B4C96" w:rsidP="009B4C96">
      <w:pPr>
        <w:pStyle w:val="Ruller4"/>
        <w:numPr>
          <w:ilvl w:val="0"/>
          <w:numId w:val="0"/>
        </w:numPr>
        <w:ind w:left="1440"/>
        <w:rPr>
          <w:rFonts w:ascii="Miriam" w:hAnsi="Miriam" w:cs="Miriam"/>
          <w:szCs w:val="24"/>
        </w:rPr>
      </w:pPr>
      <w:r w:rsidRPr="00005030">
        <w:rPr>
          <w:rFonts w:ascii="Miriam" w:hAnsi="Miriam" w:cs="Miriam"/>
          <w:szCs w:val="24"/>
          <w:rtl/>
        </w:rPr>
        <w:t xml:space="preserve">"ויודגש, "בגיר צעיר" אינו מעין "מונח קסם", המצדיק כשלעצמו הקלה בעונשו של נאשם המשתייך לקבוצת הגילאים המסוימת – אלא מדובר בקבוצת משתנים, אשר יש לבחון את המידה שבה הם מתקיימים בכל נאשם בגיר צעיר לגופו. </w:t>
      </w:r>
    </w:p>
    <w:p w14:paraId="793299C2" w14:textId="77777777" w:rsidR="009B4C96" w:rsidRPr="00005030" w:rsidRDefault="009B4C96" w:rsidP="009B4C96">
      <w:pPr>
        <w:pStyle w:val="Ruller4"/>
        <w:numPr>
          <w:ilvl w:val="0"/>
          <w:numId w:val="0"/>
        </w:numPr>
        <w:tabs>
          <w:tab w:val="clear" w:pos="1080"/>
        </w:tabs>
        <w:ind w:left="1440"/>
        <w:rPr>
          <w:rFonts w:ascii="Miriam" w:hAnsi="Miriam" w:cs="Miriam"/>
          <w:szCs w:val="24"/>
          <w:rtl/>
        </w:rPr>
      </w:pPr>
      <w:r w:rsidRPr="00005030">
        <w:rPr>
          <w:rFonts w:ascii="Miriam" w:hAnsi="Miriam" w:cs="Miriam"/>
          <w:szCs w:val="24"/>
          <w:rtl/>
        </w:rPr>
        <w:t>בחינה זו תיעשה, כאמור, במסגרת ההוראות ב</w:t>
      </w:r>
      <w:hyperlink r:id="rId44" w:history="1">
        <w:r w:rsidR="001D59A9" w:rsidRPr="001D59A9">
          <w:rPr>
            <w:rFonts w:ascii="Miriam" w:hAnsi="Miriam" w:cs="Miriam"/>
            <w:color w:val="0000FF"/>
            <w:u w:val="single"/>
            <w:rtl/>
          </w:rPr>
          <w:t>חוק העונשין</w:t>
        </w:r>
      </w:hyperlink>
      <w:r w:rsidRPr="00005030">
        <w:rPr>
          <w:rFonts w:ascii="Miriam" w:hAnsi="Miriam" w:cs="Miriam"/>
          <w:szCs w:val="24"/>
          <w:rtl/>
        </w:rPr>
        <w:t xml:space="preserve"> המבנות את שיקול הדעת השיפוטי, ואשר מאפשרות מתן משקל למאפייניהם המיוחדים של הבגירים הצעירים. בין הוראות אלה, ניתן למנות את </w:t>
      </w:r>
      <w:r w:rsidRPr="001D59A9">
        <w:rPr>
          <w:rFonts w:ascii="Miriam" w:hAnsi="Miriam" w:cs="Miriam"/>
          <w:color w:val="000000"/>
          <w:rtl/>
        </w:rPr>
        <w:t>סעיף 40ט(א)(6)</w:t>
      </w:r>
      <w:r w:rsidRPr="00005030">
        <w:rPr>
          <w:rFonts w:ascii="Miriam" w:hAnsi="Miriam" w:cs="Miriam"/>
          <w:szCs w:val="24"/>
          <w:rtl/>
        </w:rPr>
        <w:t xml:space="preserve"> ל</w:t>
      </w:r>
      <w:hyperlink r:id="rId45" w:history="1">
        <w:r w:rsidR="001D59A9" w:rsidRPr="001D59A9">
          <w:rPr>
            <w:rFonts w:ascii="Miriam" w:hAnsi="Miriam" w:cs="Miriam"/>
            <w:color w:val="0000FF"/>
            <w:u w:val="single"/>
            <w:rtl/>
          </w:rPr>
          <w:t>חוק העונשין</w:t>
        </w:r>
      </w:hyperlink>
      <w:r w:rsidRPr="00005030">
        <w:rPr>
          <w:rFonts w:ascii="Miriam" w:hAnsi="Miriam" w:cs="Miriam"/>
          <w:szCs w:val="24"/>
          <w:rtl/>
        </w:rPr>
        <w:t xml:space="preserve">, המאפשר לייחס משקל בהערכת נסיבות ביצוע העבירה, ל"יכולתו של הנאשם להבין את אשר הוא עושה, את הפסול במעשהו או את משמעות מעשהו, לרבות בשל גילו"; את </w:t>
      </w:r>
      <w:r w:rsidRPr="001D59A9">
        <w:rPr>
          <w:rFonts w:ascii="Miriam" w:hAnsi="Miriam" w:cs="Miriam"/>
          <w:color w:val="000000"/>
          <w:rtl/>
        </w:rPr>
        <w:t>סעיף 40ט(א)(7)</w:t>
      </w:r>
      <w:r w:rsidRPr="00005030">
        <w:rPr>
          <w:rFonts w:ascii="Miriam" w:hAnsi="Miriam" w:cs="Miriam"/>
          <w:szCs w:val="24"/>
          <w:rtl/>
        </w:rPr>
        <w:t xml:space="preserve">, המאפשר לייחס משקל ל"יכולתו של הנאשם להימנע מהמעשה ומידת השליטה שלו על מעשהו"; את </w:t>
      </w:r>
      <w:r w:rsidRPr="001D59A9">
        <w:rPr>
          <w:rFonts w:ascii="Miriam" w:hAnsi="Miriam" w:cs="Miriam"/>
          <w:color w:val="000000"/>
          <w:rtl/>
        </w:rPr>
        <w:t>סעיף 40יא(1)</w:t>
      </w:r>
      <w:r w:rsidRPr="00005030">
        <w:rPr>
          <w:rFonts w:ascii="Miriam" w:hAnsi="Miriam" w:cs="Miriam"/>
          <w:szCs w:val="24"/>
          <w:rtl/>
        </w:rPr>
        <w:t xml:space="preserve">, המאפשר לייחס משקל בהערכת הנסיבות שאינן קשורות בביצוע העבירה ל"פגיעה של העונש בנאשם, לרבות בשל גילו"; ולבסוף, את </w:t>
      </w:r>
      <w:r w:rsidRPr="001D59A9">
        <w:rPr>
          <w:rFonts w:ascii="Miriam" w:hAnsi="Miriam" w:cs="Miriam"/>
          <w:color w:val="000000"/>
          <w:rtl/>
        </w:rPr>
        <w:t>סעיף 40ד(א)</w:t>
      </w:r>
      <w:r w:rsidRPr="00005030">
        <w:rPr>
          <w:rFonts w:ascii="Miriam" w:hAnsi="Miriam" w:cs="Miriam"/>
          <w:szCs w:val="24"/>
          <w:rtl/>
        </w:rPr>
        <w:t xml:space="preserve">, המאפשר לבית המשפט לחרוג ממתחם העונש ההולם אם "מצא כי הנאשם השתקם או כי יש סיכוי של ממש שישתקם". כפי שניתן להיווכח, אין צורך לחרוג מהוראות הדין וליצור קטגוריה פסיקתית חדשה לבגירים צעירים כדי להתחשב במאפייניה המיוחדים של קבוצה זו. לכל אחד מאותם מאפיינים קיימת אכסניה מתאימה בהוראות </w:t>
      </w:r>
      <w:hyperlink r:id="rId46" w:history="1">
        <w:r w:rsidR="001D59A9" w:rsidRPr="001D59A9">
          <w:rPr>
            <w:rFonts w:ascii="Miriam" w:hAnsi="Miriam" w:cs="Miriam"/>
            <w:color w:val="0000FF"/>
            <w:u w:val="single"/>
            <w:rtl/>
          </w:rPr>
          <w:t>חוק העונשין</w:t>
        </w:r>
      </w:hyperlink>
      <w:r w:rsidRPr="00005030">
        <w:rPr>
          <w:rFonts w:ascii="Miriam" w:hAnsi="Miriam" w:cs="Miriam"/>
          <w:szCs w:val="24"/>
          <w:rtl/>
        </w:rPr>
        <w:t xml:space="preserve">, המאפשרת להעניק לו את משקלו הראוי בעת גזירת העונש – ככל שאותו מאפיין מתקיים בבגיר הצעיר העומד בפני בית המשפט ובהתאם למידה שבה הוא מתקיים בו, והכל לפי מיטב התרשמותו של בית המשפט </w:t>
      </w:r>
      <w:r w:rsidRPr="00005030">
        <w:rPr>
          <w:rFonts w:ascii="Miriam" w:hAnsi="Miriam" w:cs="Miriam"/>
          <w:spacing w:val="0"/>
          <w:szCs w:val="24"/>
          <w:rtl/>
        </w:rPr>
        <w:t>בכל מקרה לגופו</w:t>
      </w:r>
      <w:r w:rsidRPr="00005030">
        <w:rPr>
          <w:rFonts w:ascii="Miriam" w:hAnsi="Miriam" w:cs="Miriam" w:hint="cs"/>
          <w:szCs w:val="24"/>
          <w:rtl/>
        </w:rPr>
        <w:t xml:space="preserve">". </w:t>
      </w:r>
      <w:r w:rsidRPr="00005030">
        <w:rPr>
          <w:rFonts w:ascii="Miriam" w:hAnsi="Miriam" w:cs="Miriam"/>
          <w:szCs w:val="24"/>
          <w:rtl/>
        </w:rPr>
        <w:t xml:space="preserve"> </w:t>
      </w:r>
    </w:p>
    <w:p w14:paraId="2541B086" w14:textId="77777777" w:rsidR="009B4C96" w:rsidRPr="00005030" w:rsidRDefault="009B4C96" w:rsidP="009B4C96">
      <w:pPr>
        <w:pStyle w:val="Ruller41"/>
        <w:rPr>
          <w:rFonts w:ascii="David" w:hAnsi="David" w:cs="David"/>
          <w:sz w:val="24"/>
          <w:szCs w:val="24"/>
          <w:rtl/>
        </w:rPr>
      </w:pPr>
    </w:p>
    <w:p w14:paraId="641DC0B2" w14:textId="77777777" w:rsidR="009B4C96" w:rsidRDefault="009B4C96" w:rsidP="009B4C96">
      <w:pPr>
        <w:pStyle w:val="a9"/>
        <w:numPr>
          <w:ilvl w:val="0"/>
          <w:numId w:val="1"/>
        </w:numPr>
        <w:spacing w:line="360" w:lineRule="auto"/>
        <w:jc w:val="both"/>
        <w:rPr>
          <w:rFonts w:ascii="Arial" w:hAnsi="Arial"/>
        </w:rPr>
      </w:pPr>
      <w:r>
        <w:rPr>
          <w:rFonts w:ascii="Arial" w:hAnsi="Arial" w:hint="cs"/>
          <w:rtl/>
        </w:rPr>
        <w:t xml:space="preserve">אמנם הנאשם בתיק זה אינו קרוב לגיל הקטינות, אך השיקולים שנקבעו בפסיקה לעניין ייחודיות גילו הצעיר של הנאשם נכונים גם לענייננו קל וחומר כאשר עסקינן בבחור צעיר שקיים בעניינו על פי חוות הדעת של שירות המבחן פוטנציאל שיקומי המהווה כשלעצמו שיקול בענישת נאשמים צעירים לגילם. </w:t>
      </w:r>
    </w:p>
    <w:p w14:paraId="64765975" w14:textId="77777777" w:rsidR="009B4C96" w:rsidRPr="00B245D3" w:rsidRDefault="009B4C96" w:rsidP="009B4C96">
      <w:pPr>
        <w:pStyle w:val="a9"/>
        <w:spacing w:line="360" w:lineRule="auto"/>
        <w:jc w:val="both"/>
        <w:rPr>
          <w:rFonts w:ascii="Arial" w:hAnsi="Arial"/>
        </w:rPr>
      </w:pPr>
    </w:p>
    <w:p w14:paraId="2B52D3D1" w14:textId="77777777" w:rsidR="009B4C96" w:rsidRPr="00005030" w:rsidRDefault="009B4C96" w:rsidP="009B4C96">
      <w:pPr>
        <w:pStyle w:val="a9"/>
        <w:numPr>
          <w:ilvl w:val="0"/>
          <w:numId w:val="1"/>
        </w:numPr>
        <w:spacing w:line="360" w:lineRule="auto"/>
        <w:jc w:val="both"/>
      </w:pPr>
      <w:r>
        <w:rPr>
          <w:rFonts w:hint="cs"/>
          <w:rtl/>
        </w:rPr>
        <w:t xml:space="preserve">הנאשם הופנה על ידי בית המשפט לקבלת חוות דעת של הממונה על עבודות השירות וחרף זאת החלטתי נוכח האמור בתסקירי שירות המבחן ובמיוחד התסקיר האחרון של שירות המבחן לחרוג ממתחם העונש ההולם ולא להשית על הנאשם עונש של מאסר ולו בדרך של עבודות שירות. אכן לנאשם הרשעה קודמת מבית המשפט לנוער אך מכלול הנתונים מצביעים על כך שלמעשה לראשונה החל הליך טיפולי ושיתף פעולה בו. כמו כן אציין את התקופה המשמעותית בה שהה הנאשם בפיקוח אלקטרוני אך כבר מתחילתו של ההליך במהלך צו פיקוח מעצרים הותר לנאשם לצאת לעבודה. לנאשם נכונה עוד דרך ארוכה בהליך הטיפולי, אך להישגיו עד כה יש ליתן משקל ומשמעות במסגרת גזר הדין ולעודדו להמשיך ולהתמיד בשיקום. </w:t>
      </w:r>
    </w:p>
    <w:p w14:paraId="2394CB80" w14:textId="77777777" w:rsidR="009B4C96" w:rsidRPr="00005030" w:rsidRDefault="009B4C96" w:rsidP="009B4C96">
      <w:pPr>
        <w:pStyle w:val="a9"/>
        <w:rPr>
          <w:b/>
          <w:bCs/>
          <w:rtl/>
        </w:rPr>
      </w:pPr>
    </w:p>
    <w:p w14:paraId="1E4FA76C" w14:textId="77777777" w:rsidR="009B4C96" w:rsidRDefault="009B4C96" w:rsidP="009B4C96">
      <w:pPr>
        <w:pStyle w:val="a9"/>
        <w:numPr>
          <w:ilvl w:val="0"/>
          <w:numId w:val="1"/>
        </w:numPr>
        <w:spacing w:line="360" w:lineRule="auto"/>
        <w:jc w:val="both"/>
        <w:rPr>
          <w:b/>
          <w:bCs/>
        </w:rPr>
      </w:pPr>
      <w:r>
        <w:rPr>
          <w:rFonts w:hint="cs"/>
          <w:b/>
          <w:bCs/>
          <w:rtl/>
        </w:rPr>
        <w:t xml:space="preserve">אשר על כן, אני גוזרת את עונשו של הנאשם לעונשים הבאים: </w:t>
      </w:r>
    </w:p>
    <w:p w14:paraId="70D69D5E" w14:textId="77777777" w:rsidR="009B4C96" w:rsidRDefault="009B4C96" w:rsidP="009B4C96">
      <w:pPr>
        <w:pStyle w:val="a9"/>
        <w:spacing w:line="360" w:lineRule="auto"/>
        <w:jc w:val="both"/>
        <w:rPr>
          <w:b/>
          <w:bCs/>
        </w:rPr>
      </w:pPr>
    </w:p>
    <w:p w14:paraId="746015C2" w14:textId="77777777" w:rsidR="009B4C96" w:rsidRDefault="009B4C96" w:rsidP="009B4C96">
      <w:pPr>
        <w:pStyle w:val="a9"/>
        <w:spacing w:line="360" w:lineRule="auto"/>
        <w:jc w:val="both"/>
        <w:rPr>
          <w:rFonts w:ascii="Arial" w:hAnsi="Arial"/>
          <w:b/>
          <w:bCs/>
        </w:rPr>
      </w:pPr>
      <w:r>
        <w:rPr>
          <w:rFonts w:ascii="Arial" w:hAnsi="Arial" w:hint="cs"/>
          <w:b/>
          <w:bCs/>
          <w:rtl/>
        </w:rPr>
        <w:t xml:space="preserve">מאסר על תנאי למשך 6 חודשים והתנאי הוא שהנאשם לא יעבור במשך 3 שנים על עבירה על פי  פקודת הסמים מסוג פשע ויורשע בה. </w:t>
      </w:r>
    </w:p>
    <w:p w14:paraId="252FA1FF" w14:textId="77777777" w:rsidR="009B4C96" w:rsidRDefault="009B4C96" w:rsidP="009B4C96">
      <w:pPr>
        <w:pStyle w:val="a9"/>
        <w:spacing w:line="360" w:lineRule="auto"/>
        <w:jc w:val="both"/>
        <w:rPr>
          <w:rFonts w:ascii="Arial" w:eastAsia="David" w:hAnsi="Arial"/>
          <w:rtl/>
        </w:rPr>
      </w:pPr>
    </w:p>
    <w:p w14:paraId="2F668A7B"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אני מעמידה את הנאשם בפיקוח שירות המבחן למשך 12   חודשים. הובהר לנאשם, בלשון פשוטה, כי עליו למלא אחר הוראות שירות המבחן וכי אם לא יעשה כן, ניתן יהיה להפקיע את הצו ולהטיל עליו ענישה נוספת. </w:t>
      </w:r>
    </w:p>
    <w:p w14:paraId="0BDB582B" w14:textId="77777777" w:rsidR="009B4C96" w:rsidRDefault="009B4C96" w:rsidP="009B4C96">
      <w:pPr>
        <w:pStyle w:val="a9"/>
        <w:spacing w:line="360" w:lineRule="auto"/>
        <w:jc w:val="both"/>
        <w:rPr>
          <w:rFonts w:ascii="Arial" w:hAnsi="Arial"/>
          <w:b/>
          <w:bCs/>
          <w:rtl/>
        </w:rPr>
      </w:pPr>
    </w:p>
    <w:p w14:paraId="78D22809"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ניתן בזאת צו של"צ במסגרתו יבצע הנאשם 180 שעות בהתאם לתכנית שהוכנה על ידי שירות המבחן. </w:t>
      </w:r>
    </w:p>
    <w:p w14:paraId="3156C6E0"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מובהר לנאשם בשפה פשוטה וברורה כי עליו לבצע את צו השל"צ במלואו על פי התכנית שכן אם לא יעשה כן ניתן יהיה להפקיע את הצו, לדון מחדש בתיק זה ולהשית עליו ענישה חלופית. </w:t>
      </w:r>
    </w:p>
    <w:p w14:paraId="69183E8A" w14:textId="77777777" w:rsidR="009B4C96" w:rsidRDefault="009B4C96" w:rsidP="009B4C96">
      <w:pPr>
        <w:pStyle w:val="a9"/>
        <w:spacing w:line="360" w:lineRule="auto"/>
        <w:jc w:val="both"/>
        <w:rPr>
          <w:rFonts w:ascii="Arial" w:hAnsi="Arial"/>
          <w:rtl/>
        </w:rPr>
      </w:pPr>
    </w:p>
    <w:p w14:paraId="622412B1"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קנס כספי בסך של 2,000  ₪ . הקנס ישולם ב </w:t>
      </w:r>
      <w:r>
        <w:rPr>
          <w:rFonts w:ascii="Arial" w:hAnsi="Arial"/>
          <w:b/>
          <w:bCs/>
          <w:rtl/>
        </w:rPr>
        <w:t>–</w:t>
      </w:r>
      <w:r>
        <w:rPr>
          <w:rFonts w:ascii="Arial" w:hAnsi="Arial" w:hint="cs"/>
          <w:b/>
          <w:bCs/>
          <w:rtl/>
        </w:rPr>
        <w:t xml:space="preserve"> 4  תשלומים חודשיים רצופים ושווים החל מיום 28.4.23 ובכל 28 לחודש שלאחר מכן.  </w:t>
      </w:r>
    </w:p>
    <w:p w14:paraId="1CEDF2FC"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היה והקנס או חלקו לא ישולם במועד, תעמוד יתרת הקנס לתשלום מיידי. </w:t>
      </w:r>
    </w:p>
    <w:p w14:paraId="6F8F697D" w14:textId="77777777" w:rsidR="009B4C96" w:rsidRDefault="009B4C96" w:rsidP="009B4C96">
      <w:pPr>
        <w:pStyle w:val="a9"/>
        <w:spacing w:line="360" w:lineRule="auto"/>
        <w:jc w:val="both"/>
        <w:rPr>
          <w:rFonts w:ascii="Arial" w:hAnsi="Arial"/>
          <w:b/>
          <w:bCs/>
          <w:rtl/>
        </w:rPr>
      </w:pPr>
      <w:r w:rsidRPr="00845BC9">
        <w:rPr>
          <w:rFonts w:ascii="Arial" w:hAnsi="Arial" w:hint="cs"/>
          <w:b/>
          <w:bCs/>
          <w:rtl/>
        </w:rPr>
        <w:t xml:space="preserve">לאור בקשת ההגנה, ככל שיש פיקדון כספי במסגרת </w:t>
      </w:r>
      <w:r>
        <w:rPr>
          <w:rFonts w:ascii="Arial" w:hAnsi="Arial" w:hint="cs"/>
          <w:b/>
          <w:bCs/>
          <w:rtl/>
        </w:rPr>
        <w:t xml:space="preserve">הליך המעצר הוא יקוזז לטובת הקנס ויתרת הסכום תושב לנאשם. </w:t>
      </w:r>
    </w:p>
    <w:p w14:paraId="6BCEC63C" w14:textId="77777777" w:rsidR="009B4C96" w:rsidRPr="00845BC9" w:rsidRDefault="009B4C96" w:rsidP="009B4C96">
      <w:pPr>
        <w:pStyle w:val="a9"/>
        <w:spacing w:line="360" w:lineRule="auto"/>
        <w:jc w:val="both"/>
        <w:rPr>
          <w:rFonts w:ascii="Arial" w:hAnsi="Arial"/>
          <w:b/>
          <w:bCs/>
          <w:rtl/>
        </w:rPr>
      </w:pPr>
    </w:p>
    <w:p w14:paraId="7697E64D"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אני מורה על פסילת הנאשם מלקבל או להוציא רישיון נהיגה וזאת לתקופה של חודשיים אשר ימנו מיום גזר הדין. לאור העובדה שלנאשם אין כלל רישיון נהיגה יש לראות בהצהרתו של הנאשם אסמכתא להוצאת אישור על ידי מזכירות בית המשפט. </w:t>
      </w:r>
    </w:p>
    <w:p w14:paraId="3C6B1793" w14:textId="77777777" w:rsidR="009B4C96" w:rsidRDefault="009B4C96" w:rsidP="009B4C96">
      <w:pPr>
        <w:pStyle w:val="a9"/>
        <w:spacing w:line="360" w:lineRule="auto"/>
        <w:jc w:val="both"/>
        <w:rPr>
          <w:rFonts w:ascii="Arial" w:hAnsi="Arial"/>
          <w:b/>
          <w:bCs/>
          <w:rtl/>
        </w:rPr>
      </w:pPr>
    </w:p>
    <w:p w14:paraId="73744920" w14:textId="77777777" w:rsidR="009B4C96" w:rsidRDefault="009B4C96" w:rsidP="009B4C96">
      <w:pPr>
        <w:pStyle w:val="a9"/>
        <w:spacing w:line="360" w:lineRule="auto"/>
        <w:jc w:val="both"/>
        <w:rPr>
          <w:rFonts w:ascii="Arial" w:hAnsi="Arial"/>
          <w:b/>
          <w:bCs/>
          <w:rtl/>
        </w:rPr>
      </w:pPr>
      <w:r>
        <w:rPr>
          <w:rFonts w:ascii="Arial" w:hAnsi="Arial" w:hint="cs"/>
          <w:b/>
          <w:bCs/>
          <w:rtl/>
        </w:rPr>
        <w:t>אני משיתה על הנאשם 2 חודשי פסילה על תנאי למשך שנתיים שלא יעבור הנאשם כל עבירת סמים על פי פקודת הסמים ויורשע בה.</w:t>
      </w:r>
    </w:p>
    <w:p w14:paraId="4F2651F3" w14:textId="77777777" w:rsidR="009B4C96" w:rsidRDefault="009B4C96" w:rsidP="009B4C96">
      <w:pPr>
        <w:pStyle w:val="a9"/>
        <w:spacing w:line="360" w:lineRule="auto"/>
        <w:jc w:val="both"/>
        <w:rPr>
          <w:rFonts w:ascii="Arial" w:hAnsi="Arial"/>
          <w:rtl/>
        </w:rPr>
      </w:pPr>
    </w:p>
    <w:p w14:paraId="0C22C4E7" w14:textId="77777777" w:rsidR="009B4C96" w:rsidRDefault="009B4C96" w:rsidP="009B4C96">
      <w:pPr>
        <w:pStyle w:val="a9"/>
        <w:spacing w:line="360" w:lineRule="auto"/>
        <w:jc w:val="both"/>
        <w:rPr>
          <w:rFonts w:ascii="Arial" w:hAnsi="Arial"/>
          <w:b/>
          <w:bCs/>
          <w:rtl/>
        </w:rPr>
      </w:pPr>
      <w:r>
        <w:rPr>
          <w:rFonts w:ascii="Arial" w:hAnsi="Arial" w:hint="cs"/>
          <w:b/>
          <w:bCs/>
          <w:rtl/>
        </w:rPr>
        <w:t>בחלוף תקופת הערעור, ניתן להשמיד את המוצגים - הסמים והציוד הנלווה.</w:t>
      </w:r>
    </w:p>
    <w:p w14:paraId="2CE87B6E" w14:textId="77777777" w:rsidR="009B4C96" w:rsidRDefault="009B4C96" w:rsidP="009B4C96">
      <w:pPr>
        <w:pStyle w:val="a9"/>
        <w:spacing w:line="360" w:lineRule="auto"/>
        <w:jc w:val="both"/>
        <w:rPr>
          <w:rFonts w:ascii="Arial" w:hAnsi="Arial"/>
          <w:b/>
          <w:bCs/>
          <w:rtl/>
        </w:rPr>
      </w:pPr>
    </w:p>
    <w:p w14:paraId="6DD3F690" w14:textId="77777777" w:rsidR="009B4C96" w:rsidRDefault="009B4C96" w:rsidP="009B4C96">
      <w:pPr>
        <w:pStyle w:val="a9"/>
        <w:spacing w:line="360" w:lineRule="auto"/>
        <w:jc w:val="both"/>
        <w:rPr>
          <w:rFonts w:ascii="Arial" w:hAnsi="Arial"/>
          <w:b/>
          <w:bCs/>
          <w:rtl/>
        </w:rPr>
      </w:pPr>
      <w:r>
        <w:rPr>
          <w:rFonts w:ascii="Arial" w:hAnsi="Arial" w:hint="cs"/>
          <w:b/>
          <w:bCs/>
          <w:rtl/>
        </w:rPr>
        <w:t xml:space="preserve">מוצגים שנתפסו בתיק יושבו לבעליהם, פלאפון נייד יושב לנאשם. </w:t>
      </w:r>
    </w:p>
    <w:p w14:paraId="77A6D6B7" w14:textId="77777777" w:rsidR="009B4C96" w:rsidRDefault="009B4C96" w:rsidP="009B4C96">
      <w:pPr>
        <w:pStyle w:val="a9"/>
        <w:spacing w:line="360" w:lineRule="auto"/>
        <w:jc w:val="both"/>
        <w:rPr>
          <w:rFonts w:ascii="Arial" w:hAnsi="Arial"/>
          <w:b/>
          <w:bCs/>
          <w:u w:val="single"/>
        </w:rPr>
      </w:pPr>
    </w:p>
    <w:p w14:paraId="5688139B" w14:textId="77777777" w:rsidR="009B4C96" w:rsidRDefault="001D59A9" w:rsidP="009B4C96">
      <w:pPr>
        <w:pStyle w:val="a9"/>
        <w:spacing w:line="360" w:lineRule="auto"/>
        <w:jc w:val="both"/>
        <w:rPr>
          <w:rFonts w:ascii="Arial" w:hAnsi="Arial"/>
          <w:b/>
          <w:bCs/>
          <w:u w:val="single"/>
          <w:rtl/>
        </w:rPr>
      </w:pPr>
      <w:r w:rsidRPr="001D59A9">
        <w:rPr>
          <w:rFonts w:ascii="Arial" w:hAnsi="Arial"/>
          <w:b/>
          <w:bCs/>
          <w:color w:val="FFFFFF"/>
          <w:sz w:val="2"/>
          <w:szCs w:val="2"/>
          <w:u w:val="single"/>
          <w:rtl/>
        </w:rPr>
        <w:t>5129371</w:t>
      </w:r>
      <w:r w:rsidR="009B4C96">
        <w:rPr>
          <w:rFonts w:ascii="Arial" w:hAnsi="Arial" w:hint="cs"/>
          <w:b/>
          <w:bCs/>
          <w:u w:val="single"/>
          <w:rtl/>
        </w:rPr>
        <w:t>זכות ערעור בתוך 45 יום.</w:t>
      </w:r>
    </w:p>
    <w:p w14:paraId="3D64F527" w14:textId="77777777" w:rsidR="009B4C96" w:rsidRDefault="001D59A9" w:rsidP="009B4C96">
      <w:pPr>
        <w:pStyle w:val="a9"/>
        <w:spacing w:line="360" w:lineRule="auto"/>
        <w:jc w:val="both"/>
        <w:rPr>
          <w:rFonts w:ascii="Arial" w:hAnsi="Arial"/>
          <w:rtl/>
        </w:rPr>
      </w:pPr>
      <w:r w:rsidRPr="001D59A9">
        <w:rPr>
          <w:rFonts w:ascii="Arial" w:hAnsi="Arial"/>
          <w:b/>
          <w:bCs/>
          <w:color w:val="FFFFFF"/>
          <w:sz w:val="2"/>
          <w:szCs w:val="2"/>
          <w:u w:val="single"/>
          <w:rtl/>
        </w:rPr>
        <w:t>54678313</w:t>
      </w:r>
      <w:r w:rsidR="009B4C96">
        <w:rPr>
          <w:rFonts w:ascii="Arial" w:hAnsi="Arial" w:hint="cs"/>
          <w:b/>
          <w:bCs/>
          <w:u w:val="single"/>
          <w:rtl/>
        </w:rPr>
        <w:t xml:space="preserve">מזכירות בית המשפט תמציא לשירות המבחן, לממונה על עבודות השירות וכן למשרד הרישוי. </w:t>
      </w:r>
    </w:p>
    <w:p w14:paraId="651DBCD2" w14:textId="77777777" w:rsidR="009B4C96" w:rsidRPr="009C3156" w:rsidRDefault="009B4C96" w:rsidP="009B4C96">
      <w:pPr>
        <w:jc w:val="both"/>
        <w:rPr>
          <w:rFonts w:ascii="Arial" w:hAnsi="Arial"/>
          <w:rtl/>
        </w:rPr>
      </w:pPr>
    </w:p>
    <w:p w14:paraId="40E1B475" w14:textId="77777777" w:rsidR="009B4C96" w:rsidRPr="000F2247" w:rsidRDefault="001D59A9" w:rsidP="009B4C96">
      <w:pPr>
        <w:rPr>
          <w:rFonts w:ascii="Arial" w:hAnsi="Arial"/>
          <w:b/>
          <w:bCs/>
          <w:sz w:val="26"/>
          <w:szCs w:val="26"/>
          <w:rtl/>
        </w:rPr>
      </w:pPr>
      <w:bookmarkStart w:id="7" w:name="Nitan"/>
      <w:r>
        <w:rPr>
          <w:rFonts w:ascii="Arial" w:hAnsi="Arial"/>
          <w:b/>
          <w:bCs/>
          <w:sz w:val="26"/>
          <w:szCs w:val="26"/>
          <w:rtl/>
        </w:rPr>
        <w:t xml:space="preserve">ניתן היום,  י"ב אדר תשפ"ג, 05 מרץ 2023, בנוכחות הצדדים. </w:t>
      </w:r>
      <w:bookmarkEnd w:id="7"/>
    </w:p>
    <w:p w14:paraId="2DD4C31F" w14:textId="77777777" w:rsidR="009B4C96" w:rsidRPr="000F2247" w:rsidRDefault="009B4C96" w:rsidP="001D59A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64E5533" w14:textId="77777777" w:rsidR="009B4C96" w:rsidRPr="000F2247" w:rsidRDefault="009B4C96" w:rsidP="009B4C96">
      <w:pPr>
        <w:jc w:val="center"/>
        <w:rPr>
          <w:rFonts w:ascii="Arial" w:hAnsi="Arial"/>
          <w:b/>
          <w:bCs/>
          <w:sz w:val="26"/>
          <w:szCs w:val="26"/>
          <w:rtl/>
        </w:rPr>
      </w:pPr>
    </w:p>
    <w:p w14:paraId="162776AC" w14:textId="77777777" w:rsidR="00BF53A4" w:rsidRPr="001D59A9" w:rsidRDefault="00BF53A4" w:rsidP="001D59A9">
      <w:pPr>
        <w:keepNext/>
        <w:rPr>
          <w:rFonts w:ascii="David" w:hAnsi="David"/>
          <w:color w:val="000000"/>
          <w:sz w:val="22"/>
          <w:szCs w:val="22"/>
          <w:rtl/>
        </w:rPr>
      </w:pPr>
    </w:p>
    <w:p w14:paraId="0300629B" w14:textId="77777777" w:rsidR="001D59A9" w:rsidRPr="001D59A9" w:rsidRDefault="001D59A9" w:rsidP="001D59A9">
      <w:pPr>
        <w:keepNext/>
        <w:rPr>
          <w:rFonts w:ascii="David" w:hAnsi="David"/>
          <w:color w:val="000000"/>
          <w:sz w:val="22"/>
          <w:szCs w:val="22"/>
          <w:rtl/>
        </w:rPr>
      </w:pPr>
      <w:r w:rsidRPr="001D59A9">
        <w:rPr>
          <w:rFonts w:ascii="David" w:hAnsi="David"/>
          <w:color w:val="000000"/>
          <w:sz w:val="22"/>
          <w:szCs w:val="22"/>
          <w:rtl/>
        </w:rPr>
        <w:t>סימי פלג קימלוב 54678313</w:t>
      </w:r>
    </w:p>
    <w:p w14:paraId="40D377AD" w14:textId="77777777" w:rsidR="001D59A9" w:rsidRDefault="001D59A9" w:rsidP="001D59A9">
      <w:r w:rsidRPr="001D59A9">
        <w:rPr>
          <w:color w:val="000000"/>
          <w:rtl/>
        </w:rPr>
        <w:t>נוסח מסמך זה כפוף לשינויי ניסוח ועריכה</w:t>
      </w:r>
    </w:p>
    <w:p w14:paraId="0BA2F781" w14:textId="77777777" w:rsidR="001D59A9" w:rsidRDefault="001D59A9" w:rsidP="001D59A9">
      <w:pPr>
        <w:rPr>
          <w:rtl/>
        </w:rPr>
      </w:pPr>
    </w:p>
    <w:p w14:paraId="05FDB734" w14:textId="77777777" w:rsidR="001D59A9" w:rsidRDefault="001D59A9" w:rsidP="001D59A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716A073A" w14:textId="77777777" w:rsidR="001D59A9" w:rsidRPr="001D59A9" w:rsidRDefault="001D59A9" w:rsidP="001D59A9">
      <w:pPr>
        <w:jc w:val="center"/>
        <w:rPr>
          <w:color w:val="0000FF"/>
          <w:u w:val="single"/>
        </w:rPr>
      </w:pPr>
    </w:p>
    <w:sectPr w:rsidR="001D59A9" w:rsidRPr="001D59A9" w:rsidSect="001D59A9">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E765E" w14:textId="77777777" w:rsidR="007556C8" w:rsidRDefault="007556C8" w:rsidP="007A3E02">
      <w:r>
        <w:separator/>
      </w:r>
    </w:p>
  </w:endnote>
  <w:endnote w:type="continuationSeparator" w:id="0">
    <w:p w14:paraId="55FCB94B" w14:textId="77777777" w:rsidR="007556C8" w:rsidRDefault="007556C8" w:rsidP="007A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8ACEF" w14:textId="77777777" w:rsidR="001D59A9" w:rsidRDefault="001D59A9" w:rsidP="001D59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8F2FE1" w14:textId="77777777" w:rsidR="00A16F9B" w:rsidRPr="001D59A9" w:rsidRDefault="001D59A9" w:rsidP="001D59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60AA4" w14:textId="77777777" w:rsidR="001D59A9" w:rsidRDefault="001D59A9" w:rsidP="001D59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6339">
      <w:rPr>
        <w:rFonts w:ascii="FrankRuehl" w:hAnsi="FrankRuehl" w:cs="FrankRuehl"/>
        <w:noProof/>
        <w:rtl/>
      </w:rPr>
      <w:t>1</w:t>
    </w:r>
    <w:r>
      <w:rPr>
        <w:rFonts w:ascii="FrankRuehl" w:hAnsi="FrankRuehl" w:cs="FrankRuehl"/>
        <w:rtl/>
      </w:rPr>
      <w:fldChar w:fldCharType="end"/>
    </w:r>
  </w:p>
  <w:p w14:paraId="648329A4" w14:textId="77777777" w:rsidR="00A16F9B" w:rsidRPr="001D59A9" w:rsidRDefault="001D59A9" w:rsidP="001D59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953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84387" w14:textId="77777777" w:rsidR="007556C8" w:rsidRDefault="007556C8" w:rsidP="007A3E02">
      <w:r>
        <w:separator/>
      </w:r>
    </w:p>
  </w:footnote>
  <w:footnote w:type="continuationSeparator" w:id="0">
    <w:p w14:paraId="3E6FC398" w14:textId="77777777" w:rsidR="007556C8" w:rsidRDefault="007556C8" w:rsidP="007A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70454" w14:textId="77777777" w:rsidR="001D59A9" w:rsidRPr="001D59A9" w:rsidRDefault="001D59A9" w:rsidP="001D5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30678-02-22</w:t>
    </w:r>
    <w:r>
      <w:rPr>
        <w:rFonts w:ascii="David" w:hAnsi="David"/>
        <w:color w:val="000000"/>
        <w:sz w:val="22"/>
        <w:szCs w:val="22"/>
        <w:rtl/>
      </w:rPr>
      <w:tab/>
      <w:t xml:space="preserve"> מדינת ישראל נ' אור מקמיל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997C" w14:textId="77777777" w:rsidR="001D59A9" w:rsidRPr="001D59A9" w:rsidRDefault="001D59A9" w:rsidP="001D5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30678-02-22</w:t>
    </w:r>
    <w:r>
      <w:rPr>
        <w:rFonts w:ascii="David" w:hAnsi="David"/>
        <w:color w:val="000000"/>
        <w:sz w:val="22"/>
        <w:szCs w:val="22"/>
        <w:rtl/>
      </w:rPr>
      <w:tab/>
      <w:t xml:space="preserve"> מדינת ישראל נ' אור מקמיל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C4E4FA90"/>
    <w:lvl w:ilvl="0" w:tplc="01207B6E">
      <w:start w:val="1"/>
      <w:numFmt w:val="decimal"/>
      <w:pStyle w:val="Ruller4"/>
      <w:lvlText w:val="%1."/>
      <w:lvlJc w:val="left"/>
      <w:pPr>
        <w:tabs>
          <w:tab w:val="num" w:pos="907"/>
        </w:tabs>
        <w:ind w:left="0" w:firstLine="0"/>
      </w:pPr>
      <w:rPr>
        <w:lang w:val="en-U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4A94AFC"/>
    <w:multiLevelType w:val="hybridMultilevel"/>
    <w:tmpl w:val="62A028DA"/>
    <w:lvl w:ilvl="0" w:tplc="8BE436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462604">
    <w:abstractNumId w:val="1"/>
  </w:num>
  <w:num w:numId="2" w16cid:durableId="1074745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4C96"/>
    <w:rsid w:val="001D59A9"/>
    <w:rsid w:val="002107F1"/>
    <w:rsid w:val="00336339"/>
    <w:rsid w:val="004D050A"/>
    <w:rsid w:val="007320F2"/>
    <w:rsid w:val="007556C8"/>
    <w:rsid w:val="007A3E02"/>
    <w:rsid w:val="009A4E4C"/>
    <w:rsid w:val="009B4C96"/>
    <w:rsid w:val="00A16F9B"/>
    <w:rsid w:val="00AE6D47"/>
    <w:rsid w:val="00BF53A4"/>
    <w:rsid w:val="00C77321"/>
    <w:rsid w:val="00C83F15"/>
    <w:rsid w:val="00E230CD"/>
    <w:rsid w:val="00F07E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2E1FB0"/>
  <w15:chartTrackingRefBased/>
  <w15:docId w15:val="{8EA4426C-87DC-4685-BD43-A02B5FC2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4C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4C96"/>
    <w:pPr>
      <w:tabs>
        <w:tab w:val="center" w:pos="4153"/>
        <w:tab w:val="right" w:pos="8306"/>
      </w:tabs>
    </w:pPr>
  </w:style>
  <w:style w:type="character" w:customStyle="1" w:styleId="a4">
    <w:name w:val="כותרת עליונה תו"/>
    <w:link w:val="a3"/>
    <w:rsid w:val="009B4C96"/>
    <w:rPr>
      <w:rFonts w:ascii="Times New Roman" w:eastAsia="Times New Roman" w:hAnsi="Times New Roman" w:cs="David"/>
      <w:sz w:val="24"/>
      <w:szCs w:val="24"/>
    </w:rPr>
  </w:style>
  <w:style w:type="paragraph" w:styleId="a5">
    <w:name w:val="footer"/>
    <w:basedOn w:val="a"/>
    <w:link w:val="a6"/>
    <w:rsid w:val="009B4C96"/>
    <w:pPr>
      <w:tabs>
        <w:tab w:val="center" w:pos="4153"/>
        <w:tab w:val="right" w:pos="8306"/>
      </w:tabs>
    </w:pPr>
  </w:style>
  <w:style w:type="character" w:customStyle="1" w:styleId="a6">
    <w:name w:val="כותרת תחתונה תו"/>
    <w:link w:val="a5"/>
    <w:rsid w:val="009B4C96"/>
    <w:rPr>
      <w:rFonts w:ascii="Times New Roman" w:eastAsia="Times New Roman" w:hAnsi="Times New Roman" w:cs="David"/>
      <w:sz w:val="24"/>
      <w:szCs w:val="24"/>
    </w:rPr>
  </w:style>
  <w:style w:type="table" w:styleId="a7">
    <w:name w:val="Table Grid"/>
    <w:basedOn w:val="a1"/>
    <w:rsid w:val="009B4C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B4C96"/>
  </w:style>
  <w:style w:type="paragraph" w:styleId="a9">
    <w:name w:val="List Paragraph"/>
    <w:basedOn w:val="a"/>
    <w:link w:val="aa"/>
    <w:qFormat/>
    <w:rsid w:val="009B4C96"/>
    <w:pPr>
      <w:ind w:left="720"/>
      <w:contextualSpacing/>
    </w:pPr>
  </w:style>
  <w:style w:type="character" w:styleId="Hyperlink">
    <w:name w:val="Hyperlink"/>
    <w:rsid w:val="009B4C96"/>
    <w:rPr>
      <w:color w:val="0000FF"/>
      <w:u w:val="single"/>
    </w:rPr>
  </w:style>
  <w:style w:type="paragraph" w:customStyle="1" w:styleId="1">
    <w:name w:val="פיסקת רשימה1"/>
    <w:basedOn w:val="a"/>
    <w:rsid w:val="009B4C96"/>
    <w:pPr>
      <w:ind w:left="720"/>
      <w:contextualSpacing/>
    </w:pPr>
    <w:rPr>
      <w:rFonts w:cs="Times New Roman"/>
    </w:rPr>
  </w:style>
  <w:style w:type="character" w:customStyle="1" w:styleId="aa">
    <w:name w:val="פיסקת רשימה תו"/>
    <w:link w:val="a9"/>
    <w:locked/>
    <w:rsid w:val="009B4C96"/>
    <w:rPr>
      <w:rFonts w:ascii="Times New Roman" w:eastAsia="Times New Roman" w:hAnsi="Times New Roman" w:cs="David"/>
      <w:sz w:val="24"/>
      <w:szCs w:val="24"/>
    </w:rPr>
  </w:style>
  <w:style w:type="character" w:customStyle="1" w:styleId="Ruller40">
    <w:name w:val="Ruller4 תו"/>
    <w:link w:val="Ruller41"/>
    <w:locked/>
    <w:rsid w:val="009B4C96"/>
    <w:rPr>
      <w:rFonts w:ascii="Arial TUR" w:hAnsi="Arial TUR" w:cs="FrankRuehl"/>
      <w:spacing w:val="10"/>
      <w:szCs w:val="28"/>
    </w:rPr>
  </w:style>
  <w:style w:type="paragraph" w:customStyle="1" w:styleId="Ruller41">
    <w:name w:val="Ruller4"/>
    <w:basedOn w:val="a"/>
    <w:link w:val="Ruller40"/>
    <w:rsid w:val="009B4C9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1"/>
    <w:next w:val="Ruller41"/>
    <w:rsid w:val="009B4C96"/>
    <w:pPr>
      <w:numPr>
        <w:numId w:val="2"/>
      </w:numPr>
      <w:tabs>
        <w:tab w:val="clear" w:pos="907"/>
        <w:tab w:val="num" w:pos="360"/>
        <w:tab w:val="num" w:pos="1080"/>
      </w:tabs>
      <w:ind w:left="1080" w:hanging="720"/>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6087277" TargetMode="External"/><Relationship Id="rId39" Type="http://schemas.openxmlformats.org/officeDocument/2006/relationships/hyperlink" Target="http://www.nevo.co.il/case/6248029" TargetMode="External"/><Relationship Id="rId21" Type="http://schemas.openxmlformats.org/officeDocument/2006/relationships/hyperlink" Target="http://www.nevo.co.il/case/17939812" TargetMode="External"/><Relationship Id="rId34" Type="http://schemas.openxmlformats.org/officeDocument/2006/relationships/hyperlink" Target="http://www.nevo.co.il/case/10442671" TargetMode="External"/><Relationship Id="rId42" Type="http://schemas.openxmlformats.org/officeDocument/2006/relationships/hyperlink" Target="http://www.nevo.co.il/case/686236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708829"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5297221" TargetMode="External"/><Relationship Id="rId32" Type="http://schemas.openxmlformats.org/officeDocument/2006/relationships/hyperlink" Target="http://www.nevo.co.il/law/70301/40d.b" TargetMode="External"/><Relationship Id="rId37" Type="http://schemas.openxmlformats.org/officeDocument/2006/relationships/hyperlink" Target="http://www.nevo.co.il/case/20154414" TargetMode="External"/><Relationship Id="rId40" Type="http://schemas.openxmlformats.org/officeDocument/2006/relationships/hyperlink" Target="http://www.nevo.co.il/case/20157961" TargetMode="External"/><Relationship Id="rId45" Type="http://schemas.openxmlformats.org/officeDocument/2006/relationships/hyperlink" Target="http://www.nevo.co.il/law/7030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578682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5725793" TargetMode="External"/><Relationship Id="rId30" Type="http://schemas.openxmlformats.org/officeDocument/2006/relationships/hyperlink" Target="http://www.nevo.co.il/law/70301/40d" TargetMode="External"/><Relationship Id="rId35" Type="http://schemas.openxmlformats.org/officeDocument/2006/relationships/hyperlink" Target="http://www.nevo.co.il/case/22938500" TargetMode="External"/><Relationship Id="rId43" Type="http://schemas.openxmlformats.org/officeDocument/2006/relationships/hyperlink" Target="http://www.nevo.co.il/case/11206432"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d.b"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342993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653890"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604541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6119015" TargetMode="External"/><Relationship Id="rId28" Type="http://schemas.openxmlformats.org/officeDocument/2006/relationships/hyperlink" Target="http://www.nevo.co.il/case/26416772"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3385</Words>
  <Characters>16927</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20272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3539057</vt:i4>
      </vt:variant>
      <vt:variant>
        <vt:i4>108</vt:i4>
      </vt:variant>
      <vt:variant>
        <vt:i4>0</vt:i4>
      </vt:variant>
      <vt:variant>
        <vt:i4>5</vt:i4>
      </vt:variant>
      <vt:variant>
        <vt:lpwstr>http://www.nevo.co.il/case/11206432</vt:lpwstr>
      </vt:variant>
      <vt:variant>
        <vt:lpwstr/>
      </vt:variant>
      <vt:variant>
        <vt:i4>3342456</vt:i4>
      </vt:variant>
      <vt:variant>
        <vt:i4>105</vt:i4>
      </vt:variant>
      <vt:variant>
        <vt:i4>0</vt:i4>
      </vt:variant>
      <vt:variant>
        <vt:i4>5</vt:i4>
      </vt:variant>
      <vt:variant>
        <vt:lpwstr>http://www.nevo.co.il/case/6862360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3276920</vt:i4>
      </vt:variant>
      <vt:variant>
        <vt:i4>99</vt:i4>
      </vt:variant>
      <vt:variant>
        <vt:i4>0</vt:i4>
      </vt:variant>
      <vt:variant>
        <vt:i4>5</vt:i4>
      </vt:variant>
      <vt:variant>
        <vt:lpwstr>http://www.nevo.co.il/case/20157961</vt:lpwstr>
      </vt:variant>
      <vt:variant>
        <vt:lpwstr/>
      </vt:variant>
      <vt:variant>
        <vt:i4>3866748</vt:i4>
      </vt:variant>
      <vt:variant>
        <vt:i4>96</vt:i4>
      </vt:variant>
      <vt:variant>
        <vt:i4>0</vt:i4>
      </vt:variant>
      <vt:variant>
        <vt:i4>5</vt:i4>
      </vt:variant>
      <vt:variant>
        <vt:lpwstr>http://www.nevo.co.il/case/6248029</vt:lpwstr>
      </vt:variant>
      <vt:variant>
        <vt:lpwstr/>
      </vt:variant>
      <vt:variant>
        <vt:i4>3997809</vt:i4>
      </vt:variant>
      <vt:variant>
        <vt:i4>93</vt:i4>
      </vt:variant>
      <vt:variant>
        <vt:i4>0</vt:i4>
      </vt:variant>
      <vt:variant>
        <vt:i4>5</vt:i4>
      </vt:variant>
      <vt:variant>
        <vt:lpwstr>http://www.nevo.co.il/case/18653890</vt:lpwstr>
      </vt:variant>
      <vt:variant>
        <vt:lpwstr/>
      </vt:variant>
      <vt:variant>
        <vt:i4>3539061</vt:i4>
      </vt:variant>
      <vt:variant>
        <vt:i4>90</vt:i4>
      </vt:variant>
      <vt:variant>
        <vt:i4>0</vt:i4>
      </vt:variant>
      <vt:variant>
        <vt:i4>5</vt:i4>
      </vt:variant>
      <vt:variant>
        <vt:lpwstr>http://www.nevo.co.il/case/20154414</vt:lpwstr>
      </vt:variant>
      <vt:variant>
        <vt:lpwstr/>
      </vt:variant>
      <vt:variant>
        <vt:i4>7995492</vt:i4>
      </vt:variant>
      <vt:variant>
        <vt:i4>87</vt:i4>
      </vt:variant>
      <vt:variant>
        <vt:i4>0</vt:i4>
      </vt:variant>
      <vt:variant>
        <vt:i4>5</vt:i4>
      </vt:variant>
      <vt:variant>
        <vt:lpwstr>http://www.nevo.co.il/law/70301</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3145846</vt:i4>
      </vt:variant>
      <vt:variant>
        <vt:i4>81</vt:i4>
      </vt:variant>
      <vt:variant>
        <vt:i4>0</vt:i4>
      </vt:variant>
      <vt:variant>
        <vt:i4>5</vt:i4>
      </vt:variant>
      <vt:variant>
        <vt:lpwstr>http://www.nevo.co.il/case/10442671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http://www.nevo.co.il/law/70301/40d.b</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4128889</vt:i4>
      </vt:variant>
      <vt:variant>
        <vt:i4>66</vt:i4>
      </vt:variant>
      <vt:variant>
        <vt:i4>0</vt:i4>
      </vt:variant>
      <vt:variant>
        <vt:i4>5</vt:i4>
      </vt:variant>
      <vt:variant>
        <vt:lpwstr>http://www.nevo.co.il/case/25708829</vt:lpwstr>
      </vt:variant>
      <vt:variant>
        <vt:lpwstr/>
      </vt:variant>
      <vt:variant>
        <vt:i4>3604596</vt:i4>
      </vt:variant>
      <vt:variant>
        <vt:i4>63</vt:i4>
      </vt:variant>
      <vt:variant>
        <vt:i4>0</vt:i4>
      </vt:variant>
      <vt:variant>
        <vt:i4>5</vt:i4>
      </vt:variant>
      <vt:variant>
        <vt:lpwstr>http://www.nevo.co.il/case/26416772</vt:lpwstr>
      </vt:variant>
      <vt:variant>
        <vt:lpwstr/>
      </vt:variant>
      <vt:variant>
        <vt:i4>3735668</vt:i4>
      </vt:variant>
      <vt:variant>
        <vt:i4>60</vt:i4>
      </vt:variant>
      <vt:variant>
        <vt:i4>0</vt:i4>
      </vt:variant>
      <vt:variant>
        <vt:i4>5</vt:i4>
      </vt:variant>
      <vt:variant>
        <vt:lpwstr>http://www.nevo.co.il/case/25725793</vt:lpwstr>
      </vt:variant>
      <vt:variant>
        <vt:lpwstr/>
      </vt:variant>
      <vt:variant>
        <vt:i4>3276920</vt:i4>
      </vt:variant>
      <vt:variant>
        <vt:i4>57</vt:i4>
      </vt:variant>
      <vt:variant>
        <vt:i4>0</vt:i4>
      </vt:variant>
      <vt:variant>
        <vt:i4>5</vt:i4>
      </vt:variant>
      <vt:variant>
        <vt:lpwstr>http://www.nevo.co.il/case/26087277</vt:lpwstr>
      </vt:variant>
      <vt:variant>
        <vt:lpwstr/>
      </vt:variant>
      <vt:variant>
        <vt:i4>3932284</vt:i4>
      </vt:variant>
      <vt:variant>
        <vt:i4>54</vt:i4>
      </vt:variant>
      <vt:variant>
        <vt:i4>0</vt:i4>
      </vt:variant>
      <vt:variant>
        <vt:i4>5</vt:i4>
      </vt:variant>
      <vt:variant>
        <vt:lpwstr>http://www.nevo.co.il/case/23429938</vt:lpwstr>
      </vt:variant>
      <vt:variant>
        <vt:lpwstr/>
      </vt:variant>
      <vt:variant>
        <vt:i4>3473530</vt:i4>
      </vt:variant>
      <vt:variant>
        <vt:i4>51</vt:i4>
      </vt:variant>
      <vt:variant>
        <vt:i4>0</vt:i4>
      </vt:variant>
      <vt:variant>
        <vt:i4>5</vt:i4>
      </vt:variant>
      <vt:variant>
        <vt:lpwstr>http://www.nevo.co.il/case/25297221</vt:lpwstr>
      </vt:variant>
      <vt:variant>
        <vt:lpwstr/>
      </vt:variant>
      <vt:variant>
        <vt:i4>3276925</vt:i4>
      </vt:variant>
      <vt:variant>
        <vt:i4>48</vt:i4>
      </vt:variant>
      <vt:variant>
        <vt:i4>0</vt:i4>
      </vt:variant>
      <vt:variant>
        <vt:i4>5</vt:i4>
      </vt:variant>
      <vt:variant>
        <vt:lpwstr>http://www.nevo.co.il/case/6119015</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3145848</vt:i4>
      </vt:variant>
      <vt:variant>
        <vt:i4>42</vt:i4>
      </vt:variant>
      <vt:variant>
        <vt:i4>0</vt:i4>
      </vt:variant>
      <vt:variant>
        <vt:i4>5</vt:i4>
      </vt:variant>
      <vt:variant>
        <vt:lpwstr>http://www.nevo.co.il/case/17939812</vt:lpwstr>
      </vt:variant>
      <vt:variant>
        <vt:lpwstr/>
      </vt:variant>
      <vt:variant>
        <vt:i4>3145840</vt:i4>
      </vt:variant>
      <vt:variant>
        <vt:i4>39</vt:i4>
      </vt:variant>
      <vt:variant>
        <vt:i4>0</vt:i4>
      </vt:variant>
      <vt:variant>
        <vt:i4>5</vt:i4>
      </vt:variant>
      <vt:variant>
        <vt:lpwstr>http://www.nevo.co.il/case/6045416</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4915205</vt:i4>
      </vt:variant>
      <vt:variant>
        <vt:i4>15</vt:i4>
      </vt:variant>
      <vt:variant>
        <vt:i4>0</vt:i4>
      </vt:variant>
      <vt:variant>
        <vt:i4>5</vt:i4>
      </vt:variant>
      <vt:variant>
        <vt:lpwstr>http://www.nevo.co.il/law/70301/40d.b</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30678</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אור מקמיל</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20230305</vt:lpwstr>
  </property>
  <property fmtid="{D5CDD505-2E9C-101B-9397-08002B2CF9AE}" pid="13" name="TYPE_N_DATE">
    <vt:lpwstr>38020230305</vt:lpwstr>
  </property>
  <property fmtid="{D5CDD505-2E9C-101B-9397-08002B2CF9AE}" pid="14" name="WORDNUMPAGES">
    <vt:lpwstr>11</vt:lpwstr>
  </property>
  <property fmtid="{D5CDD505-2E9C-101B-9397-08002B2CF9AE}" pid="15" name="TYPE_ABS_DATE">
    <vt:lpwstr>380020230305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13093721;5738608:2;5786821;6045416;17939812;6119015;25297221;23429938;26087277;25725793;26416772;25708829;10442671;22938500;20154414;18653890;6248029;20157961;6862360;11206432</vt:lpwstr>
  </property>
  <property fmtid="{D5CDD505-2E9C-101B-9397-08002B2CF9AE}" pid="36" name="LAWLISTTMP1">
    <vt:lpwstr>4216/007.a;007.c</vt:lpwstr>
  </property>
  <property fmtid="{D5CDD505-2E9C-101B-9397-08002B2CF9AE}" pid="37" name="LAWLISTTMP2">
    <vt:lpwstr>70301/040d;040d.b</vt:lpwstr>
  </property>
</Properties>
</file>