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381FB0" w:rsidRPr="007075E9" w14:paraId="0BFEAB11" w14:textId="77777777" w:rsidTr="00C82C53">
        <w:trPr>
          <w:gridAfter w:val="1"/>
          <w:wAfter w:w="99" w:type="dxa"/>
          <w:trHeight w:hRule="exact" w:val="418"/>
          <w:jc w:val="center"/>
        </w:trPr>
        <w:tc>
          <w:tcPr>
            <w:tcW w:w="8721" w:type="dxa"/>
            <w:gridSpan w:val="4"/>
          </w:tcPr>
          <w:p w14:paraId="3189BC04" w14:textId="77777777" w:rsidR="00381FB0" w:rsidRPr="007075E9" w:rsidRDefault="00381FB0" w:rsidP="00030727">
            <w:pPr>
              <w:pStyle w:val="a3"/>
              <w:jc w:val="center"/>
              <w:rPr>
                <w:rFonts w:ascii="Tahoma" w:hAnsi="Tahoma" w:cs="Tahoma"/>
                <w:color w:val="000080"/>
                <w:rtl/>
              </w:rPr>
            </w:pPr>
            <w:bookmarkStart w:id="0" w:name="LastJudge"/>
            <w:r w:rsidRPr="007075E9">
              <w:rPr>
                <w:rFonts w:ascii="Tahoma" w:hAnsi="Tahoma" w:cs="Tahoma"/>
                <w:b/>
                <w:bCs/>
                <w:color w:val="000080"/>
                <w:rtl/>
              </w:rPr>
              <w:t>בית משפט השלום בקריות</w:t>
            </w:r>
          </w:p>
        </w:tc>
      </w:tr>
      <w:tr w:rsidR="00381FB0" w:rsidRPr="007075E9" w14:paraId="0382824E" w14:textId="77777777" w:rsidTr="00C82C53">
        <w:trPr>
          <w:gridAfter w:val="1"/>
          <w:wAfter w:w="99" w:type="dxa"/>
          <w:trHeight w:val="337"/>
          <w:jc w:val="center"/>
        </w:trPr>
        <w:tc>
          <w:tcPr>
            <w:tcW w:w="5056" w:type="dxa"/>
            <w:gridSpan w:val="3"/>
          </w:tcPr>
          <w:p w14:paraId="43F554D6" w14:textId="77777777" w:rsidR="00381FB0" w:rsidRPr="007075E9" w:rsidRDefault="00381FB0" w:rsidP="00030727">
            <w:pPr>
              <w:rPr>
                <w:rFonts w:cs="FrankRuehl"/>
                <w:sz w:val="28"/>
                <w:szCs w:val="28"/>
                <w:rtl/>
              </w:rPr>
            </w:pPr>
            <w:r w:rsidRPr="007075E9">
              <w:rPr>
                <w:rFonts w:cs="FrankRuehl"/>
                <w:sz w:val="28"/>
                <w:szCs w:val="28"/>
                <w:rtl/>
              </w:rPr>
              <w:t>ת"פ</w:t>
            </w:r>
            <w:r w:rsidRPr="007075E9">
              <w:rPr>
                <w:rFonts w:cs="FrankRuehl" w:hint="cs"/>
                <w:sz w:val="28"/>
                <w:szCs w:val="28"/>
                <w:rtl/>
              </w:rPr>
              <w:t xml:space="preserve"> </w:t>
            </w:r>
            <w:r w:rsidRPr="007075E9">
              <w:rPr>
                <w:rFonts w:cs="FrankRuehl"/>
                <w:sz w:val="28"/>
                <w:szCs w:val="28"/>
                <w:rtl/>
              </w:rPr>
              <w:t>47113-02-22</w:t>
            </w:r>
            <w:r w:rsidRPr="007075E9">
              <w:rPr>
                <w:rFonts w:cs="FrankRuehl" w:hint="cs"/>
                <w:sz w:val="28"/>
                <w:szCs w:val="28"/>
                <w:rtl/>
              </w:rPr>
              <w:t xml:space="preserve"> </w:t>
            </w:r>
            <w:r w:rsidRPr="007075E9">
              <w:rPr>
                <w:rFonts w:cs="FrankRuehl"/>
                <w:sz w:val="28"/>
                <w:szCs w:val="28"/>
                <w:rtl/>
              </w:rPr>
              <w:t>מדינת ישראל נ' כהן(עציר)</w:t>
            </w:r>
          </w:p>
          <w:p w14:paraId="35C46F48" w14:textId="77777777" w:rsidR="00381FB0" w:rsidRPr="007075E9" w:rsidRDefault="00381FB0" w:rsidP="00030727">
            <w:pPr>
              <w:pStyle w:val="a3"/>
              <w:rPr>
                <w:rFonts w:cs="FrankRuehl"/>
                <w:sz w:val="28"/>
                <w:szCs w:val="28"/>
                <w:rtl/>
              </w:rPr>
            </w:pPr>
          </w:p>
        </w:tc>
        <w:tc>
          <w:tcPr>
            <w:tcW w:w="3665" w:type="dxa"/>
          </w:tcPr>
          <w:p w14:paraId="4BEDF951" w14:textId="77777777" w:rsidR="00381FB0" w:rsidRPr="007075E9" w:rsidRDefault="00381FB0" w:rsidP="00030727">
            <w:pPr>
              <w:pStyle w:val="a3"/>
              <w:jc w:val="right"/>
              <w:rPr>
                <w:rFonts w:cs="FrankRuehl"/>
                <w:sz w:val="28"/>
                <w:szCs w:val="28"/>
                <w:rtl/>
              </w:rPr>
            </w:pPr>
          </w:p>
        </w:tc>
      </w:tr>
      <w:tr w:rsidR="00381FB0" w:rsidRPr="007075E9" w14:paraId="5CBD9C02" w14:textId="77777777" w:rsidTr="00C82C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CD90B3" w14:textId="77777777" w:rsidR="00381FB0" w:rsidRPr="007075E9" w:rsidRDefault="00381FB0" w:rsidP="00381FB0">
            <w:pPr>
              <w:jc w:val="both"/>
              <w:rPr>
                <w:rFonts w:ascii="David" w:hAnsi="David"/>
                <w:sz w:val="26"/>
                <w:szCs w:val="26"/>
              </w:rPr>
            </w:pPr>
            <w:r w:rsidRPr="007075E9">
              <w:rPr>
                <w:rFonts w:hint="cs"/>
                <w:rtl/>
              </w:rPr>
              <w:t xml:space="preserve"> </w:t>
            </w:r>
            <w:r w:rsidRPr="007075E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934FCDE" w14:textId="77777777" w:rsidR="00381FB0" w:rsidRPr="007075E9" w:rsidRDefault="00381FB0" w:rsidP="00030727">
            <w:pPr>
              <w:rPr>
                <w:rFonts w:ascii="David" w:hAnsi="David"/>
                <w:b/>
                <w:bCs/>
                <w:sz w:val="26"/>
                <w:szCs w:val="26"/>
                <w:rtl/>
              </w:rPr>
            </w:pPr>
            <w:r w:rsidRPr="007075E9">
              <w:rPr>
                <w:rFonts w:ascii="David" w:hAnsi="David"/>
                <w:b/>
                <w:bCs/>
                <w:sz w:val="26"/>
                <w:szCs w:val="26"/>
                <w:rtl/>
              </w:rPr>
              <w:t>כבוד השופטת  סימי פלג קימלוב</w:t>
            </w:r>
          </w:p>
          <w:p w14:paraId="70D5A251" w14:textId="77777777" w:rsidR="00381FB0" w:rsidRPr="007075E9" w:rsidRDefault="00381FB0" w:rsidP="00030727">
            <w:pPr>
              <w:rPr>
                <w:rFonts w:ascii="David" w:hAnsi="David"/>
                <w:sz w:val="26"/>
                <w:szCs w:val="26"/>
                <w:rtl/>
              </w:rPr>
            </w:pPr>
          </w:p>
          <w:p w14:paraId="4EC0FD2E" w14:textId="77777777" w:rsidR="00381FB0" w:rsidRPr="007075E9" w:rsidRDefault="00381FB0" w:rsidP="00381FB0">
            <w:pPr>
              <w:jc w:val="both"/>
              <w:rPr>
                <w:rFonts w:ascii="David" w:hAnsi="David"/>
                <w:sz w:val="26"/>
                <w:szCs w:val="26"/>
              </w:rPr>
            </w:pPr>
          </w:p>
        </w:tc>
      </w:tr>
      <w:tr w:rsidR="00381FB0" w:rsidRPr="007075E9" w14:paraId="338CAD6F" w14:textId="77777777" w:rsidTr="00C82C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16F1CF" w14:textId="77777777" w:rsidR="00381FB0" w:rsidRPr="007075E9" w:rsidRDefault="00381FB0" w:rsidP="00381FB0">
            <w:pPr>
              <w:jc w:val="both"/>
              <w:rPr>
                <w:rFonts w:ascii="David" w:hAnsi="David"/>
                <w:sz w:val="26"/>
                <w:szCs w:val="26"/>
              </w:rPr>
            </w:pPr>
            <w:bookmarkStart w:id="1" w:name="FirstAppellant"/>
            <w:r w:rsidRPr="007075E9">
              <w:rPr>
                <w:rFonts w:ascii="David" w:hAnsi="David"/>
                <w:sz w:val="26"/>
                <w:szCs w:val="26"/>
                <w:rtl/>
              </w:rPr>
              <w:t>בעניין:</w:t>
            </w:r>
          </w:p>
        </w:tc>
        <w:tc>
          <w:tcPr>
            <w:tcW w:w="3219" w:type="dxa"/>
            <w:tcBorders>
              <w:top w:val="nil"/>
              <w:left w:val="nil"/>
              <w:bottom w:val="nil"/>
              <w:right w:val="nil"/>
            </w:tcBorders>
            <w:shd w:val="clear" w:color="auto" w:fill="auto"/>
          </w:tcPr>
          <w:p w14:paraId="1847806C" w14:textId="77777777" w:rsidR="00381FB0" w:rsidRPr="007075E9" w:rsidRDefault="00381FB0" w:rsidP="00381FB0">
            <w:pPr>
              <w:suppressLineNumbers/>
            </w:pPr>
            <w:r w:rsidRPr="007075E9">
              <w:rPr>
                <w:rFonts w:ascii="Arial" w:hAnsi="Arial" w:hint="cs"/>
                <w:b/>
                <w:bCs/>
                <w:sz w:val="26"/>
                <w:szCs w:val="26"/>
                <w:rtl/>
              </w:rPr>
              <w:t>ה</w:t>
            </w:r>
            <w:r w:rsidRPr="007075E9">
              <w:rPr>
                <w:rFonts w:ascii="Arial" w:hAnsi="Arial"/>
                <w:b/>
                <w:bCs/>
                <w:sz w:val="26"/>
                <w:szCs w:val="26"/>
                <w:rtl/>
              </w:rPr>
              <w:t>מאשימה</w:t>
            </w:r>
          </w:p>
          <w:p w14:paraId="0A166A35" w14:textId="77777777" w:rsidR="00381FB0" w:rsidRPr="007075E9" w:rsidRDefault="00381FB0" w:rsidP="0003072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F524DC" w14:textId="77777777" w:rsidR="00381FB0" w:rsidRPr="007075E9" w:rsidRDefault="00381FB0" w:rsidP="00381FB0">
            <w:pPr>
              <w:suppressLineNumbers/>
            </w:pPr>
            <w:r w:rsidRPr="007075E9">
              <w:rPr>
                <w:rFonts w:ascii="Arial" w:hAnsi="Arial"/>
                <w:b/>
                <w:bCs/>
                <w:sz w:val="26"/>
                <w:szCs w:val="26"/>
                <w:rtl/>
              </w:rPr>
              <w:t>מדינת ישראל</w:t>
            </w:r>
          </w:p>
          <w:p w14:paraId="0F93C8D8" w14:textId="77777777" w:rsidR="00381FB0" w:rsidRPr="007075E9" w:rsidRDefault="00381FB0" w:rsidP="00030727">
            <w:pPr>
              <w:rPr>
                <w:rFonts w:ascii="David" w:hAnsi="David"/>
                <w:sz w:val="26"/>
                <w:szCs w:val="26"/>
              </w:rPr>
            </w:pPr>
          </w:p>
        </w:tc>
      </w:tr>
      <w:bookmarkEnd w:id="1"/>
      <w:tr w:rsidR="00381FB0" w:rsidRPr="007075E9" w14:paraId="08F82CAC" w14:textId="77777777" w:rsidTr="00C82C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E6402F" w14:textId="77777777" w:rsidR="00381FB0" w:rsidRPr="007075E9" w:rsidRDefault="00381FB0" w:rsidP="00381FB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A392224" w14:textId="77777777" w:rsidR="00381FB0" w:rsidRPr="007075E9" w:rsidRDefault="00381FB0" w:rsidP="00381FB0">
            <w:pPr>
              <w:jc w:val="center"/>
              <w:rPr>
                <w:rFonts w:ascii="David" w:hAnsi="David"/>
                <w:b/>
                <w:bCs/>
                <w:sz w:val="26"/>
                <w:szCs w:val="26"/>
                <w:rtl/>
              </w:rPr>
            </w:pPr>
          </w:p>
          <w:p w14:paraId="3CDF9B77" w14:textId="77777777" w:rsidR="00381FB0" w:rsidRPr="007075E9" w:rsidRDefault="00381FB0" w:rsidP="00381FB0">
            <w:pPr>
              <w:jc w:val="center"/>
              <w:rPr>
                <w:rFonts w:ascii="David" w:hAnsi="David"/>
                <w:b/>
                <w:bCs/>
                <w:sz w:val="26"/>
                <w:szCs w:val="26"/>
                <w:rtl/>
              </w:rPr>
            </w:pPr>
            <w:r w:rsidRPr="007075E9">
              <w:rPr>
                <w:rFonts w:ascii="David" w:hAnsi="David"/>
                <w:b/>
                <w:bCs/>
                <w:sz w:val="26"/>
                <w:szCs w:val="26"/>
                <w:rtl/>
              </w:rPr>
              <w:t>נגד</w:t>
            </w:r>
          </w:p>
          <w:p w14:paraId="695BFCA5" w14:textId="77777777" w:rsidR="00381FB0" w:rsidRPr="007075E9" w:rsidRDefault="00381FB0" w:rsidP="00381FB0">
            <w:pPr>
              <w:jc w:val="both"/>
              <w:rPr>
                <w:rFonts w:ascii="David" w:hAnsi="David"/>
                <w:sz w:val="26"/>
                <w:szCs w:val="26"/>
              </w:rPr>
            </w:pPr>
          </w:p>
        </w:tc>
      </w:tr>
      <w:tr w:rsidR="00381FB0" w:rsidRPr="007075E9" w14:paraId="690D3511" w14:textId="77777777" w:rsidTr="00C82C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D67716" w14:textId="77777777" w:rsidR="00381FB0" w:rsidRPr="007075E9" w:rsidRDefault="00381FB0" w:rsidP="00030727">
            <w:pPr>
              <w:rPr>
                <w:rFonts w:ascii="David" w:hAnsi="David"/>
                <w:sz w:val="26"/>
                <w:szCs w:val="26"/>
                <w:rtl/>
              </w:rPr>
            </w:pPr>
          </w:p>
        </w:tc>
        <w:tc>
          <w:tcPr>
            <w:tcW w:w="3219" w:type="dxa"/>
            <w:tcBorders>
              <w:top w:val="nil"/>
              <w:left w:val="nil"/>
              <w:bottom w:val="nil"/>
              <w:right w:val="nil"/>
            </w:tcBorders>
            <w:shd w:val="clear" w:color="auto" w:fill="auto"/>
          </w:tcPr>
          <w:p w14:paraId="45A34E19" w14:textId="77777777" w:rsidR="00381FB0" w:rsidRPr="007075E9" w:rsidRDefault="00381FB0" w:rsidP="00030727">
            <w:pPr>
              <w:rPr>
                <w:rFonts w:ascii="Arial" w:hAnsi="Arial"/>
                <w:b/>
                <w:bCs/>
                <w:sz w:val="26"/>
                <w:szCs w:val="26"/>
                <w:rtl/>
              </w:rPr>
            </w:pPr>
            <w:r w:rsidRPr="007075E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4F7FD62" w14:textId="77777777" w:rsidR="00381FB0" w:rsidRPr="007075E9" w:rsidRDefault="00381FB0" w:rsidP="00381FB0">
            <w:pPr>
              <w:suppressLineNumbers/>
            </w:pPr>
            <w:r w:rsidRPr="007075E9">
              <w:rPr>
                <w:rFonts w:ascii="Arial" w:hAnsi="Arial"/>
                <w:b/>
                <w:bCs/>
                <w:sz w:val="26"/>
                <w:szCs w:val="26"/>
                <w:rtl/>
              </w:rPr>
              <w:t>יצחק כהן (עציר)</w:t>
            </w:r>
          </w:p>
          <w:p w14:paraId="58C06C72" w14:textId="77777777" w:rsidR="00381FB0" w:rsidRPr="007075E9" w:rsidRDefault="00381FB0" w:rsidP="00030727">
            <w:pPr>
              <w:rPr>
                <w:rFonts w:ascii="David" w:hAnsi="David"/>
                <w:sz w:val="26"/>
                <w:szCs w:val="26"/>
              </w:rPr>
            </w:pPr>
          </w:p>
        </w:tc>
      </w:tr>
    </w:tbl>
    <w:p w14:paraId="3AB9BD58" w14:textId="77777777" w:rsidR="009C1006" w:rsidRDefault="009C1006" w:rsidP="007075E9">
      <w:pPr>
        <w:rPr>
          <w:sz w:val="26"/>
          <w:szCs w:val="26"/>
          <w:rtl/>
        </w:rPr>
      </w:pPr>
    </w:p>
    <w:p w14:paraId="02A1AF97" w14:textId="77777777" w:rsidR="009C1006" w:rsidRPr="009C1006" w:rsidRDefault="009C1006" w:rsidP="009C1006">
      <w:pPr>
        <w:spacing w:after="120" w:line="240" w:lineRule="exact"/>
        <w:ind w:left="283" w:hanging="283"/>
        <w:jc w:val="both"/>
        <w:rPr>
          <w:rFonts w:ascii="FrankRuehl" w:hAnsi="FrankRuehl" w:cs="FrankRuehl"/>
          <w:rtl/>
        </w:rPr>
      </w:pPr>
    </w:p>
    <w:p w14:paraId="0FD9E66F" w14:textId="77777777" w:rsidR="009C4070" w:rsidRPr="009C4070" w:rsidRDefault="009C4070" w:rsidP="009C4070">
      <w:pPr>
        <w:spacing w:before="120" w:after="120" w:line="240" w:lineRule="exact"/>
        <w:ind w:left="283" w:hanging="283"/>
        <w:jc w:val="both"/>
        <w:rPr>
          <w:rFonts w:ascii="FrankRuehl" w:hAnsi="FrankRuehl" w:cs="FrankRuehl"/>
          <w:rtl/>
        </w:rPr>
      </w:pPr>
    </w:p>
    <w:p w14:paraId="3569FB1B" w14:textId="77777777" w:rsidR="00AE32A3" w:rsidRDefault="00AE32A3" w:rsidP="00AE32A3">
      <w:pPr>
        <w:rPr>
          <w:sz w:val="26"/>
          <w:szCs w:val="26"/>
          <w:rtl/>
        </w:rPr>
      </w:pPr>
      <w:bookmarkStart w:id="2" w:name="LawTable"/>
      <w:bookmarkEnd w:id="2"/>
    </w:p>
    <w:p w14:paraId="3DD30FED" w14:textId="77777777" w:rsidR="00AE32A3" w:rsidRPr="00AE32A3" w:rsidRDefault="00AE32A3" w:rsidP="00AE32A3">
      <w:pPr>
        <w:spacing w:before="120" w:after="120" w:line="240" w:lineRule="exact"/>
        <w:ind w:left="283" w:hanging="283"/>
        <w:jc w:val="both"/>
        <w:rPr>
          <w:rFonts w:ascii="FrankRuehl" w:hAnsi="FrankRuehl" w:cs="FrankRuehl"/>
          <w:rtl/>
        </w:rPr>
      </w:pPr>
    </w:p>
    <w:p w14:paraId="6516DE1F" w14:textId="77777777" w:rsidR="00AE32A3" w:rsidRPr="00AE32A3" w:rsidRDefault="00AE32A3" w:rsidP="00AE32A3">
      <w:pPr>
        <w:spacing w:before="120" w:after="120" w:line="240" w:lineRule="exact"/>
        <w:ind w:left="283" w:hanging="283"/>
        <w:jc w:val="both"/>
        <w:rPr>
          <w:rFonts w:ascii="FrankRuehl" w:hAnsi="FrankRuehl" w:cs="FrankRuehl"/>
          <w:rtl/>
        </w:rPr>
      </w:pPr>
    </w:p>
    <w:p w14:paraId="39544219" w14:textId="77777777" w:rsidR="00AE32A3" w:rsidRPr="00AE32A3" w:rsidRDefault="00AE32A3" w:rsidP="00AE32A3">
      <w:pPr>
        <w:spacing w:before="120" w:after="120" w:line="240" w:lineRule="exact"/>
        <w:ind w:left="283" w:hanging="283"/>
        <w:jc w:val="both"/>
        <w:rPr>
          <w:rFonts w:ascii="FrankRuehl" w:hAnsi="FrankRuehl" w:cs="FrankRuehl"/>
          <w:rtl/>
        </w:rPr>
      </w:pPr>
      <w:r w:rsidRPr="00AE32A3">
        <w:rPr>
          <w:rFonts w:ascii="FrankRuehl" w:hAnsi="FrankRuehl" w:cs="FrankRuehl"/>
          <w:rtl/>
        </w:rPr>
        <w:t xml:space="preserve">חקיקה שאוזכרה: </w:t>
      </w:r>
    </w:p>
    <w:p w14:paraId="70789611" w14:textId="77777777" w:rsidR="00AE32A3" w:rsidRPr="00AE32A3" w:rsidRDefault="00AE32A3" w:rsidP="00AE32A3">
      <w:pPr>
        <w:spacing w:before="120" w:after="120" w:line="240" w:lineRule="exact"/>
        <w:ind w:left="283" w:hanging="283"/>
        <w:jc w:val="both"/>
        <w:rPr>
          <w:rFonts w:ascii="FrankRuehl" w:hAnsi="FrankRuehl" w:cs="FrankRuehl"/>
          <w:rtl/>
        </w:rPr>
      </w:pPr>
      <w:hyperlink r:id="rId7" w:history="1">
        <w:r w:rsidRPr="00AE32A3">
          <w:rPr>
            <w:rFonts w:ascii="FrankRuehl" w:hAnsi="FrankRuehl" w:cs="FrankRuehl"/>
            <w:color w:val="0000FF"/>
            <w:rtl/>
          </w:rPr>
          <w:t>פקודת הסמים המסוכנים [נוסח חדש], תשל"ג-1973</w:t>
        </w:r>
      </w:hyperlink>
      <w:r w:rsidRPr="00AE32A3">
        <w:rPr>
          <w:rFonts w:ascii="FrankRuehl" w:hAnsi="FrankRuehl" w:cs="FrankRuehl"/>
          <w:rtl/>
        </w:rPr>
        <w:t xml:space="preserve">: סע'  </w:t>
      </w:r>
      <w:hyperlink r:id="rId8" w:history="1">
        <w:r w:rsidRPr="00AE32A3">
          <w:rPr>
            <w:rFonts w:ascii="FrankRuehl" w:hAnsi="FrankRuehl" w:cs="FrankRuehl"/>
            <w:color w:val="0000FF"/>
            <w:rtl/>
          </w:rPr>
          <w:t>7(א)</w:t>
        </w:r>
      </w:hyperlink>
      <w:r w:rsidRPr="00AE32A3">
        <w:rPr>
          <w:rFonts w:ascii="FrankRuehl" w:hAnsi="FrankRuehl" w:cs="FrankRuehl"/>
          <w:rtl/>
        </w:rPr>
        <w:t xml:space="preserve">, </w:t>
      </w:r>
      <w:hyperlink r:id="rId9" w:history="1">
        <w:r w:rsidRPr="00AE32A3">
          <w:rPr>
            <w:rFonts w:ascii="FrankRuehl" w:hAnsi="FrankRuehl" w:cs="FrankRuehl"/>
            <w:color w:val="0000FF"/>
            <w:rtl/>
          </w:rPr>
          <w:t>32</w:t>
        </w:r>
      </w:hyperlink>
    </w:p>
    <w:p w14:paraId="5D21F3F9" w14:textId="77777777" w:rsidR="00AE32A3" w:rsidRPr="00AE32A3" w:rsidRDefault="00AE32A3" w:rsidP="00AE32A3">
      <w:pPr>
        <w:spacing w:before="120" w:after="120" w:line="240" w:lineRule="exact"/>
        <w:ind w:left="283" w:hanging="283"/>
        <w:jc w:val="both"/>
        <w:rPr>
          <w:rFonts w:ascii="FrankRuehl" w:hAnsi="FrankRuehl" w:cs="FrankRuehl"/>
          <w:rtl/>
        </w:rPr>
      </w:pPr>
      <w:hyperlink r:id="rId10" w:history="1">
        <w:r w:rsidRPr="00AE32A3">
          <w:rPr>
            <w:rFonts w:ascii="FrankRuehl" w:hAnsi="FrankRuehl" w:cs="FrankRuehl"/>
            <w:color w:val="0000FF"/>
            <w:rtl/>
          </w:rPr>
          <w:t>חוק העונשין, תשל"ז-1977</w:t>
        </w:r>
      </w:hyperlink>
      <w:r w:rsidRPr="00AE32A3">
        <w:rPr>
          <w:rFonts w:ascii="FrankRuehl" w:hAnsi="FrankRuehl" w:cs="FrankRuehl"/>
          <w:rtl/>
        </w:rPr>
        <w:t xml:space="preserve">: סע'  </w:t>
      </w:r>
      <w:hyperlink r:id="rId11" w:history="1">
        <w:r w:rsidRPr="00AE32A3">
          <w:rPr>
            <w:rFonts w:ascii="FrankRuehl" w:hAnsi="FrankRuehl" w:cs="FrankRuehl"/>
            <w:color w:val="0000FF"/>
            <w:rtl/>
          </w:rPr>
          <w:t>40ג(א)</w:t>
        </w:r>
      </w:hyperlink>
    </w:p>
    <w:p w14:paraId="7A998393" w14:textId="77777777" w:rsidR="00AE32A3" w:rsidRPr="00AE32A3" w:rsidRDefault="00AE32A3" w:rsidP="00AE32A3">
      <w:pPr>
        <w:rPr>
          <w:sz w:val="26"/>
          <w:szCs w:val="26"/>
          <w:rtl/>
        </w:rPr>
      </w:pPr>
      <w:bookmarkStart w:id="3" w:name="LawTable_End"/>
      <w:bookmarkEnd w:id="3"/>
    </w:p>
    <w:p w14:paraId="6E59A2B9" w14:textId="77777777" w:rsidR="00381FB0" w:rsidRPr="009C4070" w:rsidRDefault="00381FB0" w:rsidP="009C407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1FB0" w14:paraId="118C5B82" w14:textId="77777777" w:rsidTr="00381FB0">
        <w:trPr>
          <w:trHeight w:val="355"/>
          <w:jc w:val="center"/>
        </w:trPr>
        <w:tc>
          <w:tcPr>
            <w:tcW w:w="8820" w:type="dxa"/>
            <w:tcBorders>
              <w:top w:val="nil"/>
              <w:left w:val="nil"/>
              <w:bottom w:val="nil"/>
              <w:right w:val="nil"/>
            </w:tcBorders>
            <w:shd w:val="clear" w:color="auto" w:fill="auto"/>
          </w:tcPr>
          <w:p w14:paraId="7FC48B04" w14:textId="77777777" w:rsidR="007075E9" w:rsidRPr="007075E9" w:rsidRDefault="007075E9" w:rsidP="007075E9">
            <w:pPr>
              <w:jc w:val="center"/>
              <w:rPr>
                <w:rFonts w:ascii="David" w:hAnsi="David"/>
                <w:b/>
                <w:bCs/>
                <w:sz w:val="32"/>
                <w:szCs w:val="32"/>
                <w:u w:val="single"/>
                <w:rtl/>
              </w:rPr>
            </w:pPr>
            <w:bookmarkStart w:id="4" w:name="PsakDin" w:colFirst="0" w:colLast="0"/>
            <w:bookmarkEnd w:id="0"/>
            <w:r w:rsidRPr="007075E9">
              <w:rPr>
                <w:rFonts w:ascii="David" w:hAnsi="David"/>
                <w:b/>
                <w:bCs/>
                <w:sz w:val="32"/>
                <w:szCs w:val="32"/>
                <w:u w:val="single"/>
                <w:rtl/>
              </w:rPr>
              <w:t>גזר דין</w:t>
            </w:r>
          </w:p>
          <w:p w14:paraId="32160361" w14:textId="77777777" w:rsidR="00381FB0" w:rsidRPr="007075E9" w:rsidRDefault="00381FB0" w:rsidP="007075E9">
            <w:pPr>
              <w:jc w:val="center"/>
              <w:rPr>
                <w:rFonts w:ascii="David" w:hAnsi="David"/>
                <w:bCs/>
                <w:sz w:val="32"/>
                <w:szCs w:val="32"/>
                <w:u w:val="single"/>
                <w:rtl/>
              </w:rPr>
            </w:pPr>
          </w:p>
        </w:tc>
      </w:tr>
      <w:bookmarkEnd w:id="4"/>
    </w:tbl>
    <w:p w14:paraId="509F57B4" w14:textId="77777777" w:rsidR="00381FB0" w:rsidRPr="000F2247" w:rsidRDefault="00381FB0" w:rsidP="00381FB0">
      <w:pPr>
        <w:rPr>
          <w:rFonts w:ascii="Arial" w:hAnsi="Arial"/>
          <w:b/>
          <w:bCs/>
          <w:sz w:val="26"/>
          <w:szCs w:val="26"/>
          <w:rtl/>
        </w:rPr>
      </w:pPr>
    </w:p>
    <w:p w14:paraId="0BF46731" w14:textId="77777777" w:rsidR="00381FB0" w:rsidRDefault="00381FB0" w:rsidP="00381FB0">
      <w:pPr>
        <w:pStyle w:val="a9"/>
        <w:spacing w:line="360" w:lineRule="auto"/>
        <w:jc w:val="both"/>
        <w:rPr>
          <w:rFonts w:ascii="Arial" w:hAnsi="Arial"/>
          <w:b/>
          <w:bCs/>
          <w:u w:val="single"/>
          <w:rtl/>
        </w:rPr>
      </w:pPr>
      <w:r w:rsidRPr="00F376F9">
        <w:rPr>
          <w:rFonts w:ascii="Arial" w:hAnsi="Arial"/>
          <w:b/>
          <w:bCs/>
          <w:u w:val="single"/>
          <w:rtl/>
        </w:rPr>
        <w:t>כתב האי</w:t>
      </w:r>
      <w:r>
        <w:rPr>
          <w:rFonts w:ascii="Arial" w:hAnsi="Arial"/>
          <w:b/>
          <w:bCs/>
          <w:u w:val="single"/>
          <w:rtl/>
        </w:rPr>
        <w:t>ש</w:t>
      </w:r>
      <w:r w:rsidRPr="00F376F9">
        <w:rPr>
          <w:rFonts w:ascii="Arial" w:hAnsi="Arial"/>
          <w:b/>
          <w:bCs/>
          <w:u w:val="single"/>
          <w:rtl/>
        </w:rPr>
        <w:t xml:space="preserve">ום המתוקן </w:t>
      </w:r>
    </w:p>
    <w:p w14:paraId="3A276B43" w14:textId="77777777" w:rsidR="00381FB0" w:rsidRDefault="00381FB0" w:rsidP="00381FB0">
      <w:pPr>
        <w:pStyle w:val="a9"/>
        <w:numPr>
          <w:ilvl w:val="0"/>
          <w:numId w:val="1"/>
        </w:numPr>
        <w:spacing w:line="360" w:lineRule="auto"/>
        <w:jc w:val="both"/>
        <w:rPr>
          <w:rFonts w:ascii="Arial" w:hAnsi="Arial"/>
        </w:rPr>
      </w:pPr>
      <w:bookmarkStart w:id="5" w:name="ABSTRACT_START"/>
      <w:bookmarkEnd w:id="5"/>
      <w:r>
        <w:rPr>
          <w:rFonts w:ascii="Arial" w:hAnsi="Arial"/>
          <w:rtl/>
        </w:rPr>
        <w:t xml:space="preserve">הנאשם הורשע על פי הודאתו בעובדות כתב האישום בעבירה של החזקת סם מסוכן שלא לצריכה עצמית – עבירה לפי </w:t>
      </w:r>
      <w:hyperlink r:id="rId12" w:history="1">
        <w:r w:rsidR="00C82C53" w:rsidRPr="00C82C53">
          <w:rPr>
            <w:rStyle w:val="Hyperlink"/>
            <w:rFonts w:ascii="Arial" w:hAnsi="Arial"/>
            <w:rtl/>
          </w:rPr>
          <w:t>סעיף 7(א)</w:t>
        </w:r>
      </w:hyperlink>
      <w:r>
        <w:rPr>
          <w:rFonts w:ascii="Arial" w:hAnsi="Arial"/>
          <w:rtl/>
        </w:rPr>
        <w:t xml:space="preserve"> +(</w:t>
      </w:r>
      <w:hyperlink r:id="rId13" w:history="1">
        <w:r w:rsidR="009C1006" w:rsidRPr="009C1006">
          <w:rPr>
            <w:rStyle w:val="Hyperlink"/>
            <w:rFonts w:ascii="Arial" w:hAnsi="Arial"/>
            <w:rtl/>
          </w:rPr>
          <w:t>ג</w:t>
        </w:r>
      </w:hyperlink>
      <w:r>
        <w:rPr>
          <w:rFonts w:ascii="Arial" w:hAnsi="Arial"/>
          <w:rtl/>
        </w:rPr>
        <w:t>) רישא ל</w:t>
      </w:r>
      <w:hyperlink r:id="rId14" w:history="1">
        <w:r w:rsidR="007075E9" w:rsidRPr="007075E9">
          <w:rPr>
            <w:rFonts w:ascii="Arial" w:hAnsi="Arial"/>
            <w:color w:val="0000FF"/>
            <w:u w:val="single"/>
            <w:rtl/>
          </w:rPr>
          <w:t>פקודת הסמים המסוכנים</w:t>
        </w:r>
      </w:hyperlink>
      <w:r>
        <w:rPr>
          <w:rFonts w:ascii="Arial" w:hAnsi="Arial"/>
          <w:rtl/>
        </w:rPr>
        <w:t xml:space="preserve"> [נוסח חדש], התשל"ג – 1973 </w:t>
      </w:r>
      <w:r w:rsidRPr="00F376F9">
        <w:rPr>
          <w:rFonts w:ascii="Arial" w:hAnsi="Arial"/>
          <w:b/>
          <w:bCs/>
          <w:rtl/>
        </w:rPr>
        <w:t>(להלן: "פקודת הסמים").</w:t>
      </w:r>
      <w:r>
        <w:rPr>
          <w:rFonts w:ascii="Arial" w:hAnsi="Arial"/>
          <w:rtl/>
        </w:rPr>
        <w:t xml:space="preserve"> </w:t>
      </w:r>
    </w:p>
    <w:p w14:paraId="154AC67B" w14:textId="77777777" w:rsidR="00381FB0" w:rsidRDefault="00381FB0" w:rsidP="00381FB0">
      <w:pPr>
        <w:pStyle w:val="a9"/>
        <w:spacing w:line="360" w:lineRule="auto"/>
        <w:jc w:val="both"/>
        <w:rPr>
          <w:rFonts w:ascii="Arial" w:hAnsi="Arial"/>
        </w:rPr>
      </w:pPr>
    </w:p>
    <w:p w14:paraId="70AD07B1" w14:textId="77777777" w:rsidR="00381FB0" w:rsidRDefault="00381FB0" w:rsidP="00381FB0">
      <w:pPr>
        <w:pStyle w:val="a9"/>
        <w:numPr>
          <w:ilvl w:val="0"/>
          <w:numId w:val="1"/>
        </w:numPr>
        <w:spacing w:line="360" w:lineRule="auto"/>
        <w:jc w:val="both"/>
        <w:rPr>
          <w:rFonts w:ascii="Arial" w:hAnsi="Arial"/>
        </w:rPr>
      </w:pPr>
      <w:bookmarkStart w:id="6" w:name="ABSTRACT_END"/>
      <w:bookmarkEnd w:id="6"/>
      <w:r>
        <w:rPr>
          <w:rFonts w:ascii="Arial" w:hAnsi="Arial"/>
          <w:rtl/>
        </w:rPr>
        <w:t xml:space="preserve">על פי עובדות כתב האישום המתוקן בזמנים הרלוונטיים לכתב האישום התגורר הנאשם בדירת אמו ברחוב קוממיות 3 בקרית ים (להלן: </w:t>
      </w:r>
      <w:r w:rsidRPr="00DC6CA6">
        <w:rPr>
          <w:rFonts w:ascii="Arial" w:hAnsi="Arial"/>
          <w:b/>
          <w:bCs/>
          <w:rtl/>
        </w:rPr>
        <w:t>"הדירה"</w:t>
      </w:r>
      <w:r>
        <w:rPr>
          <w:rFonts w:ascii="Arial" w:hAnsi="Arial"/>
          <w:rtl/>
        </w:rPr>
        <w:t xml:space="preserve">). החל ממועד שאינו ידוע למאשימה ועד לתאריך 08.02.2022 החזיק הנאשם בדירה תערובת סמים המורכבת משילוב של </w:t>
      </w:r>
      <w:r>
        <w:rPr>
          <w:rFonts w:ascii="Arial" w:hAnsi="Arial"/>
        </w:rPr>
        <w:t>MDMA</w:t>
      </w:r>
      <w:r>
        <w:rPr>
          <w:rFonts w:ascii="Arial" w:hAnsi="Arial"/>
          <w:rtl/>
        </w:rPr>
        <w:t xml:space="preserve"> וקטמין (להלן: </w:t>
      </w:r>
      <w:r w:rsidRPr="00DC6CA6">
        <w:rPr>
          <w:rFonts w:ascii="Arial" w:hAnsi="Arial"/>
          <w:b/>
          <w:bCs/>
          <w:rtl/>
        </w:rPr>
        <w:t>"הסמים"</w:t>
      </w:r>
      <w:r>
        <w:rPr>
          <w:rFonts w:ascii="Arial" w:hAnsi="Arial"/>
          <w:rtl/>
        </w:rPr>
        <w:t>) במשקל כולל של 61.4551 גרם נטו וזאת, שלא לצריכתו העצמית וללא היתר רשיון מאת המנהל ובאופן הבא:</w:t>
      </w:r>
    </w:p>
    <w:p w14:paraId="390CF52E" w14:textId="77777777" w:rsidR="00381FB0" w:rsidRPr="00DC6CA6" w:rsidRDefault="00381FB0" w:rsidP="00381FB0">
      <w:pPr>
        <w:pStyle w:val="a9"/>
        <w:rPr>
          <w:rFonts w:ascii="Arial" w:hAnsi="Arial"/>
          <w:rtl/>
        </w:rPr>
      </w:pPr>
    </w:p>
    <w:p w14:paraId="4126C47F" w14:textId="77777777" w:rsidR="00381FB0" w:rsidRDefault="00381FB0" w:rsidP="00381FB0">
      <w:pPr>
        <w:pStyle w:val="a9"/>
        <w:numPr>
          <w:ilvl w:val="0"/>
          <w:numId w:val="2"/>
        </w:numPr>
        <w:spacing w:line="360" w:lineRule="auto"/>
        <w:jc w:val="both"/>
      </w:pPr>
      <w:r w:rsidRPr="00DC6CA6">
        <w:rPr>
          <w:rFonts w:ascii="Arial" w:hAnsi="Arial"/>
          <w:rtl/>
        </w:rPr>
        <w:lastRenderedPageBreak/>
        <w:t xml:space="preserve">בארון בחדר השירות, בתוך אריזת פלסטיק סגורה בסגר, </w:t>
      </w:r>
      <w:r>
        <w:rPr>
          <w:rFonts w:ascii="Arial" w:hAnsi="Arial"/>
          <w:rtl/>
        </w:rPr>
        <w:t xml:space="preserve">תערובת סמים המורכבת משילוב של </w:t>
      </w:r>
      <w:r>
        <w:rPr>
          <w:rFonts w:ascii="Arial" w:hAnsi="Arial"/>
        </w:rPr>
        <w:t>MDMA</w:t>
      </w:r>
      <w:r>
        <w:rPr>
          <w:rFonts w:ascii="Arial" w:hAnsi="Arial"/>
          <w:rtl/>
        </w:rPr>
        <w:t xml:space="preserve"> וקטמין במשקל כולל</w:t>
      </w:r>
      <w:r>
        <w:rPr>
          <w:rtl/>
        </w:rPr>
        <w:t xml:space="preserve"> של 61.12 גרם נטו.</w:t>
      </w:r>
    </w:p>
    <w:p w14:paraId="074D0D5D" w14:textId="77777777" w:rsidR="00381FB0" w:rsidRDefault="00381FB0" w:rsidP="00381FB0">
      <w:pPr>
        <w:pStyle w:val="a9"/>
        <w:numPr>
          <w:ilvl w:val="0"/>
          <w:numId w:val="2"/>
        </w:numPr>
        <w:spacing w:line="360" w:lineRule="auto"/>
        <w:jc w:val="both"/>
      </w:pPr>
      <w:r>
        <w:rPr>
          <w:rtl/>
        </w:rPr>
        <w:t xml:space="preserve">בארון בחדר השינה, </w:t>
      </w:r>
      <w:r w:rsidRPr="00DC6CA6">
        <w:rPr>
          <w:rFonts w:ascii="Arial" w:hAnsi="Arial"/>
          <w:rtl/>
        </w:rPr>
        <w:t xml:space="preserve">בתוך אריזת פלסטיק סגורה בסגר, </w:t>
      </w:r>
      <w:r>
        <w:rPr>
          <w:rFonts w:ascii="Arial" w:hAnsi="Arial"/>
          <w:rtl/>
        </w:rPr>
        <w:t xml:space="preserve">תערובת סמים המורכבת משילוב של </w:t>
      </w:r>
      <w:r>
        <w:rPr>
          <w:rFonts w:ascii="Arial" w:hAnsi="Arial"/>
        </w:rPr>
        <w:t>MDMA</w:t>
      </w:r>
      <w:r>
        <w:rPr>
          <w:rFonts w:ascii="Arial" w:hAnsi="Arial"/>
          <w:rtl/>
        </w:rPr>
        <w:t xml:space="preserve"> וקטמין במשקל כולל</w:t>
      </w:r>
      <w:r>
        <w:rPr>
          <w:rtl/>
        </w:rPr>
        <w:t xml:space="preserve"> של 0.3351 גרם נטו.</w:t>
      </w:r>
    </w:p>
    <w:p w14:paraId="3206585E" w14:textId="77777777" w:rsidR="00381FB0" w:rsidRDefault="00381FB0" w:rsidP="00381FB0">
      <w:pPr>
        <w:pStyle w:val="a9"/>
        <w:spacing w:line="360" w:lineRule="auto"/>
        <w:ind w:left="1080"/>
        <w:jc w:val="both"/>
      </w:pPr>
    </w:p>
    <w:p w14:paraId="3878CEBD" w14:textId="77777777" w:rsidR="00381FB0" w:rsidRDefault="00381FB0" w:rsidP="00381FB0">
      <w:pPr>
        <w:pStyle w:val="a9"/>
        <w:numPr>
          <w:ilvl w:val="0"/>
          <w:numId w:val="1"/>
        </w:numPr>
        <w:spacing w:line="360" w:lineRule="auto"/>
        <w:jc w:val="both"/>
        <w:rPr>
          <w:rtl/>
        </w:rPr>
      </w:pPr>
      <w:r>
        <w:rPr>
          <w:rtl/>
        </w:rPr>
        <w:t xml:space="preserve">הצדדים הגיעו להסדר טיעון דיוני לפיו כתב האישום תוקן, הנאשם חזר בו מכפירתו, הודה בעובדות כתב האישום המתוקן ועתר להפנותו לקבלת תסקיר של שירות המבחן ואולם המאשימה הצהירה, כי אינה מחויבת להמלצות התסקיר והצדדים יטענו באופן חופשי לעונש. </w:t>
      </w:r>
    </w:p>
    <w:p w14:paraId="0D9FF22B" w14:textId="77777777" w:rsidR="00381FB0" w:rsidRDefault="00381FB0" w:rsidP="00381FB0">
      <w:pPr>
        <w:pStyle w:val="a9"/>
      </w:pPr>
    </w:p>
    <w:p w14:paraId="4C1A165D" w14:textId="77777777" w:rsidR="00381FB0" w:rsidRDefault="00381FB0" w:rsidP="00381FB0">
      <w:pPr>
        <w:pStyle w:val="a9"/>
        <w:spacing w:line="360" w:lineRule="auto"/>
        <w:jc w:val="both"/>
        <w:rPr>
          <w:b/>
          <w:bCs/>
          <w:u w:val="single"/>
          <w:rtl/>
        </w:rPr>
      </w:pPr>
    </w:p>
    <w:p w14:paraId="1FD8D736" w14:textId="77777777" w:rsidR="00381FB0" w:rsidRDefault="00381FB0" w:rsidP="00381FB0">
      <w:pPr>
        <w:pStyle w:val="a9"/>
        <w:spacing w:line="360" w:lineRule="auto"/>
        <w:jc w:val="both"/>
        <w:rPr>
          <w:b/>
          <w:bCs/>
          <w:u w:val="single"/>
          <w:rtl/>
        </w:rPr>
      </w:pPr>
    </w:p>
    <w:p w14:paraId="5CC4FBE5" w14:textId="77777777" w:rsidR="00381FB0" w:rsidRDefault="00381FB0" w:rsidP="00381FB0">
      <w:pPr>
        <w:pStyle w:val="a9"/>
        <w:spacing w:line="360" w:lineRule="auto"/>
        <w:jc w:val="both"/>
        <w:rPr>
          <w:b/>
          <w:bCs/>
          <w:u w:val="single"/>
          <w:rtl/>
        </w:rPr>
      </w:pPr>
    </w:p>
    <w:p w14:paraId="0C0072C3" w14:textId="77777777" w:rsidR="00381FB0" w:rsidRDefault="00381FB0" w:rsidP="00381FB0">
      <w:pPr>
        <w:pStyle w:val="a9"/>
        <w:spacing w:line="360" w:lineRule="auto"/>
        <w:jc w:val="both"/>
        <w:rPr>
          <w:b/>
          <w:bCs/>
          <w:u w:val="single"/>
          <w:rtl/>
        </w:rPr>
      </w:pPr>
      <w:r>
        <w:rPr>
          <w:b/>
          <w:bCs/>
          <w:u w:val="single"/>
          <w:rtl/>
        </w:rPr>
        <w:t>תסקיר שירות המבחן</w:t>
      </w:r>
    </w:p>
    <w:p w14:paraId="083F4BE7" w14:textId="77777777" w:rsidR="00381FB0" w:rsidRDefault="00381FB0" w:rsidP="00381FB0">
      <w:pPr>
        <w:pStyle w:val="a9"/>
        <w:rPr>
          <w:b/>
          <w:bCs/>
          <w:u w:val="single"/>
        </w:rPr>
      </w:pPr>
    </w:p>
    <w:p w14:paraId="7F4FA512" w14:textId="77777777" w:rsidR="00381FB0" w:rsidRDefault="00381FB0" w:rsidP="00381FB0">
      <w:pPr>
        <w:pStyle w:val="a9"/>
        <w:numPr>
          <w:ilvl w:val="0"/>
          <w:numId w:val="1"/>
        </w:numPr>
        <w:spacing w:line="360" w:lineRule="auto"/>
        <w:jc w:val="both"/>
      </w:pPr>
      <w:r>
        <w:rPr>
          <w:rtl/>
        </w:rPr>
        <w:t>ביום 07.07.2022 הוגש תסקיר של שירות המבחן בעניינו של הנאשם. בתסקיר סקר שירות המבחן את הרקע האישי והמשפחתי של הנאשם, בן 30 רווק המתגורר, עובר למעצרו</w:t>
      </w:r>
      <w:r>
        <w:rPr>
          <w:rFonts w:hint="cs"/>
          <w:rtl/>
        </w:rPr>
        <w:t xml:space="preserve"> </w:t>
      </w:r>
      <w:r>
        <w:rPr>
          <w:rtl/>
        </w:rPr>
        <w:t xml:space="preserve"> עם אמו בביתה . נסיבותיו המשפחתיות של הנאשם מצוינות בפירוט נרחב בתסקיר ובשל צנעת הפרט לא אציין אותן בגזר הדין. עיון בגיליון הרשעותיו הקודמות של הנאשם עולה כי לחובתו הרשעה קודמת אחת אשר חלה עליה התיישנות. </w:t>
      </w:r>
    </w:p>
    <w:p w14:paraId="2D7CA0AC" w14:textId="77777777" w:rsidR="00381FB0" w:rsidRDefault="00381FB0" w:rsidP="00381FB0">
      <w:pPr>
        <w:pStyle w:val="a9"/>
        <w:spacing w:line="360" w:lineRule="auto"/>
        <w:jc w:val="both"/>
        <w:rPr>
          <w:rtl/>
        </w:rPr>
      </w:pPr>
    </w:p>
    <w:p w14:paraId="212CA726" w14:textId="77777777" w:rsidR="00381FB0" w:rsidRDefault="00381FB0" w:rsidP="00381FB0">
      <w:pPr>
        <w:pStyle w:val="a9"/>
        <w:spacing w:line="360" w:lineRule="auto"/>
        <w:jc w:val="both"/>
      </w:pPr>
      <w:r>
        <w:rPr>
          <w:rtl/>
        </w:rPr>
        <w:t>בהתייחסו לעבירה מושא כתב האישום לקח הנאשם אחריות מלאה על מעשיו אך שלל כי החזיק את הסמים שלא לצריכתו העצמית. הנאשם הסביר לשירות המבחן, כי רכש כמות גדולה של הסמים המתוארים בכתב האישום לצורך שימושו העצמי בלבד. הנאשם הכחיש בפני שירות המבחן סחר בסמים. יחד עם זאת שירות המבחן ציין, כי על אף שהנאשם מכחיש עיסוק בסמים או החזקת סמים שלא לצריכה עצמית, הוא מתרשם כי הנאשם מבין את חומרת התנהגותו. שירות המבחן ציין בתסקירו כי קיבל מידע מהשירות הסוציאלי בבית המעצר קישון, שם שוהה הנאשם מאז מעצרו וממנו עולה, כי הנאשם ביקש ואף השתלב מזה כ- 5 חודשים בתכנית גמילה המיועדת לעצורים המתמודדים עם בעיות התמכרות. השירות הסוציאלי של בית המעצר ציין, כי בעת שהותו בתכנית, הנאשם השתדל לעמוד בנהלי התכנית, עם זאת התקשה למתן את דפוסי האלימות שלו</w:t>
      </w:r>
      <w:r>
        <w:rPr>
          <w:rFonts w:hint="cs"/>
          <w:rtl/>
        </w:rPr>
        <w:t>,</w:t>
      </w:r>
      <w:r>
        <w:rPr>
          <w:rtl/>
        </w:rPr>
        <w:t xml:space="preserve"> התקשה לקחת אחריות ונטה לוויתור עצמי. צוין, כי הנאשם הוצא מתכנית הטיפול והומלץ לשלבו במסגרת טיפולית ארוכת טווח הכוללת התייחסות לבעיות האלימות והתמכרות המותאמת לצרכיו.</w:t>
      </w:r>
      <w:r>
        <w:rPr>
          <w:rFonts w:hint="cs"/>
          <w:rtl/>
        </w:rPr>
        <w:t xml:space="preserve"> </w:t>
      </w:r>
      <w:r>
        <w:rPr>
          <w:rtl/>
        </w:rPr>
        <w:t xml:space="preserve"> להערכת שירות המבחן קיים סיכון לביצוע עבירות דומות בעתיד. </w:t>
      </w:r>
    </w:p>
    <w:p w14:paraId="49152D47" w14:textId="77777777" w:rsidR="00381FB0" w:rsidRDefault="00381FB0" w:rsidP="00381FB0">
      <w:pPr>
        <w:pStyle w:val="a9"/>
        <w:spacing w:line="360" w:lineRule="auto"/>
        <w:jc w:val="both"/>
      </w:pPr>
    </w:p>
    <w:p w14:paraId="4C76D9C7" w14:textId="77777777" w:rsidR="00381FB0" w:rsidRDefault="00381FB0" w:rsidP="00381FB0">
      <w:pPr>
        <w:pStyle w:val="a9"/>
        <w:spacing w:line="360" w:lineRule="auto"/>
        <w:jc w:val="both"/>
      </w:pPr>
      <w:r>
        <w:rPr>
          <w:rtl/>
        </w:rPr>
        <w:lastRenderedPageBreak/>
        <w:t xml:space="preserve">לאור הקושי של הנאשם בהשתלבותו בתכנית הטיפולית בבית המעצר והתרשמות שירות המבחן מסיכון להישנות עבירות דומות ולאור דפוסי התנהגות תוקפנים וחסרי גבולות, </w:t>
      </w:r>
      <w:r>
        <w:rPr>
          <w:rFonts w:hint="cs"/>
          <w:rtl/>
        </w:rPr>
        <w:t>לא</w:t>
      </w:r>
      <w:r>
        <w:rPr>
          <w:rtl/>
        </w:rPr>
        <w:t xml:space="preserve">  בא </w:t>
      </w:r>
      <w:r>
        <w:rPr>
          <w:rFonts w:hint="cs"/>
          <w:rtl/>
        </w:rPr>
        <w:t xml:space="preserve">שירות המבחן </w:t>
      </w:r>
      <w:r>
        <w:rPr>
          <w:rtl/>
        </w:rPr>
        <w:t>בהמלצה טיפולית כלשהי במסגרת הקהילה והמליץ על שילוב הנאשם בכלא בו יוכל יהיה לעבור הליך טיפולי אינטנסיבי ושיקום מה שיפחית, לדעת שירות המבחן, הסיכון להישנות עבירות דומות בעתיד.</w:t>
      </w:r>
    </w:p>
    <w:p w14:paraId="068D9118" w14:textId="77777777" w:rsidR="00381FB0" w:rsidRDefault="00381FB0" w:rsidP="00381FB0">
      <w:pPr>
        <w:pStyle w:val="a9"/>
        <w:spacing w:line="360" w:lineRule="auto"/>
        <w:jc w:val="both"/>
      </w:pPr>
    </w:p>
    <w:p w14:paraId="00040B7B" w14:textId="77777777" w:rsidR="00381FB0" w:rsidRDefault="00381FB0" w:rsidP="00381FB0">
      <w:pPr>
        <w:pStyle w:val="a9"/>
        <w:spacing w:line="360" w:lineRule="auto"/>
        <w:jc w:val="both"/>
        <w:rPr>
          <w:b/>
          <w:bCs/>
          <w:u w:val="single"/>
          <w:rtl/>
        </w:rPr>
      </w:pPr>
      <w:r>
        <w:rPr>
          <w:b/>
          <w:bCs/>
          <w:u w:val="single"/>
          <w:rtl/>
        </w:rPr>
        <w:t>טיעוני הצדדים לעונש</w:t>
      </w:r>
    </w:p>
    <w:p w14:paraId="36392548" w14:textId="77777777" w:rsidR="00381FB0" w:rsidRDefault="00381FB0" w:rsidP="00381FB0">
      <w:pPr>
        <w:pStyle w:val="a9"/>
        <w:spacing w:line="360" w:lineRule="auto"/>
        <w:jc w:val="both"/>
        <w:rPr>
          <w:b/>
          <w:bCs/>
          <w:u w:val="single"/>
          <w:rtl/>
        </w:rPr>
      </w:pPr>
      <w:r>
        <w:rPr>
          <w:rFonts w:hint="cs"/>
          <w:b/>
          <w:bCs/>
          <w:u w:val="single"/>
          <w:rtl/>
        </w:rPr>
        <w:t>טיעוני המאשימה</w:t>
      </w:r>
    </w:p>
    <w:p w14:paraId="49580C74" w14:textId="77777777" w:rsidR="00381FB0" w:rsidRDefault="00381FB0" w:rsidP="00381FB0">
      <w:pPr>
        <w:pStyle w:val="a9"/>
        <w:numPr>
          <w:ilvl w:val="0"/>
          <w:numId w:val="1"/>
        </w:numPr>
        <w:spacing w:line="360" w:lineRule="auto"/>
        <w:jc w:val="both"/>
      </w:pPr>
      <w:r>
        <w:rPr>
          <w:rtl/>
        </w:rPr>
        <w:t xml:space="preserve">במסגרת הטיעונים לעונש הגיש ב"כ המאשימה טיעונים בכתב </w:t>
      </w:r>
      <w:r w:rsidRPr="004F60AA">
        <w:rPr>
          <w:b/>
          <w:bCs/>
          <w:rtl/>
        </w:rPr>
        <w:t>(ת/1)</w:t>
      </w:r>
      <w:r>
        <w:rPr>
          <w:rtl/>
        </w:rPr>
        <w:t xml:space="preserve">. ציינה המאשימה, כי הנאשם נעדר עבר פלילי, הודה בעובדות כתב האישום טרם נשמעו הראיות בתיק. הדגישה המאשימה בטיעוניה בכתב נסיבות ביצוע העבירות והפגיעה הקשה בערכים חברתיים מוגנים, לרבות הסיכון בהפצתם בקרב הציבור. המאשימה עתרה למתחם ענישה שנע בין 2 שנות מאסר ברף התחתון לעונש של 4 שנות מאסר בפועל ברף העליון והפנה לפסיקה רלוונטית במקרים דומים לטעמה. באשר לעונשו של הנאשם עתרה המאשימה לעונש ברף התחתון של המתחם, הטלת מאסר על תנאי משמעותי ומרתיע, קנס כספי בהתאם </w:t>
      </w:r>
      <w:hyperlink r:id="rId15" w:history="1">
        <w:r w:rsidR="009C1006" w:rsidRPr="009C1006">
          <w:rPr>
            <w:rStyle w:val="Hyperlink"/>
            <w:rtl/>
          </w:rPr>
          <w:t>לסעיף 32</w:t>
        </w:r>
      </w:hyperlink>
      <w:r>
        <w:rPr>
          <w:rtl/>
        </w:rPr>
        <w:t xml:space="preserve"> לפקודת הסמים, פסילת רישיון נהיגה בפועל, מיום סיום ת</w:t>
      </w:r>
      <w:r>
        <w:rPr>
          <w:rFonts w:hint="cs"/>
          <w:rtl/>
        </w:rPr>
        <w:t xml:space="preserve">קופת </w:t>
      </w:r>
      <w:r>
        <w:rPr>
          <w:rtl/>
        </w:rPr>
        <w:t xml:space="preserve"> המאסר. </w:t>
      </w:r>
    </w:p>
    <w:p w14:paraId="51E2A8EA" w14:textId="77777777" w:rsidR="00381FB0" w:rsidRDefault="00381FB0" w:rsidP="00381FB0">
      <w:pPr>
        <w:pStyle w:val="a9"/>
        <w:spacing w:line="360" w:lineRule="auto"/>
        <w:jc w:val="both"/>
      </w:pPr>
    </w:p>
    <w:p w14:paraId="7F76ECA0" w14:textId="77777777" w:rsidR="00381FB0" w:rsidRPr="00760E64" w:rsidRDefault="00381FB0" w:rsidP="00381FB0">
      <w:pPr>
        <w:pStyle w:val="a9"/>
        <w:spacing w:line="360" w:lineRule="auto"/>
        <w:jc w:val="both"/>
        <w:rPr>
          <w:b/>
          <w:bCs/>
          <w:u w:val="single"/>
        </w:rPr>
      </w:pPr>
      <w:r w:rsidRPr="00760E64">
        <w:rPr>
          <w:b/>
          <w:bCs/>
          <w:u w:val="single"/>
          <w:rtl/>
        </w:rPr>
        <w:t>טיעוני ההגנה לעונש</w:t>
      </w:r>
    </w:p>
    <w:p w14:paraId="1060AB3E" w14:textId="77777777" w:rsidR="00381FB0" w:rsidRDefault="00381FB0" w:rsidP="00381FB0">
      <w:pPr>
        <w:pStyle w:val="a9"/>
        <w:numPr>
          <w:ilvl w:val="0"/>
          <w:numId w:val="1"/>
        </w:numPr>
        <w:spacing w:line="360" w:lineRule="auto"/>
        <w:jc w:val="both"/>
      </w:pPr>
      <w:r>
        <w:rPr>
          <w:rtl/>
        </w:rPr>
        <w:t xml:space="preserve">ב"כ הנאשם הגיש בפתח טיעוניו לעונש תמונות המתעדות את מקום הימצאות הסמים- סומן </w:t>
      </w:r>
      <w:r w:rsidRPr="005A7D71">
        <w:rPr>
          <w:b/>
          <w:bCs/>
          <w:rtl/>
        </w:rPr>
        <w:t>נ/1</w:t>
      </w:r>
      <w:r>
        <w:rPr>
          <w:rtl/>
        </w:rPr>
        <w:t xml:space="preserve"> וזאת בתמיכה לטענתו ולפיה הסמים לא הוסלקו במקומות מסתור אלא היו גלויים וניתן היה לאתרם בקלות, מה שמלמד לטענתו</w:t>
      </w:r>
      <w:r>
        <w:rPr>
          <w:rFonts w:hint="cs"/>
          <w:rtl/>
        </w:rPr>
        <w:t xml:space="preserve"> </w:t>
      </w:r>
      <w:r>
        <w:rPr>
          <w:rtl/>
        </w:rPr>
        <w:t xml:space="preserve"> על העדר תחכום. </w:t>
      </w:r>
      <w:r>
        <w:rPr>
          <w:rFonts w:hint="cs"/>
          <w:rtl/>
        </w:rPr>
        <w:t>עוד ציין הסנגור ש</w:t>
      </w:r>
      <w:r>
        <w:rPr>
          <w:rtl/>
        </w:rPr>
        <w:t xml:space="preserve">הנאשם הודה בהזדמנות הראשונה, עוד בחקירתו במשטרה ונטל אחריות מלאה על מעשיו ועל הסמים שנתפסו. הפנה הסנגור לאמור בתסקיר שירות המבחן לעניין לקיחת האחריות על ידי הנאשם. הסנגור שלל טענת המאשימה ולפיה הסמים נועדו להפצה בקרב הציבור </w:t>
      </w:r>
      <w:r>
        <w:rPr>
          <w:rFonts w:hint="cs"/>
          <w:rtl/>
        </w:rPr>
        <w:t>ו</w:t>
      </w:r>
      <w:r>
        <w:rPr>
          <w:rtl/>
        </w:rPr>
        <w:t>לדבריו, טענת המאשימה בעניין זה לא נתמכה בראיות מתאימות ולא קיימת כל אינדיקציה לכך בחומר הראיות.</w:t>
      </w:r>
    </w:p>
    <w:p w14:paraId="67961967" w14:textId="77777777" w:rsidR="00381FB0" w:rsidRDefault="00381FB0" w:rsidP="00381FB0">
      <w:pPr>
        <w:pStyle w:val="a9"/>
        <w:spacing w:line="360" w:lineRule="auto"/>
        <w:jc w:val="both"/>
      </w:pPr>
    </w:p>
    <w:p w14:paraId="045960E2" w14:textId="77777777" w:rsidR="00381FB0" w:rsidRDefault="00381FB0" w:rsidP="00381FB0">
      <w:pPr>
        <w:pStyle w:val="a9"/>
        <w:spacing w:line="360" w:lineRule="auto"/>
        <w:jc w:val="both"/>
      </w:pPr>
      <w:r>
        <w:rPr>
          <w:rFonts w:hint="cs"/>
          <w:rtl/>
        </w:rPr>
        <w:t xml:space="preserve">הסנגור הדגיש </w:t>
      </w:r>
      <w:r>
        <w:rPr>
          <w:rtl/>
        </w:rPr>
        <w:t xml:space="preserve"> את נסיבות חייו של הנאשם, בהם היותו חשוף לשימוש בסמים על ידי אביו ומות אביו מדום לב, בהיותו בן 15 שנים. הסנגור ביקש לזקוף לזכות הנאשם את העובדה כי השתלב בתוך כתלי בית המעצר בתכנית גמילה ושהה בתכנית פרק זמן לא מבוטל של כ- 5 חודשים, מה שמלמד, לטעמו, על לקיחת אחריות ורצון לשינוי וגמילה. </w:t>
      </w:r>
      <w:r>
        <w:rPr>
          <w:rFonts w:hint="cs"/>
          <w:rtl/>
        </w:rPr>
        <w:t xml:space="preserve">הסנגור </w:t>
      </w:r>
      <w:r>
        <w:rPr>
          <w:rtl/>
        </w:rPr>
        <w:t>הגיש  מכתב מהיחידה לטיפול בהתמכרויות בעיריית קריית ים ולפיו הם מוכנים לקבל את הנאשם לטיפול ביחידה עם שחרורו. באשר למתחם העונש ההולם טען ב"כ הנאשם כי בשים לב למדיניות הענישה אליה הפנה הרי שמתחם הענישה נע בין עונש של מספר חודשי מאסר שיכול וירוצו בעבודות שירות ברף התחתון לבין עונש  של 12 חודשי מאסר בפועל ברף העליון. באשר לעונשו של הנאשם בתוך מתחם הענישה טען ב"כ הנאשם כי יש לשקול את שיתוף הפעולה של הנאשם עם רשויות החוק והודאתו גם בפני בית המשפט בהזדמנות הראשונה.</w:t>
      </w:r>
    </w:p>
    <w:p w14:paraId="73E6771F" w14:textId="77777777" w:rsidR="00381FB0" w:rsidRDefault="00381FB0" w:rsidP="00381FB0">
      <w:pPr>
        <w:pStyle w:val="a9"/>
        <w:spacing w:line="360" w:lineRule="auto"/>
        <w:jc w:val="both"/>
        <w:rPr>
          <w:rtl/>
        </w:rPr>
      </w:pPr>
      <w:r>
        <w:rPr>
          <w:rtl/>
        </w:rPr>
        <w:t xml:space="preserve">הוסיף וטען ב"כ הנאשם כי חלף זמן ניכר מאז ביצוע העבירה וציין עוד כי אין לנאשם הרשעות קודמות.  לסיכום הדברים עתר ב"כ הנאשם להסתפק לעניין העונש בתקופת מעצרו. </w:t>
      </w:r>
    </w:p>
    <w:p w14:paraId="6B74C2DD" w14:textId="77777777" w:rsidR="00381FB0" w:rsidRDefault="00381FB0" w:rsidP="00381FB0">
      <w:pPr>
        <w:pStyle w:val="a9"/>
        <w:spacing w:line="360" w:lineRule="auto"/>
        <w:jc w:val="both"/>
        <w:rPr>
          <w:rtl/>
        </w:rPr>
      </w:pPr>
      <w:r>
        <w:rPr>
          <w:rFonts w:hint="cs"/>
          <w:rtl/>
        </w:rPr>
        <w:t xml:space="preserve">הסנגור הגיש אסופת פסיקה בתמיכה למתחם לו עתר- </w:t>
      </w:r>
      <w:r w:rsidRPr="00DE1797">
        <w:rPr>
          <w:rFonts w:hint="cs"/>
          <w:b/>
          <w:bCs/>
          <w:rtl/>
        </w:rPr>
        <w:t>סומן נ/3</w:t>
      </w:r>
      <w:r>
        <w:rPr>
          <w:rFonts w:hint="cs"/>
          <w:rtl/>
        </w:rPr>
        <w:t>.</w:t>
      </w:r>
    </w:p>
    <w:p w14:paraId="796499FC" w14:textId="77777777" w:rsidR="00381FB0" w:rsidRDefault="00381FB0" w:rsidP="00381FB0">
      <w:pPr>
        <w:pStyle w:val="a9"/>
        <w:spacing w:line="360" w:lineRule="auto"/>
        <w:jc w:val="both"/>
        <w:rPr>
          <w:rtl/>
        </w:rPr>
      </w:pPr>
    </w:p>
    <w:p w14:paraId="23744293" w14:textId="77777777" w:rsidR="00381FB0" w:rsidRDefault="00381FB0" w:rsidP="00381FB0">
      <w:pPr>
        <w:pStyle w:val="a9"/>
        <w:numPr>
          <w:ilvl w:val="0"/>
          <w:numId w:val="1"/>
        </w:numPr>
        <w:spacing w:line="360" w:lineRule="auto"/>
        <w:jc w:val="both"/>
      </w:pPr>
      <w:r w:rsidRPr="00A413EA">
        <w:rPr>
          <w:rtl/>
        </w:rPr>
        <w:t xml:space="preserve">הנאשם ניצל את זכות המילה האחרונה </w:t>
      </w:r>
      <w:r>
        <w:rPr>
          <w:rtl/>
        </w:rPr>
        <w:t xml:space="preserve">וציין, כי הוא לוקח אחריות ומנסה לטפל ולשקם עצמו </w:t>
      </w:r>
      <w:r w:rsidRPr="00A413EA">
        <w:rPr>
          <w:rtl/>
        </w:rPr>
        <w:t xml:space="preserve">הנאשם הוסיף כי הוא מבין את חומרת מעשיו </w:t>
      </w:r>
      <w:r>
        <w:rPr>
          <w:rFonts w:hint="cs"/>
          <w:rtl/>
        </w:rPr>
        <w:t>ואמר שלא ה</w:t>
      </w:r>
      <w:r>
        <w:rPr>
          <w:rtl/>
        </w:rPr>
        <w:t>יתה לו כוונה לפגוע באחר והתחייב שלא לחזור עליהם.</w:t>
      </w:r>
    </w:p>
    <w:p w14:paraId="3E2AB5C7" w14:textId="77777777" w:rsidR="00381FB0" w:rsidRDefault="00381FB0" w:rsidP="00381FB0">
      <w:pPr>
        <w:pStyle w:val="a9"/>
        <w:spacing w:line="360" w:lineRule="auto"/>
        <w:jc w:val="both"/>
      </w:pPr>
    </w:p>
    <w:p w14:paraId="078C6BDD" w14:textId="77777777" w:rsidR="00381FB0" w:rsidRPr="00A637AE" w:rsidRDefault="00381FB0" w:rsidP="00381FB0">
      <w:pPr>
        <w:pStyle w:val="1"/>
        <w:spacing w:before="0" w:line="360" w:lineRule="auto"/>
        <w:ind w:firstLine="720"/>
        <w:rPr>
          <w:rFonts w:ascii="David" w:hAnsi="David" w:cs="David"/>
          <w:sz w:val="24"/>
          <w:szCs w:val="24"/>
          <w:u w:val="single"/>
          <w:rtl/>
        </w:rPr>
      </w:pPr>
      <w:r w:rsidRPr="00A637AE">
        <w:rPr>
          <w:rFonts w:ascii="David" w:hAnsi="David" w:cs="David"/>
          <w:b w:val="0"/>
          <w:sz w:val="24"/>
          <w:szCs w:val="24"/>
          <w:u w:val="single"/>
          <w:rtl/>
        </w:rPr>
        <w:t>קביעת מתחם העונש ההולם</w:t>
      </w:r>
      <w:r w:rsidRPr="00A637AE">
        <w:rPr>
          <w:rFonts w:ascii="David" w:hAnsi="David" w:cs="David"/>
          <w:sz w:val="24"/>
          <w:szCs w:val="24"/>
          <w:u w:val="single"/>
          <w:rtl/>
        </w:rPr>
        <w:t xml:space="preserve"> </w:t>
      </w:r>
    </w:p>
    <w:p w14:paraId="3112A539" w14:textId="77777777" w:rsidR="00381FB0" w:rsidRDefault="00381FB0" w:rsidP="00381FB0">
      <w:pPr>
        <w:pStyle w:val="a9"/>
        <w:numPr>
          <w:ilvl w:val="0"/>
          <w:numId w:val="1"/>
        </w:numPr>
        <w:spacing w:line="360" w:lineRule="auto"/>
        <w:jc w:val="both"/>
      </w:pPr>
      <w:r w:rsidRPr="00FC7BE6">
        <w:rPr>
          <w:rtl/>
        </w:rPr>
        <w:t xml:space="preserve">כאמור </w:t>
      </w:r>
      <w:hyperlink r:id="rId16" w:history="1">
        <w:r w:rsidR="009C1006" w:rsidRPr="009C1006">
          <w:rPr>
            <w:rStyle w:val="Hyperlink"/>
            <w:rtl/>
          </w:rPr>
          <w:t>בסעיף 40ג(א)</w:t>
        </w:r>
      </w:hyperlink>
      <w:r w:rsidRPr="00FC7BE6">
        <w:rPr>
          <w:rtl/>
        </w:rPr>
        <w:t xml:space="preserve"> ל</w:t>
      </w:r>
      <w:hyperlink r:id="rId17" w:history="1">
        <w:r w:rsidR="007075E9" w:rsidRPr="007075E9">
          <w:rPr>
            <w:color w:val="0000FF"/>
            <w:u w:val="single"/>
            <w:rtl/>
          </w:rPr>
          <w:t>חוק העונשין</w:t>
        </w:r>
      </w:hyperlink>
      <w:r w:rsidRPr="00FC7BE6">
        <w:rPr>
          <w:rtl/>
        </w:rPr>
        <w:t>, קביעת מתחם העונש ההולם תיעשה בהתאם לעקרון</w:t>
      </w:r>
      <w:r>
        <w:rPr>
          <w:rtl/>
        </w:rPr>
        <w:t xml:space="preserve">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33594E6E" w14:textId="77777777" w:rsidR="00381FB0" w:rsidRDefault="00381FB0" w:rsidP="00381FB0">
      <w:pPr>
        <w:pStyle w:val="a9"/>
        <w:spacing w:line="360" w:lineRule="auto"/>
        <w:jc w:val="both"/>
      </w:pPr>
    </w:p>
    <w:p w14:paraId="042299D2" w14:textId="77777777" w:rsidR="00381FB0" w:rsidRDefault="00381FB0" w:rsidP="00381FB0">
      <w:pPr>
        <w:pStyle w:val="a9"/>
        <w:numPr>
          <w:ilvl w:val="0"/>
          <w:numId w:val="1"/>
        </w:numPr>
        <w:spacing w:line="360" w:lineRule="auto"/>
        <w:jc w:val="both"/>
        <w:rPr>
          <w:rtl/>
        </w:rPr>
      </w:pPr>
      <w:r>
        <w:rPr>
          <w:rtl/>
        </w:rPr>
        <w:t>בכל הנוגע</w:t>
      </w:r>
      <w:r>
        <w:rPr>
          <w:b/>
          <w:bCs/>
          <w:rtl/>
        </w:rPr>
        <w:t xml:space="preserve"> לערכים החברתיים המוגנים</w:t>
      </w:r>
      <w:r>
        <w:rPr>
          <w:rtl/>
        </w:rPr>
        <w:t xml:space="preserve"> אשר נפגעו כתוצאה ממעשיו של הנאשם, נדמה כי אין צורך להכביר מילים על אודות החומרה הרבה הכרוכה בעבירות הסמים. </w:t>
      </w:r>
      <w:hyperlink r:id="rId18" w:history="1">
        <w:r w:rsidR="007075E9" w:rsidRPr="007075E9">
          <w:rPr>
            <w:color w:val="0000FF"/>
            <w:u w:val="single"/>
            <w:rtl/>
          </w:rPr>
          <w:t>פקודת הסמים המסוכנים</w:t>
        </w:r>
      </w:hyperlink>
      <w:r>
        <w:rPr>
          <w:rtl/>
        </w:rPr>
        <w:t xml:space="preserve"> נחקקה על מנת להגן על ערכים חברתיים מרכזיים ובראשם החובה להגן על שלומו של הציבור, בריאותו, ביטחונו האישי ועל רכושו.</w:t>
      </w:r>
    </w:p>
    <w:p w14:paraId="3E73C82F" w14:textId="77777777" w:rsidR="00381FB0" w:rsidRDefault="00381FB0" w:rsidP="00381FB0">
      <w:pPr>
        <w:pStyle w:val="a9"/>
      </w:pPr>
    </w:p>
    <w:p w14:paraId="7AD38412" w14:textId="77777777" w:rsidR="00381FB0" w:rsidRDefault="00381FB0" w:rsidP="00381FB0">
      <w:pPr>
        <w:pStyle w:val="a9"/>
        <w:numPr>
          <w:ilvl w:val="0"/>
          <w:numId w:val="1"/>
        </w:numPr>
        <w:spacing w:line="360" w:lineRule="auto"/>
        <w:jc w:val="both"/>
        <w:rPr>
          <w:rtl/>
        </w:rPr>
      </w:pPr>
      <w:r>
        <w:rPr>
          <w:rtl/>
        </w:rPr>
        <w:t xml:space="preserve">בבחינת </w:t>
      </w:r>
      <w:r>
        <w:rPr>
          <w:b/>
          <w:bCs/>
          <w:rtl/>
        </w:rPr>
        <w:t xml:space="preserve">הנסיבות הקשורות בביצוע </w:t>
      </w:r>
      <w:r>
        <w:rPr>
          <w:rtl/>
        </w:rPr>
        <w:t xml:space="preserve"> </w:t>
      </w:r>
      <w:r>
        <w:rPr>
          <w:b/>
          <w:bCs/>
          <w:rtl/>
        </w:rPr>
        <w:t>העבירה,</w:t>
      </w:r>
      <w:r>
        <w:rPr>
          <w:rtl/>
        </w:rPr>
        <w:t xml:space="preserve"> נתתי דעתי בראש ובראשונה לסוג הסם אותו החזיק הנאשם.  המדובר בתערובת סמים מסוכנים של סם מסוג </w:t>
      </w:r>
      <w:r>
        <w:t>MDMA</w:t>
      </w:r>
      <w:r>
        <w:rPr>
          <w:rtl/>
        </w:rPr>
        <w:t xml:space="preserve"> וס</w:t>
      </w:r>
      <w:r>
        <w:rPr>
          <w:rFonts w:hint="cs"/>
          <w:rtl/>
        </w:rPr>
        <w:t>ם</w:t>
      </w:r>
      <w:r>
        <w:rPr>
          <w:rtl/>
        </w:rPr>
        <w:t xml:space="preserve"> מסוג קטמין, הנמנים עם "הסמים הקשים". </w:t>
      </w:r>
      <w:r>
        <w:rPr>
          <w:rFonts w:hint="cs"/>
          <w:rtl/>
        </w:rPr>
        <w:t xml:space="preserve">הנאשם </w:t>
      </w:r>
      <w:r>
        <w:rPr>
          <w:rtl/>
        </w:rPr>
        <w:t xml:space="preserve">החזיק בבית שבקרית ים, את תערובת הסמים, במשקל כולל של 61.4551 גרם נטו וזאת שלא לצריכתו העצמית. </w:t>
      </w:r>
    </w:p>
    <w:p w14:paraId="1F7E8DF1" w14:textId="77777777" w:rsidR="00381FB0" w:rsidRDefault="00381FB0" w:rsidP="00381FB0">
      <w:pPr>
        <w:pStyle w:val="a9"/>
      </w:pPr>
    </w:p>
    <w:p w14:paraId="55182380" w14:textId="77777777" w:rsidR="00381FB0" w:rsidRPr="00FC7BE6" w:rsidRDefault="00381FB0" w:rsidP="00381FB0">
      <w:pPr>
        <w:pStyle w:val="a9"/>
        <w:numPr>
          <w:ilvl w:val="0"/>
          <w:numId w:val="1"/>
        </w:numPr>
        <w:spacing w:line="360" w:lineRule="auto"/>
        <w:jc w:val="both"/>
      </w:pPr>
      <w:r>
        <w:rPr>
          <w:b/>
          <w:bCs/>
          <w:rtl/>
        </w:rPr>
        <w:t xml:space="preserve">באשר למדיניות הענישה הנהוגה בגין החזקה של סמים שלא לצריכה עצמית, </w:t>
      </w:r>
      <w:r>
        <w:rPr>
          <w:rFonts w:ascii="David" w:hAnsi="David"/>
          <w:rtl/>
        </w:rPr>
        <w:t>בית המשפט העליון עמד פעמים רבות על הצורך במאבק עיקש בעבירות הסמים, באמצעות ענישה מרתיעה ומשמעותית</w:t>
      </w:r>
      <w:r>
        <w:rPr>
          <w:b/>
          <w:bCs/>
          <w:rtl/>
        </w:rPr>
        <w:t xml:space="preserve"> </w:t>
      </w:r>
      <w:r w:rsidRPr="0045427A">
        <w:rPr>
          <w:rtl/>
        </w:rPr>
        <w:t>ויפים לעניינו הדברים שנאמרו</w:t>
      </w:r>
      <w:r>
        <w:rPr>
          <w:rtl/>
        </w:rPr>
        <w:t xml:space="preserve">, </w:t>
      </w:r>
      <w:r w:rsidRPr="00FC7BE6">
        <w:rPr>
          <w:rFonts w:ascii="David" w:hAnsi="David"/>
          <w:rtl/>
        </w:rPr>
        <w:t>ב</w:t>
      </w:r>
      <w:hyperlink r:id="rId19" w:history="1">
        <w:r w:rsidR="007075E9" w:rsidRPr="007075E9">
          <w:rPr>
            <w:color w:val="0000FF"/>
            <w:u w:val="single"/>
            <w:rtl/>
          </w:rPr>
          <w:t>ע"פ 211/09</w:t>
        </w:r>
      </w:hyperlink>
      <w:r w:rsidRPr="00FC7BE6">
        <w:rPr>
          <w:rFonts w:ascii="David" w:hAnsi="David"/>
          <w:rtl/>
        </w:rPr>
        <w:t xml:space="preserve"> </w:t>
      </w:r>
      <w:r w:rsidRPr="00FC7BE6">
        <w:rPr>
          <w:rFonts w:ascii="David" w:hAnsi="David"/>
          <w:b/>
          <w:bCs/>
          <w:rtl/>
        </w:rPr>
        <w:t>אזולאי נ' מדינת ישראל</w:t>
      </w:r>
      <w:r w:rsidRPr="00FC7BE6">
        <w:rPr>
          <w:rFonts w:ascii="David" w:hAnsi="David"/>
          <w:rtl/>
        </w:rPr>
        <w:t xml:space="preserve"> (22.6.2010)</w:t>
      </w:r>
      <w:r>
        <w:rPr>
          <w:rFonts w:ascii="David" w:hAnsi="David"/>
          <w:rtl/>
        </w:rPr>
        <w:t>:</w:t>
      </w:r>
    </w:p>
    <w:p w14:paraId="1A16D43F" w14:textId="77777777" w:rsidR="00381FB0" w:rsidRDefault="00381FB0" w:rsidP="00381FB0">
      <w:pPr>
        <w:spacing w:line="360" w:lineRule="auto"/>
        <w:ind w:left="1440"/>
        <w:jc w:val="both"/>
        <w:rPr>
          <w:rFonts w:ascii="David" w:hAnsi="David"/>
          <w:b/>
          <w:bCs/>
          <w:color w:val="000000"/>
          <w:rtl/>
        </w:rPr>
      </w:pPr>
    </w:p>
    <w:p w14:paraId="78D93A31" w14:textId="77777777" w:rsidR="00381FB0" w:rsidRPr="005A7D71" w:rsidRDefault="00381FB0" w:rsidP="00381FB0">
      <w:pPr>
        <w:spacing w:line="360" w:lineRule="auto"/>
        <w:ind w:left="1440"/>
        <w:jc w:val="both"/>
        <w:rPr>
          <w:rFonts w:ascii="Miriam" w:hAnsi="Miriam" w:cs="Miriam"/>
          <w:rtl/>
        </w:rPr>
      </w:pPr>
      <w:r w:rsidRPr="005A7D71">
        <w:rPr>
          <w:rFonts w:ascii="Miriam" w:hAnsi="Miriam" w:cs="Miriam"/>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09A6AAD" w14:textId="77777777" w:rsidR="00381FB0" w:rsidRDefault="00381FB0" w:rsidP="00381FB0">
      <w:pPr>
        <w:spacing w:line="360" w:lineRule="auto"/>
        <w:ind w:left="720" w:hanging="720"/>
        <w:jc w:val="both"/>
        <w:rPr>
          <w:rFonts w:ascii="David" w:hAnsi="David"/>
          <w:rtl/>
        </w:rPr>
      </w:pPr>
      <w:r>
        <w:rPr>
          <w:rFonts w:ascii="David" w:hAnsi="David"/>
          <w:b/>
          <w:bCs/>
          <w:color w:val="000000"/>
          <w:rtl/>
        </w:rPr>
        <w:tab/>
      </w:r>
    </w:p>
    <w:p w14:paraId="7EFB58DE" w14:textId="77777777" w:rsidR="00381FB0" w:rsidRDefault="00381FB0" w:rsidP="00381FB0">
      <w:pPr>
        <w:spacing w:line="360" w:lineRule="auto"/>
        <w:ind w:left="720"/>
        <w:jc w:val="both"/>
        <w:rPr>
          <w:rtl/>
        </w:rPr>
      </w:pPr>
      <w:r w:rsidRPr="0045427A">
        <w:rPr>
          <w:rFonts w:ascii="David" w:hAnsi="David"/>
          <w:rtl/>
        </w:rPr>
        <w:t>כן אפנה ל</w:t>
      </w:r>
      <w:r>
        <w:rPr>
          <w:rFonts w:ascii="David" w:hAnsi="David"/>
          <w:rtl/>
        </w:rPr>
        <w:t>ד</w:t>
      </w:r>
      <w:r w:rsidRPr="0045427A">
        <w:rPr>
          <w:rFonts w:ascii="David" w:hAnsi="David"/>
          <w:rtl/>
        </w:rPr>
        <w:t>בריו של בית המשפט העליון ב</w:t>
      </w:r>
      <w:hyperlink r:id="rId20" w:history="1">
        <w:r w:rsidR="007075E9" w:rsidRPr="007075E9">
          <w:rPr>
            <w:rFonts w:ascii="David" w:hAnsi="David"/>
            <w:color w:val="0000FF"/>
            <w:u w:val="single"/>
            <w:rtl/>
          </w:rPr>
          <w:t>ע"פ 8048/19</w:t>
        </w:r>
      </w:hyperlink>
      <w:r w:rsidRPr="0045427A">
        <w:rPr>
          <w:rFonts w:ascii="David" w:hAnsi="David"/>
          <w:rtl/>
        </w:rPr>
        <w:t xml:space="preserve"> </w:t>
      </w:r>
      <w:r w:rsidRPr="0045427A">
        <w:rPr>
          <w:rFonts w:ascii="David" w:hAnsi="David"/>
          <w:b/>
          <w:bCs/>
          <w:rtl/>
        </w:rPr>
        <w:t>פיצ'חדזה נ' מדינת ישראל</w:t>
      </w:r>
      <w:r w:rsidRPr="0045427A">
        <w:rPr>
          <w:rFonts w:ascii="David" w:hAnsi="David"/>
          <w:rtl/>
        </w:rPr>
        <w:t xml:space="preserve">, </w:t>
      </w:r>
      <w:r>
        <w:rPr>
          <w:rFonts w:ascii="David" w:hAnsi="David"/>
          <w:rtl/>
        </w:rPr>
        <w:t>(החלטה מיום 04.06.2020) אמנם שם הדברים נאמרו הדברים בכל הנוגע לסם מסוג קוקאין אך הם יפים ונ</w:t>
      </w:r>
      <w:r>
        <w:rPr>
          <w:rFonts w:ascii="David" w:hAnsi="David" w:hint="cs"/>
          <w:rtl/>
        </w:rPr>
        <w:t>כו</w:t>
      </w:r>
      <w:r>
        <w:rPr>
          <w:rFonts w:ascii="David" w:hAnsi="David"/>
          <w:rtl/>
        </w:rPr>
        <w:t>נים ביתר שאת גם לעניינו:</w:t>
      </w:r>
    </w:p>
    <w:p w14:paraId="0B8D3DAE" w14:textId="77777777" w:rsidR="00381FB0" w:rsidRDefault="00381FB0" w:rsidP="00381FB0">
      <w:pPr>
        <w:spacing w:line="360" w:lineRule="auto"/>
        <w:ind w:left="720"/>
        <w:jc w:val="both"/>
      </w:pPr>
    </w:p>
    <w:p w14:paraId="4483E798" w14:textId="77777777" w:rsidR="00381FB0" w:rsidRPr="005A7D71" w:rsidRDefault="00381FB0" w:rsidP="00381FB0">
      <w:pPr>
        <w:spacing w:line="360" w:lineRule="auto"/>
        <w:ind w:left="1440"/>
        <w:jc w:val="both"/>
        <w:rPr>
          <w:rFonts w:ascii="Miriam" w:hAnsi="Miriam" w:cs="Miriam"/>
          <w:rtl/>
        </w:rPr>
      </w:pPr>
      <w:r w:rsidRPr="005A7D71">
        <w:rPr>
          <w:rFonts w:ascii="Miriam" w:hAnsi="Miriam" w:cs="Miriam"/>
          <w:rtl/>
        </w:rPr>
        <w:t>"דברים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w:t>
      </w:r>
    </w:p>
    <w:p w14:paraId="13589294" w14:textId="77777777" w:rsidR="00381FB0" w:rsidRPr="005A7D71" w:rsidRDefault="007075E9" w:rsidP="00381FB0">
      <w:pPr>
        <w:spacing w:line="360" w:lineRule="auto"/>
        <w:ind w:left="567"/>
        <w:jc w:val="both"/>
        <w:rPr>
          <w:rFonts w:ascii="Miriam" w:hAnsi="Miriam" w:cs="Miriam"/>
          <w:rtl/>
        </w:rPr>
      </w:pPr>
      <w:r>
        <w:rPr>
          <w:rFonts w:ascii="Miriam" w:hAnsi="Miriam" w:cs="Miriam"/>
          <w:color w:val="000000"/>
          <w:rtl/>
        </w:rPr>
        <w:t xml:space="preserve"> </w:t>
      </w:r>
    </w:p>
    <w:p w14:paraId="47FC01DF" w14:textId="77777777" w:rsidR="00381FB0" w:rsidRPr="00A413EA" w:rsidRDefault="007075E9" w:rsidP="00381FB0">
      <w:pPr>
        <w:spacing w:line="360" w:lineRule="auto"/>
        <w:ind w:left="567"/>
        <w:jc w:val="both"/>
        <w:rPr>
          <w:rFonts w:cs="Times New Roman"/>
          <w:rtl/>
        </w:rPr>
      </w:pPr>
      <w:r>
        <w:rPr>
          <w:rFonts w:ascii="David" w:hAnsi="David"/>
          <w:rtl/>
        </w:rPr>
        <w:t xml:space="preserve"> </w:t>
      </w:r>
    </w:p>
    <w:p w14:paraId="29E09424" w14:textId="77777777" w:rsidR="00381FB0" w:rsidRDefault="00381FB0" w:rsidP="00381FB0">
      <w:pPr>
        <w:pStyle w:val="a9"/>
        <w:numPr>
          <w:ilvl w:val="0"/>
          <w:numId w:val="1"/>
        </w:numPr>
        <w:spacing w:line="360" w:lineRule="auto"/>
        <w:jc w:val="both"/>
        <w:rPr>
          <w:rFonts w:cs="Times New Roman"/>
        </w:rPr>
      </w:pPr>
      <w:r w:rsidRPr="00FC7BE6">
        <w:rPr>
          <w:rFonts w:ascii="David" w:hAnsi="David"/>
          <w:rtl/>
        </w:rPr>
        <w:t>באשר למדיניות הענישה הנוהגת</w:t>
      </w:r>
      <w:r>
        <w:rPr>
          <w:rFonts w:ascii="David" w:hAnsi="David"/>
          <w:rtl/>
        </w:rPr>
        <w:t>, ראיתי להפנות לפסקי הדין הבאים אשר בחלקם מדובר בנסיבות חמורות הרבה יותר מענייננו:</w:t>
      </w:r>
    </w:p>
    <w:p w14:paraId="279FF189" w14:textId="77777777" w:rsidR="00381FB0" w:rsidRDefault="00381FB0" w:rsidP="00381FB0">
      <w:pPr>
        <w:pStyle w:val="a9"/>
        <w:spacing w:line="360" w:lineRule="auto"/>
        <w:jc w:val="both"/>
        <w:rPr>
          <w:rFonts w:cs="Times New Roman"/>
          <w:rtl/>
        </w:rPr>
      </w:pPr>
    </w:p>
    <w:p w14:paraId="3E01E10C" w14:textId="77777777" w:rsidR="00381FB0" w:rsidRDefault="007075E9" w:rsidP="00381FB0">
      <w:pPr>
        <w:spacing w:line="360" w:lineRule="auto"/>
        <w:ind w:left="720"/>
        <w:jc w:val="both"/>
        <w:rPr>
          <w:rtl/>
        </w:rPr>
      </w:pPr>
      <w:hyperlink r:id="rId21" w:history="1">
        <w:r w:rsidRPr="007075E9">
          <w:rPr>
            <w:rFonts w:ascii="David" w:hAnsi="David"/>
            <w:color w:val="0000FF"/>
            <w:u w:val="single"/>
            <w:rtl/>
          </w:rPr>
          <w:t>רע"פ 1807/22</w:t>
        </w:r>
      </w:hyperlink>
      <w:r w:rsidR="00381FB0" w:rsidRPr="0008573E">
        <w:rPr>
          <w:rFonts w:ascii="David" w:hAnsi="David"/>
          <w:rtl/>
        </w:rPr>
        <w:t xml:space="preserve"> </w:t>
      </w:r>
      <w:r w:rsidR="00381FB0" w:rsidRPr="0008573E">
        <w:rPr>
          <w:rFonts w:ascii="David" w:hAnsi="David"/>
          <w:b/>
          <w:bCs/>
          <w:rtl/>
        </w:rPr>
        <w:t>פלוני נ' מדינת ישראל</w:t>
      </w:r>
      <w:r w:rsidR="00381FB0" w:rsidRPr="0008573E">
        <w:rPr>
          <w:rFonts w:ascii="David" w:hAnsi="David"/>
          <w:rtl/>
        </w:rPr>
        <w:t xml:space="preserve"> (16.3.2022) - פלוני הורשע בבית משפט השלום, על פי </w:t>
      </w:r>
      <w:r w:rsidR="00381FB0">
        <w:rPr>
          <w:rFonts w:ascii="David" w:hAnsi="David"/>
          <w:rtl/>
        </w:rPr>
        <w:t xml:space="preserve">הודאתו במסגרת הסדר טיעון, בעבירות של החזקת סם מסוכן שלא לצריכה עצמית, שיבוש מהלכי משפט, נהיגה ללא רישיון תקף, וכן עבירה של חובת פוליסה. פלוני החזיק ברכבו סם מסוכן מסוג קוקאין במשקל 49.3 גרם נטו. בנוגע לעבירת הסמים ולעבירת שיבוש מהלכי </w:t>
      </w:r>
      <w:r>
        <w:rPr>
          <w:rFonts w:ascii="David" w:hAnsi="David"/>
          <w:rtl/>
        </w:rPr>
        <w:t xml:space="preserve"> </w:t>
      </w:r>
      <w:r w:rsidR="00381FB0">
        <w:rPr>
          <w:rFonts w:ascii="David" w:hAnsi="David"/>
          <w:rtl/>
        </w:rPr>
        <w:t>משפט, קבע בית משפט השלום מתחם הנע בין 15 ל- 30 חודשי מאסר בפועל, ובכל הנוגע לעבירות התעבורה נקבע מתחם הנע בין מאסר מותנה ל- 12 חודשי מאסר בפועל. לבסוף, סטה בית משפט השלום מן המתחם שקבע, והשית על פלוני 9 חודשי מאסר שירוצו בעבודות שירות, לצד עונשים נלווים. בית המשפט המחוזי קיבל את ערעור המדינה על קולת העונש, כך שעל פלוני הושתו 18 חודשי מאסר בפועל (חלף המאסר לריצוי בעבודות שירות). בקשת רשות הערעור נדחתה.</w:t>
      </w:r>
    </w:p>
    <w:p w14:paraId="69235FC0" w14:textId="77777777" w:rsidR="00381FB0" w:rsidRDefault="00381FB0" w:rsidP="00381FB0">
      <w:pPr>
        <w:spacing w:line="360" w:lineRule="auto"/>
        <w:ind w:left="720"/>
        <w:jc w:val="both"/>
        <w:rPr>
          <w:rtl/>
        </w:rPr>
      </w:pPr>
    </w:p>
    <w:p w14:paraId="0D1D3327" w14:textId="77777777" w:rsidR="00381FB0" w:rsidRDefault="007075E9" w:rsidP="00381FB0">
      <w:pPr>
        <w:spacing w:line="360" w:lineRule="auto"/>
        <w:ind w:left="720" w:hanging="720"/>
        <w:jc w:val="both"/>
      </w:pPr>
      <w:r>
        <w:rPr>
          <w:rFonts w:ascii="David" w:hAnsi="David"/>
          <w:rtl/>
        </w:rPr>
        <w:t xml:space="preserve"> </w:t>
      </w:r>
      <w:r>
        <w:rPr>
          <w:rFonts w:ascii="David" w:hAnsi="David"/>
        </w:rPr>
        <w:t xml:space="preserve">   </w:t>
      </w:r>
      <w:r>
        <w:rPr>
          <w:rFonts w:ascii="David" w:hAnsi="David"/>
          <w:rtl/>
        </w:rPr>
        <w:t xml:space="preserve"> </w:t>
      </w:r>
      <w:r w:rsidR="00381FB0" w:rsidRPr="00B24D66">
        <w:rPr>
          <w:rFonts w:cs="Times New Roman"/>
          <w:rtl/>
        </w:rPr>
        <w:tab/>
      </w:r>
      <w:r>
        <w:rPr>
          <w:rFonts w:ascii="David" w:hAnsi="David"/>
          <w:rtl/>
        </w:rPr>
        <w:t xml:space="preserve"> </w:t>
      </w:r>
      <w:hyperlink r:id="rId22" w:history="1">
        <w:r w:rsidRPr="007075E9">
          <w:rPr>
            <w:rFonts w:ascii="David" w:hAnsi="David"/>
            <w:color w:val="0000FF"/>
            <w:u w:val="single"/>
            <w:rtl/>
          </w:rPr>
          <w:t>ע"פ 9910/17</w:t>
        </w:r>
      </w:hyperlink>
      <w:r w:rsidR="00381FB0" w:rsidRPr="00B24D66">
        <w:rPr>
          <w:rFonts w:ascii="David" w:hAnsi="David"/>
          <w:rtl/>
        </w:rPr>
        <w:t xml:space="preserve"> </w:t>
      </w:r>
      <w:r w:rsidR="00381FB0" w:rsidRPr="00B24D66">
        <w:rPr>
          <w:rFonts w:ascii="David" w:hAnsi="David"/>
          <w:b/>
          <w:bCs/>
          <w:rtl/>
        </w:rPr>
        <w:t>גריפולינה נ' מדינת ישראל</w:t>
      </w:r>
      <w:r w:rsidR="00381FB0" w:rsidRPr="00B24D66">
        <w:rPr>
          <w:rFonts w:ascii="David" w:hAnsi="David"/>
          <w:rtl/>
        </w:rPr>
        <w:t xml:space="preserve">; </w:t>
      </w:r>
      <w:hyperlink r:id="rId23" w:history="1">
        <w:r w:rsidRPr="007075E9">
          <w:rPr>
            <w:rFonts w:ascii="David" w:hAnsi="David"/>
            <w:color w:val="0000FF"/>
            <w:u w:val="single"/>
            <w:rtl/>
          </w:rPr>
          <w:t>ע"פ 10004/17</w:t>
        </w:r>
      </w:hyperlink>
      <w:r w:rsidR="00381FB0" w:rsidRPr="00B24D66">
        <w:rPr>
          <w:rFonts w:ascii="David" w:hAnsi="David"/>
          <w:rtl/>
        </w:rPr>
        <w:t xml:space="preserve"> </w:t>
      </w:r>
      <w:r w:rsidR="00381FB0" w:rsidRPr="00B24D66">
        <w:rPr>
          <w:rFonts w:ascii="David" w:hAnsi="David"/>
          <w:b/>
          <w:bCs/>
          <w:rtl/>
        </w:rPr>
        <w:t>חטיב נ' מדינת ישראל</w:t>
      </w:r>
      <w:r w:rsidR="00381FB0" w:rsidRPr="00B24D66">
        <w:rPr>
          <w:rFonts w:ascii="David" w:hAnsi="David"/>
          <w:rtl/>
        </w:rPr>
        <w:t xml:space="preserve"> (3.5.2018) </w:t>
      </w:r>
      <w:r w:rsidR="00381FB0">
        <w:rPr>
          <w:rFonts w:ascii="David" w:hAnsi="David"/>
          <w:rtl/>
        </w:rPr>
        <w:t>- המערערים הורשעו על יסוד הודאתם בעבירות של החזקת סם מסוכן שלא לצריכה עצמית. על פי המתואר, שוטרים שהגיעו לדירת המערערים וביקשו לבצע בה חיפוש, ביקשו מהשכנה להיכנס לדירה ולבקש מהמערערת  להתלבש. השכנה נכנסה אל הדירה והמערערת הוציאה מארון הבגדים שקית ניילון ובתוכה סם מסוג הרואין במשקל של 40.15 גרם וסם מסוג חשיש במשקל 54.87 גרם, והכניסה אותה למכנסי השכנה. בחיפוש בדירה נתפסה בחזקת המערער (חטיב) חבילת סמים שהכילה 21.751 גרם קוקאין, וכן חשיש במשקל כולל של 3.26 גרם. בכל הנוגע למערערת קבע בית המשפט המחוזי מתחם הנע בין 24 ל- 48 חודשי מאסר, ובכל הנוגע למערער נקבע מתחם הנע בין 15 ל- 36 חודשי מאסר. על כל אחד מהמערערים נגזר עונש של 24 חודשי מאסר בפועל, לצד עונשים נלווים. הערעור נדחה.</w:t>
      </w:r>
    </w:p>
    <w:p w14:paraId="34400FF3" w14:textId="77777777" w:rsidR="00381FB0" w:rsidRDefault="007075E9" w:rsidP="00381FB0">
      <w:pPr>
        <w:spacing w:line="360" w:lineRule="auto"/>
        <w:ind w:left="720" w:hanging="720"/>
        <w:jc w:val="both"/>
        <w:rPr>
          <w:rtl/>
        </w:rPr>
      </w:pPr>
      <w:r>
        <w:rPr>
          <w:rFonts w:ascii="David" w:hAnsi="David"/>
          <w:rtl/>
        </w:rPr>
        <w:t xml:space="preserve"> </w:t>
      </w:r>
    </w:p>
    <w:p w14:paraId="18B09A46" w14:textId="77777777" w:rsidR="00381FB0" w:rsidRDefault="007075E9" w:rsidP="00381FB0">
      <w:pPr>
        <w:spacing w:line="360" w:lineRule="auto"/>
        <w:ind w:left="720" w:hanging="720"/>
        <w:jc w:val="both"/>
        <w:rPr>
          <w:rtl/>
        </w:rPr>
      </w:pPr>
      <w:r>
        <w:rPr>
          <w:rFonts w:ascii="David" w:hAnsi="David"/>
          <w:rtl/>
        </w:rPr>
        <w:t xml:space="preserve">           </w:t>
      </w:r>
      <w:r w:rsidR="00381FB0" w:rsidRPr="00B24D66">
        <w:rPr>
          <w:rFonts w:ascii="David" w:hAnsi="David"/>
          <w:rtl/>
        </w:rPr>
        <w:t xml:space="preserve"> </w:t>
      </w:r>
      <w:hyperlink r:id="rId24" w:history="1">
        <w:r w:rsidRPr="007075E9">
          <w:rPr>
            <w:rFonts w:ascii="David" w:hAnsi="David"/>
            <w:color w:val="0000FF"/>
            <w:u w:val="single"/>
            <w:rtl/>
          </w:rPr>
          <w:t>רע"פ 894/16</w:t>
        </w:r>
      </w:hyperlink>
      <w:r w:rsidR="00381FB0" w:rsidRPr="00B24D66">
        <w:rPr>
          <w:rFonts w:ascii="David" w:hAnsi="David"/>
          <w:rtl/>
        </w:rPr>
        <w:t xml:space="preserve"> </w:t>
      </w:r>
      <w:r w:rsidR="00381FB0" w:rsidRPr="00B24D66">
        <w:rPr>
          <w:rFonts w:ascii="David" w:hAnsi="David"/>
          <w:b/>
          <w:bCs/>
          <w:rtl/>
        </w:rPr>
        <w:t>פרץ נ' מדינת ישראל</w:t>
      </w:r>
      <w:r w:rsidR="00381FB0" w:rsidRPr="00B24D66">
        <w:rPr>
          <w:rFonts w:ascii="David" w:hAnsi="David"/>
          <w:rtl/>
        </w:rPr>
        <w:t xml:space="preserve"> (10.2.2016) - המבקש הורשע על יסוד הודאתו במסגרת </w:t>
      </w:r>
      <w:r w:rsidR="00381FB0">
        <w:rPr>
          <w:rFonts w:ascii="David" w:hAnsi="David"/>
          <w:rtl/>
        </w:rPr>
        <w:t>הסדר טיעון בביצוע עבירה של החזקת סם מסוכן שלא לצריכה עצמית. המבקש החזיק בדירתו 31.05 גרם נטו של סם מסוכן מסוג קוקאין. בית משפט השלום קבע מתחם הנע בין 15 ל- 36 חודשי מאסר בפועל, והשית על המבקש 15 חודשי מאסר בפועל, לצד עונשים נלווים. ערעורו של המבקש נדחה. כך גם בקשת רשות הערעור.</w:t>
      </w:r>
    </w:p>
    <w:p w14:paraId="4A1B1D5C" w14:textId="77777777" w:rsidR="00381FB0" w:rsidRDefault="007075E9" w:rsidP="00381FB0">
      <w:pPr>
        <w:spacing w:line="360" w:lineRule="auto"/>
        <w:ind w:left="720" w:hanging="720"/>
        <w:jc w:val="both"/>
        <w:rPr>
          <w:rtl/>
        </w:rPr>
      </w:pPr>
      <w:r>
        <w:rPr>
          <w:rFonts w:ascii="David" w:hAnsi="David"/>
          <w:rtl/>
        </w:rPr>
        <w:t xml:space="preserve"> </w:t>
      </w:r>
    </w:p>
    <w:p w14:paraId="0D423987" w14:textId="77777777" w:rsidR="00381FB0" w:rsidRDefault="007075E9" w:rsidP="00381FB0">
      <w:pPr>
        <w:spacing w:line="360" w:lineRule="auto"/>
        <w:ind w:left="720" w:hanging="720"/>
        <w:jc w:val="both"/>
      </w:pPr>
      <w:r>
        <w:rPr>
          <w:rFonts w:ascii="David" w:hAnsi="David"/>
          <w:rtl/>
        </w:rPr>
        <w:t xml:space="preserve">         </w:t>
      </w:r>
      <w:r w:rsidR="00381FB0" w:rsidRPr="00B24D66">
        <w:rPr>
          <w:rFonts w:ascii="David" w:hAnsi="David"/>
          <w:rtl/>
        </w:rPr>
        <w:t xml:space="preserve"> </w:t>
      </w:r>
      <w:r w:rsidR="00381FB0" w:rsidRPr="00B24D66">
        <w:rPr>
          <w:rFonts w:ascii="David" w:hAnsi="David"/>
          <w:rtl/>
        </w:rPr>
        <w:tab/>
      </w:r>
      <w:hyperlink r:id="rId25" w:history="1">
        <w:r w:rsidRPr="007075E9">
          <w:rPr>
            <w:rFonts w:ascii="David" w:hAnsi="David"/>
            <w:color w:val="0000FF"/>
            <w:u w:val="single"/>
            <w:rtl/>
          </w:rPr>
          <w:t>רע"פ 1425/15</w:t>
        </w:r>
      </w:hyperlink>
      <w:r w:rsidR="00381FB0" w:rsidRPr="00B24D66">
        <w:rPr>
          <w:rFonts w:ascii="David" w:hAnsi="David"/>
          <w:rtl/>
        </w:rPr>
        <w:t xml:space="preserve"> </w:t>
      </w:r>
      <w:r w:rsidR="00381FB0" w:rsidRPr="00B24D66">
        <w:rPr>
          <w:rFonts w:ascii="David" w:hAnsi="David"/>
          <w:b/>
          <w:bCs/>
          <w:rtl/>
        </w:rPr>
        <w:t>טבול נ' מדינת ישראל</w:t>
      </w:r>
      <w:r w:rsidR="00381FB0" w:rsidRPr="00B24D66">
        <w:rPr>
          <w:rFonts w:ascii="David" w:hAnsi="David"/>
          <w:rtl/>
        </w:rPr>
        <w:t xml:space="preserve"> (5.3.2015) - המבקש הורשע על פי הודאתו בכתב אישום </w:t>
      </w:r>
      <w:r w:rsidR="00381FB0">
        <w:rPr>
          <w:rFonts w:ascii="David" w:hAnsi="David"/>
          <w:rtl/>
        </w:rPr>
        <w:t>מתוקן, בעבירה של החזקת סם שלא לצריכה עצמית. בעת חיפוש ברכב בו נסע המבקש ואשר נהג בו אחר, נתפס המבקש כשבהחזקתו (בתיקו ובמקומות שונים ברכב) סם מסוכן מסוג קוקאין במשקל כולל של  38.375 גרם נטו. בית משפט השלום קבע מתחם הנע בין מספר חודשי עבודות שירות לעשרות חודשי מאסר בפועל, וגזר על המבקש 6 חודשי מאסר שירוצו בעבודות שירות, וכן עונשים נלווים. בית המשפט המחוזי קיבל את ערעור המשיבה והשית על המבקש 12 חודשי מאסר בפועל (חלף עונש המאסר לריצוי בעבודות שירות). בקשת רשות הערעור נדחתה.</w:t>
      </w:r>
    </w:p>
    <w:p w14:paraId="40A5A11F" w14:textId="77777777" w:rsidR="00381FB0" w:rsidRDefault="007075E9" w:rsidP="00381FB0">
      <w:pPr>
        <w:spacing w:line="360" w:lineRule="auto"/>
        <w:ind w:left="720" w:hanging="720"/>
        <w:jc w:val="both"/>
        <w:rPr>
          <w:rtl/>
        </w:rPr>
      </w:pPr>
      <w:r>
        <w:rPr>
          <w:rFonts w:ascii="David" w:hAnsi="David"/>
          <w:rtl/>
        </w:rPr>
        <w:t xml:space="preserve"> </w:t>
      </w:r>
    </w:p>
    <w:p w14:paraId="2D22FB21" w14:textId="77777777" w:rsidR="00381FB0" w:rsidRDefault="007075E9" w:rsidP="00381FB0">
      <w:pPr>
        <w:spacing w:line="360" w:lineRule="auto"/>
        <w:ind w:left="720"/>
        <w:jc w:val="both"/>
      </w:pPr>
      <w:hyperlink r:id="rId26" w:history="1">
        <w:r w:rsidRPr="007075E9">
          <w:rPr>
            <w:color w:val="0000FF"/>
            <w:u w:val="single"/>
            <w:rtl/>
          </w:rPr>
          <w:t>עפ"ג 7474-09-17</w:t>
        </w:r>
      </w:hyperlink>
      <w:r w:rsidR="00381FB0">
        <w:rPr>
          <w:rtl/>
        </w:rPr>
        <w:t xml:space="preserve"> </w:t>
      </w:r>
      <w:r w:rsidR="00381FB0">
        <w:rPr>
          <w:rFonts w:hint="eastAsia"/>
          <w:b/>
          <w:bCs/>
          <w:rtl/>
        </w:rPr>
        <w:t>מדינת</w:t>
      </w:r>
      <w:r w:rsidR="00381FB0">
        <w:rPr>
          <w:b/>
          <w:bCs/>
          <w:rtl/>
        </w:rPr>
        <w:t xml:space="preserve"> </w:t>
      </w:r>
      <w:r w:rsidR="00381FB0">
        <w:rPr>
          <w:rFonts w:hint="eastAsia"/>
          <w:b/>
          <w:bCs/>
          <w:rtl/>
        </w:rPr>
        <w:t>ישראל</w:t>
      </w:r>
      <w:r w:rsidR="00381FB0">
        <w:rPr>
          <w:b/>
          <w:bCs/>
          <w:rtl/>
        </w:rPr>
        <w:t xml:space="preserve"> </w:t>
      </w:r>
      <w:r w:rsidR="00381FB0">
        <w:rPr>
          <w:rFonts w:hint="eastAsia"/>
          <w:b/>
          <w:bCs/>
          <w:rtl/>
        </w:rPr>
        <w:t>נ</w:t>
      </w:r>
      <w:r w:rsidR="00381FB0">
        <w:rPr>
          <w:b/>
          <w:bCs/>
          <w:rtl/>
        </w:rPr>
        <w:t xml:space="preserve">' </w:t>
      </w:r>
      <w:r w:rsidR="00381FB0">
        <w:rPr>
          <w:rFonts w:hint="eastAsia"/>
          <w:b/>
          <w:bCs/>
          <w:rtl/>
        </w:rPr>
        <w:t>שגב</w:t>
      </w:r>
      <w:r w:rsidR="00381FB0">
        <w:rPr>
          <w:rtl/>
        </w:rPr>
        <w:t xml:space="preserve"> (26.2.17) </w:t>
      </w:r>
      <w:r w:rsidR="00381FB0">
        <w:rPr>
          <w:rFonts w:hint="eastAsia"/>
          <w:rtl/>
        </w:rPr>
        <w:t>בו</w:t>
      </w:r>
      <w:r w:rsidR="00381FB0">
        <w:rPr>
          <w:rtl/>
        </w:rPr>
        <w:t xml:space="preserve"> </w:t>
      </w:r>
      <w:r w:rsidR="00381FB0">
        <w:rPr>
          <w:rFonts w:hint="eastAsia"/>
          <w:rtl/>
        </w:rPr>
        <w:t>הורשע</w:t>
      </w:r>
      <w:r w:rsidR="00381FB0">
        <w:rPr>
          <w:rtl/>
        </w:rPr>
        <w:t xml:space="preserve"> </w:t>
      </w:r>
      <w:r w:rsidR="00381FB0">
        <w:rPr>
          <w:rFonts w:hint="eastAsia"/>
          <w:rtl/>
        </w:rPr>
        <w:t>נאשם</w:t>
      </w:r>
      <w:r w:rsidR="00381FB0">
        <w:rPr>
          <w:rtl/>
        </w:rPr>
        <w:t xml:space="preserve"> </w:t>
      </w:r>
      <w:r w:rsidR="00381FB0">
        <w:rPr>
          <w:rFonts w:hint="eastAsia"/>
          <w:rtl/>
        </w:rPr>
        <w:t>בעבירה</w:t>
      </w:r>
      <w:r w:rsidR="00381FB0">
        <w:rPr>
          <w:rtl/>
        </w:rPr>
        <w:t xml:space="preserve"> </w:t>
      </w:r>
      <w:r w:rsidR="00381FB0">
        <w:rPr>
          <w:rFonts w:hint="eastAsia"/>
          <w:rtl/>
        </w:rPr>
        <w:t>של</w:t>
      </w:r>
      <w:r w:rsidR="00381FB0">
        <w:rPr>
          <w:rtl/>
        </w:rPr>
        <w:t xml:space="preserve"> </w:t>
      </w:r>
      <w:r w:rsidR="00381FB0">
        <w:rPr>
          <w:rFonts w:hint="eastAsia"/>
          <w:rtl/>
        </w:rPr>
        <w:t>החזקת</w:t>
      </w:r>
      <w:r w:rsidR="00381FB0">
        <w:rPr>
          <w:rtl/>
        </w:rPr>
        <w:t xml:space="preserve"> </w:t>
      </w:r>
      <w:r w:rsidR="00381FB0">
        <w:rPr>
          <w:rFonts w:hint="eastAsia"/>
          <w:rtl/>
        </w:rPr>
        <w:t>סם</w:t>
      </w:r>
      <w:r w:rsidR="00381FB0">
        <w:rPr>
          <w:rtl/>
        </w:rPr>
        <w:t xml:space="preserve"> </w:t>
      </w:r>
      <w:r w:rsidR="00381FB0">
        <w:rPr>
          <w:rFonts w:hint="eastAsia"/>
          <w:rtl/>
        </w:rPr>
        <w:t>מסוג</w:t>
      </w:r>
      <w:r w:rsidR="00381FB0">
        <w:rPr>
          <w:rtl/>
        </w:rPr>
        <w:t xml:space="preserve"> </w:t>
      </w:r>
      <w:r w:rsidR="00381FB0">
        <w:rPr>
          <w:rFonts w:hint="eastAsia"/>
          <w:rtl/>
        </w:rPr>
        <w:t>קוקאין</w:t>
      </w:r>
      <w:r w:rsidR="00381FB0">
        <w:rPr>
          <w:rtl/>
        </w:rPr>
        <w:t xml:space="preserve"> </w:t>
      </w:r>
      <w:r w:rsidR="00381FB0">
        <w:rPr>
          <w:rFonts w:hint="eastAsia"/>
          <w:rtl/>
        </w:rPr>
        <w:t>במשקל</w:t>
      </w:r>
      <w:r w:rsidR="00381FB0">
        <w:rPr>
          <w:rtl/>
        </w:rPr>
        <w:t xml:space="preserve"> </w:t>
      </w:r>
      <w:r w:rsidR="00381FB0">
        <w:rPr>
          <w:rFonts w:hint="eastAsia"/>
          <w:rtl/>
        </w:rPr>
        <w:t>של</w:t>
      </w:r>
      <w:r w:rsidR="00381FB0">
        <w:rPr>
          <w:rtl/>
        </w:rPr>
        <w:t xml:space="preserve"> 31.37 </w:t>
      </w:r>
      <w:r w:rsidR="00381FB0">
        <w:rPr>
          <w:rFonts w:hint="eastAsia"/>
          <w:rtl/>
        </w:rPr>
        <w:t>גרם</w:t>
      </w:r>
      <w:r w:rsidR="00381FB0">
        <w:rPr>
          <w:rtl/>
        </w:rPr>
        <w:t xml:space="preserve">, </w:t>
      </w:r>
      <w:r w:rsidR="00381FB0">
        <w:rPr>
          <w:rFonts w:hint="eastAsia"/>
          <w:rtl/>
        </w:rPr>
        <w:t>ולאור</w:t>
      </w:r>
      <w:r w:rsidR="00381FB0">
        <w:rPr>
          <w:rtl/>
        </w:rPr>
        <w:t xml:space="preserve"> </w:t>
      </w:r>
      <w:r w:rsidR="00381FB0">
        <w:rPr>
          <w:rFonts w:hint="eastAsia"/>
          <w:rtl/>
        </w:rPr>
        <w:t>הליך</w:t>
      </w:r>
      <w:r w:rsidR="00381FB0">
        <w:rPr>
          <w:rtl/>
        </w:rPr>
        <w:t xml:space="preserve"> </w:t>
      </w:r>
      <w:r w:rsidR="00381FB0">
        <w:rPr>
          <w:rFonts w:hint="eastAsia"/>
          <w:rtl/>
        </w:rPr>
        <w:t>שיקום</w:t>
      </w:r>
      <w:r w:rsidR="00381FB0">
        <w:rPr>
          <w:rtl/>
        </w:rPr>
        <w:t xml:space="preserve"> </w:t>
      </w:r>
      <w:r w:rsidR="00381FB0">
        <w:rPr>
          <w:rFonts w:hint="eastAsia"/>
          <w:rtl/>
        </w:rPr>
        <w:t>משמעותי</w:t>
      </w:r>
      <w:r w:rsidR="00381FB0">
        <w:rPr>
          <w:rtl/>
        </w:rPr>
        <w:t xml:space="preserve"> </w:t>
      </w:r>
      <w:r w:rsidR="00381FB0">
        <w:rPr>
          <w:rFonts w:hint="eastAsia"/>
          <w:rtl/>
        </w:rPr>
        <w:t>נידון</w:t>
      </w:r>
      <w:r w:rsidR="00381FB0">
        <w:rPr>
          <w:rtl/>
        </w:rPr>
        <w:t xml:space="preserve"> </w:t>
      </w:r>
      <w:r w:rsidR="00381FB0">
        <w:rPr>
          <w:rFonts w:hint="eastAsia"/>
          <w:rtl/>
        </w:rPr>
        <w:t>הנאשם</w:t>
      </w:r>
      <w:r w:rsidR="00381FB0">
        <w:rPr>
          <w:rtl/>
        </w:rPr>
        <w:t xml:space="preserve"> </w:t>
      </w:r>
      <w:r w:rsidR="00381FB0">
        <w:rPr>
          <w:rFonts w:hint="eastAsia"/>
          <w:rtl/>
        </w:rPr>
        <w:t>ל</w:t>
      </w:r>
      <w:r w:rsidR="00381FB0">
        <w:rPr>
          <w:rtl/>
        </w:rPr>
        <w:t xml:space="preserve">-6 </w:t>
      </w:r>
      <w:r w:rsidR="00381FB0">
        <w:rPr>
          <w:rFonts w:hint="eastAsia"/>
          <w:rtl/>
        </w:rPr>
        <w:t>חודשי</w:t>
      </w:r>
      <w:r w:rsidR="00381FB0">
        <w:rPr>
          <w:rtl/>
        </w:rPr>
        <w:t xml:space="preserve"> </w:t>
      </w:r>
      <w:r w:rsidR="00381FB0">
        <w:rPr>
          <w:rFonts w:hint="eastAsia"/>
          <w:rtl/>
        </w:rPr>
        <w:t>עבודות</w:t>
      </w:r>
      <w:r w:rsidR="00381FB0">
        <w:rPr>
          <w:rtl/>
        </w:rPr>
        <w:t xml:space="preserve"> </w:t>
      </w:r>
      <w:r w:rsidR="00381FB0">
        <w:rPr>
          <w:rFonts w:hint="eastAsia"/>
          <w:rtl/>
        </w:rPr>
        <w:t>שירות</w:t>
      </w:r>
      <w:r w:rsidR="00381FB0">
        <w:rPr>
          <w:rtl/>
        </w:rPr>
        <w:t>.</w:t>
      </w:r>
    </w:p>
    <w:p w14:paraId="3208E4CD" w14:textId="77777777" w:rsidR="00381FB0" w:rsidRDefault="00381FB0" w:rsidP="00381FB0">
      <w:pPr>
        <w:spacing w:line="360" w:lineRule="auto"/>
        <w:ind w:left="720"/>
        <w:jc w:val="both"/>
      </w:pPr>
    </w:p>
    <w:p w14:paraId="1A3E4EB6" w14:textId="77777777" w:rsidR="00381FB0" w:rsidRDefault="00381FB0" w:rsidP="00381FB0">
      <w:pPr>
        <w:spacing w:line="360" w:lineRule="auto"/>
        <w:ind w:left="720"/>
        <w:jc w:val="both"/>
        <w:rPr>
          <w:rtl/>
        </w:rPr>
      </w:pPr>
      <w:r>
        <w:rPr>
          <w:rFonts w:hint="eastAsia"/>
          <w:rtl/>
        </w:rPr>
        <w:t>עפ</w:t>
      </w:r>
      <w:r>
        <w:rPr>
          <w:rtl/>
        </w:rPr>
        <w:t>"</w:t>
      </w:r>
      <w:r>
        <w:rPr>
          <w:rFonts w:hint="eastAsia"/>
          <w:rtl/>
        </w:rPr>
        <w:t>ג</w:t>
      </w:r>
      <w:r>
        <w:rPr>
          <w:rtl/>
        </w:rPr>
        <w:t xml:space="preserve"> </w:t>
      </w:r>
      <w:hyperlink r:id="rId27" w:history="1">
        <w:r w:rsidR="009C4070" w:rsidRPr="009C4070">
          <w:rPr>
            <w:color w:val="0000FF"/>
            <w:u w:val="single"/>
            <w:rtl/>
          </w:rPr>
          <w:t xml:space="preserve">4757-09-12 </w:t>
        </w:r>
      </w:hyperlink>
      <w:r>
        <w:rPr>
          <w:rtl/>
        </w:rPr>
        <w:t xml:space="preserve"> </w:t>
      </w:r>
      <w:r>
        <w:rPr>
          <w:rFonts w:hint="eastAsia"/>
          <w:b/>
          <w:bCs/>
          <w:rtl/>
        </w:rPr>
        <w:t>דהן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 xml:space="preserve">(21.3.13) </w:t>
      </w:r>
      <w:r>
        <w:rPr>
          <w:rFonts w:hint="eastAsia"/>
          <w:rtl/>
        </w:rPr>
        <w:t>נידון</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שהורשע</w:t>
      </w:r>
      <w:r>
        <w:rPr>
          <w:rtl/>
        </w:rPr>
        <w:t xml:space="preserve"> </w:t>
      </w:r>
      <w:r>
        <w:rPr>
          <w:rFonts w:hint="eastAsia"/>
          <w:rtl/>
        </w:rPr>
        <w:t>בהחזקת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r>
        <w:rPr>
          <w:rFonts w:hint="eastAsia"/>
          <w:rtl/>
        </w:rPr>
        <w:t>של</w:t>
      </w:r>
      <w:r>
        <w:rPr>
          <w:rtl/>
        </w:rPr>
        <w:t xml:space="preserve"> 17.2 </w:t>
      </w:r>
      <w:r>
        <w:rPr>
          <w:rFonts w:hint="eastAsia"/>
          <w:rtl/>
        </w:rPr>
        <w:t>גרם</w:t>
      </w:r>
      <w:r>
        <w:rPr>
          <w:rtl/>
        </w:rPr>
        <w:t xml:space="preserve"> </w:t>
      </w:r>
      <w:r>
        <w:rPr>
          <w:rFonts w:hint="eastAsia"/>
          <w:rtl/>
        </w:rPr>
        <w:t>נטו</w:t>
      </w:r>
      <w:r>
        <w:rPr>
          <w:rtl/>
        </w:rPr>
        <w:t xml:space="preserve"> </w:t>
      </w:r>
      <w:r>
        <w:rPr>
          <w:rFonts w:hint="eastAsia"/>
          <w:rtl/>
        </w:rPr>
        <w:t>מחולק</w:t>
      </w:r>
      <w:r>
        <w:rPr>
          <w:rtl/>
        </w:rPr>
        <w:t xml:space="preserve"> </w:t>
      </w:r>
      <w:r>
        <w:rPr>
          <w:rFonts w:hint="eastAsia"/>
          <w:rtl/>
        </w:rPr>
        <w:t>ל</w:t>
      </w:r>
      <w:r>
        <w:rPr>
          <w:rtl/>
        </w:rPr>
        <w:t xml:space="preserve">-6 </w:t>
      </w:r>
      <w:r>
        <w:rPr>
          <w:rFonts w:hint="eastAsia"/>
          <w:rtl/>
        </w:rPr>
        <w:t>אריזות</w:t>
      </w:r>
      <w:r>
        <w:rPr>
          <w:rtl/>
        </w:rPr>
        <w:t xml:space="preserve"> </w:t>
      </w:r>
      <w:r>
        <w:rPr>
          <w:rFonts w:hint="eastAsia"/>
          <w:rtl/>
        </w:rPr>
        <w:t>ונידון</w:t>
      </w:r>
      <w:r>
        <w:rPr>
          <w:rtl/>
        </w:rPr>
        <w:t xml:space="preserve"> </w:t>
      </w:r>
      <w:r>
        <w:rPr>
          <w:rFonts w:hint="eastAsia"/>
          <w:rtl/>
        </w:rPr>
        <w:t>ל</w:t>
      </w:r>
      <w:r>
        <w:rPr>
          <w:rtl/>
        </w:rPr>
        <w:t xml:space="preserve">-12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w:t>
      </w:r>
    </w:p>
    <w:p w14:paraId="635E6578" w14:textId="77777777" w:rsidR="00381FB0" w:rsidRDefault="00381FB0" w:rsidP="00381FB0">
      <w:pPr>
        <w:spacing w:line="360" w:lineRule="auto"/>
        <w:jc w:val="both"/>
        <w:rPr>
          <w:rtl/>
        </w:rPr>
      </w:pPr>
    </w:p>
    <w:p w14:paraId="3767A621" w14:textId="77777777" w:rsidR="00381FB0" w:rsidRDefault="007075E9" w:rsidP="00381FB0">
      <w:pPr>
        <w:pStyle w:val="a9"/>
        <w:spacing w:line="360" w:lineRule="auto"/>
        <w:jc w:val="both"/>
        <w:rPr>
          <w:rtl/>
        </w:rPr>
      </w:pPr>
      <w:hyperlink r:id="rId28" w:history="1">
        <w:r w:rsidRPr="007075E9">
          <w:rPr>
            <w:color w:val="0000FF"/>
            <w:u w:val="single"/>
            <w:rtl/>
          </w:rPr>
          <w:t>ת"פ 40959-05-19</w:t>
        </w:r>
      </w:hyperlink>
      <w:r w:rsidR="00381FB0">
        <w:rPr>
          <w:rtl/>
        </w:rPr>
        <w:t xml:space="preserve"> </w:t>
      </w:r>
      <w:r w:rsidR="00381FB0">
        <w:rPr>
          <w:b/>
          <w:bCs/>
          <w:rtl/>
        </w:rPr>
        <w:t>מדינת ישראל נ' גבאי –</w:t>
      </w:r>
      <w:r w:rsidR="00381FB0">
        <w:rPr>
          <w:rtl/>
        </w:rPr>
        <w:t xml:space="preserve"> הורשע נאשם בהחזקת 20 גרם של סם מסוכן מסוג קוקאין ובנוסף הורשע בהחזקת סם מסוג קנבוס במקומות שונים בביתו ובמספרה השייכת לאביו. נקבע מתחם ענישה שבין 9 חודשי מאסר שניתן לשאת בדרך של עבודות שירות במקרים מתאימים ועד לעונש של 24 חודשי מאסר בפועל ברף העליון. על הנאשם הושת עונש של 5 חודשי מאסר בדרך של עבודות שירות בשל חריגה משיקולי שיקום. </w:t>
      </w:r>
    </w:p>
    <w:p w14:paraId="1E5D0B4B" w14:textId="77777777" w:rsidR="00381FB0" w:rsidRDefault="00381FB0" w:rsidP="00381FB0">
      <w:pPr>
        <w:pStyle w:val="a9"/>
        <w:spacing w:line="360" w:lineRule="auto"/>
        <w:jc w:val="both"/>
        <w:rPr>
          <w:rtl/>
        </w:rPr>
      </w:pPr>
    </w:p>
    <w:p w14:paraId="728704C6" w14:textId="77777777" w:rsidR="00381FB0" w:rsidRDefault="007075E9" w:rsidP="00381FB0">
      <w:pPr>
        <w:spacing w:line="360" w:lineRule="auto"/>
        <w:ind w:left="720" w:hanging="720"/>
        <w:jc w:val="both"/>
        <w:rPr>
          <w:rtl/>
        </w:rPr>
      </w:pPr>
      <w:r>
        <w:rPr>
          <w:rFonts w:ascii="David" w:hAnsi="David"/>
          <w:rtl/>
        </w:rPr>
        <w:t xml:space="preserve"> </w:t>
      </w:r>
      <w:r w:rsidR="00381FB0" w:rsidRPr="0036295F">
        <w:rPr>
          <w:rFonts w:ascii="David" w:hAnsi="David"/>
          <w:rtl/>
        </w:rPr>
        <w:tab/>
      </w:r>
      <w:hyperlink r:id="rId29" w:history="1">
        <w:r w:rsidRPr="007075E9">
          <w:rPr>
            <w:rFonts w:ascii="David" w:hAnsi="David"/>
            <w:color w:val="0000FF"/>
            <w:u w:val="single"/>
            <w:rtl/>
          </w:rPr>
          <w:t>ת"פ (מחוזי תל אביב) 43983-05-19</w:t>
        </w:r>
      </w:hyperlink>
      <w:r w:rsidR="00381FB0" w:rsidRPr="0036295F">
        <w:rPr>
          <w:rFonts w:ascii="David" w:hAnsi="David"/>
          <w:rtl/>
        </w:rPr>
        <w:t xml:space="preserve"> </w:t>
      </w:r>
      <w:r w:rsidR="00381FB0" w:rsidRPr="0036295F">
        <w:rPr>
          <w:rFonts w:ascii="David" w:hAnsi="David"/>
          <w:b/>
          <w:bCs/>
          <w:rtl/>
        </w:rPr>
        <w:t>מדינת ישראל נ' ראובן</w:t>
      </w:r>
      <w:r w:rsidR="00381FB0" w:rsidRPr="0036295F">
        <w:rPr>
          <w:rFonts w:ascii="David" w:hAnsi="David"/>
          <w:rtl/>
        </w:rPr>
        <w:t xml:space="preserve"> (19.3.2020) - הנאשם הורשע על פי </w:t>
      </w:r>
      <w:r w:rsidR="00381FB0">
        <w:rPr>
          <w:rFonts w:ascii="David" w:hAnsi="David"/>
          <w:rtl/>
        </w:rPr>
        <w:t xml:space="preserve">הודאתו במסגרת הסדר טיעון בכתב אישום מתוקן, בשתי עבירות של החזקת סמים שלא לצריכה עצמית, ובעבירה של החזקת כלים המשמשים להכנת סם מסוכן או לצריכתו. על פי האישום הראשון, הנאשם החזיק ברכבו 317.46 גרם נטו של סם מסוכן מסוג </w:t>
      </w:r>
      <w:r w:rsidR="00381FB0">
        <w:rPr>
          <w:rFonts w:ascii="David" w:hAnsi="David"/>
          <w:szCs w:val="22"/>
        </w:rPr>
        <w:t>MDMA</w:t>
      </w:r>
      <w:r w:rsidR="00381FB0">
        <w:rPr>
          <w:rFonts w:ascii="David" w:hAnsi="David"/>
          <w:rtl/>
        </w:rPr>
        <w:t>. על פי האישום השני, הנאשם החזיק בדירה סמים מסוכנים לפי הפירוט הבא: 10 גרם קוקאין,</w:t>
      </w:r>
      <w:r w:rsidR="00381FB0">
        <w:rPr>
          <w:rFonts w:ascii="David" w:hAnsi="David"/>
          <w:b/>
          <w:bCs/>
          <w:rtl/>
        </w:rPr>
        <w:t xml:space="preserve"> </w:t>
      </w:r>
      <w:r w:rsidR="00381FB0">
        <w:rPr>
          <w:rFonts w:ascii="David" w:hAnsi="David"/>
          <w:rtl/>
        </w:rPr>
        <w:t xml:space="preserve">19 טבליות </w:t>
      </w:r>
      <w:r w:rsidR="00381FB0">
        <w:rPr>
          <w:rFonts w:ascii="David" w:hAnsi="David"/>
          <w:szCs w:val="22"/>
        </w:rPr>
        <w:t>MDMA</w:t>
      </w:r>
      <w:r w:rsidR="00381FB0">
        <w:rPr>
          <w:rFonts w:ascii="David" w:hAnsi="David"/>
          <w:rtl/>
        </w:rPr>
        <w:t xml:space="preserve">, 15.62 גרם </w:t>
      </w:r>
      <w:r w:rsidR="00381FB0">
        <w:rPr>
          <w:rFonts w:ascii="David" w:hAnsi="David"/>
          <w:szCs w:val="22"/>
        </w:rPr>
        <w:t>MDMA</w:t>
      </w:r>
      <w:r w:rsidR="00381FB0">
        <w:rPr>
          <w:rFonts w:ascii="David" w:hAnsi="David"/>
          <w:rtl/>
        </w:rPr>
        <w:t>, 6.26 גרם</w:t>
      </w:r>
      <w:r>
        <w:rPr>
          <w:rFonts w:ascii="David" w:hAnsi="David"/>
          <w:rtl/>
        </w:rPr>
        <w:t xml:space="preserve"> </w:t>
      </w:r>
      <w:r w:rsidR="00381FB0">
        <w:rPr>
          <w:rFonts w:ascii="David" w:hAnsi="David"/>
          <w:rtl/>
        </w:rPr>
        <w:t xml:space="preserve"> </w:t>
      </w:r>
      <w:r w:rsidR="00381FB0">
        <w:rPr>
          <w:rFonts w:ascii="David" w:hAnsi="David"/>
          <w:szCs w:val="22"/>
        </w:rPr>
        <w:t>METHYLMETHCATHINONE</w:t>
      </w:r>
      <w:r w:rsidR="00381FB0">
        <w:rPr>
          <w:rFonts w:ascii="David" w:hAnsi="David"/>
          <w:rtl/>
        </w:rPr>
        <w:t xml:space="preserve">, 12.02 גרם קטמין, 56 בולים של </w:t>
      </w:r>
      <w:r w:rsidR="00381FB0">
        <w:rPr>
          <w:rFonts w:ascii="David" w:hAnsi="David"/>
          <w:szCs w:val="22"/>
        </w:rPr>
        <w:t>LSD</w:t>
      </w:r>
      <w:r w:rsidR="00381FB0">
        <w:rPr>
          <w:rFonts w:ascii="David" w:hAnsi="David"/>
          <w:rtl/>
        </w:rPr>
        <w:t>, וכן שני משקלים אלקטרוניים. בית המשפט המחוזי קבע מתחם הנע בין 18 ל- 42 חודשי מאסר בפועל, והשית על הנאשם 18 חודשי מאסר בפועל לצד עונשים נלווים.</w:t>
      </w:r>
    </w:p>
    <w:p w14:paraId="40CF198A" w14:textId="77777777" w:rsidR="00381FB0" w:rsidRDefault="00381FB0" w:rsidP="00381FB0">
      <w:pPr>
        <w:spacing w:line="360" w:lineRule="auto"/>
        <w:ind w:left="720" w:hanging="720"/>
        <w:jc w:val="both"/>
        <w:rPr>
          <w:rtl/>
        </w:rPr>
      </w:pPr>
    </w:p>
    <w:p w14:paraId="6413957A" w14:textId="77777777" w:rsidR="00381FB0" w:rsidRDefault="007075E9" w:rsidP="00381FB0">
      <w:pPr>
        <w:spacing w:line="360" w:lineRule="auto"/>
        <w:ind w:left="720" w:hanging="720"/>
        <w:jc w:val="both"/>
        <w:rPr>
          <w:rtl/>
        </w:rPr>
      </w:pPr>
      <w:r>
        <w:rPr>
          <w:rFonts w:ascii="David" w:hAnsi="David"/>
          <w:rtl/>
        </w:rPr>
        <w:t xml:space="preserve">            </w:t>
      </w:r>
      <w:r w:rsidR="00381FB0" w:rsidRPr="0036295F">
        <w:rPr>
          <w:rFonts w:ascii="David" w:hAnsi="David"/>
          <w:rtl/>
        </w:rPr>
        <w:t xml:space="preserve"> </w:t>
      </w:r>
      <w:hyperlink r:id="rId30" w:history="1">
        <w:r w:rsidRPr="007075E9">
          <w:rPr>
            <w:rFonts w:ascii="David" w:hAnsi="David"/>
            <w:color w:val="0000FF"/>
            <w:u w:val="single"/>
            <w:rtl/>
          </w:rPr>
          <w:t>ת"פ (מחוזי תל אביב) 22611-02-17</w:t>
        </w:r>
      </w:hyperlink>
      <w:r w:rsidR="00381FB0" w:rsidRPr="0036295F">
        <w:rPr>
          <w:rFonts w:ascii="David" w:hAnsi="David"/>
          <w:b/>
          <w:bCs/>
          <w:rtl/>
        </w:rPr>
        <w:t xml:space="preserve"> מדינת ישראל נ' מרדוש</w:t>
      </w:r>
      <w:r w:rsidR="00381FB0" w:rsidRPr="0036295F">
        <w:rPr>
          <w:rFonts w:ascii="David" w:hAnsi="David"/>
          <w:rtl/>
        </w:rPr>
        <w:t xml:space="preserve"> (17.5.2018) - הנאשם הורשע על </w:t>
      </w:r>
      <w:r w:rsidR="00381FB0">
        <w:rPr>
          <w:rFonts w:ascii="David" w:hAnsi="David"/>
          <w:rtl/>
        </w:rPr>
        <w:t>פי הודאתו בעובדות כתב אישום מתוקן במסגרת הסדר טיעון, בביצוע עבירות של החזקת סם מסוכן שלא לצריכה עצמית והחזקת סם מסוכן לצריכה עצמית. הנאשם החזיק בדירתו ובחצר הדירה 1.085 ק"ג סם צמחי מסוג אינדזול קרבוקסאמיד ו- 6.55 גרם קנבוס. בית המשפט המחוזי קבע מתחם הנע בין 6 ל- 18 חודשי מאסר, ומטעמי שיקום חרג מן המתחם והשית על הנאשם מאסרים על תנאי.</w:t>
      </w:r>
    </w:p>
    <w:p w14:paraId="5E5A5B0F" w14:textId="77777777" w:rsidR="00381FB0" w:rsidRDefault="00381FB0" w:rsidP="00381FB0">
      <w:pPr>
        <w:pStyle w:val="a9"/>
        <w:spacing w:line="360" w:lineRule="auto"/>
        <w:jc w:val="both"/>
        <w:rPr>
          <w:rtl/>
        </w:rPr>
      </w:pPr>
    </w:p>
    <w:p w14:paraId="4B644450" w14:textId="77777777" w:rsidR="00381FB0" w:rsidRDefault="00381FB0" w:rsidP="00381FB0">
      <w:pPr>
        <w:pStyle w:val="a9"/>
        <w:numPr>
          <w:ilvl w:val="0"/>
          <w:numId w:val="1"/>
        </w:numPr>
        <w:spacing w:line="360" w:lineRule="auto"/>
        <w:ind w:left="567" w:hanging="567"/>
        <w:jc w:val="both"/>
        <w:rPr>
          <w:rFonts w:cs="Times New Roman"/>
          <w:b/>
          <w:bCs/>
        </w:rPr>
      </w:pPr>
      <w:r w:rsidRPr="00B24D66">
        <w:rPr>
          <w:b/>
          <w:bCs/>
          <w:rtl/>
        </w:rPr>
        <w:t xml:space="preserve">לאור כל זאת, אני בדעה כי מתחם הענישה ההולם את העבירות בענייננו, תוך התחשבות בכמות הסם, ומהותו </w:t>
      </w:r>
      <w:r w:rsidRPr="00A413EA">
        <w:rPr>
          <w:rFonts w:ascii="David" w:hAnsi="David"/>
          <w:b/>
          <w:bCs/>
          <w:color w:val="000000"/>
          <w:rtl/>
        </w:rPr>
        <w:t xml:space="preserve">ראיתי לקבוע מתחם הנע בין </w:t>
      </w:r>
      <w:r>
        <w:rPr>
          <w:rFonts w:ascii="David" w:hAnsi="David"/>
          <w:b/>
          <w:bCs/>
          <w:color w:val="000000"/>
          <w:rtl/>
        </w:rPr>
        <w:t xml:space="preserve">8 </w:t>
      </w:r>
      <w:r w:rsidRPr="00A413EA">
        <w:rPr>
          <w:rFonts w:ascii="David" w:hAnsi="David"/>
          <w:b/>
          <w:bCs/>
          <w:color w:val="000000"/>
          <w:rtl/>
        </w:rPr>
        <w:t xml:space="preserve">חודשי מאסר ל- </w:t>
      </w:r>
      <w:r w:rsidRPr="00B24D66">
        <w:rPr>
          <w:rFonts w:ascii="David" w:hAnsi="David"/>
          <w:b/>
          <w:bCs/>
          <w:color w:val="000000"/>
          <w:rtl/>
        </w:rPr>
        <w:t>20</w:t>
      </w:r>
      <w:r w:rsidRPr="00A413EA">
        <w:rPr>
          <w:rFonts w:ascii="David" w:hAnsi="David"/>
          <w:b/>
          <w:bCs/>
          <w:color w:val="000000"/>
          <w:rtl/>
        </w:rPr>
        <w:t xml:space="preserve"> חודשי מאסר</w:t>
      </w:r>
      <w:r>
        <w:rPr>
          <w:rFonts w:ascii="David" w:hAnsi="David"/>
          <w:b/>
          <w:bCs/>
          <w:color w:val="000000"/>
          <w:rtl/>
        </w:rPr>
        <w:t>, בצירוף ענישה נלווית.</w:t>
      </w:r>
      <w:r>
        <w:rPr>
          <w:rFonts w:cs="Times New Roman"/>
          <w:b/>
          <w:bCs/>
          <w:rtl/>
        </w:rPr>
        <w:t xml:space="preserve"> </w:t>
      </w:r>
    </w:p>
    <w:p w14:paraId="609D802F" w14:textId="77777777" w:rsidR="00381FB0" w:rsidRPr="007554F5" w:rsidRDefault="00381FB0" w:rsidP="00381FB0">
      <w:pPr>
        <w:pStyle w:val="a9"/>
        <w:spacing w:line="360" w:lineRule="auto"/>
        <w:ind w:left="567"/>
        <w:jc w:val="both"/>
        <w:rPr>
          <w:rFonts w:cs="Times New Roman"/>
          <w:b/>
          <w:bCs/>
        </w:rPr>
      </w:pPr>
    </w:p>
    <w:p w14:paraId="154B8416" w14:textId="77777777" w:rsidR="00381FB0" w:rsidRPr="00B24D66" w:rsidRDefault="00381FB0" w:rsidP="00381FB0">
      <w:pPr>
        <w:pStyle w:val="a9"/>
        <w:numPr>
          <w:ilvl w:val="0"/>
          <w:numId w:val="1"/>
        </w:numPr>
        <w:spacing w:line="360" w:lineRule="auto"/>
        <w:ind w:left="567" w:hanging="567"/>
        <w:jc w:val="both"/>
        <w:rPr>
          <w:rFonts w:cs="Times New Roman"/>
          <w:b/>
          <w:bCs/>
        </w:rPr>
      </w:pPr>
      <w:r>
        <w:rPr>
          <w:rFonts w:ascii="David" w:hAnsi="David"/>
          <w:rtl/>
        </w:rPr>
        <w:t>בענייננו, לא מצאתי, כי מתקיימים שיקולים שיצדיקו סטייה ממתחם העונש שקבעתי, לחומרה או לקולא.</w:t>
      </w:r>
    </w:p>
    <w:p w14:paraId="0D1700E2" w14:textId="77777777" w:rsidR="00381FB0" w:rsidRDefault="00381FB0" w:rsidP="00381FB0">
      <w:pPr>
        <w:pStyle w:val="a9"/>
        <w:spacing w:line="360" w:lineRule="auto"/>
        <w:ind w:left="567"/>
        <w:jc w:val="both"/>
        <w:rPr>
          <w:rFonts w:cs="Times New Roman"/>
          <w:b/>
          <w:bCs/>
        </w:rPr>
      </w:pPr>
    </w:p>
    <w:p w14:paraId="46899D1E" w14:textId="77777777" w:rsidR="00381FB0" w:rsidRDefault="00381FB0" w:rsidP="00381FB0">
      <w:pPr>
        <w:pStyle w:val="11"/>
        <w:spacing w:line="360" w:lineRule="auto"/>
        <w:ind w:hanging="160"/>
        <w:jc w:val="both"/>
        <w:rPr>
          <w:rFonts w:cs="David"/>
          <w:b/>
          <w:bCs/>
          <w:u w:val="single"/>
          <w:rtl/>
        </w:rPr>
      </w:pPr>
      <w:r>
        <w:rPr>
          <w:rFonts w:cs="David"/>
          <w:b/>
          <w:bCs/>
          <w:u w:val="single"/>
          <w:rtl/>
        </w:rPr>
        <w:t xml:space="preserve">קביעת עונשו של הנאשם </w:t>
      </w:r>
    </w:p>
    <w:p w14:paraId="285D5886" w14:textId="77777777" w:rsidR="00381FB0" w:rsidRDefault="00381FB0" w:rsidP="00381FB0">
      <w:pPr>
        <w:pStyle w:val="a9"/>
        <w:numPr>
          <w:ilvl w:val="0"/>
          <w:numId w:val="1"/>
        </w:numPr>
        <w:spacing w:line="360" w:lineRule="auto"/>
        <w:ind w:left="567" w:hanging="567"/>
        <w:jc w:val="both"/>
      </w:pPr>
      <w:r w:rsidRPr="00B24D66">
        <w:rPr>
          <w:rtl/>
        </w:rPr>
        <w:t>במסגרת קביעת עונשו של הנאשם שקלתי את הודאת הנאשם בה</w:t>
      </w:r>
      <w:r>
        <w:rPr>
          <w:rtl/>
        </w:rPr>
        <w:t xml:space="preserve">זדמנות הראשונה ולקיחת האחריות </w:t>
      </w:r>
      <w:r>
        <w:rPr>
          <w:rFonts w:ascii="David" w:hAnsi="David"/>
          <w:rtl/>
        </w:rPr>
        <w:t xml:space="preserve">וכן את העובדה </w:t>
      </w:r>
      <w:r>
        <w:rPr>
          <w:rFonts w:ascii="David" w:hAnsi="David" w:hint="cs"/>
          <w:rtl/>
        </w:rPr>
        <w:t>ש</w:t>
      </w:r>
      <w:r>
        <w:rPr>
          <w:rFonts w:ascii="David" w:hAnsi="David"/>
          <w:rtl/>
        </w:rPr>
        <w:t>אין לו עבר פלילי</w:t>
      </w:r>
      <w:r>
        <w:rPr>
          <w:rtl/>
        </w:rPr>
        <w:t xml:space="preserve">. </w:t>
      </w:r>
      <w:r w:rsidRPr="00B24D66">
        <w:rPr>
          <w:rtl/>
        </w:rPr>
        <w:t xml:space="preserve">כן </w:t>
      </w:r>
      <w:r>
        <w:rPr>
          <w:rtl/>
        </w:rPr>
        <w:t xml:space="preserve">שקלתי </w:t>
      </w:r>
      <w:r w:rsidRPr="00B24D66">
        <w:rPr>
          <w:rtl/>
        </w:rPr>
        <w:t>את נסיבותיו האישיות כפי ש</w:t>
      </w:r>
      <w:r>
        <w:rPr>
          <w:rtl/>
        </w:rPr>
        <w:t>פורטו בתסקיר שירות המבחן ו</w:t>
      </w:r>
      <w:r w:rsidRPr="00B24D66">
        <w:rPr>
          <w:rtl/>
        </w:rPr>
        <w:t xml:space="preserve">נטענו </w:t>
      </w:r>
      <w:r>
        <w:rPr>
          <w:rtl/>
        </w:rPr>
        <w:t xml:space="preserve">גם </w:t>
      </w:r>
      <w:r w:rsidRPr="00B24D66">
        <w:rPr>
          <w:rtl/>
        </w:rPr>
        <w:t xml:space="preserve">על ידי סנגורו. </w:t>
      </w:r>
      <w:r w:rsidRPr="000E4234">
        <w:rPr>
          <w:rFonts w:ascii="David" w:hAnsi="David"/>
          <w:rtl/>
        </w:rPr>
        <w:t xml:space="preserve">עוד ראוי לציין את האמור בתסקיר בנוגע להשתלבות הנאשם בתכנית טיפול בזמן המעצר </w:t>
      </w:r>
      <w:r>
        <w:rPr>
          <w:rtl/>
        </w:rPr>
        <w:t>לפרק זמן של כ- 5 חודשים</w:t>
      </w:r>
      <w:r w:rsidRPr="000E4234">
        <w:rPr>
          <w:rFonts w:ascii="David" w:hAnsi="David"/>
          <w:rtl/>
        </w:rPr>
        <w:t>, ובעיקר את נכונותו להמשיך בהליך טיפולי. בנוסף, על פי האמור בתסקיר ואף בפני בית המשפט, הנאשם הביע צער וחרטה על מעשיו</w:t>
      </w:r>
      <w:r w:rsidRPr="00B24D66">
        <w:rPr>
          <w:rtl/>
        </w:rPr>
        <w:t xml:space="preserve">. </w:t>
      </w:r>
    </w:p>
    <w:p w14:paraId="2019D13E" w14:textId="77777777" w:rsidR="00381FB0" w:rsidRDefault="00381FB0" w:rsidP="00381FB0">
      <w:pPr>
        <w:spacing w:line="360" w:lineRule="auto"/>
        <w:jc w:val="both"/>
        <w:rPr>
          <w:rFonts w:ascii="David" w:hAnsi="David"/>
          <w:rtl/>
        </w:rPr>
      </w:pPr>
    </w:p>
    <w:p w14:paraId="197CF2B8" w14:textId="77777777" w:rsidR="00381FB0" w:rsidRDefault="00381FB0" w:rsidP="00381FB0">
      <w:pPr>
        <w:pStyle w:val="a9"/>
        <w:numPr>
          <w:ilvl w:val="0"/>
          <w:numId w:val="1"/>
        </w:numPr>
        <w:spacing w:line="360" w:lineRule="auto"/>
        <w:ind w:left="567" w:hanging="567"/>
        <w:jc w:val="both"/>
      </w:pPr>
      <w:r w:rsidRPr="000E4234">
        <w:rPr>
          <w:rtl/>
        </w:rPr>
        <w:t>בהינתן מכלול שיקולים אלו שאינם קשורים בביצוע העבירה ואשר בעיקרם יש כדי להטות את הכף לקולא, מצאתי למקם את עונש מאסרו של האשם ברף התחתון של המתחם. בצד עונש מאסר בפועל  תושת גם ענישה צופה פני עתיד, קנס ופסילת רישיון הנהיגה</w:t>
      </w:r>
      <w:r>
        <w:rPr>
          <w:rFonts w:hint="cs"/>
          <w:rtl/>
        </w:rPr>
        <w:t xml:space="preserve"> בפועל ועל תנאי</w:t>
      </w:r>
      <w:r w:rsidRPr="000E4234">
        <w:rPr>
          <w:rtl/>
        </w:rPr>
        <w:t xml:space="preserve">. </w:t>
      </w:r>
    </w:p>
    <w:p w14:paraId="69784359" w14:textId="77777777" w:rsidR="00381FB0" w:rsidRDefault="00381FB0" w:rsidP="00381FB0">
      <w:pPr>
        <w:pStyle w:val="a9"/>
        <w:rPr>
          <w:rtl/>
        </w:rPr>
      </w:pPr>
    </w:p>
    <w:p w14:paraId="45BCAA9D" w14:textId="77777777" w:rsidR="00381FB0" w:rsidRPr="000E4234" w:rsidRDefault="00381FB0" w:rsidP="00381FB0">
      <w:pPr>
        <w:pStyle w:val="a9"/>
        <w:spacing w:line="360" w:lineRule="auto"/>
        <w:ind w:left="567"/>
        <w:jc w:val="both"/>
      </w:pPr>
    </w:p>
    <w:p w14:paraId="71EA177B" w14:textId="77777777" w:rsidR="00381FB0" w:rsidRPr="000E4234" w:rsidRDefault="00381FB0" w:rsidP="00381FB0">
      <w:pPr>
        <w:pStyle w:val="a9"/>
        <w:numPr>
          <w:ilvl w:val="0"/>
          <w:numId w:val="1"/>
        </w:numPr>
        <w:spacing w:line="360" w:lineRule="auto"/>
        <w:ind w:left="567" w:hanging="567"/>
        <w:jc w:val="both"/>
        <w:rPr>
          <w:b/>
          <w:bCs/>
        </w:rPr>
      </w:pPr>
      <w:r>
        <w:rPr>
          <w:b/>
          <w:bCs/>
          <w:rtl/>
        </w:rPr>
        <w:t>אשר על כן , במכלול כל השיקולים</w:t>
      </w:r>
      <w:r>
        <w:rPr>
          <w:rFonts w:hint="cs"/>
          <w:b/>
          <w:bCs/>
          <w:rtl/>
        </w:rPr>
        <w:t xml:space="preserve"> לקולא ולחומרא </w:t>
      </w:r>
      <w:r w:rsidRPr="000E4234">
        <w:rPr>
          <w:b/>
          <w:bCs/>
          <w:rtl/>
        </w:rPr>
        <w:t>אני גוזרת על הנאשם את העונשים הבאים:</w:t>
      </w:r>
    </w:p>
    <w:p w14:paraId="3C93D0B4" w14:textId="77777777" w:rsidR="00381FB0" w:rsidRPr="007554F5" w:rsidRDefault="00381FB0" w:rsidP="00381FB0">
      <w:pPr>
        <w:pStyle w:val="a9"/>
        <w:numPr>
          <w:ilvl w:val="0"/>
          <w:numId w:val="3"/>
        </w:numPr>
        <w:spacing w:line="360" w:lineRule="auto"/>
        <w:jc w:val="both"/>
        <w:rPr>
          <w:rFonts w:ascii="Calibri" w:hAnsi="Calibri" w:cs="Calibri"/>
          <w:szCs w:val="22"/>
        </w:rPr>
      </w:pPr>
      <w:r w:rsidRPr="007554F5">
        <w:rPr>
          <w:rFonts w:ascii="David" w:hAnsi="David" w:hint="cs"/>
          <w:b/>
          <w:bCs/>
          <w:rtl/>
        </w:rPr>
        <w:t xml:space="preserve"> </w:t>
      </w:r>
      <w:r w:rsidRPr="007554F5">
        <w:rPr>
          <w:rFonts w:ascii="David" w:hAnsi="David"/>
          <w:b/>
          <w:bCs/>
          <w:rtl/>
        </w:rPr>
        <w:t>חודשי מאסר בפועל, בניכוי ימי מעצרו מיו</w:t>
      </w:r>
      <w:r w:rsidRPr="007554F5">
        <w:rPr>
          <w:rFonts w:ascii="David" w:hAnsi="David" w:hint="cs"/>
          <w:b/>
          <w:bCs/>
          <w:rtl/>
        </w:rPr>
        <w:t>ם 8.2.22</w:t>
      </w:r>
    </w:p>
    <w:p w14:paraId="0DBA6F85" w14:textId="77777777" w:rsidR="00381FB0" w:rsidRDefault="00381FB0" w:rsidP="00381FB0">
      <w:pPr>
        <w:pStyle w:val="a9"/>
        <w:spacing w:line="360" w:lineRule="auto"/>
        <w:jc w:val="both"/>
        <w:rPr>
          <w:rFonts w:ascii="Calibri" w:hAnsi="Calibri" w:cs="Calibri"/>
          <w:szCs w:val="22"/>
        </w:rPr>
      </w:pPr>
    </w:p>
    <w:p w14:paraId="44550AE5" w14:textId="77777777" w:rsidR="00381FB0" w:rsidRDefault="00381FB0" w:rsidP="00381FB0">
      <w:pPr>
        <w:pStyle w:val="a9"/>
        <w:spacing w:line="360" w:lineRule="auto"/>
        <w:ind w:left="643"/>
        <w:jc w:val="both"/>
        <w:rPr>
          <w:rFonts w:ascii="Arial" w:hAnsi="Arial"/>
          <w:b/>
          <w:bCs/>
        </w:rPr>
      </w:pPr>
      <w:r>
        <w:rPr>
          <w:rFonts w:ascii="David" w:hAnsi="David" w:hint="cs"/>
          <w:b/>
          <w:bCs/>
          <w:rtl/>
        </w:rPr>
        <w:t>5</w:t>
      </w:r>
      <w:r w:rsidRPr="008165E2">
        <w:rPr>
          <w:rFonts w:ascii="David" w:hAnsi="David"/>
          <w:b/>
          <w:bCs/>
          <w:rtl/>
        </w:rPr>
        <w:t xml:space="preserve"> חודשי </w:t>
      </w:r>
      <w:r>
        <w:rPr>
          <w:rFonts w:ascii="Arial" w:hAnsi="Arial" w:hint="cs"/>
          <w:b/>
          <w:bCs/>
          <w:rtl/>
        </w:rPr>
        <w:t xml:space="preserve">מאסר על תנאי למנשך שלוש שנים מיום שחרורו של הנאשם והתנאי הוא שלא יעבור הנאשם כל עבירת סמים מסוג פשע ויורשע בה. </w:t>
      </w:r>
      <w:r w:rsidRPr="008165E2">
        <w:rPr>
          <w:rFonts w:ascii="Arial" w:hAnsi="Arial"/>
          <w:b/>
          <w:bCs/>
          <w:rtl/>
        </w:rPr>
        <w:t xml:space="preserve"> </w:t>
      </w:r>
    </w:p>
    <w:p w14:paraId="0D8FDB45" w14:textId="77777777" w:rsidR="00381FB0" w:rsidRPr="008165E2" w:rsidRDefault="00381FB0" w:rsidP="00381FB0">
      <w:pPr>
        <w:pStyle w:val="a9"/>
        <w:rPr>
          <w:rFonts w:ascii="Arial" w:hAnsi="Arial"/>
          <w:b/>
          <w:bCs/>
          <w:rtl/>
        </w:rPr>
      </w:pPr>
    </w:p>
    <w:p w14:paraId="62DBA501" w14:textId="77777777" w:rsidR="00381FB0" w:rsidRPr="008165E2" w:rsidRDefault="00381FB0" w:rsidP="00381FB0">
      <w:pPr>
        <w:pStyle w:val="a9"/>
        <w:spacing w:line="360" w:lineRule="auto"/>
        <w:ind w:left="643"/>
        <w:jc w:val="both"/>
        <w:rPr>
          <w:rFonts w:ascii="Arial" w:hAnsi="Arial"/>
          <w:b/>
          <w:bCs/>
          <w:rtl/>
        </w:rPr>
      </w:pPr>
      <w:r w:rsidRPr="008165E2">
        <w:rPr>
          <w:rFonts w:ascii="Arial" w:hAnsi="Arial"/>
          <w:b/>
          <w:bCs/>
          <w:rtl/>
        </w:rPr>
        <w:t xml:space="preserve">קנס כספי בסך של </w:t>
      </w:r>
      <w:r>
        <w:rPr>
          <w:rFonts w:ascii="Arial" w:hAnsi="Arial"/>
          <w:b/>
          <w:bCs/>
          <w:rtl/>
        </w:rPr>
        <w:t>4</w:t>
      </w:r>
      <w:r w:rsidRPr="008165E2">
        <w:rPr>
          <w:rFonts w:ascii="Arial" w:hAnsi="Arial"/>
          <w:b/>
          <w:bCs/>
          <w:rtl/>
        </w:rPr>
        <w:t xml:space="preserve">,000  ₪ או חודש מאסר תמורתו . הקנס ישולם ב-8 תשלומים חודשיים רצופים ושווים החל מיום </w:t>
      </w:r>
      <w:r>
        <w:rPr>
          <w:rFonts w:ascii="Arial" w:hAnsi="Arial"/>
          <w:b/>
          <w:bCs/>
          <w:rtl/>
        </w:rPr>
        <w:t>28.01.2023</w:t>
      </w:r>
      <w:r>
        <w:rPr>
          <w:rFonts w:ascii="Arial" w:hAnsi="Arial" w:hint="cs"/>
          <w:b/>
          <w:bCs/>
          <w:rtl/>
        </w:rPr>
        <w:t xml:space="preserve"> ובכל 28 לחודש שלאחר מכן. </w:t>
      </w:r>
    </w:p>
    <w:p w14:paraId="1F560762" w14:textId="77777777" w:rsidR="00381FB0" w:rsidRPr="007554F5" w:rsidRDefault="00381FB0" w:rsidP="00381FB0">
      <w:pPr>
        <w:spacing w:line="360" w:lineRule="auto"/>
        <w:ind w:firstLine="643"/>
        <w:jc w:val="both"/>
        <w:rPr>
          <w:rFonts w:ascii="Arial" w:hAnsi="Arial"/>
          <w:b/>
          <w:bCs/>
          <w:rtl/>
        </w:rPr>
      </w:pPr>
      <w:r w:rsidRPr="007554F5">
        <w:rPr>
          <w:rFonts w:ascii="Arial" w:hAnsi="Arial"/>
          <w:b/>
          <w:bCs/>
          <w:rtl/>
        </w:rPr>
        <w:t xml:space="preserve">היה והקנס או חלקו לא ישולם במועד, תעמוד יתרת הקנס לתשלום מיידי. </w:t>
      </w:r>
    </w:p>
    <w:p w14:paraId="42660348" w14:textId="77777777" w:rsidR="00381FB0" w:rsidRPr="008165E2" w:rsidRDefault="00381FB0" w:rsidP="00381FB0">
      <w:pPr>
        <w:spacing w:line="360" w:lineRule="auto"/>
        <w:jc w:val="both"/>
        <w:rPr>
          <w:rFonts w:ascii="Arial" w:hAnsi="Arial"/>
          <w:b/>
          <w:bCs/>
          <w:rtl/>
        </w:rPr>
      </w:pPr>
    </w:p>
    <w:p w14:paraId="5E98C256" w14:textId="77777777" w:rsidR="00381FB0" w:rsidRPr="008165E2" w:rsidRDefault="00381FB0" w:rsidP="00381FB0">
      <w:pPr>
        <w:pStyle w:val="a9"/>
        <w:spacing w:line="360" w:lineRule="auto"/>
        <w:ind w:left="643"/>
        <w:jc w:val="both"/>
        <w:rPr>
          <w:rFonts w:ascii="Arial" w:hAnsi="Arial"/>
          <w:b/>
          <w:bCs/>
          <w:rtl/>
        </w:rPr>
      </w:pPr>
      <w:r w:rsidRPr="008165E2">
        <w:rPr>
          <w:rFonts w:ascii="Arial" w:hAnsi="Arial"/>
          <w:b/>
          <w:bCs/>
          <w:rtl/>
        </w:rPr>
        <w:t xml:space="preserve">אני גוזרת על הנאשם עונש של פסילת רישיון נהיגה </w:t>
      </w:r>
      <w:r>
        <w:rPr>
          <w:rFonts w:ascii="Arial" w:hAnsi="Arial" w:hint="cs"/>
          <w:b/>
          <w:bCs/>
          <w:rtl/>
        </w:rPr>
        <w:t xml:space="preserve">בפועל של שני חודשים  וזאת מיום שחרורו של הנאשם </w:t>
      </w:r>
      <w:r w:rsidRPr="008165E2">
        <w:rPr>
          <w:rFonts w:ascii="Arial" w:hAnsi="Arial"/>
          <w:b/>
          <w:bCs/>
          <w:rtl/>
        </w:rPr>
        <w:t xml:space="preserve">. </w:t>
      </w:r>
    </w:p>
    <w:p w14:paraId="25644DA3" w14:textId="77777777" w:rsidR="00381FB0" w:rsidRDefault="00381FB0" w:rsidP="00381FB0">
      <w:pPr>
        <w:pStyle w:val="a9"/>
        <w:spacing w:line="360" w:lineRule="auto"/>
        <w:jc w:val="both"/>
        <w:rPr>
          <w:rFonts w:ascii="Arial" w:hAnsi="Arial"/>
          <w:b/>
          <w:bCs/>
          <w:rtl/>
        </w:rPr>
      </w:pPr>
    </w:p>
    <w:p w14:paraId="14032B60" w14:textId="77777777" w:rsidR="00381FB0" w:rsidRPr="004C520D" w:rsidRDefault="00381FB0" w:rsidP="00381FB0">
      <w:pPr>
        <w:spacing w:line="360" w:lineRule="auto"/>
        <w:ind w:firstLine="643"/>
        <w:jc w:val="both"/>
        <w:rPr>
          <w:rFonts w:ascii="Arial" w:hAnsi="Arial"/>
          <w:b/>
          <w:bCs/>
          <w:rtl/>
        </w:rPr>
      </w:pPr>
      <w:r w:rsidRPr="004C520D">
        <w:rPr>
          <w:rFonts w:ascii="Arial" w:hAnsi="Arial"/>
          <w:b/>
          <w:bCs/>
          <w:rtl/>
        </w:rPr>
        <w:t>בחלוף תקופת הערעור, ניתן להשמיד את המוצגים - הסמים והציוד הנלווה.</w:t>
      </w:r>
    </w:p>
    <w:p w14:paraId="58A3CE73" w14:textId="77777777" w:rsidR="00381FB0" w:rsidRDefault="00381FB0" w:rsidP="00381FB0">
      <w:pPr>
        <w:spacing w:line="360" w:lineRule="auto"/>
        <w:ind w:firstLine="720"/>
        <w:jc w:val="both"/>
        <w:rPr>
          <w:rFonts w:ascii="Arial" w:hAnsi="Arial"/>
          <w:b/>
          <w:bCs/>
          <w:u w:val="single"/>
          <w:rtl/>
        </w:rPr>
      </w:pPr>
    </w:p>
    <w:p w14:paraId="1F34040C" w14:textId="77777777" w:rsidR="00381FB0" w:rsidRDefault="00381FB0" w:rsidP="00381FB0">
      <w:pPr>
        <w:spacing w:line="360" w:lineRule="auto"/>
        <w:ind w:firstLine="643"/>
        <w:jc w:val="both"/>
        <w:rPr>
          <w:rFonts w:ascii="Arial" w:hAnsi="Arial"/>
          <w:b/>
          <w:bCs/>
          <w:u w:val="single"/>
          <w:rtl/>
        </w:rPr>
      </w:pPr>
      <w:r>
        <w:rPr>
          <w:rFonts w:ascii="Arial" w:hAnsi="Arial"/>
          <w:b/>
          <w:bCs/>
          <w:u w:val="single"/>
          <w:rtl/>
        </w:rPr>
        <w:t>זכות ערעור בתוך 45 יום.</w:t>
      </w:r>
    </w:p>
    <w:p w14:paraId="298BF3E9" w14:textId="77777777" w:rsidR="00381FB0" w:rsidRDefault="00381FB0" w:rsidP="00381FB0">
      <w:pPr>
        <w:spacing w:line="360" w:lineRule="auto"/>
        <w:ind w:firstLine="643"/>
        <w:jc w:val="both"/>
        <w:rPr>
          <w:rFonts w:ascii="Arial" w:hAnsi="Arial"/>
          <w:b/>
          <w:bCs/>
          <w:u w:val="single"/>
          <w:rtl/>
        </w:rPr>
      </w:pPr>
      <w:r>
        <w:rPr>
          <w:rFonts w:ascii="Arial" w:hAnsi="Arial"/>
          <w:b/>
          <w:bCs/>
          <w:u w:val="single"/>
          <w:rtl/>
        </w:rPr>
        <w:t xml:space="preserve">מזכירות בימ"ש תשלח העתק מגזר הדין למשרד הרישוי. </w:t>
      </w:r>
    </w:p>
    <w:p w14:paraId="79190A48" w14:textId="77777777" w:rsidR="00381FB0" w:rsidRPr="007075E9" w:rsidRDefault="007075E9" w:rsidP="00381FB0">
      <w:pPr>
        <w:rPr>
          <w:rFonts w:ascii="Arial" w:hAnsi="Arial"/>
          <w:b/>
          <w:bCs/>
          <w:color w:val="FFFFFF"/>
          <w:sz w:val="2"/>
          <w:szCs w:val="2"/>
          <w:rtl/>
        </w:rPr>
      </w:pPr>
      <w:r w:rsidRPr="007075E9">
        <w:rPr>
          <w:rFonts w:ascii="Arial" w:hAnsi="Arial"/>
          <w:b/>
          <w:bCs/>
          <w:color w:val="FFFFFF"/>
          <w:sz w:val="2"/>
          <w:szCs w:val="2"/>
          <w:rtl/>
        </w:rPr>
        <w:t>5129371</w:t>
      </w:r>
    </w:p>
    <w:p w14:paraId="50AC67CA" w14:textId="77777777" w:rsidR="00381FB0" w:rsidRPr="007075E9" w:rsidRDefault="007075E9" w:rsidP="00381FB0">
      <w:pPr>
        <w:rPr>
          <w:rFonts w:ascii="Arial" w:hAnsi="Arial"/>
          <w:b/>
          <w:bCs/>
          <w:color w:val="FFFFFF"/>
          <w:sz w:val="2"/>
          <w:szCs w:val="2"/>
          <w:rtl/>
        </w:rPr>
      </w:pPr>
      <w:r w:rsidRPr="007075E9">
        <w:rPr>
          <w:rFonts w:ascii="Arial" w:hAnsi="Arial"/>
          <w:b/>
          <w:bCs/>
          <w:color w:val="FFFFFF"/>
          <w:sz w:val="2"/>
          <w:szCs w:val="2"/>
          <w:rtl/>
        </w:rPr>
        <w:t>54678313</w:t>
      </w:r>
    </w:p>
    <w:p w14:paraId="01167F23" w14:textId="77777777" w:rsidR="00381FB0" w:rsidRPr="000F2247" w:rsidRDefault="00381FB0" w:rsidP="00381FB0">
      <w:pPr>
        <w:rPr>
          <w:rFonts w:ascii="Arial" w:hAnsi="Arial"/>
          <w:b/>
          <w:bCs/>
          <w:sz w:val="26"/>
          <w:szCs w:val="26"/>
          <w:rtl/>
        </w:rPr>
      </w:pPr>
    </w:p>
    <w:p w14:paraId="57181185" w14:textId="77777777" w:rsidR="00381FB0" w:rsidRPr="000F2247" w:rsidRDefault="007075E9" w:rsidP="00381FB0">
      <w:pPr>
        <w:rPr>
          <w:rFonts w:ascii="Arial" w:hAnsi="Arial"/>
          <w:b/>
          <w:bCs/>
          <w:sz w:val="26"/>
          <w:szCs w:val="26"/>
          <w:rtl/>
        </w:rPr>
      </w:pPr>
      <w:bookmarkStart w:id="7" w:name="Nitan"/>
      <w:r>
        <w:rPr>
          <w:rFonts w:ascii="Arial" w:hAnsi="Arial"/>
          <w:b/>
          <w:bCs/>
          <w:sz w:val="26"/>
          <w:szCs w:val="26"/>
          <w:rtl/>
        </w:rPr>
        <w:t xml:space="preserve">ניתן היום,  כ"ט תמוז תשפ"ב, 28 יולי 2022, בנוכחות הצדדים. </w:t>
      </w:r>
      <w:bookmarkEnd w:id="7"/>
    </w:p>
    <w:p w14:paraId="5164F0CF" w14:textId="77777777" w:rsidR="00381FB0" w:rsidRPr="000F2247" w:rsidRDefault="00381FB0" w:rsidP="007075E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877242B" w14:textId="77777777" w:rsidR="00381FB0" w:rsidRPr="000F2247" w:rsidRDefault="00381FB0" w:rsidP="00381FB0">
      <w:pPr>
        <w:jc w:val="center"/>
        <w:rPr>
          <w:rFonts w:ascii="Arial" w:hAnsi="Arial"/>
          <w:b/>
          <w:bCs/>
          <w:sz w:val="26"/>
          <w:szCs w:val="26"/>
          <w:rtl/>
        </w:rPr>
      </w:pPr>
    </w:p>
    <w:p w14:paraId="7DB35FD5" w14:textId="77777777" w:rsidR="00612D7A" w:rsidRPr="007075E9" w:rsidRDefault="00612D7A" w:rsidP="007075E9">
      <w:pPr>
        <w:keepNext/>
        <w:rPr>
          <w:rFonts w:ascii="David" w:hAnsi="David"/>
          <w:color w:val="000000"/>
          <w:sz w:val="22"/>
          <w:szCs w:val="22"/>
          <w:rtl/>
        </w:rPr>
      </w:pPr>
    </w:p>
    <w:p w14:paraId="657062E4" w14:textId="77777777" w:rsidR="007075E9" w:rsidRPr="007075E9" w:rsidRDefault="007075E9" w:rsidP="007075E9">
      <w:pPr>
        <w:keepNext/>
        <w:rPr>
          <w:rFonts w:ascii="David" w:hAnsi="David"/>
          <w:color w:val="000000"/>
          <w:sz w:val="22"/>
          <w:szCs w:val="22"/>
          <w:rtl/>
        </w:rPr>
      </w:pPr>
      <w:r w:rsidRPr="007075E9">
        <w:rPr>
          <w:rFonts w:ascii="David" w:hAnsi="David"/>
          <w:color w:val="000000"/>
          <w:sz w:val="22"/>
          <w:szCs w:val="22"/>
          <w:rtl/>
        </w:rPr>
        <w:t>סימי פלג קימלוב 54678313</w:t>
      </w:r>
    </w:p>
    <w:p w14:paraId="238EB00D" w14:textId="77777777" w:rsidR="007075E9" w:rsidRDefault="007075E9" w:rsidP="007075E9">
      <w:r w:rsidRPr="007075E9">
        <w:rPr>
          <w:color w:val="000000"/>
          <w:rtl/>
        </w:rPr>
        <w:t>נוסח מסמך זה כפוף לשינויי ניסוח ועריכה</w:t>
      </w:r>
    </w:p>
    <w:p w14:paraId="3404B9CA" w14:textId="77777777" w:rsidR="007075E9" w:rsidRDefault="007075E9" w:rsidP="007075E9">
      <w:pPr>
        <w:rPr>
          <w:rtl/>
        </w:rPr>
      </w:pPr>
    </w:p>
    <w:p w14:paraId="345856C5" w14:textId="77777777" w:rsidR="007075E9" w:rsidRDefault="007075E9" w:rsidP="007075E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C059BFB" w14:textId="77777777" w:rsidR="007075E9" w:rsidRPr="007075E9" w:rsidRDefault="007075E9" w:rsidP="007075E9">
      <w:pPr>
        <w:jc w:val="center"/>
        <w:rPr>
          <w:color w:val="0000FF"/>
          <w:u w:val="single"/>
        </w:rPr>
      </w:pPr>
    </w:p>
    <w:sectPr w:rsidR="007075E9" w:rsidRPr="007075E9" w:rsidSect="007075E9">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1A478" w14:textId="77777777" w:rsidR="001F34F9" w:rsidRDefault="001F34F9" w:rsidP="00871D44">
      <w:r>
        <w:separator/>
      </w:r>
    </w:p>
  </w:endnote>
  <w:endnote w:type="continuationSeparator" w:id="0">
    <w:p w14:paraId="6CA574AB" w14:textId="77777777" w:rsidR="001F34F9" w:rsidRDefault="001F34F9" w:rsidP="0087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35E56" w14:textId="77777777" w:rsidR="007075E9" w:rsidRDefault="007075E9" w:rsidP="007075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C6E57B" w14:textId="77777777" w:rsidR="00030727" w:rsidRPr="007075E9" w:rsidRDefault="007075E9" w:rsidP="007075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95DD" w14:textId="77777777" w:rsidR="007075E9" w:rsidRDefault="007075E9" w:rsidP="007075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47EA">
      <w:rPr>
        <w:rFonts w:ascii="FrankRuehl" w:hAnsi="FrankRuehl" w:cs="FrankRuehl"/>
        <w:noProof/>
        <w:rtl/>
      </w:rPr>
      <w:t>1</w:t>
    </w:r>
    <w:r>
      <w:rPr>
        <w:rFonts w:ascii="FrankRuehl" w:hAnsi="FrankRuehl" w:cs="FrankRuehl"/>
        <w:rtl/>
      </w:rPr>
      <w:fldChar w:fldCharType="end"/>
    </w:r>
  </w:p>
  <w:p w14:paraId="6651197F" w14:textId="77777777" w:rsidR="00030727" w:rsidRPr="007075E9" w:rsidRDefault="007075E9" w:rsidP="007075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414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10F9B" w14:textId="77777777" w:rsidR="001F34F9" w:rsidRDefault="001F34F9" w:rsidP="00871D44">
      <w:r>
        <w:separator/>
      </w:r>
    </w:p>
  </w:footnote>
  <w:footnote w:type="continuationSeparator" w:id="0">
    <w:p w14:paraId="064EAC99" w14:textId="77777777" w:rsidR="001F34F9" w:rsidRDefault="001F34F9" w:rsidP="00871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AF774" w14:textId="77777777" w:rsidR="007075E9" w:rsidRPr="007075E9" w:rsidRDefault="007075E9" w:rsidP="00707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47113-02-22</w:t>
    </w:r>
    <w:r>
      <w:rPr>
        <w:rFonts w:ascii="David" w:hAnsi="David"/>
        <w:color w:val="000000"/>
        <w:sz w:val="22"/>
        <w:szCs w:val="22"/>
        <w:rtl/>
      </w:rPr>
      <w:tab/>
      <w:t xml:space="preserve"> מדינת ישראל נ' יצחק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A90AE" w14:textId="77777777" w:rsidR="007075E9" w:rsidRPr="007075E9" w:rsidRDefault="007075E9" w:rsidP="00707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47113-02-22</w:t>
    </w:r>
    <w:r>
      <w:rPr>
        <w:rFonts w:ascii="David" w:hAnsi="David"/>
        <w:color w:val="000000"/>
        <w:sz w:val="22"/>
        <w:szCs w:val="22"/>
        <w:rtl/>
      </w:rPr>
      <w:tab/>
      <w:t xml:space="preserve"> מדינת ישראל נ' יצחק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25D48"/>
    <w:multiLevelType w:val="hybridMultilevel"/>
    <w:tmpl w:val="E496DFA6"/>
    <w:lvl w:ilvl="0" w:tplc="78DAE208">
      <w:start w:val="10"/>
      <w:numFmt w:val="decimal"/>
      <w:lvlText w:val="%1"/>
      <w:lvlJc w:val="left"/>
      <w:pPr>
        <w:ind w:left="927" w:hanging="360"/>
      </w:pPr>
      <w:rPr>
        <w:rFonts w:ascii="Times New Roman" w:hAnsi="Times New Roman" w:cs="David" w:hint="default"/>
        <w:b w:val="0"/>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67932EF9"/>
    <w:multiLevelType w:val="hybridMultilevel"/>
    <w:tmpl w:val="36747B88"/>
    <w:lvl w:ilvl="0" w:tplc="9538EA98">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B9E3352"/>
    <w:multiLevelType w:val="hybridMultilevel"/>
    <w:tmpl w:val="A218EAB0"/>
    <w:lvl w:ilvl="0" w:tplc="B3FE858A">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94929220">
    <w:abstractNumId w:val="1"/>
  </w:num>
  <w:num w:numId="2" w16cid:durableId="421340205">
    <w:abstractNumId w:val="2"/>
  </w:num>
  <w:num w:numId="3" w16cid:durableId="15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1FB0"/>
    <w:rsid w:val="00030727"/>
    <w:rsid w:val="00165DB0"/>
    <w:rsid w:val="001818A4"/>
    <w:rsid w:val="001B5A3B"/>
    <w:rsid w:val="001F34F9"/>
    <w:rsid w:val="00206C4A"/>
    <w:rsid w:val="003147EA"/>
    <w:rsid w:val="00381FB0"/>
    <w:rsid w:val="00612D7A"/>
    <w:rsid w:val="007075E9"/>
    <w:rsid w:val="00871D44"/>
    <w:rsid w:val="0093718A"/>
    <w:rsid w:val="009C1006"/>
    <w:rsid w:val="009C4070"/>
    <w:rsid w:val="00AE32A3"/>
    <w:rsid w:val="00B6643F"/>
    <w:rsid w:val="00C82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A30629"/>
  <w15:chartTrackingRefBased/>
  <w15:docId w15:val="{8E480647-4A99-4592-BE6F-8D67C713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1FB0"/>
    <w:pPr>
      <w:bidi/>
    </w:pPr>
    <w:rPr>
      <w:rFonts w:ascii="Times New Roman" w:eastAsia="Times New Roman" w:hAnsi="Times New Roman" w:cs="David"/>
      <w:sz w:val="24"/>
      <w:szCs w:val="24"/>
    </w:rPr>
  </w:style>
  <w:style w:type="paragraph" w:styleId="1">
    <w:name w:val="heading 1"/>
    <w:basedOn w:val="a"/>
    <w:next w:val="a"/>
    <w:link w:val="10"/>
    <w:qFormat/>
    <w:rsid w:val="00381FB0"/>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81FB0"/>
    <w:rPr>
      <w:rFonts w:ascii="Arial" w:eastAsia="Times New Roman" w:hAnsi="Arial" w:cs="Arial"/>
      <w:b/>
      <w:bCs/>
      <w:kern w:val="32"/>
      <w:sz w:val="32"/>
      <w:szCs w:val="32"/>
    </w:rPr>
  </w:style>
  <w:style w:type="paragraph" w:styleId="a3">
    <w:name w:val="header"/>
    <w:basedOn w:val="a"/>
    <w:link w:val="a4"/>
    <w:rsid w:val="00381FB0"/>
    <w:pPr>
      <w:tabs>
        <w:tab w:val="center" w:pos="4153"/>
        <w:tab w:val="right" w:pos="8306"/>
      </w:tabs>
    </w:pPr>
  </w:style>
  <w:style w:type="character" w:customStyle="1" w:styleId="a4">
    <w:name w:val="כותרת עליונה תו"/>
    <w:link w:val="a3"/>
    <w:rsid w:val="00381FB0"/>
    <w:rPr>
      <w:rFonts w:ascii="Times New Roman" w:eastAsia="Times New Roman" w:hAnsi="Times New Roman" w:cs="David"/>
      <w:sz w:val="24"/>
      <w:szCs w:val="24"/>
    </w:rPr>
  </w:style>
  <w:style w:type="paragraph" w:styleId="a5">
    <w:name w:val="footer"/>
    <w:basedOn w:val="a"/>
    <w:link w:val="a6"/>
    <w:rsid w:val="00381FB0"/>
    <w:pPr>
      <w:tabs>
        <w:tab w:val="center" w:pos="4153"/>
        <w:tab w:val="right" w:pos="8306"/>
      </w:tabs>
    </w:pPr>
  </w:style>
  <w:style w:type="character" w:customStyle="1" w:styleId="a6">
    <w:name w:val="כותרת תחתונה תו"/>
    <w:link w:val="a5"/>
    <w:rsid w:val="00381FB0"/>
    <w:rPr>
      <w:rFonts w:ascii="Times New Roman" w:eastAsia="Times New Roman" w:hAnsi="Times New Roman" w:cs="David"/>
      <w:sz w:val="24"/>
      <w:szCs w:val="24"/>
    </w:rPr>
  </w:style>
  <w:style w:type="table" w:styleId="a7">
    <w:name w:val="Table Grid"/>
    <w:basedOn w:val="a1"/>
    <w:rsid w:val="00381F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1FB0"/>
  </w:style>
  <w:style w:type="paragraph" w:styleId="a9">
    <w:name w:val="List Paragraph"/>
    <w:basedOn w:val="a"/>
    <w:link w:val="aa"/>
    <w:qFormat/>
    <w:rsid w:val="00381FB0"/>
    <w:pPr>
      <w:ind w:left="720"/>
      <w:contextualSpacing/>
    </w:pPr>
  </w:style>
  <w:style w:type="character" w:customStyle="1" w:styleId="aa">
    <w:name w:val="פיסקת רשימה תו"/>
    <w:link w:val="a9"/>
    <w:locked/>
    <w:rsid w:val="00381FB0"/>
    <w:rPr>
      <w:rFonts w:ascii="Times New Roman" w:eastAsia="Times New Roman" w:hAnsi="Times New Roman" w:cs="David"/>
      <w:sz w:val="24"/>
      <w:szCs w:val="24"/>
    </w:rPr>
  </w:style>
  <w:style w:type="paragraph" w:customStyle="1" w:styleId="11">
    <w:name w:val="פיסקת רשימה1"/>
    <w:basedOn w:val="a"/>
    <w:rsid w:val="00381FB0"/>
    <w:pPr>
      <w:ind w:left="720"/>
      <w:contextualSpacing/>
    </w:pPr>
    <w:rPr>
      <w:rFonts w:cs="Times New Roman"/>
    </w:rPr>
  </w:style>
  <w:style w:type="character" w:styleId="Hyperlink">
    <w:name w:val="Hyperlink"/>
    <w:rsid w:val="00707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956321" TargetMode="External"/><Relationship Id="rId21" Type="http://schemas.openxmlformats.org/officeDocument/2006/relationships/hyperlink" Target="http://www.nevo.co.il/case/28400049"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05256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26246488" TargetMode="External"/><Relationship Id="rId29" Type="http://schemas.openxmlformats.org/officeDocument/2006/relationships/hyperlink" Target="http://www.nevo.co.il/case/257088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095629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32" TargetMode="External"/><Relationship Id="rId23" Type="http://schemas.openxmlformats.org/officeDocument/2006/relationships/hyperlink" Target="http://www.nevo.co.il/case/23509036" TargetMode="External"/><Relationship Id="rId28" Type="http://schemas.openxmlformats.org/officeDocument/2006/relationships/hyperlink" Target="http://www.nevo.co.il/case/25705593"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69891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32"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751286" TargetMode="External"/><Relationship Id="rId27" Type="http://schemas.openxmlformats.org/officeDocument/2006/relationships/hyperlink" Target="http://www.nevo.co.il/case/4140033" TargetMode="External"/><Relationship Id="rId30" Type="http://schemas.openxmlformats.org/officeDocument/2006/relationships/hyperlink" Target="http://www.nevo.co.il/case/22237052"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2502</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14986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3276917</vt:i4>
      </vt:variant>
      <vt:variant>
        <vt:i4>69</vt:i4>
      </vt:variant>
      <vt:variant>
        <vt:i4>0</vt:i4>
      </vt:variant>
      <vt:variant>
        <vt:i4>5</vt:i4>
      </vt:variant>
      <vt:variant>
        <vt:lpwstr>http://www.nevo.co.il/case/22237052</vt:lpwstr>
      </vt:variant>
      <vt:variant>
        <vt:lpwstr/>
      </vt:variant>
      <vt:variant>
        <vt:i4>4128889</vt:i4>
      </vt:variant>
      <vt:variant>
        <vt:i4>66</vt:i4>
      </vt:variant>
      <vt:variant>
        <vt:i4>0</vt:i4>
      </vt:variant>
      <vt:variant>
        <vt:i4>5</vt:i4>
      </vt:variant>
      <vt:variant>
        <vt:lpwstr>http://www.nevo.co.il/case/25708829</vt:lpwstr>
      </vt:variant>
      <vt:variant>
        <vt:lpwstr/>
      </vt:variant>
      <vt:variant>
        <vt:i4>3735668</vt:i4>
      </vt:variant>
      <vt:variant>
        <vt:i4>63</vt:i4>
      </vt:variant>
      <vt:variant>
        <vt:i4>0</vt:i4>
      </vt:variant>
      <vt:variant>
        <vt:i4>5</vt:i4>
      </vt:variant>
      <vt:variant>
        <vt:lpwstr>http://www.nevo.co.il/case/25705593</vt:lpwstr>
      </vt:variant>
      <vt:variant>
        <vt:lpwstr/>
      </vt:variant>
      <vt:variant>
        <vt:i4>3342454</vt:i4>
      </vt:variant>
      <vt:variant>
        <vt:i4>60</vt:i4>
      </vt:variant>
      <vt:variant>
        <vt:i4>0</vt:i4>
      </vt:variant>
      <vt:variant>
        <vt:i4>5</vt:i4>
      </vt:variant>
      <vt:variant>
        <vt:lpwstr>http://www.nevo.co.il/case/4140033</vt:lpwstr>
      </vt:variant>
      <vt:variant>
        <vt:lpwstr/>
      </vt:variant>
      <vt:variant>
        <vt:i4>4128880</vt:i4>
      </vt:variant>
      <vt:variant>
        <vt:i4>57</vt:i4>
      </vt:variant>
      <vt:variant>
        <vt:i4>0</vt:i4>
      </vt:variant>
      <vt:variant>
        <vt:i4>5</vt:i4>
      </vt:variant>
      <vt:variant>
        <vt:lpwstr>http://www.nevo.co.il/case/22956321</vt:lpwstr>
      </vt:variant>
      <vt:variant>
        <vt:lpwstr/>
      </vt:variant>
      <vt:variant>
        <vt:i4>3539060</vt:i4>
      </vt:variant>
      <vt:variant>
        <vt:i4>54</vt:i4>
      </vt:variant>
      <vt:variant>
        <vt:i4>0</vt:i4>
      </vt:variant>
      <vt:variant>
        <vt:i4>5</vt:i4>
      </vt:variant>
      <vt:variant>
        <vt:lpwstr>http://www.nevo.co.il/case/20052568</vt:lpwstr>
      </vt:variant>
      <vt:variant>
        <vt:lpwstr/>
      </vt:variant>
      <vt:variant>
        <vt:i4>3407987</vt:i4>
      </vt:variant>
      <vt:variant>
        <vt:i4>51</vt:i4>
      </vt:variant>
      <vt:variant>
        <vt:i4>0</vt:i4>
      </vt:variant>
      <vt:variant>
        <vt:i4>5</vt:i4>
      </vt:variant>
      <vt:variant>
        <vt:lpwstr>http://www.nevo.co.il/case/20956295</vt:lpwstr>
      </vt:variant>
      <vt:variant>
        <vt:lpwstr/>
      </vt:variant>
      <vt:variant>
        <vt:i4>3997815</vt:i4>
      </vt:variant>
      <vt:variant>
        <vt:i4>48</vt:i4>
      </vt:variant>
      <vt:variant>
        <vt:i4>0</vt:i4>
      </vt:variant>
      <vt:variant>
        <vt:i4>5</vt:i4>
      </vt:variant>
      <vt:variant>
        <vt:lpwstr>http://www.nevo.co.il/case/23509036</vt:lpwstr>
      </vt:variant>
      <vt:variant>
        <vt:lpwstr/>
      </vt:variant>
      <vt:variant>
        <vt:i4>3932272</vt:i4>
      </vt:variant>
      <vt:variant>
        <vt:i4>45</vt:i4>
      </vt:variant>
      <vt:variant>
        <vt:i4>0</vt:i4>
      </vt:variant>
      <vt:variant>
        <vt:i4>5</vt:i4>
      </vt:variant>
      <vt:variant>
        <vt:lpwstr>http://www.nevo.co.il/case/23751286</vt:lpwstr>
      </vt:variant>
      <vt:variant>
        <vt:lpwstr/>
      </vt:variant>
      <vt:variant>
        <vt:i4>3276924</vt:i4>
      </vt:variant>
      <vt:variant>
        <vt:i4>42</vt:i4>
      </vt:variant>
      <vt:variant>
        <vt:i4>0</vt:i4>
      </vt:variant>
      <vt:variant>
        <vt:i4>5</vt:i4>
      </vt:variant>
      <vt:variant>
        <vt:lpwstr>http://www.nevo.co.il/case/28400049</vt:lpwstr>
      </vt:variant>
      <vt:variant>
        <vt:lpwstr/>
      </vt:variant>
      <vt:variant>
        <vt:i4>4063346</vt:i4>
      </vt:variant>
      <vt:variant>
        <vt:i4>39</vt:i4>
      </vt:variant>
      <vt:variant>
        <vt:i4>0</vt:i4>
      </vt:variant>
      <vt:variant>
        <vt:i4>5</vt:i4>
      </vt:variant>
      <vt:variant>
        <vt:lpwstr>http://www.nevo.co.il/case/26246488</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5046346</vt:i4>
      </vt:variant>
      <vt:variant>
        <vt:i4>24</vt:i4>
      </vt:variant>
      <vt:variant>
        <vt:i4>0</vt:i4>
      </vt:variant>
      <vt:variant>
        <vt:i4>5</vt:i4>
      </vt:variant>
      <vt:variant>
        <vt:lpwstr>http://www.nevo.co.il/law/4216/32</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5046346</vt:i4>
      </vt:variant>
      <vt:variant>
        <vt:i4>6</vt:i4>
      </vt:variant>
      <vt:variant>
        <vt:i4>0</vt:i4>
      </vt:variant>
      <vt:variant>
        <vt:i4>5</vt:i4>
      </vt:variant>
      <vt:variant>
        <vt:lpwstr>http://www.nevo.co.il/law/4216/32</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47113</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יצחק כהן</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20220728</vt:lpwstr>
  </property>
  <property fmtid="{D5CDD505-2E9C-101B-9397-08002B2CF9AE}" pid="13" name="TYPE_N_DATE">
    <vt:lpwstr>38020220728</vt:lpwstr>
  </property>
  <property fmtid="{D5CDD505-2E9C-101B-9397-08002B2CF9AE}" pid="14" name="WORDNUMPAGES">
    <vt:lpwstr>8</vt:lpwstr>
  </property>
  <property fmtid="{D5CDD505-2E9C-101B-9397-08002B2CF9AE}" pid="15" name="TYPE_ABS_DATE">
    <vt:lpwstr>380020220728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5698919;26246488;28400049;23751286;23509036;20956295;20052568;22956321;4140033;25705593;25708829;22237052</vt:lpwstr>
  </property>
  <property fmtid="{D5CDD505-2E9C-101B-9397-08002B2CF9AE}" pid="36" name="LAWLISTTMP1">
    <vt:lpwstr>4216/007.a:2;032</vt:lpwstr>
  </property>
  <property fmtid="{D5CDD505-2E9C-101B-9397-08002B2CF9AE}" pid="37" name="LAWLISTTMP2">
    <vt:lpwstr>70301/040c.a</vt:lpwstr>
  </property>
</Properties>
</file>