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72B50" w:rsidRPr="00C134BF" w14:paraId="32EECAC4" w14:textId="77777777" w:rsidTr="000519B6">
        <w:trPr>
          <w:trHeight w:hRule="exact" w:val="418"/>
          <w:jc w:val="center"/>
        </w:trPr>
        <w:tc>
          <w:tcPr>
            <w:tcW w:w="8721" w:type="dxa"/>
            <w:gridSpan w:val="2"/>
          </w:tcPr>
          <w:p w14:paraId="11DEFF24" w14:textId="77777777" w:rsidR="00172B50" w:rsidRPr="00C134BF" w:rsidRDefault="00172B50" w:rsidP="00FD1897">
            <w:pPr>
              <w:pStyle w:val="a3"/>
              <w:jc w:val="center"/>
              <w:rPr>
                <w:rFonts w:ascii="Tahoma" w:hAnsi="Tahoma" w:cs="Tahoma"/>
                <w:color w:val="000080"/>
                <w:rtl/>
              </w:rPr>
            </w:pPr>
            <w:r w:rsidRPr="00C134BF">
              <w:rPr>
                <w:rFonts w:ascii="Tahoma" w:hAnsi="Tahoma" w:cs="Tahoma"/>
                <w:b/>
                <w:bCs/>
                <w:color w:val="000080"/>
                <w:rtl/>
              </w:rPr>
              <w:t>בית משפט השלום בבאר שבע</w:t>
            </w:r>
          </w:p>
        </w:tc>
      </w:tr>
      <w:tr w:rsidR="00172B50" w:rsidRPr="00C134BF" w14:paraId="0CFC5789" w14:textId="77777777" w:rsidTr="000519B6">
        <w:trPr>
          <w:trHeight w:val="337"/>
          <w:jc w:val="center"/>
        </w:trPr>
        <w:tc>
          <w:tcPr>
            <w:tcW w:w="5054" w:type="dxa"/>
          </w:tcPr>
          <w:p w14:paraId="0DE58E02" w14:textId="77777777" w:rsidR="00172B50" w:rsidRPr="00C134BF" w:rsidRDefault="00172B50" w:rsidP="00FD1897">
            <w:pPr>
              <w:rPr>
                <w:rFonts w:cs="FrankRuehl"/>
                <w:sz w:val="28"/>
                <w:szCs w:val="28"/>
                <w:rtl/>
              </w:rPr>
            </w:pPr>
            <w:r w:rsidRPr="00C134BF">
              <w:rPr>
                <w:rFonts w:cs="FrankRuehl"/>
                <w:sz w:val="28"/>
                <w:szCs w:val="28"/>
                <w:rtl/>
              </w:rPr>
              <w:t>ת"פ</w:t>
            </w:r>
            <w:r w:rsidRPr="00C134BF">
              <w:rPr>
                <w:rFonts w:cs="FrankRuehl" w:hint="cs"/>
                <w:sz w:val="28"/>
                <w:szCs w:val="28"/>
                <w:rtl/>
              </w:rPr>
              <w:t xml:space="preserve"> </w:t>
            </w:r>
            <w:r w:rsidRPr="00C134BF">
              <w:rPr>
                <w:rFonts w:cs="FrankRuehl"/>
                <w:sz w:val="28"/>
                <w:szCs w:val="28"/>
                <w:rtl/>
              </w:rPr>
              <w:t>51149-02-22</w:t>
            </w:r>
            <w:r w:rsidRPr="00C134BF">
              <w:rPr>
                <w:rFonts w:cs="FrankRuehl" w:hint="cs"/>
                <w:sz w:val="28"/>
                <w:szCs w:val="28"/>
                <w:rtl/>
              </w:rPr>
              <w:t xml:space="preserve"> </w:t>
            </w:r>
            <w:r w:rsidRPr="00C134BF">
              <w:rPr>
                <w:rFonts w:cs="FrankRuehl"/>
                <w:sz w:val="28"/>
                <w:szCs w:val="28"/>
                <w:rtl/>
              </w:rPr>
              <w:t>מדינת ישראל נ' שלמה</w:t>
            </w:r>
          </w:p>
          <w:p w14:paraId="3A859D2C" w14:textId="77777777" w:rsidR="00172B50" w:rsidRPr="00C134BF" w:rsidRDefault="00172B50" w:rsidP="00FD1897">
            <w:pPr>
              <w:pStyle w:val="a3"/>
              <w:rPr>
                <w:rFonts w:cs="FrankRuehl"/>
                <w:sz w:val="28"/>
                <w:szCs w:val="28"/>
                <w:rtl/>
              </w:rPr>
            </w:pPr>
          </w:p>
        </w:tc>
        <w:tc>
          <w:tcPr>
            <w:tcW w:w="3667" w:type="dxa"/>
          </w:tcPr>
          <w:p w14:paraId="32EB6E89" w14:textId="77777777" w:rsidR="00172B50" w:rsidRPr="00C134BF" w:rsidRDefault="00172B50" w:rsidP="00FD1897">
            <w:pPr>
              <w:pStyle w:val="a3"/>
              <w:jc w:val="right"/>
              <w:rPr>
                <w:rFonts w:cs="FrankRuehl"/>
                <w:sz w:val="28"/>
                <w:szCs w:val="28"/>
                <w:rtl/>
              </w:rPr>
            </w:pPr>
          </w:p>
        </w:tc>
      </w:tr>
    </w:tbl>
    <w:p w14:paraId="47B6ED79" w14:textId="77777777" w:rsidR="00172B50" w:rsidRPr="00C134BF" w:rsidRDefault="00172B50" w:rsidP="00172B50">
      <w:pPr>
        <w:pStyle w:val="a3"/>
        <w:rPr>
          <w:rtl/>
        </w:rPr>
      </w:pPr>
      <w:r w:rsidRPr="00C134BF">
        <w:rPr>
          <w:rFonts w:hint="cs"/>
          <w:rtl/>
        </w:rPr>
        <w:t xml:space="preserve"> </w:t>
      </w:r>
    </w:p>
    <w:p w14:paraId="4FC11878" w14:textId="77777777" w:rsidR="00172B50" w:rsidRPr="00C134BF" w:rsidRDefault="00172B50" w:rsidP="00172B50">
      <w:pPr>
        <w:rPr>
          <w:rtl/>
        </w:rPr>
      </w:pPr>
    </w:p>
    <w:p w14:paraId="3DD48172" w14:textId="77777777" w:rsidR="00172B50" w:rsidRPr="00C134BF" w:rsidRDefault="00172B50" w:rsidP="00172B5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72B50" w:rsidRPr="00C134BF" w14:paraId="438897BC" w14:textId="77777777" w:rsidTr="00172B50">
        <w:trPr>
          <w:trHeight w:val="295"/>
          <w:jc w:val="center"/>
        </w:trPr>
        <w:tc>
          <w:tcPr>
            <w:tcW w:w="923" w:type="dxa"/>
            <w:tcBorders>
              <w:top w:val="nil"/>
              <w:left w:val="nil"/>
              <w:bottom w:val="nil"/>
              <w:right w:val="nil"/>
            </w:tcBorders>
            <w:shd w:val="clear" w:color="auto" w:fill="auto"/>
          </w:tcPr>
          <w:p w14:paraId="1C76C1B1" w14:textId="77777777" w:rsidR="00172B50" w:rsidRPr="00C134BF" w:rsidRDefault="00172B50" w:rsidP="00172B50">
            <w:pPr>
              <w:jc w:val="both"/>
              <w:rPr>
                <w:rFonts w:ascii="David" w:hAnsi="David"/>
                <w:sz w:val="26"/>
                <w:szCs w:val="26"/>
              </w:rPr>
            </w:pPr>
            <w:r w:rsidRPr="00C134B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2F15D86" w14:textId="77777777" w:rsidR="00172B50" w:rsidRPr="00C134BF" w:rsidRDefault="00172B50" w:rsidP="00FD1897">
            <w:pPr>
              <w:rPr>
                <w:rFonts w:ascii="David" w:hAnsi="David"/>
                <w:b/>
                <w:bCs/>
                <w:sz w:val="26"/>
                <w:szCs w:val="26"/>
                <w:rtl/>
              </w:rPr>
            </w:pPr>
            <w:r w:rsidRPr="00C134BF">
              <w:rPr>
                <w:rFonts w:ascii="David" w:hAnsi="David"/>
                <w:b/>
                <w:bCs/>
                <w:sz w:val="26"/>
                <w:szCs w:val="26"/>
                <w:rtl/>
              </w:rPr>
              <w:t>כבוד השופט, סגן הנשיא  אבישי כהן</w:t>
            </w:r>
          </w:p>
          <w:p w14:paraId="509D9653" w14:textId="77777777" w:rsidR="00172B50" w:rsidRPr="00C134BF" w:rsidRDefault="00172B50" w:rsidP="00FD1897">
            <w:pPr>
              <w:rPr>
                <w:rFonts w:ascii="David" w:hAnsi="David"/>
                <w:sz w:val="26"/>
                <w:szCs w:val="26"/>
                <w:rtl/>
              </w:rPr>
            </w:pPr>
          </w:p>
          <w:p w14:paraId="489CD448" w14:textId="77777777" w:rsidR="00172B50" w:rsidRPr="00C134BF" w:rsidRDefault="00172B50" w:rsidP="00172B50">
            <w:pPr>
              <w:jc w:val="both"/>
              <w:rPr>
                <w:rFonts w:ascii="David" w:hAnsi="David"/>
                <w:sz w:val="26"/>
                <w:szCs w:val="26"/>
              </w:rPr>
            </w:pPr>
          </w:p>
        </w:tc>
      </w:tr>
      <w:tr w:rsidR="00172B50" w:rsidRPr="00C134BF" w14:paraId="46341203" w14:textId="77777777" w:rsidTr="00172B50">
        <w:trPr>
          <w:trHeight w:val="355"/>
          <w:jc w:val="center"/>
        </w:trPr>
        <w:tc>
          <w:tcPr>
            <w:tcW w:w="923" w:type="dxa"/>
            <w:tcBorders>
              <w:top w:val="nil"/>
              <w:left w:val="nil"/>
              <w:bottom w:val="nil"/>
              <w:right w:val="nil"/>
            </w:tcBorders>
            <w:shd w:val="clear" w:color="auto" w:fill="auto"/>
          </w:tcPr>
          <w:p w14:paraId="6A31EF5F" w14:textId="77777777" w:rsidR="00172B50" w:rsidRPr="00C134BF" w:rsidRDefault="00172B50" w:rsidP="00172B50">
            <w:pPr>
              <w:jc w:val="both"/>
              <w:rPr>
                <w:rFonts w:ascii="David" w:hAnsi="David"/>
                <w:sz w:val="26"/>
                <w:szCs w:val="26"/>
              </w:rPr>
            </w:pPr>
            <w:bookmarkStart w:id="0" w:name="FirstAppellant"/>
            <w:bookmarkStart w:id="1" w:name="FirstLawyer"/>
            <w:bookmarkStart w:id="2" w:name="LastJudge"/>
            <w:bookmarkEnd w:id="2"/>
            <w:r w:rsidRPr="00C134BF">
              <w:rPr>
                <w:rFonts w:ascii="David" w:hAnsi="David"/>
                <w:sz w:val="26"/>
                <w:szCs w:val="26"/>
                <w:rtl/>
              </w:rPr>
              <w:t>בעניין:</w:t>
            </w:r>
          </w:p>
        </w:tc>
        <w:tc>
          <w:tcPr>
            <w:tcW w:w="3219" w:type="dxa"/>
            <w:tcBorders>
              <w:top w:val="nil"/>
              <w:left w:val="nil"/>
              <w:bottom w:val="nil"/>
              <w:right w:val="nil"/>
            </w:tcBorders>
            <w:shd w:val="clear" w:color="auto" w:fill="auto"/>
          </w:tcPr>
          <w:p w14:paraId="18B8F4D1" w14:textId="77777777" w:rsidR="00172B50" w:rsidRPr="00C134BF" w:rsidRDefault="00172B50" w:rsidP="00172B50">
            <w:pPr>
              <w:suppressLineNumbers/>
            </w:pPr>
            <w:r w:rsidRPr="00C134BF">
              <w:rPr>
                <w:rFonts w:ascii="Arial" w:hAnsi="Arial" w:hint="cs"/>
                <w:b/>
                <w:bCs/>
                <w:sz w:val="26"/>
                <w:szCs w:val="26"/>
                <w:rtl/>
              </w:rPr>
              <w:t>ה</w:t>
            </w:r>
            <w:r w:rsidRPr="00C134BF">
              <w:rPr>
                <w:rFonts w:ascii="Arial" w:hAnsi="Arial"/>
                <w:b/>
                <w:bCs/>
                <w:sz w:val="26"/>
                <w:szCs w:val="26"/>
                <w:rtl/>
              </w:rPr>
              <w:t>מאשימה</w:t>
            </w:r>
          </w:p>
          <w:p w14:paraId="0A94BF95" w14:textId="77777777" w:rsidR="00172B50" w:rsidRPr="00C134BF" w:rsidRDefault="00172B50" w:rsidP="00FD1897">
            <w:pPr>
              <w:rPr>
                <w:rFonts w:ascii="David" w:hAnsi="David"/>
                <w:sz w:val="26"/>
                <w:szCs w:val="26"/>
              </w:rPr>
            </w:pPr>
          </w:p>
        </w:tc>
        <w:tc>
          <w:tcPr>
            <w:tcW w:w="4678" w:type="dxa"/>
            <w:tcBorders>
              <w:top w:val="nil"/>
              <w:left w:val="nil"/>
              <w:bottom w:val="nil"/>
              <w:right w:val="nil"/>
            </w:tcBorders>
            <w:shd w:val="clear" w:color="auto" w:fill="auto"/>
            <w:vAlign w:val="center"/>
          </w:tcPr>
          <w:p w14:paraId="07867FD0" w14:textId="77777777" w:rsidR="00172B50" w:rsidRPr="00C134BF" w:rsidRDefault="00172B50" w:rsidP="00172B50">
            <w:pPr>
              <w:suppressLineNumbers/>
              <w:rPr>
                <w:rFonts w:ascii="Arial" w:hAnsi="Arial"/>
                <w:b/>
                <w:bCs/>
                <w:sz w:val="26"/>
                <w:szCs w:val="26"/>
                <w:rtl/>
              </w:rPr>
            </w:pPr>
            <w:r w:rsidRPr="00C134BF">
              <w:rPr>
                <w:rFonts w:ascii="Arial" w:hAnsi="Arial"/>
                <w:b/>
                <w:bCs/>
                <w:sz w:val="26"/>
                <w:szCs w:val="26"/>
                <w:rtl/>
              </w:rPr>
              <w:t>מדינת ישראל</w:t>
            </w:r>
            <w:r w:rsidRPr="00C134BF">
              <w:rPr>
                <w:rFonts w:ascii="Arial" w:hAnsi="Arial" w:hint="cs"/>
                <w:b/>
                <w:bCs/>
                <w:sz w:val="26"/>
                <w:szCs w:val="26"/>
                <w:rtl/>
              </w:rPr>
              <w:t xml:space="preserve"> </w:t>
            </w:r>
          </w:p>
          <w:p w14:paraId="4DE20961" w14:textId="77777777" w:rsidR="00172B50" w:rsidRPr="00C134BF" w:rsidRDefault="00172B50" w:rsidP="00172B50">
            <w:pPr>
              <w:suppressLineNumbers/>
            </w:pPr>
            <w:r w:rsidRPr="00C134BF">
              <w:rPr>
                <w:rFonts w:ascii="Arial" w:hAnsi="Arial"/>
                <w:b/>
                <w:bCs/>
                <w:sz w:val="26"/>
                <w:szCs w:val="26"/>
                <w:rtl/>
              </w:rPr>
              <w:t>ע"י ב"כ עוה"ד</w:t>
            </w:r>
            <w:r w:rsidRPr="00C134BF">
              <w:rPr>
                <w:rFonts w:ascii="Arial" w:hAnsi="Arial" w:hint="cs"/>
                <w:b/>
                <w:bCs/>
                <w:sz w:val="26"/>
                <w:szCs w:val="26"/>
                <w:rtl/>
              </w:rPr>
              <w:t xml:space="preserve"> אינרה פרז</w:t>
            </w:r>
          </w:p>
          <w:p w14:paraId="738EBEA1" w14:textId="77777777" w:rsidR="00172B50" w:rsidRPr="00C134BF" w:rsidRDefault="00172B50" w:rsidP="00FD1897">
            <w:pPr>
              <w:rPr>
                <w:rFonts w:ascii="David" w:hAnsi="David"/>
                <w:sz w:val="26"/>
                <w:szCs w:val="26"/>
              </w:rPr>
            </w:pPr>
          </w:p>
        </w:tc>
      </w:tr>
      <w:bookmarkEnd w:id="0"/>
      <w:bookmarkEnd w:id="1"/>
      <w:tr w:rsidR="00172B50" w:rsidRPr="00C134BF" w14:paraId="5DBC780F" w14:textId="77777777" w:rsidTr="00172B50">
        <w:trPr>
          <w:trHeight w:val="355"/>
          <w:jc w:val="center"/>
        </w:trPr>
        <w:tc>
          <w:tcPr>
            <w:tcW w:w="923" w:type="dxa"/>
            <w:tcBorders>
              <w:top w:val="nil"/>
              <w:left w:val="nil"/>
              <w:bottom w:val="nil"/>
              <w:right w:val="nil"/>
            </w:tcBorders>
            <w:shd w:val="clear" w:color="auto" w:fill="auto"/>
          </w:tcPr>
          <w:p w14:paraId="56A3C9BE" w14:textId="77777777" w:rsidR="00172B50" w:rsidRPr="00C134BF" w:rsidRDefault="00172B50" w:rsidP="00172B5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47F50E4" w14:textId="77777777" w:rsidR="00172B50" w:rsidRPr="00C134BF" w:rsidRDefault="00172B50" w:rsidP="00172B50">
            <w:pPr>
              <w:jc w:val="center"/>
              <w:rPr>
                <w:rFonts w:ascii="David" w:hAnsi="David"/>
                <w:b/>
                <w:bCs/>
                <w:sz w:val="26"/>
                <w:szCs w:val="26"/>
                <w:rtl/>
              </w:rPr>
            </w:pPr>
          </w:p>
          <w:p w14:paraId="034F36FD" w14:textId="77777777" w:rsidR="00172B50" w:rsidRPr="00C134BF" w:rsidRDefault="00172B50" w:rsidP="00172B50">
            <w:pPr>
              <w:jc w:val="center"/>
              <w:rPr>
                <w:rFonts w:ascii="David" w:hAnsi="David"/>
                <w:b/>
                <w:bCs/>
                <w:sz w:val="26"/>
                <w:szCs w:val="26"/>
                <w:rtl/>
              </w:rPr>
            </w:pPr>
            <w:r w:rsidRPr="00C134BF">
              <w:rPr>
                <w:rFonts w:ascii="David" w:hAnsi="David"/>
                <w:b/>
                <w:bCs/>
                <w:sz w:val="26"/>
                <w:szCs w:val="26"/>
                <w:rtl/>
              </w:rPr>
              <w:t>נגד</w:t>
            </w:r>
          </w:p>
          <w:p w14:paraId="10FD3A91" w14:textId="77777777" w:rsidR="00172B50" w:rsidRPr="00C134BF" w:rsidRDefault="00172B50" w:rsidP="00172B50">
            <w:pPr>
              <w:jc w:val="both"/>
              <w:rPr>
                <w:rFonts w:ascii="David" w:hAnsi="David"/>
                <w:sz w:val="26"/>
                <w:szCs w:val="26"/>
              </w:rPr>
            </w:pPr>
          </w:p>
        </w:tc>
      </w:tr>
      <w:tr w:rsidR="00172B50" w:rsidRPr="00C134BF" w14:paraId="77C5D18A" w14:textId="77777777" w:rsidTr="00172B50">
        <w:trPr>
          <w:trHeight w:val="355"/>
          <w:jc w:val="center"/>
        </w:trPr>
        <w:tc>
          <w:tcPr>
            <w:tcW w:w="923" w:type="dxa"/>
            <w:tcBorders>
              <w:top w:val="nil"/>
              <w:left w:val="nil"/>
              <w:bottom w:val="nil"/>
              <w:right w:val="nil"/>
            </w:tcBorders>
            <w:shd w:val="clear" w:color="auto" w:fill="auto"/>
          </w:tcPr>
          <w:p w14:paraId="2256CED0" w14:textId="77777777" w:rsidR="00172B50" w:rsidRPr="00C134BF" w:rsidRDefault="00172B50" w:rsidP="00FD1897">
            <w:pPr>
              <w:rPr>
                <w:rFonts w:ascii="David" w:hAnsi="David"/>
                <w:sz w:val="26"/>
                <w:szCs w:val="26"/>
                <w:rtl/>
              </w:rPr>
            </w:pPr>
          </w:p>
        </w:tc>
        <w:tc>
          <w:tcPr>
            <w:tcW w:w="3219" w:type="dxa"/>
            <w:tcBorders>
              <w:top w:val="nil"/>
              <w:left w:val="nil"/>
              <w:bottom w:val="nil"/>
              <w:right w:val="nil"/>
            </w:tcBorders>
            <w:shd w:val="clear" w:color="auto" w:fill="auto"/>
          </w:tcPr>
          <w:p w14:paraId="7748C299" w14:textId="77777777" w:rsidR="00172B50" w:rsidRPr="00C134BF" w:rsidRDefault="00172B50" w:rsidP="00FD1897">
            <w:pPr>
              <w:rPr>
                <w:rFonts w:ascii="Arial" w:hAnsi="Arial"/>
                <w:b/>
                <w:bCs/>
                <w:sz w:val="26"/>
                <w:szCs w:val="26"/>
                <w:rtl/>
              </w:rPr>
            </w:pPr>
            <w:r w:rsidRPr="00C134BF">
              <w:rPr>
                <w:rFonts w:ascii="Arial" w:hAnsi="Arial"/>
                <w:b/>
                <w:bCs/>
                <w:sz w:val="26"/>
                <w:szCs w:val="26"/>
                <w:rtl/>
              </w:rPr>
              <w:t>הנאשמ</w:t>
            </w:r>
            <w:r w:rsidRPr="00C134BF">
              <w:rPr>
                <w:rFonts w:ascii="Arial" w:hAnsi="Arial" w:hint="cs"/>
                <w:b/>
                <w:bCs/>
                <w:sz w:val="26"/>
                <w:szCs w:val="26"/>
                <w:rtl/>
              </w:rPr>
              <w:t>ת</w:t>
            </w:r>
          </w:p>
        </w:tc>
        <w:tc>
          <w:tcPr>
            <w:tcW w:w="4678" w:type="dxa"/>
            <w:tcBorders>
              <w:top w:val="nil"/>
              <w:left w:val="nil"/>
              <w:bottom w:val="nil"/>
              <w:right w:val="nil"/>
            </w:tcBorders>
            <w:shd w:val="clear" w:color="auto" w:fill="auto"/>
            <w:vAlign w:val="center"/>
          </w:tcPr>
          <w:p w14:paraId="3D5E5AE6" w14:textId="77777777" w:rsidR="00172B50" w:rsidRPr="00C134BF" w:rsidRDefault="00172B50" w:rsidP="00172B50">
            <w:pPr>
              <w:suppressLineNumbers/>
              <w:rPr>
                <w:rFonts w:ascii="Arial" w:hAnsi="Arial"/>
                <w:b/>
                <w:bCs/>
                <w:sz w:val="26"/>
                <w:szCs w:val="26"/>
                <w:rtl/>
              </w:rPr>
            </w:pPr>
            <w:r w:rsidRPr="00C134BF">
              <w:rPr>
                <w:rFonts w:ascii="Arial" w:hAnsi="Arial"/>
                <w:b/>
                <w:bCs/>
                <w:sz w:val="26"/>
                <w:szCs w:val="26"/>
                <w:rtl/>
              </w:rPr>
              <w:t>אריאל שלמה</w:t>
            </w:r>
            <w:r w:rsidRPr="00C134BF">
              <w:rPr>
                <w:rFonts w:ascii="Arial" w:hAnsi="Arial" w:hint="cs"/>
                <w:b/>
                <w:bCs/>
                <w:sz w:val="26"/>
                <w:szCs w:val="26"/>
                <w:rtl/>
              </w:rPr>
              <w:t xml:space="preserve"> - בעצמה</w:t>
            </w:r>
          </w:p>
          <w:p w14:paraId="67D1F202" w14:textId="77777777" w:rsidR="00172B50" w:rsidRPr="00C134BF" w:rsidRDefault="00172B50" w:rsidP="00172B50">
            <w:pPr>
              <w:suppressLineNumbers/>
            </w:pPr>
            <w:r w:rsidRPr="00C134BF">
              <w:rPr>
                <w:rFonts w:ascii="Arial" w:hAnsi="Arial"/>
                <w:b/>
                <w:bCs/>
                <w:sz w:val="26"/>
                <w:szCs w:val="26"/>
                <w:rtl/>
              </w:rPr>
              <w:t>ע"י ב"כ עוה"ד</w:t>
            </w:r>
            <w:r w:rsidRPr="00C134BF">
              <w:rPr>
                <w:rFonts w:ascii="Arial" w:hAnsi="Arial" w:hint="cs"/>
                <w:b/>
                <w:bCs/>
                <w:sz w:val="26"/>
                <w:szCs w:val="26"/>
                <w:rtl/>
              </w:rPr>
              <w:t xml:space="preserve"> יוסי בוקר</w:t>
            </w:r>
          </w:p>
          <w:p w14:paraId="7C3E295D" w14:textId="77777777" w:rsidR="00172B50" w:rsidRPr="00C134BF" w:rsidRDefault="00172B50" w:rsidP="00FD1897">
            <w:pPr>
              <w:rPr>
                <w:rFonts w:ascii="David" w:hAnsi="David"/>
                <w:sz w:val="26"/>
                <w:szCs w:val="26"/>
              </w:rPr>
            </w:pPr>
          </w:p>
        </w:tc>
      </w:tr>
    </w:tbl>
    <w:p w14:paraId="7B04859A" w14:textId="77777777" w:rsidR="000519B6" w:rsidRPr="000519B6" w:rsidRDefault="000519B6" w:rsidP="000519B6">
      <w:pPr>
        <w:spacing w:before="120" w:after="120" w:line="240" w:lineRule="exact"/>
        <w:ind w:left="283" w:hanging="283"/>
        <w:jc w:val="both"/>
        <w:rPr>
          <w:rFonts w:ascii="FrankRuehl" w:hAnsi="FrankRuehl" w:cs="FrankRuehl"/>
          <w:rtl/>
        </w:rPr>
      </w:pPr>
    </w:p>
    <w:p w14:paraId="7786697E" w14:textId="77777777" w:rsidR="006A6F49" w:rsidRPr="006A6F49" w:rsidRDefault="006A6F49" w:rsidP="006A6F49">
      <w:pPr>
        <w:spacing w:before="120" w:after="120" w:line="240" w:lineRule="exact"/>
        <w:ind w:left="283" w:hanging="283"/>
        <w:jc w:val="both"/>
        <w:rPr>
          <w:rFonts w:ascii="FrankRuehl" w:hAnsi="FrankRuehl" w:cs="FrankRuehl"/>
          <w:rtl/>
        </w:rPr>
      </w:pPr>
    </w:p>
    <w:p w14:paraId="7A89ED0C" w14:textId="77777777" w:rsidR="003822CB" w:rsidRDefault="003822CB" w:rsidP="003822CB">
      <w:pPr>
        <w:rPr>
          <w:rtl/>
        </w:rPr>
      </w:pPr>
      <w:bookmarkStart w:id="3" w:name="LawTable"/>
      <w:bookmarkEnd w:id="3"/>
    </w:p>
    <w:p w14:paraId="1857E351" w14:textId="77777777" w:rsidR="003822CB" w:rsidRPr="003822CB" w:rsidRDefault="003822CB" w:rsidP="003822CB">
      <w:pPr>
        <w:spacing w:before="120" w:after="120" w:line="240" w:lineRule="exact"/>
        <w:ind w:left="283" w:hanging="283"/>
        <w:jc w:val="both"/>
        <w:rPr>
          <w:rFonts w:ascii="FrankRuehl" w:hAnsi="FrankRuehl" w:cs="FrankRuehl"/>
          <w:rtl/>
        </w:rPr>
      </w:pPr>
    </w:p>
    <w:p w14:paraId="7EB85AEF" w14:textId="77777777" w:rsidR="003822CB" w:rsidRPr="003822CB" w:rsidRDefault="003822CB" w:rsidP="003822CB">
      <w:pPr>
        <w:spacing w:before="120" w:after="120" w:line="240" w:lineRule="exact"/>
        <w:ind w:left="283" w:hanging="283"/>
        <w:jc w:val="both"/>
        <w:rPr>
          <w:rFonts w:ascii="FrankRuehl" w:hAnsi="FrankRuehl" w:cs="FrankRuehl"/>
          <w:rtl/>
        </w:rPr>
      </w:pPr>
    </w:p>
    <w:p w14:paraId="01859217" w14:textId="77777777" w:rsidR="003822CB" w:rsidRPr="003822CB" w:rsidRDefault="003822CB" w:rsidP="003822CB">
      <w:pPr>
        <w:spacing w:before="120" w:after="120" w:line="240" w:lineRule="exact"/>
        <w:ind w:left="283" w:hanging="283"/>
        <w:jc w:val="both"/>
        <w:rPr>
          <w:rFonts w:ascii="FrankRuehl" w:hAnsi="FrankRuehl" w:cs="FrankRuehl"/>
          <w:rtl/>
        </w:rPr>
      </w:pPr>
      <w:r w:rsidRPr="003822CB">
        <w:rPr>
          <w:rFonts w:ascii="FrankRuehl" w:hAnsi="FrankRuehl" w:cs="FrankRuehl"/>
          <w:rtl/>
        </w:rPr>
        <w:t xml:space="preserve">חקיקה שאוזכרה: </w:t>
      </w:r>
    </w:p>
    <w:p w14:paraId="7C423B38" w14:textId="77777777" w:rsidR="003822CB" w:rsidRPr="003822CB" w:rsidRDefault="003822CB" w:rsidP="003822CB">
      <w:pPr>
        <w:spacing w:before="120" w:after="120" w:line="240" w:lineRule="exact"/>
        <w:ind w:left="283" w:hanging="283"/>
        <w:jc w:val="both"/>
        <w:rPr>
          <w:rFonts w:ascii="FrankRuehl" w:hAnsi="FrankRuehl" w:cs="FrankRuehl"/>
          <w:rtl/>
        </w:rPr>
      </w:pPr>
      <w:hyperlink r:id="rId7" w:history="1">
        <w:r w:rsidRPr="003822CB">
          <w:rPr>
            <w:rFonts w:ascii="FrankRuehl" w:hAnsi="FrankRuehl" w:cs="FrankRuehl"/>
            <w:color w:val="0000FF"/>
            <w:rtl/>
          </w:rPr>
          <w:t>פקודת הסמים המסוכנים [נוסח חדש], תשל"ג-1973</w:t>
        </w:r>
      </w:hyperlink>
      <w:r w:rsidRPr="003822CB">
        <w:rPr>
          <w:rFonts w:ascii="FrankRuehl" w:hAnsi="FrankRuehl" w:cs="FrankRuehl"/>
          <w:rtl/>
        </w:rPr>
        <w:t xml:space="preserve">: סע'  </w:t>
      </w:r>
      <w:hyperlink r:id="rId8" w:history="1">
        <w:r w:rsidRPr="003822CB">
          <w:rPr>
            <w:rFonts w:ascii="FrankRuehl" w:hAnsi="FrankRuehl" w:cs="FrankRuehl"/>
            <w:color w:val="0000FF"/>
            <w:rtl/>
          </w:rPr>
          <w:t>7 (א)</w:t>
        </w:r>
      </w:hyperlink>
      <w:r w:rsidRPr="003822CB">
        <w:rPr>
          <w:rFonts w:ascii="FrankRuehl" w:hAnsi="FrankRuehl" w:cs="FrankRuehl"/>
          <w:rtl/>
        </w:rPr>
        <w:t xml:space="preserve">, </w:t>
      </w:r>
      <w:hyperlink r:id="rId9" w:history="1">
        <w:r w:rsidRPr="003822CB">
          <w:rPr>
            <w:rFonts w:ascii="FrankRuehl" w:hAnsi="FrankRuehl" w:cs="FrankRuehl"/>
            <w:color w:val="0000FF"/>
            <w:rtl/>
          </w:rPr>
          <w:t>7 (ג)</w:t>
        </w:r>
      </w:hyperlink>
    </w:p>
    <w:p w14:paraId="13E6BC66" w14:textId="77777777" w:rsidR="003822CB" w:rsidRPr="003822CB" w:rsidRDefault="003822CB" w:rsidP="003822CB">
      <w:pPr>
        <w:spacing w:before="120" w:after="120" w:line="240" w:lineRule="exact"/>
        <w:ind w:left="283" w:hanging="283"/>
        <w:jc w:val="both"/>
        <w:rPr>
          <w:rFonts w:ascii="FrankRuehl" w:hAnsi="FrankRuehl" w:cs="FrankRuehl"/>
          <w:rtl/>
        </w:rPr>
      </w:pPr>
      <w:hyperlink r:id="rId10" w:history="1">
        <w:r w:rsidRPr="003822CB">
          <w:rPr>
            <w:rFonts w:ascii="FrankRuehl" w:hAnsi="FrankRuehl" w:cs="FrankRuehl"/>
            <w:color w:val="0000FF"/>
            <w:rtl/>
          </w:rPr>
          <w:t>חוק העונשין, תשל"ז-1977</w:t>
        </w:r>
      </w:hyperlink>
      <w:r w:rsidRPr="003822CB">
        <w:rPr>
          <w:rFonts w:ascii="FrankRuehl" w:hAnsi="FrankRuehl" w:cs="FrankRuehl"/>
          <w:rtl/>
        </w:rPr>
        <w:t xml:space="preserve">: סע'  </w:t>
      </w:r>
      <w:hyperlink r:id="rId11" w:history="1">
        <w:r w:rsidRPr="003822CB">
          <w:rPr>
            <w:rFonts w:ascii="FrankRuehl" w:hAnsi="FrankRuehl" w:cs="FrankRuehl"/>
            <w:color w:val="0000FF"/>
            <w:rtl/>
          </w:rPr>
          <w:t>40ד(א)</w:t>
        </w:r>
      </w:hyperlink>
      <w:r w:rsidRPr="003822CB">
        <w:rPr>
          <w:rFonts w:ascii="FrankRuehl" w:hAnsi="FrankRuehl" w:cs="FrankRuehl"/>
          <w:rtl/>
        </w:rPr>
        <w:t xml:space="preserve">, </w:t>
      </w:r>
      <w:hyperlink r:id="rId12" w:history="1">
        <w:r w:rsidRPr="003822CB">
          <w:rPr>
            <w:rFonts w:ascii="FrankRuehl" w:hAnsi="FrankRuehl" w:cs="FrankRuehl"/>
            <w:color w:val="0000FF"/>
            <w:rtl/>
          </w:rPr>
          <w:t>40 ט'</w:t>
        </w:r>
      </w:hyperlink>
      <w:r w:rsidRPr="003822CB">
        <w:rPr>
          <w:rFonts w:ascii="FrankRuehl" w:hAnsi="FrankRuehl" w:cs="FrankRuehl"/>
          <w:rtl/>
        </w:rPr>
        <w:t xml:space="preserve">, </w:t>
      </w:r>
      <w:hyperlink r:id="rId13" w:history="1">
        <w:r w:rsidRPr="003822CB">
          <w:rPr>
            <w:rFonts w:ascii="FrankRuehl" w:hAnsi="FrankRuehl" w:cs="FrankRuehl"/>
            <w:color w:val="0000FF"/>
            <w:rtl/>
          </w:rPr>
          <w:t>71א (ב)</w:t>
        </w:r>
      </w:hyperlink>
      <w:r w:rsidRPr="003822CB">
        <w:rPr>
          <w:rFonts w:ascii="FrankRuehl" w:hAnsi="FrankRuehl" w:cs="FrankRuehl"/>
          <w:rtl/>
        </w:rPr>
        <w:t xml:space="preserve">, </w:t>
      </w:r>
      <w:hyperlink r:id="rId14" w:history="1">
        <w:r w:rsidRPr="003822CB">
          <w:rPr>
            <w:rFonts w:ascii="FrankRuehl" w:hAnsi="FrankRuehl" w:cs="FrankRuehl"/>
            <w:color w:val="0000FF"/>
            <w:rtl/>
          </w:rPr>
          <w:t>40 יג'</w:t>
        </w:r>
      </w:hyperlink>
    </w:p>
    <w:p w14:paraId="15D64709" w14:textId="77777777" w:rsidR="003822CB" w:rsidRPr="003822CB" w:rsidRDefault="003822CB" w:rsidP="003822CB">
      <w:pPr>
        <w:rPr>
          <w:rtl/>
        </w:rPr>
      </w:pPr>
      <w:bookmarkStart w:id="4" w:name="LawTable_End"/>
      <w:bookmarkEnd w:id="4"/>
    </w:p>
    <w:p w14:paraId="586FDDAA" w14:textId="77777777" w:rsidR="00C134BF" w:rsidRPr="006A6F49" w:rsidRDefault="00C134BF" w:rsidP="006A6F4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2B50" w14:paraId="3BE36A5A" w14:textId="77777777" w:rsidTr="00172B50">
        <w:trPr>
          <w:trHeight w:val="355"/>
          <w:jc w:val="center"/>
        </w:trPr>
        <w:tc>
          <w:tcPr>
            <w:tcW w:w="8820" w:type="dxa"/>
            <w:tcBorders>
              <w:top w:val="nil"/>
              <w:left w:val="nil"/>
              <w:bottom w:val="nil"/>
              <w:right w:val="nil"/>
            </w:tcBorders>
            <w:shd w:val="clear" w:color="auto" w:fill="auto"/>
          </w:tcPr>
          <w:p w14:paraId="5697A1D7" w14:textId="77777777" w:rsidR="00C134BF" w:rsidRPr="00C134BF" w:rsidRDefault="00C134BF" w:rsidP="00C134BF">
            <w:pPr>
              <w:jc w:val="center"/>
              <w:rPr>
                <w:rFonts w:ascii="David" w:hAnsi="David"/>
                <w:b/>
                <w:bCs/>
                <w:sz w:val="32"/>
                <w:szCs w:val="32"/>
                <w:u w:val="single"/>
                <w:rtl/>
              </w:rPr>
            </w:pPr>
            <w:bookmarkStart w:id="5" w:name="PsakDin" w:colFirst="0" w:colLast="0"/>
            <w:r w:rsidRPr="00C134BF">
              <w:rPr>
                <w:rFonts w:ascii="David" w:hAnsi="David"/>
                <w:b/>
                <w:bCs/>
                <w:sz w:val="32"/>
                <w:szCs w:val="32"/>
                <w:u w:val="single"/>
                <w:rtl/>
              </w:rPr>
              <w:t>גזר דין</w:t>
            </w:r>
          </w:p>
          <w:p w14:paraId="1228A234" w14:textId="77777777" w:rsidR="00172B50" w:rsidRPr="00C134BF" w:rsidRDefault="00172B50" w:rsidP="00C134BF">
            <w:pPr>
              <w:jc w:val="center"/>
              <w:rPr>
                <w:rFonts w:ascii="David" w:hAnsi="David"/>
                <w:bCs/>
                <w:sz w:val="32"/>
                <w:szCs w:val="32"/>
                <w:u w:val="single"/>
                <w:rtl/>
              </w:rPr>
            </w:pPr>
          </w:p>
        </w:tc>
      </w:tr>
      <w:bookmarkEnd w:id="5"/>
    </w:tbl>
    <w:p w14:paraId="1E73C0C9" w14:textId="77777777" w:rsidR="00172B50" w:rsidRPr="000F2247" w:rsidRDefault="00172B50" w:rsidP="00172B50">
      <w:pPr>
        <w:rPr>
          <w:rFonts w:ascii="Arial" w:hAnsi="Arial"/>
          <w:b/>
          <w:bCs/>
          <w:sz w:val="26"/>
          <w:szCs w:val="26"/>
          <w:rtl/>
        </w:rPr>
      </w:pPr>
    </w:p>
    <w:p w14:paraId="59B79A70" w14:textId="77777777" w:rsidR="00172B50" w:rsidRDefault="00172B50" w:rsidP="00172B50">
      <w:pPr>
        <w:jc w:val="both"/>
        <w:rPr>
          <w:b/>
          <w:bCs/>
          <w:sz w:val="28"/>
          <w:szCs w:val="28"/>
          <w:u w:val="single"/>
          <w:rtl/>
        </w:rPr>
      </w:pPr>
      <w:r>
        <w:rPr>
          <w:b/>
          <w:bCs/>
          <w:sz w:val="28"/>
          <w:szCs w:val="28"/>
          <w:u w:val="single"/>
          <w:rtl/>
        </w:rPr>
        <w:t>רקע</w:t>
      </w:r>
    </w:p>
    <w:p w14:paraId="73AC9619" w14:textId="77777777" w:rsidR="00172B50" w:rsidRDefault="00172B50" w:rsidP="00172B50">
      <w:pPr>
        <w:pStyle w:val="aa"/>
        <w:numPr>
          <w:ilvl w:val="0"/>
          <w:numId w:val="1"/>
        </w:numPr>
        <w:spacing w:line="360" w:lineRule="auto"/>
        <w:jc w:val="both"/>
        <w:rPr>
          <w:rFonts w:cs="David"/>
          <w:sz w:val="24"/>
          <w:szCs w:val="24"/>
          <w:rtl/>
        </w:rPr>
      </w:pPr>
      <w:bookmarkStart w:id="6" w:name="ABSTRACT_START"/>
      <w:bookmarkEnd w:id="6"/>
      <w:r>
        <w:rPr>
          <w:rFonts w:cs="David"/>
          <w:sz w:val="24"/>
          <w:szCs w:val="24"/>
          <w:rtl/>
        </w:rPr>
        <w:t xml:space="preserve">הנאשמת הורשעה בהכרעת דין מנומקת בעבירה של  </w:t>
      </w:r>
      <w:r>
        <w:rPr>
          <w:rFonts w:cs="David"/>
          <w:b/>
          <w:bCs/>
          <w:sz w:val="24"/>
          <w:szCs w:val="24"/>
          <w:rtl/>
        </w:rPr>
        <w:t>החזקת סם שלא לצריכה עצמית</w:t>
      </w:r>
      <w:r>
        <w:rPr>
          <w:rFonts w:cs="David"/>
          <w:sz w:val="24"/>
          <w:szCs w:val="24"/>
          <w:rtl/>
        </w:rPr>
        <w:t xml:space="preserve"> לפי סעיף </w:t>
      </w:r>
      <w:hyperlink r:id="rId15" w:history="1">
        <w:r w:rsidR="000519B6" w:rsidRPr="000519B6">
          <w:rPr>
            <w:rStyle w:val="Hyperlink"/>
            <w:rFonts w:cs="David"/>
            <w:sz w:val="24"/>
            <w:szCs w:val="24"/>
            <w:rtl/>
          </w:rPr>
          <w:t>7 (א)</w:t>
        </w:r>
      </w:hyperlink>
      <w:r>
        <w:rPr>
          <w:rFonts w:cs="David"/>
          <w:sz w:val="24"/>
          <w:szCs w:val="24"/>
          <w:rtl/>
        </w:rPr>
        <w:t xml:space="preserve"> ביחד עם </w:t>
      </w:r>
      <w:hyperlink r:id="rId16" w:history="1">
        <w:r w:rsidR="000519B6" w:rsidRPr="000519B6">
          <w:rPr>
            <w:rStyle w:val="Hyperlink"/>
            <w:rFonts w:cs="David"/>
            <w:sz w:val="24"/>
            <w:szCs w:val="24"/>
            <w:rtl/>
          </w:rPr>
          <w:t>7 (ג)</w:t>
        </w:r>
      </w:hyperlink>
      <w:r>
        <w:rPr>
          <w:rFonts w:cs="David"/>
          <w:sz w:val="24"/>
          <w:szCs w:val="24"/>
          <w:rtl/>
        </w:rPr>
        <w:t xml:space="preserve"> רישא ל</w:t>
      </w:r>
      <w:hyperlink r:id="rId17" w:history="1">
        <w:r w:rsidR="00C134BF" w:rsidRPr="00C134BF">
          <w:rPr>
            <w:rFonts w:cs="David" w:hint="cs"/>
            <w:color w:val="0000FF"/>
            <w:sz w:val="24"/>
            <w:szCs w:val="24"/>
            <w:u w:val="single"/>
            <w:rtl/>
          </w:rPr>
          <w:t>פקודת</w:t>
        </w:r>
        <w:r w:rsidR="00C134BF" w:rsidRPr="00C134BF">
          <w:rPr>
            <w:rFonts w:cs="David"/>
            <w:color w:val="0000FF"/>
            <w:sz w:val="24"/>
            <w:szCs w:val="24"/>
            <w:u w:val="single"/>
            <w:rtl/>
          </w:rPr>
          <w:t xml:space="preserve"> </w:t>
        </w:r>
        <w:r w:rsidR="00C134BF" w:rsidRPr="00C134BF">
          <w:rPr>
            <w:rFonts w:cs="David" w:hint="cs"/>
            <w:color w:val="0000FF"/>
            <w:sz w:val="24"/>
            <w:szCs w:val="24"/>
            <w:u w:val="single"/>
            <w:rtl/>
          </w:rPr>
          <w:t>הסמים</w:t>
        </w:r>
        <w:r w:rsidR="00C134BF" w:rsidRPr="00C134BF">
          <w:rPr>
            <w:rFonts w:cs="David"/>
            <w:color w:val="0000FF"/>
            <w:sz w:val="24"/>
            <w:szCs w:val="24"/>
            <w:u w:val="single"/>
            <w:rtl/>
          </w:rPr>
          <w:t xml:space="preserve"> </w:t>
        </w:r>
        <w:r w:rsidR="00C134BF" w:rsidRPr="00C134BF">
          <w:rPr>
            <w:rFonts w:cs="David" w:hint="cs"/>
            <w:color w:val="0000FF"/>
            <w:sz w:val="24"/>
            <w:szCs w:val="24"/>
            <w:u w:val="single"/>
            <w:rtl/>
          </w:rPr>
          <w:t>המסוכנים</w:t>
        </w:r>
      </w:hyperlink>
      <w:r>
        <w:rPr>
          <w:rFonts w:cs="David"/>
          <w:sz w:val="24"/>
          <w:szCs w:val="24"/>
          <w:rtl/>
        </w:rPr>
        <w:t xml:space="preserve"> [נוסח חדש], תשל"ג- 1973  (להלן:</w:t>
      </w:r>
      <w:r>
        <w:rPr>
          <w:rFonts w:cs="David" w:hint="cs"/>
          <w:sz w:val="24"/>
          <w:szCs w:val="24"/>
          <w:rtl/>
        </w:rPr>
        <w:t xml:space="preserve"> </w:t>
      </w:r>
      <w:r>
        <w:rPr>
          <w:rFonts w:cs="David"/>
          <w:sz w:val="24"/>
          <w:szCs w:val="24"/>
          <w:rtl/>
        </w:rPr>
        <w:t xml:space="preserve">"פקודת הסמים"). </w:t>
      </w:r>
    </w:p>
    <w:p w14:paraId="3F072E00" w14:textId="77777777" w:rsidR="00172B50" w:rsidRDefault="00172B50" w:rsidP="00172B50">
      <w:pPr>
        <w:pStyle w:val="aa"/>
        <w:spacing w:line="360" w:lineRule="auto"/>
        <w:jc w:val="both"/>
        <w:rPr>
          <w:rFonts w:cs="David"/>
          <w:sz w:val="24"/>
          <w:szCs w:val="24"/>
          <w:rtl/>
        </w:rPr>
      </w:pPr>
      <w:bookmarkStart w:id="7" w:name="ABSTRACT_END"/>
      <w:bookmarkEnd w:id="7"/>
    </w:p>
    <w:p w14:paraId="117C85A7" w14:textId="77777777" w:rsidR="00172B50" w:rsidRDefault="00172B50" w:rsidP="00172B50">
      <w:pPr>
        <w:pStyle w:val="aa"/>
        <w:numPr>
          <w:ilvl w:val="0"/>
          <w:numId w:val="1"/>
        </w:numPr>
        <w:spacing w:after="120" w:line="360" w:lineRule="auto"/>
        <w:jc w:val="both"/>
        <w:rPr>
          <w:rFonts w:cs="David"/>
          <w:sz w:val="24"/>
          <w:szCs w:val="24"/>
        </w:rPr>
      </w:pPr>
      <w:r>
        <w:rPr>
          <w:rFonts w:cs="David"/>
          <w:sz w:val="24"/>
          <w:szCs w:val="24"/>
          <w:rtl/>
        </w:rPr>
        <w:t xml:space="preserve">על פי עובדות כתב האישום ובהתאם לקביעות שנקבעו בהכרעת הדין, במועד הרלוונטי לכתב האישום התגוררה הנאשמת ביחידת דיור במושב ניר משה. ביום 13.02.22 בסמוך לשעה 10:00, נמצאה הנאשמת מחזיקה במגירה בארון הבגדים, </w:t>
      </w:r>
      <w:r>
        <w:rPr>
          <w:rFonts w:cs="David"/>
          <w:b/>
          <w:bCs/>
          <w:sz w:val="24"/>
          <w:szCs w:val="24"/>
          <w:rtl/>
        </w:rPr>
        <w:t xml:space="preserve">5 יחידות סם מסוכן מסוג </w:t>
      </w:r>
      <w:r>
        <w:rPr>
          <w:rFonts w:cs="David"/>
          <w:b/>
          <w:bCs/>
          <w:sz w:val="24"/>
          <w:szCs w:val="24"/>
        </w:rPr>
        <w:t>MDMA</w:t>
      </w:r>
      <w:r>
        <w:rPr>
          <w:rFonts w:cs="David"/>
          <w:b/>
          <w:bCs/>
          <w:sz w:val="24"/>
          <w:szCs w:val="24"/>
          <w:rtl/>
        </w:rPr>
        <w:t xml:space="preserve"> </w:t>
      </w:r>
      <w:r>
        <w:rPr>
          <w:rFonts w:cs="David"/>
          <w:sz w:val="24"/>
          <w:szCs w:val="24"/>
          <w:rtl/>
        </w:rPr>
        <w:t>וכן</w:t>
      </w:r>
      <w:r>
        <w:rPr>
          <w:rFonts w:cs="David"/>
          <w:b/>
          <w:bCs/>
          <w:sz w:val="24"/>
          <w:szCs w:val="24"/>
          <w:rtl/>
        </w:rPr>
        <w:t xml:space="preserve"> 26 יחידות של סם מסוכן מסוג </w:t>
      </w:r>
      <w:r>
        <w:rPr>
          <w:rFonts w:cs="David"/>
          <w:b/>
          <w:bCs/>
          <w:sz w:val="24"/>
          <w:szCs w:val="24"/>
        </w:rPr>
        <w:t>LSD</w:t>
      </w:r>
      <w:r>
        <w:rPr>
          <w:rFonts w:cs="David"/>
          <w:sz w:val="24"/>
          <w:szCs w:val="24"/>
          <w:rtl/>
        </w:rPr>
        <w:t xml:space="preserve">. באותו המועד נמצאה הנאשמת מחזיקה </w:t>
      </w:r>
      <w:r>
        <w:rPr>
          <w:rFonts w:cs="David"/>
          <w:sz w:val="24"/>
          <w:szCs w:val="24"/>
          <w:rtl/>
        </w:rPr>
        <w:lastRenderedPageBreak/>
        <w:t xml:space="preserve">בתא הכפפות שברכבה </w:t>
      </w:r>
      <w:r>
        <w:rPr>
          <w:rFonts w:cs="David"/>
          <w:b/>
          <w:bCs/>
          <w:sz w:val="24"/>
          <w:szCs w:val="24"/>
          <w:rtl/>
        </w:rPr>
        <w:t xml:space="preserve">סם מסוכן מסוג </w:t>
      </w:r>
      <w:r>
        <w:rPr>
          <w:rFonts w:cs="David"/>
          <w:b/>
          <w:bCs/>
          <w:sz w:val="24"/>
          <w:szCs w:val="24"/>
        </w:rPr>
        <w:t>MDMA</w:t>
      </w:r>
      <w:r>
        <w:rPr>
          <w:rFonts w:cs="David"/>
          <w:b/>
          <w:bCs/>
          <w:sz w:val="24"/>
          <w:szCs w:val="24"/>
          <w:rtl/>
        </w:rPr>
        <w:t xml:space="preserve"> במשקל 0.6731 גרם</w:t>
      </w:r>
      <w:r>
        <w:rPr>
          <w:rFonts w:cs="David"/>
          <w:sz w:val="24"/>
          <w:szCs w:val="24"/>
          <w:rtl/>
        </w:rPr>
        <w:t xml:space="preserve">, הנאשמת החזיקה בסמים ללא היתר או רישיון. </w:t>
      </w:r>
    </w:p>
    <w:p w14:paraId="71200E5D" w14:textId="77777777" w:rsidR="00172B50" w:rsidRPr="00E77E22" w:rsidRDefault="00172B50" w:rsidP="00172B50">
      <w:pPr>
        <w:pStyle w:val="aa"/>
        <w:rPr>
          <w:rFonts w:cs="David"/>
          <w:sz w:val="24"/>
          <w:szCs w:val="24"/>
          <w:rtl/>
        </w:rPr>
      </w:pPr>
    </w:p>
    <w:p w14:paraId="75D3F68D" w14:textId="77777777" w:rsidR="00172B50" w:rsidRDefault="00172B50" w:rsidP="00172B50">
      <w:pPr>
        <w:pStyle w:val="aa"/>
        <w:numPr>
          <w:ilvl w:val="0"/>
          <w:numId w:val="1"/>
        </w:numPr>
        <w:spacing w:after="120" w:line="360" w:lineRule="auto"/>
        <w:jc w:val="both"/>
        <w:rPr>
          <w:rFonts w:ascii="David" w:hAnsi="David" w:cs="David"/>
          <w:color w:val="000000"/>
          <w:sz w:val="24"/>
          <w:szCs w:val="24"/>
        </w:rPr>
      </w:pPr>
      <w:r>
        <w:rPr>
          <w:rFonts w:ascii="David" w:hAnsi="David" w:cs="David"/>
          <w:color w:val="000000"/>
          <w:sz w:val="24"/>
          <w:szCs w:val="24"/>
          <w:rtl/>
        </w:rPr>
        <w:t xml:space="preserve">בהכרעת הדין מיום 02.11.22 נדחתה טענת הנאשמת כי מדובר בהחזקה לשימוש עצמי וכן  בנוגע לפגמים שונים בשלב החקירה, כמו גם טענות לעניין חוקיות החיפוש. הנאשמת הורשעה במיוחס לה. </w:t>
      </w:r>
    </w:p>
    <w:p w14:paraId="5FA6674C" w14:textId="77777777" w:rsidR="00172B50" w:rsidRPr="00E77E22" w:rsidRDefault="00172B50" w:rsidP="00172B50">
      <w:pPr>
        <w:pStyle w:val="aa"/>
        <w:rPr>
          <w:rFonts w:ascii="David" w:hAnsi="David" w:cs="David"/>
          <w:color w:val="000000"/>
          <w:sz w:val="24"/>
          <w:szCs w:val="24"/>
          <w:rtl/>
        </w:rPr>
      </w:pPr>
    </w:p>
    <w:p w14:paraId="0DD5B3FE" w14:textId="77777777" w:rsidR="00172B50" w:rsidRDefault="00172B50" w:rsidP="00172B50">
      <w:pPr>
        <w:pStyle w:val="aa"/>
        <w:numPr>
          <w:ilvl w:val="0"/>
          <w:numId w:val="1"/>
        </w:numPr>
        <w:spacing w:after="120" w:line="360" w:lineRule="auto"/>
        <w:jc w:val="both"/>
        <w:rPr>
          <w:rFonts w:ascii="David" w:hAnsi="David" w:cs="David"/>
          <w:color w:val="000000"/>
          <w:sz w:val="24"/>
          <w:szCs w:val="24"/>
        </w:rPr>
      </w:pPr>
      <w:r>
        <w:rPr>
          <w:rFonts w:ascii="David" w:hAnsi="David" w:cs="David"/>
          <w:color w:val="000000"/>
          <w:sz w:val="24"/>
          <w:szCs w:val="24"/>
          <w:rtl/>
        </w:rPr>
        <w:t xml:space="preserve">לאחר השמעת הכרעת הדין ולבקשת ב"כ הנאשמת, הורתי על שליחת הנאשמת לקבלת תסקיר שירות המבחן. </w:t>
      </w:r>
    </w:p>
    <w:p w14:paraId="5A66C188" w14:textId="77777777" w:rsidR="00172B50" w:rsidRPr="00E77E22" w:rsidRDefault="00172B50" w:rsidP="00172B50">
      <w:pPr>
        <w:pStyle w:val="aa"/>
        <w:rPr>
          <w:rFonts w:ascii="David" w:hAnsi="David" w:cs="David"/>
          <w:color w:val="000000"/>
          <w:sz w:val="24"/>
          <w:szCs w:val="24"/>
          <w:rtl/>
        </w:rPr>
      </w:pPr>
    </w:p>
    <w:p w14:paraId="331B6954" w14:textId="77777777" w:rsidR="00172B50" w:rsidRPr="00172B50" w:rsidRDefault="00172B50" w:rsidP="00172B50">
      <w:pPr>
        <w:pStyle w:val="aa"/>
        <w:numPr>
          <w:ilvl w:val="0"/>
          <w:numId w:val="1"/>
        </w:numPr>
        <w:spacing w:after="120" w:line="360" w:lineRule="auto"/>
        <w:jc w:val="both"/>
        <w:rPr>
          <w:rFonts w:cs="David"/>
          <w:sz w:val="24"/>
          <w:szCs w:val="24"/>
        </w:rPr>
      </w:pPr>
      <w:r>
        <w:rPr>
          <w:rFonts w:ascii="David" w:hAnsi="David" w:cs="David"/>
          <w:b/>
          <w:bCs/>
          <w:color w:val="000000"/>
          <w:sz w:val="24"/>
          <w:szCs w:val="24"/>
          <w:rtl/>
        </w:rPr>
        <w:t>בתסקיר שהוגש ביום 07.05.23,</w:t>
      </w:r>
      <w:r>
        <w:rPr>
          <w:rFonts w:ascii="David" w:hAnsi="David" w:cs="David"/>
          <w:color w:val="000000"/>
          <w:sz w:val="24"/>
          <w:szCs w:val="24"/>
          <w:rtl/>
        </w:rPr>
        <w:t xml:space="preserve"> סקר שירות המבחן קורות חייה של הנאשמת, בת 23 רווקה, הוריה התגרשו לפני שנים, הנאשמת מצויה בקשר עם שני הוריה, כאשר מערכת היחסים בינה לבין אמה מורכבת ועל רקע זה החליטה בגיל 17 לעזוב את בית אמה באשדוד  ועברה להתגורר ביחידת  דיור השייכת לאביה,. הנאשמת לא גויסה לצה"ל על רקע משבר נפשי שחוותה בשנת 2020 בעקבות תאונת דרכים שעברה. הנאשמת עובדת כסייעת בגן ילדים, מגלה שאיפות להתפתח וללמוד בתחום החינוך. </w:t>
      </w:r>
    </w:p>
    <w:p w14:paraId="3DA49D13" w14:textId="77777777" w:rsidR="00172B50" w:rsidRDefault="00172B50" w:rsidP="00172B50">
      <w:pPr>
        <w:pStyle w:val="aa"/>
        <w:spacing w:after="120" w:line="360" w:lineRule="auto"/>
        <w:jc w:val="both"/>
        <w:rPr>
          <w:rFonts w:cs="David"/>
          <w:sz w:val="24"/>
          <w:szCs w:val="24"/>
        </w:rPr>
      </w:pPr>
      <w:r>
        <w:rPr>
          <w:rFonts w:ascii="David" w:hAnsi="David" w:cs="David"/>
          <w:color w:val="000000"/>
          <w:sz w:val="24"/>
          <w:szCs w:val="24"/>
          <w:rtl/>
        </w:rPr>
        <w:t xml:space="preserve">הנאשמת נעדרת עבר פלילי, שללה שימוש בחומרים משני תודעה. לטענתה, בעת המעבר למושב, החלה לבלות במסיבות טבע, ביחד עם חברים חדשים שפגשה וגם החלה להשתמש בסמים ממריצים במסגרת הבילוי במסיבות. הנאשמת טענה שהשימוש בסמים החל בשילוב שבין הלחץ חברתי שחוותה מחבריה החדשים ובין רצונה להתחבר לבין רצונה להתנסות ולהגביר הנאה מהמסיבה. </w:t>
      </w:r>
      <w:r>
        <w:rPr>
          <w:rFonts w:cs="David"/>
          <w:sz w:val="24"/>
          <w:szCs w:val="24"/>
          <w:rtl/>
        </w:rPr>
        <w:t xml:space="preserve">ציינה שהשימוש בסמים לא פגע בשגרת חייה שכן נעשה בסופי שבוע. </w:t>
      </w:r>
    </w:p>
    <w:p w14:paraId="6F2AA868" w14:textId="77777777" w:rsidR="00172B50" w:rsidRDefault="00172B50" w:rsidP="00172B50">
      <w:pPr>
        <w:pStyle w:val="aa"/>
        <w:spacing w:after="120" w:line="360" w:lineRule="auto"/>
        <w:jc w:val="both"/>
        <w:rPr>
          <w:rFonts w:cs="David"/>
          <w:sz w:val="24"/>
          <w:szCs w:val="24"/>
          <w:rtl/>
        </w:rPr>
      </w:pPr>
      <w:r>
        <w:rPr>
          <w:rFonts w:cs="David"/>
          <w:sz w:val="24"/>
          <w:szCs w:val="24"/>
          <w:rtl/>
        </w:rPr>
        <w:t xml:space="preserve">הנאשמת הודה באופן חלקי במיוחס לה, לדבריה במסגרת בילוי הייתה צורכת סמים ממריצים ונהגה לרכוש כמויות גדולות בהנחה, לדבריה מדובר בסמים לצריכה עצמית בלבד, שירות המבחן ציין שהנאשמת התקשתה לייחס היבטים פלילים להתנהגות זו והייתה עסוקה בהנאתה מצריכת הסמים. </w:t>
      </w:r>
    </w:p>
    <w:p w14:paraId="528B9B0F" w14:textId="77777777" w:rsidR="00172B50" w:rsidRDefault="00172B50" w:rsidP="00172B50">
      <w:pPr>
        <w:pStyle w:val="aa"/>
        <w:spacing w:after="120" w:line="360" w:lineRule="auto"/>
        <w:jc w:val="both"/>
        <w:rPr>
          <w:rFonts w:cs="David"/>
          <w:sz w:val="24"/>
          <w:szCs w:val="24"/>
          <w:rtl/>
        </w:rPr>
      </w:pPr>
      <w:r>
        <w:rPr>
          <w:rFonts w:cs="David"/>
          <w:sz w:val="24"/>
          <w:szCs w:val="24"/>
          <w:rtl/>
        </w:rPr>
        <w:t>שירות המבחן התרשם שהרקע לביצוע העבירה הינו מאפייני אישיותיים של שיקול דעת לקוי, ריצוי ונטייה להיגררות, כמו כן התרשם שירות המבחן, שהנאשמת מונעת מצורך בחיפוש אחר ריגושים, מילוי תחושת ריקנות ובדידות, צורך בהתנסות ופריצת גבולות במצבים חברתיים.</w:t>
      </w:r>
    </w:p>
    <w:p w14:paraId="50C88343" w14:textId="77777777" w:rsidR="00172B50" w:rsidRDefault="00172B50" w:rsidP="00172B50">
      <w:pPr>
        <w:pStyle w:val="aa"/>
        <w:spacing w:after="120" w:line="360" w:lineRule="auto"/>
        <w:jc w:val="both"/>
        <w:rPr>
          <w:rFonts w:cs="David"/>
          <w:sz w:val="24"/>
          <w:szCs w:val="24"/>
          <w:rtl/>
        </w:rPr>
      </w:pPr>
      <w:r>
        <w:rPr>
          <w:rFonts w:cs="David"/>
          <w:sz w:val="24"/>
          <w:szCs w:val="24"/>
          <w:rtl/>
        </w:rPr>
        <w:t xml:space="preserve">שירות המבחן העריך שקיים סיכון להישנות שימוש בסמים בהיעדר השתלבות בהליך טיפולי יחד עם זאת התרשם שירות המבחן שקיימים גורמי הסיכוי לשיקום תוך שציין  שהנאשמת נעדרת עבר פלילי, המנהלת אורח חיים נורמטיבי ובעלת שאיפות גבוהות לעתיד וכן מגלה מוטיבציה ורצון לטיפול וכי ניכר שההליך הפלילי היווה עבורה גורם מרתיע ומציב גבולות. </w:t>
      </w:r>
    </w:p>
    <w:p w14:paraId="37608200" w14:textId="77777777" w:rsidR="00172B50" w:rsidRDefault="00172B50" w:rsidP="00172B50">
      <w:pPr>
        <w:pStyle w:val="aa"/>
        <w:spacing w:after="120" w:line="360" w:lineRule="auto"/>
        <w:jc w:val="both"/>
        <w:rPr>
          <w:rFonts w:cs="David"/>
          <w:sz w:val="24"/>
          <w:szCs w:val="24"/>
          <w:rtl/>
        </w:rPr>
      </w:pPr>
      <w:r>
        <w:rPr>
          <w:rFonts w:cs="David"/>
          <w:sz w:val="24"/>
          <w:szCs w:val="24"/>
          <w:rtl/>
        </w:rPr>
        <w:lastRenderedPageBreak/>
        <w:t xml:space="preserve">בנוסף, המליץ שירות המבחן על ביטול ההרשעה, תוך שציין  כי הנאשמת צעירה המפרנסת עצמה מנהלת אורח חיים תקין, ההליך הפלילי היווה עבורה גורם מרתיע ומציב גבולות וכן העובדה שהביע רצונה להשתלב בטיפול במסגרת שירות המבחן. </w:t>
      </w:r>
    </w:p>
    <w:p w14:paraId="0C67F99E" w14:textId="77777777" w:rsidR="00172B50" w:rsidRDefault="00172B50" w:rsidP="00172B50">
      <w:pPr>
        <w:pStyle w:val="aa"/>
        <w:spacing w:after="120" w:line="360" w:lineRule="auto"/>
        <w:jc w:val="both"/>
        <w:rPr>
          <w:rFonts w:cs="David"/>
          <w:sz w:val="24"/>
          <w:szCs w:val="24"/>
          <w:rtl/>
        </w:rPr>
      </w:pPr>
      <w:r>
        <w:rPr>
          <w:rFonts w:cs="David"/>
          <w:sz w:val="24"/>
          <w:szCs w:val="24"/>
          <w:rtl/>
        </w:rPr>
        <w:t xml:space="preserve">לאור כל האמור, המליץ שירות המבחן על ענישה חינוכית שיקומית בדמות של הטלת צו של"צ בהיקף של 200 שעות וכן הטלת קנס. </w:t>
      </w:r>
    </w:p>
    <w:p w14:paraId="0BDFDE0B" w14:textId="77777777" w:rsidR="00172B50" w:rsidRDefault="00172B50" w:rsidP="00172B50">
      <w:pPr>
        <w:spacing w:line="360" w:lineRule="auto"/>
        <w:jc w:val="both"/>
        <w:rPr>
          <w:b/>
          <w:bCs/>
          <w:u w:val="single"/>
          <w:rtl/>
        </w:rPr>
      </w:pPr>
    </w:p>
    <w:p w14:paraId="265615F4" w14:textId="77777777" w:rsidR="00172B50" w:rsidRDefault="00172B50" w:rsidP="00172B50">
      <w:pPr>
        <w:spacing w:line="360" w:lineRule="auto"/>
        <w:jc w:val="both"/>
        <w:rPr>
          <w:b/>
          <w:bCs/>
          <w:u w:val="single"/>
          <w:rtl/>
        </w:rPr>
      </w:pPr>
      <w:r>
        <w:rPr>
          <w:b/>
          <w:bCs/>
          <w:u w:val="single"/>
          <w:rtl/>
        </w:rPr>
        <w:t xml:space="preserve">ראיות וטיעוני הצדדים לעונש </w:t>
      </w:r>
    </w:p>
    <w:p w14:paraId="4F94EFD5" w14:textId="77777777" w:rsidR="00172B50" w:rsidRDefault="00172B50" w:rsidP="00172B50">
      <w:pPr>
        <w:spacing w:line="360" w:lineRule="auto"/>
        <w:jc w:val="both"/>
        <w:rPr>
          <w:b/>
          <w:bCs/>
          <w:u w:val="single"/>
          <w:rtl/>
        </w:rPr>
      </w:pPr>
      <w:r>
        <w:rPr>
          <w:b/>
          <w:bCs/>
          <w:u w:val="single"/>
          <w:rtl/>
        </w:rPr>
        <w:t xml:space="preserve">ראיות הצדדים </w:t>
      </w:r>
    </w:p>
    <w:p w14:paraId="1FC18F14" w14:textId="77777777" w:rsidR="00172B50" w:rsidRDefault="00172B50" w:rsidP="00172B50">
      <w:pPr>
        <w:pStyle w:val="aa"/>
        <w:numPr>
          <w:ilvl w:val="0"/>
          <w:numId w:val="1"/>
        </w:numPr>
        <w:spacing w:line="360" w:lineRule="auto"/>
        <w:jc w:val="both"/>
        <w:rPr>
          <w:rFonts w:cs="David"/>
          <w:sz w:val="24"/>
          <w:szCs w:val="24"/>
          <w:rtl/>
        </w:rPr>
      </w:pPr>
      <w:r>
        <w:rPr>
          <w:rFonts w:cs="David"/>
          <w:sz w:val="24"/>
          <w:szCs w:val="24"/>
          <w:rtl/>
        </w:rPr>
        <w:t xml:space="preserve">המאשימה הגישה גיליון רישום תעבורתי של הנאשמת (ת/1), ב"כ הנאשמת הגיש מכתב מטעם מנהל אגף ביטחון ארצי במשרד החינוך מיום 15.02.23 שכותרתו "הודעה על כוונה שלא לתת אישור העסקה – הזמנה לשימוע בכתב" (נ/1) וכן מענה מטעם ב"כ הנאשמת למכתב זה (נ/2) וכן תדפיס מידע פלילי של הנאשמת (נ/3). </w:t>
      </w:r>
    </w:p>
    <w:p w14:paraId="5F9ABDCB" w14:textId="77777777" w:rsidR="00172B50" w:rsidRDefault="00172B50" w:rsidP="00172B50">
      <w:pPr>
        <w:spacing w:line="360" w:lineRule="auto"/>
        <w:jc w:val="both"/>
        <w:rPr>
          <w:b/>
          <w:bCs/>
          <w:u w:val="single"/>
        </w:rPr>
      </w:pPr>
      <w:r>
        <w:rPr>
          <w:b/>
          <w:bCs/>
          <w:u w:val="single"/>
          <w:rtl/>
        </w:rPr>
        <w:t>טיעוני הצדדים</w:t>
      </w:r>
    </w:p>
    <w:p w14:paraId="4E6FF22E" w14:textId="77777777" w:rsidR="00172B50" w:rsidRDefault="00172B50" w:rsidP="00172B50">
      <w:pPr>
        <w:pStyle w:val="aa"/>
        <w:numPr>
          <w:ilvl w:val="0"/>
          <w:numId w:val="1"/>
        </w:numPr>
        <w:spacing w:line="360" w:lineRule="auto"/>
        <w:jc w:val="both"/>
        <w:rPr>
          <w:rFonts w:cs="David"/>
          <w:sz w:val="24"/>
          <w:szCs w:val="24"/>
          <w:rtl/>
        </w:rPr>
      </w:pPr>
      <w:r>
        <w:rPr>
          <w:rFonts w:cs="David"/>
          <w:b/>
          <w:bCs/>
          <w:sz w:val="24"/>
          <w:szCs w:val="24"/>
          <w:rtl/>
        </w:rPr>
        <w:t>ב"כ המאשימה</w:t>
      </w:r>
      <w:r>
        <w:rPr>
          <w:rFonts w:cs="David"/>
          <w:sz w:val="24"/>
          <w:szCs w:val="24"/>
          <w:rtl/>
        </w:rPr>
        <w:t xml:space="preserve">, ציינה שהנאשמת הורשעה במיוחס לה לאחר ניהול הוכחות ובהכרעת דין מפורטת. היא ציינה נסיבות ביצוע העבירה, הערכים המוגנים שנפגעו ומידת הפגיעה המשמעותית בערכים המוגנים נוכח נסיבות החזקתם הסמים וכן כמות וסוג הסמים שנתפסו ברשותה של הנאשמת. ב"כ המאשימה עתרה לקביעת מתחם ענישה הנע בין 18 ל </w:t>
      </w:r>
      <w:r>
        <w:rPr>
          <w:rFonts w:cs="David" w:hint="cs"/>
          <w:sz w:val="24"/>
          <w:szCs w:val="24"/>
          <w:rtl/>
        </w:rPr>
        <w:t>36</w:t>
      </w:r>
      <w:r>
        <w:rPr>
          <w:rFonts w:cs="David"/>
          <w:sz w:val="24"/>
          <w:szCs w:val="24"/>
          <w:rtl/>
        </w:rPr>
        <w:t xml:space="preserve"> חודשי מאסר בפועל, תוך שהפנתה לנסיבות ביצוע העבירה, שכן לגישתה עבירות מסוג זה מצריכות תכנון מוקדם, הנאשמת המבצעת העיקרית, פוטנציאל הנזק הינו רב. </w:t>
      </w:r>
    </w:p>
    <w:p w14:paraId="37AABBF5" w14:textId="77777777" w:rsidR="00172B50" w:rsidRDefault="00172B50" w:rsidP="00172B50">
      <w:pPr>
        <w:pStyle w:val="aa"/>
        <w:spacing w:line="360" w:lineRule="auto"/>
        <w:jc w:val="both"/>
        <w:rPr>
          <w:rFonts w:cs="David"/>
          <w:sz w:val="24"/>
          <w:szCs w:val="24"/>
        </w:rPr>
      </w:pPr>
      <w:r>
        <w:rPr>
          <w:rFonts w:cs="David"/>
          <w:sz w:val="24"/>
          <w:szCs w:val="24"/>
          <w:rtl/>
        </w:rPr>
        <w:t xml:space="preserve">ב"כ המאשימה ציינה שהנאשמת נעדר עבר פלילי, לא הודתה במיוחס לה, אומנם אין בעובדה זו כדי להחמיר בענישה אך אין לזקוף זאת לזכותה שכן לא חסכה בזמן שיפוטי. </w:t>
      </w:r>
    </w:p>
    <w:p w14:paraId="2BF97967" w14:textId="77777777" w:rsidR="00172B50" w:rsidRDefault="00172B50" w:rsidP="00172B50">
      <w:pPr>
        <w:pStyle w:val="aa"/>
        <w:spacing w:line="360" w:lineRule="auto"/>
        <w:jc w:val="both"/>
        <w:rPr>
          <w:rFonts w:cs="David"/>
          <w:sz w:val="24"/>
          <w:szCs w:val="24"/>
          <w:rtl/>
        </w:rPr>
      </w:pPr>
      <w:r>
        <w:rPr>
          <w:rFonts w:cs="David"/>
          <w:sz w:val="24"/>
          <w:szCs w:val="24"/>
          <w:rtl/>
        </w:rPr>
        <w:t xml:space="preserve">בהתייחסה לנאמר בתסקיר שירות המבחן, ציינה שהנאשמת שבה וחוזרת על גרסתה, שירות המבחן מתרשם שהנאשמת מודה חלקית במיוחס לה ועומד על מאפייני אישיותה של הנאשמת, הנוטה לנהוג בשיקול דעת לקוי ונוטה לנגררות חברתית וריצוי וכן חבירתה לחברה שולית. שירות המבחן מתרשם שקיים פער בין התנהלותה במסגרת תיק זה לבין האופן שבו מציגה אורח חייה, כאשר בסופו של יום שירות המבחן מעריך שקיים סיכון להישנות, ובא בהמלצה שיקומית להטלת צו של"צ, צו מבחן וביטול ההרשעה. לטענת ב"כ המאשימה, המלצת שירות המבחן אינה יכולה להתקבל שכן מדובר בנאשמת שלא נטלה אחריות, לא השתלבה בהליך שיקומי כלשהו. הבעת רצון לעבור הליך שיקומי אין בה כדי להוות שיקול לסטייה ממתחם הענישה. </w:t>
      </w:r>
    </w:p>
    <w:p w14:paraId="1CB31E44" w14:textId="77777777" w:rsidR="00172B50" w:rsidRDefault="00172B50" w:rsidP="00172B50">
      <w:pPr>
        <w:pStyle w:val="aa"/>
        <w:spacing w:line="360" w:lineRule="auto"/>
        <w:jc w:val="both"/>
        <w:rPr>
          <w:rFonts w:cs="David"/>
          <w:sz w:val="24"/>
          <w:szCs w:val="24"/>
          <w:rtl/>
        </w:rPr>
      </w:pPr>
      <w:r>
        <w:rPr>
          <w:rFonts w:cs="David"/>
          <w:sz w:val="24"/>
          <w:szCs w:val="24"/>
          <w:rtl/>
        </w:rPr>
        <w:t>בהתייחסה לסוגיית ביטול הרשעה, ב"כ המאשימה, ציינה כי במקרה זה לא חלים התנאים לביטול הרשעה, בשים לב לכמות ולסוגי הסמים, האינטרס הציבורי נפגע באופן משמעותי. כמו כן לא הוכח קיומו של נזק קונקרטי וממשי לנאשמת כתוצאה מההרשעה. הבעת כוונה עתידית לעסוק בתחום החינוך, אין בה כדי להצדיק ביטול ההרשעה, בעניין זה הפנתה ל</w:t>
      </w:r>
      <w:hyperlink r:id="rId18" w:history="1">
        <w:r w:rsidR="00C134BF" w:rsidRPr="00C134BF">
          <w:rPr>
            <w:rFonts w:cs="David" w:hint="cs"/>
            <w:color w:val="0000FF"/>
            <w:sz w:val="24"/>
            <w:szCs w:val="24"/>
            <w:u w:val="single"/>
            <w:rtl/>
          </w:rPr>
          <w:t>עפ</w:t>
        </w:r>
        <w:r w:rsidR="00C134BF" w:rsidRPr="00C134BF">
          <w:rPr>
            <w:rFonts w:cs="David"/>
            <w:color w:val="0000FF"/>
            <w:sz w:val="24"/>
            <w:szCs w:val="24"/>
            <w:u w:val="single"/>
            <w:rtl/>
          </w:rPr>
          <w:t>"</w:t>
        </w:r>
        <w:r w:rsidR="00C134BF" w:rsidRPr="00C134BF">
          <w:rPr>
            <w:rFonts w:cs="David" w:hint="cs"/>
            <w:color w:val="0000FF"/>
            <w:sz w:val="24"/>
            <w:szCs w:val="24"/>
            <w:u w:val="single"/>
            <w:rtl/>
          </w:rPr>
          <w:t>ג</w:t>
        </w:r>
        <w:r w:rsidR="00C134BF" w:rsidRPr="00C134BF">
          <w:rPr>
            <w:rFonts w:cs="David"/>
            <w:color w:val="0000FF"/>
            <w:sz w:val="24"/>
            <w:szCs w:val="24"/>
            <w:u w:val="single"/>
            <w:rtl/>
          </w:rPr>
          <w:t xml:space="preserve"> 32899-05-21</w:t>
        </w:r>
      </w:hyperlink>
      <w:r>
        <w:rPr>
          <w:rFonts w:cs="David"/>
          <w:sz w:val="24"/>
          <w:szCs w:val="24"/>
          <w:rtl/>
        </w:rPr>
        <w:t xml:space="preserve"> אשר דן לאחרונה בסוגיה דומה ובו בית המשפט המחוזי, מציין שבסוג עבירות זה  האינטרס הציבורי מחייב תגובה עונשית קשה ובלתי מתפשרת ונסיבות ביצוע העבירות אינן מאפשרות אי הרשעה.</w:t>
      </w:r>
    </w:p>
    <w:p w14:paraId="1E9CD2DF" w14:textId="77777777" w:rsidR="00172B50" w:rsidRDefault="00172B50" w:rsidP="00172B50">
      <w:pPr>
        <w:spacing w:line="360" w:lineRule="auto"/>
        <w:ind w:left="720"/>
        <w:jc w:val="both"/>
        <w:rPr>
          <w:rtl/>
        </w:rPr>
      </w:pPr>
      <w:r>
        <w:rPr>
          <w:rtl/>
        </w:rPr>
        <w:t xml:space="preserve">בסופו של הטיעון עתרה ב"כ המאשימה למיקום עונש של הנאשמת, ברף הבינוני של המתחם לו עתרה, וכן הטלת ענישה נלווית בדמות מאסר מותנה, קנס, התחייבות, פסילת רישיון נהיגה בפועל ועל תנאי. </w:t>
      </w:r>
    </w:p>
    <w:p w14:paraId="01528963" w14:textId="77777777" w:rsidR="00172B50" w:rsidRDefault="00172B50" w:rsidP="00172B50">
      <w:pPr>
        <w:spacing w:line="360" w:lineRule="auto"/>
        <w:ind w:left="720"/>
        <w:jc w:val="both"/>
        <w:rPr>
          <w:rtl/>
        </w:rPr>
      </w:pPr>
    </w:p>
    <w:p w14:paraId="566D3C4F" w14:textId="77777777" w:rsidR="00172B50" w:rsidRDefault="00172B50" w:rsidP="00172B50">
      <w:pPr>
        <w:pStyle w:val="aa"/>
        <w:numPr>
          <w:ilvl w:val="0"/>
          <w:numId w:val="1"/>
        </w:numPr>
        <w:spacing w:line="360" w:lineRule="auto"/>
        <w:jc w:val="both"/>
        <w:rPr>
          <w:rFonts w:cs="David"/>
          <w:sz w:val="24"/>
          <w:szCs w:val="24"/>
          <w:rtl/>
        </w:rPr>
      </w:pPr>
      <w:r>
        <w:rPr>
          <w:rFonts w:cs="David"/>
          <w:b/>
          <w:bCs/>
          <w:sz w:val="24"/>
          <w:szCs w:val="24"/>
          <w:rtl/>
        </w:rPr>
        <w:t>ב"כ הנאשמת</w:t>
      </w:r>
      <w:r>
        <w:rPr>
          <w:rFonts w:cs="David"/>
          <w:sz w:val="24"/>
          <w:szCs w:val="24"/>
          <w:rtl/>
        </w:rPr>
        <w:t xml:space="preserve">, ציין נסיבות חייה של  הנאשמת, העובדה שביצעה העבירה בהיותה בת 22, ונכנסת תחת ההגדרה של בגיר-צעיר יש לקחת עניין זה במסגרת שיקולי הענישה. הנאשמת נמצאת בקשר מעמיק ורציף עם שירות המבחן, נקייה מסמים מזה כ 15 חודשים, המלצת שירות המבחן נסמכת על כך, תוך ששירות המבחן מציין נסיבותיה האישיות המורכבות של הנאשמת. כיום עובדת כסייעת בגן, שואפת לנהל אורח חיים נורמטיבי. ב"כ הנאשמת הדגיש עובדת היותה נעדרת עבר פלילי, היא אינה מעורה בעסקי הסמים, אלא כפי שצוין נהגה לעשות שימוש בסמים במהלך בילוי בעיקר בסופי שבוע. כיום כאמור נקייה מסמים. </w:t>
      </w:r>
    </w:p>
    <w:p w14:paraId="37AF7605" w14:textId="77777777" w:rsidR="00172B50" w:rsidRDefault="00172B50" w:rsidP="00172B50">
      <w:pPr>
        <w:pStyle w:val="aa"/>
        <w:spacing w:line="360" w:lineRule="auto"/>
        <w:jc w:val="both"/>
        <w:rPr>
          <w:rFonts w:cs="David"/>
          <w:sz w:val="24"/>
          <w:szCs w:val="24"/>
        </w:rPr>
      </w:pPr>
      <w:r>
        <w:rPr>
          <w:rFonts w:cs="David"/>
          <w:b/>
          <w:bCs/>
          <w:sz w:val="24"/>
          <w:szCs w:val="24"/>
          <w:rtl/>
        </w:rPr>
        <w:t xml:space="preserve">ב"כ הנאשמת, </w:t>
      </w:r>
      <w:r>
        <w:rPr>
          <w:rFonts w:cs="David"/>
          <w:sz w:val="24"/>
          <w:szCs w:val="24"/>
          <w:rtl/>
        </w:rPr>
        <w:t>ציין כי הנאשמת נטלה אחריות מהרגע הראשון, עוד בשלב מציאת הסמים בביתה, הנאשמת בחרה לנהל הליך הוכחות כדי להוכיח שהחזיקה בסמים לשימושה האישי.</w:t>
      </w:r>
    </w:p>
    <w:p w14:paraId="614F8285" w14:textId="77777777" w:rsidR="00172B50" w:rsidRDefault="00172B50" w:rsidP="00172B50">
      <w:pPr>
        <w:pStyle w:val="aa"/>
        <w:spacing w:line="360" w:lineRule="auto"/>
        <w:jc w:val="both"/>
        <w:rPr>
          <w:rFonts w:cs="David"/>
          <w:sz w:val="24"/>
          <w:szCs w:val="24"/>
          <w:rtl/>
        </w:rPr>
      </w:pPr>
      <w:r>
        <w:rPr>
          <w:rFonts w:cs="David"/>
          <w:sz w:val="24"/>
          <w:szCs w:val="24"/>
          <w:rtl/>
        </w:rPr>
        <w:t>שירות המבחן ציין שהנאשמת הפנימה הפסול שבהתנהלותה ובבחירתה בחוג חברים אשר הזיקו לה. שירות המבחן מציין שקיים סיכון אולם לא צוין רמת הסיכון, לטענת ב"כ הנאשמת מדובר בסיכון ברמה בינונית ומטה להישנות, כאשר הסיכון פוחת נוכח הקשר הממושך עם שירות המבחן. ב"כ הנאשמת, עתר לקבלת המלצות שירות המבחן במלואן, לדידו יש לבטל ההרשעה, כדי לשמור על שמה</w:t>
      </w:r>
      <w:r>
        <w:rPr>
          <w:rFonts w:cs="David" w:hint="cs"/>
          <w:sz w:val="24"/>
          <w:szCs w:val="24"/>
          <w:rtl/>
        </w:rPr>
        <w:t xml:space="preserve"> הטוב</w:t>
      </w:r>
      <w:r>
        <w:rPr>
          <w:rFonts w:cs="David"/>
          <w:sz w:val="24"/>
          <w:szCs w:val="24"/>
          <w:rtl/>
        </w:rPr>
        <w:t xml:space="preserve"> של הנאשמת, עניינה עומד בתנאי הלכת כתב. לטענתו אין כל מקום לפסילת רישיון הנהיגה, אין כל טענה שנהגה תחת השפעת סמים, ברכב נמצאו רק פירורים. בהתייחס לנזק הקונקרטי, הגיש ב"כ הנאשמת תכתובות עם משרד החינוך לפיה, תיק זה עלול למנוע ממנה לעסוק בתחום החינוך. ב"כ הנאשמת הפנה לפסיקה בנוגע לסוגיית ביטול ההרשעה, תוך שציין החשיבות שיש לתת להליך השיקומי ולסיכוי השיקום. </w:t>
      </w:r>
    </w:p>
    <w:p w14:paraId="424F06F3" w14:textId="77777777" w:rsidR="00172B50" w:rsidRDefault="00172B50" w:rsidP="00172B50">
      <w:pPr>
        <w:pStyle w:val="aa"/>
        <w:spacing w:line="360" w:lineRule="auto"/>
        <w:jc w:val="both"/>
        <w:rPr>
          <w:rFonts w:cs="David"/>
          <w:sz w:val="24"/>
          <w:szCs w:val="24"/>
          <w:rtl/>
        </w:rPr>
      </w:pPr>
      <w:r>
        <w:rPr>
          <w:rFonts w:cs="David"/>
          <w:sz w:val="24"/>
          <w:szCs w:val="24"/>
          <w:rtl/>
        </w:rPr>
        <w:t xml:space="preserve">ב"כ הנאשמת, טען שבמקרה זה יש להטיל עונש  צו של"צ, התחייבות, כאמור ללא הטלת עונש של פסילת רישיון. </w:t>
      </w:r>
    </w:p>
    <w:p w14:paraId="6CCA81EC" w14:textId="77777777" w:rsidR="00172B50" w:rsidRDefault="00172B50" w:rsidP="00172B50">
      <w:pPr>
        <w:pStyle w:val="aa"/>
        <w:spacing w:line="360" w:lineRule="auto"/>
        <w:jc w:val="both"/>
        <w:rPr>
          <w:rFonts w:cs="David"/>
          <w:sz w:val="24"/>
          <w:szCs w:val="24"/>
          <w:rtl/>
        </w:rPr>
      </w:pPr>
    </w:p>
    <w:p w14:paraId="2FE73F49" w14:textId="77777777" w:rsidR="00172B50" w:rsidRDefault="00172B50" w:rsidP="00172B50">
      <w:pPr>
        <w:pStyle w:val="aa"/>
        <w:numPr>
          <w:ilvl w:val="0"/>
          <w:numId w:val="1"/>
        </w:numPr>
        <w:spacing w:line="360" w:lineRule="auto"/>
        <w:jc w:val="both"/>
        <w:rPr>
          <w:rFonts w:cs="David"/>
          <w:sz w:val="24"/>
          <w:szCs w:val="24"/>
          <w:rtl/>
        </w:rPr>
      </w:pPr>
      <w:r>
        <w:rPr>
          <w:rFonts w:cs="David"/>
          <w:sz w:val="24"/>
          <w:szCs w:val="24"/>
          <w:rtl/>
        </w:rPr>
        <w:t xml:space="preserve">הנאשמת בדברה לפני גזירת העונש, ציינה שלוקחת אחריות, תיארה ההליך שעוברת בשירות המבחן. הביעה צער וחרטה על מעשיה. </w:t>
      </w:r>
    </w:p>
    <w:p w14:paraId="5573936F" w14:textId="77777777" w:rsidR="00172B50" w:rsidRDefault="00172B50" w:rsidP="00172B50">
      <w:pPr>
        <w:spacing w:line="360" w:lineRule="auto"/>
        <w:ind w:left="360"/>
        <w:jc w:val="both"/>
        <w:rPr>
          <w:b/>
          <w:bCs/>
          <w:u w:val="single"/>
          <w:rtl/>
        </w:rPr>
      </w:pPr>
    </w:p>
    <w:p w14:paraId="4DEBE0D7" w14:textId="77777777" w:rsidR="00172B50" w:rsidRDefault="00172B50" w:rsidP="00172B50">
      <w:pPr>
        <w:spacing w:line="360" w:lineRule="auto"/>
        <w:ind w:left="360"/>
        <w:jc w:val="both"/>
        <w:rPr>
          <w:b/>
          <w:bCs/>
          <w:u w:val="single"/>
        </w:rPr>
      </w:pPr>
      <w:r>
        <w:rPr>
          <w:b/>
          <w:bCs/>
          <w:u w:val="single"/>
          <w:rtl/>
        </w:rPr>
        <w:t xml:space="preserve">דיון והכרעה </w:t>
      </w:r>
    </w:p>
    <w:p w14:paraId="6D1D77F0" w14:textId="77777777" w:rsidR="00172B50" w:rsidRDefault="00172B50" w:rsidP="00172B50">
      <w:pPr>
        <w:spacing w:line="360" w:lineRule="auto"/>
        <w:ind w:left="360"/>
        <w:jc w:val="both"/>
        <w:rPr>
          <w:b/>
          <w:bCs/>
          <w:u w:val="single"/>
          <w:rtl/>
        </w:rPr>
      </w:pPr>
      <w:r>
        <w:rPr>
          <w:b/>
          <w:bCs/>
          <w:u w:val="single"/>
          <w:rtl/>
        </w:rPr>
        <w:t>קביעת מתחם העונש ההולם</w:t>
      </w:r>
    </w:p>
    <w:p w14:paraId="1E8F183E" w14:textId="77777777" w:rsidR="00172B50" w:rsidRDefault="00172B50" w:rsidP="00172B50">
      <w:pPr>
        <w:pStyle w:val="aa"/>
        <w:numPr>
          <w:ilvl w:val="0"/>
          <w:numId w:val="1"/>
        </w:numPr>
        <w:spacing w:line="360" w:lineRule="auto"/>
        <w:jc w:val="both"/>
        <w:rPr>
          <w:rFonts w:ascii="David" w:hAnsi="David" w:cs="David"/>
          <w:sz w:val="24"/>
          <w:szCs w:val="24"/>
        </w:rPr>
      </w:pPr>
      <w:r w:rsidRPr="00E77E22">
        <w:rPr>
          <w:rFonts w:ascii="David" w:hAnsi="David" w:cs="David"/>
          <w:sz w:val="24"/>
          <w:szCs w:val="24"/>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72A1C548" w14:textId="77777777" w:rsidR="00172B50" w:rsidRPr="00E77E22" w:rsidRDefault="00172B50" w:rsidP="00172B50">
      <w:pPr>
        <w:pStyle w:val="aa"/>
        <w:spacing w:line="360" w:lineRule="auto"/>
        <w:jc w:val="both"/>
        <w:rPr>
          <w:rFonts w:ascii="David" w:hAnsi="David" w:cs="David"/>
          <w:sz w:val="24"/>
          <w:szCs w:val="24"/>
        </w:rPr>
      </w:pPr>
    </w:p>
    <w:p w14:paraId="431A554A" w14:textId="77777777" w:rsidR="00172B50" w:rsidRDefault="00172B50" w:rsidP="00172B50">
      <w:pPr>
        <w:pStyle w:val="aa"/>
        <w:numPr>
          <w:ilvl w:val="0"/>
          <w:numId w:val="1"/>
        </w:numPr>
        <w:spacing w:line="360" w:lineRule="auto"/>
        <w:jc w:val="both"/>
        <w:rPr>
          <w:rFonts w:cs="David"/>
          <w:sz w:val="24"/>
          <w:szCs w:val="24"/>
        </w:rPr>
      </w:pPr>
      <w:r>
        <w:rPr>
          <w:rFonts w:cs="David"/>
          <w:sz w:val="24"/>
          <w:szCs w:val="24"/>
          <w:rtl/>
        </w:rPr>
        <w:t xml:space="preserve">המלחמה בנגע הסמים הינה קשה ובלתי פוסקת, </w:t>
      </w:r>
      <w:r>
        <w:rPr>
          <w:rFonts w:cs="David"/>
          <w:b/>
          <w:bCs/>
          <w:sz w:val="24"/>
          <w:szCs w:val="24"/>
          <w:rtl/>
        </w:rPr>
        <w:t>עבירת החזקת סם שלא לצריכה עצמית פוגעת בערכים חברתיים</w:t>
      </w:r>
      <w:r>
        <w:rPr>
          <w:rFonts w:cs="David"/>
          <w:sz w:val="24"/>
          <w:szCs w:val="24"/>
          <w:rtl/>
        </w:rPr>
        <w:t xml:space="preserve"> של</w:t>
      </w:r>
      <w:r>
        <w:rPr>
          <w:rFonts w:cs="David"/>
          <w:b/>
          <w:bCs/>
          <w:sz w:val="24"/>
          <w:szCs w:val="24"/>
          <w:rtl/>
        </w:rPr>
        <w:t xml:space="preserve"> </w:t>
      </w:r>
      <w:r>
        <w:rPr>
          <w:rFonts w:cs="David"/>
          <w:sz w:val="24"/>
          <w:szCs w:val="24"/>
          <w:rtl/>
        </w:rPr>
        <w:t xml:space="preserve">הגנה על הציבור בכללותו מפני הנזקים הישירים והעקיפים אשר נגרמים עקב השימוש בסמים וזאת לצד הנזקים הכלכליים והחברתיים הנגרמים עקב שימוש בסמים.  </w:t>
      </w:r>
    </w:p>
    <w:p w14:paraId="6446D4B8" w14:textId="77777777" w:rsidR="00172B50" w:rsidRDefault="00172B50" w:rsidP="00172B50">
      <w:pPr>
        <w:pStyle w:val="aa"/>
        <w:spacing w:line="360" w:lineRule="auto"/>
        <w:jc w:val="both"/>
        <w:rPr>
          <w:rFonts w:cs="David"/>
          <w:sz w:val="24"/>
          <w:szCs w:val="24"/>
          <w:rtl/>
        </w:rPr>
      </w:pPr>
      <w:r>
        <w:rPr>
          <w:rFonts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19" w:history="1">
        <w:r w:rsidR="00C134BF" w:rsidRPr="00C134BF">
          <w:rPr>
            <w:rFonts w:cs="David" w:hint="cs"/>
            <w:color w:val="0000FF"/>
            <w:sz w:val="24"/>
            <w:szCs w:val="24"/>
            <w:u w:val="single"/>
            <w:rtl/>
          </w:rPr>
          <w:t>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יניב יונה</w:t>
      </w:r>
      <w:r>
        <w:rPr>
          <w:rFonts w:cs="David"/>
          <w:sz w:val="24"/>
          <w:szCs w:val="24"/>
          <w:rtl/>
        </w:rPr>
        <w:t xml:space="preserve">  (04.07.12) (להלן: </w:t>
      </w:r>
      <w:r>
        <w:rPr>
          <w:rFonts w:cs="David"/>
          <w:b/>
          <w:bCs/>
          <w:sz w:val="24"/>
          <w:szCs w:val="24"/>
          <w:rtl/>
        </w:rPr>
        <w:t>ע"פ יונה</w:t>
      </w:r>
      <w:r>
        <w:rPr>
          <w:rFonts w:cs="David"/>
          <w:sz w:val="24"/>
          <w:szCs w:val="24"/>
          <w:rtl/>
        </w:rPr>
        <w:t xml:space="preserve">); </w:t>
      </w:r>
      <w:hyperlink r:id="rId20" w:history="1">
        <w:r w:rsidR="00C134BF" w:rsidRPr="00C134BF">
          <w:rPr>
            <w:rFonts w:cs="David" w:hint="cs"/>
            <w:color w:val="0000FF"/>
            <w:sz w:val="24"/>
            <w:szCs w:val="24"/>
            <w:u w:val="single"/>
            <w:rtl/>
          </w:rPr>
          <w:t>רע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 xml:space="preserve">אברהם הרוש נ' מדינת ישראל </w:t>
      </w:r>
      <w:r>
        <w:rPr>
          <w:rFonts w:cs="David"/>
          <w:sz w:val="24"/>
          <w:szCs w:val="24"/>
          <w:rtl/>
        </w:rPr>
        <w:t>(06.07.15);</w:t>
      </w:r>
      <w:r>
        <w:rPr>
          <w:rtl/>
        </w:rPr>
        <w:t xml:space="preserve"> </w:t>
      </w:r>
      <w:r>
        <w:rPr>
          <w:rFonts w:cs="David"/>
          <w:sz w:val="24"/>
          <w:szCs w:val="24"/>
          <w:rtl/>
        </w:rPr>
        <w:t>סולברג ב</w:t>
      </w:r>
      <w:hyperlink r:id="rId21" w:history="1">
        <w:r w:rsidR="00C134BF" w:rsidRPr="00C134BF">
          <w:rPr>
            <w:rFonts w:cs="David" w:hint="cs"/>
            <w:color w:val="0000FF"/>
            <w:sz w:val="24"/>
            <w:szCs w:val="24"/>
            <w:u w:val="single"/>
            <w:rtl/>
          </w:rPr>
          <w:t>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מדינת ישראל נ' אילון ישראל שץ</w:t>
      </w:r>
      <w:r>
        <w:rPr>
          <w:rFonts w:cs="David"/>
          <w:sz w:val="24"/>
          <w:szCs w:val="24"/>
          <w:rtl/>
        </w:rPr>
        <w:t xml:space="preserve"> (15.02.16)). </w:t>
      </w:r>
    </w:p>
    <w:p w14:paraId="0C5B72B6" w14:textId="77777777" w:rsidR="00172B50" w:rsidRDefault="00172B50" w:rsidP="00172B50">
      <w:pPr>
        <w:pStyle w:val="aa"/>
        <w:spacing w:line="360" w:lineRule="auto"/>
        <w:jc w:val="both"/>
        <w:rPr>
          <w:rFonts w:cs="David"/>
          <w:sz w:val="24"/>
          <w:szCs w:val="24"/>
          <w:rtl/>
        </w:rPr>
      </w:pPr>
    </w:p>
    <w:p w14:paraId="2B4C57C1" w14:textId="77777777" w:rsidR="00172B50" w:rsidRDefault="00172B50" w:rsidP="00172B50">
      <w:pPr>
        <w:pStyle w:val="aa"/>
        <w:numPr>
          <w:ilvl w:val="0"/>
          <w:numId w:val="1"/>
        </w:numPr>
        <w:spacing w:line="360" w:lineRule="auto"/>
        <w:jc w:val="both"/>
        <w:rPr>
          <w:rFonts w:cs="David"/>
          <w:sz w:val="24"/>
          <w:szCs w:val="24"/>
        </w:rPr>
      </w:pPr>
      <w:r>
        <w:rPr>
          <w:rFonts w:cs="David"/>
          <w:b/>
          <w:bCs/>
          <w:sz w:val="24"/>
          <w:szCs w:val="24"/>
          <w:rtl/>
        </w:rPr>
        <w:t>מידת הפגיעה בערכים המוגנים הינה משמעותית,</w:t>
      </w:r>
      <w:r>
        <w:rPr>
          <w:rFonts w:cs="David"/>
          <w:sz w:val="24"/>
          <w:szCs w:val="24"/>
          <w:rtl/>
        </w:rPr>
        <w:t xml:space="preserve"> במקרה דנן מדובר בשני סוגי סם מסוכן מסוג </w:t>
      </w:r>
      <w:r>
        <w:rPr>
          <w:rFonts w:cs="David"/>
          <w:b/>
          <w:bCs/>
          <w:sz w:val="24"/>
          <w:szCs w:val="24"/>
        </w:rPr>
        <w:t>MDMA</w:t>
      </w:r>
      <w:r>
        <w:rPr>
          <w:rFonts w:cs="David"/>
          <w:sz w:val="24"/>
          <w:szCs w:val="24"/>
          <w:rtl/>
        </w:rPr>
        <w:t xml:space="preserve"> ו-</w:t>
      </w:r>
      <w:r>
        <w:rPr>
          <w:rFonts w:cs="David"/>
          <w:b/>
          <w:bCs/>
          <w:sz w:val="24"/>
          <w:szCs w:val="24"/>
        </w:rPr>
        <w:t xml:space="preserve"> LSD</w:t>
      </w:r>
      <w:r>
        <w:rPr>
          <w:rFonts w:cs="David"/>
          <w:sz w:val="24"/>
          <w:szCs w:val="24"/>
          <w:rtl/>
        </w:rPr>
        <w:t xml:space="preserve">, הנחשבים סמים קשים מבין הסמים המסוכנים, שנזקיהם הפוטנציאליים חמורים ורחבי היקף. חומרת המעשים מתעצמת נוכח העבודה שמדובר בכמות סם שאינה מבוטלת. בנוגע לסם מסוג  </w:t>
      </w:r>
      <w:r>
        <w:rPr>
          <w:rFonts w:cs="David"/>
          <w:sz w:val="24"/>
          <w:szCs w:val="24"/>
        </w:rPr>
        <w:t>MDMA</w:t>
      </w:r>
      <w:r>
        <w:rPr>
          <w:rFonts w:cs="David"/>
          <w:sz w:val="24"/>
          <w:szCs w:val="24"/>
          <w:rtl/>
        </w:rPr>
        <w:t xml:space="preserve"> יש לציין שסם זה נחשב ל"סם מסיבות", והוא נצרך בעיקר על ידי צעירים ומתבגרים שרבים מהם לא מודעים לסיכונים הכרוכים בצריכתו ראה הנאמר בת"פ (מחוזי-ב"ש) </w:t>
      </w:r>
      <w:hyperlink r:id="rId22" w:history="1">
        <w:r w:rsidR="006A6F49" w:rsidRPr="006A6F49">
          <w:rPr>
            <w:rFonts w:cs="David"/>
            <w:color w:val="0000FF"/>
            <w:sz w:val="24"/>
            <w:szCs w:val="24"/>
            <w:u w:val="single"/>
            <w:rtl/>
          </w:rPr>
          <w:t xml:space="preserve">8113/08 </w:t>
        </w:r>
      </w:hyperlink>
      <w:r>
        <w:rPr>
          <w:rFonts w:cs="David"/>
          <w:sz w:val="24"/>
          <w:szCs w:val="24"/>
          <w:rtl/>
        </w:rPr>
        <w:t xml:space="preserve"> </w:t>
      </w:r>
      <w:r>
        <w:rPr>
          <w:rFonts w:cs="David"/>
          <w:b/>
          <w:bCs/>
          <w:sz w:val="24"/>
          <w:szCs w:val="24"/>
          <w:rtl/>
        </w:rPr>
        <w:t>מדינת ישראל נ' בודרם</w:t>
      </w:r>
      <w:r>
        <w:rPr>
          <w:rFonts w:cs="David"/>
          <w:sz w:val="24"/>
          <w:szCs w:val="24"/>
          <w:rtl/>
        </w:rPr>
        <w:t xml:space="preserve"> ( 19.11.08,בנוגע לנזקים הנגרמים משימוש בסם האקסטזי והצורך בהוקעת השימוש בסם ובהרתעת המספקים סם זה. </w:t>
      </w:r>
    </w:p>
    <w:p w14:paraId="2ACF6453" w14:textId="77777777" w:rsidR="00172B50" w:rsidRDefault="00172B50" w:rsidP="00172B50">
      <w:pPr>
        <w:pStyle w:val="aa"/>
        <w:spacing w:line="360" w:lineRule="auto"/>
        <w:jc w:val="both"/>
        <w:rPr>
          <w:rFonts w:cs="David"/>
          <w:sz w:val="24"/>
          <w:szCs w:val="24"/>
          <w:rtl/>
        </w:rPr>
      </w:pPr>
    </w:p>
    <w:p w14:paraId="71489C7D" w14:textId="77777777" w:rsidR="00172B50" w:rsidRDefault="00172B50" w:rsidP="00172B50">
      <w:pPr>
        <w:pStyle w:val="aa"/>
        <w:numPr>
          <w:ilvl w:val="0"/>
          <w:numId w:val="1"/>
        </w:numPr>
        <w:spacing w:line="360" w:lineRule="auto"/>
        <w:jc w:val="both"/>
        <w:rPr>
          <w:rFonts w:cs="David"/>
          <w:sz w:val="24"/>
          <w:szCs w:val="24"/>
        </w:rPr>
      </w:pPr>
      <w:r>
        <w:rPr>
          <w:rFonts w:cs="David"/>
          <w:sz w:val="24"/>
          <w:szCs w:val="24"/>
          <w:rtl/>
        </w:rPr>
        <w:t xml:space="preserve"> בחינת</w:t>
      </w:r>
      <w:r>
        <w:rPr>
          <w:rFonts w:cs="David"/>
          <w:b/>
          <w:bCs/>
          <w:sz w:val="24"/>
          <w:szCs w:val="24"/>
          <w:rtl/>
        </w:rPr>
        <w:t xml:space="preserve"> מדיניות הענישה הנוהגת</w:t>
      </w:r>
      <w:r>
        <w:rPr>
          <w:rFonts w:cs="David"/>
          <w:sz w:val="24"/>
          <w:szCs w:val="24"/>
          <w:rtl/>
        </w:rPr>
        <w:t xml:space="preserve">, בעבירות החזקת סם מסוכן שלא לצריכה עצמית, מעלה ענישה מגוונת, הכוללת לרוב מאסרים מאחורי סורג ובריח לתקופות קצרות וארוכות, תלוי נסיבותיו של כל מקרה ומקרה: </w:t>
      </w:r>
    </w:p>
    <w:p w14:paraId="09A86D89" w14:textId="77777777" w:rsidR="00172B50" w:rsidRDefault="00172B50" w:rsidP="00172B50">
      <w:pPr>
        <w:pStyle w:val="aa"/>
        <w:numPr>
          <w:ilvl w:val="0"/>
          <w:numId w:val="2"/>
        </w:numPr>
        <w:spacing w:line="360" w:lineRule="auto"/>
        <w:jc w:val="both"/>
        <w:rPr>
          <w:rFonts w:cs="David"/>
          <w:sz w:val="24"/>
          <w:szCs w:val="24"/>
        </w:rPr>
      </w:pPr>
      <w:r>
        <w:rPr>
          <w:rFonts w:cs="David"/>
          <w:sz w:val="24"/>
          <w:szCs w:val="24"/>
          <w:rtl/>
        </w:rPr>
        <w:t xml:space="preserve"> </w:t>
      </w:r>
      <w:hyperlink r:id="rId23" w:history="1">
        <w:r w:rsidR="00C134BF" w:rsidRPr="00C134BF">
          <w:rPr>
            <w:rFonts w:cs="David" w:hint="cs"/>
            <w:color w:val="0000FF"/>
            <w:sz w:val="24"/>
            <w:szCs w:val="24"/>
            <w:u w:val="single"/>
            <w:rtl/>
          </w:rPr>
          <w:t>רע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1473/18</w:t>
        </w:r>
      </w:hyperlink>
      <w:r>
        <w:rPr>
          <w:rFonts w:cs="David" w:hint="cs"/>
          <w:sz w:val="24"/>
          <w:szCs w:val="24"/>
          <w:rtl/>
        </w:rPr>
        <w:t xml:space="preserve"> </w:t>
      </w:r>
      <w:r>
        <w:rPr>
          <w:rFonts w:cs="David" w:hint="cs"/>
          <w:b/>
          <w:bCs/>
          <w:sz w:val="24"/>
          <w:szCs w:val="24"/>
          <w:rtl/>
        </w:rPr>
        <w:t>אוחיון נ' מדינת ישראל</w:t>
      </w:r>
      <w:r>
        <w:rPr>
          <w:rFonts w:cs="David" w:hint="cs"/>
          <w:sz w:val="24"/>
          <w:szCs w:val="24"/>
          <w:rtl/>
        </w:rPr>
        <w:t xml:space="preserve"> (22.4.18), הנאשם הורשע בהתאם הודאתו, בעבירה של החזקת סמים שלא לצריכה עצמית, בכך שהחזיק 4 יחידות סם מסוג קוקאין במשקל 1.6888 נטו ויחידת סם מסוג קוקאין במשקל 0.4185 גרם. בית המשפט הטיל על הנאשם מאסר על תנאי, קנס בסכום של 2,000 ₪ ופסילה על תנאי. בית המשפט המחוזי קיבל ערעורה של התביעה וקבע, כי </w:t>
      </w:r>
      <w:r>
        <w:rPr>
          <w:rFonts w:cs="David" w:hint="cs"/>
          <w:b/>
          <w:bCs/>
          <w:sz w:val="24"/>
          <w:szCs w:val="24"/>
          <w:rtl/>
        </w:rPr>
        <w:t>המתחם העונש ההולם נע בין מאסר לתקופה של 6 חודשים ובין מאסר לתקופה של 12 חודשים.</w:t>
      </w:r>
      <w:r>
        <w:rPr>
          <w:rFonts w:cs="David" w:hint="cs"/>
          <w:sz w:val="24"/>
          <w:szCs w:val="24"/>
          <w:rtl/>
        </w:rPr>
        <w:t xml:space="preserve"> בית המשפט המחוזי הטיל על הנאשם מאסר לתקופה של חודשיים בדרך של עבודות שירות. בית המשפט העליון דחה את בקשת הנאשם להגשת ערעור. </w:t>
      </w:r>
    </w:p>
    <w:p w14:paraId="1D7ED9A4" w14:textId="77777777" w:rsidR="00172B50" w:rsidRPr="00172B50" w:rsidRDefault="00C134BF" w:rsidP="00172B50">
      <w:pPr>
        <w:pStyle w:val="aa"/>
        <w:numPr>
          <w:ilvl w:val="0"/>
          <w:numId w:val="2"/>
        </w:numPr>
        <w:shd w:val="clear" w:color="auto" w:fill="FFFFFF"/>
        <w:spacing w:after="0" w:line="360" w:lineRule="auto"/>
        <w:jc w:val="both"/>
        <w:rPr>
          <w:rtl/>
        </w:rPr>
      </w:pPr>
      <w:hyperlink r:id="rId24" w:history="1">
        <w:r w:rsidRPr="00C134BF">
          <w:rPr>
            <w:rFonts w:cs="David" w:hint="cs"/>
            <w:color w:val="0000FF"/>
            <w:sz w:val="24"/>
            <w:szCs w:val="24"/>
            <w:u w:val="single"/>
            <w:rtl/>
          </w:rPr>
          <w:t>רע</w:t>
        </w:r>
        <w:r w:rsidRPr="00C134BF">
          <w:rPr>
            <w:rFonts w:cs="David"/>
            <w:color w:val="0000FF"/>
            <w:sz w:val="24"/>
            <w:szCs w:val="24"/>
            <w:u w:val="single"/>
            <w:rtl/>
          </w:rPr>
          <w:t>"</w:t>
        </w:r>
        <w:r w:rsidRPr="00C134BF">
          <w:rPr>
            <w:rFonts w:cs="David" w:hint="cs"/>
            <w:color w:val="0000FF"/>
            <w:sz w:val="24"/>
            <w:szCs w:val="24"/>
            <w:u w:val="single"/>
            <w:rtl/>
          </w:rPr>
          <w:t>פ</w:t>
        </w:r>
        <w:r w:rsidRPr="00C134BF">
          <w:rPr>
            <w:rFonts w:cs="David"/>
            <w:color w:val="0000FF"/>
            <w:sz w:val="24"/>
            <w:szCs w:val="24"/>
            <w:u w:val="single"/>
            <w:rtl/>
          </w:rPr>
          <w:t xml:space="preserve"> 747/14</w:t>
        </w:r>
      </w:hyperlink>
      <w:r w:rsidR="00172B50">
        <w:rPr>
          <w:rFonts w:cs="David"/>
          <w:sz w:val="24"/>
          <w:szCs w:val="24"/>
          <w:rtl/>
        </w:rPr>
        <w:t xml:space="preserve"> </w:t>
      </w:r>
      <w:r w:rsidR="00172B50">
        <w:rPr>
          <w:rFonts w:cs="David"/>
          <w:b/>
          <w:bCs/>
          <w:sz w:val="24"/>
          <w:szCs w:val="24"/>
          <w:rtl/>
        </w:rPr>
        <w:t>לוי נ' מדינת ישראל</w:t>
      </w:r>
      <w:r w:rsidR="00172B50">
        <w:rPr>
          <w:rFonts w:cs="David"/>
          <w:sz w:val="24"/>
          <w:szCs w:val="24"/>
          <w:rtl/>
        </w:rPr>
        <w:t xml:space="preserve"> (11.2.14), הנאשם הורשע לאחר ניהול הוכחות בעבירה של החזקת סמים שלא לצריכה עצמית – הנאשם החזיק כ- 5</w:t>
      </w:r>
      <w:r>
        <w:rPr>
          <w:rFonts w:cs="David"/>
          <w:sz w:val="24"/>
          <w:szCs w:val="24"/>
          <w:rtl/>
        </w:rPr>
        <w:t xml:space="preserve"> </w:t>
      </w:r>
      <w:r w:rsidR="00172B50">
        <w:rPr>
          <w:rFonts w:cs="David"/>
          <w:sz w:val="24"/>
          <w:szCs w:val="24"/>
          <w:rtl/>
        </w:rPr>
        <w:t xml:space="preserve"> גר' הרואין מחולק ל- 6 מנות ו- 0.0.95 גרם קוקאין בית משפט השלום קבע כי </w:t>
      </w:r>
      <w:r w:rsidR="00172B50">
        <w:rPr>
          <w:rFonts w:cs="David"/>
          <w:b/>
          <w:bCs/>
          <w:sz w:val="24"/>
          <w:szCs w:val="24"/>
          <w:rtl/>
        </w:rPr>
        <w:t xml:space="preserve">מתחם העונש הנע בין 8-18 חודשי מאסר בפועל </w:t>
      </w:r>
      <w:r w:rsidR="00172B50">
        <w:rPr>
          <w:rFonts w:cs="David"/>
          <w:sz w:val="24"/>
          <w:szCs w:val="24"/>
          <w:rtl/>
        </w:rPr>
        <w:t>וענישה נלווית. הנאשם נדון ל 8 חודשי מאסר בפועל.  ערעור הנאשם בבית משפט המחוזי נדחה וכן  בקשת רשות ערעור לבית המשפט העליון נדחתה גם כן.</w:t>
      </w:r>
    </w:p>
    <w:p w14:paraId="26703D40" w14:textId="77777777" w:rsidR="00172B50" w:rsidRPr="00E77E22" w:rsidRDefault="00C134BF" w:rsidP="00172B50">
      <w:pPr>
        <w:pStyle w:val="aa"/>
        <w:numPr>
          <w:ilvl w:val="0"/>
          <w:numId w:val="2"/>
        </w:numPr>
        <w:shd w:val="clear" w:color="auto" w:fill="FFFFFF"/>
        <w:spacing w:line="360" w:lineRule="auto"/>
        <w:jc w:val="both"/>
        <w:rPr>
          <w:rFonts w:ascii="David" w:hAnsi="David" w:cs="David"/>
          <w:sz w:val="24"/>
          <w:szCs w:val="24"/>
        </w:rPr>
      </w:pPr>
      <w:hyperlink r:id="rId25" w:history="1">
        <w:r w:rsidRPr="00C134BF">
          <w:rPr>
            <w:rFonts w:ascii="David" w:hAnsi="David" w:cs="David"/>
            <w:color w:val="0000FF"/>
            <w:sz w:val="24"/>
            <w:szCs w:val="24"/>
            <w:u w:val="single"/>
            <w:rtl/>
          </w:rPr>
          <w:t>רע"פ 1122/17</w:t>
        </w:r>
      </w:hyperlink>
      <w:r w:rsidR="00172B50" w:rsidRPr="00E77E22">
        <w:rPr>
          <w:rFonts w:ascii="David" w:hAnsi="David" w:cs="David"/>
          <w:sz w:val="24"/>
          <w:szCs w:val="24"/>
          <w:rtl/>
        </w:rPr>
        <w:t xml:space="preserve"> </w:t>
      </w:r>
      <w:r w:rsidR="00172B50" w:rsidRPr="00E77E22">
        <w:rPr>
          <w:rFonts w:ascii="David" w:hAnsi="David" w:cs="David"/>
          <w:b/>
          <w:bCs/>
          <w:sz w:val="24"/>
          <w:szCs w:val="24"/>
          <w:rtl/>
        </w:rPr>
        <w:t xml:space="preserve">אלון גולדשטיין נ' מדינת ישראל </w:t>
      </w:r>
      <w:r w:rsidR="00172B50" w:rsidRPr="00E77E22">
        <w:rPr>
          <w:rFonts w:ascii="David" w:hAnsi="David" w:cs="David"/>
          <w:sz w:val="24"/>
          <w:szCs w:val="24"/>
          <w:rtl/>
        </w:rPr>
        <w:t xml:space="preserve">(5.7.17),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sidR="00172B50" w:rsidRPr="00E77E22">
        <w:rPr>
          <w:rFonts w:ascii="David" w:hAnsi="David" w:cs="David"/>
          <w:sz w:val="24"/>
          <w:szCs w:val="24"/>
        </w:rPr>
        <w:t>MDMA</w:t>
      </w:r>
      <w:r w:rsidR="00172B50" w:rsidRPr="00E77E22">
        <w:rPr>
          <w:rFonts w:ascii="David" w:hAnsi="David" w:cs="David"/>
          <w:sz w:val="24"/>
          <w:szCs w:val="24"/>
          <w:rtl/>
        </w:rPr>
        <w:t xml:space="preserve"> במשקל של</w:t>
      </w:r>
      <w:r>
        <w:rPr>
          <w:rFonts w:ascii="David" w:hAnsi="David" w:cs="David"/>
          <w:sz w:val="24"/>
          <w:szCs w:val="24"/>
          <w:rtl/>
        </w:rPr>
        <w:t xml:space="preserve">  </w:t>
      </w:r>
      <w:r w:rsidR="00172B50" w:rsidRPr="00E77E22">
        <w:rPr>
          <w:rFonts w:ascii="David" w:hAnsi="David" w:cs="David"/>
          <w:sz w:val="24"/>
          <w:szCs w:val="24"/>
          <w:rtl/>
        </w:rPr>
        <w:t xml:space="preserve">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sidR="00172B50" w:rsidRPr="00E77E22">
        <w:rPr>
          <w:rFonts w:ascii="David" w:hAnsi="David" w:cs="David"/>
          <w:b/>
          <w:bCs/>
          <w:sz w:val="24"/>
          <w:szCs w:val="24"/>
          <w:rtl/>
        </w:rPr>
        <w:t>המתחם נע בין 10-24 חודשי מאסר והחמיר את עונשו של המבקש, ל-10 חודשי מאסר בפועל</w:t>
      </w:r>
      <w:r w:rsidR="00172B50" w:rsidRPr="00E77E22">
        <w:rPr>
          <w:rFonts w:ascii="David" w:hAnsi="David" w:cs="David"/>
          <w:sz w:val="24"/>
          <w:szCs w:val="24"/>
          <w:rtl/>
        </w:rPr>
        <w:t xml:space="preserve">. בקשת רשות ערעור נדחתה. </w:t>
      </w:r>
    </w:p>
    <w:p w14:paraId="3AEA7D78" w14:textId="77777777" w:rsidR="00172B50" w:rsidRDefault="00C134BF" w:rsidP="00172B50">
      <w:pPr>
        <w:pStyle w:val="aa"/>
        <w:numPr>
          <w:ilvl w:val="0"/>
          <w:numId w:val="2"/>
        </w:numPr>
        <w:shd w:val="clear" w:color="auto" w:fill="FFFFFF"/>
        <w:spacing w:after="0" w:line="360" w:lineRule="auto"/>
        <w:jc w:val="both"/>
        <w:rPr>
          <w:rFonts w:cs="David"/>
          <w:sz w:val="24"/>
          <w:szCs w:val="24"/>
        </w:rPr>
      </w:pPr>
      <w:hyperlink r:id="rId26" w:history="1">
        <w:r w:rsidRPr="00C134BF">
          <w:rPr>
            <w:rFonts w:cs="David" w:hint="cs"/>
            <w:color w:val="0000FF"/>
            <w:sz w:val="24"/>
            <w:szCs w:val="24"/>
            <w:u w:val="single"/>
            <w:rtl/>
          </w:rPr>
          <w:t>עפ</w:t>
        </w:r>
        <w:r w:rsidRPr="00C134BF">
          <w:rPr>
            <w:rFonts w:cs="David"/>
            <w:color w:val="0000FF"/>
            <w:sz w:val="24"/>
            <w:szCs w:val="24"/>
            <w:u w:val="single"/>
            <w:rtl/>
          </w:rPr>
          <w:t>"</w:t>
        </w:r>
        <w:r w:rsidRPr="00C134BF">
          <w:rPr>
            <w:rFonts w:cs="David" w:hint="cs"/>
            <w:color w:val="0000FF"/>
            <w:sz w:val="24"/>
            <w:szCs w:val="24"/>
            <w:u w:val="single"/>
            <w:rtl/>
          </w:rPr>
          <w:t>ג</w:t>
        </w:r>
        <w:r w:rsidRPr="00C134BF">
          <w:rPr>
            <w:rFonts w:cs="David"/>
            <w:color w:val="0000FF"/>
            <w:sz w:val="24"/>
            <w:szCs w:val="24"/>
            <w:u w:val="single"/>
            <w:rtl/>
          </w:rPr>
          <w:t xml:space="preserve"> (</w:t>
        </w:r>
        <w:r w:rsidRPr="00C134BF">
          <w:rPr>
            <w:rFonts w:cs="David" w:hint="cs"/>
            <w:color w:val="0000FF"/>
            <w:sz w:val="24"/>
            <w:szCs w:val="24"/>
            <w:u w:val="single"/>
            <w:rtl/>
          </w:rPr>
          <w:t>ת</w:t>
        </w:r>
        <w:r w:rsidRPr="00C134BF">
          <w:rPr>
            <w:rFonts w:cs="David"/>
            <w:color w:val="0000FF"/>
            <w:sz w:val="24"/>
            <w:szCs w:val="24"/>
            <w:u w:val="single"/>
            <w:rtl/>
          </w:rPr>
          <w:t>"</w:t>
        </w:r>
        <w:r w:rsidRPr="00C134BF">
          <w:rPr>
            <w:rFonts w:cs="David" w:hint="cs"/>
            <w:color w:val="0000FF"/>
            <w:sz w:val="24"/>
            <w:szCs w:val="24"/>
            <w:u w:val="single"/>
            <w:rtl/>
          </w:rPr>
          <w:t>א</w:t>
        </w:r>
        <w:r w:rsidRPr="00C134BF">
          <w:rPr>
            <w:rFonts w:cs="David"/>
            <w:color w:val="0000FF"/>
            <w:sz w:val="24"/>
            <w:szCs w:val="24"/>
            <w:u w:val="single"/>
            <w:rtl/>
          </w:rPr>
          <w:t>) 6495-09-15</w:t>
        </w:r>
      </w:hyperlink>
      <w:r w:rsidR="00172B50">
        <w:rPr>
          <w:rFonts w:cs="David"/>
          <w:sz w:val="24"/>
          <w:szCs w:val="24"/>
          <w:rtl/>
        </w:rPr>
        <w:t xml:space="preserve"> </w:t>
      </w:r>
      <w:r w:rsidR="00172B50">
        <w:rPr>
          <w:rFonts w:cs="David"/>
          <w:b/>
          <w:bCs/>
          <w:sz w:val="24"/>
          <w:szCs w:val="24"/>
          <w:rtl/>
        </w:rPr>
        <w:t>מדינת ישראל נ' פאדי דחל</w:t>
      </w:r>
      <w:r w:rsidR="00172B50">
        <w:rPr>
          <w:rFonts w:cs="David"/>
          <w:sz w:val="24"/>
          <w:szCs w:val="24"/>
          <w:rtl/>
        </w:rPr>
        <w:t xml:space="preserve"> ( 02.12.15) הנאשם הורשע בהתאם להודאתו בעבירה של החזקת סם מסוג הרואין במשקל של 5.04 גרם כשהוא</w:t>
      </w:r>
      <w:r w:rsidR="00172B50">
        <w:rPr>
          <w:rFonts w:cs="David"/>
          <w:sz w:val="28"/>
          <w:szCs w:val="28"/>
          <w:rtl/>
        </w:rPr>
        <w:t xml:space="preserve"> </w:t>
      </w:r>
      <w:r w:rsidR="00172B50">
        <w:rPr>
          <w:rFonts w:cs="David"/>
          <w:sz w:val="24"/>
          <w:szCs w:val="24"/>
          <w:rtl/>
        </w:rPr>
        <w:t xml:space="preserve">מחולק ל-7 מנות שלא לצריכה עצמית. בית משפט השלום קבע כי מתחם העונש ההולם </w:t>
      </w:r>
      <w:r w:rsidR="00172B50">
        <w:rPr>
          <w:rFonts w:cs="David"/>
          <w:b/>
          <w:bCs/>
          <w:sz w:val="24"/>
          <w:szCs w:val="24"/>
          <w:rtl/>
        </w:rPr>
        <w:t>נע בין מאסר מותנה ועד שנת מאסר</w:t>
      </w:r>
      <w:r w:rsidR="00172B50">
        <w:rPr>
          <w:rFonts w:cs="David"/>
          <w:sz w:val="24"/>
          <w:szCs w:val="24"/>
          <w:rtl/>
        </w:rPr>
        <w:t xml:space="preserve"> וגזר על הנאשם מאסר מותנה וענישה נלווית. בית המשפט המחוזי קיבל את ערעור המדינה, קבע כי מתחם העונש </w:t>
      </w:r>
      <w:r w:rsidR="00172B50">
        <w:rPr>
          <w:rFonts w:cs="David"/>
          <w:b/>
          <w:bCs/>
          <w:sz w:val="24"/>
          <w:szCs w:val="24"/>
          <w:rtl/>
        </w:rPr>
        <w:t>ההולם נע בין 6-18 חודשי מאסר</w:t>
      </w:r>
      <w:r w:rsidR="00172B50">
        <w:rPr>
          <w:rFonts w:cs="David"/>
          <w:sz w:val="24"/>
          <w:szCs w:val="24"/>
          <w:rtl/>
        </w:rPr>
        <w:t xml:space="preserve"> והורה על קבלת תסקיר והחזרת עניינו של המערער לבית משפט קמא לצורך גזירת עונשו. (בעודו ממתין לגזר דינו, ביצע הנאשם עבירות נוספות של החזקת סמים מסוג הירואין (0.91 ג')</w:t>
      </w:r>
      <w:r>
        <w:rPr>
          <w:rFonts w:cs="David"/>
          <w:sz w:val="24"/>
          <w:szCs w:val="24"/>
          <w:rtl/>
        </w:rPr>
        <w:t xml:space="preserve"> </w:t>
      </w:r>
      <w:r w:rsidR="00172B50">
        <w:rPr>
          <w:rFonts w:cs="David"/>
          <w:sz w:val="24"/>
          <w:szCs w:val="24"/>
          <w:rtl/>
        </w:rPr>
        <w:t xml:space="preserve"> וקוקאין (0.66 ג') שיבוש מהלכי משפט והפרעה לשוטר ונדון במאוחד לשנת מאסר וענישה נלווית).</w:t>
      </w:r>
    </w:p>
    <w:p w14:paraId="50DC276E" w14:textId="77777777" w:rsidR="00172B50" w:rsidRPr="00172B50" w:rsidRDefault="00C134BF" w:rsidP="00172B50">
      <w:pPr>
        <w:pStyle w:val="aa"/>
        <w:numPr>
          <w:ilvl w:val="0"/>
          <w:numId w:val="2"/>
        </w:numPr>
        <w:shd w:val="clear" w:color="auto" w:fill="FFFFFF"/>
        <w:spacing w:after="0" w:line="360" w:lineRule="auto"/>
        <w:jc w:val="both"/>
      </w:pPr>
      <w:hyperlink r:id="rId27" w:history="1">
        <w:r w:rsidRPr="00C134BF">
          <w:rPr>
            <w:rFonts w:cs="David" w:hint="cs"/>
            <w:color w:val="0000FF"/>
            <w:sz w:val="24"/>
            <w:szCs w:val="24"/>
            <w:u w:val="single"/>
            <w:rtl/>
          </w:rPr>
          <w:t>עפ</w:t>
        </w:r>
        <w:r w:rsidRPr="00C134BF">
          <w:rPr>
            <w:rFonts w:cs="David"/>
            <w:color w:val="0000FF"/>
            <w:sz w:val="24"/>
            <w:szCs w:val="24"/>
            <w:u w:val="single"/>
            <w:rtl/>
          </w:rPr>
          <w:t>"</w:t>
        </w:r>
        <w:r w:rsidRPr="00C134BF">
          <w:rPr>
            <w:rFonts w:cs="David" w:hint="cs"/>
            <w:color w:val="0000FF"/>
            <w:sz w:val="24"/>
            <w:szCs w:val="24"/>
            <w:u w:val="single"/>
            <w:rtl/>
          </w:rPr>
          <w:t>ג</w:t>
        </w:r>
        <w:r w:rsidRPr="00C134BF">
          <w:rPr>
            <w:rFonts w:cs="David"/>
            <w:color w:val="0000FF"/>
            <w:sz w:val="24"/>
            <w:szCs w:val="24"/>
            <w:u w:val="single"/>
            <w:rtl/>
          </w:rPr>
          <w:t xml:space="preserve"> (</w:t>
        </w:r>
        <w:r w:rsidRPr="00C134BF">
          <w:rPr>
            <w:rFonts w:cs="David" w:hint="cs"/>
            <w:color w:val="0000FF"/>
            <w:sz w:val="24"/>
            <w:szCs w:val="24"/>
            <w:u w:val="single"/>
            <w:rtl/>
          </w:rPr>
          <w:t>חיפה</w:t>
        </w:r>
        <w:r w:rsidRPr="00C134BF">
          <w:rPr>
            <w:rFonts w:cs="David"/>
            <w:color w:val="0000FF"/>
            <w:sz w:val="24"/>
            <w:szCs w:val="24"/>
            <w:u w:val="single"/>
            <w:rtl/>
          </w:rPr>
          <w:t>) 12284-04-15</w:t>
        </w:r>
      </w:hyperlink>
      <w:r w:rsidR="00172B50">
        <w:rPr>
          <w:rFonts w:cs="David"/>
          <w:sz w:val="24"/>
          <w:szCs w:val="24"/>
          <w:rtl/>
        </w:rPr>
        <w:t xml:space="preserve"> </w:t>
      </w:r>
      <w:r w:rsidR="00172B50">
        <w:rPr>
          <w:rFonts w:cs="David"/>
          <w:b/>
          <w:bCs/>
          <w:sz w:val="24"/>
          <w:szCs w:val="24"/>
          <w:rtl/>
        </w:rPr>
        <w:t>פארס חזימיה נ' מדינת ישראל</w:t>
      </w:r>
      <w:r w:rsidR="00172B50">
        <w:rPr>
          <w:rFonts w:cs="David"/>
          <w:sz w:val="24"/>
          <w:szCs w:val="24"/>
          <w:rtl/>
        </w:rPr>
        <w:t xml:space="preserve"> (17.06.15), הנאשם הורשע לאחר ניהול הוכחות בהחזקת סם קוקאין במשקל נטו</w:t>
      </w:r>
      <w:r w:rsidR="00172B50">
        <w:rPr>
          <w:rFonts w:cs="David" w:hint="cs"/>
          <w:sz w:val="24"/>
          <w:szCs w:val="24"/>
        </w:rPr>
        <w:t xml:space="preserve"> </w:t>
      </w:r>
      <w:r w:rsidR="00172B50">
        <w:rPr>
          <w:rFonts w:cs="David"/>
          <w:sz w:val="24"/>
          <w:szCs w:val="24"/>
          <w:rtl/>
        </w:rPr>
        <w:t>של 2.4291 גרם מחולק ל- 5 מנות. בית משפט השלום קבע כי</w:t>
      </w:r>
      <w:r>
        <w:rPr>
          <w:rFonts w:cs="David"/>
          <w:sz w:val="24"/>
          <w:szCs w:val="24"/>
          <w:rtl/>
        </w:rPr>
        <w:t xml:space="preserve"> </w:t>
      </w:r>
      <w:r w:rsidR="00172B50">
        <w:rPr>
          <w:rFonts w:cs="David"/>
          <w:sz w:val="24"/>
          <w:szCs w:val="24"/>
          <w:rtl/>
        </w:rPr>
        <w:t xml:space="preserve"> </w:t>
      </w:r>
      <w:r w:rsidR="00172B50">
        <w:rPr>
          <w:rFonts w:cs="David"/>
          <w:b/>
          <w:bCs/>
          <w:sz w:val="24"/>
          <w:szCs w:val="24"/>
          <w:rtl/>
        </w:rPr>
        <w:t xml:space="preserve">מתחם העונש ההולם נע בין 3-12 חודשי מאסר </w:t>
      </w:r>
      <w:r w:rsidR="00172B50">
        <w:rPr>
          <w:rFonts w:cs="David"/>
          <w:sz w:val="24"/>
          <w:szCs w:val="24"/>
          <w:rtl/>
        </w:rPr>
        <w:t>וענישה נלווית. בית משפט השלום סטה ממתחם הענישה בשל שיקולי שיקום  המערער נדון למאסר מותנה, וענישה נלווית. ערעור המערער על הכרעת הדין נדחה.</w:t>
      </w:r>
    </w:p>
    <w:p w14:paraId="28E181B3" w14:textId="77777777" w:rsidR="00172B50" w:rsidRDefault="00172B50" w:rsidP="00172B50">
      <w:pPr>
        <w:shd w:val="clear" w:color="auto" w:fill="FFFFFF"/>
        <w:spacing w:line="360" w:lineRule="auto"/>
        <w:jc w:val="both"/>
      </w:pPr>
    </w:p>
    <w:p w14:paraId="6E398897" w14:textId="77777777" w:rsidR="00172B50" w:rsidRDefault="00172B50" w:rsidP="00172B50">
      <w:pPr>
        <w:shd w:val="clear" w:color="auto" w:fill="FFFFFF"/>
        <w:spacing w:line="360" w:lineRule="auto"/>
        <w:ind w:left="360"/>
        <w:jc w:val="both"/>
        <w:rPr>
          <w:rFonts w:ascii="David" w:hAnsi="David"/>
          <w:rtl/>
        </w:rPr>
      </w:pPr>
      <w:r>
        <w:rPr>
          <w:rFonts w:ascii="David" w:hAnsi="David"/>
          <w:rtl/>
        </w:rPr>
        <w:t>אציין, כי הפסיקה שציינתי, כוללת החזקת סמים קשים, בניהם סם מסוג קוקאין והרואין אולם בהינתן העובדה שהסמים אותם החזיקה הנאשמת(,</w:t>
      </w:r>
      <w:r>
        <w:rPr>
          <w:rFonts w:ascii="David" w:hAnsi="David"/>
        </w:rPr>
        <w:t xml:space="preserve">mdma </w:t>
      </w:r>
      <w:r>
        <w:rPr>
          <w:rFonts w:ascii="David" w:hAnsi="David"/>
          <w:rtl/>
        </w:rPr>
        <w:t xml:space="preserve">, </w:t>
      </w:r>
      <w:r>
        <w:rPr>
          <w:rFonts w:ascii="David" w:hAnsi="David"/>
        </w:rPr>
        <w:t>lsd</w:t>
      </w:r>
      <w:r>
        <w:rPr>
          <w:rFonts w:ascii="David" w:hAnsi="David"/>
          <w:rtl/>
        </w:rPr>
        <w:t xml:space="preserve"> )הינם סמים קשים ומסוכנים לא פחות, יש בפסיקה שהצגתי כדי ללמד על מתחמי הענישה  הנהוגה וזאת כמובן בשינויים המחויבים. </w:t>
      </w:r>
    </w:p>
    <w:p w14:paraId="3039FD85" w14:textId="77777777" w:rsidR="00172B50" w:rsidRDefault="00172B50" w:rsidP="00172B50">
      <w:pPr>
        <w:shd w:val="clear" w:color="auto" w:fill="FFFFFF"/>
        <w:spacing w:line="360" w:lineRule="auto"/>
        <w:ind w:left="360"/>
        <w:jc w:val="both"/>
        <w:rPr>
          <w:rFonts w:ascii="David" w:hAnsi="David"/>
          <w:rtl/>
        </w:rPr>
      </w:pPr>
    </w:p>
    <w:p w14:paraId="3BBFAA1D" w14:textId="77777777" w:rsidR="00172B50" w:rsidRPr="00172B50" w:rsidRDefault="00172B50" w:rsidP="00172B50">
      <w:pPr>
        <w:pStyle w:val="aa"/>
        <w:numPr>
          <w:ilvl w:val="0"/>
          <w:numId w:val="1"/>
        </w:numPr>
        <w:spacing w:line="360" w:lineRule="auto"/>
        <w:jc w:val="both"/>
        <w:rPr>
          <w:rFonts w:cs="David"/>
          <w:sz w:val="24"/>
          <w:szCs w:val="24"/>
          <w:rtl/>
        </w:rPr>
      </w:pPr>
      <w:r>
        <w:rPr>
          <w:rFonts w:cs="David"/>
          <w:b/>
          <w:bCs/>
          <w:sz w:val="24"/>
          <w:szCs w:val="24"/>
          <w:rtl/>
        </w:rPr>
        <w:t>במסגרת הנסיבות הקשורות בביצוע העבירה (</w:t>
      </w:r>
      <w:r>
        <w:rPr>
          <w:rFonts w:cs="David"/>
          <w:sz w:val="24"/>
          <w:szCs w:val="24"/>
          <w:rtl/>
        </w:rPr>
        <w:t xml:space="preserve">סעיף </w:t>
      </w:r>
      <w:hyperlink r:id="rId28" w:history="1">
        <w:r w:rsidR="000519B6" w:rsidRPr="000519B6">
          <w:rPr>
            <w:rStyle w:val="Hyperlink"/>
            <w:rFonts w:cs="David"/>
            <w:sz w:val="24"/>
            <w:szCs w:val="24"/>
            <w:rtl/>
          </w:rPr>
          <w:t>40 ט'</w:t>
        </w:r>
      </w:hyperlink>
      <w:r>
        <w:rPr>
          <w:rFonts w:cs="David"/>
          <w:sz w:val="24"/>
          <w:szCs w:val="24"/>
          <w:rtl/>
        </w:rPr>
        <w:t xml:space="preserve"> ל</w:t>
      </w:r>
      <w:hyperlink r:id="rId29" w:history="1">
        <w:r w:rsidR="00C134BF" w:rsidRPr="00C134BF">
          <w:rPr>
            <w:rFonts w:cs="David" w:hint="cs"/>
            <w:color w:val="0000FF"/>
            <w:sz w:val="24"/>
            <w:szCs w:val="24"/>
            <w:u w:val="single"/>
            <w:rtl/>
          </w:rPr>
          <w:t>חוק</w:t>
        </w:r>
        <w:r w:rsidR="00C134BF" w:rsidRPr="00C134BF">
          <w:rPr>
            <w:rFonts w:cs="David"/>
            <w:color w:val="0000FF"/>
            <w:sz w:val="24"/>
            <w:szCs w:val="24"/>
            <w:u w:val="single"/>
            <w:rtl/>
          </w:rPr>
          <w:t xml:space="preserve"> </w:t>
        </w:r>
        <w:r w:rsidR="00C134BF" w:rsidRPr="00C134BF">
          <w:rPr>
            <w:rFonts w:cs="David" w:hint="cs"/>
            <w:color w:val="0000FF"/>
            <w:sz w:val="24"/>
            <w:szCs w:val="24"/>
            <w:u w:val="single"/>
            <w:rtl/>
          </w:rPr>
          <w:t>העונשין</w:t>
        </w:r>
      </w:hyperlink>
      <w:r>
        <w:rPr>
          <w:rFonts w:cs="David"/>
          <w:sz w:val="24"/>
          <w:szCs w:val="24"/>
          <w:rtl/>
        </w:rPr>
        <w:t xml:space="preserve">), נתתי דעתי לכך שהנאשמת נמצאה מחזיקה בבית את הסמים, הסמים הוחזקו על ידי הנאשמת כשהם במגירת שידה, יש לציין שבאותו מעמד נמצא ברכבה גם סמים בכמות מינורית,  נתתי דעתי לכמות הסם ולכך שלא היה מיועד לצריכה עצמית. נתתי דעתי לנזק שהיה צפוי להיגרם אילו הסם היה מופץ לגורמים אחרים. </w:t>
      </w:r>
    </w:p>
    <w:p w14:paraId="42EDE95C" w14:textId="77777777" w:rsidR="00172B50" w:rsidRDefault="00172B50" w:rsidP="00172B50">
      <w:pPr>
        <w:pStyle w:val="aa"/>
        <w:numPr>
          <w:ilvl w:val="0"/>
          <w:numId w:val="1"/>
        </w:numPr>
        <w:spacing w:line="360" w:lineRule="auto"/>
        <w:jc w:val="both"/>
        <w:rPr>
          <w:rFonts w:cs="David"/>
          <w:b/>
          <w:bCs/>
          <w:sz w:val="24"/>
          <w:szCs w:val="24"/>
        </w:rPr>
      </w:pPr>
      <w:r>
        <w:rPr>
          <w:rFonts w:cs="David"/>
          <w:b/>
          <w:bCs/>
          <w:sz w:val="24"/>
          <w:szCs w:val="24"/>
          <w:rtl/>
        </w:rPr>
        <w:t>לאור כל האמור ובהתאם לתיקון 113 ל</w:t>
      </w:r>
      <w:hyperlink r:id="rId30" w:history="1">
        <w:r w:rsidR="00C134BF" w:rsidRPr="00C134BF">
          <w:rPr>
            <w:rFonts w:cs="David" w:hint="cs"/>
            <w:b/>
            <w:bCs/>
            <w:color w:val="0000FF"/>
            <w:sz w:val="24"/>
            <w:szCs w:val="24"/>
            <w:u w:val="single"/>
            <w:rtl/>
          </w:rPr>
          <w:t>חוק</w:t>
        </w:r>
        <w:r w:rsidR="00C134BF" w:rsidRPr="00C134BF">
          <w:rPr>
            <w:rFonts w:cs="David"/>
            <w:b/>
            <w:bCs/>
            <w:color w:val="0000FF"/>
            <w:sz w:val="24"/>
            <w:szCs w:val="24"/>
            <w:u w:val="single"/>
            <w:rtl/>
          </w:rPr>
          <w:t xml:space="preserve"> </w:t>
        </w:r>
        <w:r w:rsidR="00C134BF" w:rsidRPr="00C134BF">
          <w:rPr>
            <w:rFonts w:cs="David" w:hint="cs"/>
            <w:b/>
            <w:bCs/>
            <w:color w:val="0000FF"/>
            <w:sz w:val="24"/>
            <w:szCs w:val="24"/>
            <w:u w:val="single"/>
            <w:rtl/>
          </w:rPr>
          <w:t>העונשין</w:t>
        </w:r>
      </w:hyperlink>
      <w:r>
        <w:rPr>
          <w:rFonts w:cs="David"/>
          <w:b/>
          <w:bCs/>
          <w:sz w:val="24"/>
          <w:szCs w:val="24"/>
          <w:rtl/>
        </w:rPr>
        <w:t xml:space="preserve"> (סעיף </w:t>
      </w:r>
      <w:hyperlink r:id="rId31" w:history="1">
        <w:r w:rsidR="000519B6" w:rsidRPr="000519B6">
          <w:rPr>
            <w:rStyle w:val="Hyperlink"/>
            <w:rFonts w:cs="David"/>
            <w:b/>
            <w:bCs/>
            <w:sz w:val="24"/>
            <w:szCs w:val="24"/>
            <w:rtl/>
          </w:rPr>
          <w:t>40 יג'</w:t>
        </w:r>
      </w:hyperlink>
      <w:r>
        <w:rPr>
          <w:rFonts w:cs="David"/>
          <w:b/>
          <w:bCs/>
          <w:sz w:val="24"/>
          <w:szCs w:val="24"/>
          <w:rtl/>
        </w:rPr>
        <w:t xml:space="preserve">), סבורני כי מתחם העונש ההולם הינו החל מ 6 חודשי מאסר בפועל שיכול וירוצו בעבודת שירות  ועד </w:t>
      </w:r>
      <w:r>
        <w:rPr>
          <w:rFonts w:ascii="David" w:hAnsi="David" w:cs="David"/>
          <w:b/>
          <w:bCs/>
          <w:sz w:val="24"/>
          <w:szCs w:val="24"/>
        </w:rPr>
        <w:t>24</w:t>
      </w:r>
      <w:r>
        <w:rPr>
          <w:rFonts w:cs="David"/>
          <w:b/>
          <w:bCs/>
          <w:sz w:val="24"/>
          <w:szCs w:val="24"/>
          <w:rtl/>
        </w:rPr>
        <w:t xml:space="preserve"> </w:t>
      </w:r>
      <w:r>
        <w:rPr>
          <w:rFonts w:cs="David" w:hint="cs"/>
          <w:b/>
          <w:bCs/>
          <w:sz w:val="24"/>
          <w:szCs w:val="24"/>
          <w:rtl/>
        </w:rPr>
        <w:t xml:space="preserve">חודשי מאסר בפועל. </w:t>
      </w:r>
    </w:p>
    <w:p w14:paraId="3C1E4B8F" w14:textId="77777777" w:rsidR="00172B50" w:rsidRDefault="00172B50" w:rsidP="00172B50">
      <w:pPr>
        <w:spacing w:line="360" w:lineRule="auto"/>
        <w:jc w:val="both"/>
        <w:rPr>
          <w:b/>
          <w:bCs/>
          <w:u w:val="single"/>
          <w:rtl/>
        </w:rPr>
      </w:pPr>
    </w:p>
    <w:p w14:paraId="71457E52" w14:textId="77777777" w:rsidR="00172B50" w:rsidRDefault="00172B50" w:rsidP="00172B50">
      <w:pPr>
        <w:spacing w:line="360" w:lineRule="auto"/>
        <w:ind w:left="360"/>
        <w:jc w:val="both"/>
        <w:rPr>
          <w:b/>
          <w:bCs/>
          <w:u w:val="single"/>
          <w:rtl/>
        </w:rPr>
      </w:pPr>
      <w:r>
        <w:rPr>
          <w:b/>
          <w:bCs/>
          <w:u w:val="single"/>
          <w:rtl/>
        </w:rPr>
        <w:t>סוגי</w:t>
      </w:r>
      <w:r>
        <w:rPr>
          <w:rFonts w:hint="cs"/>
          <w:b/>
          <w:bCs/>
          <w:u w:val="single"/>
          <w:rtl/>
        </w:rPr>
        <w:t>י</w:t>
      </w:r>
      <w:r>
        <w:rPr>
          <w:b/>
          <w:bCs/>
          <w:u w:val="single"/>
          <w:rtl/>
        </w:rPr>
        <w:t>ת ביטול ההרשעה</w:t>
      </w:r>
    </w:p>
    <w:p w14:paraId="120BF3AC" w14:textId="77777777" w:rsidR="00172B50" w:rsidRDefault="00172B50" w:rsidP="00172B50">
      <w:pPr>
        <w:pStyle w:val="aa"/>
        <w:numPr>
          <w:ilvl w:val="0"/>
          <w:numId w:val="1"/>
        </w:numPr>
        <w:spacing w:line="360" w:lineRule="auto"/>
        <w:jc w:val="both"/>
        <w:rPr>
          <w:rFonts w:ascii="David" w:hAnsi="David" w:cs="David"/>
          <w:sz w:val="24"/>
          <w:szCs w:val="24"/>
        </w:rPr>
      </w:pPr>
      <w:r w:rsidRPr="00E77E22">
        <w:rPr>
          <w:rFonts w:ascii="David" w:hAnsi="David" w:cs="David"/>
          <w:sz w:val="24"/>
          <w:szCs w:val="24"/>
          <w:rtl/>
        </w:rPr>
        <w:t>כלל יסוד במשפט הפלילי הוא כי מי שנמצא אשם בביצוע עבירה, יורשע (</w:t>
      </w:r>
      <w:hyperlink r:id="rId32" w:history="1">
        <w:r w:rsidR="00C134BF" w:rsidRPr="00C134BF">
          <w:rPr>
            <w:rFonts w:ascii="David" w:hAnsi="David" w:cs="David"/>
            <w:color w:val="0000FF"/>
            <w:sz w:val="24"/>
            <w:szCs w:val="24"/>
            <w:u w:val="single"/>
            <w:rtl/>
          </w:rPr>
          <w:t>ע"פ 2513/96</w:t>
        </w:r>
      </w:hyperlink>
      <w:r w:rsidRPr="00E77E22">
        <w:rPr>
          <w:rFonts w:ascii="David" w:hAnsi="David" w:cs="David"/>
          <w:sz w:val="24"/>
          <w:szCs w:val="24"/>
          <w:rtl/>
        </w:rPr>
        <w:t xml:space="preserve"> </w:t>
      </w:r>
      <w:r w:rsidRPr="00E77E22">
        <w:rPr>
          <w:rFonts w:ascii="David" w:hAnsi="David" w:cs="David"/>
          <w:b/>
          <w:bCs/>
          <w:sz w:val="24"/>
          <w:szCs w:val="24"/>
          <w:rtl/>
        </w:rPr>
        <w:t>מדינת ישראל נ' שמש</w:t>
      </w:r>
      <w:r w:rsidRPr="00E77E22">
        <w:rPr>
          <w:rFonts w:ascii="David" w:hAnsi="David" w:cs="David"/>
          <w:sz w:val="24"/>
          <w:szCs w:val="24"/>
          <w:rtl/>
        </w:rPr>
        <w:t xml:space="preserve">, פ"ד נ (3) 682, 683 (1996).  סעיף </w:t>
      </w:r>
      <w:hyperlink r:id="rId33" w:history="1">
        <w:r w:rsidR="000519B6" w:rsidRPr="000519B6">
          <w:rPr>
            <w:rStyle w:val="Hyperlink"/>
            <w:rFonts w:ascii="David" w:hAnsi="David" w:cs="David"/>
            <w:sz w:val="24"/>
            <w:szCs w:val="24"/>
            <w:rtl/>
          </w:rPr>
          <w:t>71א (ב)</w:t>
        </w:r>
      </w:hyperlink>
      <w:r w:rsidRPr="00E77E22">
        <w:rPr>
          <w:rFonts w:ascii="David" w:hAnsi="David" w:cs="David"/>
          <w:sz w:val="24"/>
          <w:szCs w:val="24"/>
          <w:rtl/>
        </w:rPr>
        <w:t xml:space="preserve"> ל</w:t>
      </w:r>
      <w:hyperlink r:id="rId34" w:history="1">
        <w:r w:rsidR="00C134BF" w:rsidRPr="00C134BF">
          <w:rPr>
            <w:rFonts w:ascii="David" w:hAnsi="David" w:cs="David"/>
            <w:color w:val="0000FF"/>
            <w:sz w:val="24"/>
            <w:szCs w:val="24"/>
            <w:u w:val="single"/>
            <w:rtl/>
          </w:rPr>
          <w:t>חוק העונשין</w:t>
        </w:r>
      </w:hyperlink>
      <w:r w:rsidRPr="00E77E22">
        <w:rPr>
          <w:rFonts w:ascii="David" w:hAnsi="David" w:cs="David"/>
          <w:sz w:val="24"/>
          <w:szCs w:val="24"/>
          <w:rtl/>
        </w:rPr>
        <w:t xml:space="preserve"> מסמיך את בית המשפט להימנע מהרשעת נאשם שביצע העבירה, המדובר בחריג לכלל הרשעה, אשר ייושם במקרים מיוחדים ויוצאי דופן בלבד. </w:t>
      </w:r>
    </w:p>
    <w:p w14:paraId="6F8FC5E7" w14:textId="77777777" w:rsidR="00172B50" w:rsidRPr="00E77E22" w:rsidRDefault="00172B50" w:rsidP="00172B50">
      <w:pPr>
        <w:pStyle w:val="aa"/>
        <w:spacing w:line="360" w:lineRule="auto"/>
        <w:jc w:val="both"/>
        <w:rPr>
          <w:rFonts w:ascii="David" w:hAnsi="David" w:cs="David"/>
          <w:sz w:val="24"/>
          <w:szCs w:val="24"/>
        </w:rPr>
      </w:pPr>
    </w:p>
    <w:p w14:paraId="79A82680" w14:textId="77777777" w:rsidR="00172B50" w:rsidRDefault="00172B50" w:rsidP="00172B50">
      <w:pPr>
        <w:pStyle w:val="aa"/>
        <w:numPr>
          <w:ilvl w:val="0"/>
          <w:numId w:val="1"/>
        </w:numPr>
        <w:spacing w:line="360" w:lineRule="auto"/>
        <w:jc w:val="both"/>
        <w:rPr>
          <w:rFonts w:cs="David"/>
          <w:sz w:val="24"/>
          <w:szCs w:val="24"/>
          <w:rtl/>
        </w:rPr>
      </w:pPr>
      <w:r>
        <w:rPr>
          <w:rFonts w:cs="David"/>
          <w:sz w:val="24"/>
          <w:szCs w:val="24"/>
          <w:rtl/>
        </w:rPr>
        <w:t xml:space="preserve">הפסיקה קבעה </w:t>
      </w:r>
      <w:r>
        <w:rPr>
          <w:rFonts w:cs="David"/>
          <w:b/>
          <w:bCs/>
          <w:sz w:val="24"/>
          <w:szCs w:val="24"/>
          <w:rtl/>
        </w:rPr>
        <w:t>שני תנאים מצטברים</w:t>
      </w:r>
      <w:r>
        <w:rPr>
          <w:rFonts w:cs="David"/>
          <w:sz w:val="24"/>
          <w:szCs w:val="24"/>
          <w:rtl/>
        </w:rPr>
        <w:t xml:space="preserve">, להימנעות מרשעה: האחד, על ההרשעה לפגוע פגיעה חמורה בשיקום הנאשם, והשני, סוג העבירה מאפשר לוותר בנסיבות המקרה המסוים על ההרשעה בלי לפגוע באופן מהותי בשיקולי הענישה האחרים (ראה </w:t>
      </w:r>
      <w:hyperlink r:id="rId35" w:history="1">
        <w:r w:rsidR="00C134BF" w:rsidRPr="00C134BF">
          <w:rPr>
            <w:rFonts w:cs="David" w:hint="cs"/>
            <w:color w:val="0000FF"/>
            <w:sz w:val="24"/>
            <w:szCs w:val="24"/>
            <w:u w:val="single"/>
            <w:rtl/>
          </w:rPr>
          <w:t>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2083/96</w:t>
        </w:r>
      </w:hyperlink>
      <w:r>
        <w:rPr>
          <w:rFonts w:cs="David"/>
          <w:sz w:val="24"/>
          <w:szCs w:val="24"/>
          <w:rtl/>
        </w:rPr>
        <w:t xml:space="preserve"> </w:t>
      </w:r>
      <w:r>
        <w:rPr>
          <w:rFonts w:cs="David"/>
          <w:b/>
          <w:bCs/>
          <w:sz w:val="24"/>
          <w:szCs w:val="24"/>
          <w:rtl/>
        </w:rPr>
        <w:t xml:space="preserve">כתב נ' מדינת ישראל </w:t>
      </w:r>
      <w:r>
        <w:rPr>
          <w:rFonts w:cs="David"/>
          <w:sz w:val="24"/>
          <w:szCs w:val="24"/>
          <w:rtl/>
        </w:rPr>
        <w:t xml:space="preserve">פ"ד נב (3) 337 (1997) (להלן: "הלכת כתב")). </w:t>
      </w:r>
    </w:p>
    <w:p w14:paraId="42D9F8CE" w14:textId="77777777" w:rsidR="00172B50" w:rsidRDefault="00172B50" w:rsidP="00172B50">
      <w:pPr>
        <w:numPr>
          <w:ilvl w:val="0"/>
          <w:numId w:val="1"/>
        </w:numPr>
        <w:spacing w:after="160" w:line="360" w:lineRule="auto"/>
        <w:jc w:val="both"/>
      </w:pPr>
      <w:r>
        <w:rPr>
          <w:rtl/>
        </w:rPr>
        <w:t xml:space="preserve">על ההגנה מוטל נטל השכנוע כי בנסיבות המקרה יש לחרוג מן הכלל ולהעדיף האינטרס האישי של הנאשם לביטול הרשעתו על פני האינטרס הציבורי בהותרת ההרשעה על כנה בהתחשב בשיקולים הבאים: חומרת העבירה, נסיבות ביצועה, הנזק שנגרם כתוצאה מביצוע העבירה, עקרון ההלימה והוקעת העבירה, הרתעת הרבים. אם הנזק שייגרם לנאשם כתוצאה מהרשעה קיצוני ביחס לאינטרס הציבורי, ניתן יהיה להימנע מהרשעתו. </w:t>
      </w:r>
    </w:p>
    <w:p w14:paraId="3F2ADDDD" w14:textId="77777777" w:rsidR="00172B50" w:rsidRDefault="00172B50" w:rsidP="00172B50">
      <w:pPr>
        <w:numPr>
          <w:ilvl w:val="0"/>
          <w:numId w:val="1"/>
        </w:numPr>
        <w:spacing w:after="160" w:line="360" w:lineRule="auto"/>
        <w:jc w:val="both"/>
      </w:pPr>
      <w:r>
        <w:rPr>
          <w:rtl/>
        </w:rPr>
        <w:t xml:space="preserve">בהתייחס לסוג העבירה ונסיבות ביצועה, מדובר בענייננו בעבירה של החזקת סם, סמים מסוג </w:t>
      </w:r>
      <w:r>
        <w:t xml:space="preserve">MDMA </w:t>
      </w:r>
      <w:r>
        <w:rPr>
          <w:rtl/>
        </w:rPr>
        <w:t xml:space="preserve"> ו- </w:t>
      </w:r>
      <w:r>
        <w:t>LSD</w:t>
      </w:r>
      <w:r>
        <w:rPr>
          <w:rtl/>
        </w:rPr>
        <w:t>, בכמות המוגדרת בחוק</w:t>
      </w:r>
      <w:r>
        <w:rPr>
          <w:rFonts w:hint="cs"/>
        </w:rPr>
        <w:t xml:space="preserve"> </w:t>
      </w:r>
      <w:r>
        <w:rPr>
          <w:rtl/>
        </w:rPr>
        <w:t xml:space="preserve">שלא לשימוש עצמי. נסיבות ביצוע העבירה הינן כפי שפורטו לעיל, הנאשמת החזיקה בשני סוגי סמים שונים שהינם סמים ממריצים, אין להקל בהחזקת סמים מסוגים שונים, ששימוש בהם עלול לגרום לפגיעה קשה, החזקת הסמים בכמות זו מעידה על כך שאין מדובר בשימוש עצמי גרידא. למרות האמור, כיום נמצאת הנאשמת במצב שונה לגמרי, היא ניתקה קשריה החברתיים אשר השפיעו עליה לרעה, כפי העולה מתסקיר שירות המבחן אינה עושה שימוש בסמים בכלל, בדיקות שתן שמסרה נמצאו נקיות משרידי סם. </w:t>
      </w:r>
    </w:p>
    <w:p w14:paraId="6A8E37C2" w14:textId="77777777" w:rsidR="00172B50" w:rsidRDefault="00172B50" w:rsidP="00172B50">
      <w:pPr>
        <w:numPr>
          <w:ilvl w:val="0"/>
          <w:numId w:val="1"/>
        </w:numPr>
        <w:spacing w:after="160" w:line="360" w:lineRule="auto"/>
        <w:jc w:val="both"/>
        <w:rPr>
          <w:rtl/>
        </w:rPr>
      </w:pPr>
      <w:r>
        <w:rPr>
          <w:rtl/>
        </w:rPr>
        <w:t xml:space="preserve">בנוגע לתנאי השני, שעניינו פגיעה חמורה בשיקומו או בתעסוקתו של הנאשם – יש לציין שלמרות שמדובר באירוע אשר התרחש לפני כשנה, בפרק הזמן שחלף הנאשמת בגרה והתפכחה, כאמור הפסיקה השימוש בסמים, התנתקה מחבריה ומתפקדת באופן נורמטיבי ומשקיעה מאמציה בתחום המקצועי. במסגרת התסקיר פורטו נסיבות חייה המורכבות, וכן העובדה שהנאשמת שמרה לאורך שנים על יציבות תעסוקתית וניהלה אורח חיים נורמטיבי ותקין. כמו כן צוין שהנאשמת בעלת קווי אישיות נורמטיביים אשר כשלה אך הצליחה לנתק עצמה מהסביבה אשר השפיעה עליה לרעה. </w:t>
      </w:r>
    </w:p>
    <w:p w14:paraId="6CFDEA76" w14:textId="77777777" w:rsidR="00172B50" w:rsidRDefault="00172B50" w:rsidP="00172B50">
      <w:pPr>
        <w:spacing w:line="360" w:lineRule="auto"/>
        <w:ind w:left="720"/>
        <w:jc w:val="both"/>
      </w:pPr>
      <w:r>
        <w:rPr>
          <w:rtl/>
        </w:rPr>
        <w:t xml:space="preserve">שירות המבחן ציין שקיים סיכון מסוים לשימוש בסמים בעתיד בהיעדר טיפול, יחד עם זאת ציין שירות המבחן גורמי הסיכוי במיוחד היותה מנהלת אורח חיים תקין לאורך שנים,  הפקת הלקחים ויכולתה של הנאשמת לבחינה עצמית.  </w:t>
      </w:r>
    </w:p>
    <w:p w14:paraId="64189AAA" w14:textId="77777777" w:rsidR="00172B50" w:rsidRDefault="00172B50" w:rsidP="00172B50">
      <w:pPr>
        <w:spacing w:line="360" w:lineRule="auto"/>
        <w:ind w:left="720"/>
        <w:jc w:val="both"/>
        <w:rPr>
          <w:rtl/>
        </w:rPr>
      </w:pPr>
      <w:r>
        <w:rPr>
          <w:rtl/>
        </w:rPr>
        <w:t>כאמור המליץ שירות המבחן להורות על ביטול הרשעת הנאשמת, בעודו מציין שעצם ההרשעה עלולה להסב נזק לנאשמת בתחום התעסוקתי, וכן ציין שההליך המשפטי מהווה גורם הרתעתי, התרשמות מנזקקות טיפולית ונכונות הנאשמת להשתלב בהליך טיפולי.</w:t>
      </w:r>
    </w:p>
    <w:p w14:paraId="1EF257E2" w14:textId="77777777" w:rsidR="00172B50" w:rsidRDefault="00172B50" w:rsidP="00172B50">
      <w:pPr>
        <w:spacing w:line="360" w:lineRule="auto"/>
        <w:ind w:left="720"/>
        <w:jc w:val="both"/>
        <w:rPr>
          <w:rtl/>
        </w:rPr>
      </w:pPr>
      <w:r>
        <w:rPr>
          <w:rtl/>
        </w:rPr>
        <w:t xml:space="preserve">במקרה שבפני, הוצגו מסמכים על היות הנאשמת עובדת בתחום החינוך, כך שהרשעה בתיק זה עלולה להביא להפסקת עבודתה ופגיעה קשה בפרנסתה. </w:t>
      </w:r>
    </w:p>
    <w:p w14:paraId="522230B3" w14:textId="77777777" w:rsidR="00172B50" w:rsidRDefault="00172B50" w:rsidP="00172B50">
      <w:pPr>
        <w:spacing w:line="360" w:lineRule="auto"/>
        <w:ind w:left="720"/>
        <w:jc w:val="both"/>
        <w:rPr>
          <w:rtl/>
        </w:rPr>
      </w:pPr>
      <w:r>
        <w:rPr>
          <w:rtl/>
        </w:rPr>
        <w:t>מדובר בנאשמת בת 24, זו הסתבכותה הראשונה והיחידה בפלילים, נעדרת עבר פלילי, שלגביה המליץ שירות המבחן על הימנעות מהרשעה.</w:t>
      </w:r>
    </w:p>
    <w:p w14:paraId="04B31454" w14:textId="77777777" w:rsidR="00172B50" w:rsidRDefault="00172B50" w:rsidP="00172B50">
      <w:pPr>
        <w:spacing w:line="360" w:lineRule="auto"/>
        <w:ind w:left="720"/>
        <w:jc w:val="both"/>
        <w:rPr>
          <w:rtl/>
        </w:rPr>
      </w:pPr>
      <w:r>
        <w:rPr>
          <w:rtl/>
        </w:rPr>
        <w:t>סוג העבירה ונסיבות ביצועה, במקרה שבפני כמו גם העדר מעורבות פלילית הביאו אותי למסקנה כי מקרה זה מתאים להיחשב כמקרה חריג, המצדיק סיום ההליך ללא הרשעה.</w:t>
      </w:r>
    </w:p>
    <w:p w14:paraId="651F9110" w14:textId="77777777" w:rsidR="00172B50" w:rsidRDefault="00172B50" w:rsidP="00172B50">
      <w:pPr>
        <w:spacing w:line="360" w:lineRule="auto"/>
        <w:ind w:left="720"/>
        <w:jc w:val="both"/>
        <w:rPr>
          <w:rtl/>
        </w:rPr>
      </w:pPr>
      <w:r>
        <w:rPr>
          <w:rtl/>
        </w:rPr>
        <w:t>בנוסף, יש לתת את הדעת כי הטלת רכיבי ענישה כמפורט בתסקיר שירות המבחן מהווים כחרב מעל ראשה וככל והנאשמת לא תשכיל לשתף פעולה כפי שיידרש ממנה, תוגש בקשה להפקעה ובית המשפט יוכל לגזור את עונשה מחדש.</w:t>
      </w:r>
    </w:p>
    <w:p w14:paraId="070CF5A6" w14:textId="77777777" w:rsidR="00172B50" w:rsidRDefault="00172B50" w:rsidP="00172B50">
      <w:pPr>
        <w:spacing w:line="360" w:lineRule="auto"/>
        <w:ind w:left="720"/>
        <w:jc w:val="both"/>
        <w:rPr>
          <w:rtl/>
        </w:rPr>
      </w:pPr>
      <w:r>
        <w:rPr>
          <w:rtl/>
        </w:rPr>
        <w:t xml:space="preserve">סבורני כי בתיק זה, הטלת ענישה חינוכית שיקומית בדרך של הטלת צו לריצוי שעות לתועלת הציבור במצטבר עם הטלת קנס כספי גבוה, יש בו כדי לאזן את ההתנהגות הפלילית עם נסיבותיה האישיות של הנאשמת באופן שיהלום את חומרת המעשה מבלי לפגוע בתעסוקתה ובעתידה  של הנאשמת באופן בלתי מידתי. </w:t>
      </w:r>
      <w:r>
        <w:rPr>
          <w:rFonts w:hint="cs"/>
          <w:rtl/>
        </w:rPr>
        <w:t xml:space="preserve">עם זאת, מצאתי לנכון לציין כבר עתה כי יש להטיל על הנאשמת צו של"צ למספר שעות רב יותר מזה שהומלץ על ידי שירות המבחן. </w:t>
      </w:r>
    </w:p>
    <w:p w14:paraId="173884D3" w14:textId="77777777" w:rsidR="00172B50" w:rsidRDefault="00172B50" w:rsidP="00172B50">
      <w:pPr>
        <w:spacing w:line="360" w:lineRule="auto"/>
        <w:jc w:val="both"/>
        <w:rPr>
          <w:u w:val="single"/>
          <w:rtl/>
        </w:rPr>
      </w:pPr>
    </w:p>
    <w:p w14:paraId="6E4C49DF" w14:textId="77777777" w:rsidR="00172B50" w:rsidRPr="00E77E22" w:rsidRDefault="00172B50" w:rsidP="00172B50">
      <w:pPr>
        <w:spacing w:line="360" w:lineRule="auto"/>
        <w:jc w:val="both"/>
        <w:rPr>
          <w:b/>
          <w:bCs/>
          <w:u w:val="single"/>
          <w:rtl/>
        </w:rPr>
      </w:pPr>
      <w:r w:rsidRPr="00E77E22">
        <w:rPr>
          <w:b/>
          <w:bCs/>
          <w:u w:val="single"/>
          <w:rtl/>
        </w:rPr>
        <w:t xml:space="preserve">חריגה ממתחם הענישה </w:t>
      </w:r>
    </w:p>
    <w:p w14:paraId="7FBAEB31" w14:textId="77777777" w:rsidR="00172B50" w:rsidRDefault="000519B6" w:rsidP="00172B50">
      <w:pPr>
        <w:pStyle w:val="aa"/>
        <w:numPr>
          <w:ilvl w:val="0"/>
          <w:numId w:val="1"/>
        </w:numPr>
        <w:spacing w:line="360" w:lineRule="auto"/>
        <w:jc w:val="both"/>
        <w:rPr>
          <w:rFonts w:cs="David"/>
          <w:sz w:val="24"/>
          <w:szCs w:val="24"/>
          <w:rtl/>
        </w:rPr>
      </w:pPr>
      <w:hyperlink r:id="rId36" w:history="1">
        <w:r w:rsidRPr="000519B6">
          <w:rPr>
            <w:rStyle w:val="Hyperlink"/>
            <w:rFonts w:cs="David"/>
            <w:sz w:val="24"/>
            <w:szCs w:val="24"/>
            <w:rtl/>
          </w:rPr>
          <w:t>סעיף 40ד(א)</w:t>
        </w:r>
      </w:hyperlink>
      <w:r w:rsidR="00172B50">
        <w:rPr>
          <w:rFonts w:cs="David"/>
          <w:sz w:val="24"/>
          <w:szCs w:val="24"/>
          <w:rtl/>
        </w:rPr>
        <w:t xml:space="preserve"> ל</w:t>
      </w:r>
      <w:hyperlink r:id="rId37" w:history="1">
        <w:r w:rsidR="00C134BF" w:rsidRPr="00C134BF">
          <w:rPr>
            <w:rFonts w:cs="David" w:hint="cs"/>
            <w:color w:val="0000FF"/>
            <w:sz w:val="24"/>
            <w:szCs w:val="24"/>
            <w:u w:val="single"/>
            <w:rtl/>
          </w:rPr>
          <w:t>חוק</w:t>
        </w:r>
        <w:r w:rsidR="00C134BF" w:rsidRPr="00C134BF">
          <w:rPr>
            <w:rFonts w:cs="David"/>
            <w:color w:val="0000FF"/>
            <w:sz w:val="24"/>
            <w:szCs w:val="24"/>
            <w:u w:val="single"/>
            <w:rtl/>
          </w:rPr>
          <w:t xml:space="preserve"> </w:t>
        </w:r>
        <w:r w:rsidR="00C134BF" w:rsidRPr="00C134BF">
          <w:rPr>
            <w:rFonts w:cs="David" w:hint="cs"/>
            <w:color w:val="0000FF"/>
            <w:sz w:val="24"/>
            <w:szCs w:val="24"/>
            <w:u w:val="single"/>
            <w:rtl/>
          </w:rPr>
          <w:t>העונשין</w:t>
        </w:r>
      </w:hyperlink>
      <w:r w:rsidR="00172B50">
        <w:rPr>
          <w:rFonts w:cs="David"/>
          <w:sz w:val="24"/>
          <w:szCs w:val="24"/>
          <w:rtl/>
        </w:rPr>
        <w:t xml:space="preserve"> קובע כי בית המשפט רשאי לסטות ממתחם העונש משיקולי שיקום, אם "</w:t>
      </w:r>
      <w:r w:rsidR="00172B50">
        <w:rPr>
          <w:rFonts w:cs="David"/>
          <w:b/>
          <w:bCs/>
          <w:sz w:val="24"/>
          <w:szCs w:val="24"/>
          <w:rtl/>
        </w:rPr>
        <w:t>מצא כי הנאשם השתקם או כי יש סיכוי של ממש שישתקם</w:t>
      </w:r>
      <w:r w:rsidR="00172B50">
        <w:rPr>
          <w:rFonts w:cs="David"/>
          <w:sz w:val="24"/>
          <w:szCs w:val="24"/>
          <w:rtl/>
        </w:rPr>
        <w:t>". סעיף זה מבטא  עמדת המחוקק כי יש ליתן, לעתים, מעמד בכורה לשיקול השיקומי על חשבון העיקרון המנחה בענישה, הוא עיקרון ההלימה, והכל במקרים המתאימים לכך. השיקולים שניתן לשקול בהקשר הינם בין היתר : "...</w:t>
      </w:r>
      <w:r w:rsidR="00172B50">
        <w:rPr>
          <w:rFonts w:cs="David"/>
          <w:b/>
          <w:bCs/>
          <w:sz w:val="24"/>
          <w:szCs w:val="24"/>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00172B50">
        <w:rPr>
          <w:rFonts w:cs="David"/>
          <w:sz w:val="24"/>
          <w:szCs w:val="24"/>
          <w:rtl/>
        </w:rPr>
        <w:t xml:space="preserve">" (ראה </w:t>
      </w:r>
      <w:hyperlink r:id="rId38" w:history="1">
        <w:r w:rsidR="00C134BF" w:rsidRPr="00C134BF">
          <w:rPr>
            <w:rFonts w:cs="David" w:hint="cs"/>
            <w:color w:val="0000FF"/>
            <w:sz w:val="24"/>
            <w:szCs w:val="24"/>
            <w:u w:val="single"/>
            <w:rtl/>
          </w:rPr>
          <w:t>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6637/17</w:t>
        </w:r>
      </w:hyperlink>
      <w:r w:rsidR="00172B50">
        <w:rPr>
          <w:rFonts w:cs="David"/>
          <w:sz w:val="24"/>
          <w:szCs w:val="24"/>
          <w:rtl/>
        </w:rPr>
        <w:t xml:space="preserve"> </w:t>
      </w:r>
      <w:r w:rsidR="00172B50">
        <w:rPr>
          <w:rFonts w:cs="David"/>
          <w:b/>
          <w:bCs/>
          <w:sz w:val="24"/>
          <w:szCs w:val="24"/>
          <w:rtl/>
        </w:rPr>
        <w:t>קרנדל נ' מדינת ישראל</w:t>
      </w:r>
      <w:r w:rsidR="00172B50">
        <w:rPr>
          <w:rFonts w:cs="David"/>
          <w:sz w:val="24"/>
          <w:szCs w:val="24"/>
          <w:rtl/>
        </w:rPr>
        <w:t>, פיסקה 24 לחוות דעתה של השופטת ד' ברק-ארז (18.04.2018)).</w:t>
      </w:r>
    </w:p>
    <w:p w14:paraId="40DDA851" w14:textId="77777777" w:rsidR="00172B50" w:rsidRDefault="00172B50" w:rsidP="00172B50">
      <w:pPr>
        <w:pStyle w:val="aa"/>
        <w:numPr>
          <w:ilvl w:val="0"/>
          <w:numId w:val="1"/>
        </w:numPr>
        <w:spacing w:line="360" w:lineRule="auto"/>
        <w:jc w:val="both"/>
        <w:rPr>
          <w:rFonts w:cs="David"/>
          <w:sz w:val="24"/>
          <w:szCs w:val="24"/>
        </w:rPr>
      </w:pPr>
      <w:r>
        <w:rPr>
          <w:rFonts w:cs="David"/>
          <w:sz w:val="24"/>
          <w:szCs w:val="24"/>
          <w:rtl/>
        </w:rPr>
        <w:t>בפסיקה קיימים שיקולים נוספים המלמדים על קיומו של פוטנציאל שיקומי המצדיק חריגה ממתחם העונש ההולם, בניהם: עבר נקי וניהול אורח חיים נורמטיבי, שיתוף פעולה עם רשויות החוק ושירות המבחן, תסקיר המגלה פוטנציאל שיקומי, חרטה על המעשים, אינדיקציות לשינוי עמוק בהתנהגות ובדרך החשיבה, לרבות המוטיבציה שמפגין הנאשם לשיקום והליך שיקומי וטיפולי משמעותי (ראה ב</w:t>
      </w:r>
      <w:hyperlink r:id="rId39" w:history="1">
        <w:r w:rsidR="00C134BF" w:rsidRPr="00C134BF">
          <w:rPr>
            <w:rFonts w:cs="David" w:hint="cs"/>
            <w:color w:val="0000FF"/>
            <w:sz w:val="24"/>
            <w:szCs w:val="24"/>
            <w:u w:val="single"/>
            <w:rtl/>
          </w:rPr>
          <w:t>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4503/16</w:t>
        </w:r>
      </w:hyperlink>
      <w:r>
        <w:rPr>
          <w:rFonts w:cs="David"/>
          <w:sz w:val="24"/>
          <w:szCs w:val="24"/>
          <w:rtl/>
        </w:rPr>
        <w:t xml:space="preserve"> </w:t>
      </w:r>
      <w:r>
        <w:rPr>
          <w:rFonts w:cs="David"/>
          <w:b/>
          <w:bCs/>
          <w:sz w:val="24"/>
          <w:szCs w:val="24"/>
          <w:rtl/>
        </w:rPr>
        <w:t>אבו שנדי נ' מדינת ישראל</w:t>
      </w:r>
      <w:r>
        <w:rPr>
          <w:rFonts w:cs="David"/>
          <w:sz w:val="24"/>
          <w:szCs w:val="24"/>
          <w:rtl/>
        </w:rPr>
        <w:t xml:space="preserve"> (5.5.17); </w:t>
      </w:r>
      <w:hyperlink r:id="rId40" w:history="1">
        <w:r w:rsidR="00C134BF" w:rsidRPr="00C134BF">
          <w:rPr>
            <w:rFonts w:cs="David" w:hint="cs"/>
            <w:color w:val="0000FF"/>
            <w:sz w:val="24"/>
            <w:szCs w:val="24"/>
            <w:u w:val="single"/>
            <w:rtl/>
          </w:rPr>
          <w:t>ע</w:t>
        </w:r>
        <w:r w:rsidR="00C134BF" w:rsidRPr="00C134BF">
          <w:rPr>
            <w:rFonts w:cs="David"/>
            <w:color w:val="0000FF"/>
            <w:sz w:val="24"/>
            <w:szCs w:val="24"/>
            <w:u w:val="single"/>
            <w:rtl/>
          </w:rPr>
          <w:t>"</w:t>
        </w:r>
        <w:r w:rsidR="00C134BF" w:rsidRPr="00C134BF">
          <w:rPr>
            <w:rFonts w:cs="David" w:hint="cs"/>
            <w:color w:val="0000FF"/>
            <w:sz w:val="24"/>
            <w:szCs w:val="24"/>
            <w:u w:val="single"/>
            <w:rtl/>
          </w:rPr>
          <w:t>פ</w:t>
        </w:r>
        <w:r w:rsidR="00C134BF" w:rsidRPr="00C134BF">
          <w:rPr>
            <w:rFonts w:cs="David"/>
            <w:color w:val="0000FF"/>
            <w:sz w:val="24"/>
            <w:szCs w:val="24"/>
            <w:u w:val="single"/>
            <w:rtl/>
          </w:rPr>
          <w:t xml:space="preserve"> 5611/16</w:t>
        </w:r>
      </w:hyperlink>
      <w:r>
        <w:rPr>
          <w:rFonts w:cs="David"/>
          <w:sz w:val="24"/>
          <w:szCs w:val="24"/>
          <w:rtl/>
        </w:rPr>
        <w:t xml:space="preserve"> </w:t>
      </w:r>
      <w:r>
        <w:rPr>
          <w:rFonts w:cs="David"/>
          <w:b/>
          <w:bCs/>
          <w:sz w:val="24"/>
          <w:szCs w:val="24"/>
          <w:rtl/>
        </w:rPr>
        <w:t>סלב נ' מדינת ישראל</w:t>
      </w:r>
      <w:r>
        <w:rPr>
          <w:rFonts w:cs="David"/>
          <w:sz w:val="24"/>
          <w:szCs w:val="24"/>
          <w:rtl/>
        </w:rPr>
        <w:t xml:space="preserve"> (14.9.17); ע"פ 526/14 </w:t>
      </w:r>
      <w:r>
        <w:rPr>
          <w:rFonts w:cs="David"/>
          <w:b/>
          <w:bCs/>
          <w:sz w:val="24"/>
          <w:szCs w:val="24"/>
          <w:rtl/>
        </w:rPr>
        <w:t>פלוני נ' מדינת ישראל</w:t>
      </w:r>
      <w:r>
        <w:rPr>
          <w:rFonts w:cs="David"/>
          <w:sz w:val="24"/>
          <w:szCs w:val="24"/>
          <w:rtl/>
        </w:rPr>
        <w:t xml:space="preserve"> (12.3.14))</w:t>
      </w:r>
    </w:p>
    <w:p w14:paraId="128F0C76" w14:textId="77777777" w:rsidR="00172B50" w:rsidRDefault="00172B50" w:rsidP="00172B50">
      <w:pPr>
        <w:numPr>
          <w:ilvl w:val="0"/>
          <w:numId w:val="1"/>
        </w:numPr>
        <w:spacing w:after="160" w:line="360" w:lineRule="auto"/>
        <w:jc w:val="both"/>
        <w:rPr>
          <w:rtl/>
        </w:rPr>
      </w:pPr>
      <w:r>
        <w:rPr>
          <w:rtl/>
        </w:rPr>
        <w:t>בענייננו אין חולק כי העבירה שביצעה הנאשמת היא חמורה  ועל בית המשפט להעביר מסר מוחשי וברור כנגד כל מי שביצע עבירות מסוג זה, יחד עם זאת, יש לערוך איזון בין האינטרס הציבורי בהרתעה וההכרח להילחם ביד קשה בעבירות אלו לבין האינטרס האישי של הנאשמת.</w:t>
      </w:r>
    </w:p>
    <w:p w14:paraId="14DDC6F6" w14:textId="77777777" w:rsidR="00172B50" w:rsidRDefault="00172B50" w:rsidP="00172B50">
      <w:pPr>
        <w:numPr>
          <w:ilvl w:val="0"/>
          <w:numId w:val="1"/>
        </w:numPr>
        <w:spacing w:after="160" w:line="360" w:lineRule="auto"/>
        <w:jc w:val="both"/>
        <w:rPr>
          <w:b/>
          <w:bCs/>
          <w:u w:val="single"/>
          <w:rtl/>
        </w:rPr>
      </w:pPr>
      <w:r>
        <w:rPr>
          <w:rtl/>
        </w:rPr>
        <w:t xml:space="preserve">   תסקיר שירות המבחן מלמד על כך שהנאשמת נמצאת בעיצומו של הליך טיפולי משמעותי,  שבין היתר, מתבטא בהבנה וההפנמה של חומרת מעשיה, לצד הרקע והנסיבות  שהובילו אותה לבצע העבירה ,הנאשמת הביעה מודעות להתנהלותה הכושלת בכלל ובעת ביצוע העבירה בפרט.</w:t>
      </w:r>
    </w:p>
    <w:p w14:paraId="1B2698C5" w14:textId="77777777" w:rsidR="00172B50" w:rsidRDefault="00172B50" w:rsidP="00172B50">
      <w:pPr>
        <w:numPr>
          <w:ilvl w:val="0"/>
          <w:numId w:val="1"/>
        </w:numPr>
        <w:spacing w:after="160" w:line="360" w:lineRule="auto"/>
        <w:jc w:val="both"/>
        <w:rPr>
          <w:rtl/>
        </w:rPr>
      </w:pPr>
      <w:r>
        <w:rPr>
          <w:rtl/>
        </w:rPr>
        <w:t>לאור האמור לעיל ולאחר ששמעתי את טיעוני הצדדים ועיינתי בתסקיר שירות המבחן ובחנתי את מכלול השיקולים, מצאתי לנכון לסטות ממתחם העונש ההולם מטעמי שיקום.</w:t>
      </w:r>
    </w:p>
    <w:p w14:paraId="32BF8965" w14:textId="77777777" w:rsidR="00172B50" w:rsidRDefault="00172B50" w:rsidP="00172B50">
      <w:pPr>
        <w:spacing w:line="360" w:lineRule="auto"/>
        <w:ind w:left="720"/>
        <w:jc w:val="both"/>
      </w:pPr>
    </w:p>
    <w:p w14:paraId="7906BAA2" w14:textId="77777777" w:rsidR="00172B50" w:rsidRDefault="00172B50" w:rsidP="00172B50">
      <w:pPr>
        <w:spacing w:line="360" w:lineRule="auto"/>
        <w:jc w:val="both"/>
        <w:rPr>
          <w:b/>
          <w:bCs/>
          <w:u w:val="single"/>
          <w:rtl/>
        </w:rPr>
      </w:pPr>
      <w:r>
        <w:rPr>
          <w:b/>
          <w:bCs/>
          <w:u w:val="single"/>
          <w:rtl/>
        </w:rPr>
        <w:t>סוף דבר</w:t>
      </w:r>
    </w:p>
    <w:p w14:paraId="1232DBFB" w14:textId="77777777" w:rsidR="00172B50" w:rsidRDefault="00172B50" w:rsidP="00172B50">
      <w:pPr>
        <w:pStyle w:val="aa"/>
        <w:numPr>
          <w:ilvl w:val="0"/>
          <w:numId w:val="1"/>
        </w:numPr>
        <w:spacing w:line="360" w:lineRule="auto"/>
        <w:jc w:val="both"/>
        <w:rPr>
          <w:rFonts w:cs="David"/>
          <w:sz w:val="24"/>
          <w:szCs w:val="24"/>
        </w:rPr>
      </w:pPr>
      <w:r>
        <w:rPr>
          <w:rFonts w:cs="David"/>
          <w:sz w:val="24"/>
          <w:szCs w:val="24"/>
          <w:rtl/>
        </w:rPr>
        <w:t xml:space="preserve">אשר על-כן, </w:t>
      </w:r>
      <w:r>
        <w:rPr>
          <w:rFonts w:cs="David" w:hint="cs"/>
          <w:sz w:val="24"/>
          <w:szCs w:val="24"/>
          <w:rtl/>
        </w:rPr>
        <w:t xml:space="preserve">אני מורה על ביטול הרשעת הנאשמת בתיק זה וקובע כי הנאשמת ביצעה עבירה של החזקת סם שלא לצריכה עצמית, עבירה לפי </w:t>
      </w:r>
      <w:hyperlink r:id="rId41" w:history="1">
        <w:r w:rsidR="000519B6" w:rsidRPr="000519B6">
          <w:rPr>
            <w:rStyle w:val="Hyperlink"/>
            <w:rFonts w:cs="David" w:hint="eastAsia"/>
            <w:sz w:val="24"/>
            <w:szCs w:val="24"/>
            <w:rtl/>
          </w:rPr>
          <w:t>סעיפים</w:t>
        </w:r>
        <w:r w:rsidR="000519B6" w:rsidRPr="000519B6">
          <w:rPr>
            <w:rStyle w:val="Hyperlink"/>
            <w:rFonts w:cs="David"/>
            <w:sz w:val="24"/>
            <w:szCs w:val="24"/>
            <w:rtl/>
          </w:rPr>
          <w:t xml:space="preserve"> 7(א)</w:t>
        </w:r>
      </w:hyperlink>
      <w:r>
        <w:rPr>
          <w:rFonts w:cs="David" w:hint="cs"/>
          <w:sz w:val="24"/>
          <w:szCs w:val="24"/>
          <w:rtl/>
        </w:rPr>
        <w:t xml:space="preserve"> +</w:t>
      </w:r>
      <w:hyperlink r:id="rId42" w:history="1">
        <w:r w:rsidR="000519B6" w:rsidRPr="000519B6">
          <w:rPr>
            <w:rStyle w:val="Hyperlink"/>
            <w:rFonts w:cs="David"/>
            <w:sz w:val="24"/>
            <w:szCs w:val="24"/>
            <w:rtl/>
          </w:rPr>
          <w:t xml:space="preserve"> (ג)</w:t>
        </w:r>
      </w:hyperlink>
      <w:r>
        <w:rPr>
          <w:rFonts w:cs="David" w:hint="cs"/>
          <w:sz w:val="24"/>
          <w:szCs w:val="24"/>
          <w:rtl/>
        </w:rPr>
        <w:t xml:space="preserve"> רישא ל</w:t>
      </w:r>
      <w:hyperlink r:id="rId43" w:history="1">
        <w:r w:rsidR="00C134BF" w:rsidRPr="00C134BF">
          <w:rPr>
            <w:rFonts w:cs="David" w:hint="cs"/>
            <w:color w:val="0000FF"/>
            <w:sz w:val="24"/>
            <w:szCs w:val="24"/>
            <w:u w:val="single"/>
            <w:rtl/>
          </w:rPr>
          <w:t>פקודת</w:t>
        </w:r>
        <w:r w:rsidR="00C134BF" w:rsidRPr="00C134BF">
          <w:rPr>
            <w:rFonts w:cs="David"/>
            <w:color w:val="0000FF"/>
            <w:sz w:val="24"/>
            <w:szCs w:val="24"/>
            <w:u w:val="single"/>
            <w:rtl/>
          </w:rPr>
          <w:t xml:space="preserve"> </w:t>
        </w:r>
        <w:r w:rsidR="00C134BF" w:rsidRPr="00C134BF">
          <w:rPr>
            <w:rFonts w:cs="David" w:hint="cs"/>
            <w:color w:val="0000FF"/>
            <w:sz w:val="24"/>
            <w:szCs w:val="24"/>
            <w:u w:val="single"/>
            <w:rtl/>
          </w:rPr>
          <w:t>הסמים</w:t>
        </w:r>
        <w:r w:rsidR="00C134BF" w:rsidRPr="00C134BF">
          <w:rPr>
            <w:rFonts w:cs="David"/>
            <w:color w:val="0000FF"/>
            <w:sz w:val="24"/>
            <w:szCs w:val="24"/>
            <w:u w:val="single"/>
            <w:rtl/>
          </w:rPr>
          <w:t xml:space="preserve"> </w:t>
        </w:r>
        <w:r w:rsidR="00C134BF" w:rsidRPr="00C134BF">
          <w:rPr>
            <w:rFonts w:cs="David" w:hint="cs"/>
            <w:color w:val="0000FF"/>
            <w:sz w:val="24"/>
            <w:szCs w:val="24"/>
            <w:u w:val="single"/>
            <w:rtl/>
          </w:rPr>
          <w:t>המסוכנים</w:t>
        </w:r>
      </w:hyperlink>
      <w:r>
        <w:rPr>
          <w:rFonts w:cs="David" w:hint="cs"/>
          <w:sz w:val="24"/>
          <w:szCs w:val="24"/>
          <w:rtl/>
        </w:rPr>
        <w:t xml:space="preserve">. </w:t>
      </w:r>
    </w:p>
    <w:p w14:paraId="442DDADD" w14:textId="77777777" w:rsidR="00172B50" w:rsidRDefault="00172B50" w:rsidP="00172B50">
      <w:pPr>
        <w:pStyle w:val="aa"/>
        <w:numPr>
          <w:ilvl w:val="0"/>
          <w:numId w:val="1"/>
        </w:numPr>
        <w:spacing w:line="360" w:lineRule="auto"/>
        <w:jc w:val="both"/>
        <w:rPr>
          <w:rFonts w:cs="David"/>
          <w:sz w:val="24"/>
          <w:szCs w:val="24"/>
        </w:rPr>
      </w:pPr>
      <w:r>
        <w:rPr>
          <w:rFonts w:cs="David"/>
          <w:sz w:val="24"/>
          <w:szCs w:val="24"/>
          <w:rtl/>
        </w:rPr>
        <w:t>הנני גוזר על הנאשמת את העונשים הבאים:</w:t>
      </w:r>
    </w:p>
    <w:p w14:paraId="2E323058" w14:textId="77777777" w:rsidR="00172B50" w:rsidRDefault="00172B50" w:rsidP="00172B50">
      <w:pPr>
        <w:numPr>
          <w:ilvl w:val="0"/>
          <w:numId w:val="3"/>
        </w:numPr>
        <w:spacing w:after="160" w:line="360" w:lineRule="auto"/>
        <w:jc w:val="both"/>
        <w:rPr>
          <w:rFonts w:ascii="David" w:hAnsi="David"/>
          <w:rtl/>
        </w:rPr>
      </w:pPr>
      <w:r>
        <w:rPr>
          <w:rFonts w:ascii="David" w:hAnsi="David"/>
          <w:rtl/>
        </w:rPr>
        <w:t xml:space="preserve">מורה על הטלת צו של"צ בהיקף של </w:t>
      </w:r>
      <w:r>
        <w:rPr>
          <w:rFonts w:ascii="David" w:hAnsi="David" w:hint="cs"/>
          <w:rtl/>
        </w:rPr>
        <w:t>300</w:t>
      </w:r>
      <w:r>
        <w:rPr>
          <w:rFonts w:ascii="David" w:hAnsi="David"/>
          <w:rtl/>
        </w:rPr>
        <w:t xml:space="preserve"> שעות. בכפוף לקבלת תוכנית שתג</w:t>
      </w:r>
      <w:r>
        <w:rPr>
          <w:rFonts w:ascii="David" w:hAnsi="David" w:hint="cs"/>
          <w:rtl/>
        </w:rPr>
        <w:t>ו</w:t>
      </w:r>
      <w:r>
        <w:rPr>
          <w:rFonts w:ascii="David" w:hAnsi="David"/>
          <w:rtl/>
        </w:rPr>
        <w:t xml:space="preserve">בש על ידי שירות המבחן. </w:t>
      </w:r>
    </w:p>
    <w:p w14:paraId="56757490" w14:textId="77777777" w:rsidR="00172B50" w:rsidRDefault="00172B50" w:rsidP="00172B50">
      <w:pPr>
        <w:numPr>
          <w:ilvl w:val="0"/>
          <w:numId w:val="3"/>
        </w:numPr>
        <w:spacing w:after="160" w:line="360" w:lineRule="auto"/>
        <w:jc w:val="both"/>
        <w:rPr>
          <w:rFonts w:ascii="David" w:hAnsi="David"/>
        </w:rPr>
      </w:pPr>
      <w:r>
        <w:rPr>
          <w:rFonts w:ascii="David" w:hAnsi="David" w:hint="cs"/>
          <w:rtl/>
        </w:rPr>
        <w:t xml:space="preserve">הנאשמת תצהיר בפני על התחייבות כספית להימנע מביצוע כל עבירה על </w:t>
      </w:r>
      <w:hyperlink r:id="rId44" w:history="1">
        <w:r w:rsidR="00C134BF" w:rsidRPr="00C134BF">
          <w:rPr>
            <w:rFonts w:ascii="David" w:hAnsi="David"/>
            <w:color w:val="0000FF"/>
            <w:u w:val="single"/>
            <w:rtl/>
          </w:rPr>
          <w:t>פקודת הסמים המסוכנים</w:t>
        </w:r>
      </w:hyperlink>
      <w:r>
        <w:rPr>
          <w:rFonts w:ascii="David" w:hAnsi="David" w:hint="cs"/>
          <w:rtl/>
        </w:rPr>
        <w:t xml:space="preserve"> בסך 5,000 ₪ וזאת למשך שנתיים מהיום. </w:t>
      </w:r>
      <w:r w:rsidRPr="002A37F5">
        <w:rPr>
          <w:rFonts w:ascii="David" w:hAnsi="David" w:hint="cs"/>
          <w:b/>
          <w:bCs/>
          <w:rtl/>
        </w:rPr>
        <w:t>[התחייבות תוצהר לפרוטוקול]</w:t>
      </w:r>
      <w:r>
        <w:rPr>
          <w:rFonts w:ascii="David" w:hAnsi="David" w:hint="cs"/>
          <w:b/>
          <w:bCs/>
          <w:rtl/>
        </w:rPr>
        <w:t xml:space="preserve">. </w:t>
      </w:r>
    </w:p>
    <w:p w14:paraId="730594EC" w14:textId="77777777" w:rsidR="00172B50" w:rsidRDefault="00172B50" w:rsidP="00172B50">
      <w:pPr>
        <w:numPr>
          <w:ilvl w:val="0"/>
          <w:numId w:val="3"/>
        </w:numPr>
        <w:spacing w:after="160" w:line="360" w:lineRule="auto"/>
        <w:jc w:val="both"/>
        <w:rPr>
          <w:rFonts w:ascii="David" w:hAnsi="David"/>
        </w:rPr>
      </w:pPr>
      <w:r>
        <w:rPr>
          <w:rFonts w:ascii="David" w:hAnsi="David" w:hint="cs"/>
          <w:rtl/>
        </w:rPr>
        <w:t xml:space="preserve">מורה על הטלת </w:t>
      </w:r>
      <w:r>
        <w:rPr>
          <w:rFonts w:ascii="David" w:hAnsi="David"/>
          <w:rtl/>
        </w:rPr>
        <w:t>צו פיקוח למשך שנה</w:t>
      </w:r>
      <w:r>
        <w:rPr>
          <w:rFonts w:ascii="David" w:hAnsi="David" w:hint="cs"/>
          <w:rtl/>
        </w:rPr>
        <w:t xml:space="preserve">. הנאשמת תשתף פעולה בכל הליך טיפולי בו תשולב במסגרת שירות המבחן. מובהר לנאשמת כי ככל ולא תשכיל לשתף פעולה, יכול בית המשפט לגזור את עונשה מחדש. </w:t>
      </w:r>
    </w:p>
    <w:p w14:paraId="382F0F0E" w14:textId="77777777" w:rsidR="00172B50" w:rsidRPr="00172B50" w:rsidRDefault="00172B50" w:rsidP="00172B50">
      <w:pPr>
        <w:spacing w:line="360" w:lineRule="auto"/>
        <w:jc w:val="both"/>
        <w:rPr>
          <w:rFonts w:ascii="Calibri" w:hAnsi="Calibri"/>
        </w:rPr>
      </w:pPr>
      <w:r>
        <w:rPr>
          <w:rtl/>
        </w:rPr>
        <w:t>מורה על השמדת הסמים</w:t>
      </w:r>
      <w:r w:rsidRPr="002A37F5">
        <w:rPr>
          <w:rtl/>
        </w:rPr>
        <w:t>.</w:t>
      </w:r>
    </w:p>
    <w:p w14:paraId="00616687" w14:textId="77777777" w:rsidR="00172B50" w:rsidRDefault="00172B50" w:rsidP="00172B50">
      <w:pPr>
        <w:spacing w:line="360" w:lineRule="auto"/>
        <w:jc w:val="both"/>
        <w:rPr>
          <w:rtl/>
        </w:rPr>
      </w:pPr>
    </w:p>
    <w:p w14:paraId="33A705BC" w14:textId="77777777" w:rsidR="00172B50" w:rsidRPr="002A37F5" w:rsidRDefault="00172B50" w:rsidP="00172B50">
      <w:pPr>
        <w:spacing w:line="360" w:lineRule="auto"/>
        <w:jc w:val="both"/>
        <w:rPr>
          <w:b/>
          <w:bCs/>
          <w:u w:val="single"/>
          <w:rtl/>
        </w:rPr>
      </w:pPr>
      <w:r w:rsidRPr="002A37F5">
        <w:rPr>
          <w:rFonts w:hint="cs"/>
          <w:b/>
          <w:bCs/>
          <w:u w:val="single"/>
          <w:rtl/>
        </w:rPr>
        <w:t xml:space="preserve">המזכירות תסגור את התיק. </w:t>
      </w:r>
    </w:p>
    <w:p w14:paraId="2993DC16" w14:textId="77777777" w:rsidR="00172B50" w:rsidRPr="002A37F5" w:rsidRDefault="00172B50" w:rsidP="00172B50">
      <w:pPr>
        <w:spacing w:line="360" w:lineRule="auto"/>
        <w:jc w:val="both"/>
        <w:rPr>
          <w:rtl/>
        </w:rPr>
      </w:pPr>
    </w:p>
    <w:p w14:paraId="286EF13D" w14:textId="77777777" w:rsidR="00172B50" w:rsidRPr="002A37F5" w:rsidRDefault="00C134BF" w:rsidP="00172B50">
      <w:pPr>
        <w:spacing w:line="360" w:lineRule="auto"/>
        <w:jc w:val="both"/>
        <w:rPr>
          <w:b/>
          <w:bCs/>
          <w:u w:val="single"/>
          <w:rtl/>
        </w:rPr>
      </w:pPr>
      <w:r w:rsidRPr="00C134BF">
        <w:rPr>
          <w:b/>
          <w:bCs/>
          <w:color w:val="FFFFFF"/>
          <w:sz w:val="2"/>
          <w:szCs w:val="2"/>
          <w:u w:val="single"/>
          <w:rtl/>
        </w:rPr>
        <w:t>5129371</w:t>
      </w:r>
      <w:r w:rsidR="00172B50" w:rsidRPr="002A37F5">
        <w:rPr>
          <w:b/>
          <w:bCs/>
          <w:u w:val="single"/>
          <w:rtl/>
        </w:rPr>
        <w:t>זכות ערעור לבית-המשפט המחוזי תוך 45 ימים.</w:t>
      </w:r>
    </w:p>
    <w:p w14:paraId="4329824F" w14:textId="77777777" w:rsidR="00172B50" w:rsidRPr="00C134BF" w:rsidRDefault="00C134BF" w:rsidP="00172B50">
      <w:pPr>
        <w:rPr>
          <w:rFonts w:ascii="Arial" w:hAnsi="Arial"/>
          <w:b/>
          <w:bCs/>
          <w:color w:val="FFFFFF"/>
          <w:sz w:val="2"/>
          <w:szCs w:val="2"/>
          <w:rtl/>
        </w:rPr>
      </w:pPr>
      <w:r w:rsidRPr="00C134BF">
        <w:rPr>
          <w:rFonts w:ascii="Arial" w:hAnsi="Arial"/>
          <w:b/>
          <w:bCs/>
          <w:color w:val="FFFFFF"/>
          <w:sz w:val="2"/>
          <w:szCs w:val="2"/>
          <w:rtl/>
        </w:rPr>
        <w:t>54678313</w:t>
      </w:r>
    </w:p>
    <w:p w14:paraId="2A78DFAD" w14:textId="77777777" w:rsidR="00172B50" w:rsidRPr="000F2247" w:rsidRDefault="00172B50" w:rsidP="00172B50">
      <w:pPr>
        <w:rPr>
          <w:rFonts w:ascii="Arial" w:hAnsi="Arial"/>
          <w:b/>
          <w:bCs/>
          <w:sz w:val="26"/>
          <w:szCs w:val="26"/>
          <w:rtl/>
        </w:rPr>
      </w:pPr>
    </w:p>
    <w:p w14:paraId="7A29B48E" w14:textId="77777777" w:rsidR="00172B50" w:rsidRPr="000F2247" w:rsidRDefault="00C134BF" w:rsidP="00172B5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אב תשפ"ג, 19 יולי 2023, בהעדר הצדדים. </w:t>
      </w:r>
      <w:bookmarkEnd w:id="8"/>
      <w:r w:rsidR="00172B50">
        <w:rPr>
          <w:rFonts w:ascii="Arial" w:hAnsi="Arial"/>
          <w:b/>
          <w:bCs/>
          <w:sz w:val="26"/>
          <w:szCs w:val="26"/>
          <w:rtl/>
        </w:rPr>
        <w:tab/>
      </w:r>
      <w:r w:rsidR="00172B50">
        <w:rPr>
          <w:rFonts w:ascii="Arial" w:hAnsi="Arial"/>
          <w:b/>
          <w:bCs/>
          <w:sz w:val="26"/>
          <w:szCs w:val="26"/>
          <w:rtl/>
        </w:rPr>
        <w:tab/>
      </w:r>
      <w:r w:rsidR="00172B50">
        <w:rPr>
          <w:rFonts w:ascii="Arial" w:hAnsi="Arial"/>
          <w:b/>
          <w:bCs/>
          <w:sz w:val="26"/>
          <w:szCs w:val="26"/>
          <w:rtl/>
        </w:rPr>
        <w:tab/>
      </w:r>
      <w:r w:rsidR="00172B50">
        <w:rPr>
          <w:rFonts w:ascii="Arial" w:hAnsi="Arial"/>
          <w:b/>
          <w:bCs/>
          <w:sz w:val="26"/>
          <w:szCs w:val="26"/>
          <w:rtl/>
        </w:rPr>
        <w:tab/>
      </w:r>
      <w:r w:rsidR="00172B50">
        <w:rPr>
          <w:rFonts w:ascii="Arial" w:hAnsi="Arial"/>
          <w:b/>
          <w:bCs/>
          <w:sz w:val="26"/>
          <w:szCs w:val="26"/>
          <w:rtl/>
        </w:rPr>
        <w:tab/>
      </w:r>
      <w:r w:rsidR="00172B50">
        <w:rPr>
          <w:rFonts w:ascii="Arial" w:hAnsi="Arial"/>
          <w:b/>
          <w:bCs/>
          <w:sz w:val="26"/>
          <w:szCs w:val="26"/>
          <w:rtl/>
        </w:rPr>
        <w:tab/>
      </w:r>
      <w:r w:rsidR="00172B50">
        <w:rPr>
          <w:rFonts w:ascii="Arial" w:hAnsi="Arial"/>
          <w:b/>
          <w:bCs/>
          <w:sz w:val="26"/>
          <w:szCs w:val="26"/>
          <w:rtl/>
        </w:rPr>
        <w:tab/>
      </w:r>
      <w:r w:rsidR="00172B50">
        <w:rPr>
          <w:rFonts w:ascii="Arial" w:hAnsi="Arial" w:hint="cs"/>
          <w:b/>
          <w:bCs/>
          <w:sz w:val="26"/>
          <w:szCs w:val="26"/>
          <w:rtl/>
        </w:rPr>
        <w:t xml:space="preserve">         </w:t>
      </w:r>
    </w:p>
    <w:p w14:paraId="2D009B15" w14:textId="77777777" w:rsidR="00172B50" w:rsidRPr="000F2247" w:rsidRDefault="00172B50" w:rsidP="00C134B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4A32E6" w14:textId="77777777" w:rsidR="00172B50" w:rsidRPr="000F2247" w:rsidRDefault="00172B50" w:rsidP="00172B50">
      <w:pPr>
        <w:jc w:val="center"/>
        <w:rPr>
          <w:rFonts w:ascii="Arial" w:hAnsi="Arial"/>
          <w:b/>
          <w:bCs/>
          <w:sz w:val="26"/>
          <w:szCs w:val="26"/>
          <w:rtl/>
        </w:rPr>
      </w:pPr>
    </w:p>
    <w:p w14:paraId="388F52DC" w14:textId="77777777" w:rsidR="0038109A" w:rsidRPr="00C134BF" w:rsidRDefault="0038109A" w:rsidP="00C134BF">
      <w:pPr>
        <w:keepNext/>
        <w:rPr>
          <w:rFonts w:ascii="David" w:hAnsi="David"/>
          <w:color w:val="000000"/>
          <w:sz w:val="22"/>
          <w:szCs w:val="22"/>
          <w:rtl/>
        </w:rPr>
      </w:pPr>
    </w:p>
    <w:p w14:paraId="6D6A8953" w14:textId="77777777" w:rsidR="00C134BF" w:rsidRPr="00C134BF" w:rsidRDefault="00C134BF" w:rsidP="00C134BF">
      <w:pPr>
        <w:keepNext/>
        <w:rPr>
          <w:rFonts w:ascii="David" w:hAnsi="David"/>
          <w:color w:val="000000"/>
          <w:sz w:val="22"/>
          <w:szCs w:val="22"/>
          <w:rtl/>
        </w:rPr>
      </w:pPr>
      <w:r w:rsidRPr="00C134BF">
        <w:rPr>
          <w:rFonts w:ascii="David" w:hAnsi="David"/>
          <w:color w:val="000000"/>
          <w:sz w:val="22"/>
          <w:szCs w:val="22"/>
          <w:rtl/>
        </w:rPr>
        <w:t>אבישי כהן 54678313</w:t>
      </w:r>
    </w:p>
    <w:p w14:paraId="2B233954" w14:textId="77777777" w:rsidR="00C134BF" w:rsidRDefault="00C134BF" w:rsidP="00C134BF">
      <w:r w:rsidRPr="00C134BF">
        <w:rPr>
          <w:color w:val="000000"/>
          <w:rtl/>
        </w:rPr>
        <w:t>נוסח מסמך זה כפוף לשינויי ניסוח ועריכה</w:t>
      </w:r>
    </w:p>
    <w:p w14:paraId="015B0EE1" w14:textId="77777777" w:rsidR="00C134BF" w:rsidRDefault="00C134BF" w:rsidP="00C134BF">
      <w:pPr>
        <w:rPr>
          <w:rtl/>
        </w:rPr>
      </w:pPr>
    </w:p>
    <w:p w14:paraId="1D568C88" w14:textId="77777777" w:rsidR="00C134BF" w:rsidRDefault="00C134BF" w:rsidP="00C134B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C59F921" w14:textId="77777777" w:rsidR="00C134BF" w:rsidRPr="00C134BF" w:rsidRDefault="00C134BF" w:rsidP="00C134BF">
      <w:pPr>
        <w:jc w:val="center"/>
        <w:rPr>
          <w:color w:val="0000FF"/>
          <w:u w:val="single"/>
        </w:rPr>
      </w:pPr>
    </w:p>
    <w:sectPr w:rsidR="00C134BF" w:rsidRPr="00C134BF" w:rsidSect="00C134BF">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F058C" w14:textId="77777777" w:rsidR="00434491" w:rsidRDefault="00434491" w:rsidP="000D6211">
      <w:r>
        <w:separator/>
      </w:r>
    </w:p>
  </w:endnote>
  <w:endnote w:type="continuationSeparator" w:id="0">
    <w:p w14:paraId="20700178" w14:textId="77777777" w:rsidR="00434491" w:rsidRDefault="00434491" w:rsidP="000D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18A16" w14:textId="77777777" w:rsidR="00C134BF" w:rsidRDefault="00C134BF" w:rsidP="00C134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9B5265" w14:textId="77777777" w:rsidR="00FD1897" w:rsidRPr="00C134BF" w:rsidRDefault="00C134BF" w:rsidP="00C134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B86B2" w14:textId="77777777" w:rsidR="00C134BF" w:rsidRDefault="00C134BF" w:rsidP="00C134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64DF">
      <w:rPr>
        <w:rFonts w:ascii="FrankRuehl" w:hAnsi="FrankRuehl" w:cs="FrankRuehl"/>
        <w:noProof/>
        <w:rtl/>
      </w:rPr>
      <w:t>1</w:t>
    </w:r>
    <w:r>
      <w:rPr>
        <w:rFonts w:ascii="FrankRuehl" w:hAnsi="FrankRuehl" w:cs="FrankRuehl"/>
        <w:rtl/>
      </w:rPr>
      <w:fldChar w:fldCharType="end"/>
    </w:r>
  </w:p>
  <w:p w14:paraId="74EB3759" w14:textId="77777777" w:rsidR="00FD1897" w:rsidRPr="00C134BF" w:rsidRDefault="00C134BF" w:rsidP="00C134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70F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24472" w14:textId="77777777" w:rsidR="00434491" w:rsidRDefault="00434491" w:rsidP="000D6211">
      <w:r>
        <w:separator/>
      </w:r>
    </w:p>
  </w:footnote>
  <w:footnote w:type="continuationSeparator" w:id="0">
    <w:p w14:paraId="464CF6DB" w14:textId="77777777" w:rsidR="00434491" w:rsidRDefault="00434491" w:rsidP="000D6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0CDA4" w14:textId="77777777" w:rsidR="00C134BF" w:rsidRPr="00C134BF" w:rsidRDefault="00C134BF" w:rsidP="00C134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51149-02-22</w:t>
    </w:r>
    <w:r>
      <w:rPr>
        <w:rFonts w:ascii="David" w:hAnsi="David"/>
        <w:color w:val="000000"/>
        <w:sz w:val="22"/>
        <w:szCs w:val="22"/>
        <w:rtl/>
      </w:rPr>
      <w:tab/>
      <w:t xml:space="preserve"> מדינת ישראל נ' אריאל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9073C" w14:textId="77777777" w:rsidR="00C134BF" w:rsidRPr="00C134BF" w:rsidRDefault="00C134BF" w:rsidP="00C134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51149-02-22</w:t>
    </w:r>
    <w:r>
      <w:rPr>
        <w:rFonts w:ascii="David" w:hAnsi="David"/>
        <w:color w:val="000000"/>
        <w:sz w:val="22"/>
        <w:szCs w:val="22"/>
        <w:rtl/>
      </w:rPr>
      <w:tab/>
      <w:t xml:space="preserve"> מדינת ישראל נ' אריאל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38C"/>
    <w:multiLevelType w:val="hybridMultilevel"/>
    <w:tmpl w:val="3E9E8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602B2D76"/>
    <w:multiLevelType w:val="hybridMultilevel"/>
    <w:tmpl w:val="5522802A"/>
    <w:lvl w:ilvl="0" w:tplc="83FCFD6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30892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0892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2217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2B50"/>
    <w:rsid w:val="000519B6"/>
    <w:rsid w:val="000D6211"/>
    <w:rsid w:val="00172B50"/>
    <w:rsid w:val="001B3CCA"/>
    <w:rsid w:val="0038109A"/>
    <w:rsid w:val="003822CB"/>
    <w:rsid w:val="00434491"/>
    <w:rsid w:val="006A6F49"/>
    <w:rsid w:val="007956D6"/>
    <w:rsid w:val="008B4D4A"/>
    <w:rsid w:val="008E0F4C"/>
    <w:rsid w:val="009A4E4C"/>
    <w:rsid w:val="009E0684"/>
    <w:rsid w:val="00C134BF"/>
    <w:rsid w:val="00C764DF"/>
    <w:rsid w:val="00D3106F"/>
    <w:rsid w:val="00FD1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CCA4C3"/>
  <w15:chartTrackingRefBased/>
  <w15:docId w15:val="{249E680A-9BE5-453E-80EE-9B1830EC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2B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2B50"/>
    <w:pPr>
      <w:tabs>
        <w:tab w:val="center" w:pos="4153"/>
        <w:tab w:val="right" w:pos="8306"/>
      </w:tabs>
    </w:pPr>
  </w:style>
  <w:style w:type="character" w:customStyle="1" w:styleId="a4">
    <w:name w:val="כותרת עליונה תו"/>
    <w:link w:val="a3"/>
    <w:rsid w:val="00172B50"/>
    <w:rPr>
      <w:rFonts w:ascii="Times New Roman" w:eastAsia="Times New Roman" w:hAnsi="Times New Roman" w:cs="David"/>
      <w:sz w:val="24"/>
      <w:szCs w:val="24"/>
    </w:rPr>
  </w:style>
  <w:style w:type="paragraph" w:styleId="a5">
    <w:name w:val="footer"/>
    <w:basedOn w:val="a"/>
    <w:link w:val="a6"/>
    <w:rsid w:val="00172B50"/>
    <w:pPr>
      <w:tabs>
        <w:tab w:val="center" w:pos="4153"/>
        <w:tab w:val="right" w:pos="8306"/>
      </w:tabs>
    </w:pPr>
  </w:style>
  <w:style w:type="character" w:customStyle="1" w:styleId="a6">
    <w:name w:val="כותרת תחתונה תו"/>
    <w:link w:val="a5"/>
    <w:rsid w:val="00172B50"/>
    <w:rPr>
      <w:rFonts w:ascii="Times New Roman" w:eastAsia="Times New Roman" w:hAnsi="Times New Roman" w:cs="David"/>
      <w:sz w:val="24"/>
      <w:szCs w:val="24"/>
    </w:rPr>
  </w:style>
  <w:style w:type="table" w:styleId="a7">
    <w:name w:val="Table Grid"/>
    <w:basedOn w:val="a1"/>
    <w:rsid w:val="00172B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2B50"/>
  </w:style>
  <w:style w:type="character" w:customStyle="1" w:styleId="a9">
    <w:name w:val="פיסקת רשימה תו"/>
    <w:link w:val="aa"/>
    <w:locked/>
    <w:rsid w:val="00172B50"/>
  </w:style>
  <w:style w:type="paragraph" w:styleId="aa">
    <w:name w:val="List Paragraph"/>
    <w:basedOn w:val="a"/>
    <w:link w:val="a9"/>
    <w:qFormat/>
    <w:rsid w:val="00172B50"/>
    <w:pPr>
      <w:spacing w:after="160" w:line="256" w:lineRule="auto"/>
      <w:ind w:left="720"/>
      <w:contextualSpacing/>
    </w:pPr>
    <w:rPr>
      <w:rFonts w:ascii="Calibri" w:eastAsia="Calibri" w:hAnsi="Calibri" w:cs="Arial"/>
      <w:sz w:val="22"/>
      <w:szCs w:val="22"/>
    </w:rPr>
  </w:style>
  <w:style w:type="character" w:styleId="Hyperlink">
    <w:name w:val="Hyperlink"/>
    <w:rsid w:val="00C13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a.b" TargetMode="External"/><Relationship Id="rId18" Type="http://schemas.openxmlformats.org/officeDocument/2006/relationships/hyperlink" Target="http://www.nevo.co.il/case/27626014" TargetMode="External"/><Relationship Id="rId26" Type="http://schemas.openxmlformats.org/officeDocument/2006/relationships/hyperlink" Target="http://www.nevo.co.il/case/20551220" TargetMode="External"/><Relationship Id="rId39" Type="http://schemas.openxmlformats.org/officeDocument/2006/relationships/hyperlink" Target="http://www.nevo.co.il/case/21475076" TargetMode="External"/><Relationship Id="rId21" Type="http://schemas.openxmlformats.org/officeDocument/2006/relationships/hyperlink" Target="http://www.nevo.co.il/case/2068359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7.c"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11279208" TargetMode="External"/><Relationship Id="rId32" Type="http://schemas.openxmlformats.org/officeDocument/2006/relationships/hyperlink" Target="http://www.nevo.co.il/case/17916229"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1476337"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3750765"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40d.a"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243617" TargetMode="External"/><Relationship Id="rId27" Type="http://schemas.openxmlformats.org/officeDocument/2006/relationships/hyperlink" Target="http://www.nevo.co.il/case/20200218"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10781"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217955" TargetMode="External"/><Relationship Id="rId33" Type="http://schemas.openxmlformats.org/officeDocument/2006/relationships/hyperlink" Target="http://www.nevo.co.il/law/70301/71a.b" TargetMode="External"/><Relationship Id="rId38" Type="http://schemas.openxmlformats.org/officeDocument/2006/relationships/hyperlink" Target="http://www.nevo.co.il/case/22938500" TargetMode="External"/><Relationship Id="rId46" Type="http://schemas.openxmlformats.org/officeDocument/2006/relationships/header" Target="header1.xml"/><Relationship Id="rId20" Type="http://schemas.openxmlformats.org/officeDocument/2006/relationships/hyperlink" Target="http://www.nevo.co.il/case/20402486" TargetMode="External"/><Relationship Id="rId41" Type="http://schemas.openxmlformats.org/officeDocument/2006/relationships/hyperlink" Target="http://www.nevo.co.il/law/4216/7.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3317</Words>
  <Characters>16585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19863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2752612</vt:i4>
      </vt:variant>
      <vt:variant>
        <vt:i4>105</vt:i4>
      </vt:variant>
      <vt:variant>
        <vt:i4>0</vt:i4>
      </vt:variant>
      <vt:variant>
        <vt:i4>5</vt:i4>
      </vt:variant>
      <vt:variant>
        <vt:lpwstr>http://www.nevo.co.il/law/4216/7.c</vt:lpwstr>
      </vt:variant>
      <vt:variant>
        <vt:lpwstr/>
      </vt:variant>
      <vt:variant>
        <vt:i4>2621540</vt:i4>
      </vt:variant>
      <vt:variant>
        <vt:i4>102</vt:i4>
      </vt:variant>
      <vt:variant>
        <vt:i4>0</vt:i4>
      </vt:variant>
      <vt:variant>
        <vt:i4>5</vt:i4>
      </vt:variant>
      <vt:variant>
        <vt:lpwstr>http://www.nevo.co.il/law/4216/7.a</vt:lpwstr>
      </vt:variant>
      <vt:variant>
        <vt:lpwstr/>
      </vt:variant>
      <vt:variant>
        <vt:i4>3342449</vt:i4>
      </vt:variant>
      <vt:variant>
        <vt:i4>99</vt:i4>
      </vt:variant>
      <vt:variant>
        <vt:i4>0</vt:i4>
      </vt:variant>
      <vt:variant>
        <vt:i4>5</vt:i4>
      </vt:variant>
      <vt:variant>
        <vt:lpwstr>http://www.nevo.co.il/case/21476337</vt:lpwstr>
      </vt:variant>
      <vt:variant>
        <vt:lpwstr/>
      </vt:variant>
      <vt:variant>
        <vt:i4>3407986</vt:i4>
      </vt:variant>
      <vt:variant>
        <vt:i4>96</vt:i4>
      </vt:variant>
      <vt:variant>
        <vt:i4>0</vt:i4>
      </vt:variant>
      <vt:variant>
        <vt:i4>5</vt:i4>
      </vt:variant>
      <vt:variant>
        <vt:lpwstr>http://www.nevo.co.il/case/21475076</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3276916</vt:i4>
      </vt:variant>
      <vt:variant>
        <vt:i4>84</vt:i4>
      </vt:variant>
      <vt:variant>
        <vt:i4>0</vt:i4>
      </vt:variant>
      <vt:variant>
        <vt:i4>5</vt:i4>
      </vt:variant>
      <vt:variant>
        <vt:lpwstr>http://www.nevo.co.il/case/5810781</vt:lpwstr>
      </vt:variant>
      <vt:variant>
        <vt:lpwstr/>
      </vt:variant>
      <vt:variant>
        <vt:i4>7995492</vt:i4>
      </vt:variant>
      <vt:variant>
        <vt:i4>81</vt:i4>
      </vt:variant>
      <vt:variant>
        <vt:i4>0</vt:i4>
      </vt:variant>
      <vt:variant>
        <vt:i4>5</vt:i4>
      </vt:variant>
      <vt:variant>
        <vt:lpwstr>http://www.nevo.co.il/law/70301</vt:lpwstr>
      </vt:variant>
      <vt:variant>
        <vt:lpwstr/>
      </vt:variant>
      <vt:variant>
        <vt:i4>4849667</vt:i4>
      </vt:variant>
      <vt:variant>
        <vt:i4>78</vt:i4>
      </vt:variant>
      <vt:variant>
        <vt:i4>0</vt:i4>
      </vt:variant>
      <vt:variant>
        <vt:i4>5</vt:i4>
      </vt:variant>
      <vt:variant>
        <vt:lpwstr>http://www.nevo.co.il/law/70301/71a.b</vt:lpwstr>
      </vt:variant>
      <vt:variant>
        <vt:lpwstr/>
      </vt:variant>
      <vt:variant>
        <vt:i4>3932272</vt:i4>
      </vt:variant>
      <vt:variant>
        <vt:i4>75</vt:i4>
      </vt:variant>
      <vt:variant>
        <vt:i4>0</vt:i4>
      </vt:variant>
      <vt:variant>
        <vt:i4>5</vt:i4>
      </vt:variant>
      <vt:variant>
        <vt:lpwstr>http://www.nevo.co.il/case/17916229</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3211382</vt:i4>
      </vt:variant>
      <vt:variant>
        <vt:i4>60</vt:i4>
      </vt:variant>
      <vt:variant>
        <vt:i4>0</vt:i4>
      </vt:variant>
      <vt:variant>
        <vt:i4>5</vt:i4>
      </vt:variant>
      <vt:variant>
        <vt:lpwstr>http://www.nevo.co.il/case/20200218</vt:lpwstr>
      </vt:variant>
      <vt:variant>
        <vt:lpwstr/>
      </vt:variant>
      <vt:variant>
        <vt:i4>3407987</vt:i4>
      </vt:variant>
      <vt:variant>
        <vt:i4>57</vt:i4>
      </vt:variant>
      <vt:variant>
        <vt:i4>0</vt:i4>
      </vt:variant>
      <vt:variant>
        <vt:i4>5</vt:i4>
      </vt:variant>
      <vt:variant>
        <vt:lpwstr>http://www.nevo.co.il/case/20551220</vt:lpwstr>
      </vt:variant>
      <vt:variant>
        <vt:lpwstr/>
      </vt:variant>
      <vt:variant>
        <vt:i4>3276926</vt:i4>
      </vt:variant>
      <vt:variant>
        <vt:i4>54</vt:i4>
      </vt:variant>
      <vt:variant>
        <vt:i4>0</vt:i4>
      </vt:variant>
      <vt:variant>
        <vt:i4>5</vt:i4>
      </vt:variant>
      <vt:variant>
        <vt:lpwstr>http://www.nevo.co.il/case/22217955</vt:lpwstr>
      </vt:variant>
      <vt:variant>
        <vt:lpwstr/>
      </vt:variant>
      <vt:variant>
        <vt:i4>3801200</vt:i4>
      </vt:variant>
      <vt:variant>
        <vt:i4>51</vt:i4>
      </vt:variant>
      <vt:variant>
        <vt:i4>0</vt:i4>
      </vt:variant>
      <vt:variant>
        <vt:i4>5</vt:i4>
      </vt:variant>
      <vt:variant>
        <vt:lpwstr>http://www.nevo.co.il/case/11279208</vt:lpwstr>
      </vt:variant>
      <vt:variant>
        <vt:lpwstr/>
      </vt:variant>
      <vt:variant>
        <vt:i4>3342453</vt:i4>
      </vt:variant>
      <vt:variant>
        <vt:i4>48</vt:i4>
      </vt:variant>
      <vt:variant>
        <vt:i4>0</vt:i4>
      </vt:variant>
      <vt:variant>
        <vt:i4>5</vt:i4>
      </vt:variant>
      <vt:variant>
        <vt:lpwstr>http://www.nevo.co.il/case/23750765</vt:lpwstr>
      </vt:variant>
      <vt:variant>
        <vt:lpwstr/>
      </vt:variant>
      <vt:variant>
        <vt:i4>3604596</vt:i4>
      </vt:variant>
      <vt:variant>
        <vt:i4>45</vt:i4>
      </vt:variant>
      <vt:variant>
        <vt:i4>0</vt:i4>
      </vt:variant>
      <vt:variant>
        <vt:i4>5</vt:i4>
      </vt:variant>
      <vt:variant>
        <vt:lpwstr>http://www.nevo.co.il/case/2243617</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3342449</vt:i4>
      </vt:variant>
      <vt:variant>
        <vt:i4>33</vt:i4>
      </vt:variant>
      <vt:variant>
        <vt:i4>0</vt:i4>
      </vt:variant>
      <vt:variant>
        <vt:i4>5</vt:i4>
      </vt:variant>
      <vt:variant>
        <vt:lpwstr>http://www.nevo.co.il/case/27626014</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4849667</vt:i4>
      </vt:variant>
      <vt:variant>
        <vt:i4>18</vt:i4>
      </vt:variant>
      <vt:variant>
        <vt:i4>0</vt:i4>
      </vt:variant>
      <vt:variant>
        <vt:i4>5</vt:i4>
      </vt:variant>
      <vt:variant>
        <vt:lpwstr>http://www.nevo.co.il/law/70301/71a.b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51149</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אריאל שלמה</vt:lpwstr>
  </property>
  <property fmtid="{D5CDD505-2E9C-101B-9397-08002B2CF9AE}" pid="10" name="LAWYER">
    <vt:lpwstr>אינרה פרז;יוסי בוקר</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10</vt:lpwstr>
  </property>
  <property fmtid="{D5CDD505-2E9C-101B-9397-08002B2CF9AE}" pid="16" name="TYPE_ABS_DATE">
    <vt:lpwstr>380020230719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27626014;5738608;20402486;20683594;2243617;23750765;11279208;22217955;20551220;20200218;17916229;5810781;22938500;21475076;21476337</vt:lpwstr>
  </property>
  <property fmtid="{D5CDD505-2E9C-101B-9397-08002B2CF9AE}" pid="36" name="LAWLISTTMP1">
    <vt:lpwstr>4216/007.a:2;007.c:2</vt:lpwstr>
  </property>
  <property fmtid="{D5CDD505-2E9C-101B-9397-08002B2CF9AE}" pid="37" name="LAWLISTTMP2">
    <vt:lpwstr>70301/040i;40jc;071a.b;040d.a</vt:lpwstr>
  </property>
</Properties>
</file>