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E4A67" w:rsidRPr="00146B08" w14:paraId="10A7B767" w14:textId="77777777" w:rsidTr="00C65044">
        <w:trPr>
          <w:trHeight w:hRule="exact" w:val="418"/>
          <w:jc w:val="center"/>
        </w:trPr>
        <w:tc>
          <w:tcPr>
            <w:tcW w:w="8721" w:type="dxa"/>
            <w:gridSpan w:val="2"/>
          </w:tcPr>
          <w:p w14:paraId="11193F8D" w14:textId="77777777" w:rsidR="00CE4A67" w:rsidRPr="00146B08" w:rsidRDefault="00CE4A67" w:rsidP="005B607B">
            <w:pPr>
              <w:pStyle w:val="a3"/>
              <w:jc w:val="center"/>
              <w:rPr>
                <w:rFonts w:ascii="Tahoma" w:hAnsi="Tahoma" w:cs="Tahoma"/>
                <w:color w:val="000080"/>
                <w:rtl/>
              </w:rPr>
            </w:pPr>
            <w:bookmarkStart w:id="0" w:name="FirstLawyer"/>
            <w:bookmarkStart w:id="1" w:name="LastJudge"/>
            <w:r w:rsidRPr="00146B08">
              <w:rPr>
                <w:rFonts w:ascii="Tahoma" w:hAnsi="Tahoma" w:cs="Tahoma"/>
                <w:b/>
                <w:bCs/>
                <w:color w:val="000080"/>
                <w:rtl/>
              </w:rPr>
              <w:t>בית משפט השלום בראשון לציון</w:t>
            </w:r>
          </w:p>
        </w:tc>
      </w:tr>
      <w:tr w:rsidR="00CE4A67" w:rsidRPr="00146B08" w14:paraId="3186EF5C" w14:textId="77777777" w:rsidTr="00C65044">
        <w:trPr>
          <w:trHeight w:val="337"/>
          <w:jc w:val="center"/>
        </w:trPr>
        <w:tc>
          <w:tcPr>
            <w:tcW w:w="5054" w:type="dxa"/>
          </w:tcPr>
          <w:p w14:paraId="0D33A038" w14:textId="77777777" w:rsidR="00CE4A67" w:rsidRPr="00146B08" w:rsidRDefault="00CE4A67" w:rsidP="005B607B">
            <w:pPr>
              <w:rPr>
                <w:rFonts w:cs="FrankRuehl"/>
                <w:sz w:val="28"/>
                <w:szCs w:val="28"/>
                <w:rtl/>
              </w:rPr>
            </w:pPr>
            <w:r w:rsidRPr="00146B08">
              <w:rPr>
                <w:rFonts w:cs="FrankRuehl"/>
                <w:sz w:val="28"/>
                <w:szCs w:val="28"/>
                <w:rtl/>
              </w:rPr>
              <w:t>ת"פ</w:t>
            </w:r>
            <w:r w:rsidRPr="00146B08">
              <w:rPr>
                <w:rFonts w:cs="FrankRuehl" w:hint="cs"/>
                <w:sz w:val="28"/>
                <w:szCs w:val="28"/>
                <w:rtl/>
              </w:rPr>
              <w:t xml:space="preserve"> </w:t>
            </w:r>
            <w:r w:rsidRPr="00146B08">
              <w:rPr>
                <w:rFonts w:cs="FrankRuehl"/>
                <w:sz w:val="28"/>
                <w:szCs w:val="28"/>
                <w:rtl/>
              </w:rPr>
              <w:t>8061-02-22</w:t>
            </w:r>
            <w:r w:rsidRPr="00146B08">
              <w:rPr>
                <w:rFonts w:cs="FrankRuehl" w:hint="cs"/>
                <w:sz w:val="28"/>
                <w:szCs w:val="28"/>
                <w:rtl/>
              </w:rPr>
              <w:t xml:space="preserve"> </w:t>
            </w:r>
            <w:r w:rsidRPr="00146B08">
              <w:rPr>
                <w:rFonts w:cs="FrankRuehl"/>
                <w:sz w:val="28"/>
                <w:szCs w:val="28"/>
                <w:rtl/>
              </w:rPr>
              <w:t>מדינת ישראל נ' שלמה</w:t>
            </w:r>
          </w:p>
          <w:p w14:paraId="109647DB" w14:textId="77777777" w:rsidR="00CE4A67" w:rsidRPr="00146B08" w:rsidRDefault="00CE4A67" w:rsidP="005B607B">
            <w:pPr>
              <w:pStyle w:val="a3"/>
              <w:rPr>
                <w:rFonts w:cs="FrankRuehl"/>
                <w:sz w:val="28"/>
                <w:szCs w:val="28"/>
                <w:rtl/>
              </w:rPr>
            </w:pPr>
          </w:p>
        </w:tc>
        <w:tc>
          <w:tcPr>
            <w:tcW w:w="3667" w:type="dxa"/>
          </w:tcPr>
          <w:p w14:paraId="704F6948" w14:textId="77777777" w:rsidR="00CE4A67" w:rsidRPr="00146B08" w:rsidRDefault="00CE4A67" w:rsidP="005B607B">
            <w:pPr>
              <w:pStyle w:val="a3"/>
              <w:jc w:val="right"/>
              <w:rPr>
                <w:rFonts w:cs="FrankRuehl"/>
                <w:sz w:val="28"/>
                <w:szCs w:val="28"/>
                <w:rtl/>
              </w:rPr>
            </w:pPr>
          </w:p>
        </w:tc>
      </w:tr>
    </w:tbl>
    <w:p w14:paraId="20996E2C" w14:textId="77777777" w:rsidR="00CE4A67" w:rsidRPr="00146B08" w:rsidRDefault="00CE4A67" w:rsidP="00CE4A67">
      <w:pPr>
        <w:pStyle w:val="a3"/>
        <w:rPr>
          <w:rtl/>
        </w:rPr>
      </w:pPr>
      <w:r w:rsidRPr="00146B08">
        <w:rPr>
          <w:rFonts w:hint="cs"/>
          <w:rtl/>
        </w:rPr>
        <w:t xml:space="preserve"> </w:t>
      </w:r>
    </w:p>
    <w:p w14:paraId="392447FB" w14:textId="77777777" w:rsidR="00CE4A67" w:rsidRPr="00146B08" w:rsidRDefault="00CE4A67" w:rsidP="00CE4A67">
      <w:pPr>
        <w:rPr>
          <w:rtl/>
        </w:rPr>
      </w:pPr>
    </w:p>
    <w:p w14:paraId="3FEA324A" w14:textId="77777777" w:rsidR="00CE4A67" w:rsidRPr="00146B08" w:rsidRDefault="00CE4A67" w:rsidP="00CE4A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E4A67" w:rsidRPr="00146B08" w14:paraId="13E89A36" w14:textId="77777777" w:rsidTr="00CE4A67">
        <w:trPr>
          <w:trHeight w:val="295"/>
          <w:jc w:val="center"/>
        </w:trPr>
        <w:tc>
          <w:tcPr>
            <w:tcW w:w="923" w:type="dxa"/>
            <w:tcBorders>
              <w:top w:val="nil"/>
              <w:left w:val="nil"/>
              <w:bottom w:val="nil"/>
              <w:right w:val="nil"/>
            </w:tcBorders>
            <w:shd w:val="clear" w:color="auto" w:fill="auto"/>
          </w:tcPr>
          <w:p w14:paraId="16980D03" w14:textId="77777777" w:rsidR="00CE4A67" w:rsidRPr="00146B08" w:rsidRDefault="00CE4A67" w:rsidP="00CE4A67">
            <w:pPr>
              <w:jc w:val="both"/>
              <w:rPr>
                <w:rFonts w:ascii="David" w:hAnsi="David"/>
                <w:sz w:val="26"/>
                <w:szCs w:val="26"/>
              </w:rPr>
            </w:pPr>
            <w:r w:rsidRPr="00146B08">
              <w:rPr>
                <w:rFonts w:ascii="David" w:hAnsi="David" w:hint="cs"/>
                <w:sz w:val="26"/>
                <w:szCs w:val="26"/>
                <w:rtl/>
              </w:rPr>
              <w:t>ל</w:t>
            </w:r>
            <w:r w:rsidRPr="00146B0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237F48B" w14:textId="77777777" w:rsidR="00CE4A67" w:rsidRPr="00146B08" w:rsidRDefault="00CE4A67" w:rsidP="005B607B">
            <w:pPr>
              <w:rPr>
                <w:rFonts w:ascii="David" w:hAnsi="David"/>
                <w:b/>
                <w:bCs/>
                <w:sz w:val="26"/>
                <w:szCs w:val="26"/>
                <w:rtl/>
              </w:rPr>
            </w:pPr>
            <w:r w:rsidRPr="00146B08">
              <w:rPr>
                <w:rFonts w:ascii="David" w:hAnsi="David"/>
                <w:b/>
                <w:bCs/>
                <w:sz w:val="26"/>
                <w:szCs w:val="26"/>
                <w:rtl/>
              </w:rPr>
              <w:t>כבוד השופט  יוני לבני</w:t>
            </w:r>
          </w:p>
          <w:p w14:paraId="17AD6B24" w14:textId="77777777" w:rsidR="00CE4A67" w:rsidRPr="00146B08" w:rsidRDefault="00CE4A67" w:rsidP="005B607B">
            <w:pPr>
              <w:rPr>
                <w:rFonts w:ascii="David" w:hAnsi="David"/>
                <w:sz w:val="26"/>
                <w:szCs w:val="26"/>
                <w:rtl/>
              </w:rPr>
            </w:pPr>
          </w:p>
          <w:p w14:paraId="72F3F41B" w14:textId="77777777" w:rsidR="00CE4A67" w:rsidRPr="00146B08" w:rsidRDefault="00CE4A67" w:rsidP="00CE4A67">
            <w:pPr>
              <w:jc w:val="both"/>
              <w:rPr>
                <w:rFonts w:ascii="David" w:hAnsi="David"/>
                <w:sz w:val="26"/>
                <w:szCs w:val="26"/>
              </w:rPr>
            </w:pPr>
          </w:p>
        </w:tc>
      </w:tr>
      <w:tr w:rsidR="00CE4A67" w:rsidRPr="00146B08" w14:paraId="19873B98" w14:textId="77777777" w:rsidTr="00CE4A67">
        <w:trPr>
          <w:trHeight w:val="355"/>
          <w:jc w:val="center"/>
        </w:trPr>
        <w:tc>
          <w:tcPr>
            <w:tcW w:w="923" w:type="dxa"/>
            <w:tcBorders>
              <w:top w:val="nil"/>
              <w:left w:val="nil"/>
              <w:bottom w:val="nil"/>
              <w:right w:val="nil"/>
            </w:tcBorders>
            <w:shd w:val="clear" w:color="auto" w:fill="auto"/>
          </w:tcPr>
          <w:p w14:paraId="5D70BA65" w14:textId="77777777" w:rsidR="00CE4A67" w:rsidRPr="00146B08" w:rsidRDefault="00CE4A67" w:rsidP="00CE4A67">
            <w:pPr>
              <w:jc w:val="both"/>
              <w:rPr>
                <w:rFonts w:ascii="David" w:hAnsi="David"/>
                <w:sz w:val="26"/>
                <w:szCs w:val="26"/>
              </w:rPr>
            </w:pPr>
            <w:bookmarkStart w:id="2" w:name="FirstAppellant"/>
            <w:r w:rsidRPr="00146B08">
              <w:rPr>
                <w:rFonts w:ascii="David" w:hAnsi="David"/>
                <w:sz w:val="26"/>
                <w:szCs w:val="26"/>
                <w:rtl/>
              </w:rPr>
              <w:t>בעניין:</w:t>
            </w:r>
          </w:p>
        </w:tc>
        <w:tc>
          <w:tcPr>
            <w:tcW w:w="3219" w:type="dxa"/>
            <w:tcBorders>
              <w:top w:val="nil"/>
              <w:left w:val="nil"/>
              <w:bottom w:val="nil"/>
              <w:right w:val="nil"/>
            </w:tcBorders>
            <w:shd w:val="clear" w:color="auto" w:fill="auto"/>
          </w:tcPr>
          <w:p w14:paraId="48AB980C" w14:textId="77777777" w:rsidR="00CE4A67" w:rsidRPr="00146B08" w:rsidRDefault="00CE4A67" w:rsidP="00CE4A67">
            <w:pPr>
              <w:suppressLineNumbers/>
            </w:pPr>
            <w:r w:rsidRPr="00146B08">
              <w:rPr>
                <w:rFonts w:ascii="Arial" w:hAnsi="Arial" w:hint="cs"/>
                <w:b/>
                <w:bCs/>
                <w:sz w:val="26"/>
                <w:szCs w:val="26"/>
                <w:rtl/>
              </w:rPr>
              <w:t>ה</w:t>
            </w:r>
            <w:r w:rsidRPr="00146B08">
              <w:rPr>
                <w:rFonts w:ascii="Arial" w:hAnsi="Arial"/>
                <w:b/>
                <w:bCs/>
                <w:sz w:val="26"/>
                <w:szCs w:val="26"/>
                <w:rtl/>
              </w:rPr>
              <w:t>מאשימה</w:t>
            </w:r>
          </w:p>
          <w:p w14:paraId="79F4D8A7" w14:textId="77777777" w:rsidR="00CE4A67" w:rsidRPr="00146B08" w:rsidRDefault="00CE4A67" w:rsidP="005B607B">
            <w:pPr>
              <w:rPr>
                <w:rFonts w:ascii="David" w:hAnsi="David"/>
                <w:sz w:val="26"/>
                <w:szCs w:val="26"/>
              </w:rPr>
            </w:pPr>
          </w:p>
        </w:tc>
        <w:tc>
          <w:tcPr>
            <w:tcW w:w="4678" w:type="dxa"/>
            <w:tcBorders>
              <w:top w:val="nil"/>
              <w:left w:val="nil"/>
              <w:bottom w:val="nil"/>
              <w:right w:val="nil"/>
            </w:tcBorders>
            <w:shd w:val="clear" w:color="auto" w:fill="auto"/>
            <w:vAlign w:val="center"/>
          </w:tcPr>
          <w:p w14:paraId="412865C5" w14:textId="77777777" w:rsidR="00CE4A67" w:rsidRPr="00146B08" w:rsidRDefault="00CE4A67" w:rsidP="00CE4A67">
            <w:pPr>
              <w:suppressLineNumbers/>
            </w:pPr>
            <w:r w:rsidRPr="00146B08">
              <w:rPr>
                <w:rFonts w:ascii="Arial" w:hAnsi="Arial"/>
                <w:b/>
                <w:bCs/>
                <w:sz w:val="26"/>
                <w:szCs w:val="26"/>
                <w:rtl/>
              </w:rPr>
              <w:t>מדינת ישראל</w:t>
            </w:r>
            <w:r w:rsidRPr="00146B08">
              <w:rPr>
                <w:rFonts w:ascii="Arial" w:hAnsi="Arial" w:hint="cs"/>
                <w:b/>
                <w:bCs/>
                <w:sz w:val="26"/>
                <w:szCs w:val="26"/>
                <w:rtl/>
              </w:rPr>
              <w:t xml:space="preserve"> </w:t>
            </w:r>
            <w:r w:rsidRPr="00146B08">
              <w:rPr>
                <w:rFonts w:ascii="Arial" w:hAnsi="Arial"/>
                <w:b/>
                <w:bCs/>
                <w:sz w:val="26"/>
                <w:szCs w:val="26"/>
                <w:rtl/>
              </w:rPr>
              <w:t>ע"י ב"כ עוה"ד</w:t>
            </w:r>
            <w:r w:rsidRPr="00146B08">
              <w:rPr>
                <w:rFonts w:ascii="Arial" w:hAnsi="Arial" w:hint="cs"/>
                <w:b/>
                <w:bCs/>
                <w:sz w:val="26"/>
                <w:szCs w:val="26"/>
                <w:rtl/>
              </w:rPr>
              <w:t xml:space="preserve"> משה יעקובי</w:t>
            </w:r>
          </w:p>
          <w:p w14:paraId="45D50E02" w14:textId="77777777" w:rsidR="00CE4A67" w:rsidRPr="00146B08" w:rsidRDefault="00CE4A67" w:rsidP="005B607B">
            <w:pPr>
              <w:rPr>
                <w:rFonts w:ascii="David" w:hAnsi="David"/>
                <w:sz w:val="26"/>
                <w:szCs w:val="26"/>
              </w:rPr>
            </w:pPr>
          </w:p>
        </w:tc>
      </w:tr>
      <w:bookmarkEnd w:id="2"/>
      <w:tr w:rsidR="00CE4A67" w:rsidRPr="00146B08" w14:paraId="1E661D76" w14:textId="77777777" w:rsidTr="00CE4A67">
        <w:trPr>
          <w:trHeight w:val="355"/>
          <w:jc w:val="center"/>
        </w:trPr>
        <w:tc>
          <w:tcPr>
            <w:tcW w:w="923" w:type="dxa"/>
            <w:tcBorders>
              <w:top w:val="nil"/>
              <w:left w:val="nil"/>
              <w:bottom w:val="nil"/>
              <w:right w:val="nil"/>
            </w:tcBorders>
            <w:shd w:val="clear" w:color="auto" w:fill="auto"/>
          </w:tcPr>
          <w:p w14:paraId="7405FA07" w14:textId="77777777" w:rsidR="00CE4A67" w:rsidRPr="00146B08" w:rsidRDefault="00CE4A67" w:rsidP="00CE4A6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455C725" w14:textId="77777777" w:rsidR="00CE4A67" w:rsidRPr="00146B08" w:rsidRDefault="00CE4A67" w:rsidP="00CE4A67">
            <w:pPr>
              <w:jc w:val="center"/>
              <w:rPr>
                <w:rFonts w:ascii="David" w:hAnsi="David"/>
                <w:b/>
                <w:bCs/>
                <w:sz w:val="26"/>
                <w:szCs w:val="26"/>
                <w:rtl/>
              </w:rPr>
            </w:pPr>
          </w:p>
          <w:p w14:paraId="09C59FCD" w14:textId="77777777" w:rsidR="00CE4A67" w:rsidRPr="00146B08" w:rsidRDefault="00CE4A67" w:rsidP="00CE4A67">
            <w:pPr>
              <w:jc w:val="center"/>
              <w:rPr>
                <w:rFonts w:ascii="David" w:hAnsi="David"/>
                <w:b/>
                <w:bCs/>
                <w:sz w:val="26"/>
                <w:szCs w:val="26"/>
                <w:rtl/>
              </w:rPr>
            </w:pPr>
            <w:r w:rsidRPr="00146B08">
              <w:rPr>
                <w:rFonts w:ascii="David" w:hAnsi="David"/>
                <w:b/>
                <w:bCs/>
                <w:sz w:val="26"/>
                <w:szCs w:val="26"/>
                <w:rtl/>
              </w:rPr>
              <w:t>נגד</w:t>
            </w:r>
          </w:p>
          <w:p w14:paraId="7D902847" w14:textId="77777777" w:rsidR="00CE4A67" w:rsidRPr="00146B08" w:rsidRDefault="00CE4A67" w:rsidP="00CE4A67">
            <w:pPr>
              <w:jc w:val="both"/>
              <w:rPr>
                <w:rFonts w:ascii="David" w:hAnsi="David"/>
                <w:sz w:val="26"/>
                <w:szCs w:val="26"/>
              </w:rPr>
            </w:pPr>
          </w:p>
        </w:tc>
      </w:tr>
      <w:tr w:rsidR="00CE4A67" w:rsidRPr="00146B08" w14:paraId="59B61799" w14:textId="77777777" w:rsidTr="00CE4A67">
        <w:trPr>
          <w:trHeight w:val="355"/>
          <w:jc w:val="center"/>
        </w:trPr>
        <w:tc>
          <w:tcPr>
            <w:tcW w:w="923" w:type="dxa"/>
            <w:tcBorders>
              <w:top w:val="nil"/>
              <w:left w:val="nil"/>
              <w:bottom w:val="nil"/>
              <w:right w:val="nil"/>
            </w:tcBorders>
            <w:shd w:val="clear" w:color="auto" w:fill="auto"/>
          </w:tcPr>
          <w:p w14:paraId="4E850079" w14:textId="77777777" w:rsidR="00CE4A67" w:rsidRPr="00146B08" w:rsidRDefault="00CE4A67" w:rsidP="005B607B">
            <w:pPr>
              <w:rPr>
                <w:rFonts w:ascii="David" w:hAnsi="David"/>
                <w:sz w:val="26"/>
                <w:szCs w:val="26"/>
                <w:rtl/>
              </w:rPr>
            </w:pPr>
          </w:p>
        </w:tc>
        <w:tc>
          <w:tcPr>
            <w:tcW w:w="3219" w:type="dxa"/>
            <w:tcBorders>
              <w:top w:val="nil"/>
              <w:left w:val="nil"/>
              <w:bottom w:val="nil"/>
              <w:right w:val="nil"/>
            </w:tcBorders>
            <w:shd w:val="clear" w:color="auto" w:fill="auto"/>
          </w:tcPr>
          <w:p w14:paraId="5F6FFC2B" w14:textId="77777777" w:rsidR="00CE4A67" w:rsidRPr="00146B08" w:rsidRDefault="00CE4A67" w:rsidP="005B607B">
            <w:pPr>
              <w:rPr>
                <w:rFonts w:ascii="Arial" w:hAnsi="Arial"/>
                <w:b/>
                <w:bCs/>
                <w:sz w:val="26"/>
                <w:szCs w:val="26"/>
                <w:rtl/>
              </w:rPr>
            </w:pPr>
            <w:r w:rsidRPr="00146B0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629F222" w14:textId="77777777" w:rsidR="00CE4A67" w:rsidRPr="00146B08" w:rsidRDefault="00CE4A67" w:rsidP="00CE4A67">
            <w:pPr>
              <w:suppressLineNumbers/>
              <w:rPr>
                <w:rtl/>
              </w:rPr>
            </w:pPr>
            <w:r w:rsidRPr="00146B08">
              <w:rPr>
                <w:rFonts w:ascii="Arial" w:hAnsi="Arial"/>
                <w:b/>
                <w:bCs/>
                <w:sz w:val="26"/>
                <w:szCs w:val="26"/>
                <w:rtl/>
              </w:rPr>
              <w:t>יוסף שלמה</w:t>
            </w:r>
            <w:r w:rsidRPr="00146B08">
              <w:rPr>
                <w:rFonts w:ascii="Arial" w:hAnsi="Arial" w:hint="cs"/>
                <w:b/>
                <w:bCs/>
                <w:sz w:val="26"/>
                <w:szCs w:val="26"/>
                <w:rtl/>
              </w:rPr>
              <w:t xml:space="preserve"> </w:t>
            </w:r>
            <w:r w:rsidRPr="00146B08">
              <w:rPr>
                <w:rFonts w:ascii="Arial" w:hAnsi="Arial"/>
                <w:b/>
                <w:bCs/>
                <w:sz w:val="26"/>
                <w:szCs w:val="26"/>
                <w:rtl/>
              </w:rPr>
              <w:t>ע"י ב"כ עוה"</w:t>
            </w:r>
            <w:r w:rsidRPr="00146B08">
              <w:rPr>
                <w:rFonts w:ascii="Arial" w:hAnsi="Arial" w:hint="cs"/>
                <w:b/>
                <w:bCs/>
                <w:sz w:val="26"/>
                <w:szCs w:val="26"/>
                <w:rtl/>
              </w:rPr>
              <w:t>ד שרון בן שפר</w:t>
            </w:r>
          </w:p>
          <w:p w14:paraId="723AED7F" w14:textId="77777777" w:rsidR="00CE4A67" w:rsidRPr="00146B08" w:rsidRDefault="00CE4A67" w:rsidP="005B607B">
            <w:pPr>
              <w:rPr>
                <w:rFonts w:ascii="David" w:hAnsi="David"/>
                <w:sz w:val="26"/>
                <w:szCs w:val="26"/>
              </w:rPr>
            </w:pPr>
          </w:p>
        </w:tc>
      </w:tr>
    </w:tbl>
    <w:p w14:paraId="39B4292A" w14:textId="77777777" w:rsidR="00146B08" w:rsidRPr="00146B08" w:rsidRDefault="00146B08" w:rsidP="00146B08">
      <w:pPr>
        <w:spacing w:before="120" w:after="120" w:line="240" w:lineRule="exact"/>
        <w:ind w:left="283" w:hanging="283"/>
        <w:jc w:val="both"/>
        <w:rPr>
          <w:rFonts w:ascii="FrankRuehl" w:hAnsi="FrankRuehl" w:cs="FrankRuehl"/>
          <w:rtl/>
        </w:rPr>
      </w:pPr>
    </w:p>
    <w:p w14:paraId="4F9C0F44" w14:textId="77777777" w:rsidR="00C65044" w:rsidRPr="00C65044" w:rsidRDefault="00C65044" w:rsidP="00C65044">
      <w:pPr>
        <w:spacing w:before="120" w:after="120" w:line="240" w:lineRule="exact"/>
        <w:ind w:left="283" w:hanging="283"/>
        <w:jc w:val="both"/>
        <w:rPr>
          <w:rFonts w:ascii="FrankRuehl" w:hAnsi="FrankRuehl" w:cs="FrankRuehl"/>
          <w:rtl/>
        </w:rPr>
      </w:pPr>
      <w:bookmarkStart w:id="3" w:name="LawTable"/>
      <w:bookmarkEnd w:id="3"/>
      <w:r w:rsidRPr="00C65044">
        <w:rPr>
          <w:rFonts w:ascii="FrankRuehl" w:hAnsi="FrankRuehl" w:cs="FrankRuehl"/>
          <w:rtl/>
        </w:rPr>
        <w:t xml:space="preserve">חקיקה שאוזכרה: </w:t>
      </w:r>
    </w:p>
    <w:p w14:paraId="310289D5" w14:textId="77777777" w:rsidR="00C65044" w:rsidRPr="00C65044" w:rsidRDefault="00C65044" w:rsidP="00C65044">
      <w:pPr>
        <w:spacing w:before="120" w:after="120" w:line="240" w:lineRule="exact"/>
        <w:ind w:left="283" w:hanging="283"/>
        <w:jc w:val="both"/>
        <w:rPr>
          <w:rFonts w:ascii="FrankRuehl" w:hAnsi="FrankRuehl" w:cs="FrankRuehl"/>
          <w:color w:val="0000FF"/>
          <w:rtl/>
        </w:rPr>
      </w:pPr>
      <w:hyperlink r:id="rId7" w:history="1">
        <w:r w:rsidRPr="00C65044">
          <w:rPr>
            <w:rStyle w:val="Hyperlink"/>
            <w:rFonts w:ascii="FrankRuehl" w:hAnsi="FrankRuehl" w:cs="FrankRuehl"/>
            <w:u w:val="none"/>
            <w:rtl/>
          </w:rPr>
          <w:t>פקודת הסמים המסוכנים [נוסח חדש], תשל"ג-1973</w:t>
        </w:r>
      </w:hyperlink>
      <w:r w:rsidRPr="00C65044">
        <w:rPr>
          <w:rFonts w:ascii="FrankRuehl" w:hAnsi="FrankRuehl" w:cs="FrankRuehl"/>
          <w:color w:val="0000FF"/>
          <w:rtl/>
        </w:rPr>
        <w:t xml:space="preserve">: סע'  </w:t>
      </w:r>
      <w:hyperlink r:id="rId8" w:history="1">
        <w:r w:rsidRPr="00C65044">
          <w:rPr>
            <w:rStyle w:val="Hyperlink"/>
            <w:rFonts w:ascii="FrankRuehl" w:hAnsi="FrankRuehl" w:cs="FrankRuehl"/>
            <w:u w:val="none"/>
          </w:rPr>
          <w:t>13</w:t>
        </w:r>
      </w:hyperlink>
      <w:r w:rsidRPr="00C65044">
        <w:rPr>
          <w:rFonts w:ascii="FrankRuehl" w:hAnsi="FrankRuehl" w:cs="FrankRuehl"/>
          <w:color w:val="0000FF"/>
          <w:rtl/>
        </w:rPr>
        <w:t xml:space="preserve">, </w:t>
      </w:r>
      <w:hyperlink r:id="rId9" w:history="1">
        <w:r w:rsidRPr="00C65044">
          <w:rPr>
            <w:rStyle w:val="Hyperlink"/>
            <w:rFonts w:ascii="FrankRuehl" w:hAnsi="FrankRuehl" w:cs="FrankRuehl"/>
            <w:u w:val="none"/>
          </w:rPr>
          <w:t>19</w:t>
        </w:r>
        <w:r w:rsidRPr="00C65044">
          <w:rPr>
            <w:rStyle w:val="Hyperlink"/>
            <w:rFonts w:ascii="FrankRuehl" w:hAnsi="FrankRuehl" w:cs="FrankRuehl"/>
            <w:u w:val="none"/>
            <w:rtl/>
          </w:rPr>
          <w:t>א</w:t>
        </w:r>
      </w:hyperlink>
    </w:p>
    <w:p w14:paraId="496E79F5" w14:textId="77777777" w:rsidR="00C65044" w:rsidRPr="00C65044" w:rsidRDefault="00C65044" w:rsidP="00C65044">
      <w:pPr>
        <w:spacing w:before="120" w:after="120" w:line="240" w:lineRule="exact"/>
        <w:ind w:left="283" w:hanging="283"/>
        <w:jc w:val="both"/>
        <w:rPr>
          <w:rFonts w:ascii="FrankRuehl" w:hAnsi="FrankRuehl" w:cs="FrankRuehl"/>
          <w:color w:val="0000FF"/>
          <w:rtl/>
        </w:rPr>
      </w:pPr>
      <w:hyperlink r:id="rId10" w:history="1">
        <w:r w:rsidRPr="00C65044">
          <w:rPr>
            <w:rStyle w:val="Hyperlink"/>
            <w:rFonts w:ascii="FrankRuehl" w:hAnsi="FrankRuehl" w:cs="FrankRuehl"/>
            <w:u w:val="none"/>
            <w:rtl/>
          </w:rPr>
          <w:t>חוק העונשין, תשל"ז-1977</w:t>
        </w:r>
      </w:hyperlink>
      <w:r w:rsidRPr="00C65044">
        <w:rPr>
          <w:rFonts w:ascii="FrankRuehl" w:hAnsi="FrankRuehl" w:cs="FrankRuehl"/>
          <w:color w:val="0000FF"/>
          <w:rtl/>
        </w:rPr>
        <w:t xml:space="preserve">: סע'  </w:t>
      </w:r>
      <w:hyperlink r:id="rId11" w:history="1">
        <w:r w:rsidRPr="00C65044">
          <w:rPr>
            <w:rStyle w:val="Hyperlink"/>
            <w:rFonts w:ascii="FrankRuehl" w:hAnsi="FrankRuehl" w:cs="FrankRuehl"/>
            <w:u w:val="none"/>
          </w:rPr>
          <w:t>31</w:t>
        </w:r>
      </w:hyperlink>
      <w:r w:rsidRPr="00C65044">
        <w:rPr>
          <w:rFonts w:ascii="FrankRuehl" w:hAnsi="FrankRuehl" w:cs="FrankRuehl"/>
          <w:color w:val="0000FF"/>
          <w:rtl/>
        </w:rPr>
        <w:t xml:space="preserve">, </w:t>
      </w:r>
      <w:hyperlink r:id="rId12" w:history="1">
        <w:r w:rsidRPr="00C65044">
          <w:rPr>
            <w:rStyle w:val="Hyperlink"/>
            <w:rFonts w:ascii="FrankRuehl" w:hAnsi="FrankRuehl" w:cs="FrankRuehl"/>
            <w:u w:val="none"/>
          </w:rPr>
          <w:t>32</w:t>
        </w:r>
      </w:hyperlink>
      <w:r w:rsidRPr="00C65044">
        <w:rPr>
          <w:rFonts w:ascii="FrankRuehl" w:hAnsi="FrankRuehl" w:cs="FrankRuehl"/>
          <w:color w:val="0000FF"/>
          <w:rtl/>
        </w:rPr>
        <w:t xml:space="preserve">, </w:t>
      </w:r>
      <w:hyperlink r:id="rId13" w:history="1">
        <w:r w:rsidRPr="00C65044">
          <w:rPr>
            <w:rStyle w:val="Hyperlink"/>
            <w:rFonts w:ascii="FrankRuehl" w:hAnsi="FrankRuehl" w:cs="FrankRuehl"/>
            <w:u w:val="none"/>
          </w:rPr>
          <w:t>40</w:t>
        </w:r>
        <w:r w:rsidRPr="00C65044">
          <w:rPr>
            <w:rStyle w:val="Hyperlink"/>
            <w:rFonts w:ascii="FrankRuehl" w:hAnsi="FrankRuehl" w:cs="FrankRuehl"/>
            <w:u w:val="none"/>
            <w:rtl/>
          </w:rPr>
          <w:t>ד</w:t>
        </w:r>
      </w:hyperlink>
      <w:r w:rsidRPr="00C65044">
        <w:rPr>
          <w:rFonts w:ascii="FrankRuehl" w:hAnsi="FrankRuehl" w:cs="FrankRuehl"/>
          <w:color w:val="0000FF"/>
          <w:rtl/>
        </w:rPr>
        <w:t xml:space="preserve">(א), </w:t>
      </w:r>
      <w:hyperlink r:id="rId14" w:history="1">
        <w:r w:rsidRPr="00C65044">
          <w:rPr>
            <w:rStyle w:val="Hyperlink"/>
            <w:rFonts w:ascii="FrankRuehl" w:hAnsi="FrankRuehl" w:cs="FrankRuehl"/>
            <w:u w:val="none"/>
          </w:rPr>
          <w:t>275</w:t>
        </w:r>
      </w:hyperlink>
    </w:p>
    <w:p w14:paraId="2E499415" w14:textId="77777777" w:rsidR="00CE4A67" w:rsidRPr="00C65044" w:rsidRDefault="00CE4A67" w:rsidP="00C65044">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4A67" w14:paraId="11D91F59" w14:textId="77777777" w:rsidTr="00CE4A67">
        <w:trPr>
          <w:trHeight w:val="355"/>
          <w:jc w:val="center"/>
        </w:trPr>
        <w:tc>
          <w:tcPr>
            <w:tcW w:w="8820" w:type="dxa"/>
            <w:tcBorders>
              <w:top w:val="nil"/>
              <w:left w:val="nil"/>
              <w:bottom w:val="nil"/>
              <w:right w:val="nil"/>
            </w:tcBorders>
            <w:shd w:val="clear" w:color="auto" w:fill="auto"/>
          </w:tcPr>
          <w:p w14:paraId="57C2A891" w14:textId="77777777" w:rsidR="00146B08" w:rsidRPr="00146B08" w:rsidRDefault="00146B08" w:rsidP="00146B08">
            <w:pPr>
              <w:jc w:val="center"/>
              <w:rPr>
                <w:rFonts w:ascii="David" w:hAnsi="David"/>
                <w:b/>
                <w:bCs/>
                <w:sz w:val="32"/>
                <w:szCs w:val="32"/>
                <w:u w:val="single"/>
                <w:rtl/>
              </w:rPr>
            </w:pPr>
            <w:bookmarkStart w:id="5" w:name="PsakDin" w:colFirst="0" w:colLast="0"/>
            <w:bookmarkEnd w:id="0"/>
            <w:bookmarkEnd w:id="1"/>
            <w:r w:rsidRPr="00146B08">
              <w:rPr>
                <w:rFonts w:ascii="David" w:hAnsi="David"/>
                <w:b/>
                <w:bCs/>
                <w:sz w:val="32"/>
                <w:szCs w:val="32"/>
                <w:u w:val="single"/>
                <w:rtl/>
              </w:rPr>
              <w:t>גזר דין</w:t>
            </w:r>
          </w:p>
          <w:p w14:paraId="61C9B2B1" w14:textId="77777777" w:rsidR="00CE4A67" w:rsidRPr="00146B08" w:rsidRDefault="00CE4A67" w:rsidP="00146B08">
            <w:pPr>
              <w:jc w:val="center"/>
              <w:rPr>
                <w:rFonts w:ascii="David" w:hAnsi="David"/>
                <w:bCs/>
                <w:sz w:val="32"/>
                <w:szCs w:val="32"/>
                <w:u w:val="single"/>
                <w:rtl/>
              </w:rPr>
            </w:pPr>
          </w:p>
        </w:tc>
      </w:tr>
      <w:bookmarkEnd w:id="5"/>
    </w:tbl>
    <w:p w14:paraId="51945426" w14:textId="77777777" w:rsidR="00CE4A67" w:rsidRPr="000F2247" w:rsidRDefault="00CE4A67" w:rsidP="00CE4A67">
      <w:pPr>
        <w:rPr>
          <w:rFonts w:ascii="Arial" w:hAnsi="Arial"/>
          <w:b/>
          <w:bCs/>
          <w:sz w:val="26"/>
          <w:szCs w:val="26"/>
          <w:rtl/>
        </w:rPr>
      </w:pPr>
    </w:p>
    <w:p w14:paraId="426D2633" w14:textId="77777777" w:rsidR="00CE4A67" w:rsidRDefault="00CE4A67" w:rsidP="00CE4A67">
      <w:pPr>
        <w:rPr>
          <w:rFonts w:ascii="Arial" w:hAnsi="Arial"/>
          <w:b/>
          <w:bCs/>
          <w:sz w:val="26"/>
          <w:szCs w:val="26"/>
          <w:rtl/>
        </w:rPr>
      </w:pPr>
    </w:p>
    <w:p w14:paraId="705F37AF" w14:textId="77777777" w:rsidR="00CE4A67" w:rsidRDefault="00CE4A67" w:rsidP="00CE4A67">
      <w:pPr>
        <w:pStyle w:val="a9"/>
        <w:numPr>
          <w:ilvl w:val="0"/>
          <w:numId w:val="1"/>
        </w:numPr>
        <w:spacing w:line="360" w:lineRule="auto"/>
        <w:jc w:val="both"/>
      </w:pPr>
      <w:bookmarkStart w:id="6" w:name="ABSTRACT_START"/>
      <w:bookmarkEnd w:id="6"/>
      <w:r>
        <w:rPr>
          <w:rtl/>
        </w:rPr>
        <w:t xml:space="preserve">הנאשם, בן 46, הורשע, על פי הודאתו, במסגרת הסדר טיעון, בעבירות של סיוע ליצוא, יבוא, מסחר אספקה של סמים מסוכנים, לפי </w:t>
      </w:r>
      <w:hyperlink r:id="rId15" w:history="1">
        <w:r w:rsidR="00C65044" w:rsidRPr="00C65044">
          <w:rPr>
            <w:rStyle w:val="Hyperlink"/>
            <w:color w:val="0000FF"/>
            <w:rtl/>
          </w:rPr>
          <w:t>סעיף 13</w:t>
        </w:r>
      </w:hyperlink>
      <w:r>
        <w:rPr>
          <w:rtl/>
        </w:rPr>
        <w:t xml:space="preserve"> + </w:t>
      </w:r>
      <w:hyperlink r:id="rId16" w:history="1">
        <w:r w:rsidR="00C65044" w:rsidRPr="00C65044">
          <w:rPr>
            <w:rStyle w:val="Hyperlink"/>
            <w:color w:val="0000FF"/>
            <w:rtl/>
          </w:rPr>
          <w:t>19א</w:t>
        </w:r>
      </w:hyperlink>
      <w:r>
        <w:rPr>
          <w:rtl/>
        </w:rPr>
        <w:t xml:space="preserve"> ל</w:t>
      </w:r>
      <w:hyperlink r:id="rId17" w:history="1">
        <w:r w:rsidR="00146B08" w:rsidRPr="00146B08">
          <w:rPr>
            <w:color w:val="0000FF"/>
            <w:u w:val="single"/>
            <w:rtl/>
          </w:rPr>
          <w:t>פקודת הסמים המסוכנים</w:t>
        </w:r>
      </w:hyperlink>
      <w:r>
        <w:rPr>
          <w:rtl/>
        </w:rPr>
        <w:t xml:space="preserve"> [נוסח חדש] , תשל"ג 1973, ביחד עם </w:t>
      </w:r>
      <w:hyperlink r:id="rId18" w:history="1">
        <w:r w:rsidR="00C65044" w:rsidRPr="00C65044">
          <w:rPr>
            <w:rStyle w:val="Hyperlink"/>
            <w:color w:val="0000FF"/>
            <w:rtl/>
          </w:rPr>
          <w:t>סעיף 31</w:t>
        </w:r>
      </w:hyperlink>
      <w:r>
        <w:rPr>
          <w:rtl/>
        </w:rPr>
        <w:t xml:space="preserve"> ל</w:t>
      </w:r>
      <w:hyperlink r:id="rId19" w:history="1">
        <w:r w:rsidR="00146B08" w:rsidRPr="00146B08">
          <w:rPr>
            <w:color w:val="0000FF"/>
            <w:u w:val="single"/>
            <w:rtl/>
          </w:rPr>
          <w:t>חוק העונשין</w:t>
        </w:r>
      </w:hyperlink>
      <w:r>
        <w:rPr>
          <w:rtl/>
        </w:rPr>
        <w:t xml:space="preserve"> התשל"ז- 1997 (להלן: </w:t>
      </w:r>
      <w:r>
        <w:rPr>
          <w:b/>
          <w:bCs/>
          <w:rtl/>
        </w:rPr>
        <w:t>חוק העונשין</w:t>
      </w:r>
      <w:r>
        <w:rPr>
          <w:rtl/>
        </w:rPr>
        <w:t xml:space="preserve">) ובעבירה של הפרעה לשוטר במילוי תפקידו, לפי </w:t>
      </w:r>
      <w:hyperlink r:id="rId20" w:history="1">
        <w:r w:rsidR="00C65044" w:rsidRPr="00C65044">
          <w:rPr>
            <w:rStyle w:val="Hyperlink"/>
            <w:color w:val="0000FF"/>
            <w:rtl/>
          </w:rPr>
          <w:t>סעיף 275</w:t>
        </w:r>
      </w:hyperlink>
      <w:r>
        <w:rPr>
          <w:rtl/>
        </w:rPr>
        <w:t xml:space="preserve"> לחוק העונשין.</w:t>
      </w:r>
    </w:p>
    <w:p w14:paraId="0FE82784" w14:textId="77777777" w:rsidR="00CE4A67" w:rsidRDefault="00CE4A67" w:rsidP="00CE4A67">
      <w:pPr>
        <w:pStyle w:val="a9"/>
        <w:spacing w:line="360" w:lineRule="auto"/>
        <w:jc w:val="both"/>
      </w:pPr>
    </w:p>
    <w:p w14:paraId="5840BF01" w14:textId="77777777" w:rsidR="00CE4A67" w:rsidRDefault="00CE4A67" w:rsidP="00CE4A67">
      <w:pPr>
        <w:pStyle w:val="a9"/>
        <w:numPr>
          <w:ilvl w:val="0"/>
          <w:numId w:val="1"/>
        </w:numPr>
        <w:spacing w:line="360" w:lineRule="auto"/>
        <w:jc w:val="both"/>
      </w:pPr>
      <w:bookmarkStart w:id="7" w:name="ABSTRACT_END"/>
      <w:bookmarkEnd w:id="7"/>
      <w:r>
        <w:rPr>
          <w:rtl/>
        </w:rPr>
        <w:t xml:space="preserve">על פי עובדות כתב האישום המתוקן, במועדים הרלוונטיים לכתב האישום, החזיק הנאשם במונית מסוג מרצדס  (להלן: </w:t>
      </w:r>
      <w:r>
        <w:rPr>
          <w:b/>
          <w:bCs/>
          <w:rtl/>
        </w:rPr>
        <w:t>המונית</w:t>
      </w:r>
      <w:r>
        <w:rPr>
          <w:rtl/>
        </w:rPr>
        <w:t xml:space="preserve">). ביום 18.2.21, בסמוך לשעה 18:00, נהג הנאשם במונית כשאחד, מנחם לוגסי ישב במושב האחורי (להלן: </w:t>
      </w:r>
      <w:r>
        <w:rPr>
          <w:b/>
          <w:bCs/>
          <w:rtl/>
        </w:rPr>
        <w:t>לוגסי</w:t>
      </w:r>
      <w:r>
        <w:rPr>
          <w:rtl/>
        </w:rPr>
        <w:t xml:space="preserve">). בנסיבות אלה, לאחר תיאום טלפוני בין לוגסי לאחד, אורן בקרמן (להלן: </w:t>
      </w:r>
      <w:r>
        <w:rPr>
          <w:b/>
          <w:bCs/>
          <w:rtl/>
        </w:rPr>
        <w:t>בקרמן</w:t>
      </w:r>
      <w:r>
        <w:rPr>
          <w:rtl/>
        </w:rPr>
        <w:t xml:space="preserve">), נפגשו הנאשם ולוגסי עם בקרמן בעיר אשדוד. במהלך הפגישה, נטל בקרמן 3 שקיות מתא הכפפות במונית ובהן סם מסוכן מסוג קנבוס במשקל של כ-14 גרם וזאת תמורת 450 ש"ח. לאחר הדברים האלה, ובשעה שהמונית עמדה ברמזור בעיר בחולון, ניגש השוטר לידור בן שושן אל הדלת האחורית ימנית במונית וניסה לפתוח אותה, תוך כדי שצעק "משטרה" מספר פעמים. בתגובה לכך החל הנאשם בנסיעה מהירה. במעשיו אלה, סייע הנאשם ללוגסי לסחור בסם </w:t>
      </w:r>
      <w:r>
        <w:rPr>
          <w:rtl/>
        </w:rPr>
        <w:lastRenderedPageBreak/>
        <w:t>מסוג מסוכן וזאת ללא היתר כדין או רישיון, ועשה מעשה בכוונה להפריע לשוטר כשהוא ממלא תפקידו כחוק.</w:t>
      </w:r>
    </w:p>
    <w:p w14:paraId="46EC7137" w14:textId="77777777" w:rsidR="00CE4A67" w:rsidRDefault="00CE4A67" w:rsidP="00CE4A67">
      <w:pPr>
        <w:pStyle w:val="a9"/>
      </w:pPr>
    </w:p>
    <w:p w14:paraId="77C01B60" w14:textId="77777777" w:rsidR="00CE4A67" w:rsidRDefault="00CE4A67" w:rsidP="00CE4A67">
      <w:pPr>
        <w:pStyle w:val="a9"/>
        <w:numPr>
          <w:ilvl w:val="0"/>
          <w:numId w:val="1"/>
        </w:numPr>
        <w:spacing w:line="360" w:lineRule="auto"/>
        <w:jc w:val="both"/>
        <w:rPr>
          <w:rFonts w:ascii="Arial" w:hAnsi="Arial"/>
          <w:rtl/>
        </w:rPr>
      </w:pPr>
      <w:r>
        <w:rPr>
          <w:rFonts w:ascii="Arial" w:hAnsi="Arial"/>
          <w:rtl/>
        </w:rPr>
        <w:t>בהתאם להסדר טיעון בין הצדדים, הודה הנאשם ביום 4.1.2023 בכתב האישום המתוקן ובאותו מועד הרשעתיו בעבירות שיוחסו לו, כמפורט בסעיף 1. ההסדר לא כלל הסכמות לגבי העונש.</w:t>
      </w:r>
    </w:p>
    <w:p w14:paraId="1FE72E42" w14:textId="77777777" w:rsidR="00CE4A67" w:rsidRDefault="00CE4A67" w:rsidP="00CE4A67">
      <w:pPr>
        <w:pStyle w:val="a9"/>
        <w:spacing w:line="360" w:lineRule="auto"/>
        <w:rPr>
          <w:rFonts w:ascii="Arial" w:hAnsi="Arial"/>
        </w:rPr>
      </w:pPr>
    </w:p>
    <w:p w14:paraId="02E6618A" w14:textId="77777777" w:rsidR="00CE4A67" w:rsidRDefault="00CE4A67" w:rsidP="00CE4A67">
      <w:pPr>
        <w:pStyle w:val="a9"/>
        <w:spacing w:line="360" w:lineRule="auto"/>
        <w:rPr>
          <w:rFonts w:ascii="Arial" w:hAnsi="Arial"/>
          <w:rtl/>
        </w:rPr>
      </w:pPr>
    </w:p>
    <w:p w14:paraId="5B388A27" w14:textId="77777777" w:rsidR="00CE4A67" w:rsidRDefault="00CE4A67" w:rsidP="00CE4A67">
      <w:pPr>
        <w:pStyle w:val="a9"/>
        <w:spacing w:line="360" w:lineRule="auto"/>
        <w:rPr>
          <w:rFonts w:ascii="Arial" w:hAnsi="Arial"/>
          <w:rtl/>
        </w:rPr>
      </w:pPr>
      <w:r>
        <w:rPr>
          <w:rFonts w:ascii="David" w:hAnsi="David"/>
          <w:b/>
          <w:bCs/>
          <w:u w:val="single"/>
          <w:rtl/>
        </w:rPr>
        <w:t>תסקירי שירות המבחן</w:t>
      </w:r>
    </w:p>
    <w:p w14:paraId="2318DBA7" w14:textId="77777777" w:rsidR="00CE4A67" w:rsidRDefault="00CE4A67" w:rsidP="00CE4A67">
      <w:pPr>
        <w:pStyle w:val="a9"/>
        <w:spacing w:line="360" w:lineRule="auto"/>
        <w:rPr>
          <w:rFonts w:ascii="Arial" w:hAnsi="Arial"/>
          <w:rtl/>
        </w:rPr>
      </w:pPr>
    </w:p>
    <w:p w14:paraId="0BAF6C37" w14:textId="77777777" w:rsidR="00CE4A67" w:rsidRDefault="00CE4A67" w:rsidP="00CE4A67">
      <w:pPr>
        <w:pStyle w:val="a9"/>
        <w:numPr>
          <w:ilvl w:val="0"/>
          <w:numId w:val="1"/>
        </w:numPr>
        <w:spacing w:line="360" w:lineRule="auto"/>
        <w:jc w:val="both"/>
        <w:rPr>
          <w:rFonts w:ascii="Arial" w:hAnsi="Arial"/>
          <w:rtl/>
        </w:rPr>
      </w:pPr>
      <w:r>
        <w:rPr>
          <w:rFonts w:ascii="Arial" w:hAnsi="Arial"/>
          <w:rtl/>
        </w:rPr>
        <w:t>ביום 3.9.2023 ערך שירות המבחן תסקיר בעניינו של הנאשם. עורכי התסקיר התרשמו כי הנאשם גדל במשפחה נורמטיבית, שבה הפנים מודלים וערכים תקינים, וכי מדובר באדם בעל יכולות וכישורים, אשר עשה מאמצים לאורך השנים לתפקוד תקין במסגרות המקובלות. עוד ציינו עורכי התסקיר כי הנאשם התמודד עם מצוקה כלכלית עקב משבר הקורונה, וכי התקשה להיעזר בגורמי תמיכה בסביבתו. לדבריהם, העבירות נושא ההליך דנן בוצעו על רקע קשיים אלה, תוך שהוא מונע ממצב כלכלי מורכב ובוחר בפתרונות מהירים ופורצי גבולות. בין גורמי הסיכון, עמדו עורכי התסקיר על חומרת העבירות נושא הדיון וקשייו של הנאשם לקבל אחריות על מעשיו ולהציב גבולות פנימיים, כשהוא ממוקד בצרכיו ובעל כלים חלקיים להתמודדות אדפטיבית בעת מצבי דחק ומשבר. בין גורמי הסיכוי לשיקום, הצביעו עורכי התסקיר על היעדרו של עבר פלילי, על העובדה שהנאשם מנהל אורח חיים יציב ומתפקד, משתף פעולה עם שירות המבחן, ובעל מוטיבציה להשתלב בטיפול. נוכח נכונותו של הנאשם ליטול חלק בטיפול תואם צרכיו בשירות המבחן כדי לרכוש כלים להתמודדות במצבי דחק ומשבר, וכדי להפחית את הסיכון להישנות עבירות בעתיד, נעתרתי לבקשת שירות המבחן לדחייה בת שלושה חודשים לשם הגשת תסקיר משלים.</w:t>
      </w:r>
    </w:p>
    <w:p w14:paraId="63D72596" w14:textId="77777777" w:rsidR="00CE4A67" w:rsidRDefault="00CE4A67" w:rsidP="00CE4A67">
      <w:pPr>
        <w:pStyle w:val="a9"/>
        <w:spacing w:line="360" w:lineRule="auto"/>
        <w:jc w:val="both"/>
        <w:rPr>
          <w:rFonts w:ascii="Arial" w:hAnsi="Arial"/>
        </w:rPr>
      </w:pPr>
    </w:p>
    <w:p w14:paraId="4FC9E0C1" w14:textId="77777777" w:rsidR="00CE4A67" w:rsidRDefault="00CE4A67" w:rsidP="00CE4A67">
      <w:pPr>
        <w:pStyle w:val="a9"/>
        <w:numPr>
          <w:ilvl w:val="0"/>
          <w:numId w:val="1"/>
        </w:numPr>
        <w:spacing w:line="360" w:lineRule="auto"/>
        <w:jc w:val="both"/>
        <w:rPr>
          <w:rFonts w:ascii="David" w:hAnsi="David"/>
        </w:rPr>
      </w:pPr>
      <w:r>
        <w:rPr>
          <w:rFonts w:ascii="Arial" w:hAnsi="Arial"/>
          <w:rtl/>
        </w:rPr>
        <w:t xml:space="preserve">במהלך </w:t>
      </w:r>
      <w:r>
        <w:rPr>
          <w:rFonts w:ascii="Arial" w:hAnsi="Arial" w:hint="cs"/>
          <w:rtl/>
        </w:rPr>
        <w:t>שלושה</w:t>
      </w:r>
      <w:r>
        <w:rPr>
          <w:rFonts w:ascii="Arial" w:hAnsi="Arial"/>
          <w:rtl/>
        </w:rPr>
        <w:t xml:space="preserve"> חודשים עקב שירות המבחן אחר התגייסות הנאשם להליך הטיפולי ובסיומם הוגש תסקיר משלים. מתסקיר אחרון זה עלה כי במהלך התקופה הנ"ל, בחודש פברואר 2024, נפתח נגד הנאשם תיק פלילי נוסף בגין עבירות רכוש. עוד נכתב כי בפגישות עמו ציין הנאשם כי לא הבין שהליך הטיפול כרוך בהתחייבות ארוכה, שלל נזקקות טיפולית, ציין כי הביע רצון להצטרף לקבוצה בשל חשש מגזר הדין והוסיף כי יתקשה להתחייב לכך מפאת פגיעה כלכלית. במסגרת התסקיר המשלים התרשם שירות המבחן כי התנהלות הנאשם משקפת היעדר תובנה למצבו ונטייה לטשטש בעיות בתפקודו על רקע הלחץ הכלכלי והחשש מענישה קונקרטית. לדבריהם, הנאשם אינו בשל להשתלב בהליך טיפולי מעמיק שבו יידרש לבחון באופן ביקורתי את התנהלותו. נוכח דברים אלה, נמנע </w:t>
      </w:r>
      <w:r>
        <w:rPr>
          <w:rFonts w:ascii="Arial" w:hAnsi="Arial"/>
          <w:rtl/>
        </w:rPr>
        <w:lastRenderedPageBreak/>
        <w:t>שירות המבחן לבוא בהמלצה טיפולית, ואף סבר כי אין בידו להמליץ על סיום ההליך ללא הרשעה.</w:t>
      </w:r>
    </w:p>
    <w:p w14:paraId="0EC03039" w14:textId="77777777" w:rsidR="00CE4A67" w:rsidRDefault="00CE4A67" w:rsidP="00CE4A67">
      <w:pPr>
        <w:pStyle w:val="a9"/>
        <w:spacing w:line="360" w:lineRule="auto"/>
        <w:jc w:val="both"/>
        <w:rPr>
          <w:rFonts w:ascii="David" w:hAnsi="David"/>
        </w:rPr>
      </w:pPr>
    </w:p>
    <w:p w14:paraId="7E06A197" w14:textId="77777777" w:rsidR="00CE4A67" w:rsidRDefault="00CE4A67" w:rsidP="00CE4A67">
      <w:pPr>
        <w:spacing w:line="360" w:lineRule="auto"/>
        <w:ind w:left="360"/>
        <w:rPr>
          <w:rFonts w:ascii="David" w:hAnsi="David"/>
          <w:rtl/>
        </w:rPr>
      </w:pPr>
      <w:r>
        <w:rPr>
          <w:rFonts w:ascii="David" w:hAnsi="David"/>
          <w:b/>
          <w:bCs/>
          <w:u w:val="single"/>
          <w:rtl/>
        </w:rPr>
        <w:t>תמצית טענות הצדדים</w:t>
      </w:r>
    </w:p>
    <w:p w14:paraId="5F722879" w14:textId="77777777" w:rsidR="00CE4A67" w:rsidRDefault="00CE4A67" w:rsidP="00CE4A67">
      <w:pPr>
        <w:spacing w:line="360" w:lineRule="auto"/>
        <w:ind w:left="360"/>
        <w:jc w:val="both"/>
        <w:rPr>
          <w:rFonts w:ascii="David" w:hAnsi="David"/>
          <w:rtl/>
        </w:rPr>
      </w:pPr>
    </w:p>
    <w:p w14:paraId="3987854C" w14:textId="77777777" w:rsidR="00CE4A67" w:rsidRDefault="00CE4A67" w:rsidP="00CE4A67">
      <w:pPr>
        <w:pStyle w:val="a9"/>
        <w:numPr>
          <w:ilvl w:val="0"/>
          <w:numId w:val="1"/>
        </w:numPr>
        <w:spacing w:line="360" w:lineRule="auto"/>
        <w:jc w:val="both"/>
        <w:rPr>
          <w:rFonts w:ascii="David" w:hAnsi="David"/>
        </w:rPr>
      </w:pPr>
      <w:r>
        <w:rPr>
          <w:rFonts w:ascii="David" w:hAnsi="David"/>
          <w:rtl/>
        </w:rPr>
        <w:t xml:space="preserve">לטענת המאשימה, נוכח חומרת מעשיו של הנאשם, שסייע לסחור בסם במשקל 14 גרם, מחד גיסא; והיותו אך מסייע לדבר עבירה, מאידך גיסא; ובשים לב למדיניות הענישה הנוהגת, יש לקבוע מתחם ענישה הנע בין שלושה חודשי מאסר בעבודות שירות ועד לשנת מאסר, לצד ענישה נלווית. אשר לעונש בתוך המתחם, מצביעה המאשימה על כך שהנאשם הודה, נטל אחריות וחסך בזמן שיפוטי וכן לכך שהנאשם נעדר עבר פלילי. על רקע כל זאת, סברה המאשימה כי יש למקם את עונשו של הנאשם בתחתית המתחם. בצד זה, סבורה המאשימה כי בהיעדר פגיעה קונקרטית בעיסוקו, אין מקום להורות על ביטול הרשעתו של הנאשם, תוך שהיא מצביעה על התסקיר שערך שירות המבחן בעניינו, שממנו עולה כי הנאשם אינו מפנים את חומרת מעשיו ואינו נכון לשתף פעולה עם ההליך הטיפולי. </w:t>
      </w:r>
    </w:p>
    <w:p w14:paraId="1F117832" w14:textId="77777777" w:rsidR="00CE4A67" w:rsidRDefault="00CE4A67" w:rsidP="00CE4A67">
      <w:pPr>
        <w:pStyle w:val="a9"/>
        <w:spacing w:line="360" w:lineRule="auto"/>
        <w:jc w:val="both"/>
        <w:rPr>
          <w:rFonts w:ascii="David" w:hAnsi="David"/>
          <w:rtl/>
        </w:rPr>
      </w:pPr>
    </w:p>
    <w:p w14:paraId="7C3CE9DB" w14:textId="77777777" w:rsidR="00CE4A67" w:rsidRDefault="00CE4A67" w:rsidP="00CE4A67">
      <w:pPr>
        <w:pStyle w:val="a9"/>
        <w:numPr>
          <w:ilvl w:val="0"/>
          <w:numId w:val="1"/>
        </w:numPr>
        <w:spacing w:line="360" w:lineRule="auto"/>
        <w:jc w:val="both"/>
        <w:rPr>
          <w:rFonts w:ascii="David" w:hAnsi="David"/>
        </w:rPr>
      </w:pPr>
      <w:r>
        <w:rPr>
          <w:rFonts w:ascii="David" w:hAnsi="David"/>
          <w:rtl/>
        </w:rPr>
        <w:t>הנאשם טוען מנגד כי מעשיו התמצו בכך שנהג במוניתו ולכל היותר עצם את עיניו אל מול העובדה שאחר מבצע עסקת סמים. לדבריו, הוא לא קיבל כל תמורה בגין מעשיו, ותכליתה לא הייתה הפקת רווחים. בצד זה מצביע הנאשם על הודאתו, על כך שנטל אחריות ועל כך שהוא נעדר על עבר פלילי. לדבריו, נוכח הנזק הכבד שעשוי להיגרם לעיסוקו כנהג מונית יש מקום לבטל את הרשעתו, כשבהקשר זה הוא סבור כי יצאה שגגה תחת ידו של שירות המבחן בקביעת תכנית טיפול כה ממושכת שהנאשם אינו יכול לעמוד בה בשל קשייו הכלכליים.</w:t>
      </w:r>
    </w:p>
    <w:p w14:paraId="47E472A4" w14:textId="77777777" w:rsidR="00CE4A67" w:rsidRDefault="00CE4A67" w:rsidP="00CE4A67">
      <w:pPr>
        <w:pStyle w:val="a9"/>
        <w:spacing w:line="360" w:lineRule="auto"/>
        <w:jc w:val="both"/>
        <w:rPr>
          <w:rFonts w:ascii="David" w:hAnsi="David"/>
        </w:rPr>
      </w:pPr>
    </w:p>
    <w:p w14:paraId="220ECFA0" w14:textId="77777777" w:rsidR="00CE4A67" w:rsidRDefault="00CE4A67" w:rsidP="00CE4A67">
      <w:pPr>
        <w:pStyle w:val="a9"/>
        <w:numPr>
          <w:ilvl w:val="0"/>
          <w:numId w:val="1"/>
        </w:numPr>
        <w:spacing w:line="360" w:lineRule="auto"/>
        <w:jc w:val="both"/>
      </w:pPr>
      <w:r>
        <w:rPr>
          <w:rtl/>
        </w:rPr>
        <w:t>בתום הדיון ניתנה לנאשם "זכות המילה האחרונה". בדבריו במסגרת זו, אמר הנאשם כי הוא מצטער על מעשיו, וכי לא ישוב לבצע עבירות.</w:t>
      </w:r>
    </w:p>
    <w:p w14:paraId="2D4002FF" w14:textId="77777777" w:rsidR="00CE4A67" w:rsidRDefault="00CE4A67" w:rsidP="00CE4A67">
      <w:pPr>
        <w:pStyle w:val="a9"/>
      </w:pPr>
    </w:p>
    <w:p w14:paraId="0BBFAA43" w14:textId="77777777" w:rsidR="00CE4A67" w:rsidRDefault="00CE4A67" w:rsidP="00CE4A67">
      <w:pPr>
        <w:pStyle w:val="a9"/>
        <w:numPr>
          <w:ilvl w:val="0"/>
          <w:numId w:val="1"/>
        </w:numPr>
        <w:spacing w:line="360" w:lineRule="auto"/>
        <w:jc w:val="both"/>
        <w:rPr>
          <w:rtl/>
        </w:rPr>
      </w:pPr>
      <w:r>
        <w:rPr>
          <w:rtl/>
        </w:rPr>
        <w:t xml:space="preserve">לאחר הטיעונים לעונש הוריתי </w:t>
      </w:r>
      <w:r>
        <w:rPr>
          <w:rFonts w:hint="cs"/>
          <w:rtl/>
        </w:rPr>
        <w:t>לממונה על עבודות שירות</w:t>
      </w:r>
      <w:r>
        <w:rPr>
          <w:rtl/>
        </w:rPr>
        <w:t xml:space="preserve"> להכין חוות דעת בנוגע למידת התאמתו של הנאשם לעונש של עבודות שירות. בחוות דעתו שהוגשה ביום 26.11.24</w:t>
      </w:r>
      <w:r>
        <w:rPr>
          <w:rFonts w:hint="cs"/>
          <w:rtl/>
        </w:rPr>
        <w:t xml:space="preserve"> נכתב</w:t>
      </w:r>
      <w:r>
        <w:rPr>
          <w:rtl/>
        </w:rPr>
        <w:t xml:space="preserve"> כי אין מניעה שהנאשם יבצע עונש של עבודות שירות, ואולם בשל מצבו הבריאותי יש להגביל את שעות העבודה ל-6.5 מדי יום, ללא עבודה בשמש וללא הרמת משאות כבדים. </w:t>
      </w:r>
    </w:p>
    <w:p w14:paraId="52F3739A" w14:textId="77777777" w:rsidR="00CE4A67" w:rsidRDefault="00CE4A67" w:rsidP="00CE4A67">
      <w:pPr>
        <w:pStyle w:val="a9"/>
      </w:pPr>
    </w:p>
    <w:p w14:paraId="60A6BBAD" w14:textId="77777777" w:rsidR="00CE4A67" w:rsidRDefault="00CE4A67" w:rsidP="00CE4A67">
      <w:pPr>
        <w:rPr>
          <w:rFonts w:ascii="David" w:hAnsi="David"/>
          <w:b/>
          <w:bCs/>
          <w:u w:val="single"/>
          <w:rtl/>
        </w:rPr>
      </w:pPr>
    </w:p>
    <w:p w14:paraId="777AC8CA" w14:textId="77777777" w:rsidR="00CE4A67" w:rsidRDefault="00CE4A67" w:rsidP="00CE4A67">
      <w:pPr>
        <w:rPr>
          <w:rFonts w:ascii="David" w:hAnsi="David"/>
          <w:b/>
          <w:bCs/>
          <w:u w:val="single"/>
          <w:rtl/>
        </w:rPr>
      </w:pPr>
      <w:r>
        <w:rPr>
          <w:rFonts w:ascii="David" w:hAnsi="David"/>
          <w:b/>
          <w:bCs/>
          <w:u w:val="single"/>
          <w:rtl/>
        </w:rPr>
        <w:t>דיון והכרעה</w:t>
      </w:r>
    </w:p>
    <w:p w14:paraId="3C75F1A2" w14:textId="77777777" w:rsidR="00CE4A67" w:rsidRDefault="00CE4A67" w:rsidP="00CE4A67">
      <w:pPr>
        <w:pStyle w:val="a9"/>
        <w:spacing w:line="360" w:lineRule="auto"/>
        <w:rPr>
          <w:rFonts w:ascii="Arial" w:hAnsi="Arial"/>
        </w:rPr>
      </w:pPr>
    </w:p>
    <w:p w14:paraId="13C39E42" w14:textId="77777777" w:rsidR="00CE4A67" w:rsidRDefault="00CE4A67" w:rsidP="00CE4A67">
      <w:pPr>
        <w:pStyle w:val="listparagraph"/>
        <w:bidi/>
        <w:spacing w:before="0" w:beforeAutospacing="0" w:after="0" w:afterAutospacing="0" w:line="330" w:lineRule="atLeast"/>
        <w:jc w:val="both"/>
        <w:rPr>
          <w:rFonts w:ascii="David" w:hAnsi="David" w:cs="David"/>
          <w:color w:val="000000"/>
          <w:u w:val="single"/>
          <w:rtl/>
        </w:rPr>
      </w:pPr>
      <w:r>
        <w:rPr>
          <w:rFonts w:ascii="David" w:hAnsi="David" w:cs="David"/>
          <w:color w:val="000000"/>
          <w:u w:val="single"/>
          <w:rtl/>
        </w:rPr>
        <w:t>העתירה לביטול הרשעה</w:t>
      </w:r>
    </w:p>
    <w:p w14:paraId="529B0B9D" w14:textId="77777777" w:rsidR="00CE4A67" w:rsidRDefault="00CE4A67" w:rsidP="00CE4A67">
      <w:pPr>
        <w:pStyle w:val="listparagraph"/>
        <w:bidi/>
        <w:spacing w:before="0" w:beforeAutospacing="0" w:after="0" w:afterAutospacing="0" w:line="330" w:lineRule="atLeast"/>
        <w:jc w:val="both"/>
        <w:rPr>
          <w:rFonts w:ascii="David" w:hAnsi="David" w:cs="David"/>
          <w:color w:val="000000"/>
          <w:rtl/>
        </w:rPr>
      </w:pPr>
    </w:p>
    <w:p w14:paraId="2119645F" w14:textId="77777777" w:rsidR="00CE4A67" w:rsidRDefault="00CE4A67" w:rsidP="00CE4A67">
      <w:pPr>
        <w:pStyle w:val="listparagraph"/>
        <w:bidi/>
        <w:spacing w:before="0" w:beforeAutospacing="0" w:after="0" w:afterAutospacing="0" w:line="330" w:lineRule="atLeast"/>
        <w:jc w:val="both"/>
        <w:rPr>
          <w:rFonts w:ascii="David" w:hAnsi="David" w:cs="David"/>
          <w:color w:val="000000"/>
          <w:rtl/>
        </w:rPr>
      </w:pPr>
    </w:p>
    <w:p w14:paraId="662C5E49" w14:textId="77777777" w:rsidR="00CE4A67" w:rsidRDefault="00CE4A67" w:rsidP="00CE4A67">
      <w:pPr>
        <w:pStyle w:val="a9"/>
        <w:numPr>
          <w:ilvl w:val="0"/>
          <w:numId w:val="1"/>
        </w:numPr>
        <w:spacing w:line="360" w:lineRule="auto"/>
        <w:jc w:val="both"/>
        <w:rPr>
          <w:rFonts w:ascii="Calibri" w:hAnsi="Calibri" w:cs="Calibri"/>
          <w:color w:val="000000"/>
          <w:sz w:val="22"/>
          <w:szCs w:val="22"/>
          <w:rtl/>
        </w:rPr>
      </w:pPr>
      <w:r>
        <w:rPr>
          <w:rFonts w:ascii="David" w:hAnsi="David"/>
          <w:color w:val="000000"/>
          <w:rtl/>
        </w:rPr>
        <w:t>כידוע, בעת בחינת האפשרות לבטל את הרשעתו של נאשם, יש לבחון התקיימותם של שני תנאים מצטברים: הראשון, ההרשעה תפגע פגיעה חמורה בשיקום הנאשם; השני, סוג העבירה מאפשר ביטול ההרשעה מבלי לפגוע באופן מהותי בשיקולי ענישה אחרים. בתוך כך, יבחן בית המשפט שורה של שיקולים, ובכלל זה אם מדובר בעבירה ראשונה או יחידה של הנאשם; חומרת העבירה והנסיבות שבהן בוצעה;</w:t>
      </w:r>
      <w:r w:rsidR="00146B08">
        <w:rPr>
          <w:rFonts w:ascii="David" w:hAnsi="David"/>
          <w:color w:val="000000"/>
        </w:rPr>
        <w:t xml:space="preserve"> </w:t>
      </w:r>
      <w:r>
        <w:rPr>
          <w:rFonts w:ascii="David" w:hAnsi="David"/>
          <w:color w:val="000000"/>
          <w:rtl/>
        </w:rPr>
        <w:t>מעמדו ותפקידו של הנאשם והקשר בין העבירה למעמד ולתפקיד: מידת הפגיעה של העבירה באחרים; הסבירות שהנאשם יעבור עבירות נוספות; אם ביצוע העבירה על-ידי הנאשם משקף דפוס של התנהגות כרונית, או מדובר בהתנהגות מקרית; יחסו של הנאשם לעבירה; וכן את משמעות ההרשעה על הדימוי העצמי של הנאשם והשפעתה על תחומי פעילותו. בצד זה, ישקול בית המשפט גם את האינטרס הציבורי הרחב ואם זה מאפשר הסתפקות בהליך ללא הרשעה, נוכח האינטרסים המוגנים שעל הכף (ראו</w:t>
      </w:r>
      <w:r w:rsidR="00146B08">
        <w:rPr>
          <w:rFonts w:ascii="David" w:hAnsi="David"/>
          <w:color w:val="000000"/>
          <w:rtl/>
        </w:rPr>
        <w:t xml:space="preserve"> </w:t>
      </w:r>
      <w:hyperlink r:id="rId21" w:history="1">
        <w:r w:rsidR="00146B08" w:rsidRPr="00146B08">
          <w:rPr>
            <w:rFonts w:ascii="David" w:hAnsi="David"/>
            <w:color w:val="0000FF"/>
            <w:u w:val="single"/>
            <w:rtl/>
          </w:rPr>
          <w:t>ע"פ 2083/96</w:t>
        </w:r>
      </w:hyperlink>
      <w:r w:rsidR="00146B08">
        <w:rPr>
          <w:rFonts w:ascii="David" w:hAnsi="David"/>
          <w:color w:val="000000"/>
          <w:rtl/>
        </w:rPr>
        <w:t xml:space="preserve"> </w:t>
      </w:r>
      <w:r>
        <w:rPr>
          <w:rFonts w:ascii="David" w:hAnsi="David"/>
          <w:b/>
          <w:bCs/>
          <w:color w:val="000000"/>
          <w:rtl/>
        </w:rPr>
        <w:t>כתב נ' מדינת ישראל</w:t>
      </w:r>
      <w:r>
        <w:rPr>
          <w:rFonts w:ascii="David" w:hAnsi="David"/>
          <w:color w:val="000000"/>
          <w:rtl/>
        </w:rPr>
        <w:t>, פ"ד נב(3) 337 (1997)</w:t>
      </w:r>
      <w:r>
        <w:rPr>
          <w:rFonts w:ascii="David" w:hAnsi="David"/>
          <w:color w:val="000000"/>
        </w:rPr>
        <w:t>;</w:t>
      </w:r>
      <w:r w:rsidR="00146B08">
        <w:rPr>
          <w:rFonts w:ascii="David" w:hAnsi="David"/>
          <w:color w:val="000000"/>
          <w:rtl/>
        </w:rPr>
        <w:t xml:space="preserve"> </w:t>
      </w:r>
      <w:hyperlink r:id="rId22" w:history="1">
        <w:r w:rsidR="00146B08" w:rsidRPr="00146B08">
          <w:rPr>
            <w:rFonts w:ascii="David" w:hAnsi="David"/>
            <w:color w:val="0000FF"/>
            <w:u w:val="single"/>
            <w:rtl/>
          </w:rPr>
          <w:t>ע"פ 2513/96</w:t>
        </w:r>
      </w:hyperlink>
      <w:r w:rsidR="00146B08">
        <w:rPr>
          <w:rFonts w:ascii="David" w:hAnsi="David"/>
          <w:color w:val="000000"/>
          <w:rtl/>
        </w:rPr>
        <w:t xml:space="preserve"> </w:t>
      </w:r>
      <w:r>
        <w:rPr>
          <w:rFonts w:ascii="David" w:hAnsi="David"/>
          <w:b/>
          <w:bCs/>
          <w:color w:val="000000"/>
          <w:rtl/>
        </w:rPr>
        <w:t>מדינת ישראל נ' שמש</w:t>
      </w:r>
      <w:r>
        <w:rPr>
          <w:rFonts w:ascii="David" w:hAnsi="David"/>
          <w:color w:val="000000"/>
          <w:rtl/>
        </w:rPr>
        <w:t>, פ"ד נ(3) 682 (1996)). בפסיקה הודגש כי הימנעות מהרשעה של מי שאשמתו הוכחה היא "חריג שבחריגים" ותיעשה רק במקרים יוצאי דופן (ראו למשל</w:t>
      </w:r>
      <w:r w:rsidR="00146B08">
        <w:rPr>
          <w:rFonts w:ascii="David" w:hAnsi="David"/>
          <w:color w:val="000000"/>
          <w:rtl/>
        </w:rPr>
        <w:t xml:space="preserve"> </w:t>
      </w:r>
      <w:hyperlink r:id="rId23" w:history="1">
        <w:r w:rsidR="00146B08" w:rsidRPr="00146B08">
          <w:rPr>
            <w:rFonts w:ascii="David" w:hAnsi="David"/>
            <w:color w:val="0000FF"/>
            <w:u w:val="single"/>
            <w:rtl/>
          </w:rPr>
          <w:t>רע"פ 1097/18</w:t>
        </w:r>
      </w:hyperlink>
      <w:r w:rsidR="00146B08">
        <w:rPr>
          <w:rFonts w:ascii="David" w:hAnsi="David"/>
          <w:color w:val="000000"/>
          <w:rtl/>
        </w:rPr>
        <w:t xml:space="preserve"> </w:t>
      </w:r>
      <w:r>
        <w:rPr>
          <w:rFonts w:ascii="David" w:hAnsi="David"/>
          <w:b/>
          <w:bCs/>
          <w:color w:val="000000"/>
          <w:rtl/>
        </w:rPr>
        <w:t>בצלאל נ' מדינת ישראל</w:t>
      </w:r>
      <w:r w:rsidR="00146B08">
        <w:rPr>
          <w:rFonts w:ascii="David" w:hAnsi="David"/>
          <w:color w:val="000000"/>
          <w:rtl/>
        </w:rPr>
        <w:t xml:space="preserve"> </w:t>
      </w:r>
      <w:r>
        <w:rPr>
          <w:rFonts w:ascii="David" w:hAnsi="David"/>
          <w:color w:val="000000"/>
          <w:rtl/>
        </w:rPr>
        <w:t>(18.4.2018);</w:t>
      </w:r>
      <w:r w:rsidR="00146B08">
        <w:rPr>
          <w:rFonts w:ascii="David" w:hAnsi="David"/>
          <w:color w:val="000000"/>
          <w:rtl/>
        </w:rPr>
        <w:t xml:space="preserve"> </w:t>
      </w:r>
      <w:hyperlink r:id="rId24" w:history="1">
        <w:r w:rsidR="00146B08" w:rsidRPr="00146B08">
          <w:rPr>
            <w:color w:val="0000FF"/>
            <w:u w:val="single"/>
            <w:rtl/>
          </w:rPr>
          <w:t>רע"פ 1949/15</w:t>
        </w:r>
      </w:hyperlink>
      <w:r w:rsidR="00146B08">
        <w:rPr>
          <w:rFonts w:ascii="David" w:hAnsi="David"/>
          <w:color w:val="000000"/>
          <w:rtl/>
        </w:rPr>
        <w:t xml:space="preserve"> </w:t>
      </w:r>
      <w:r>
        <w:rPr>
          <w:rFonts w:ascii="David" w:hAnsi="David"/>
          <w:b/>
          <w:bCs/>
          <w:color w:val="000000"/>
          <w:rtl/>
        </w:rPr>
        <w:t>תקרורי נ' מדינת ישראל</w:t>
      </w:r>
      <w:r w:rsidR="00146B08">
        <w:rPr>
          <w:rFonts w:ascii="David" w:hAnsi="David"/>
          <w:color w:val="000000"/>
          <w:rtl/>
        </w:rPr>
        <w:t xml:space="preserve"> </w:t>
      </w:r>
      <w:r>
        <w:rPr>
          <w:rFonts w:ascii="David" w:hAnsi="David"/>
          <w:color w:val="000000"/>
          <w:rtl/>
        </w:rPr>
        <w:t>(2.4.2015);</w:t>
      </w:r>
      <w:r w:rsidR="00146B08">
        <w:rPr>
          <w:rFonts w:ascii="David" w:hAnsi="David"/>
          <w:color w:val="000000"/>
          <w:rtl/>
        </w:rPr>
        <w:t xml:space="preserve"> </w:t>
      </w:r>
      <w:hyperlink r:id="rId25" w:history="1">
        <w:r w:rsidR="00146B08" w:rsidRPr="00146B08">
          <w:rPr>
            <w:rFonts w:ascii="David" w:hAnsi="David"/>
            <w:color w:val="0000FF"/>
            <w:u w:val="single"/>
            <w:rtl/>
          </w:rPr>
          <w:t>רע"פ 2180/14</w:t>
        </w:r>
      </w:hyperlink>
      <w:r w:rsidR="00146B08">
        <w:rPr>
          <w:rFonts w:ascii="David" w:hAnsi="David"/>
          <w:color w:val="000000"/>
          <w:rtl/>
        </w:rPr>
        <w:t xml:space="preserve"> </w:t>
      </w:r>
      <w:r>
        <w:rPr>
          <w:rFonts w:ascii="David" w:hAnsi="David"/>
          <w:b/>
          <w:bCs/>
          <w:color w:val="000000"/>
          <w:rtl/>
        </w:rPr>
        <w:t>ספיר נ' מדינת ישראל</w:t>
      </w:r>
      <w:r w:rsidR="00146B08">
        <w:rPr>
          <w:rFonts w:ascii="David" w:hAnsi="David"/>
          <w:color w:val="000000"/>
          <w:rtl/>
        </w:rPr>
        <w:t xml:space="preserve"> </w:t>
      </w:r>
      <w:r>
        <w:rPr>
          <w:rFonts w:ascii="David" w:hAnsi="David"/>
          <w:color w:val="000000"/>
          <w:rtl/>
        </w:rPr>
        <w:t>(24.4.2014)).</w:t>
      </w:r>
    </w:p>
    <w:p w14:paraId="4F2A0530" w14:textId="77777777" w:rsidR="00CE4A67" w:rsidRDefault="00CE4A67" w:rsidP="00CE4A67">
      <w:pPr>
        <w:pStyle w:val="a9"/>
        <w:spacing w:line="360" w:lineRule="auto"/>
        <w:jc w:val="both"/>
        <w:rPr>
          <w:rFonts w:ascii="Calibri" w:hAnsi="Calibri" w:cs="Calibri"/>
          <w:color w:val="000000"/>
          <w:sz w:val="22"/>
          <w:szCs w:val="22"/>
        </w:rPr>
      </w:pPr>
    </w:p>
    <w:p w14:paraId="1A15E725" w14:textId="77777777" w:rsidR="00CE4A67" w:rsidRDefault="00CE4A67" w:rsidP="00CE4A67">
      <w:pPr>
        <w:pStyle w:val="a9"/>
        <w:numPr>
          <w:ilvl w:val="0"/>
          <w:numId w:val="1"/>
        </w:numPr>
        <w:spacing w:line="360" w:lineRule="atLeast"/>
        <w:jc w:val="both"/>
        <w:rPr>
          <w:rFonts w:ascii="David" w:hAnsi="David"/>
          <w:color w:val="000000"/>
        </w:rPr>
      </w:pPr>
      <w:r>
        <w:rPr>
          <w:rFonts w:ascii="David" w:hAnsi="David"/>
          <w:color w:val="000000"/>
          <w:rtl/>
        </w:rPr>
        <w:t xml:space="preserve">אף שאין לומר שחומרת המעשים בענייננו מצויה ברף העליון, איני סבור כי המקרה דנן נכנס בגדר אותם מקרים חריגים שעשויים להצדיק אי הרשעה. </w:t>
      </w:r>
      <w:r>
        <w:rPr>
          <w:rFonts w:ascii="David" w:hAnsi="David"/>
          <w:color w:val="000000"/>
          <w:u w:val="single"/>
          <w:rtl/>
        </w:rPr>
        <w:t>ראשית</w:t>
      </w:r>
      <w:r>
        <w:rPr>
          <w:rFonts w:ascii="David" w:hAnsi="David"/>
          <w:color w:val="000000"/>
          <w:rtl/>
        </w:rPr>
        <w:t>, בתי המשפט שבו וחזרו על חומרתן של עבירות הסחר הסמים, ועל הצורך לנקוט יד קשה נגד מבצעיהן "לרבות הבלדרים המאפשרים את העברתו של הסם מבעליו לציבור" (</w:t>
      </w:r>
      <w:hyperlink r:id="rId26" w:history="1">
        <w:r w:rsidR="00146B08" w:rsidRPr="00146B08">
          <w:rPr>
            <w:rFonts w:ascii="David" w:hAnsi="David"/>
            <w:color w:val="0000FF"/>
            <w:u w:val="single"/>
            <w:rtl/>
          </w:rPr>
          <w:t>ע"פ 2646/15</w:t>
        </w:r>
      </w:hyperlink>
      <w:r>
        <w:rPr>
          <w:rFonts w:ascii="David" w:hAnsi="David"/>
          <w:color w:val="000000"/>
          <w:rtl/>
        </w:rPr>
        <w:t xml:space="preserve"> </w:t>
      </w:r>
      <w:r>
        <w:rPr>
          <w:rFonts w:ascii="David" w:hAnsi="David"/>
          <w:b/>
          <w:bCs/>
          <w:color w:val="000000"/>
          <w:rtl/>
        </w:rPr>
        <w:t>מדינת ישראל נ' אבו בכר</w:t>
      </w:r>
      <w:r>
        <w:rPr>
          <w:rFonts w:ascii="David" w:hAnsi="David"/>
          <w:color w:val="000000"/>
          <w:rtl/>
        </w:rPr>
        <w:t>, פסקה 9 (16.7.2015)). ספק אם ניתן לוותר על הרשעה פלילית של מי שנטל חלק בשרשרת הפצת הסם מבלי לפגוע באופן מהותי בשיקולי הענישה האחרים</w:t>
      </w:r>
      <w:r>
        <w:rPr>
          <w:rFonts w:ascii="David" w:hAnsi="David"/>
          <w:b/>
          <w:bCs/>
          <w:color w:val="000000"/>
          <w:rtl/>
        </w:rPr>
        <w:t xml:space="preserve">. </w:t>
      </w:r>
      <w:r>
        <w:rPr>
          <w:rFonts w:ascii="David" w:hAnsi="David"/>
          <w:color w:val="000000"/>
          <w:u w:val="single"/>
          <w:rtl/>
        </w:rPr>
        <w:t>שנית</w:t>
      </w:r>
      <w:r>
        <w:rPr>
          <w:rFonts w:ascii="David" w:hAnsi="David"/>
          <w:color w:val="000000"/>
          <w:rtl/>
        </w:rPr>
        <w:t xml:space="preserve">, וזה העיקר – מדובר בנאשם אשר בהתאם לתסקיר שירות המבחן נעדר תובנה למצבו, נוטה לטשטש בעיות בתפקודו, </w:t>
      </w:r>
      <w:r>
        <w:rPr>
          <w:rFonts w:ascii="David" w:hAnsi="David" w:hint="cs"/>
          <w:color w:val="000000"/>
          <w:rtl/>
        </w:rPr>
        <w:t>מתקשה</w:t>
      </w:r>
      <w:r>
        <w:rPr>
          <w:rFonts w:ascii="Arial" w:hAnsi="Arial"/>
          <w:rtl/>
        </w:rPr>
        <w:t xml:space="preserve"> לקבל על עצמו אחריות ולשתף פעולה, ושולל נזקקות טיפולית, באופן שאינו מייצר פתח להתערבות שיקומית</w:t>
      </w:r>
      <w:r>
        <w:rPr>
          <w:rFonts w:ascii="Arial" w:hAnsi="Arial" w:hint="cs"/>
          <w:rtl/>
        </w:rPr>
        <w:t xml:space="preserve"> (עמ' 2 לתסקיר מיום 22.5.24)</w:t>
      </w:r>
      <w:r>
        <w:rPr>
          <w:rFonts w:ascii="Arial" w:hAnsi="Arial"/>
          <w:rtl/>
        </w:rPr>
        <w:t xml:space="preserve">. דברים אלה נכתבו במסגרת תסקיר משלים, קרי הייתה לנאשם הזדמנות להוכיח את אפשרות שיקומו ואף פרק זמן ממושך להיערך לכך, אך הוא </w:t>
      </w:r>
      <w:r>
        <w:rPr>
          <w:rFonts w:ascii="Arial" w:hAnsi="Arial" w:hint="cs"/>
          <w:rtl/>
        </w:rPr>
        <w:t>נמנע</w:t>
      </w:r>
      <w:r>
        <w:rPr>
          <w:rFonts w:ascii="Arial" w:hAnsi="Arial"/>
          <w:rtl/>
        </w:rPr>
        <w:t xml:space="preserve"> </w:t>
      </w:r>
      <w:r>
        <w:rPr>
          <w:rFonts w:ascii="Arial" w:hAnsi="Arial" w:hint="cs"/>
          <w:rtl/>
        </w:rPr>
        <w:t>מ</w:t>
      </w:r>
      <w:r>
        <w:rPr>
          <w:rFonts w:ascii="Arial" w:hAnsi="Arial"/>
          <w:rtl/>
        </w:rPr>
        <w:t>לעשות כן. במובן זה, אין לגזור גזירה שווה בין מקרה זה למקרים אחרים שהוצגו, שבה</w:t>
      </w:r>
      <w:r>
        <w:rPr>
          <w:rFonts w:ascii="Arial" w:hAnsi="Arial" w:hint="cs"/>
          <w:rtl/>
        </w:rPr>
        <w:t>ם</w:t>
      </w:r>
      <w:r>
        <w:rPr>
          <w:rFonts w:ascii="Arial" w:hAnsi="Arial"/>
          <w:rtl/>
        </w:rPr>
        <w:t xml:space="preserve"> הובאו אינדיקציות לסיכויי שיקום משמעותיים (ראו למשל </w:t>
      </w:r>
      <w:hyperlink r:id="rId27" w:history="1">
        <w:r w:rsidR="00146B08" w:rsidRPr="00146B08">
          <w:rPr>
            <w:rFonts w:ascii="Arial" w:hAnsi="Arial"/>
            <w:color w:val="0000FF"/>
            <w:u w:val="single"/>
            <w:rtl/>
          </w:rPr>
          <w:t>ת"פ (של' ת"א) 44597-02-13</w:t>
        </w:r>
      </w:hyperlink>
      <w:r>
        <w:rPr>
          <w:rFonts w:ascii="Arial" w:hAnsi="Arial"/>
          <w:rtl/>
        </w:rPr>
        <w:t xml:space="preserve"> </w:t>
      </w:r>
      <w:r>
        <w:rPr>
          <w:rFonts w:ascii="Arial" w:hAnsi="Arial"/>
          <w:b/>
          <w:bCs/>
          <w:rtl/>
        </w:rPr>
        <w:t>מדינת ישראל נ' שאגן</w:t>
      </w:r>
      <w:r>
        <w:rPr>
          <w:rFonts w:ascii="Arial" w:hAnsi="Arial"/>
          <w:rtl/>
        </w:rPr>
        <w:t xml:space="preserve"> (9.8.2013); </w:t>
      </w:r>
      <w:hyperlink r:id="rId28" w:history="1">
        <w:r w:rsidR="00146B08" w:rsidRPr="00146B08">
          <w:rPr>
            <w:rFonts w:ascii="Arial" w:hAnsi="Arial"/>
            <w:color w:val="0000FF"/>
            <w:u w:val="single"/>
            <w:rtl/>
          </w:rPr>
          <w:t>ת"פ (של' ק"ש) 34271-10-18</w:t>
        </w:r>
      </w:hyperlink>
      <w:r>
        <w:rPr>
          <w:rFonts w:ascii="Arial" w:hAnsi="Arial"/>
          <w:rtl/>
        </w:rPr>
        <w:t xml:space="preserve"> </w:t>
      </w:r>
      <w:r>
        <w:rPr>
          <w:rFonts w:ascii="Arial" w:hAnsi="Arial"/>
          <w:b/>
          <w:bCs/>
          <w:rtl/>
        </w:rPr>
        <w:t>מדינת ישראל נ' דהן</w:t>
      </w:r>
      <w:r>
        <w:rPr>
          <w:rFonts w:ascii="Arial" w:hAnsi="Arial"/>
          <w:rtl/>
        </w:rPr>
        <w:t xml:space="preserve"> (23.3.2019); השוו: </w:t>
      </w:r>
      <w:hyperlink r:id="rId29" w:history="1">
        <w:r w:rsidR="00146B08" w:rsidRPr="00146B08">
          <w:rPr>
            <w:rFonts w:ascii="Arial" w:hAnsi="Arial"/>
            <w:color w:val="0000FF"/>
            <w:u w:val="single"/>
            <w:rtl/>
          </w:rPr>
          <w:t>עפ"ג (מח' מר')  70570-02-19</w:t>
        </w:r>
      </w:hyperlink>
      <w:r>
        <w:rPr>
          <w:rFonts w:ascii="Arial" w:hAnsi="Arial"/>
          <w:rtl/>
        </w:rPr>
        <w:t xml:space="preserve"> </w:t>
      </w:r>
      <w:r>
        <w:rPr>
          <w:rFonts w:ascii="Arial" w:hAnsi="Arial"/>
          <w:b/>
          <w:bCs/>
          <w:rtl/>
        </w:rPr>
        <w:t>מדינת ישראל נ' לוין</w:t>
      </w:r>
      <w:r>
        <w:rPr>
          <w:rFonts w:ascii="Arial" w:hAnsi="Arial"/>
          <w:rtl/>
        </w:rPr>
        <w:t xml:space="preserve"> (8.7.2019)).</w:t>
      </w:r>
    </w:p>
    <w:p w14:paraId="55512EB6" w14:textId="77777777" w:rsidR="00CE4A67" w:rsidRDefault="00CE4A67" w:rsidP="00CE4A67">
      <w:pPr>
        <w:pStyle w:val="a9"/>
        <w:rPr>
          <w:rFonts w:ascii="Arial" w:hAnsi="Arial"/>
        </w:rPr>
      </w:pPr>
    </w:p>
    <w:p w14:paraId="2679E5C5" w14:textId="77777777" w:rsidR="00CE4A67" w:rsidRDefault="00CE4A67" w:rsidP="00CE4A67">
      <w:pPr>
        <w:pStyle w:val="a9"/>
        <w:numPr>
          <w:ilvl w:val="0"/>
          <w:numId w:val="1"/>
        </w:numPr>
        <w:spacing w:line="360" w:lineRule="atLeast"/>
        <w:jc w:val="both"/>
        <w:rPr>
          <w:rFonts w:ascii="David" w:hAnsi="David"/>
          <w:color w:val="000000"/>
          <w:rtl/>
        </w:rPr>
      </w:pPr>
      <w:r>
        <w:rPr>
          <w:rFonts w:ascii="Arial" w:hAnsi="Arial"/>
          <w:rtl/>
        </w:rPr>
        <w:t xml:space="preserve">זאת ועוד, הנאשם אמנם הציג מסמך מטעם חברת "מוניות דקל ישיר ראשל"צ בע"מ, שלפיו "תקנון החברה של מוניות דקל אומר שכאשר אדם יש לו רישום פלילי לא יעבוד בתחנות המוניות ויפותר לאלתר ולא יעסוק כנהג מונית" (הטעות במקור), ואולם מדובר במסמך תלוש, שאין אף אדם מזוהה החתום עליו, שאינו מאומת כתצהיר ושאין מצורף לו התקנון המדובר. ממילא, אין לתת משקל ממשי למסמך כאמור, בהיעדר עד שיעיד לגביו, תוך מתן אפשרות למאשימה לערוך חקירה נגדית. לכך יש להוסיף כי בהתאם לתסקיר שירות המבחן בצד עבודתו בחברת המוניות, עובד הנאשם גם כנהג מונית עצמאי, וכן מטפל בסבתה של אשתו דרך חברת סיעוד. אם-כן, אפילו הנחנו כי צפויה פגיעה מסוימת בעיסוקו של הנאשם עקב הרשעתו, אין מדובר בשבירת מטה לחמו. לא הוצגה, אפוא, אינדיקציה ממשית שלפיה הרשעה תסב לנאשם נזק קונקרטי בעיסוקו כנהג מונית. </w:t>
      </w:r>
      <w:r>
        <w:rPr>
          <w:rFonts w:ascii="David" w:hAnsi="David"/>
          <w:color w:val="000000"/>
          <w:rtl/>
        </w:rPr>
        <w:t xml:space="preserve">בנסיבות אלה, אין לומר כי מדובר במי שהרשעה תפגע בשיקומו. </w:t>
      </w:r>
    </w:p>
    <w:p w14:paraId="2D706E64" w14:textId="77777777" w:rsidR="00CE4A67" w:rsidRDefault="00CE4A67" w:rsidP="00CE4A67">
      <w:pPr>
        <w:pStyle w:val="a9"/>
        <w:rPr>
          <w:rFonts w:ascii="David" w:hAnsi="David"/>
          <w:color w:val="000000"/>
        </w:rPr>
      </w:pPr>
    </w:p>
    <w:p w14:paraId="4D47B22B" w14:textId="77777777" w:rsidR="00CE4A67" w:rsidRDefault="00CE4A67" w:rsidP="00CE4A67">
      <w:pPr>
        <w:pStyle w:val="a9"/>
        <w:numPr>
          <w:ilvl w:val="0"/>
          <w:numId w:val="1"/>
        </w:numPr>
        <w:spacing w:line="360" w:lineRule="atLeast"/>
        <w:jc w:val="both"/>
        <w:rPr>
          <w:rFonts w:ascii="David" w:hAnsi="David"/>
          <w:color w:val="000000"/>
          <w:rtl/>
        </w:rPr>
      </w:pPr>
      <w:r>
        <w:rPr>
          <w:rFonts w:ascii="David" w:hAnsi="David"/>
          <w:color w:val="000000"/>
          <w:rtl/>
        </w:rPr>
        <w:t>על יסוד האמור, דין הבקשה לביטול הרשעה להידחות.</w:t>
      </w:r>
    </w:p>
    <w:p w14:paraId="528AEC2B" w14:textId="77777777" w:rsidR="00CE4A67" w:rsidRDefault="00CE4A67" w:rsidP="00CE4A67">
      <w:pPr>
        <w:pStyle w:val="a9"/>
        <w:rPr>
          <w:rFonts w:ascii="David" w:hAnsi="David"/>
          <w:color w:val="000000"/>
        </w:rPr>
      </w:pPr>
    </w:p>
    <w:p w14:paraId="36931194" w14:textId="77777777" w:rsidR="00CE4A67" w:rsidRDefault="00CE4A67" w:rsidP="00CE4A67">
      <w:pPr>
        <w:spacing w:line="360" w:lineRule="atLeast"/>
        <w:jc w:val="both"/>
        <w:rPr>
          <w:rFonts w:ascii="David" w:hAnsi="David"/>
          <w:color w:val="000000"/>
          <w:u w:val="single"/>
          <w:rtl/>
        </w:rPr>
      </w:pPr>
    </w:p>
    <w:p w14:paraId="43161A15" w14:textId="77777777" w:rsidR="00CE4A67" w:rsidRDefault="00CE4A67" w:rsidP="00CE4A67">
      <w:pPr>
        <w:spacing w:line="360" w:lineRule="atLeast"/>
        <w:jc w:val="both"/>
        <w:rPr>
          <w:rFonts w:ascii="David" w:hAnsi="David"/>
          <w:color w:val="000000"/>
          <w:u w:val="single"/>
          <w:rtl/>
        </w:rPr>
      </w:pPr>
      <w:r>
        <w:rPr>
          <w:rFonts w:ascii="David" w:hAnsi="David"/>
          <w:color w:val="000000"/>
          <w:u w:val="single"/>
          <w:rtl/>
        </w:rPr>
        <w:t>גזירת דינו של הנאשם</w:t>
      </w:r>
    </w:p>
    <w:p w14:paraId="41F35DC3" w14:textId="77777777" w:rsidR="00CE4A67" w:rsidRDefault="00CE4A67" w:rsidP="00CE4A67">
      <w:pPr>
        <w:pStyle w:val="a9"/>
        <w:rPr>
          <w:rFonts w:ascii="David" w:hAnsi="David"/>
          <w:color w:val="000000"/>
        </w:rPr>
      </w:pPr>
    </w:p>
    <w:p w14:paraId="3060DC48" w14:textId="77777777" w:rsidR="00CE4A67" w:rsidRDefault="00146B08" w:rsidP="00CE4A67">
      <w:pPr>
        <w:pStyle w:val="a9"/>
        <w:spacing w:line="231" w:lineRule="atLeast"/>
        <w:rPr>
          <w:rFonts w:ascii="Calibri" w:hAnsi="Calibri" w:cs="Calibri"/>
          <w:color w:val="000000"/>
          <w:sz w:val="22"/>
          <w:szCs w:val="22"/>
          <w:rtl/>
        </w:rPr>
      </w:pPr>
      <w:r>
        <w:rPr>
          <w:rFonts w:ascii="David" w:hAnsi="David"/>
          <w:color w:val="000000"/>
        </w:rPr>
        <w:t xml:space="preserve">  </w:t>
      </w:r>
      <w:r>
        <w:rPr>
          <w:rFonts w:ascii="David" w:hAnsi="David"/>
          <w:color w:val="000000"/>
          <w:rtl/>
        </w:rPr>
        <w:t xml:space="preserve"> </w:t>
      </w:r>
    </w:p>
    <w:p w14:paraId="0EEF72DA" w14:textId="77777777" w:rsidR="00CE4A67" w:rsidRDefault="00CE4A67" w:rsidP="00CE4A67">
      <w:pPr>
        <w:pStyle w:val="a9"/>
        <w:spacing w:line="330" w:lineRule="atLeast"/>
        <w:ind w:hanging="360"/>
        <w:jc w:val="both"/>
        <w:rPr>
          <w:rtl/>
        </w:rPr>
      </w:pPr>
      <w:r>
        <w:rPr>
          <w:rFonts w:ascii="David" w:hAnsi="David"/>
          <w:color w:val="000000"/>
          <w:rtl/>
        </w:rPr>
        <w:t>17.</w:t>
      </w:r>
      <w:r w:rsidR="00146B08">
        <w:rPr>
          <w:color w:val="000000"/>
          <w:sz w:val="14"/>
          <w:szCs w:val="14"/>
          <w:rtl/>
        </w:rPr>
        <w:t xml:space="preserve">   </w:t>
      </w:r>
      <w:r>
        <w:rPr>
          <w:rFonts w:ascii="David" w:hAnsi="David"/>
          <w:color w:val="000000"/>
          <w:rtl/>
        </w:rPr>
        <w:t>משנדחתה הבקשה לביטול הרשעה, יש לגזור את דינו של הנאשם. בהתאם לאמות המידה של תיקון 113 ל</w:t>
      </w:r>
      <w:hyperlink r:id="rId30" w:history="1">
        <w:r w:rsidR="00146B08" w:rsidRPr="00146B08">
          <w:rPr>
            <w:color w:val="0000FF"/>
            <w:u w:val="single"/>
            <w:rtl/>
          </w:rPr>
          <w:t>חוק העונשין</w:t>
        </w:r>
      </w:hyperlink>
      <w:r>
        <w:rPr>
          <w:rFonts w:ascii="David" w:hAnsi="David"/>
          <w:color w:val="000000"/>
          <w:rtl/>
        </w:rPr>
        <w:t>.</w:t>
      </w:r>
      <w:r>
        <w:rPr>
          <w:rFonts w:ascii="Calibri" w:hAnsi="Calibri" w:cs="Calibri"/>
          <w:color w:val="000000"/>
          <w:sz w:val="22"/>
          <w:szCs w:val="22"/>
          <w:rtl/>
        </w:rPr>
        <w:t xml:space="preserve"> </w:t>
      </w:r>
      <w:r>
        <w:rPr>
          <w:rtl/>
        </w:rPr>
        <w:t xml:space="preserve">בענייננו אין מחלוקת בין הצדדים כי מדובר באירוע אחד, חד פעמי, של סיוע </w:t>
      </w:r>
      <w:r>
        <w:rPr>
          <w:rFonts w:hint="cs"/>
          <w:rtl/>
        </w:rPr>
        <w:t>ל</w:t>
      </w:r>
      <w:r>
        <w:rPr>
          <w:rtl/>
        </w:rPr>
        <w:t>מכירת סם מסוכן והפרעה לשוטר , ומכאן שבהתאם לאמות המידה שנקבעו ב</w:t>
      </w:r>
      <w:hyperlink r:id="rId31" w:history="1">
        <w:r w:rsidR="00146B08" w:rsidRPr="00146B08">
          <w:rPr>
            <w:color w:val="0000FF"/>
            <w:u w:val="single"/>
            <w:rtl/>
          </w:rPr>
          <w:t>ע"פ 4910/13</w:t>
        </w:r>
      </w:hyperlink>
      <w:r>
        <w:rPr>
          <w:rFonts w:ascii="Calibri" w:hAnsi="Calibri"/>
          <w:rtl/>
        </w:rPr>
        <w:t xml:space="preserve"> </w:t>
      </w:r>
      <w:r>
        <w:rPr>
          <w:rFonts w:ascii="Calibri" w:hAnsi="Calibri"/>
          <w:b/>
          <w:bCs/>
          <w:rtl/>
        </w:rPr>
        <w:t>ג'אבר נ' מדינת ישראל</w:t>
      </w:r>
      <w:r>
        <w:rPr>
          <w:rFonts w:ascii="Calibri" w:hAnsi="Calibri"/>
          <w:rtl/>
        </w:rPr>
        <w:t xml:space="preserve"> (29.10.2014)</w:t>
      </w:r>
      <w:r>
        <w:rPr>
          <w:rtl/>
        </w:rPr>
        <w:t xml:space="preserve"> יש לקבוע מתחם ענישה אחד. אבחן, אפוא, </w:t>
      </w:r>
      <w:r>
        <w:rPr>
          <w:rFonts w:ascii="David" w:hAnsi="David"/>
          <w:color w:val="000000"/>
          <w:rtl/>
        </w:rPr>
        <w:t xml:space="preserve"> את הערכים החברתיים אשר נפגעו מביצוע העבירות ומידת הפגיעה בהם; מדיניות הענישה הנוהגת; והנסיבות הקשורות בביצוע העבירה. </w:t>
      </w:r>
    </w:p>
    <w:p w14:paraId="1315CD9F" w14:textId="77777777" w:rsidR="00CE4A67" w:rsidRDefault="00CE4A67" w:rsidP="00CE4A67">
      <w:pPr>
        <w:pStyle w:val="a9"/>
        <w:spacing w:line="360" w:lineRule="auto"/>
        <w:jc w:val="both"/>
        <w:rPr>
          <w:rtl/>
        </w:rPr>
      </w:pPr>
    </w:p>
    <w:p w14:paraId="467DF79F" w14:textId="77777777" w:rsidR="00CE4A67" w:rsidRDefault="00CE4A67" w:rsidP="00CE4A67">
      <w:pPr>
        <w:ind w:left="360"/>
        <w:rPr>
          <w:rFonts w:ascii="David" w:hAnsi="David"/>
          <w:u w:val="single"/>
        </w:rPr>
      </w:pPr>
    </w:p>
    <w:p w14:paraId="699164B4" w14:textId="77777777" w:rsidR="00CE4A67" w:rsidRDefault="00CE4A67" w:rsidP="00CE4A67">
      <w:pPr>
        <w:ind w:left="360"/>
        <w:rPr>
          <w:rFonts w:ascii="David" w:hAnsi="David"/>
          <w:u w:val="single"/>
          <w:rtl/>
        </w:rPr>
      </w:pPr>
      <w:r>
        <w:rPr>
          <w:rFonts w:ascii="David" w:hAnsi="David"/>
          <w:u w:val="single"/>
          <w:rtl/>
        </w:rPr>
        <w:t>קביעת מתחם העונש ההולם</w:t>
      </w:r>
    </w:p>
    <w:p w14:paraId="09D13459" w14:textId="77777777" w:rsidR="00CE4A67" w:rsidRDefault="00CE4A67" w:rsidP="00CE4A67">
      <w:pPr>
        <w:ind w:left="360"/>
        <w:rPr>
          <w:rFonts w:ascii="David" w:hAnsi="David"/>
          <w:u w:val="single"/>
          <w:rtl/>
        </w:rPr>
      </w:pPr>
    </w:p>
    <w:p w14:paraId="39D1DD79" w14:textId="77777777" w:rsidR="00CE4A67" w:rsidRDefault="00CE4A67" w:rsidP="00CE4A67">
      <w:pPr>
        <w:pStyle w:val="a9"/>
        <w:rPr>
          <w:rFonts w:ascii="David" w:hAnsi="David"/>
          <w:u w:val="single"/>
          <w:rtl/>
        </w:rPr>
      </w:pPr>
    </w:p>
    <w:p w14:paraId="432A4C10" w14:textId="77777777" w:rsidR="00CE4A67" w:rsidRDefault="00CE4A67" w:rsidP="00CE4A67">
      <w:pPr>
        <w:pStyle w:val="a9"/>
        <w:numPr>
          <w:ilvl w:val="0"/>
          <w:numId w:val="1"/>
        </w:numPr>
        <w:spacing w:line="360" w:lineRule="auto"/>
        <w:jc w:val="both"/>
        <w:rPr>
          <w:rFonts w:ascii="Calibri" w:hAnsi="Calibri"/>
          <w:rtl/>
        </w:rPr>
      </w:pPr>
      <w:r>
        <w:rPr>
          <w:rtl/>
        </w:rPr>
        <w:t xml:space="preserve">כאמור הנאשם הורשע בסיוע למכירת סם מסוכן מסוג קנבוס. כפי שחזרו בתי המשפט וקבעו פעמים רבות, הערך החברתי העומד </w:t>
      </w:r>
      <w:r>
        <w:rPr>
          <w:rFonts w:ascii="Calibri" w:hAnsi="Calibri"/>
          <w:rtl/>
        </w:rPr>
        <w:t>ביסוד עבירות הסמים הוא מניעת פגיעה בשלום הציבור, בבריאותו ובשלומו הפיסי והנפשי וכן החשש מפגיעה בסדר הציבורי. בצד זה, מבקשת אכיפתן של עבירות הסמים להגן על הציבור גם מפני הנזקים העקיפים שמקורם בפשיעה הנלווית לעבירות הסם, הכוללת לא פעם עבירות אלימות ועבירות רכוש הפוגעות בביטחון האישי ובקניין (</w:t>
      </w:r>
      <w:hyperlink r:id="rId32" w:history="1">
        <w:r w:rsidR="00146B08" w:rsidRPr="00146B08">
          <w:rPr>
            <w:rFonts w:ascii="Calibri" w:hAnsi="Calibri" w:hint="eastAsia"/>
            <w:color w:val="0000FF"/>
            <w:u w:val="single"/>
            <w:rtl/>
          </w:rPr>
          <w:t>ע</w:t>
        </w:r>
        <w:r w:rsidR="00146B08" w:rsidRPr="00146B08">
          <w:rPr>
            <w:rFonts w:ascii="Calibri" w:hAnsi="Calibri"/>
            <w:color w:val="0000FF"/>
            <w:u w:val="single"/>
            <w:rtl/>
          </w:rPr>
          <w:t>"</w:t>
        </w:r>
        <w:r w:rsidR="00146B08" w:rsidRPr="00146B08">
          <w:rPr>
            <w:rFonts w:ascii="Calibri" w:hAnsi="Calibri" w:hint="eastAsia"/>
            <w:color w:val="0000FF"/>
            <w:u w:val="single"/>
            <w:rtl/>
          </w:rPr>
          <w:t>פ</w:t>
        </w:r>
        <w:r w:rsidR="00146B08" w:rsidRPr="00146B08">
          <w:rPr>
            <w:rFonts w:ascii="Calibri" w:hAnsi="Calibri"/>
            <w:color w:val="0000FF"/>
            <w:u w:val="single"/>
            <w:rtl/>
          </w:rPr>
          <w:t xml:space="preserve"> 6747/11</w:t>
        </w:r>
      </w:hyperlink>
      <w:r>
        <w:rPr>
          <w:rFonts w:ascii="Calibri" w:hAnsi="Calibri"/>
          <w:rtl/>
        </w:rPr>
        <w:t xml:space="preserve"> </w:t>
      </w:r>
      <w:r>
        <w:rPr>
          <w:rFonts w:ascii="Calibri" w:hAnsi="Calibri"/>
          <w:b/>
          <w:bCs/>
          <w:rtl/>
        </w:rPr>
        <w:t>מדינת ישראל נ' אבו רקייק</w:t>
      </w:r>
      <w:r>
        <w:rPr>
          <w:rFonts w:ascii="Calibri" w:hAnsi="Calibri"/>
          <w:rtl/>
        </w:rPr>
        <w:t xml:space="preserve"> (3.1.2013); </w:t>
      </w:r>
      <w:hyperlink r:id="rId33" w:history="1">
        <w:r w:rsidR="00146B08" w:rsidRPr="00146B08">
          <w:rPr>
            <w:rFonts w:ascii="Calibri" w:hAnsi="Calibri" w:hint="eastAsia"/>
            <w:color w:val="0000FF"/>
            <w:u w:val="single"/>
            <w:rtl/>
          </w:rPr>
          <w:t>ע</w:t>
        </w:r>
        <w:r w:rsidR="00146B08" w:rsidRPr="00146B08">
          <w:rPr>
            <w:rFonts w:ascii="Calibri" w:hAnsi="Calibri"/>
            <w:color w:val="0000FF"/>
            <w:u w:val="single"/>
            <w:rtl/>
          </w:rPr>
          <w:t>"</w:t>
        </w:r>
        <w:r w:rsidR="00146B08" w:rsidRPr="00146B08">
          <w:rPr>
            <w:rFonts w:ascii="Calibri" w:hAnsi="Calibri" w:hint="eastAsia"/>
            <w:color w:val="0000FF"/>
            <w:u w:val="single"/>
            <w:rtl/>
          </w:rPr>
          <w:t>פ</w:t>
        </w:r>
        <w:r w:rsidR="00146B08" w:rsidRPr="00146B08">
          <w:rPr>
            <w:rFonts w:ascii="Calibri" w:hAnsi="Calibri"/>
            <w:color w:val="0000FF"/>
            <w:u w:val="single"/>
            <w:rtl/>
          </w:rPr>
          <w:t xml:space="preserve"> 972/11</w:t>
        </w:r>
      </w:hyperlink>
      <w:r>
        <w:rPr>
          <w:rFonts w:ascii="Calibri" w:hAnsi="Calibri"/>
          <w:rtl/>
        </w:rPr>
        <w:t xml:space="preserve"> </w:t>
      </w:r>
      <w:r>
        <w:rPr>
          <w:rFonts w:ascii="Calibri" w:hAnsi="Calibri"/>
          <w:b/>
          <w:bCs/>
          <w:rtl/>
        </w:rPr>
        <w:t>מדינת ישראל נ' יונה</w:t>
      </w:r>
      <w:r>
        <w:rPr>
          <w:rFonts w:ascii="Calibri" w:hAnsi="Calibri"/>
          <w:rtl/>
        </w:rPr>
        <w:t xml:space="preserve"> (4.7.2012); </w:t>
      </w:r>
      <w:hyperlink r:id="rId34" w:history="1">
        <w:r w:rsidR="00146B08" w:rsidRPr="00146B08">
          <w:rPr>
            <w:rFonts w:ascii="Calibri" w:hAnsi="Calibri" w:hint="eastAsia"/>
            <w:color w:val="0000FF"/>
            <w:u w:val="single"/>
            <w:rtl/>
          </w:rPr>
          <w:t>ע</w:t>
        </w:r>
        <w:r w:rsidR="00146B08" w:rsidRPr="00146B08">
          <w:rPr>
            <w:rFonts w:ascii="Calibri" w:hAnsi="Calibri"/>
            <w:color w:val="0000FF"/>
            <w:u w:val="single"/>
            <w:rtl/>
          </w:rPr>
          <w:t>"</w:t>
        </w:r>
        <w:r w:rsidR="00146B08" w:rsidRPr="00146B08">
          <w:rPr>
            <w:rFonts w:ascii="Calibri" w:hAnsi="Calibri" w:hint="eastAsia"/>
            <w:color w:val="0000FF"/>
            <w:u w:val="single"/>
            <w:rtl/>
          </w:rPr>
          <w:t>פ</w:t>
        </w:r>
        <w:r w:rsidR="00146B08" w:rsidRPr="00146B08">
          <w:rPr>
            <w:rFonts w:ascii="Calibri" w:hAnsi="Calibri"/>
            <w:color w:val="0000FF"/>
            <w:u w:val="single"/>
            <w:rtl/>
          </w:rPr>
          <w:t xml:space="preserve"> 575/88</w:t>
        </w:r>
      </w:hyperlink>
      <w:r>
        <w:rPr>
          <w:rFonts w:ascii="Calibri" w:hAnsi="Calibri"/>
          <w:rtl/>
        </w:rPr>
        <w:t xml:space="preserve"> </w:t>
      </w:r>
      <w:r>
        <w:rPr>
          <w:rFonts w:ascii="Calibri" w:hAnsi="Calibri"/>
          <w:b/>
          <w:bCs/>
          <w:rtl/>
        </w:rPr>
        <w:t>עודה נ' מדינת ישראל</w:t>
      </w:r>
      <w:r>
        <w:rPr>
          <w:rFonts w:ascii="Calibri" w:hAnsi="Calibri"/>
          <w:rtl/>
        </w:rPr>
        <w:t>, פ"ד מב (4) 242 (1988)). חומרה מיוחדת שמורה למי שמבצע סחר בסמים. אכן, לסוחר הסמים תפקיד מרכזי בשרשרת הפצת הסם, והוא תואר לא אחת גם כמי שמניע מעגלי עבריינות נוספים. כפי שנאמר ב</w:t>
      </w:r>
      <w:hyperlink r:id="rId35" w:history="1">
        <w:r w:rsidR="00146B08" w:rsidRPr="00146B08">
          <w:rPr>
            <w:rFonts w:ascii="Calibri" w:hAnsi="Calibri" w:hint="eastAsia"/>
            <w:color w:val="0000FF"/>
            <w:u w:val="single"/>
            <w:rtl/>
          </w:rPr>
          <w:t>ע</w:t>
        </w:r>
        <w:r w:rsidR="00146B08" w:rsidRPr="00146B08">
          <w:rPr>
            <w:rFonts w:ascii="Calibri" w:hAnsi="Calibri"/>
            <w:color w:val="0000FF"/>
            <w:u w:val="single"/>
            <w:rtl/>
          </w:rPr>
          <w:t>"</w:t>
        </w:r>
        <w:r w:rsidR="00146B08" w:rsidRPr="00146B08">
          <w:rPr>
            <w:rFonts w:ascii="Calibri" w:hAnsi="Calibri" w:hint="eastAsia"/>
            <w:color w:val="0000FF"/>
            <w:u w:val="single"/>
            <w:rtl/>
          </w:rPr>
          <w:t>פ</w:t>
        </w:r>
        <w:r w:rsidR="00146B08" w:rsidRPr="00146B08">
          <w:rPr>
            <w:rFonts w:ascii="Calibri" w:hAnsi="Calibri"/>
            <w:color w:val="0000FF"/>
            <w:u w:val="single"/>
            <w:rtl/>
          </w:rPr>
          <w:t xml:space="preserve"> 4484/05</w:t>
        </w:r>
      </w:hyperlink>
      <w:r>
        <w:rPr>
          <w:rFonts w:ascii="Calibri" w:hAnsi="Calibri"/>
          <w:rtl/>
        </w:rPr>
        <w:t xml:space="preserve"> </w:t>
      </w:r>
      <w:r>
        <w:rPr>
          <w:rFonts w:ascii="Calibri" w:hAnsi="Calibri"/>
          <w:b/>
          <w:bCs/>
          <w:rtl/>
        </w:rPr>
        <w:t>שגב נ' מדינת ישראל</w:t>
      </w:r>
      <w:r>
        <w:rPr>
          <w:rFonts w:ascii="Calibri" w:hAnsi="Calibri"/>
          <w:rtl/>
        </w:rPr>
        <w:t xml:space="preserve"> (8.8.2006) –  </w:t>
      </w:r>
    </w:p>
    <w:p w14:paraId="48B4EB3D" w14:textId="77777777" w:rsidR="00CE4A67" w:rsidRDefault="00CE4A67" w:rsidP="00CE4A67">
      <w:pPr>
        <w:pStyle w:val="a9"/>
        <w:spacing w:line="360" w:lineRule="auto"/>
        <w:jc w:val="both"/>
        <w:rPr>
          <w:rFonts w:ascii="Calibri" w:hAnsi="Calibri"/>
          <w:rtl/>
        </w:rPr>
      </w:pPr>
    </w:p>
    <w:p w14:paraId="5FB14C70" w14:textId="77777777" w:rsidR="00CE4A67" w:rsidRDefault="00CE4A67" w:rsidP="00CE4A67">
      <w:pPr>
        <w:ind w:left="1076" w:right="993"/>
        <w:jc w:val="both"/>
        <w:rPr>
          <w:rFonts w:ascii="David" w:hAnsi="David"/>
          <w:rtl/>
        </w:rPr>
      </w:pPr>
      <w:r>
        <w:rPr>
          <w:rFonts w:ascii="David" w:hAnsi="David"/>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2FCE5741" w14:textId="77777777" w:rsidR="00CE4A67" w:rsidRDefault="00CE4A67" w:rsidP="00CE4A67">
      <w:pPr>
        <w:pStyle w:val="a9"/>
        <w:spacing w:line="360" w:lineRule="auto"/>
        <w:jc w:val="both"/>
        <w:rPr>
          <w:rFonts w:ascii="Calibri" w:hAnsi="Calibri"/>
        </w:rPr>
      </w:pPr>
    </w:p>
    <w:p w14:paraId="19F6280A" w14:textId="77777777" w:rsidR="00CE4A67" w:rsidRDefault="00CE4A67" w:rsidP="00CE4A67">
      <w:pPr>
        <w:pStyle w:val="a9"/>
        <w:numPr>
          <w:ilvl w:val="0"/>
          <w:numId w:val="1"/>
        </w:numPr>
        <w:spacing w:line="360" w:lineRule="auto"/>
        <w:jc w:val="both"/>
        <w:rPr>
          <w:rFonts w:ascii="Calibri" w:hAnsi="Calibri"/>
          <w:rtl/>
        </w:rPr>
      </w:pPr>
      <w:r>
        <w:rPr>
          <w:rFonts w:ascii="Calibri" w:hAnsi="Calibri"/>
          <w:rtl/>
        </w:rPr>
        <w:t>בדומה, צוין ב</w:t>
      </w:r>
      <w:hyperlink r:id="rId36" w:history="1">
        <w:r w:rsidR="00146B08" w:rsidRPr="00146B08">
          <w:rPr>
            <w:rFonts w:ascii="Calibri" w:hAnsi="Calibri" w:hint="eastAsia"/>
            <w:color w:val="0000FF"/>
            <w:u w:val="single"/>
            <w:rtl/>
          </w:rPr>
          <w:t>ע</w:t>
        </w:r>
        <w:r w:rsidR="00146B08" w:rsidRPr="00146B08">
          <w:rPr>
            <w:rFonts w:ascii="Calibri" w:hAnsi="Calibri"/>
            <w:color w:val="0000FF"/>
            <w:u w:val="single"/>
            <w:rtl/>
          </w:rPr>
          <w:t>"</w:t>
        </w:r>
        <w:r w:rsidR="00146B08" w:rsidRPr="00146B08">
          <w:rPr>
            <w:rFonts w:ascii="Calibri" w:hAnsi="Calibri" w:hint="eastAsia"/>
            <w:color w:val="0000FF"/>
            <w:u w:val="single"/>
            <w:rtl/>
          </w:rPr>
          <w:t>פ</w:t>
        </w:r>
        <w:r w:rsidR="00146B08" w:rsidRPr="00146B08">
          <w:rPr>
            <w:rFonts w:ascii="Calibri" w:hAnsi="Calibri"/>
            <w:color w:val="0000FF"/>
            <w:u w:val="single"/>
            <w:rtl/>
          </w:rPr>
          <w:t xml:space="preserve"> 8988/16</w:t>
        </w:r>
      </w:hyperlink>
      <w:r>
        <w:rPr>
          <w:rFonts w:ascii="Calibri" w:hAnsi="Calibri"/>
          <w:rtl/>
        </w:rPr>
        <w:t xml:space="preserve"> </w:t>
      </w:r>
      <w:r>
        <w:rPr>
          <w:rFonts w:ascii="Calibri" w:hAnsi="Calibri"/>
          <w:b/>
          <w:bCs/>
          <w:rtl/>
        </w:rPr>
        <w:t>בן סימון נ' מדינת ישראל</w:t>
      </w:r>
      <w:r>
        <w:rPr>
          <w:rFonts w:ascii="Calibri" w:hAnsi="Calibri"/>
          <w:rtl/>
        </w:rPr>
        <w:t xml:space="preserve"> (8.3.2017) – </w:t>
      </w:r>
    </w:p>
    <w:p w14:paraId="136ACFCB" w14:textId="77777777" w:rsidR="00CE4A67" w:rsidRDefault="00CE4A67" w:rsidP="00CE4A67">
      <w:pPr>
        <w:pStyle w:val="a9"/>
        <w:tabs>
          <w:tab w:val="left" w:pos="3103"/>
        </w:tabs>
        <w:spacing w:line="360" w:lineRule="auto"/>
        <w:jc w:val="both"/>
        <w:rPr>
          <w:rFonts w:ascii="Calibri" w:hAnsi="Calibri"/>
          <w:rtl/>
        </w:rPr>
      </w:pPr>
      <w:r>
        <w:rPr>
          <w:rFonts w:ascii="Calibri" w:hAnsi="Calibri"/>
          <w:rtl/>
        </w:rPr>
        <w:tab/>
      </w:r>
    </w:p>
    <w:p w14:paraId="03B24F27" w14:textId="77777777" w:rsidR="00CE4A67" w:rsidRDefault="00CE4A67" w:rsidP="00CE4A67">
      <w:pPr>
        <w:ind w:left="1076" w:right="993"/>
        <w:jc w:val="both"/>
        <w:rPr>
          <w:rFonts w:ascii="David" w:hAnsi="David"/>
        </w:rPr>
      </w:pPr>
      <w:r>
        <w:rPr>
          <w:rFonts w:ascii="David" w:hAnsi="David"/>
          <w:rtl/>
        </w:rPr>
        <w:t>ההלכה בעניין עבירות סמים קובעת כי נוכח חומרתן הרבה של אותן העבירות יש להתמודד מולן באמצעות ענישה משמעותית ומרתיעה...כי יש לבכר את שיקולי ההרתעה על השיקולים האישיים בעבירות מסוג זה... וכי יש חשיבות בענישה כלכלית בעבירות סמים שעיקרן הוא בצע כסף.</w:t>
      </w:r>
    </w:p>
    <w:p w14:paraId="6A934BAE" w14:textId="77777777" w:rsidR="00CE4A67" w:rsidRDefault="00CE4A67" w:rsidP="00CE4A67">
      <w:pPr>
        <w:ind w:right="993"/>
        <w:jc w:val="both"/>
        <w:rPr>
          <w:rFonts w:ascii="David" w:hAnsi="David"/>
        </w:rPr>
      </w:pPr>
    </w:p>
    <w:p w14:paraId="2FCB3B1D" w14:textId="77777777" w:rsidR="00CE4A67" w:rsidRDefault="00CE4A67" w:rsidP="00CE4A67">
      <w:pPr>
        <w:ind w:right="993"/>
        <w:jc w:val="both"/>
        <w:rPr>
          <w:rFonts w:ascii="David" w:hAnsi="David"/>
          <w:rtl/>
        </w:rPr>
      </w:pPr>
    </w:p>
    <w:p w14:paraId="22A78667" w14:textId="77777777" w:rsidR="00CE4A67" w:rsidRDefault="00CE4A67" w:rsidP="00CE4A67">
      <w:pPr>
        <w:pStyle w:val="a9"/>
        <w:numPr>
          <w:ilvl w:val="0"/>
          <w:numId w:val="1"/>
        </w:numPr>
        <w:spacing w:line="360" w:lineRule="auto"/>
        <w:jc w:val="both"/>
        <w:rPr>
          <w:rFonts w:ascii="Calibri" w:hAnsi="Calibri"/>
        </w:rPr>
      </w:pPr>
      <w:r>
        <w:rPr>
          <w:rFonts w:ascii="Calibri" w:hAnsi="Calibri"/>
          <w:rtl/>
        </w:rPr>
        <w:t xml:space="preserve">לכך יש להוסיף כי הגם שקנאביס אינו מן הסמים הקשים ביותר, פקודת הסמים והפסיקה שיישמה אותה, אינן עורכות הבחנות בין סוג סם אחד למשנהו, והכלל הוא כי "סחר בסמים הוא סחר בסמים" – </w:t>
      </w:r>
    </w:p>
    <w:p w14:paraId="0FDBE01B" w14:textId="77777777" w:rsidR="00CE4A67" w:rsidRDefault="00CE4A67" w:rsidP="00CE4A67">
      <w:pPr>
        <w:pStyle w:val="a9"/>
        <w:spacing w:line="360" w:lineRule="auto"/>
        <w:jc w:val="both"/>
        <w:rPr>
          <w:rFonts w:ascii="Calibri" w:hAnsi="Calibri"/>
        </w:rPr>
      </w:pPr>
    </w:p>
    <w:p w14:paraId="0131389D" w14:textId="77777777" w:rsidR="00CE4A67" w:rsidRDefault="00CE4A67" w:rsidP="00CE4A67">
      <w:pPr>
        <w:ind w:left="1076" w:right="993"/>
        <w:jc w:val="both"/>
        <w:rPr>
          <w:rFonts w:ascii="David" w:hAnsi="David"/>
          <w:rtl/>
        </w:rPr>
      </w:pPr>
      <w:r>
        <w:rPr>
          <w:rFonts w:ascii="FrankRuehl" w:hAnsi="FrankRuehl" w:cs="FrankRuehl"/>
          <w:color w:val="000000"/>
          <w:spacing w:val="10"/>
          <w:sz w:val="28"/>
          <w:szCs w:val="28"/>
        </w:rPr>
        <w:t xml:space="preserve"> </w:t>
      </w:r>
      <w:r>
        <w:rPr>
          <w:rFonts w:ascii="David" w:hAnsi="David"/>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Pr>
          <w:rFonts w:ascii="David" w:hAnsi="David"/>
        </w:rPr>
        <w:t>.</w:t>
      </w:r>
      <w:r>
        <w:rPr>
          <w:rFonts w:ascii="David" w:hAnsi="David"/>
          <w:rtl/>
        </w:rPr>
        <w:t xml:space="preserve"> </w:t>
      </w:r>
      <w:r>
        <w:rPr>
          <w:rFonts w:ascii="David" w:hAnsi="David" w:hint="cs"/>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hyperlink r:id="rId37" w:history="1">
        <w:r w:rsidR="00146B08" w:rsidRPr="00146B08">
          <w:rPr>
            <w:rFonts w:ascii="David" w:hAnsi="David"/>
            <w:color w:val="0000FF"/>
            <w:u w:val="single"/>
            <w:rtl/>
          </w:rPr>
          <w:t>ע"פ 2596/18</w:t>
        </w:r>
      </w:hyperlink>
      <w:r>
        <w:rPr>
          <w:rFonts w:ascii="David" w:hAnsi="David" w:hint="cs"/>
          <w:rtl/>
        </w:rPr>
        <w:t xml:space="preserve"> ‏ </w:t>
      </w:r>
      <w:r>
        <w:rPr>
          <w:rFonts w:ascii="David" w:hAnsi="David" w:hint="cs"/>
          <w:b/>
          <w:bCs/>
          <w:rtl/>
        </w:rPr>
        <w:t>זנזורי נ' מדינת ישראל</w:t>
      </w:r>
      <w:r>
        <w:rPr>
          <w:rFonts w:ascii="David" w:hAnsi="David" w:hint="cs"/>
          <w:rtl/>
        </w:rPr>
        <w:t xml:space="preserve">, פסקה 8 (12.8.2018); ראו גם </w:t>
      </w:r>
      <w:hyperlink r:id="rId38" w:history="1">
        <w:r w:rsidR="00146B08" w:rsidRPr="00146B08">
          <w:rPr>
            <w:rFonts w:ascii="David" w:hAnsi="David"/>
            <w:color w:val="0000FF"/>
            <w:u w:val="single"/>
            <w:rtl/>
          </w:rPr>
          <w:t>ע"פ 6299/20</w:t>
        </w:r>
      </w:hyperlink>
      <w:r>
        <w:rPr>
          <w:rFonts w:ascii="David" w:hAnsi="David" w:hint="cs"/>
          <w:rtl/>
        </w:rPr>
        <w:t xml:space="preserve"> </w:t>
      </w:r>
      <w:r>
        <w:rPr>
          <w:rFonts w:ascii="David" w:hAnsi="David" w:hint="cs"/>
          <w:b/>
          <w:bCs/>
          <w:rtl/>
        </w:rPr>
        <w:t>חן נ' מדינת ישראל</w:t>
      </w:r>
      <w:r>
        <w:rPr>
          <w:rFonts w:ascii="David" w:hAnsi="David" w:hint="cs"/>
          <w:rtl/>
        </w:rPr>
        <w:t xml:space="preserve"> (4.2.2021); השוו: </w:t>
      </w:r>
      <w:hyperlink r:id="rId39" w:history="1">
        <w:r w:rsidR="00146B08" w:rsidRPr="00146B08">
          <w:rPr>
            <w:rFonts w:ascii="David" w:hAnsi="David"/>
            <w:color w:val="0000FF"/>
            <w:u w:val="single"/>
            <w:rtl/>
          </w:rPr>
          <w:t>בש"פ 8640/20</w:t>
        </w:r>
      </w:hyperlink>
      <w:r>
        <w:rPr>
          <w:rFonts w:ascii="David" w:hAnsi="David"/>
        </w:rPr>
        <w:t xml:space="preserve"> </w:t>
      </w:r>
      <w:r>
        <w:rPr>
          <w:rFonts w:ascii="David" w:hAnsi="David"/>
          <w:b/>
          <w:bCs/>
          <w:rtl/>
        </w:rPr>
        <w:t>אבו קרינאת נ' מדינת ישראל</w:t>
      </w:r>
      <w:r>
        <w:rPr>
          <w:rFonts w:ascii="David" w:hAnsi="David"/>
          <w:rtl/>
        </w:rPr>
        <w:t xml:space="preserve"> </w:t>
      </w:r>
      <w:r>
        <w:rPr>
          <w:rFonts w:ascii="David" w:hAnsi="David"/>
        </w:rPr>
        <w:t>(23.12.2020)</w:t>
      </w:r>
      <w:r>
        <w:rPr>
          <w:rFonts w:ascii="David" w:hAnsi="David"/>
          <w:rtl/>
        </w:rPr>
        <w:t xml:space="preserve">). </w:t>
      </w:r>
    </w:p>
    <w:p w14:paraId="5855997A" w14:textId="77777777" w:rsidR="00CE4A67" w:rsidRDefault="00CE4A67" w:rsidP="00CE4A67">
      <w:pPr>
        <w:ind w:right="993"/>
        <w:jc w:val="both"/>
        <w:rPr>
          <w:rFonts w:ascii="David" w:hAnsi="David"/>
          <w:rtl/>
        </w:rPr>
      </w:pPr>
    </w:p>
    <w:p w14:paraId="66EDD13C" w14:textId="77777777" w:rsidR="00CE4A67" w:rsidRDefault="00CE4A67" w:rsidP="00CE4A67">
      <w:pPr>
        <w:pStyle w:val="a9"/>
        <w:numPr>
          <w:ilvl w:val="0"/>
          <w:numId w:val="1"/>
        </w:numPr>
        <w:spacing w:line="360" w:lineRule="atLeast"/>
        <w:jc w:val="both"/>
        <w:rPr>
          <w:rFonts w:ascii="David" w:hAnsi="David"/>
          <w:color w:val="000000"/>
          <w:sz w:val="27"/>
          <w:szCs w:val="27"/>
          <w:rtl/>
        </w:rPr>
      </w:pPr>
      <w:r>
        <w:rPr>
          <w:rtl/>
        </w:rPr>
        <w:t>אשר לעבירה של הפרעה לשוטר בעת מילוי תפקידו, הערכים המוגנים בעבירה זו הם שמירה על הסדר הציבורי ועל יכולת גורמי אכיפת החוק לבצע את תפקידם</w:t>
      </w:r>
      <w:r>
        <w:rPr>
          <w:rFonts w:ascii="David" w:hAnsi="David"/>
          <w:color w:val="000000"/>
          <w:sz w:val="27"/>
          <w:szCs w:val="27"/>
          <w:rtl/>
        </w:rPr>
        <w:t>.</w:t>
      </w:r>
    </w:p>
    <w:p w14:paraId="4C80D006" w14:textId="77777777" w:rsidR="00CE4A67" w:rsidRDefault="00CE4A67" w:rsidP="00CE4A67">
      <w:pPr>
        <w:pStyle w:val="a9"/>
        <w:spacing w:line="360" w:lineRule="auto"/>
        <w:jc w:val="both"/>
        <w:rPr>
          <w:rFonts w:ascii="Calibri" w:hAnsi="Calibri"/>
        </w:rPr>
      </w:pPr>
    </w:p>
    <w:p w14:paraId="04B95F3C" w14:textId="77777777" w:rsidR="00CE4A67" w:rsidRDefault="00CE4A67" w:rsidP="00CE4A67">
      <w:pPr>
        <w:pStyle w:val="a9"/>
        <w:numPr>
          <w:ilvl w:val="0"/>
          <w:numId w:val="1"/>
        </w:numPr>
        <w:spacing w:line="360" w:lineRule="auto"/>
        <w:jc w:val="both"/>
        <w:rPr>
          <w:rFonts w:ascii="Calibri" w:hAnsi="Calibri"/>
        </w:rPr>
      </w:pPr>
      <w:r>
        <w:rPr>
          <w:rtl/>
        </w:rPr>
        <w:t>הפגיעה בערכים האמורים בענייננו – אף שאין לומר שעוצמתה נמוכה, גם אין לומר שהיא מצויה ברף העליון. מדובר באירוע חד פעמי של מכירת סם בכמות שאינה גבוהה ביותר, וכנגד תמורה של 450 ש"ח. יתרה מכך, בהתאם לתיאור העובדתי של מהלך העסקה בכתב האישום, חלקו של הנאשם היה הנמוך ביותר – לוגסי הוא שתיאם את הפגישה עם בקרמן, ובקרמן הוא שנטל את שלוש השקיות מתא הכפפות של המונית. ואכן, העבירה שיוחסה לנאשם היא עבירת סיוע. מבלי להקל ראש בעבירה זו, וכאמור ב"צורך להכות בכל אחת מחוליות הפצת הסם" (</w:t>
      </w:r>
      <w:hyperlink r:id="rId40" w:history="1">
        <w:r w:rsidR="00146B08" w:rsidRPr="00146B08">
          <w:rPr>
            <w:color w:val="0000FF"/>
            <w:u w:val="single"/>
            <w:rtl/>
          </w:rPr>
          <w:t>ע"פ 4484/05</w:t>
        </w:r>
      </w:hyperlink>
      <w:r w:rsidR="00146B08">
        <w:rPr>
          <w:rtl/>
        </w:rPr>
        <w:t xml:space="preserve"> </w:t>
      </w:r>
      <w:r>
        <w:rPr>
          <w:b/>
          <w:bCs/>
          <w:rtl/>
        </w:rPr>
        <w:t>גונן נ' מדינת ישראל</w:t>
      </w:r>
      <w:r>
        <w:rPr>
          <w:rtl/>
        </w:rPr>
        <w:t>, פסקה 6</w:t>
      </w:r>
      <w:r w:rsidR="00146B08">
        <w:rPr>
          <w:rtl/>
        </w:rPr>
        <w:t xml:space="preserve"> </w:t>
      </w:r>
      <w:r>
        <w:rPr>
          <w:rtl/>
        </w:rPr>
        <w:t xml:space="preserve">(8.8.2006)), גם כאשר מדובר בשותף זוטר בלבד, הרשעה בעבירת סיוע מלמדת שהנאשם לא ניצב במעגל הפנימי של העבירה, לא היה בעל שליטה פונקציונאלית בביצועה וחלקו בביצוע העבירה התבטא בעיקרו בעזרה חיצונית (לאמות המידה להבחנה בין מבצע בצוותא למסייע, ראו </w:t>
      </w:r>
      <w:hyperlink r:id="rId41" w:history="1">
        <w:r w:rsidR="00146B08" w:rsidRPr="00146B08">
          <w:rPr>
            <w:rFonts w:ascii="David" w:hAnsi="David"/>
            <w:color w:val="0000FF"/>
            <w:u w:val="single"/>
            <w:rtl/>
          </w:rPr>
          <w:t>ע"פ 875/12</w:t>
        </w:r>
      </w:hyperlink>
      <w:r>
        <w:rPr>
          <w:rFonts w:ascii="David" w:hAnsi="David"/>
          <w:rtl/>
        </w:rPr>
        <w:t xml:space="preserve"> </w:t>
      </w:r>
      <w:r>
        <w:rPr>
          <w:rFonts w:ascii="David" w:hAnsi="David"/>
          <w:b/>
          <w:bCs/>
          <w:rtl/>
        </w:rPr>
        <w:t>אבו טהא נ' מדינת ישראל</w:t>
      </w:r>
      <w:r>
        <w:rPr>
          <w:rFonts w:ascii="David" w:hAnsi="David"/>
          <w:rtl/>
        </w:rPr>
        <w:t>, פסקה 29 (7.1.2013)</w:t>
      </w:r>
      <w:r>
        <w:rPr>
          <w:rFonts w:ascii="Calibri" w:hAnsi="Calibri"/>
          <w:rtl/>
        </w:rPr>
        <w:t xml:space="preserve">). </w:t>
      </w:r>
    </w:p>
    <w:p w14:paraId="5687273C" w14:textId="77777777" w:rsidR="00CE4A67" w:rsidRDefault="00CE4A67" w:rsidP="00CE4A67">
      <w:pPr>
        <w:pStyle w:val="a9"/>
      </w:pPr>
    </w:p>
    <w:p w14:paraId="19F9099B" w14:textId="77777777" w:rsidR="00CE4A67" w:rsidRDefault="00CE4A67" w:rsidP="00CE4A67">
      <w:pPr>
        <w:pStyle w:val="a9"/>
        <w:numPr>
          <w:ilvl w:val="0"/>
          <w:numId w:val="1"/>
        </w:numPr>
        <w:spacing w:line="360" w:lineRule="auto"/>
        <w:jc w:val="both"/>
        <w:rPr>
          <w:rtl/>
        </w:rPr>
      </w:pPr>
      <w:r>
        <w:rPr>
          <w:rtl/>
        </w:rPr>
        <w:t>בצד האמור יש לתת את הדעת למספר נסיבות הקשורות בביצוע העבירה. בתוך כך, יש לציין שעבירת סחר בסמים כרוכה מעצם טיבה בתיאום ובתכנון, והדבר משתקף בפועל בעובדות המתוארות במקרה דנן. עוד יש לתת את הדעת לתכלית הכלכלית העומדת לרוב ביסוד עבירה זו, הגם שבנסיבות העניין משקלה מוגבל יחסית, באין אינדיקציה לכך שהתמורה הגיעה לידי הנאשם עצמו. מנגד, כאמור, יש לתת משקל לחלקו היחסי הנמוך של הנאשם בביצוע העבירה. אשר לעבירת ההפרעה לשוטר במילוי תפקידו, אף שאין להקל ראש בעובדה שהנאשם נסע במהירות בתגובה לקריאות "משטרה" מתוך העובדות המתוארות נראה כי אין מדובר במהלך מתוכנן, אלא בתגובה ספונטנית לנסיבות מידיות, דבר המפחית במידת מה מחומרת המעשים.</w:t>
      </w:r>
    </w:p>
    <w:p w14:paraId="01F24CDD" w14:textId="77777777" w:rsidR="00CE4A67" w:rsidRDefault="00CE4A67" w:rsidP="00CE4A67">
      <w:pPr>
        <w:pStyle w:val="a9"/>
        <w:spacing w:line="360" w:lineRule="auto"/>
        <w:jc w:val="both"/>
      </w:pPr>
    </w:p>
    <w:p w14:paraId="477B6DB0" w14:textId="77777777" w:rsidR="00CE4A67" w:rsidRDefault="00CE4A67" w:rsidP="00CE4A67">
      <w:pPr>
        <w:pStyle w:val="a9"/>
        <w:numPr>
          <w:ilvl w:val="0"/>
          <w:numId w:val="1"/>
        </w:numPr>
        <w:spacing w:line="360" w:lineRule="auto"/>
        <w:jc w:val="both"/>
      </w:pPr>
      <w:r>
        <w:rPr>
          <w:rtl/>
        </w:rPr>
        <w:t xml:space="preserve">אשר למדיניות הענישה, חלק מפסקי הדין שצירפו הצדדים נוגעים לענישה שהוטלה על מי שהורשעו בביצוע עבירת סחר בסמים, ולא כמסייעים כבמקרה שבענייננו. ככלל, רף הענישה הנוהג למקרה בודד של סחר בקנאבוס במשקל נמוך ובתמורה לסכום קטן, נע בין טווח של מספר חודשי מאסר שיכול וירוצו בעבודות שירות ועד ל-10 חודשי מאסר (ראו </w:t>
      </w:r>
      <w:hyperlink r:id="rId42" w:history="1">
        <w:r w:rsidR="00146B08" w:rsidRPr="00146B08">
          <w:rPr>
            <w:color w:val="0000FF"/>
            <w:u w:val="single"/>
            <w:rtl/>
          </w:rPr>
          <w:t>רע"פ 8695/19</w:t>
        </w:r>
      </w:hyperlink>
      <w:r w:rsidR="00146B08">
        <w:t xml:space="preserve"> </w:t>
      </w:r>
      <w:r>
        <w:rPr>
          <w:b/>
          <w:bCs/>
          <w:rtl/>
        </w:rPr>
        <w:t>פסו נ' מדינת ישראל</w:t>
      </w:r>
      <w:r w:rsidR="00146B08">
        <w:rPr>
          <w:rtl/>
        </w:rPr>
        <w:t xml:space="preserve"> </w:t>
      </w:r>
      <w:r>
        <w:rPr>
          <w:rtl/>
        </w:rPr>
        <w:t xml:space="preserve">(5.1.2020); </w:t>
      </w:r>
      <w:hyperlink r:id="rId43" w:history="1">
        <w:r w:rsidR="00146B08" w:rsidRPr="00146B08">
          <w:rPr>
            <w:color w:val="0000FF"/>
            <w:u w:val="single"/>
            <w:rtl/>
          </w:rPr>
          <w:t>ת"פ (של' ראשל"צ) 63584-03-18</w:t>
        </w:r>
      </w:hyperlink>
      <w:r>
        <w:rPr>
          <w:rtl/>
        </w:rPr>
        <w:t xml:space="preserve"> </w:t>
      </w:r>
      <w:r>
        <w:rPr>
          <w:b/>
          <w:bCs/>
          <w:rtl/>
        </w:rPr>
        <w:t>מדינת ישראל נ' קרדי</w:t>
      </w:r>
      <w:r>
        <w:rPr>
          <w:rtl/>
        </w:rPr>
        <w:t xml:space="preserve"> (11.2.2020)). לפי </w:t>
      </w:r>
      <w:hyperlink r:id="rId44" w:history="1">
        <w:r w:rsidR="00C65044" w:rsidRPr="00C65044">
          <w:rPr>
            <w:rStyle w:val="Hyperlink"/>
            <w:color w:val="0000FF"/>
            <w:rtl/>
          </w:rPr>
          <w:t>סעיף 32</w:t>
        </w:r>
      </w:hyperlink>
      <w:r>
        <w:rPr>
          <w:rtl/>
        </w:rPr>
        <w:t xml:space="preserve"> ל</w:t>
      </w:r>
      <w:hyperlink r:id="rId45" w:history="1">
        <w:r w:rsidR="00146B08" w:rsidRPr="00146B08">
          <w:rPr>
            <w:color w:val="0000FF"/>
            <w:u w:val="single"/>
            <w:rtl/>
          </w:rPr>
          <w:t>חוק העונשין</w:t>
        </w:r>
      </w:hyperlink>
      <w:r>
        <w:rPr>
          <w:rtl/>
        </w:rPr>
        <w:t>, העונש בגין עבירת הסיוע עומד על מחצית העונש המוטל על מי שמורשע בעבירה כמבצע ישיר. עם זאת, כידוע, ענישה אינה עניין אריתמטי, והעונש שיוטל במקרה בודד ייגזר ממכלול הנסיבות הרלוונטי למקרה שבנדון. נעמוד, עתה, אפוא, על מספר גזרי דין שחולקים עם ענייננו כמה מאפיינים משותפים.</w:t>
      </w:r>
    </w:p>
    <w:p w14:paraId="652BC3A4" w14:textId="77777777" w:rsidR="00CE4A67" w:rsidRDefault="00CE4A67" w:rsidP="00CE4A67">
      <w:pPr>
        <w:pStyle w:val="a9"/>
        <w:rPr>
          <w:rtl/>
        </w:rPr>
      </w:pPr>
    </w:p>
    <w:p w14:paraId="5AFD5F17" w14:textId="77777777" w:rsidR="00CE4A67" w:rsidRDefault="00CE4A67" w:rsidP="00CE4A67">
      <w:pPr>
        <w:rPr>
          <w:b/>
          <w:bCs/>
          <w:u w:val="single"/>
          <w:rtl/>
        </w:rPr>
      </w:pPr>
    </w:p>
    <w:p w14:paraId="4535E081" w14:textId="77777777" w:rsidR="00CE4A67" w:rsidRDefault="00CE4A67" w:rsidP="00CE4A67">
      <w:pPr>
        <w:pStyle w:val="1"/>
        <w:numPr>
          <w:ilvl w:val="0"/>
          <w:numId w:val="2"/>
        </w:numPr>
        <w:spacing w:after="200"/>
        <w:rPr>
          <w:rFonts w:ascii="David" w:hAnsi="David"/>
          <w:rtl/>
        </w:rPr>
      </w:pPr>
      <w:r>
        <w:rPr>
          <w:rFonts w:ascii="David" w:hAnsi="David"/>
          <w:rtl/>
        </w:rPr>
        <w:t>ב</w:t>
      </w:r>
      <w:hyperlink r:id="rId46" w:history="1">
        <w:r w:rsidR="00146B08" w:rsidRPr="00146B08">
          <w:rPr>
            <w:rFonts w:ascii="David" w:hAnsi="David"/>
            <w:color w:val="0000FF"/>
            <w:u w:val="single"/>
            <w:rtl/>
          </w:rPr>
          <w:t>רע"פ 1623/14</w:t>
        </w:r>
      </w:hyperlink>
      <w:r>
        <w:rPr>
          <w:rFonts w:ascii="David" w:hAnsi="David"/>
          <w:rtl/>
        </w:rPr>
        <w:t xml:space="preserve"> </w:t>
      </w:r>
      <w:r>
        <w:rPr>
          <w:rFonts w:ascii="David" w:hAnsi="David"/>
          <w:b/>
          <w:bCs/>
          <w:rtl/>
        </w:rPr>
        <w:t>סיראג נ' מדינת ישראל</w:t>
      </w:r>
      <w:r>
        <w:rPr>
          <w:rFonts w:ascii="David" w:hAnsi="David"/>
          <w:rtl/>
        </w:rPr>
        <w:t xml:space="preserve"> (1.4.2014), נדון עניינו של מי שהורשע בשתי עבירות של סיוע לסחר בסם מסוכן, בכך שסייע לאחר למכור לסוכן משטרתי חצי פלטת חשיש במחיר של 1,300 ₪. בית המשפט קבע כי מתחם העונש ההולם נע בין מאסר קצר שניתן לרצות בעבודות שירות לבין מאסר בפועל לתקופה קצרה. לבסוף, מטעמי שיקום חרג בית המשפט מן המתחם שנקבע והשית על הנאשם צו של"צ, קנס בסך 2,000 ₪ ומאסר מותנה.</w:t>
      </w:r>
    </w:p>
    <w:p w14:paraId="3EF284F6" w14:textId="77777777" w:rsidR="00CE4A67" w:rsidRDefault="00CE4A67" w:rsidP="00CE4A67"/>
    <w:p w14:paraId="78E3B1DF" w14:textId="77777777" w:rsidR="00CE4A67" w:rsidRDefault="00CE4A67" w:rsidP="00CE4A67">
      <w:pPr>
        <w:pStyle w:val="1"/>
        <w:numPr>
          <w:ilvl w:val="0"/>
          <w:numId w:val="2"/>
        </w:numPr>
        <w:spacing w:after="200"/>
        <w:rPr>
          <w:rFonts w:ascii="David" w:hAnsi="David"/>
          <w:b/>
          <w:bCs/>
          <w:rtl/>
        </w:rPr>
      </w:pPr>
      <w:r>
        <w:rPr>
          <w:rFonts w:ascii="David" w:hAnsi="David"/>
          <w:rtl/>
        </w:rPr>
        <w:t>ב</w:t>
      </w:r>
      <w:hyperlink r:id="rId47" w:history="1">
        <w:r w:rsidR="00146B08" w:rsidRPr="00146B08">
          <w:rPr>
            <w:rFonts w:ascii="David" w:hAnsi="David"/>
            <w:color w:val="0000FF"/>
            <w:u w:val="single"/>
            <w:rtl/>
          </w:rPr>
          <w:t>עפ"ג 53901-05-15</w:t>
        </w:r>
      </w:hyperlink>
      <w:r>
        <w:rPr>
          <w:color w:val="000000"/>
          <w:rtl/>
        </w:rPr>
        <w:t xml:space="preserve"> </w:t>
      </w:r>
      <w:r>
        <w:rPr>
          <w:rFonts w:ascii="David" w:hAnsi="David"/>
          <w:b/>
          <w:bCs/>
          <w:rtl/>
        </w:rPr>
        <w:t>איטאח נ' מדינת ישראל</w:t>
      </w:r>
      <w:r>
        <w:rPr>
          <w:rFonts w:ascii="David" w:hAnsi="David"/>
          <w:rtl/>
        </w:rPr>
        <w:t xml:space="preserve"> (20.7.2015), </w:t>
      </w:r>
      <w:r>
        <w:rPr>
          <w:rtl/>
        </w:rPr>
        <w:t xml:space="preserve">נדון עניינה של מי שהורשעה, </w:t>
      </w:r>
      <w:r>
        <w:rPr>
          <w:rFonts w:ascii="David" w:hAnsi="David"/>
          <w:rtl/>
        </w:rPr>
        <w:t>במסגרת הסדר טיעון, בעבירות של סיוע לסחר בסם מסוכן וסיוע להחזקת סם שלא לצריכה עצמית. לפי עובדות כתב האישום, במהלך מספר חודשים סייעה הנאשמת לאחר לסחור בסמים מסוכנים מסוג חשיש ומריחואנה, בכך שהסיעה אותו מספר פעמים ברכבה למקומות אליהם הוא כיוון אותה, ושם הוא סחר בסמים. תמורת כל הסעה קיבלה הנאשמת סך של 400 ₪. נקבע מתחם עונש הולם הנע בין 6 חודשי מאסר שניתנים לריצוי בעבודות שירות לבין 18 חודשי מאסר. לנוכח שיקולי שיקום, בית המשפט סטה לקולה ממתחם העונש ההולם, הותיר את הרשעת הנאשמת על כנה, וגזר עליה צו מבחן וצו שירות לתועלת הציבור.</w:t>
      </w:r>
    </w:p>
    <w:p w14:paraId="522BB66A" w14:textId="77777777" w:rsidR="00CE4A67" w:rsidRDefault="00CE4A67" w:rsidP="00CE4A67"/>
    <w:p w14:paraId="7201EAD4" w14:textId="77777777" w:rsidR="00CE4A67" w:rsidRDefault="00CE4A67" w:rsidP="00CE4A67">
      <w:pPr>
        <w:pStyle w:val="1"/>
        <w:numPr>
          <w:ilvl w:val="0"/>
          <w:numId w:val="2"/>
        </w:numPr>
        <w:spacing w:after="200"/>
        <w:rPr>
          <w:b/>
          <w:bCs/>
          <w:sz w:val="26"/>
          <w:szCs w:val="26"/>
          <w:rtl/>
        </w:rPr>
      </w:pPr>
      <w:r>
        <w:rPr>
          <w:rFonts w:ascii="David" w:hAnsi="David"/>
          <w:rtl/>
        </w:rPr>
        <w:t>ב</w:t>
      </w:r>
      <w:hyperlink r:id="rId48" w:history="1">
        <w:r w:rsidR="00146B08" w:rsidRPr="00146B08">
          <w:rPr>
            <w:rFonts w:hint="cs"/>
            <w:color w:val="0000FF"/>
            <w:u w:val="single"/>
            <w:rtl/>
          </w:rPr>
          <w:t>ת</w:t>
        </w:r>
        <w:r w:rsidR="00146B08" w:rsidRPr="00146B08">
          <w:rPr>
            <w:color w:val="0000FF"/>
            <w:u w:val="single"/>
            <w:rtl/>
          </w:rPr>
          <w:t>"</w:t>
        </w:r>
        <w:r w:rsidR="00146B08" w:rsidRPr="00146B08">
          <w:rPr>
            <w:rFonts w:hint="cs"/>
            <w:color w:val="0000FF"/>
            <w:u w:val="single"/>
            <w:rtl/>
          </w:rPr>
          <w:t>פ</w:t>
        </w:r>
        <w:r w:rsidR="00146B08" w:rsidRPr="00146B08">
          <w:rPr>
            <w:color w:val="0000FF"/>
            <w:u w:val="single"/>
            <w:rtl/>
          </w:rPr>
          <w:t xml:space="preserve"> 22435-01-15</w:t>
        </w:r>
      </w:hyperlink>
      <w:r>
        <w:rPr>
          <w:rtl/>
        </w:rPr>
        <w:t xml:space="preserve"> </w:t>
      </w:r>
      <w:r>
        <w:rPr>
          <w:b/>
          <w:bCs/>
          <w:rtl/>
        </w:rPr>
        <w:t>מדינת ישראל נ' שעיב</w:t>
      </w:r>
      <w:r>
        <w:rPr>
          <w:sz w:val="22"/>
          <w:rtl/>
        </w:rPr>
        <w:t xml:space="preserve"> </w:t>
      </w:r>
      <w:r>
        <w:rPr>
          <w:rtl/>
        </w:rPr>
        <w:t>(16.2.2016), נדון עניינה של מי שהורשעה על פי הודאתה בעבירה של סיוע לסחר בסם מסוכן. באישום הראשון –  בגין מכירת 8.38 גרם קוקאין תמורת סך 4,500 ₪ לסוכן משטרתי. חלקה בביצוע העבירה היה בכך שהסיעה את המבצע העיקרי לחניון בו בוצעה העסקה. נקבע כי מתחם העונש ההולם נע בין מספר חודשי מאסר שיכול שירוצו בעבודות שירות לבין 12 חודשי מאסר בפועל. על הנאשמת, נעדרת עבר פלילי, הושתו 5 חודשי מאסר לריצוי בעבודות שירות ומאסרים מותנים, תוך שבית המשפט התחשב בהודאתה, גילה הצעיר (בת 29), ונסיבות אישיות נוספות לרבות הריונה.</w:t>
      </w:r>
    </w:p>
    <w:p w14:paraId="4E9ABD8D" w14:textId="77777777" w:rsidR="00CE4A67" w:rsidRDefault="00CE4A67" w:rsidP="00CE4A67">
      <w:pPr>
        <w:pStyle w:val="1"/>
        <w:spacing w:after="200"/>
        <w:ind w:left="1352" w:firstLine="0"/>
        <w:rPr>
          <w:b/>
          <w:bCs/>
          <w:sz w:val="26"/>
          <w:szCs w:val="26"/>
        </w:rPr>
      </w:pPr>
    </w:p>
    <w:p w14:paraId="2166B1DA" w14:textId="77777777" w:rsidR="00CE4A67" w:rsidRDefault="00CE4A67" w:rsidP="00CE4A67">
      <w:pPr>
        <w:pStyle w:val="1"/>
        <w:numPr>
          <w:ilvl w:val="0"/>
          <w:numId w:val="2"/>
        </w:numPr>
        <w:spacing w:after="200"/>
      </w:pPr>
      <w:r>
        <w:rPr>
          <w:sz w:val="26"/>
          <w:szCs w:val="26"/>
          <w:rtl/>
        </w:rPr>
        <w:t>ב</w:t>
      </w:r>
      <w:hyperlink r:id="rId49" w:history="1">
        <w:r w:rsidR="00146B08" w:rsidRPr="00146B08">
          <w:rPr>
            <w:rFonts w:hint="cs"/>
            <w:color w:val="0000FF"/>
            <w:sz w:val="26"/>
            <w:szCs w:val="26"/>
            <w:u w:val="single"/>
            <w:rtl/>
          </w:rPr>
          <w:t>ת</w:t>
        </w:r>
        <w:r w:rsidR="00146B08" w:rsidRPr="00146B08">
          <w:rPr>
            <w:color w:val="0000FF"/>
            <w:sz w:val="26"/>
            <w:szCs w:val="26"/>
            <w:u w:val="single"/>
            <w:rtl/>
          </w:rPr>
          <w:t>"</w:t>
        </w:r>
        <w:r w:rsidR="00146B08" w:rsidRPr="00146B08">
          <w:rPr>
            <w:rFonts w:hint="cs"/>
            <w:color w:val="0000FF"/>
            <w:sz w:val="26"/>
            <w:szCs w:val="26"/>
            <w:u w:val="single"/>
            <w:rtl/>
          </w:rPr>
          <w:t>פ</w:t>
        </w:r>
        <w:r w:rsidR="00146B08" w:rsidRPr="00146B08">
          <w:rPr>
            <w:color w:val="0000FF"/>
            <w:sz w:val="26"/>
            <w:szCs w:val="26"/>
            <w:u w:val="single"/>
            <w:rtl/>
          </w:rPr>
          <w:t xml:space="preserve"> 20393-02-20</w:t>
        </w:r>
      </w:hyperlink>
      <w:r>
        <w:rPr>
          <w:sz w:val="26"/>
          <w:szCs w:val="26"/>
          <w:rtl/>
        </w:rPr>
        <w:t xml:space="preserve"> </w:t>
      </w:r>
      <w:r w:rsidRPr="00AD18DA">
        <w:rPr>
          <w:b/>
          <w:bCs/>
          <w:rtl/>
        </w:rPr>
        <w:t>מדינת ישראל נ' עיסא</w:t>
      </w:r>
      <w:r w:rsidRPr="00AD18DA">
        <w:rPr>
          <w:sz w:val="22"/>
          <w:szCs w:val="22"/>
          <w:rtl/>
        </w:rPr>
        <w:t xml:space="preserve"> </w:t>
      </w:r>
      <w:r>
        <w:rPr>
          <w:rtl/>
        </w:rPr>
        <w:t>(16.2.2022)</w:t>
      </w:r>
      <w:r>
        <w:rPr>
          <w:b/>
          <w:bCs/>
          <w:sz w:val="26"/>
          <w:szCs w:val="26"/>
          <w:rtl/>
        </w:rPr>
        <w:t xml:space="preserve"> </w:t>
      </w:r>
      <w:r>
        <w:rPr>
          <w:rtl/>
        </w:rPr>
        <w:t>נדון עניינו של מי שהורשע על פי הודאתו בסיוע לסחר בסם מסוג קוקאין במשקל 1.4954 גרם לסוכן משטרה, במונית שבה נהג באותה עת. בית המשפט קבע כי משעה שהנאשם היה רק שליח לדבר עבירה באופן חד פעמי, יש להעמיד את מתחם העונש ההולם על טווח שבין מאסר בן חודש ימים בעבודות שירות ל-9 חודשי מאסר בפועל.</w:t>
      </w:r>
    </w:p>
    <w:p w14:paraId="7BC1B3AF" w14:textId="77777777" w:rsidR="00CE4A67" w:rsidRDefault="00CE4A67" w:rsidP="00CE4A67">
      <w:pPr>
        <w:pStyle w:val="1"/>
        <w:spacing w:after="200"/>
        <w:ind w:left="1352" w:firstLine="0"/>
        <w:jc w:val="left"/>
        <w:rPr>
          <w:b/>
          <w:bCs/>
          <w:sz w:val="26"/>
          <w:szCs w:val="26"/>
        </w:rPr>
      </w:pPr>
    </w:p>
    <w:p w14:paraId="51174951" w14:textId="77777777" w:rsidR="00CE4A67" w:rsidRPr="001D1E1B" w:rsidRDefault="00CE4A67" w:rsidP="00CE4A67">
      <w:pPr>
        <w:pStyle w:val="a9"/>
        <w:numPr>
          <w:ilvl w:val="0"/>
          <w:numId w:val="1"/>
        </w:numPr>
        <w:spacing w:line="360" w:lineRule="auto"/>
        <w:jc w:val="both"/>
        <w:rPr>
          <w:rFonts w:ascii="David" w:hAnsi="David"/>
          <w:b/>
          <w:bCs/>
          <w:u w:val="single"/>
        </w:rPr>
      </w:pPr>
      <w:r w:rsidRPr="001D1E1B">
        <w:rPr>
          <w:b/>
          <w:bCs/>
          <w:rtl/>
        </w:rPr>
        <w:t xml:space="preserve">על יסוד מכלול השיקולים שבנדון, מצאתי כי מתחם העונש ההולם נע בין </w:t>
      </w:r>
      <w:r w:rsidRPr="001D1E1B">
        <w:rPr>
          <w:rFonts w:ascii="David" w:hAnsi="David"/>
          <w:b/>
          <w:bCs/>
          <w:rtl/>
        </w:rPr>
        <w:t xml:space="preserve">מאסר קצר שניתן לרצות בעבודות שירות לבין </w:t>
      </w:r>
      <w:r w:rsidRPr="001D1E1B">
        <w:rPr>
          <w:rFonts w:ascii="David" w:hAnsi="David" w:hint="cs"/>
          <w:b/>
          <w:bCs/>
          <w:rtl/>
        </w:rPr>
        <w:t>שישה חודשי מאסר בפועל</w:t>
      </w:r>
      <w:r w:rsidRPr="001D1E1B">
        <w:rPr>
          <w:rFonts w:ascii="David" w:hAnsi="David"/>
          <w:b/>
          <w:bCs/>
          <w:rtl/>
        </w:rPr>
        <w:t>.</w:t>
      </w:r>
    </w:p>
    <w:p w14:paraId="0564954D" w14:textId="77777777" w:rsidR="00CE4A67" w:rsidRDefault="00CE4A67" w:rsidP="00CE4A67">
      <w:pPr>
        <w:pStyle w:val="a9"/>
        <w:spacing w:line="360" w:lineRule="auto"/>
        <w:jc w:val="both"/>
        <w:rPr>
          <w:rFonts w:ascii="David" w:hAnsi="David"/>
          <w:u w:val="single"/>
        </w:rPr>
      </w:pPr>
    </w:p>
    <w:p w14:paraId="7EC05B86" w14:textId="77777777" w:rsidR="00CE4A67" w:rsidRDefault="00CE4A67" w:rsidP="00CE4A67">
      <w:pPr>
        <w:pStyle w:val="a9"/>
        <w:rPr>
          <w:rtl/>
        </w:rPr>
      </w:pPr>
    </w:p>
    <w:p w14:paraId="3484187E" w14:textId="77777777" w:rsidR="00CE4A67" w:rsidRDefault="00CE4A67" w:rsidP="00CE4A67">
      <w:pPr>
        <w:spacing w:line="360" w:lineRule="auto"/>
        <w:rPr>
          <w:rFonts w:ascii="David" w:hAnsi="David"/>
          <w:u w:val="single"/>
          <w:rtl/>
        </w:rPr>
      </w:pPr>
      <w:r>
        <w:rPr>
          <w:rFonts w:ascii="David" w:hAnsi="David"/>
          <w:u w:val="single"/>
          <w:rtl/>
        </w:rPr>
        <w:t xml:space="preserve">קביעת העונש בתוך המתחם </w:t>
      </w:r>
    </w:p>
    <w:p w14:paraId="4AAC7A81" w14:textId="77777777" w:rsidR="00CE4A67" w:rsidRDefault="00CE4A67" w:rsidP="00CE4A67">
      <w:pPr>
        <w:spacing w:line="360" w:lineRule="auto"/>
        <w:rPr>
          <w:rFonts w:ascii="David" w:hAnsi="David"/>
          <w:u w:val="single"/>
          <w:rtl/>
        </w:rPr>
      </w:pPr>
    </w:p>
    <w:p w14:paraId="55E493CF" w14:textId="77777777" w:rsidR="00CE4A67" w:rsidRDefault="00CE4A67" w:rsidP="00CE4A67">
      <w:pPr>
        <w:pStyle w:val="a9"/>
        <w:numPr>
          <w:ilvl w:val="0"/>
          <w:numId w:val="1"/>
        </w:numPr>
        <w:spacing w:line="360" w:lineRule="auto"/>
        <w:jc w:val="both"/>
        <w:rPr>
          <w:rFonts w:ascii="David" w:hAnsi="David"/>
          <w:color w:val="000000"/>
          <w:rtl/>
        </w:rPr>
      </w:pPr>
      <w:r>
        <w:rPr>
          <w:rtl/>
        </w:rPr>
        <w:t xml:space="preserve">בעת קביעת העונש בתוך מתחם הענישה יש לתת את </w:t>
      </w:r>
      <w:r w:rsidRPr="00AD18DA">
        <w:rPr>
          <w:rtl/>
        </w:rPr>
        <w:t>הדעת, להודיית הנאשם בעבירות, לנטילת האחריות מצדו ולחרטה שהביע. אכן, להודיית</w:t>
      </w:r>
      <w:r>
        <w:rPr>
          <w:rtl/>
        </w:rPr>
        <w:t xml:space="preserve"> הנאשם חשיבות, הן במישור היעילות, החיסכון בזמן שיפוטי והשגת תוצאה מהירה; הן במובן זה שיש בהודייתו משום הפנמת חומרת המעשה, הבנת הפסול שבו ונכונות לשלם את המחיר. </w:t>
      </w:r>
      <w:r>
        <w:rPr>
          <w:rFonts w:ascii="David" w:hAnsi="David"/>
          <w:color w:val="000000"/>
          <w:rtl/>
        </w:rPr>
        <w:t xml:space="preserve">שיקול נוסף שיש להביא בחשבון הוא </w:t>
      </w:r>
      <w:r w:rsidRPr="00AD18DA">
        <w:rPr>
          <w:rFonts w:ascii="David" w:hAnsi="David"/>
          <w:color w:val="000000"/>
          <w:rtl/>
        </w:rPr>
        <w:t>העובדה שהנאשם נעדר עבר פלילי.</w:t>
      </w:r>
      <w:r>
        <w:rPr>
          <w:rFonts w:ascii="David" w:hAnsi="David"/>
          <w:color w:val="000000"/>
          <w:rtl/>
        </w:rPr>
        <w:t xml:space="preserve"> בנתון זה יש כדי לשמש שיקול מקל, הן בשל הסבירות כי בנסיבות אלה הוא לא ישוב ויבצע עבירות בעתיד, הן בשל ההנחה כי באין עבר פלילי, העבירה שבוצעה אינה משקפת דפוס התנהגות רווח. </w:t>
      </w:r>
    </w:p>
    <w:p w14:paraId="3D074A16" w14:textId="77777777" w:rsidR="00CE4A67" w:rsidRDefault="00CE4A67" w:rsidP="00CE4A67">
      <w:pPr>
        <w:pStyle w:val="a9"/>
        <w:spacing w:line="360" w:lineRule="auto"/>
        <w:jc w:val="both"/>
      </w:pPr>
    </w:p>
    <w:p w14:paraId="5BB1F852" w14:textId="77777777" w:rsidR="00CE4A67" w:rsidRDefault="00CE4A67" w:rsidP="00CE4A67">
      <w:pPr>
        <w:pStyle w:val="a9"/>
        <w:numPr>
          <w:ilvl w:val="0"/>
          <w:numId w:val="1"/>
        </w:numPr>
        <w:spacing w:line="360" w:lineRule="auto"/>
        <w:jc w:val="both"/>
        <w:rPr>
          <w:rFonts w:ascii="David" w:hAnsi="David"/>
          <w:color w:val="000000"/>
        </w:rPr>
      </w:pPr>
      <w:r>
        <w:rPr>
          <w:rFonts w:ascii="David" w:hAnsi="David"/>
          <w:color w:val="000000"/>
          <w:rtl/>
        </w:rPr>
        <w:t xml:space="preserve">שיקול שלישי שיש להביאו בחשבון בתוך מתחם הענישה </w:t>
      </w:r>
      <w:r w:rsidRPr="00AD18DA">
        <w:rPr>
          <w:rFonts w:ascii="David" w:hAnsi="David"/>
          <w:color w:val="000000"/>
          <w:rtl/>
        </w:rPr>
        <w:t>הוא סיכויי הרתעת היחיד והרבים כפועל יוצא של הענישה. לשיקול זה קיימת חשיבות מוגברת בעבירה</w:t>
      </w:r>
      <w:r>
        <w:rPr>
          <w:rFonts w:ascii="David" w:hAnsi="David"/>
          <w:color w:val="000000"/>
          <w:rtl/>
        </w:rPr>
        <w:t xml:space="preserve"> של סחר בסמים, הן בשל חומרתה היתרה של עבירה זו, הן בשל האפשרות כי נוכח המניע הכלכלי העומד </w:t>
      </w:r>
      <w:r>
        <w:rPr>
          <w:rFonts w:ascii="David" w:hAnsi="David" w:hint="cs"/>
          <w:color w:val="000000"/>
          <w:rtl/>
        </w:rPr>
        <w:t xml:space="preserve">לא אחת </w:t>
      </w:r>
      <w:r>
        <w:rPr>
          <w:rFonts w:ascii="David" w:hAnsi="David"/>
          <w:color w:val="000000"/>
          <w:rtl/>
        </w:rPr>
        <w:t xml:space="preserve">ביסודה, עשויה ענישה משמעותית להיות אפקטיבית. על יסוד שיקולים אלה אף נקבע לא פעם כי בעבירות מעין אלה, שיקולי הרתעה מקבלים את הבכורה וגוברים על שיקולים אישיים (ראו: </w:t>
      </w:r>
      <w:hyperlink r:id="rId50" w:history="1">
        <w:r w:rsidR="00146B08" w:rsidRPr="00146B08">
          <w:rPr>
            <w:rFonts w:ascii="David" w:hAnsi="David"/>
            <w:color w:val="0000FF"/>
            <w:u w:val="single"/>
            <w:rtl/>
          </w:rPr>
          <w:t>ע"פ 4295/15</w:t>
        </w:r>
      </w:hyperlink>
      <w:r>
        <w:rPr>
          <w:rFonts w:ascii="David" w:hAnsi="David"/>
          <w:color w:val="000000"/>
          <w:rtl/>
        </w:rPr>
        <w:t xml:space="preserve"> </w:t>
      </w:r>
      <w:r>
        <w:rPr>
          <w:rFonts w:ascii="David" w:hAnsi="David"/>
          <w:b/>
          <w:bCs/>
          <w:color w:val="000000"/>
          <w:rtl/>
        </w:rPr>
        <w:t>אלצאנע נ' מדינת ישראל</w:t>
      </w:r>
      <w:r>
        <w:rPr>
          <w:rFonts w:ascii="David" w:hAnsi="David"/>
          <w:color w:val="000000"/>
          <w:rtl/>
        </w:rPr>
        <w:t xml:space="preserve">,  פסקה 9 (2.5.2016); </w:t>
      </w:r>
      <w:hyperlink r:id="rId51" w:history="1">
        <w:r w:rsidR="00146B08" w:rsidRPr="00146B08">
          <w:rPr>
            <w:rFonts w:ascii="David" w:hAnsi="David"/>
            <w:color w:val="0000FF"/>
            <w:u w:val="single"/>
            <w:rtl/>
          </w:rPr>
          <w:t>ע"פ 3060/15</w:t>
        </w:r>
      </w:hyperlink>
      <w:r>
        <w:rPr>
          <w:rFonts w:ascii="David" w:hAnsi="David"/>
          <w:color w:val="000000"/>
          <w:rtl/>
        </w:rPr>
        <w:t xml:space="preserve"> </w:t>
      </w:r>
      <w:r>
        <w:rPr>
          <w:rFonts w:ascii="David" w:hAnsi="David"/>
          <w:b/>
          <w:bCs/>
          <w:color w:val="000000"/>
          <w:rtl/>
        </w:rPr>
        <w:t>אבו רגייג נ' מדינת ישראל</w:t>
      </w:r>
      <w:r>
        <w:rPr>
          <w:rFonts w:ascii="David" w:hAnsi="David"/>
          <w:color w:val="000000"/>
          <w:rtl/>
        </w:rPr>
        <w:t>,  פסקה 10 (21.7.2015)). כפי שציין בית המשפט ב</w:t>
      </w:r>
      <w:hyperlink r:id="rId52" w:history="1">
        <w:r w:rsidR="00146B08" w:rsidRPr="00146B08">
          <w:rPr>
            <w:rFonts w:ascii="David" w:hAnsi="David"/>
            <w:color w:val="0000FF"/>
            <w:u w:val="single"/>
            <w:rtl/>
          </w:rPr>
          <w:t>ע"פ 9482/09</w:t>
        </w:r>
      </w:hyperlink>
      <w:r>
        <w:rPr>
          <w:rFonts w:ascii="David" w:hAnsi="David"/>
          <w:color w:val="000000"/>
          <w:rtl/>
        </w:rPr>
        <w:t xml:space="preserve"> </w:t>
      </w:r>
      <w:r>
        <w:rPr>
          <w:rFonts w:ascii="David" w:hAnsi="David"/>
          <w:b/>
          <w:bCs/>
          <w:color w:val="000000"/>
          <w:rtl/>
        </w:rPr>
        <w:t>ביטון נ' מדינת ישראל</w:t>
      </w:r>
      <w:r>
        <w:rPr>
          <w:rFonts w:ascii="David" w:hAnsi="David"/>
          <w:color w:val="000000"/>
          <w:rtl/>
        </w:rPr>
        <w:t xml:space="preserve">  (24.7.2011) – </w:t>
      </w:r>
    </w:p>
    <w:p w14:paraId="559042D2" w14:textId="77777777" w:rsidR="00CE4A67" w:rsidRDefault="00CE4A67" w:rsidP="00CE4A67">
      <w:pPr>
        <w:pStyle w:val="ruller40"/>
        <w:bidi/>
        <w:spacing w:before="0" w:beforeAutospacing="0" w:after="0" w:afterAutospacing="0" w:line="330" w:lineRule="atLeast"/>
        <w:jc w:val="both"/>
        <w:rPr>
          <w:rFonts w:ascii="Arial TUR" w:hAnsi="Arial TUR" w:cs="Arial TUR"/>
          <w:color w:val="000000"/>
          <w:spacing w:val="10"/>
          <w:sz w:val="22"/>
          <w:szCs w:val="22"/>
          <w:rtl/>
        </w:rPr>
      </w:pPr>
      <w:r>
        <w:rPr>
          <w:rFonts w:ascii="FrankRuehl" w:hAnsi="FrankRuehl" w:cs="FrankRuehl"/>
          <w:color w:val="000000"/>
          <w:spacing w:val="10"/>
          <w:sz w:val="28"/>
          <w:szCs w:val="28"/>
          <w:rtl/>
        </w:rPr>
        <w:t xml:space="preserve"> </w:t>
      </w:r>
    </w:p>
    <w:p w14:paraId="1A6054BF" w14:textId="77777777" w:rsidR="00CE4A67" w:rsidRDefault="00CE4A67" w:rsidP="00CE4A67">
      <w:pPr>
        <w:ind w:left="1076" w:right="993"/>
        <w:jc w:val="both"/>
        <w:rPr>
          <w:rFonts w:ascii="David" w:hAnsi="David"/>
          <w:rtl/>
        </w:rPr>
      </w:pPr>
      <w:r>
        <w:rPr>
          <w:rFonts w:ascii="David" w:hAnsi="David"/>
          <w:rtl/>
        </w:rPr>
        <w:t>אכן, נגע הסמים הפוגע קשות בחברתנו מחייב מלחמת חורמה והעונשים שייגזרו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(שם, פסקה 24).</w:t>
      </w:r>
    </w:p>
    <w:p w14:paraId="7C9FF0C9" w14:textId="77777777" w:rsidR="00CE4A67" w:rsidRDefault="00CE4A67" w:rsidP="00CE4A67">
      <w:pPr>
        <w:ind w:left="1076" w:right="993"/>
        <w:jc w:val="both"/>
        <w:rPr>
          <w:rFonts w:ascii="David" w:hAnsi="David"/>
          <w:rtl/>
        </w:rPr>
      </w:pPr>
    </w:p>
    <w:p w14:paraId="1EE54136" w14:textId="77777777" w:rsidR="00CE4A67" w:rsidRDefault="00CE4A67" w:rsidP="00CE4A67">
      <w:pPr>
        <w:ind w:left="1076" w:right="993"/>
        <w:jc w:val="both"/>
        <w:rPr>
          <w:rFonts w:ascii="David" w:hAnsi="David"/>
          <w:rtl/>
        </w:rPr>
      </w:pPr>
    </w:p>
    <w:p w14:paraId="5C038790" w14:textId="77777777" w:rsidR="00CE4A67" w:rsidRDefault="00CE4A67" w:rsidP="00CE4A67">
      <w:pPr>
        <w:pStyle w:val="a9"/>
        <w:numPr>
          <w:ilvl w:val="0"/>
          <w:numId w:val="1"/>
        </w:numPr>
        <w:spacing w:line="360" w:lineRule="auto"/>
        <w:jc w:val="both"/>
        <w:rPr>
          <w:rFonts w:ascii="David" w:hAnsi="David"/>
          <w:color w:val="000000"/>
        </w:rPr>
      </w:pPr>
      <w:r>
        <w:rPr>
          <w:rFonts w:ascii="David" w:hAnsi="David"/>
          <w:color w:val="000000"/>
          <w:rtl/>
        </w:rPr>
        <w:t>הנאשם טען כי יש להקל בעונשו גם מטעמי שיקום. ברם, כדי שיינתן לטענה זו שיקול של ממש – בין אם בתוך מתחם הענישה או לצורך חריגה ממנו, על הנאשם להציג תשתית עובדתית מבוססת לסיכויי השיקום, ולא רק טענות בעלמא. בתוך כך, בפסיקה נסקרו שיקולים שונים שיובאו בחשבון בעת בחינת האפשרות לסטייה ממתחם הענישה משיקולי שיקום, ובכלל זה: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והבעת חרטה כנה על המעשים</w:t>
      </w:r>
      <w:r>
        <w:rPr>
          <w:rFonts w:ascii="David" w:hAnsi="David"/>
          <w:color w:val="000000"/>
        </w:rPr>
        <w:t>.</w:t>
      </w:r>
      <w:r>
        <w:rPr>
          <w:rFonts w:ascii="David" w:hAnsi="David"/>
          <w:color w:val="000000"/>
          <w:rtl/>
        </w:rPr>
        <w:t xml:space="preserve"> עוד צוין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hyperlink r:id="rId53" w:history="1">
        <w:r w:rsidR="00C65044" w:rsidRPr="00C65044">
          <w:rPr>
            <w:rStyle w:val="Hyperlink"/>
            <w:color w:val="0000FF"/>
            <w:rtl/>
          </w:rPr>
          <w:t>סעיף 40ד(א)</w:t>
        </w:r>
      </w:hyperlink>
      <w:r>
        <w:rPr>
          <w:rFonts w:ascii="David" w:hAnsi="David"/>
          <w:color w:val="000000"/>
          <w:rtl/>
        </w:rPr>
        <w:t xml:space="preserve"> ל</w:t>
      </w:r>
      <w:hyperlink r:id="rId54" w:history="1">
        <w:r w:rsidR="00146B08" w:rsidRPr="00146B08">
          <w:rPr>
            <w:rFonts w:ascii="David" w:hAnsi="David"/>
            <w:color w:val="0000FF"/>
            <w:u w:val="single"/>
            <w:rtl/>
          </w:rPr>
          <w:t>חוק העונשין</w:t>
        </w:r>
      </w:hyperlink>
      <w:r>
        <w:rPr>
          <w:rFonts w:ascii="David" w:hAnsi="David"/>
          <w:color w:val="000000"/>
          <w:rtl/>
        </w:rPr>
        <w:t>. דברים אלה זוכים למשנה חיזוק מקום בו מדובר באדם צעיר נעדר עבר פלילי" (</w:t>
      </w:r>
      <w:hyperlink r:id="rId55" w:history="1">
        <w:r w:rsidR="00146B08" w:rsidRPr="00146B08">
          <w:rPr>
            <w:rFonts w:ascii="David" w:hAnsi="David"/>
            <w:color w:val="0000FF"/>
            <w:u w:val="single"/>
            <w:rtl/>
          </w:rPr>
          <w:t>ע"פ 6637/17</w:t>
        </w:r>
      </w:hyperlink>
      <w:r>
        <w:rPr>
          <w:rFonts w:ascii="David" w:hAnsi="David"/>
          <w:color w:val="000000"/>
          <w:rtl/>
        </w:rPr>
        <w:t xml:space="preserve"> ‏</w:t>
      </w:r>
      <w:r>
        <w:rPr>
          <w:rFonts w:ascii="David" w:hAnsi="David"/>
          <w:b/>
          <w:bCs/>
          <w:color w:val="000000"/>
          <w:rtl/>
        </w:rPr>
        <w:t>קרנדל נ' מדינת ישראל</w:t>
      </w:r>
      <w:r>
        <w:rPr>
          <w:rFonts w:ascii="David" w:hAnsi="David"/>
          <w:color w:val="000000"/>
          <w:rtl/>
        </w:rPr>
        <w:t>, פסקה 25 (18.4.2018)).</w:t>
      </w:r>
    </w:p>
    <w:p w14:paraId="0E747C14" w14:textId="77777777" w:rsidR="00CE4A67" w:rsidRDefault="00CE4A67" w:rsidP="00CE4A67">
      <w:pPr>
        <w:pStyle w:val="a9"/>
        <w:spacing w:line="360" w:lineRule="auto"/>
        <w:jc w:val="both"/>
        <w:rPr>
          <w:rFonts w:ascii="David" w:hAnsi="David"/>
          <w:color w:val="000000"/>
        </w:rPr>
      </w:pPr>
    </w:p>
    <w:p w14:paraId="25C8B9CC" w14:textId="77777777" w:rsidR="00CE4A67" w:rsidRDefault="00CE4A67" w:rsidP="00CE4A67">
      <w:pPr>
        <w:pStyle w:val="a9"/>
        <w:numPr>
          <w:ilvl w:val="0"/>
          <w:numId w:val="1"/>
        </w:numPr>
        <w:spacing w:line="360" w:lineRule="auto"/>
        <w:jc w:val="both"/>
        <w:rPr>
          <w:rFonts w:ascii="Arial" w:hAnsi="Arial"/>
        </w:rPr>
      </w:pPr>
      <w:r>
        <w:rPr>
          <w:rFonts w:ascii="David" w:hAnsi="David"/>
          <w:color w:val="000000"/>
          <w:rtl/>
        </w:rPr>
        <w:t>כאמור, בענייננו נערכו בנוגע לנאשם שני תסקירים מטעם שירות המבחן. התסקיר האחרון  הצביע על כך שהנאשם אינו נוטל אחריות על מעשיו, ומשכך נמנע שירות המבחן מהמלצה שיקומית. לא הובא כל טעם שלא לקבל המלצה זו, הנעשית על-ידי אנשי מקצוע מיומנים בתחומם.</w:t>
      </w:r>
    </w:p>
    <w:p w14:paraId="208C993C" w14:textId="77777777" w:rsidR="00CE4A67" w:rsidRDefault="00CE4A67" w:rsidP="00CE4A67">
      <w:pPr>
        <w:pStyle w:val="a9"/>
        <w:rPr>
          <w:rFonts w:ascii="Arial" w:hAnsi="Arial"/>
        </w:rPr>
      </w:pPr>
    </w:p>
    <w:p w14:paraId="4CDF4945" w14:textId="77777777" w:rsidR="00CE4A67" w:rsidRDefault="00CE4A67" w:rsidP="00CE4A67">
      <w:pPr>
        <w:pStyle w:val="a9"/>
        <w:spacing w:line="360" w:lineRule="auto"/>
        <w:jc w:val="both"/>
        <w:rPr>
          <w:rFonts w:ascii="Arial" w:hAnsi="Arial"/>
          <w:rtl/>
        </w:rPr>
      </w:pPr>
    </w:p>
    <w:p w14:paraId="2D0AB7EE" w14:textId="77777777" w:rsidR="00CE4A67" w:rsidRDefault="00CE4A67" w:rsidP="00CE4A67">
      <w:pPr>
        <w:pStyle w:val="a9"/>
        <w:numPr>
          <w:ilvl w:val="0"/>
          <w:numId w:val="1"/>
        </w:numPr>
        <w:spacing w:line="360" w:lineRule="auto"/>
        <w:jc w:val="both"/>
        <w:rPr>
          <w:rFonts w:ascii="David" w:hAnsi="David"/>
          <w:b/>
          <w:bCs/>
          <w:color w:val="000000"/>
        </w:rPr>
      </w:pPr>
      <w:r>
        <w:rPr>
          <w:rFonts w:ascii="David" w:hAnsi="David"/>
          <w:color w:val="000000"/>
          <w:rtl/>
        </w:rPr>
        <w:t xml:space="preserve">על יסוד הדברים האלה מצאתי כי יש להעמיד את עונשו של הנאשם בחלקו התחתון של המתחם, ולגזור עליו </w:t>
      </w:r>
      <w:r>
        <w:rPr>
          <w:rFonts w:ascii="David" w:hAnsi="David"/>
          <w:b/>
          <w:bCs/>
          <w:color w:val="000000"/>
          <w:rtl/>
        </w:rPr>
        <w:t>שני</w:t>
      </w:r>
      <w:r>
        <w:rPr>
          <w:rFonts w:ascii="David" w:hAnsi="David"/>
          <w:color w:val="000000"/>
          <w:rtl/>
        </w:rPr>
        <w:t xml:space="preserve"> </w:t>
      </w:r>
      <w:r>
        <w:rPr>
          <w:rFonts w:ascii="David" w:hAnsi="David"/>
          <w:b/>
          <w:bCs/>
          <w:color w:val="000000"/>
          <w:rtl/>
        </w:rPr>
        <w:t>חודשי מאסר בפועל בדרך של עבודות שירות.</w:t>
      </w:r>
    </w:p>
    <w:p w14:paraId="0F3EF377" w14:textId="77777777" w:rsidR="00CE4A67" w:rsidRDefault="00CE4A67" w:rsidP="00CE4A67">
      <w:pPr>
        <w:pStyle w:val="a9"/>
        <w:spacing w:line="360" w:lineRule="auto"/>
        <w:jc w:val="both"/>
        <w:rPr>
          <w:rFonts w:ascii="David" w:hAnsi="David"/>
          <w:b/>
          <w:bCs/>
          <w:color w:val="000000"/>
        </w:rPr>
      </w:pPr>
    </w:p>
    <w:p w14:paraId="7D0ED313" w14:textId="77777777" w:rsidR="00CE4A67" w:rsidRDefault="00CE4A67" w:rsidP="00CE4A67">
      <w:pPr>
        <w:spacing w:line="360" w:lineRule="auto"/>
        <w:jc w:val="both"/>
        <w:rPr>
          <w:rFonts w:ascii="David" w:hAnsi="David"/>
          <w:b/>
          <w:bCs/>
          <w:color w:val="000000"/>
          <w:u w:val="single"/>
        </w:rPr>
      </w:pPr>
      <w:r>
        <w:rPr>
          <w:rFonts w:ascii="David" w:hAnsi="David"/>
          <w:b/>
          <w:bCs/>
          <w:color w:val="000000"/>
          <w:u w:val="single"/>
          <w:rtl/>
        </w:rPr>
        <w:t>עונש הקנס</w:t>
      </w:r>
    </w:p>
    <w:p w14:paraId="3CC47E9B" w14:textId="77777777" w:rsidR="00CE4A67" w:rsidRDefault="00CE4A67" w:rsidP="00CE4A67">
      <w:pPr>
        <w:spacing w:line="360" w:lineRule="auto"/>
        <w:jc w:val="both"/>
        <w:rPr>
          <w:rFonts w:ascii="David" w:hAnsi="David"/>
          <w:b/>
          <w:bCs/>
          <w:color w:val="000000"/>
          <w:rtl/>
        </w:rPr>
      </w:pPr>
    </w:p>
    <w:p w14:paraId="5939E024" w14:textId="77777777" w:rsidR="00CE4A67" w:rsidRPr="007B2FD4" w:rsidRDefault="00CE4A67" w:rsidP="00CE4A67">
      <w:pPr>
        <w:pStyle w:val="a9"/>
        <w:numPr>
          <w:ilvl w:val="0"/>
          <w:numId w:val="1"/>
        </w:numPr>
        <w:spacing w:line="360" w:lineRule="auto"/>
        <w:jc w:val="both"/>
        <w:rPr>
          <w:rFonts w:ascii="David" w:hAnsi="David"/>
          <w:b/>
          <w:bCs/>
          <w:color w:val="000000"/>
          <w:rtl/>
        </w:rPr>
      </w:pPr>
      <w:r>
        <w:rPr>
          <w:rFonts w:ascii="David" w:hAnsi="David"/>
          <w:color w:val="000000"/>
          <w:rtl/>
        </w:rPr>
        <w:t xml:space="preserve">בצד עתירת המאשימה לעונש בעבודות שירות, עותרת היא בנוסף לעונש קנס. אמנם, לא הובאה אינדיקציה בדבר תמורה שנתקבלה בגין מכירת הסמים, ואולם, כאמור, עבירות סמים מתבצעות ברגיל מתוך מניע כלכלי של בצע כסף, ומשכך קיימת חשיבות להטלת עונש קנס שיקים משקל נגד למוטיבציה שביסוד בעבירה, וישקף גם את חומרתה. </w:t>
      </w:r>
      <w:r w:rsidRPr="007B2FD4">
        <w:rPr>
          <w:rFonts w:ascii="David" w:hAnsi="David"/>
          <w:b/>
          <w:bCs/>
          <w:color w:val="000000"/>
          <w:rtl/>
        </w:rPr>
        <w:t xml:space="preserve">אני מטיל, אפוא, על הנאשם קנס על סך </w:t>
      </w:r>
      <w:r w:rsidRPr="007B2FD4">
        <w:rPr>
          <w:rFonts w:ascii="David" w:hAnsi="David" w:hint="cs"/>
          <w:b/>
          <w:bCs/>
          <w:color w:val="000000"/>
          <w:rtl/>
        </w:rPr>
        <w:t>2</w:t>
      </w:r>
      <w:r w:rsidRPr="007B2FD4">
        <w:rPr>
          <w:rFonts w:ascii="David" w:hAnsi="David"/>
          <w:b/>
          <w:bCs/>
          <w:color w:val="000000"/>
          <w:rtl/>
        </w:rPr>
        <w:t>,</w:t>
      </w:r>
      <w:r w:rsidRPr="007B2FD4">
        <w:rPr>
          <w:rFonts w:ascii="David" w:hAnsi="David" w:hint="cs"/>
          <w:b/>
          <w:bCs/>
          <w:color w:val="000000"/>
          <w:rtl/>
        </w:rPr>
        <w:t>0</w:t>
      </w:r>
      <w:r w:rsidRPr="007B2FD4">
        <w:rPr>
          <w:rFonts w:ascii="David" w:hAnsi="David"/>
          <w:b/>
          <w:bCs/>
          <w:color w:val="000000"/>
          <w:rtl/>
        </w:rPr>
        <w:t xml:space="preserve">00 ₪. </w:t>
      </w:r>
    </w:p>
    <w:p w14:paraId="1C58AB22" w14:textId="77777777" w:rsidR="00CE4A67" w:rsidRDefault="00CE4A67" w:rsidP="00CE4A67">
      <w:pPr>
        <w:spacing w:line="360" w:lineRule="auto"/>
        <w:jc w:val="both"/>
        <w:rPr>
          <w:rFonts w:ascii="David" w:hAnsi="David"/>
          <w:b/>
          <w:bCs/>
          <w:color w:val="000000"/>
          <w:rtl/>
        </w:rPr>
      </w:pPr>
    </w:p>
    <w:p w14:paraId="10A9F9F7" w14:textId="77777777" w:rsidR="00CE4A67" w:rsidRDefault="00CE4A67" w:rsidP="00CE4A67">
      <w:pPr>
        <w:pStyle w:val="ruller4"/>
        <w:bidi/>
        <w:spacing w:before="0" w:beforeAutospacing="0" w:after="0" w:afterAutospacing="0" w:line="330" w:lineRule="atLeast"/>
        <w:jc w:val="both"/>
        <w:rPr>
          <w:rFonts w:ascii="David" w:hAnsi="David" w:cs="David"/>
          <w:b/>
          <w:bCs/>
          <w:color w:val="000000"/>
          <w:u w:val="single"/>
          <w:rtl/>
        </w:rPr>
      </w:pPr>
      <w:r>
        <w:rPr>
          <w:rFonts w:ascii="David" w:hAnsi="David" w:cs="David"/>
          <w:b/>
          <w:bCs/>
          <w:color w:val="000000"/>
          <w:u w:val="single"/>
          <w:rtl/>
        </w:rPr>
        <w:t>סוף דבר</w:t>
      </w:r>
    </w:p>
    <w:p w14:paraId="63E73E90" w14:textId="77777777" w:rsidR="00CE4A67" w:rsidRDefault="00CE4A67" w:rsidP="00CE4A67">
      <w:pPr>
        <w:pStyle w:val="ruller4"/>
        <w:bidi/>
        <w:spacing w:before="0" w:beforeAutospacing="0" w:after="0" w:afterAutospacing="0" w:line="330" w:lineRule="atLeast"/>
        <w:jc w:val="both"/>
        <w:rPr>
          <w:rFonts w:ascii="David" w:hAnsi="David" w:cs="David"/>
          <w:color w:val="000000"/>
          <w:sz w:val="22"/>
          <w:szCs w:val="22"/>
          <w:u w:val="single"/>
          <w:rtl/>
        </w:rPr>
      </w:pPr>
    </w:p>
    <w:p w14:paraId="3957FF3E" w14:textId="77777777" w:rsidR="00CE4A67" w:rsidRDefault="00CE4A67" w:rsidP="00CE4A67">
      <w:pPr>
        <w:pStyle w:val="a9"/>
        <w:numPr>
          <w:ilvl w:val="0"/>
          <w:numId w:val="1"/>
        </w:numPr>
        <w:spacing w:line="360" w:lineRule="auto"/>
        <w:jc w:val="both"/>
        <w:rPr>
          <w:rFonts w:ascii="David" w:hAnsi="David"/>
          <w:color w:val="000000"/>
          <w:rtl/>
        </w:rPr>
      </w:pPr>
      <w:r>
        <w:rPr>
          <w:rFonts w:ascii="David" w:hAnsi="David"/>
          <w:color w:val="000000"/>
          <w:rtl/>
        </w:rPr>
        <w:t>על יסוד כל האמור, אני מטיל על הנאשם את העונשים הבאים:</w:t>
      </w:r>
    </w:p>
    <w:p w14:paraId="7FE7BAB2" w14:textId="77777777" w:rsidR="00CE4A67" w:rsidRDefault="00146B08" w:rsidP="00CE4A67">
      <w:pPr>
        <w:pStyle w:val="ruller4"/>
        <w:bidi/>
        <w:spacing w:before="0" w:beforeAutospacing="0" w:after="0" w:afterAutospacing="0" w:line="330" w:lineRule="atLeast"/>
        <w:jc w:val="both"/>
        <w:rPr>
          <w:color w:val="000000"/>
          <w:sz w:val="27"/>
          <w:szCs w:val="27"/>
          <w:rtl/>
        </w:rPr>
      </w:pPr>
      <w:r>
        <w:rPr>
          <w:rFonts w:hint="cs"/>
          <w:color w:val="000000"/>
          <w:sz w:val="20"/>
          <w:szCs w:val="20"/>
          <w:rtl/>
        </w:rPr>
        <w:t xml:space="preserve"> </w:t>
      </w:r>
    </w:p>
    <w:p w14:paraId="77F2424F" w14:textId="77777777" w:rsidR="00CE4A67" w:rsidRPr="00215AD9" w:rsidRDefault="00CE4A67" w:rsidP="00CE4A67">
      <w:pPr>
        <w:pStyle w:val="a9"/>
        <w:spacing w:line="360" w:lineRule="atLeast"/>
        <w:ind w:hanging="360"/>
        <w:jc w:val="both"/>
        <w:rPr>
          <w:rFonts w:ascii="David" w:hAnsi="David"/>
          <w:b/>
          <w:bCs/>
          <w:color w:val="000000"/>
        </w:rPr>
      </w:pPr>
      <w:r w:rsidRPr="00215AD9">
        <w:rPr>
          <w:rFonts w:ascii="David" w:hAnsi="David"/>
          <w:b/>
          <w:bCs/>
          <w:color w:val="000000"/>
          <w:rtl/>
        </w:rPr>
        <w:t>א.</w:t>
      </w:r>
      <w:r w:rsidR="00146B08">
        <w:rPr>
          <w:b/>
          <w:bCs/>
          <w:color w:val="000000"/>
          <w:sz w:val="12"/>
          <w:szCs w:val="12"/>
          <w:rtl/>
        </w:rPr>
        <w:t xml:space="preserve">      </w:t>
      </w:r>
      <w:r w:rsidRPr="00215AD9">
        <w:rPr>
          <w:rFonts w:ascii="David" w:hAnsi="David"/>
          <w:b/>
          <w:bCs/>
          <w:color w:val="000000"/>
          <w:rtl/>
        </w:rPr>
        <w:t xml:space="preserve">2 חודשי מאסר בפועל שירוצו בדרך של עבודות שירות. עבודות השירות יבוצעו בהתאם להמלצת הממונה על עבודות שירות, במכללת אברוצקי, שדרות יעקב 41 ראשון לציון, במשך חמישה ימים בשבוע, 6.5 שעות מדי יום, ללא עבודה בשמש וללא הרמת משאות כבדים. ריצוי העונש יחל ביום </w:t>
      </w:r>
      <w:r>
        <w:rPr>
          <w:rFonts w:ascii="David" w:hAnsi="David" w:hint="cs"/>
          <w:b/>
          <w:bCs/>
          <w:color w:val="000000"/>
          <w:rtl/>
        </w:rPr>
        <w:t>30</w:t>
      </w:r>
      <w:r w:rsidRPr="00215AD9">
        <w:rPr>
          <w:rFonts w:ascii="David" w:hAnsi="David"/>
          <w:b/>
          <w:bCs/>
          <w:color w:val="000000"/>
          <w:rtl/>
        </w:rPr>
        <w:t>.</w:t>
      </w:r>
      <w:r>
        <w:rPr>
          <w:rFonts w:ascii="David" w:hAnsi="David" w:hint="cs"/>
          <w:b/>
          <w:bCs/>
          <w:color w:val="000000"/>
          <w:rtl/>
        </w:rPr>
        <w:t>1</w:t>
      </w:r>
      <w:r w:rsidRPr="00215AD9">
        <w:rPr>
          <w:rFonts w:ascii="David" w:hAnsi="David"/>
          <w:b/>
          <w:bCs/>
          <w:color w:val="000000"/>
          <w:rtl/>
        </w:rPr>
        <w:t>2.2</w:t>
      </w:r>
      <w:r>
        <w:rPr>
          <w:rFonts w:ascii="David" w:hAnsi="David" w:hint="cs"/>
          <w:b/>
          <w:bCs/>
          <w:color w:val="000000"/>
          <w:rtl/>
        </w:rPr>
        <w:t>4</w:t>
      </w:r>
      <w:r w:rsidRPr="00215AD9">
        <w:rPr>
          <w:rFonts w:ascii="David" w:hAnsi="David"/>
          <w:b/>
          <w:bCs/>
          <w:color w:val="000000"/>
          <w:rtl/>
        </w:rPr>
        <w:t>. במועד זה יתייצב הנאשם, לא יאוחר מהשעה 08:00, במשרדי הממונה על עבודות שירות, שלוחת מרכז, רח' סלמה 53, בניין משרד הפנים. הנאשם מוזהר כי אי ביצוע עבודות השירות כסדרן או אי שיתוף פעולה עם הממונה על עבודות שירות, עלולים להביא להפקעתן, וריצוי יתרת עונש המאסר מאחורי סורג ובריח.</w:t>
      </w:r>
    </w:p>
    <w:p w14:paraId="23E6D673" w14:textId="77777777" w:rsidR="00CE4A67" w:rsidRPr="00215AD9" w:rsidRDefault="00CE4A67" w:rsidP="00CE4A67">
      <w:pPr>
        <w:pStyle w:val="a9"/>
        <w:spacing w:line="360" w:lineRule="atLeast"/>
        <w:ind w:hanging="360"/>
        <w:jc w:val="both"/>
        <w:rPr>
          <w:rFonts w:ascii="David" w:hAnsi="David"/>
          <w:b/>
          <w:bCs/>
          <w:color w:val="000000"/>
          <w:rtl/>
        </w:rPr>
      </w:pPr>
      <w:r w:rsidRPr="00215AD9">
        <w:rPr>
          <w:rFonts w:ascii="David" w:hAnsi="David"/>
          <w:b/>
          <w:bCs/>
          <w:color w:val="000000"/>
          <w:rtl/>
        </w:rPr>
        <w:t>ב.</w:t>
      </w:r>
      <w:r w:rsidR="00146B08">
        <w:rPr>
          <w:rFonts w:ascii="David" w:hAnsi="David"/>
          <w:b/>
          <w:bCs/>
          <w:color w:val="000000"/>
          <w:rtl/>
        </w:rPr>
        <w:t xml:space="preserve">    </w:t>
      </w:r>
      <w:r w:rsidRPr="00215AD9">
        <w:rPr>
          <w:rFonts w:ascii="David" w:hAnsi="David"/>
          <w:b/>
          <w:bCs/>
          <w:color w:val="000000"/>
          <w:rtl/>
        </w:rPr>
        <w:t>שלושה חודשי מאסר על תנאי למשך 3 שנים לבל יעבור עבירת סמים או עבירה של הפרעה לשוטר במילוי תפקידו.</w:t>
      </w:r>
      <w:r w:rsidR="00146B08">
        <w:rPr>
          <w:rFonts w:ascii="David" w:hAnsi="David"/>
          <w:b/>
          <w:bCs/>
          <w:color w:val="000000"/>
          <w:rtl/>
        </w:rPr>
        <w:t xml:space="preserve"> </w:t>
      </w:r>
    </w:p>
    <w:p w14:paraId="69BDB618" w14:textId="77777777" w:rsidR="00CE4A67" w:rsidRPr="00215AD9" w:rsidRDefault="00CE4A67" w:rsidP="00CE4A67">
      <w:pPr>
        <w:pStyle w:val="a9"/>
        <w:spacing w:line="360" w:lineRule="atLeast"/>
        <w:ind w:hanging="360"/>
        <w:jc w:val="both"/>
        <w:rPr>
          <w:rFonts w:ascii="David" w:hAnsi="David"/>
          <w:b/>
          <w:bCs/>
          <w:color w:val="000000"/>
          <w:rtl/>
        </w:rPr>
      </w:pPr>
      <w:r w:rsidRPr="00215AD9">
        <w:rPr>
          <w:rFonts w:ascii="David" w:hAnsi="David"/>
          <w:b/>
          <w:bCs/>
          <w:color w:val="000000"/>
          <w:rtl/>
        </w:rPr>
        <w:t>ג.</w:t>
      </w:r>
      <w:r w:rsidR="00146B08">
        <w:rPr>
          <w:rFonts w:ascii="David" w:hAnsi="David"/>
          <w:b/>
          <w:bCs/>
          <w:color w:val="000000"/>
          <w:rtl/>
        </w:rPr>
        <w:t xml:space="preserve">     </w:t>
      </w:r>
      <w:r w:rsidRPr="00215AD9">
        <w:rPr>
          <w:rFonts w:ascii="David" w:hAnsi="David"/>
          <w:b/>
          <w:bCs/>
          <w:color w:val="000000"/>
          <w:rtl/>
        </w:rPr>
        <w:t xml:space="preserve">קנס בסכום של </w:t>
      </w:r>
      <w:r w:rsidRPr="00215AD9">
        <w:rPr>
          <w:rFonts w:ascii="David" w:hAnsi="David" w:hint="cs"/>
          <w:b/>
          <w:bCs/>
          <w:color w:val="000000"/>
          <w:rtl/>
        </w:rPr>
        <w:t>2</w:t>
      </w:r>
      <w:r w:rsidRPr="00215AD9">
        <w:rPr>
          <w:rFonts w:ascii="David" w:hAnsi="David"/>
          <w:b/>
          <w:bCs/>
          <w:color w:val="000000"/>
          <w:rtl/>
        </w:rPr>
        <w:t>,</w:t>
      </w:r>
      <w:r w:rsidRPr="00215AD9">
        <w:rPr>
          <w:rFonts w:ascii="David" w:hAnsi="David" w:hint="cs"/>
          <w:b/>
          <w:bCs/>
          <w:color w:val="000000"/>
          <w:rtl/>
        </w:rPr>
        <w:t>0</w:t>
      </w:r>
      <w:r w:rsidRPr="00215AD9">
        <w:rPr>
          <w:rFonts w:ascii="David" w:hAnsi="David"/>
          <w:b/>
          <w:bCs/>
          <w:color w:val="000000"/>
          <w:rtl/>
        </w:rPr>
        <w:t xml:space="preserve">00 ₪ או </w:t>
      </w:r>
      <w:r w:rsidRPr="00215AD9">
        <w:rPr>
          <w:rFonts w:ascii="David" w:hAnsi="David" w:hint="cs"/>
          <w:b/>
          <w:bCs/>
          <w:color w:val="000000"/>
          <w:rtl/>
        </w:rPr>
        <w:t>שבוע</w:t>
      </w:r>
      <w:r w:rsidRPr="00215AD9">
        <w:rPr>
          <w:rFonts w:ascii="David" w:hAnsi="David"/>
          <w:b/>
          <w:bCs/>
          <w:color w:val="000000"/>
          <w:rtl/>
        </w:rPr>
        <w:t xml:space="preserve"> מאסר תמורתו. הקנס ישולם בתוך 30 ימים ממועד גזר דין זה.</w:t>
      </w:r>
      <w:r>
        <w:rPr>
          <w:rFonts w:ascii="David" w:hAnsi="David" w:hint="cs"/>
          <w:b/>
          <w:bCs/>
          <w:color w:val="000000"/>
          <w:rtl/>
        </w:rPr>
        <w:t xml:space="preserve"> הקנס ישולם מתוך הסכום שהופקד בקופת בית המשפט. כל סכום נוסף שהופקד מעבר לסכום הקנס יוחזר לנאשם. </w:t>
      </w:r>
    </w:p>
    <w:p w14:paraId="2DFF9907" w14:textId="77777777" w:rsidR="00CE4A67" w:rsidRPr="00146B08" w:rsidRDefault="00146B08" w:rsidP="00CE4A67">
      <w:pPr>
        <w:rPr>
          <w:rFonts w:ascii="Arial" w:hAnsi="Arial"/>
          <w:b/>
          <w:bCs/>
          <w:color w:val="FFFFFF"/>
          <w:sz w:val="2"/>
          <w:szCs w:val="2"/>
          <w:rtl/>
        </w:rPr>
      </w:pPr>
      <w:r w:rsidRPr="00146B08">
        <w:rPr>
          <w:rFonts w:ascii="Arial" w:hAnsi="Arial"/>
          <w:b/>
          <w:bCs/>
          <w:color w:val="FFFFFF"/>
          <w:sz w:val="2"/>
          <w:szCs w:val="2"/>
          <w:rtl/>
        </w:rPr>
        <w:t>5129371</w:t>
      </w:r>
    </w:p>
    <w:p w14:paraId="419E6102" w14:textId="77777777" w:rsidR="00CE4A67" w:rsidRPr="00146B08" w:rsidRDefault="00146B08" w:rsidP="00CE4A67">
      <w:pPr>
        <w:rPr>
          <w:rFonts w:ascii="Arial" w:hAnsi="Arial"/>
          <w:b/>
          <w:bCs/>
          <w:color w:val="FFFFFF"/>
          <w:sz w:val="2"/>
          <w:szCs w:val="2"/>
          <w:rtl/>
        </w:rPr>
      </w:pPr>
      <w:r w:rsidRPr="00146B08">
        <w:rPr>
          <w:rFonts w:ascii="Arial" w:hAnsi="Arial"/>
          <w:b/>
          <w:bCs/>
          <w:color w:val="FFFFFF"/>
          <w:sz w:val="2"/>
          <w:szCs w:val="2"/>
          <w:rtl/>
        </w:rPr>
        <w:t>54678313</w:t>
      </w:r>
    </w:p>
    <w:p w14:paraId="73FC5DCB" w14:textId="77777777" w:rsidR="00CE4A67" w:rsidRPr="000F2247" w:rsidRDefault="00CE4A67" w:rsidP="00CE4A67">
      <w:pPr>
        <w:rPr>
          <w:rFonts w:ascii="Arial" w:hAnsi="Arial"/>
          <w:b/>
          <w:bCs/>
          <w:sz w:val="26"/>
          <w:szCs w:val="26"/>
          <w:rtl/>
        </w:rPr>
      </w:pPr>
    </w:p>
    <w:p w14:paraId="33A72D4F" w14:textId="77777777" w:rsidR="00CE4A67" w:rsidRPr="000F2247" w:rsidRDefault="00146B08" w:rsidP="00CE4A67">
      <w:pPr>
        <w:spacing w:line="360" w:lineRule="auto"/>
        <w:jc w:val="both"/>
        <w:rPr>
          <w:rFonts w:ascii="Arial" w:hAnsi="Arial"/>
          <w:b/>
          <w:bCs/>
          <w:sz w:val="26"/>
          <w:szCs w:val="26"/>
          <w:rtl/>
        </w:rPr>
      </w:pPr>
      <w:bookmarkStart w:id="8" w:name="Nitan"/>
      <w:r>
        <w:rPr>
          <w:rFonts w:ascii="Arial" w:hAnsi="Arial"/>
          <w:b/>
          <w:bCs/>
          <w:rtl/>
        </w:rPr>
        <w:t xml:space="preserve">ניתן היום,  ט' כסלו תשפ"ה, 10 דצמבר 2024, בהעדר הצדדים. </w:t>
      </w:r>
      <w:bookmarkEnd w:id="8"/>
      <w:r w:rsidR="00CE4A67">
        <w:rPr>
          <w:rFonts w:ascii="Arial" w:hAnsi="Arial"/>
          <w:b/>
          <w:bCs/>
          <w:sz w:val="26"/>
          <w:szCs w:val="26"/>
          <w:rtl/>
        </w:rPr>
        <w:tab/>
      </w:r>
      <w:r w:rsidR="00CE4A67">
        <w:rPr>
          <w:rFonts w:ascii="Arial" w:hAnsi="Arial"/>
          <w:b/>
          <w:bCs/>
          <w:sz w:val="26"/>
          <w:szCs w:val="26"/>
          <w:rtl/>
        </w:rPr>
        <w:tab/>
      </w:r>
      <w:r w:rsidR="00CE4A67">
        <w:rPr>
          <w:rFonts w:ascii="Arial" w:hAnsi="Arial"/>
          <w:b/>
          <w:bCs/>
          <w:sz w:val="26"/>
          <w:szCs w:val="26"/>
          <w:rtl/>
        </w:rPr>
        <w:tab/>
      </w:r>
      <w:r w:rsidR="00CE4A67">
        <w:rPr>
          <w:rFonts w:ascii="Arial" w:hAnsi="Arial"/>
          <w:b/>
          <w:bCs/>
          <w:sz w:val="26"/>
          <w:szCs w:val="26"/>
          <w:rtl/>
        </w:rPr>
        <w:tab/>
      </w:r>
      <w:r w:rsidR="00CE4A67">
        <w:rPr>
          <w:rFonts w:ascii="Arial" w:hAnsi="Arial"/>
          <w:b/>
          <w:bCs/>
          <w:sz w:val="26"/>
          <w:szCs w:val="26"/>
          <w:rtl/>
        </w:rPr>
        <w:tab/>
      </w:r>
      <w:r w:rsidR="00CE4A67">
        <w:rPr>
          <w:rFonts w:ascii="Arial" w:hAnsi="Arial"/>
          <w:b/>
          <w:bCs/>
          <w:sz w:val="26"/>
          <w:szCs w:val="26"/>
          <w:rtl/>
        </w:rPr>
        <w:tab/>
      </w:r>
      <w:r w:rsidR="00CE4A67">
        <w:rPr>
          <w:rFonts w:ascii="Arial" w:hAnsi="Arial"/>
          <w:b/>
          <w:bCs/>
          <w:sz w:val="26"/>
          <w:szCs w:val="26"/>
          <w:rtl/>
        </w:rPr>
        <w:tab/>
      </w:r>
      <w:r w:rsidR="00CE4A67">
        <w:rPr>
          <w:rFonts w:ascii="Arial" w:hAnsi="Arial" w:hint="cs"/>
          <w:b/>
          <w:bCs/>
          <w:sz w:val="26"/>
          <w:szCs w:val="26"/>
          <w:rtl/>
        </w:rPr>
        <w:t xml:space="preserve">         </w:t>
      </w:r>
    </w:p>
    <w:p w14:paraId="2F81ED37" w14:textId="77777777" w:rsidR="00CE4A67" w:rsidRPr="000F2247" w:rsidRDefault="00CE4A67" w:rsidP="00146B0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7635B1" w14:textId="77777777" w:rsidR="00CE4A67" w:rsidRPr="000F2247" w:rsidRDefault="00CE4A67" w:rsidP="00CE4A67">
      <w:pPr>
        <w:jc w:val="center"/>
        <w:rPr>
          <w:rFonts w:ascii="Arial" w:hAnsi="Arial"/>
          <w:b/>
          <w:bCs/>
          <w:sz w:val="26"/>
          <w:szCs w:val="26"/>
          <w:rtl/>
        </w:rPr>
      </w:pPr>
    </w:p>
    <w:p w14:paraId="1FF6918F" w14:textId="77777777" w:rsidR="006C09FE" w:rsidRPr="00146B08" w:rsidRDefault="006C09FE" w:rsidP="00146B08">
      <w:pPr>
        <w:keepNext/>
        <w:rPr>
          <w:rFonts w:ascii="David" w:hAnsi="David"/>
          <w:color w:val="000000"/>
          <w:sz w:val="22"/>
          <w:szCs w:val="22"/>
          <w:rtl/>
        </w:rPr>
      </w:pPr>
    </w:p>
    <w:p w14:paraId="513ACEA6" w14:textId="77777777" w:rsidR="00146B08" w:rsidRPr="00146B08" w:rsidRDefault="00146B08" w:rsidP="00146B08">
      <w:pPr>
        <w:keepNext/>
        <w:rPr>
          <w:rFonts w:ascii="David" w:hAnsi="David"/>
          <w:color w:val="000000"/>
          <w:sz w:val="22"/>
          <w:szCs w:val="22"/>
          <w:rtl/>
        </w:rPr>
      </w:pPr>
      <w:r w:rsidRPr="00146B08">
        <w:rPr>
          <w:rFonts w:ascii="David" w:hAnsi="David"/>
          <w:color w:val="000000"/>
          <w:sz w:val="22"/>
          <w:szCs w:val="22"/>
          <w:rtl/>
        </w:rPr>
        <w:t>יוני לבני 54678313</w:t>
      </w:r>
    </w:p>
    <w:p w14:paraId="58169CE1" w14:textId="77777777" w:rsidR="00146B08" w:rsidRDefault="00146B08" w:rsidP="00146B08">
      <w:r w:rsidRPr="00146B08">
        <w:rPr>
          <w:color w:val="000000"/>
          <w:rtl/>
        </w:rPr>
        <w:t>נוסח מסמך זה כפוף לשינויי ניסוח ועריכה</w:t>
      </w:r>
    </w:p>
    <w:p w14:paraId="768D5720" w14:textId="77777777" w:rsidR="00146B08" w:rsidRDefault="00146B08" w:rsidP="00146B08">
      <w:pPr>
        <w:rPr>
          <w:rtl/>
        </w:rPr>
      </w:pPr>
    </w:p>
    <w:p w14:paraId="27545C57" w14:textId="77777777" w:rsidR="00146B08" w:rsidRDefault="00146B08" w:rsidP="00146B08">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6A6736DE" w14:textId="77777777" w:rsidR="00146B08" w:rsidRPr="00146B08" w:rsidRDefault="00146B08" w:rsidP="00146B08">
      <w:pPr>
        <w:jc w:val="center"/>
        <w:rPr>
          <w:color w:val="0000FF"/>
          <w:u w:val="single"/>
        </w:rPr>
      </w:pPr>
    </w:p>
    <w:sectPr w:rsidR="00146B08" w:rsidRPr="00146B08" w:rsidSect="00146B08">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A37B7" w14:textId="77777777" w:rsidR="00BE5966" w:rsidRDefault="00BE5966" w:rsidP="00066FB5">
      <w:r>
        <w:separator/>
      </w:r>
    </w:p>
  </w:endnote>
  <w:endnote w:type="continuationSeparator" w:id="0">
    <w:p w14:paraId="39AA5D61" w14:textId="77777777" w:rsidR="00BE5966" w:rsidRDefault="00BE5966" w:rsidP="0006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344EB" w14:textId="77777777" w:rsidR="00146B08" w:rsidRDefault="00146B08" w:rsidP="00146B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87D7DF" w14:textId="77777777" w:rsidR="005B607B" w:rsidRPr="00146B08" w:rsidRDefault="00146B08" w:rsidP="00146B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E410D" w14:textId="77777777" w:rsidR="00146B08" w:rsidRDefault="00146B08" w:rsidP="00146B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540B">
      <w:rPr>
        <w:rFonts w:ascii="FrankRuehl" w:hAnsi="FrankRuehl" w:cs="FrankRuehl"/>
        <w:noProof/>
        <w:rtl/>
      </w:rPr>
      <w:t>1</w:t>
    </w:r>
    <w:r>
      <w:rPr>
        <w:rFonts w:ascii="FrankRuehl" w:hAnsi="FrankRuehl" w:cs="FrankRuehl"/>
        <w:rtl/>
      </w:rPr>
      <w:fldChar w:fldCharType="end"/>
    </w:r>
  </w:p>
  <w:p w14:paraId="5DA24824" w14:textId="77777777" w:rsidR="005B607B" w:rsidRPr="00146B08" w:rsidRDefault="00146B08" w:rsidP="00146B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F8E1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F6B3E" w14:textId="77777777" w:rsidR="00BE5966" w:rsidRDefault="00BE5966" w:rsidP="00066FB5">
      <w:r>
        <w:separator/>
      </w:r>
    </w:p>
  </w:footnote>
  <w:footnote w:type="continuationSeparator" w:id="0">
    <w:p w14:paraId="68CF17BC" w14:textId="77777777" w:rsidR="00BE5966" w:rsidRDefault="00BE5966" w:rsidP="0006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4C6AC" w14:textId="77777777" w:rsidR="00146B08" w:rsidRPr="00146B08" w:rsidRDefault="00146B08" w:rsidP="00146B0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8061-02-22</w:t>
    </w:r>
    <w:r>
      <w:rPr>
        <w:rFonts w:ascii="David" w:hAnsi="David"/>
        <w:color w:val="000000"/>
        <w:sz w:val="22"/>
        <w:szCs w:val="22"/>
        <w:rtl/>
      </w:rPr>
      <w:tab/>
      <w:t xml:space="preserve"> מדינת ישראל נ' יוסף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5FCB" w14:textId="77777777" w:rsidR="00146B08" w:rsidRPr="00146B08" w:rsidRDefault="00146B08" w:rsidP="00146B0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8061-02-22</w:t>
    </w:r>
    <w:r>
      <w:rPr>
        <w:rFonts w:ascii="David" w:hAnsi="David"/>
        <w:color w:val="000000"/>
        <w:sz w:val="22"/>
        <w:szCs w:val="22"/>
        <w:rtl/>
      </w:rPr>
      <w:tab/>
      <w:t xml:space="preserve"> מדינת ישראל נ' יוסף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5689"/>
    <w:multiLevelType w:val="hybridMultilevel"/>
    <w:tmpl w:val="CCEAC84E"/>
    <w:lvl w:ilvl="0" w:tplc="EE48E0D8">
      <w:start w:val="1"/>
      <w:numFmt w:val="hebrew1"/>
      <w:lvlText w:val="%1."/>
      <w:lvlJc w:val="left"/>
      <w:pPr>
        <w:ind w:left="1352" w:hanging="360"/>
      </w:pPr>
      <w:rPr>
        <w:rFonts w:ascii="David" w:hAnsi="David" w:cs="David" w:hint="default"/>
        <w:b w:val="0"/>
        <w:bCs w:val="0"/>
        <w:strike w:val="0"/>
        <w:dstrike w:val="0"/>
        <w:color w:val="auto"/>
        <w:u w:val="none"/>
        <w:effect w:val="none"/>
      </w:rPr>
    </w:lvl>
    <w:lvl w:ilvl="1" w:tplc="04090019">
      <w:start w:val="1"/>
      <w:numFmt w:val="lowerLetter"/>
      <w:lvlText w:val="%2."/>
      <w:lvlJc w:val="left"/>
      <w:pPr>
        <w:ind w:left="2072" w:hanging="360"/>
      </w:pPr>
    </w:lvl>
    <w:lvl w:ilvl="2" w:tplc="0409001B">
      <w:start w:val="1"/>
      <w:numFmt w:val="lowerRoman"/>
      <w:lvlText w:val="%3."/>
      <w:lvlJc w:val="right"/>
      <w:pPr>
        <w:ind w:left="2792" w:hanging="180"/>
      </w:pPr>
    </w:lvl>
    <w:lvl w:ilvl="3" w:tplc="0409000F">
      <w:start w:val="1"/>
      <w:numFmt w:val="decimal"/>
      <w:lvlText w:val="%4."/>
      <w:lvlJc w:val="left"/>
      <w:pPr>
        <w:ind w:left="3512" w:hanging="360"/>
      </w:pPr>
    </w:lvl>
    <w:lvl w:ilvl="4" w:tplc="04090019">
      <w:start w:val="1"/>
      <w:numFmt w:val="lowerLetter"/>
      <w:lvlText w:val="%5."/>
      <w:lvlJc w:val="left"/>
      <w:pPr>
        <w:ind w:left="4232" w:hanging="360"/>
      </w:pPr>
    </w:lvl>
    <w:lvl w:ilvl="5" w:tplc="0409001B">
      <w:start w:val="1"/>
      <w:numFmt w:val="lowerRoman"/>
      <w:lvlText w:val="%6."/>
      <w:lvlJc w:val="right"/>
      <w:pPr>
        <w:ind w:left="4952" w:hanging="180"/>
      </w:pPr>
    </w:lvl>
    <w:lvl w:ilvl="6" w:tplc="0409000F">
      <w:start w:val="1"/>
      <w:numFmt w:val="decimal"/>
      <w:lvlText w:val="%7."/>
      <w:lvlJc w:val="left"/>
      <w:pPr>
        <w:ind w:left="5672" w:hanging="360"/>
      </w:pPr>
    </w:lvl>
    <w:lvl w:ilvl="7" w:tplc="04090019">
      <w:start w:val="1"/>
      <w:numFmt w:val="lowerLetter"/>
      <w:lvlText w:val="%8."/>
      <w:lvlJc w:val="left"/>
      <w:pPr>
        <w:ind w:left="6392" w:hanging="360"/>
      </w:pPr>
    </w:lvl>
    <w:lvl w:ilvl="8" w:tplc="0409001B">
      <w:start w:val="1"/>
      <w:numFmt w:val="lowerRoman"/>
      <w:lvlText w:val="%9."/>
      <w:lvlJc w:val="right"/>
      <w:pPr>
        <w:ind w:left="7112" w:hanging="180"/>
      </w:pPr>
    </w:lvl>
  </w:abstractNum>
  <w:abstractNum w:abstractNumId="1" w15:restartNumberingAfterBreak="0">
    <w:nsid w:val="38892A8C"/>
    <w:multiLevelType w:val="hybridMultilevel"/>
    <w:tmpl w:val="EA0C7642"/>
    <w:lvl w:ilvl="0" w:tplc="2E04D83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2010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0358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4A67"/>
    <w:rsid w:val="00066FB5"/>
    <w:rsid w:val="00071A23"/>
    <w:rsid w:val="00146B08"/>
    <w:rsid w:val="005B607B"/>
    <w:rsid w:val="006C09FE"/>
    <w:rsid w:val="007669AA"/>
    <w:rsid w:val="00A912ED"/>
    <w:rsid w:val="00BE5966"/>
    <w:rsid w:val="00C65044"/>
    <w:rsid w:val="00CE4A67"/>
    <w:rsid w:val="00E954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4DF0A"/>
  <w15:chartTrackingRefBased/>
  <w15:docId w15:val="{E0565210-8EC1-45CB-B869-5EC12F05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4A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4A67"/>
    <w:pPr>
      <w:tabs>
        <w:tab w:val="center" w:pos="4153"/>
        <w:tab w:val="right" w:pos="8306"/>
      </w:tabs>
    </w:pPr>
  </w:style>
  <w:style w:type="character" w:customStyle="1" w:styleId="a4">
    <w:name w:val="כותרת עליונה תו"/>
    <w:link w:val="a3"/>
    <w:rsid w:val="00CE4A67"/>
    <w:rPr>
      <w:rFonts w:ascii="Times New Roman" w:eastAsia="Times New Roman" w:hAnsi="Times New Roman" w:cs="David"/>
      <w:sz w:val="24"/>
      <w:szCs w:val="24"/>
    </w:rPr>
  </w:style>
  <w:style w:type="paragraph" w:styleId="a5">
    <w:name w:val="footer"/>
    <w:basedOn w:val="a"/>
    <w:link w:val="a6"/>
    <w:rsid w:val="00CE4A67"/>
    <w:pPr>
      <w:tabs>
        <w:tab w:val="center" w:pos="4153"/>
        <w:tab w:val="right" w:pos="8306"/>
      </w:tabs>
    </w:pPr>
  </w:style>
  <w:style w:type="character" w:customStyle="1" w:styleId="a6">
    <w:name w:val="כותרת תחתונה תו"/>
    <w:link w:val="a5"/>
    <w:rsid w:val="00CE4A67"/>
    <w:rPr>
      <w:rFonts w:ascii="Times New Roman" w:eastAsia="Times New Roman" w:hAnsi="Times New Roman" w:cs="David"/>
      <w:sz w:val="24"/>
      <w:szCs w:val="24"/>
    </w:rPr>
  </w:style>
  <w:style w:type="table" w:styleId="a7">
    <w:name w:val="Table Grid"/>
    <w:basedOn w:val="a1"/>
    <w:rsid w:val="00CE4A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4A67"/>
  </w:style>
  <w:style w:type="paragraph" w:styleId="a9">
    <w:name w:val="List Paragraph"/>
    <w:basedOn w:val="a"/>
    <w:qFormat/>
    <w:rsid w:val="00CE4A67"/>
    <w:pPr>
      <w:ind w:left="720"/>
      <w:contextualSpacing/>
    </w:pPr>
  </w:style>
  <w:style w:type="paragraph" w:customStyle="1" w:styleId="listparagraph">
    <w:name w:val="listparagraph"/>
    <w:basedOn w:val="a"/>
    <w:rsid w:val="00CE4A67"/>
    <w:pPr>
      <w:bidi w:val="0"/>
      <w:spacing w:before="100" w:beforeAutospacing="1" w:after="100" w:afterAutospacing="1"/>
    </w:pPr>
    <w:rPr>
      <w:rFonts w:cs="Times New Roman"/>
    </w:rPr>
  </w:style>
  <w:style w:type="paragraph" w:customStyle="1" w:styleId="1">
    <w:name w:val="פיסקת רשימה1"/>
    <w:basedOn w:val="a"/>
    <w:rsid w:val="00CE4A67"/>
    <w:pPr>
      <w:spacing w:after="160" w:line="360" w:lineRule="auto"/>
      <w:ind w:left="720" w:hanging="357"/>
      <w:contextualSpacing/>
      <w:jc w:val="both"/>
    </w:pPr>
    <w:rPr>
      <w:rFonts w:ascii="Calibri" w:eastAsia="Calibri" w:hAnsi="Calibri"/>
    </w:rPr>
  </w:style>
  <w:style w:type="paragraph" w:customStyle="1" w:styleId="ruller40">
    <w:name w:val="ruller40"/>
    <w:basedOn w:val="a"/>
    <w:rsid w:val="00CE4A67"/>
    <w:pPr>
      <w:bidi w:val="0"/>
      <w:spacing w:before="100" w:beforeAutospacing="1" w:after="100" w:afterAutospacing="1"/>
    </w:pPr>
    <w:rPr>
      <w:rFonts w:cs="Times New Roman"/>
    </w:rPr>
  </w:style>
  <w:style w:type="paragraph" w:customStyle="1" w:styleId="ruller4">
    <w:name w:val="ruller4"/>
    <w:basedOn w:val="a"/>
    <w:rsid w:val="00CE4A67"/>
    <w:pPr>
      <w:bidi w:val="0"/>
      <w:spacing w:before="100" w:beforeAutospacing="1" w:after="100" w:afterAutospacing="1"/>
    </w:pPr>
    <w:rPr>
      <w:rFonts w:cs="Times New Roman"/>
    </w:rPr>
  </w:style>
  <w:style w:type="character" w:styleId="Hyperlink">
    <w:name w:val="Hyperlink"/>
    <w:rsid w:val="00146B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20450155" TargetMode="External"/><Relationship Id="rId39" Type="http://schemas.openxmlformats.org/officeDocument/2006/relationships/hyperlink" Target="http://www.nevo.co.il/case/27229615" TargetMode="External"/><Relationship Id="rId21" Type="http://schemas.openxmlformats.org/officeDocument/2006/relationships/hyperlink" Target="http://www.nevo.co.il/case/5810781" TargetMode="External"/><Relationship Id="rId34" Type="http://schemas.openxmlformats.org/officeDocument/2006/relationships/hyperlink" Target="http://www.nevo.co.il/case/17939812" TargetMode="External"/><Relationship Id="rId42" Type="http://schemas.openxmlformats.org/officeDocument/2006/relationships/hyperlink" Target="http://www.nevo.co.il/case/26318040" TargetMode="External"/><Relationship Id="rId47" Type="http://schemas.openxmlformats.org/officeDocument/2006/relationships/hyperlink" Target="http://www.nevo.co.il/case/20321459" TargetMode="External"/><Relationship Id="rId50" Type="http://schemas.openxmlformats.org/officeDocument/2006/relationships/hyperlink" Target="http://www.nevo.co.il/case/20371632" TargetMode="External"/><Relationship Id="rId55" Type="http://schemas.openxmlformats.org/officeDocument/2006/relationships/hyperlink" Target="http://www.nevo.co.il/case/22938500"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5494716"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20118367" TargetMode="External"/><Relationship Id="rId32" Type="http://schemas.openxmlformats.org/officeDocument/2006/relationships/hyperlink" Target="http://www.nevo.co.il/case/5585052" TargetMode="External"/><Relationship Id="rId37" Type="http://schemas.openxmlformats.org/officeDocument/2006/relationships/hyperlink" Target="http://www.nevo.co.il/case/23827604" TargetMode="External"/><Relationship Id="rId40" Type="http://schemas.openxmlformats.org/officeDocument/2006/relationships/hyperlink" Target="http://www.nevo.co.il/case/5753269"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40d.a"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17916229" TargetMode="External"/><Relationship Id="rId27" Type="http://schemas.openxmlformats.org/officeDocument/2006/relationships/hyperlink" Target="http://www.nevo.co.il/case/655652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53269" TargetMode="External"/><Relationship Id="rId43" Type="http://schemas.openxmlformats.org/officeDocument/2006/relationships/hyperlink" Target="http://www.nevo.co.il/case/23828555" TargetMode="External"/><Relationship Id="rId48" Type="http://schemas.openxmlformats.org/officeDocument/2006/relationships/hyperlink" Target="http://www.nevo.co.il/case/18809103"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20245898" TargetMode="External"/><Relationship Id="rId3" Type="http://schemas.openxmlformats.org/officeDocument/2006/relationships/settings" Target="settings.xml"/><Relationship Id="rId12" Type="http://schemas.openxmlformats.org/officeDocument/2006/relationships/hyperlink" Target="http://www.nevo.co.il/law/70301/32"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6900367" TargetMode="External"/><Relationship Id="rId33" Type="http://schemas.openxmlformats.org/officeDocument/2006/relationships/hyperlink" Target="http://www.nevo.co.il/case/5738608" TargetMode="External"/><Relationship Id="rId38" Type="http://schemas.openxmlformats.org/officeDocument/2006/relationships/hyperlink" Target="http://www.nevo.co.il/case/26991436" TargetMode="External"/><Relationship Id="rId46" Type="http://schemas.openxmlformats.org/officeDocument/2006/relationships/hyperlink" Target="http://www.nevo.co.il/case/13022245" TargetMode="External"/><Relationship Id="rId59" Type="http://schemas.openxmlformats.org/officeDocument/2006/relationships/footer" Target="footer1.xml"/><Relationship Id="rId20" Type="http://schemas.openxmlformats.org/officeDocument/2006/relationships/hyperlink" Target="http://www.nevo.co.il/law/70301/275" TargetMode="External"/><Relationship Id="rId41" Type="http://schemas.openxmlformats.org/officeDocument/2006/relationships/hyperlink" Target="http://www.nevo.co.il/case/5573783"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3746048" TargetMode="External"/><Relationship Id="rId28" Type="http://schemas.openxmlformats.org/officeDocument/2006/relationships/hyperlink" Target="http://www.nevo.co.il/case/25053162" TargetMode="External"/><Relationship Id="rId36" Type="http://schemas.openxmlformats.org/officeDocument/2006/relationships/hyperlink" Target="http://www.nevo.co.il/case/21644133" TargetMode="External"/><Relationship Id="rId49" Type="http://schemas.openxmlformats.org/officeDocument/2006/relationships/hyperlink" Target="http://www.nevo.co.il/case/26438804" TargetMode="External"/><Relationship Id="rId57" Type="http://schemas.openxmlformats.org/officeDocument/2006/relationships/header" Target="header1.xml"/><Relationship Id="rId10" Type="http://schemas.openxmlformats.org/officeDocument/2006/relationships/hyperlink" Target="http://www.nevo.co.il/law/70301"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law/70301/32" TargetMode="External"/><Relationship Id="rId52" Type="http://schemas.openxmlformats.org/officeDocument/2006/relationships/hyperlink" Target="http://www.nevo.co.il/case/5726579"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3707</Words>
  <Characters>18538</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22201</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3342448</vt:i4>
      </vt:variant>
      <vt:variant>
        <vt:i4>144</vt:i4>
      </vt:variant>
      <vt:variant>
        <vt:i4>0</vt:i4>
      </vt:variant>
      <vt:variant>
        <vt:i4>5</vt:i4>
      </vt:variant>
      <vt:variant>
        <vt:lpwstr>http://www.nevo.co.il/case/22938500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3866738</vt:i4>
      </vt:variant>
      <vt:variant>
        <vt:i4>135</vt:i4>
      </vt:variant>
      <vt:variant>
        <vt:i4>0</vt:i4>
      </vt:variant>
      <vt:variant>
        <vt:i4>5</vt:i4>
      </vt:variant>
      <vt:variant>
        <vt:lpwstr>http://www.nevo.co.il/case/5726579</vt:lpwstr>
      </vt:variant>
      <vt:variant>
        <vt:lpwstr/>
      </vt:variant>
      <vt:variant>
        <vt:i4>3932280</vt:i4>
      </vt:variant>
      <vt:variant>
        <vt:i4>132</vt:i4>
      </vt:variant>
      <vt:variant>
        <vt:i4>0</vt:i4>
      </vt:variant>
      <vt:variant>
        <vt:i4>5</vt:i4>
      </vt:variant>
      <vt:variant>
        <vt:lpwstr>http://www.nevo.co.il/case/20245898</vt:lpwstr>
      </vt:variant>
      <vt:variant>
        <vt:lpwstr/>
      </vt:variant>
      <vt:variant>
        <vt:i4>3342453</vt:i4>
      </vt:variant>
      <vt:variant>
        <vt:i4>129</vt:i4>
      </vt:variant>
      <vt:variant>
        <vt:i4>0</vt:i4>
      </vt:variant>
      <vt:variant>
        <vt:i4>5</vt:i4>
      </vt:variant>
      <vt:variant>
        <vt:lpwstr>http://www.nevo.co.il/case/20371632</vt:lpwstr>
      </vt:variant>
      <vt:variant>
        <vt:lpwstr/>
      </vt:variant>
      <vt:variant>
        <vt:i4>4063353</vt:i4>
      </vt:variant>
      <vt:variant>
        <vt:i4>126</vt:i4>
      </vt:variant>
      <vt:variant>
        <vt:i4>0</vt:i4>
      </vt:variant>
      <vt:variant>
        <vt:i4>5</vt:i4>
      </vt:variant>
      <vt:variant>
        <vt:lpwstr>http://www.nevo.co.il/case/26438804</vt:lpwstr>
      </vt:variant>
      <vt:variant>
        <vt:lpwstr/>
      </vt:variant>
      <vt:variant>
        <vt:i4>3145853</vt:i4>
      </vt:variant>
      <vt:variant>
        <vt:i4>123</vt:i4>
      </vt:variant>
      <vt:variant>
        <vt:i4>0</vt:i4>
      </vt:variant>
      <vt:variant>
        <vt:i4>5</vt:i4>
      </vt:variant>
      <vt:variant>
        <vt:lpwstr>http://www.nevo.co.il/case/18809103</vt:lpwstr>
      </vt:variant>
      <vt:variant>
        <vt:lpwstr/>
      </vt:variant>
      <vt:variant>
        <vt:i4>3473522</vt:i4>
      </vt:variant>
      <vt:variant>
        <vt:i4>120</vt:i4>
      </vt:variant>
      <vt:variant>
        <vt:i4>0</vt:i4>
      </vt:variant>
      <vt:variant>
        <vt:i4>5</vt:i4>
      </vt:variant>
      <vt:variant>
        <vt:lpwstr>http://www.nevo.co.il/case/20321459</vt:lpwstr>
      </vt:variant>
      <vt:variant>
        <vt:lpwstr/>
      </vt:variant>
      <vt:variant>
        <vt:i4>3604599</vt:i4>
      </vt:variant>
      <vt:variant>
        <vt:i4>117</vt:i4>
      </vt:variant>
      <vt:variant>
        <vt:i4>0</vt:i4>
      </vt:variant>
      <vt:variant>
        <vt:i4>5</vt:i4>
      </vt:variant>
      <vt:variant>
        <vt:lpwstr>http://www.nevo.co.il/case/13022245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6750310</vt:i4>
      </vt:variant>
      <vt:variant>
        <vt:i4>111</vt:i4>
      </vt:variant>
      <vt:variant>
        <vt:i4>0</vt:i4>
      </vt:variant>
      <vt:variant>
        <vt:i4>5</vt:i4>
      </vt:variant>
      <vt:variant>
        <vt:lpwstr>http://www.nevo.co.il/law/70301/32</vt:lpwstr>
      </vt:variant>
      <vt:variant>
        <vt:lpwstr/>
      </vt:variant>
      <vt:variant>
        <vt:i4>3604592</vt:i4>
      </vt:variant>
      <vt:variant>
        <vt:i4>108</vt:i4>
      </vt:variant>
      <vt:variant>
        <vt:i4>0</vt:i4>
      </vt:variant>
      <vt:variant>
        <vt:i4>5</vt:i4>
      </vt:variant>
      <vt:variant>
        <vt:lpwstr>http://www.nevo.co.il/case/23828555</vt:lpwstr>
      </vt:variant>
      <vt:variant>
        <vt:lpwstr/>
      </vt:variant>
      <vt:variant>
        <vt:i4>3997811</vt:i4>
      </vt:variant>
      <vt:variant>
        <vt:i4>105</vt:i4>
      </vt:variant>
      <vt:variant>
        <vt:i4>0</vt:i4>
      </vt:variant>
      <vt:variant>
        <vt:i4>5</vt:i4>
      </vt:variant>
      <vt:variant>
        <vt:lpwstr>http://www.nevo.co.il/case/26318040</vt:lpwstr>
      </vt:variant>
      <vt:variant>
        <vt:lpwstr/>
      </vt:variant>
      <vt:variant>
        <vt:i4>3539066</vt:i4>
      </vt:variant>
      <vt:variant>
        <vt:i4>102</vt:i4>
      </vt:variant>
      <vt:variant>
        <vt:i4>0</vt:i4>
      </vt:variant>
      <vt:variant>
        <vt:i4>5</vt:i4>
      </vt:variant>
      <vt:variant>
        <vt:lpwstr>http://www.nevo.co.il/case/5573783</vt:lpwstr>
      </vt:variant>
      <vt:variant>
        <vt:lpwstr/>
      </vt:variant>
      <vt:variant>
        <vt:i4>3866742</vt:i4>
      </vt:variant>
      <vt:variant>
        <vt:i4>99</vt:i4>
      </vt:variant>
      <vt:variant>
        <vt:i4>0</vt:i4>
      </vt:variant>
      <vt:variant>
        <vt:i4>5</vt:i4>
      </vt:variant>
      <vt:variant>
        <vt:lpwstr>http://www.nevo.co.il/case/5753269</vt:lpwstr>
      </vt:variant>
      <vt:variant>
        <vt:lpwstr/>
      </vt:variant>
      <vt:variant>
        <vt:i4>3670135</vt:i4>
      </vt:variant>
      <vt:variant>
        <vt:i4>96</vt:i4>
      </vt:variant>
      <vt:variant>
        <vt:i4>0</vt:i4>
      </vt:variant>
      <vt:variant>
        <vt:i4>5</vt:i4>
      </vt:variant>
      <vt:variant>
        <vt:lpwstr>http://www.nevo.co.il/case/27229615</vt:lpwstr>
      </vt:variant>
      <vt:variant>
        <vt:lpwstr/>
      </vt:variant>
      <vt:variant>
        <vt:i4>3735679</vt:i4>
      </vt:variant>
      <vt:variant>
        <vt:i4>93</vt:i4>
      </vt:variant>
      <vt:variant>
        <vt:i4>0</vt:i4>
      </vt:variant>
      <vt:variant>
        <vt:i4>5</vt:i4>
      </vt:variant>
      <vt:variant>
        <vt:lpwstr>http://www.nevo.co.il/case/26991436</vt:lpwstr>
      </vt:variant>
      <vt:variant>
        <vt:lpwstr/>
      </vt:variant>
      <vt:variant>
        <vt:i4>3997811</vt:i4>
      </vt:variant>
      <vt:variant>
        <vt:i4>90</vt:i4>
      </vt:variant>
      <vt:variant>
        <vt:i4>0</vt:i4>
      </vt:variant>
      <vt:variant>
        <vt:i4>5</vt:i4>
      </vt:variant>
      <vt:variant>
        <vt:lpwstr>http://www.nevo.co.il/case/23827604</vt:lpwstr>
      </vt:variant>
      <vt:variant>
        <vt:lpwstr/>
      </vt:variant>
      <vt:variant>
        <vt:i4>3342448</vt:i4>
      </vt:variant>
      <vt:variant>
        <vt:i4>87</vt:i4>
      </vt:variant>
      <vt:variant>
        <vt:i4>0</vt:i4>
      </vt:variant>
      <vt:variant>
        <vt:i4>5</vt:i4>
      </vt:variant>
      <vt:variant>
        <vt:lpwstr>http://www.nevo.co.il/case/21644133</vt:lpwstr>
      </vt:variant>
      <vt:variant>
        <vt:lpwstr/>
      </vt:variant>
      <vt:variant>
        <vt:i4>3866742</vt:i4>
      </vt:variant>
      <vt:variant>
        <vt:i4>84</vt:i4>
      </vt:variant>
      <vt:variant>
        <vt:i4>0</vt:i4>
      </vt:variant>
      <vt:variant>
        <vt:i4>5</vt:i4>
      </vt:variant>
      <vt:variant>
        <vt:lpwstr>http://www.nevo.co.il/case/5753269</vt:lpwstr>
      </vt:variant>
      <vt:variant>
        <vt:lpwstr/>
      </vt:variant>
      <vt:variant>
        <vt:i4>3145848</vt:i4>
      </vt:variant>
      <vt:variant>
        <vt:i4>81</vt:i4>
      </vt:variant>
      <vt:variant>
        <vt:i4>0</vt:i4>
      </vt:variant>
      <vt:variant>
        <vt:i4>5</vt:i4>
      </vt:variant>
      <vt:variant>
        <vt:lpwstr>http://www.nevo.co.il/case/17939812</vt:lpwstr>
      </vt:variant>
      <vt:variant>
        <vt:lpwstr/>
      </vt:variant>
      <vt:variant>
        <vt:i4>3670139</vt:i4>
      </vt:variant>
      <vt:variant>
        <vt:i4>78</vt:i4>
      </vt:variant>
      <vt:variant>
        <vt:i4>0</vt:i4>
      </vt:variant>
      <vt:variant>
        <vt:i4>5</vt:i4>
      </vt:variant>
      <vt:variant>
        <vt:lpwstr>http://www.nevo.co.il/case/5738608</vt:lpwstr>
      </vt:variant>
      <vt:variant>
        <vt:lpwstr/>
      </vt:variant>
      <vt:variant>
        <vt:i4>4128881</vt:i4>
      </vt:variant>
      <vt:variant>
        <vt:i4>75</vt:i4>
      </vt:variant>
      <vt:variant>
        <vt:i4>0</vt:i4>
      </vt:variant>
      <vt:variant>
        <vt:i4>5</vt:i4>
      </vt:variant>
      <vt:variant>
        <vt:lpwstr>http://www.nevo.co.il/case/5585052</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3342463</vt:i4>
      </vt:variant>
      <vt:variant>
        <vt:i4>66</vt:i4>
      </vt:variant>
      <vt:variant>
        <vt:i4>0</vt:i4>
      </vt:variant>
      <vt:variant>
        <vt:i4>5</vt:i4>
      </vt:variant>
      <vt:variant>
        <vt:lpwstr>http://www.nevo.co.il/case/25494716</vt:lpwstr>
      </vt:variant>
      <vt:variant>
        <vt:lpwstr/>
      </vt:variant>
      <vt:variant>
        <vt:i4>3604597</vt:i4>
      </vt:variant>
      <vt:variant>
        <vt:i4>63</vt:i4>
      </vt:variant>
      <vt:variant>
        <vt:i4>0</vt:i4>
      </vt:variant>
      <vt:variant>
        <vt:i4>5</vt:i4>
      </vt:variant>
      <vt:variant>
        <vt:lpwstr>http://www.nevo.co.il/case/25053162</vt:lpwstr>
      </vt:variant>
      <vt:variant>
        <vt:lpwstr/>
      </vt:variant>
      <vt:variant>
        <vt:i4>3473525</vt:i4>
      </vt:variant>
      <vt:variant>
        <vt:i4>60</vt:i4>
      </vt:variant>
      <vt:variant>
        <vt:i4>0</vt:i4>
      </vt:variant>
      <vt:variant>
        <vt:i4>5</vt:i4>
      </vt:variant>
      <vt:variant>
        <vt:lpwstr>http://www.nevo.co.il/case/6556523</vt:lpwstr>
      </vt:variant>
      <vt:variant>
        <vt:lpwstr/>
      </vt:variant>
      <vt:variant>
        <vt:i4>3342448</vt:i4>
      </vt:variant>
      <vt:variant>
        <vt:i4>57</vt:i4>
      </vt:variant>
      <vt:variant>
        <vt:i4>0</vt:i4>
      </vt:variant>
      <vt:variant>
        <vt:i4>5</vt:i4>
      </vt:variant>
      <vt:variant>
        <vt:lpwstr>http://www.nevo.co.il/case/20450155</vt:lpwstr>
      </vt:variant>
      <vt:variant>
        <vt:lpwstr/>
      </vt:variant>
      <vt:variant>
        <vt:i4>4063345</vt:i4>
      </vt:variant>
      <vt:variant>
        <vt:i4>54</vt:i4>
      </vt:variant>
      <vt:variant>
        <vt:i4>0</vt:i4>
      </vt:variant>
      <vt:variant>
        <vt:i4>5</vt:i4>
      </vt:variant>
      <vt:variant>
        <vt:lpwstr>http://www.nevo.co.il/case/16900367</vt:lpwstr>
      </vt:variant>
      <vt:variant>
        <vt:lpwstr/>
      </vt:variant>
      <vt:variant>
        <vt:i4>3997814</vt:i4>
      </vt:variant>
      <vt:variant>
        <vt:i4>51</vt:i4>
      </vt:variant>
      <vt:variant>
        <vt:i4>0</vt:i4>
      </vt:variant>
      <vt:variant>
        <vt:i4>5</vt:i4>
      </vt:variant>
      <vt:variant>
        <vt:lpwstr>http://www.nevo.co.il/case/20118367</vt:lpwstr>
      </vt:variant>
      <vt:variant>
        <vt:lpwstr/>
      </vt:variant>
      <vt:variant>
        <vt:i4>3604595</vt:i4>
      </vt:variant>
      <vt:variant>
        <vt:i4>48</vt:i4>
      </vt:variant>
      <vt:variant>
        <vt:i4>0</vt:i4>
      </vt:variant>
      <vt:variant>
        <vt:i4>5</vt:i4>
      </vt:variant>
      <vt:variant>
        <vt:lpwstr>http://www.nevo.co.il/case/23746048</vt:lpwstr>
      </vt:variant>
      <vt:variant>
        <vt:lpwstr/>
      </vt:variant>
      <vt:variant>
        <vt:i4>3932272</vt:i4>
      </vt:variant>
      <vt:variant>
        <vt:i4>45</vt:i4>
      </vt:variant>
      <vt:variant>
        <vt:i4>0</vt:i4>
      </vt:variant>
      <vt:variant>
        <vt:i4>5</vt:i4>
      </vt:variant>
      <vt:variant>
        <vt:lpwstr>http://www.nevo.co.il/case/17916229</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8061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שלמה</vt:lpwstr>
  </property>
  <property fmtid="{D5CDD505-2E9C-101B-9397-08002B2CF9AE}" pid="10" name="LAWYER">
    <vt:lpwstr>משה יעקובי;שרון בן שפר</vt:lpwstr>
  </property>
  <property fmtid="{D5CDD505-2E9C-101B-9397-08002B2CF9AE}" pid="11" name="JUDGE">
    <vt:lpwstr>יוני לבני</vt:lpwstr>
  </property>
  <property fmtid="{D5CDD505-2E9C-101B-9397-08002B2CF9AE}" pid="12" name="CITY">
    <vt:lpwstr>ראשל"צ</vt:lpwstr>
  </property>
  <property fmtid="{D5CDD505-2E9C-101B-9397-08002B2CF9AE}" pid="13" name="DATE">
    <vt:lpwstr>20241210</vt:lpwstr>
  </property>
  <property fmtid="{D5CDD505-2E9C-101B-9397-08002B2CF9AE}" pid="14" name="TYPE_N_DATE">
    <vt:lpwstr>38020241210</vt:lpwstr>
  </property>
  <property fmtid="{D5CDD505-2E9C-101B-9397-08002B2CF9AE}" pid="15" name="CASESLISTTMP1">
    <vt:lpwstr>5810781;17916229;23746048;20118367;16900367;20450155;6556523;25053162;25494716;13093721;5585052;5738608;17939812;5753269:2;21644133;23827604;26991436;27229615;5573783;26318040;23828555;13022245;20321459;18809103;26438804;20371632;20245898;5726579</vt:lpwstr>
  </property>
  <property fmtid="{D5CDD505-2E9C-101B-9397-08002B2CF9AE}" pid="16" name="CASESLISTTMP2">
    <vt:lpwstr>22938500</vt:lpwstr>
  </property>
  <property fmtid="{D5CDD505-2E9C-101B-9397-08002B2CF9AE}" pid="17" name="WORDNUMPAGES">
    <vt:lpwstr>11</vt:lpwstr>
  </property>
  <property fmtid="{D5CDD505-2E9C-101B-9397-08002B2CF9AE}" pid="18" name="TYPE_ABS_DATE">
    <vt:lpwstr>380020241210</vt:lpwstr>
  </property>
  <property fmtid="{D5CDD505-2E9C-101B-9397-08002B2CF9AE}" pid="19" name="ISABSTRACT">
    <vt:lpwstr>Y</vt:lpwstr>
  </property>
  <property fmtid="{D5CDD505-2E9C-101B-9397-08002B2CF9AE}" pid="20" name="LAWLISTTMP1">
    <vt:lpwstr>4216/013;019a</vt:lpwstr>
  </property>
  <property fmtid="{D5CDD505-2E9C-101B-9397-08002B2CF9AE}" pid="21" name="LAWLISTTMP2">
    <vt:lpwstr>70301/031;275;032;040d.a</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