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3C5E28" w:rsidRPr="00C4613D" w14:paraId="1120D3E6" w14:textId="77777777" w:rsidTr="008A1AD6">
        <w:trPr>
          <w:gridAfter w:val="1"/>
          <w:wAfter w:w="99" w:type="dxa"/>
          <w:trHeight w:hRule="exact" w:val="418"/>
          <w:jc w:val="center"/>
        </w:trPr>
        <w:tc>
          <w:tcPr>
            <w:tcW w:w="8721" w:type="dxa"/>
            <w:gridSpan w:val="3"/>
          </w:tcPr>
          <w:p w14:paraId="70EB6223" w14:textId="77777777" w:rsidR="003C5E28" w:rsidRPr="00C4613D" w:rsidRDefault="003C5E28" w:rsidP="00C16B8C">
            <w:pPr>
              <w:pStyle w:val="a3"/>
              <w:jc w:val="center"/>
              <w:rPr>
                <w:rFonts w:ascii="Tahoma" w:hAnsi="Tahoma" w:cs="Tahoma"/>
                <w:color w:val="000080"/>
                <w:rtl/>
              </w:rPr>
            </w:pPr>
            <w:r w:rsidRPr="00C4613D">
              <w:rPr>
                <w:rFonts w:ascii="Tahoma" w:hAnsi="Tahoma" w:cs="Tahoma"/>
                <w:b/>
                <w:bCs/>
                <w:color w:val="000080"/>
                <w:rtl/>
              </w:rPr>
              <w:t>בית משפט השלום בקריות</w:t>
            </w:r>
          </w:p>
        </w:tc>
      </w:tr>
      <w:tr w:rsidR="003C5E28" w:rsidRPr="00C4613D" w14:paraId="323395D5" w14:textId="77777777" w:rsidTr="008A1AD6">
        <w:trPr>
          <w:gridAfter w:val="1"/>
          <w:wAfter w:w="99" w:type="dxa"/>
          <w:trHeight w:val="337"/>
          <w:jc w:val="center"/>
        </w:trPr>
        <w:tc>
          <w:tcPr>
            <w:tcW w:w="5054" w:type="dxa"/>
            <w:gridSpan w:val="2"/>
          </w:tcPr>
          <w:p w14:paraId="336DE9B5" w14:textId="77777777" w:rsidR="003C5E28" w:rsidRPr="00C4613D" w:rsidRDefault="003C5E28" w:rsidP="00C16B8C">
            <w:pPr>
              <w:rPr>
                <w:rFonts w:cs="FrankRuehl"/>
                <w:sz w:val="28"/>
                <w:szCs w:val="28"/>
                <w:rtl/>
              </w:rPr>
            </w:pPr>
            <w:r w:rsidRPr="00C4613D">
              <w:rPr>
                <w:rFonts w:cs="FrankRuehl"/>
                <w:sz w:val="28"/>
                <w:szCs w:val="28"/>
                <w:rtl/>
              </w:rPr>
              <w:t>ת"פ</w:t>
            </w:r>
            <w:r w:rsidRPr="00C4613D">
              <w:rPr>
                <w:rFonts w:cs="FrankRuehl" w:hint="cs"/>
                <w:sz w:val="28"/>
                <w:szCs w:val="28"/>
                <w:rtl/>
              </w:rPr>
              <w:t xml:space="preserve"> </w:t>
            </w:r>
            <w:r w:rsidRPr="00C4613D">
              <w:rPr>
                <w:rFonts w:cs="FrankRuehl"/>
                <w:sz w:val="28"/>
                <w:szCs w:val="28"/>
                <w:rtl/>
              </w:rPr>
              <w:t>1297-03-22</w:t>
            </w:r>
            <w:r w:rsidRPr="00C4613D">
              <w:rPr>
                <w:rFonts w:cs="FrankRuehl" w:hint="cs"/>
                <w:sz w:val="28"/>
                <w:szCs w:val="28"/>
                <w:rtl/>
              </w:rPr>
              <w:t xml:space="preserve"> </w:t>
            </w:r>
            <w:r w:rsidRPr="00C4613D">
              <w:rPr>
                <w:rFonts w:cs="FrankRuehl"/>
                <w:sz w:val="28"/>
                <w:szCs w:val="28"/>
                <w:rtl/>
              </w:rPr>
              <w:t>מדינת ישראל נ' ליסר</w:t>
            </w:r>
          </w:p>
          <w:p w14:paraId="1AABA5B7" w14:textId="77777777" w:rsidR="003C5E28" w:rsidRPr="00C4613D" w:rsidRDefault="003C5E28" w:rsidP="00C16B8C">
            <w:pPr>
              <w:pStyle w:val="a3"/>
              <w:rPr>
                <w:rFonts w:cs="FrankRuehl"/>
                <w:sz w:val="28"/>
                <w:szCs w:val="28"/>
                <w:rtl/>
              </w:rPr>
            </w:pPr>
          </w:p>
        </w:tc>
        <w:tc>
          <w:tcPr>
            <w:tcW w:w="3667" w:type="dxa"/>
          </w:tcPr>
          <w:p w14:paraId="4601129B" w14:textId="77777777" w:rsidR="003C5E28" w:rsidRPr="00C4613D" w:rsidRDefault="003C5E28" w:rsidP="00C16B8C">
            <w:pPr>
              <w:pStyle w:val="a3"/>
              <w:jc w:val="right"/>
              <w:rPr>
                <w:rFonts w:cs="FrankRuehl"/>
                <w:sz w:val="28"/>
                <w:szCs w:val="28"/>
                <w:rtl/>
              </w:rPr>
            </w:pPr>
          </w:p>
        </w:tc>
      </w:tr>
      <w:tr w:rsidR="003C5E28" w:rsidRPr="00C4613D" w14:paraId="57F83BD6" w14:textId="77777777" w:rsidTr="008A1A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007D7D6" w14:textId="77777777" w:rsidR="003C5E28" w:rsidRPr="00C4613D" w:rsidRDefault="003C5E28" w:rsidP="003C5E28">
            <w:pPr>
              <w:jc w:val="both"/>
              <w:rPr>
                <w:rFonts w:ascii="David" w:hAnsi="David"/>
                <w:b/>
                <w:bCs/>
              </w:rPr>
            </w:pPr>
            <w:r w:rsidRPr="00C4613D">
              <w:rPr>
                <w:rFonts w:hint="cs"/>
                <w:rtl/>
              </w:rPr>
              <w:t xml:space="preserve"> </w:t>
            </w:r>
            <w:r w:rsidRPr="00C4613D">
              <w:rPr>
                <w:rFonts w:ascii="David" w:hAnsi="David"/>
                <w:b/>
                <w:bCs/>
                <w:rtl/>
              </w:rPr>
              <w:t xml:space="preserve">בפני </w:t>
            </w:r>
          </w:p>
        </w:tc>
        <w:tc>
          <w:tcPr>
            <w:tcW w:w="7897" w:type="dxa"/>
            <w:gridSpan w:val="3"/>
            <w:tcBorders>
              <w:top w:val="nil"/>
              <w:left w:val="nil"/>
              <w:bottom w:val="nil"/>
              <w:right w:val="nil"/>
            </w:tcBorders>
            <w:shd w:val="clear" w:color="auto" w:fill="auto"/>
          </w:tcPr>
          <w:p w14:paraId="47EFDCD9" w14:textId="77777777" w:rsidR="003C5E28" w:rsidRPr="00C4613D" w:rsidRDefault="003C5E28" w:rsidP="00C16B8C">
            <w:pPr>
              <w:rPr>
                <w:rFonts w:ascii="David" w:hAnsi="David"/>
                <w:b/>
                <w:bCs/>
              </w:rPr>
            </w:pPr>
            <w:r w:rsidRPr="00C4613D">
              <w:rPr>
                <w:rFonts w:ascii="Arial" w:hAnsi="Arial"/>
                <w:b/>
                <w:bCs/>
                <w:rtl/>
              </w:rPr>
              <w:t>כב' השופט יוסי טורס , סגן הנשיאה</w:t>
            </w:r>
          </w:p>
        </w:tc>
      </w:tr>
      <w:tr w:rsidR="003C5E28" w:rsidRPr="00C4613D" w14:paraId="5B6EEAF6" w14:textId="77777777" w:rsidTr="008A1A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1C6166" w14:textId="77777777" w:rsidR="003C5E28" w:rsidRPr="00C4613D" w:rsidRDefault="003C5E28" w:rsidP="003C5E28">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00D16C09" w14:textId="77777777" w:rsidR="003C5E28" w:rsidRPr="00C4613D" w:rsidRDefault="003C5E28" w:rsidP="00C16B8C">
            <w:pPr>
              <w:rPr>
                <w:rFonts w:ascii="David" w:hAnsi="David"/>
                <w:b/>
                <w:bCs/>
              </w:rPr>
            </w:pPr>
          </w:p>
        </w:tc>
        <w:tc>
          <w:tcPr>
            <w:tcW w:w="3771" w:type="dxa"/>
            <w:gridSpan w:val="2"/>
            <w:tcBorders>
              <w:top w:val="nil"/>
              <w:left w:val="nil"/>
              <w:bottom w:val="nil"/>
              <w:right w:val="nil"/>
            </w:tcBorders>
            <w:shd w:val="clear" w:color="auto" w:fill="auto"/>
          </w:tcPr>
          <w:p w14:paraId="7D2A50E9" w14:textId="77777777" w:rsidR="003C5E28" w:rsidRPr="00C4613D" w:rsidRDefault="003C5E28" w:rsidP="003C5E28">
            <w:pPr>
              <w:jc w:val="both"/>
              <w:rPr>
                <w:rFonts w:ascii="David" w:hAnsi="David"/>
                <w:b/>
                <w:bCs/>
              </w:rPr>
            </w:pPr>
          </w:p>
        </w:tc>
      </w:tr>
      <w:tr w:rsidR="003C5E28" w:rsidRPr="00C4613D" w14:paraId="0E7E9E10" w14:textId="77777777" w:rsidTr="008A1A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38CF89" w14:textId="77777777" w:rsidR="003C5E28" w:rsidRPr="00C4613D" w:rsidRDefault="003C5E28" w:rsidP="003C5E28">
            <w:pPr>
              <w:jc w:val="both"/>
              <w:rPr>
                <w:rFonts w:ascii="David" w:hAnsi="David"/>
                <w:b/>
                <w:bCs/>
              </w:rPr>
            </w:pPr>
            <w:bookmarkStart w:id="1" w:name="FirstAppellant"/>
            <w:r w:rsidRPr="00C4613D">
              <w:rPr>
                <w:rFonts w:ascii="David" w:hAnsi="David"/>
                <w:b/>
                <w:bCs/>
                <w:rtl/>
              </w:rPr>
              <w:t>בעניין:</w:t>
            </w:r>
          </w:p>
        </w:tc>
        <w:tc>
          <w:tcPr>
            <w:tcW w:w="4126" w:type="dxa"/>
            <w:tcBorders>
              <w:top w:val="nil"/>
              <w:left w:val="nil"/>
              <w:bottom w:val="nil"/>
              <w:right w:val="nil"/>
            </w:tcBorders>
            <w:shd w:val="clear" w:color="auto" w:fill="auto"/>
          </w:tcPr>
          <w:p w14:paraId="237E9164" w14:textId="77777777" w:rsidR="003C5E28" w:rsidRPr="00C4613D" w:rsidRDefault="003C5E28" w:rsidP="00C16B8C">
            <w:pPr>
              <w:rPr>
                <w:rFonts w:ascii="David" w:hAnsi="David"/>
                <w:b/>
                <w:bCs/>
              </w:rPr>
            </w:pPr>
            <w:r w:rsidRPr="00C4613D">
              <w:rPr>
                <w:rFonts w:ascii="David" w:hAnsi="David"/>
                <w:b/>
                <w:bCs/>
                <w:rtl/>
              </w:rPr>
              <w:t>מדינת ישראל</w:t>
            </w:r>
          </w:p>
        </w:tc>
        <w:tc>
          <w:tcPr>
            <w:tcW w:w="3771" w:type="dxa"/>
            <w:gridSpan w:val="2"/>
            <w:tcBorders>
              <w:top w:val="nil"/>
              <w:left w:val="nil"/>
              <w:bottom w:val="nil"/>
              <w:right w:val="nil"/>
            </w:tcBorders>
            <w:shd w:val="clear" w:color="auto" w:fill="auto"/>
          </w:tcPr>
          <w:p w14:paraId="499C5BE8" w14:textId="77777777" w:rsidR="003C5E28" w:rsidRPr="00C4613D" w:rsidRDefault="003C5E28" w:rsidP="003C5E28">
            <w:pPr>
              <w:jc w:val="right"/>
              <w:rPr>
                <w:rFonts w:ascii="David" w:hAnsi="David"/>
                <w:b/>
                <w:bCs/>
                <w:rtl/>
              </w:rPr>
            </w:pPr>
            <w:r w:rsidRPr="00C4613D">
              <w:rPr>
                <w:rFonts w:ascii="David" w:hAnsi="David"/>
                <w:b/>
                <w:bCs/>
                <w:rtl/>
              </w:rPr>
              <w:t>המאשימה</w:t>
            </w:r>
          </w:p>
        </w:tc>
      </w:tr>
      <w:bookmarkEnd w:id="1"/>
      <w:tr w:rsidR="003C5E28" w:rsidRPr="00C4613D" w14:paraId="018F5662" w14:textId="77777777" w:rsidTr="008A1A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8289EE" w14:textId="77777777" w:rsidR="003C5E28" w:rsidRPr="00C4613D" w:rsidRDefault="003C5E28" w:rsidP="003C5E28">
            <w:pPr>
              <w:jc w:val="both"/>
              <w:rPr>
                <w:rFonts w:ascii="David" w:hAnsi="David"/>
                <w:b/>
                <w:bCs/>
                <w:rtl/>
              </w:rPr>
            </w:pPr>
          </w:p>
        </w:tc>
        <w:tc>
          <w:tcPr>
            <w:tcW w:w="7897" w:type="dxa"/>
            <w:gridSpan w:val="3"/>
            <w:tcBorders>
              <w:top w:val="nil"/>
              <w:left w:val="nil"/>
              <w:bottom w:val="nil"/>
              <w:right w:val="nil"/>
            </w:tcBorders>
            <w:shd w:val="clear" w:color="auto" w:fill="auto"/>
          </w:tcPr>
          <w:p w14:paraId="6CF23930" w14:textId="77777777" w:rsidR="003C5E28" w:rsidRPr="00C4613D" w:rsidRDefault="003C5E28" w:rsidP="003C5E28">
            <w:pPr>
              <w:jc w:val="center"/>
              <w:rPr>
                <w:rFonts w:ascii="David" w:hAnsi="David"/>
                <w:b/>
                <w:bCs/>
                <w:rtl/>
              </w:rPr>
            </w:pPr>
          </w:p>
          <w:p w14:paraId="2388DC74" w14:textId="77777777" w:rsidR="003C5E28" w:rsidRPr="00C4613D" w:rsidRDefault="003C5E28" w:rsidP="003C5E28">
            <w:pPr>
              <w:jc w:val="center"/>
              <w:rPr>
                <w:rFonts w:ascii="David" w:hAnsi="David"/>
                <w:b/>
                <w:bCs/>
                <w:rtl/>
              </w:rPr>
            </w:pPr>
            <w:r w:rsidRPr="00C4613D">
              <w:rPr>
                <w:rFonts w:ascii="David" w:hAnsi="David"/>
                <w:b/>
                <w:bCs/>
                <w:rtl/>
              </w:rPr>
              <w:t>נגד</w:t>
            </w:r>
          </w:p>
          <w:p w14:paraId="547E04EA" w14:textId="77777777" w:rsidR="003C5E28" w:rsidRPr="00C4613D" w:rsidRDefault="003C5E28" w:rsidP="003C5E28">
            <w:pPr>
              <w:jc w:val="both"/>
              <w:rPr>
                <w:rFonts w:ascii="David" w:hAnsi="David"/>
                <w:b/>
                <w:bCs/>
              </w:rPr>
            </w:pPr>
          </w:p>
        </w:tc>
      </w:tr>
      <w:tr w:rsidR="003C5E28" w:rsidRPr="00C4613D" w14:paraId="49E5A83F" w14:textId="77777777" w:rsidTr="008A1A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2F1AB1D" w14:textId="77777777" w:rsidR="003C5E28" w:rsidRPr="00C4613D" w:rsidRDefault="003C5E28" w:rsidP="00C16B8C">
            <w:pPr>
              <w:rPr>
                <w:rFonts w:ascii="David" w:hAnsi="David"/>
                <w:b/>
                <w:bCs/>
                <w:rtl/>
              </w:rPr>
            </w:pPr>
          </w:p>
        </w:tc>
        <w:tc>
          <w:tcPr>
            <w:tcW w:w="4126" w:type="dxa"/>
            <w:tcBorders>
              <w:top w:val="nil"/>
              <w:left w:val="nil"/>
              <w:bottom w:val="nil"/>
              <w:right w:val="nil"/>
            </w:tcBorders>
            <w:shd w:val="clear" w:color="auto" w:fill="auto"/>
          </w:tcPr>
          <w:p w14:paraId="3C3E7C9C" w14:textId="77777777" w:rsidR="003C5E28" w:rsidRPr="00C4613D" w:rsidRDefault="003C5E28" w:rsidP="00C16B8C">
            <w:pPr>
              <w:rPr>
                <w:rFonts w:ascii="David" w:hAnsi="David"/>
                <w:b/>
                <w:bCs/>
                <w:rtl/>
              </w:rPr>
            </w:pPr>
          </w:p>
        </w:tc>
        <w:tc>
          <w:tcPr>
            <w:tcW w:w="3771" w:type="dxa"/>
            <w:gridSpan w:val="2"/>
            <w:tcBorders>
              <w:top w:val="nil"/>
              <w:left w:val="nil"/>
              <w:bottom w:val="nil"/>
              <w:right w:val="nil"/>
            </w:tcBorders>
            <w:shd w:val="clear" w:color="auto" w:fill="auto"/>
          </w:tcPr>
          <w:p w14:paraId="443F4277" w14:textId="77777777" w:rsidR="003C5E28" w:rsidRPr="00C4613D" w:rsidRDefault="003C5E28" w:rsidP="003C5E28">
            <w:pPr>
              <w:jc w:val="right"/>
              <w:rPr>
                <w:rFonts w:ascii="David" w:hAnsi="David"/>
                <w:b/>
                <w:bCs/>
              </w:rPr>
            </w:pPr>
          </w:p>
        </w:tc>
      </w:tr>
      <w:tr w:rsidR="003C5E28" w:rsidRPr="00C4613D" w14:paraId="6E305355" w14:textId="77777777" w:rsidTr="008A1A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744AA3" w14:textId="77777777" w:rsidR="003C5E28" w:rsidRPr="00C4613D" w:rsidRDefault="003C5E28" w:rsidP="003C5E28">
            <w:pPr>
              <w:jc w:val="both"/>
              <w:rPr>
                <w:rFonts w:ascii="David" w:hAnsi="David"/>
                <w:b/>
                <w:bCs/>
                <w:rtl/>
              </w:rPr>
            </w:pPr>
          </w:p>
        </w:tc>
        <w:tc>
          <w:tcPr>
            <w:tcW w:w="4126" w:type="dxa"/>
            <w:tcBorders>
              <w:top w:val="nil"/>
              <w:left w:val="nil"/>
              <w:bottom w:val="nil"/>
              <w:right w:val="nil"/>
            </w:tcBorders>
            <w:shd w:val="clear" w:color="auto" w:fill="auto"/>
          </w:tcPr>
          <w:p w14:paraId="2A600936" w14:textId="77777777" w:rsidR="003C5E28" w:rsidRPr="00C4613D" w:rsidRDefault="003C5E28" w:rsidP="003C5E28">
            <w:pPr>
              <w:jc w:val="both"/>
              <w:rPr>
                <w:rFonts w:ascii="David" w:hAnsi="David"/>
                <w:b/>
                <w:bCs/>
                <w:rtl/>
              </w:rPr>
            </w:pPr>
            <w:r w:rsidRPr="00C4613D">
              <w:rPr>
                <w:rFonts w:ascii="David" w:hAnsi="David"/>
                <w:b/>
                <w:bCs/>
                <w:rtl/>
              </w:rPr>
              <w:t>גד ליסר</w:t>
            </w:r>
          </w:p>
        </w:tc>
        <w:tc>
          <w:tcPr>
            <w:tcW w:w="3771" w:type="dxa"/>
            <w:gridSpan w:val="2"/>
            <w:tcBorders>
              <w:top w:val="nil"/>
              <w:left w:val="nil"/>
              <w:bottom w:val="nil"/>
              <w:right w:val="nil"/>
            </w:tcBorders>
            <w:shd w:val="clear" w:color="auto" w:fill="auto"/>
          </w:tcPr>
          <w:p w14:paraId="414E26B9" w14:textId="77777777" w:rsidR="003C5E28" w:rsidRPr="00C4613D" w:rsidRDefault="003C5E28" w:rsidP="003C5E28">
            <w:pPr>
              <w:jc w:val="right"/>
              <w:rPr>
                <w:rFonts w:ascii="David" w:hAnsi="David"/>
                <w:b/>
                <w:bCs/>
              </w:rPr>
            </w:pPr>
            <w:r w:rsidRPr="00C4613D">
              <w:rPr>
                <w:rFonts w:ascii="David" w:hAnsi="David"/>
                <w:b/>
                <w:bCs/>
                <w:rtl/>
              </w:rPr>
              <w:t>הנאש</w:t>
            </w:r>
            <w:r w:rsidRPr="00C4613D">
              <w:rPr>
                <w:rFonts w:ascii="David" w:hAnsi="David" w:hint="cs"/>
                <w:b/>
                <w:bCs/>
                <w:rtl/>
              </w:rPr>
              <w:t>ם</w:t>
            </w:r>
          </w:p>
        </w:tc>
      </w:tr>
    </w:tbl>
    <w:p w14:paraId="4EF9D2B3" w14:textId="77777777" w:rsidR="008A1AD6" w:rsidRDefault="008A1AD6" w:rsidP="003C5E28">
      <w:pPr>
        <w:rPr>
          <w:rtl/>
        </w:rPr>
      </w:pPr>
    </w:p>
    <w:p w14:paraId="6114E961" w14:textId="77777777" w:rsidR="008A1AD6" w:rsidRPr="008A1AD6" w:rsidRDefault="008A1AD6" w:rsidP="008A1AD6">
      <w:pPr>
        <w:spacing w:after="120" w:line="240" w:lineRule="exact"/>
        <w:ind w:left="283" w:hanging="283"/>
        <w:jc w:val="both"/>
        <w:rPr>
          <w:rFonts w:ascii="FrankRuehl" w:hAnsi="FrankRuehl" w:cs="FrankRuehl"/>
          <w:rtl/>
        </w:rPr>
      </w:pPr>
    </w:p>
    <w:p w14:paraId="7A4A0B98" w14:textId="77777777" w:rsidR="009D6981" w:rsidRPr="009D6981" w:rsidRDefault="009D6981" w:rsidP="009D6981">
      <w:pPr>
        <w:spacing w:before="120" w:after="120" w:line="240" w:lineRule="exact"/>
        <w:ind w:left="283" w:hanging="283"/>
        <w:jc w:val="both"/>
        <w:rPr>
          <w:rFonts w:ascii="FrankRuehl" w:hAnsi="FrankRuehl" w:cs="FrankRuehl"/>
          <w:rtl/>
        </w:rPr>
      </w:pPr>
    </w:p>
    <w:p w14:paraId="05ABD2DD" w14:textId="77777777" w:rsidR="00722965" w:rsidRDefault="00722965" w:rsidP="00722965">
      <w:pPr>
        <w:rPr>
          <w:rFonts w:ascii="David" w:hAnsi="David"/>
          <w:rtl/>
        </w:rPr>
      </w:pPr>
      <w:bookmarkStart w:id="2" w:name="LawTable"/>
      <w:bookmarkEnd w:id="2"/>
    </w:p>
    <w:p w14:paraId="2BC51984" w14:textId="77777777" w:rsidR="00722965" w:rsidRPr="00722965" w:rsidRDefault="00722965" w:rsidP="00722965">
      <w:pPr>
        <w:spacing w:before="120" w:after="120" w:line="240" w:lineRule="exact"/>
        <w:ind w:left="283" w:hanging="283"/>
        <w:jc w:val="both"/>
        <w:rPr>
          <w:rFonts w:ascii="FrankRuehl" w:hAnsi="FrankRuehl" w:cs="FrankRuehl"/>
          <w:rtl/>
        </w:rPr>
      </w:pPr>
    </w:p>
    <w:p w14:paraId="43709D64" w14:textId="77777777" w:rsidR="00722965" w:rsidRPr="00722965" w:rsidRDefault="00722965" w:rsidP="00722965">
      <w:pPr>
        <w:spacing w:before="120" w:after="120" w:line="240" w:lineRule="exact"/>
        <w:ind w:left="283" w:hanging="283"/>
        <w:jc w:val="both"/>
        <w:rPr>
          <w:rFonts w:ascii="FrankRuehl" w:hAnsi="FrankRuehl" w:cs="FrankRuehl"/>
          <w:rtl/>
        </w:rPr>
      </w:pPr>
    </w:p>
    <w:p w14:paraId="5252E742" w14:textId="77777777" w:rsidR="00722965" w:rsidRPr="00722965" w:rsidRDefault="00722965" w:rsidP="00722965">
      <w:pPr>
        <w:spacing w:before="120" w:after="120" w:line="240" w:lineRule="exact"/>
        <w:ind w:left="283" w:hanging="283"/>
        <w:jc w:val="both"/>
        <w:rPr>
          <w:rFonts w:ascii="FrankRuehl" w:hAnsi="FrankRuehl" w:cs="FrankRuehl"/>
          <w:rtl/>
        </w:rPr>
      </w:pPr>
      <w:r w:rsidRPr="00722965">
        <w:rPr>
          <w:rFonts w:ascii="FrankRuehl" w:hAnsi="FrankRuehl" w:cs="FrankRuehl"/>
          <w:rtl/>
        </w:rPr>
        <w:t xml:space="preserve">חקיקה שאוזכרה: </w:t>
      </w:r>
    </w:p>
    <w:p w14:paraId="517EB853" w14:textId="77777777" w:rsidR="00722965" w:rsidRPr="00722965" w:rsidRDefault="00722965" w:rsidP="00722965">
      <w:pPr>
        <w:spacing w:before="120" w:after="120" w:line="240" w:lineRule="exact"/>
        <w:ind w:left="283" w:hanging="283"/>
        <w:jc w:val="both"/>
        <w:rPr>
          <w:rFonts w:ascii="FrankRuehl" w:hAnsi="FrankRuehl" w:cs="FrankRuehl"/>
          <w:rtl/>
        </w:rPr>
      </w:pPr>
      <w:hyperlink r:id="rId7" w:history="1">
        <w:r w:rsidRPr="00722965">
          <w:rPr>
            <w:rFonts w:ascii="FrankRuehl" w:hAnsi="FrankRuehl" w:cs="FrankRuehl"/>
            <w:color w:val="0000FF"/>
            <w:rtl/>
          </w:rPr>
          <w:t>פקודת הסמים המסוכנים [נוסח חדש], תשל"ג-1973</w:t>
        </w:r>
      </w:hyperlink>
      <w:r w:rsidRPr="00722965">
        <w:rPr>
          <w:rFonts w:ascii="FrankRuehl" w:hAnsi="FrankRuehl" w:cs="FrankRuehl"/>
          <w:rtl/>
        </w:rPr>
        <w:t xml:space="preserve">: סע'  </w:t>
      </w:r>
      <w:hyperlink r:id="rId8" w:history="1">
        <w:r w:rsidRPr="00722965">
          <w:rPr>
            <w:rFonts w:ascii="FrankRuehl" w:hAnsi="FrankRuehl" w:cs="FrankRuehl"/>
            <w:color w:val="0000FF"/>
            <w:rtl/>
          </w:rPr>
          <w:t>6</w:t>
        </w:r>
      </w:hyperlink>
      <w:r w:rsidRPr="00722965">
        <w:rPr>
          <w:rFonts w:ascii="FrankRuehl" w:hAnsi="FrankRuehl" w:cs="FrankRuehl"/>
          <w:rtl/>
        </w:rPr>
        <w:t xml:space="preserve">, </w:t>
      </w:r>
      <w:hyperlink r:id="rId9" w:history="1">
        <w:r w:rsidRPr="00722965">
          <w:rPr>
            <w:rFonts w:ascii="FrankRuehl" w:hAnsi="FrankRuehl" w:cs="FrankRuehl"/>
            <w:color w:val="0000FF"/>
            <w:rtl/>
          </w:rPr>
          <w:t>7.א.</w:t>
        </w:r>
      </w:hyperlink>
      <w:r w:rsidRPr="00722965">
        <w:rPr>
          <w:rFonts w:ascii="FrankRuehl" w:hAnsi="FrankRuehl" w:cs="FrankRuehl"/>
          <w:rtl/>
        </w:rPr>
        <w:t xml:space="preserve">, </w:t>
      </w:r>
      <w:hyperlink r:id="rId10" w:history="1">
        <w:r w:rsidRPr="00722965">
          <w:rPr>
            <w:rFonts w:ascii="FrankRuehl" w:hAnsi="FrankRuehl" w:cs="FrankRuehl"/>
            <w:color w:val="0000FF"/>
            <w:rtl/>
          </w:rPr>
          <w:t>7.ג</w:t>
        </w:r>
      </w:hyperlink>
    </w:p>
    <w:p w14:paraId="057230D5" w14:textId="77777777" w:rsidR="00722965" w:rsidRPr="00722965" w:rsidRDefault="00722965" w:rsidP="00722965">
      <w:pPr>
        <w:rPr>
          <w:rFonts w:ascii="David" w:hAnsi="David"/>
          <w:rtl/>
        </w:rPr>
      </w:pPr>
      <w:bookmarkStart w:id="3" w:name="LawTable_End"/>
      <w:bookmarkEnd w:id="3"/>
    </w:p>
    <w:p w14:paraId="08C80558" w14:textId="77777777" w:rsidR="003C5E28" w:rsidRPr="009D6981" w:rsidRDefault="003C5E28" w:rsidP="009D6981">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C5E28" w:rsidRPr="00EB1565" w14:paraId="2D55D447" w14:textId="77777777" w:rsidTr="003C5E28">
        <w:trPr>
          <w:trHeight w:val="355"/>
          <w:jc w:val="center"/>
        </w:trPr>
        <w:tc>
          <w:tcPr>
            <w:tcW w:w="8820" w:type="dxa"/>
            <w:tcBorders>
              <w:top w:val="nil"/>
              <w:left w:val="nil"/>
              <w:bottom w:val="nil"/>
              <w:right w:val="nil"/>
            </w:tcBorders>
            <w:shd w:val="clear" w:color="auto" w:fill="auto"/>
          </w:tcPr>
          <w:p w14:paraId="7C81A9A7" w14:textId="77777777" w:rsidR="00C4613D" w:rsidRPr="00C4613D" w:rsidRDefault="00C4613D" w:rsidP="00C4613D">
            <w:pPr>
              <w:jc w:val="center"/>
              <w:rPr>
                <w:rFonts w:ascii="David" w:hAnsi="David"/>
                <w:b/>
                <w:bCs/>
                <w:sz w:val="28"/>
                <w:szCs w:val="28"/>
                <w:u w:val="single"/>
                <w:rtl/>
              </w:rPr>
            </w:pPr>
            <w:bookmarkStart w:id="4" w:name="PsakDin" w:colFirst="0" w:colLast="0"/>
            <w:r w:rsidRPr="00C4613D">
              <w:rPr>
                <w:rFonts w:ascii="David" w:hAnsi="David"/>
                <w:b/>
                <w:bCs/>
                <w:sz w:val="28"/>
                <w:szCs w:val="28"/>
                <w:u w:val="single"/>
                <w:rtl/>
              </w:rPr>
              <w:t>גזר דין</w:t>
            </w:r>
          </w:p>
          <w:p w14:paraId="15565DB6" w14:textId="77777777" w:rsidR="003C5E28" w:rsidRPr="00C4613D" w:rsidRDefault="003C5E28" w:rsidP="00C4613D">
            <w:pPr>
              <w:jc w:val="center"/>
              <w:rPr>
                <w:rFonts w:ascii="David" w:hAnsi="David"/>
                <w:b/>
                <w:bCs/>
                <w:u w:val="single"/>
                <w:rtl/>
              </w:rPr>
            </w:pPr>
          </w:p>
        </w:tc>
      </w:tr>
      <w:bookmarkEnd w:id="4"/>
    </w:tbl>
    <w:p w14:paraId="50BD745E" w14:textId="77777777" w:rsidR="003C5E28" w:rsidRDefault="003C5E28" w:rsidP="003C5E28">
      <w:pPr>
        <w:rPr>
          <w:rFonts w:ascii="David" w:hAnsi="David"/>
          <w:rtl/>
        </w:rPr>
      </w:pPr>
    </w:p>
    <w:p w14:paraId="0F262C6B" w14:textId="77777777" w:rsidR="003C5E28" w:rsidRDefault="003C5E28" w:rsidP="003C5E28">
      <w:pPr>
        <w:rPr>
          <w:rFonts w:ascii="David" w:hAnsi="David"/>
          <w:rtl/>
        </w:rPr>
      </w:pPr>
      <w:r>
        <w:rPr>
          <w:rFonts w:ascii="David" w:hAnsi="David" w:hint="cs"/>
          <w:b/>
          <w:bCs/>
          <w:u w:val="single"/>
          <w:rtl/>
        </w:rPr>
        <w:t>כתב האישום וההליכים</w:t>
      </w:r>
    </w:p>
    <w:p w14:paraId="4682B86C" w14:textId="77777777" w:rsidR="003C5E28" w:rsidRDefault="003C5E28" w:rsidP="003C5E28">
      <w:pPr>
        <w:rPr>
          <w:rFonts w:ascii="David" w:hAnsi="David"/>
          <w:rtl/>
        </w:rPr>
      </w:pPr>
    </w:p>
    <w:p w14:paraId="1FE9DFE0" w14:textId="77777777" w:rsidR="003C5E28" w:rsidRDefault="003C5E28" w:rsidP="003C5E28">
      <w:pPr>
        <w:pStyle w:val="a9"/>
        <w:numPr>
          <w:ilvl w:val="0"/>
          <w:numId w:val="1"/>
        </w:numPr>
        <w:spacing w:line="360" w:lineRule="auto"/>
        <w:jc w:val="both"/>
        <w:rPr>
          <w:rFonts w:ascii="David" w:hAnsi="David"/>
        </w:rPr>
      </w:pPr>
      <w:bookmarkStart w:id="5" w:name="ABSTRACT_START"/>
      <w:bookmarkEnd w:id="5"/>
      <w:r w:rsidRPr="0044530B">
        <w:rPr>
          <w:rFonts w:ascii="David" w:hAnsi="David" w:hint="cs"/>
          <w:rtl/>
        </w:rPr>
        <w:t xml:space="preserve">הנאשם הורשע על פי הודאתו בעבירת </w:t>
      </w:r>
      <w:r w:rsidRPr="0044530B">
        <w:rPr>
          <w:rFonts w:ascii="David" w:hAnsi="David"/>
          <w:rtl/>
        </w:rPr>
        <w:t xml:space="preserve">ייצור, הכנה והפקת סמים מסוכנים, לפי </w:t>
      </w:r>
      <w:hyperlink r:id="rId11" w:history="1">
        <w:r w:rsidR="008A1AD6" w:rsidRPr="008A1AD6">
          <w:rPr>
            <w:rStyle w:val="Hyperlink"/>
            <w:rFonts w:ascii="David" w:hAnsi="David" w:cs="David"/>
            <w:rtl/>
          </w:rPr>
          <w:t>סעיף 6</w:t>
        </w:r>
      </w:hyperlink>
      <w:r w:rsidRPr="0044530B">
        <w:rPr>
          <w:rFonts w:ascii="David" w:hAnsi="David"/>
          <w:rtl/>
        </w:rPr>
        <w:t xml:space="preserve"> ל</w:t>
      </w:r>
      <w:hyperlink r:id="rId12" w:history="1">
        <w:r w:rsidR="00C4613D" w:rsidRPr="00C4613D">
          <w:rPr>
            <w:rFonts w:ascii="David" w:hAnsi="David"/>
            <w:color w:val="0000FF"/>
            <w:u w:val="single"/>
            <w:rtl/>
          </w:rPr>
          <w:t>פקודת הסמים המסוכנים</w:t>
        </w:r>
      </w:hyperlink>
      <w:r w:rsidRPr="0044530B">
        <w:rPr>
          <w:rFonts w:ascii="David" w:hAnsi="David"/>
          <w:rtl/>
        </w:rPr>
        <w:t xml:space="preserve"> [נוסח חדש], התשל"ג-1973 (להלן – </w:t>
      </w:r>
      <w:r w:rsidRPr="000F4039">
        <w:rPr>
          <w:rFonts w:ascii="Miriam" w:hAnsi="Miriam" w:cs="Miriam"/>
          <w:rtl/>
        </w:rPr>
        <w:t>פקודת הסמים</w:t>
      </w:r>
      <w:r w:rsidRPr="0044530B">
        <w:rPr>
          <w:rFonts w:ascii="David" w:hAnsi="David"/>
          <w:rtl/>
        </w:rPr>
        <w:t xml:space="preserve">) ובעבירה של החזקת סם לשימוש עצמי, לפי סעיפים </w:t>
      </w:r>
      <w:hyperlink r:id="rId13" w:history="1">
        <w:r w:rsidR="008A1AD6" w:rsidRPr="008A1AD6">
          <w:rPr>
            <w:rStyle w:val="Hyperlink"/>
            <w:rFonts w:ascii="David" w:hAnsi="David" w:cs="David"/>
            <w:rtl/>
          </w:rPr>
          <w:t>7(א)+7(ג)</w:t>
        </w:r>
      </w:hyperlink>
      <w:r w:rsidRPr="0044530B">
        <w:rPr>
          <w:rFonts w:ascii="David" w:hAnsi="David"/>
          <w:rtl/>
        </w:rPr>
        <w:t xml:space="preserve"> סיפא לפקודת הסמים.</w:t>
      </w:r>
      <w:r>
        <w:rPr>
          <w:rFonts w:ascii="David" w:hAnsi="David" w:hint="cs"/>
          <w:rtl/>
        </w:rPr>
        <w:t xml:space="preserve"> על פי עובדות כתב האישום המתוקן, ביום 8.4.21 נמצא הנאשם מגדל במרפסת הבית עציץ אחד של קנבוס במשקל של 439.58 גרם נטו. כן החזיק הנאשם במועד זה בביתו שקית המכילה 4.56 גרם נטו של קנבוס; שקית ובה 5 יחידות של </w:t>
      </w:r>
      <w:r>
        <w:rPr>
          <w:rFonts w:ascii="David" w:hAnsi="David" w:hint="cs"/>
        </w:rPr>
        <w:t>LSD</w:t>
      </w:r>
      <w:r>
        <w:rPr>
          <w:rFonts w:ascii="David" w:hAnsi="David" w:hint="cs"/>
          <w:rtl/>
        </w:rPr>
        <w:t xml:space="preserve"> בנייר כסף; שקית ובה 0.1648 גרם נטו של סם מסוכן מסוג קוקאין ושקית נוספת ובה 0.9490 גרם נטו של </w:t>
      </w:r>
      <w:r>
        <w:rPr>
          <w:rFonts w:ascii="David" w:hAnsi="David" w:hint="cs"/>
        </w:rPr>
        <w:t>MDMA</w:t>
      </w:r>
      <w:r>
        <w:rPr>
          <w:rFonts w:ascii="David" w:hAnsi="David" w:hint="cs"/>
          <w:rtl/>
        </w:rPr>
        <w:t xml:space="preserve">; בקבוק זכוכית המכיל </w:t>
      </w:r>
      <w:r>
        <w:rPr>
          <w:rFonts w:ascii="David" w:hAnsi="David"/>
        </w:rPr>
        <w:t>DELTA9-TERAHYDROCANNABINOL</w:t>
      </w:r>
      <w:r>
        <w:rPr>
          <w:rFonts w:ascii="David" w:hAnsi="David" w:hint="cs"/>
          <w:rtl/>
        </w:rPr>
        <w:t xml:space="preserve"> בנפח לא ידוע והכל לשימוש עצמי. </w:t>
      </w:r>
    </w:p>
    <w:p w14:paraId="6A3E69A4" w14:textId="77777777" w:rsidR="003C5E28" w:rsidRDefault="003C5E28" w:rsidP="003C5E28">
      <w:pPr>
        <w:pStyle w:val="a9"/>
        <w:ind w:left="0"/>
        <w:jc w:val="both"/>
        <w:rPr>
          <w:rFonts w:ascii="David" w:hAnsi="David"/>
        </w:rPr>
      </w:pPr>
      <w:bookmarkStart w:id="6" w:name="ABSTRACT_END"/>
      <w:bookmarkEnd w:id="6"/>
    </w:p>
    <w:p w14:paraId="7767AD8A" w14:textId="77777777" w:rsidR="003C5E28" w:rsidRDefault="003C5E28" w:rsidP="003C5E28">
      <w:pPr>
        <w:pStyle w:val="a9"/>
        <w:numPr>
          <w:ilvl w:val="0"/>
          <w:numId w:val="1"/>
        </w:numPr>
        <w:spacing w:line="360" w:lineRule="auto"/>
        <w:jc w:val="both"/>
        <w:rPr>
          <w:rFonts w:ascii="David" w:hAnsi="David"/>
        </w:rPr>
      </w:pPr>
      <w:r>
        <w:rPr>
          <w:rFonts w:ascii="David" w:hAnsi="David" w:hint="cs"/>
          <w:rtl/>
        </w:rPr>
        <w:t xml:space="preserve">הצדדים הגיעו להסדר טיעון במסגרתו הודה הנאשם בכתב אישום מתוקן והוסכם כי המאשימה תעתור לארבעה חודשי מאסר לריצוי בעבודות שירות, בכפוף לחוות דעת הממונה, וההגנה מצידה תטען באופן חופשי. </w:t>
      </w:r>
    </w:p>
    <w:p w14:paraId="5F7975BA" w14:textId="77777777" w:rsidR="003C5E28" w:rsidRDefault="003C5E28" w:rsidP="003C5E28">
      <w:pPr>
        <w:pStyle w:val="a9"/>
        <w:ind w:left="0"/>
        <w:jc w:val="both"/>
        <w:rPr>
          <w:rFonts w:ascii="David" w:hAnsi="David"/>
          <w:rtl/>
        </w:rPr>
      </w:pPr>
    </w:p>
    <w:p w14:paraId="51A63E4E" w14:textId="77777777" w:rsidR="003C5E28" w:rsidRDefault="003C5E28" w:rsidP="003C5E28">
      <w:pPr>
        <w:pStyle w:val="a9"/>
        <w:spacing w:line="360" w:lineRule="auto"/>
        <w:ind w:left="0"/>
        <w:jc w:val="both"/>
        <w:rPr>
          <w:rFonts w:ascii="David" w:hAnsi="David"/>
          <w:b/>
          <w:bCs/>
          <w:u w:val="single"/>
          <w:rtl/>
        </w:rPr>
      </w:pPr>
      <w:r>
        <w:rPr>
          <w:rFonts w:ascii="David" w:hAnsi="David" w:hint="cs"/>
          <w:b/>
          <w:bCs/>
          <w:u w:val="single"/>
          <w:rtl/>
        </w:rPr>
        <w:t>טיעוני הצדדים לעונש והראיות</w:t>
      </w:r>
    </w:p>
    <w:p w14:paraId="71B11917" w14:textId="77777777" w:rsidR="003C5E28" w:rsidRPr="007641BA" w:rsidRDefault="003C5E28" w:rsidP="003C5E28">
      <w:pPr>
        <w:pStyle w:val="a9"/>
        <w:ind w:left="0"/>
        <w:jc w:val="both"/>
        <w:rPr>
          <w:rFonts w:ascii="David" w:hAnsi="David"/>
          <w:b/>
          <w:bCs/>
          <w:u w:val="single"/>
        </w:rPr>
      </w:pPr>
    </w:p>
    <w:p w14:paraId="321C70A2" w14:textId="77777777" w:rsidR="003C5E28" w:rsidRDefault="003C5E28" w:rsidP="003C5E28">
      <w:pPr>
        <w:pStyle w:val="a9"/>
        <w:numPr>
          <w:ilvl w:val="0"/>
          <w:numId w:val="1"/>
        </w:numPr>
        <w:spacing w:line="360" w:lineRule="auto"/>
        <w:jc w:val="both"/>
        <w:rPr>
          <w:rFonts w:ascii="David" w:hAnsi="David"/>
        </w:rPr>
      </w:pPr>
      <w:r>
        <w:rPr>
          <w:rFonts w:ascii="David" w:hAnsi="David" w:hint="cs"/>
          <w:rtl/>
        </w:rPr>
        <w:t xml:space="preserve">ב"כ המאשימה עמד על חומרתן של עבירות הסמים ועל הערכים המוגנים </w:t>
      </w:r>
      <w:r>
        <w:rPr>
          <w:rFonts w:ascii="David" w:hAnsi="David"/>
          <w:rtl/>
        </w:rPr>
        <w:t>שנפגעו בעטיין, הפנה לפסיקה וטע</w:t>
      </w:r>
      <w:r>
        <w:rPr>
          <w:rFonts w:ascii="David" w:hAnsi="David" w:hint="cs"/>
          <w:rtl/>
        </w:rPr>
        <w:t>ן</w:t>
      </w:r>
      <w:r>
        <w:rPr>
          <w:rFonts w:ascii="David" w:hAnsi="David"/>
          <w:rtl/>
        </w:rPr>
        <w:t xml:space="preserve"> שמתחם העונש ההולם נע בנסיבות העניין בין </w:t>
      </w:r>
      <w:r>
        <w:rPr>
          <w:rFonts w:ascii="David" w:hAnsi="David" w:hint="cs"/>
          <w:rtl/>
        </w:rPr>
        <w:t xml:space="preserve">ארבעה חודשי מאסר לריצוי בעבודות שירות ועד 12 חודשי מאסר בפועל. </w:t>
      </w:r>
      <w:r>
        <w:rPr>
          <w:rFonts w:ascii="David" w:hAnsi="David"/>
          <w:rtl/>
        </w:rPr>
        <w:t>ביחס לעונש הראוי לנאשם נטען כי לאור עברו הפלילי הנקי והודאתו, יש לגזור עליו</w:t>
      </w:r>
      <w:r>
        <w:rPr>
          <w:rFonts w:ascii="David" w:hAnsi="David" w:hint="cs"/>
          <w:rtl/>
        </w:rPr>
        <w:t xml:space="preserve"> ארבעה חודשי מאסר </w:t>
      </w:r>
      <w:r>
        <w:rPr>
          <w:rFonts w:ascii="David" w:hAnsi="David"/>
          <w:rtl/>
        </w:rPr>
        <w:t xml:space="preserve">שניתן לרצות בדרך של עבודות שירות, מאסר על תנאי, קנס, פסילה בפועל ופסילה על תנאי. </w:t>
      </w:r>
    </w:p>
    <w:p w14:paraId="0819B246" w14:textId="77777777" w:rsidR="003C5E28" w:rsidRDefault="003C5E28" w:rsidP="003C5E28">
      <w:pPr>
        <w:pStyle w:val="a9"/>
        <w:spacing w:line="360" w:lineRule="auto"/>
        <w:ind w:left="0"/>
        <w:jc w:val="both"/>
        <w:rPr>
          <w:rFonts w:ascii="David" w:hAnsi="David"/>
        </w:rPr>
      </w:pPr>
    </w:p>
    <w:p w14:paraId="5CD8DC7A" w14:textId="77777777" w:rsidR="003C5E28" w:rsidRDefault="003C5E28" w:rsidP="003C5E28">
      <w:pPr>
        <w:pStyle w:val="a9"/>
        <w:numPr>
          <w:ilvl w:val="0"/>
          <w:numId w:val="1"/>
        </w:numPr>
        <w:spacing w:line="360" w:lineRule="auto"/>
        <w:jc w:val="both"/>
        <w:rPr>
          <w:rFonts w:ascii="David" w:hAnsi="David"/>
        </w:rPr>
      </w:pPr>
      <w:r w:rsidRPr="00AD0448">
        <w:rPr>
          <w:rFonts w:ascii="David" w:hAnsi="David" w:hint="cs"/>
          <w:rtl/>
        </w:rPr>
        <w:t xml:space="preserve">ב"כ הנאשם טענה כי נסיבות ביצוע העבירה אינן מלמדות על מעבדה משוכללת או תחכום וכי מדובר בשתיל יחיד שגודל במרפסת הבית </w:t>
      </w:r>
      <w:r>
        <w:rPr>
          <w:rFonts w:ascii="David" w:hAnsi="David" w:hint="cs"/>
          <w:rtl/>
        </w:rPr>
        <w:t xml:space="preserve">ללא כל עזרים, </w:t>
      </w:r>
      <w:r w:rsidRPr="00AD0448">
        <w:rPr>
          <w:rFonts w:ascii="David" w:hAnsi="David" w:hint="cs"/>
          <w:rtl/>
        </w:rPr>
        <w:t xml:space="preserve">וסמים שהוחזקו לצריכה עצמית בלבד. </w:t>
      </w:r>
      <w:r>
        <w:rPr>
          <w:rFonts w:ascii="David" w:hAnsi="David" w:hint="cs"/>
          <w:rtl/>
        </w:rPr>
        <w:t xml:space="preserve">כן </w:t>
      </w:r>
      <w:r w:rsidRPr="00AD0448">
        <w:rPr>
          <w:rFonts w:ascii="David" w:hAnsi="David" w:hint="cs"/>
          <w:rtl/>
        </w:rPr>
        <w:t xml:space="preserve">נטען </w:t>
      </w:r>
      <w:r>
        <w:rPr>
          <w:rFonts w:ascii="David" w:hAnsi="David" w:hint="cs"/>
          <w:rtl/>
        </w:rPr>
        <w:t>שזמן קצר לאחר האירוע</w:t>
      </w:r>
      <w:r w:rsidRPr="00AD0448">
        <w:rPr>
          <w:rFonts w:ascii="David" w:hAnsi="David" w:hint="cs"/>
          <w:rtl/>
        </w:rPr>
        <w:t xml:space="preserve"> </w:t>
      </w:r>
      <w:r>
        <w:rPr>
          <w:rFonts w:ascii="David" w:hAnsi="David" w:hint="cs"/>
          <w:rtl/>
        </w:rPr>
        <w:t xml:space="preserve">קיבל הנאשם </w:t>
      </w:r>
      <w:r w:rsidRPr="00AD0448">
        <w:rPr>
          <w:rFonts w:ascii="David" w:hAnsi="David" w:hint="cs"/>
          <w:rtl/>
        </w:rPr>
        <w:t>רישיון לצריכת קנבוס בשל מצב נפשי ממנו הוא סובל</w:t>
      </w:r>
      <w:r>
        <w:rPr>
          <w:rFonts w:ascii="David" w:hAnsi="David" w:hint="cs"/>
          <w:rtl/>
        </w:rPr>
        <w:t>. נטען בנוסף ש</w:t>
      </w:r>
      <w:r w:rsidRPr="00AD0448">
        <w:rPr>
          <w:rFonts w:ascii="David" w:hAnsi="David" w:hint="cs"/>
          <w:rtl/>
        </w:rPr>
        <w:t xml:space="preserve">מדובר באדם נורמטיבי, ללא עבר פלילי, נשוי ואב לילדה כבת 4. ביחס למתחם העונש ההולם נטען כי במקרים המתאימים חלקו התחתון כולל אי הרשעה ובנסיבות העניין הכוללות יש להסתפק בענישה צופה פני עתיד. </w:t>
      </w:r>
    </w:p>
    <w:p w14:paraId="068F253E" w14:textId="77777777" w:rsidR="003C5E28" w:rsidRDefault="003C5E28" w:rsidP="003C5E28">
      <w:pPr>
        <w:pStyle w:val="a9"/>
        <w:ind w:left="0"/>
        <w:jc w:val="both"/>
        <w:rPr>
          <w:rFonts w:ascii="David" w:hAnsi="David"/>
        </w:rPr>
      </w:pPr>
    </w:p>
    <w:p w14:paraId="3C9464BC" w14:textId="77777777" w:rsidR="003C5E28" w:rsidRDefault="003C5E28" w:rsidP="003C5E28">
      <w:pPr>
        <w:pStyle w:val="a9"/>
        <w:numPr>
          <w:ilvl w:val="0"/>
          <w:numId w:val="1"/>
        </w:numPr>
        <w:spacing w:line="360" w:lineRule="auto"/>
        <w:jc w:val="both"/>
        <w:rPr>
          <w:rFonts w:ascii="David" w:hAnsi="David"/>
        </w:rPr>
      </w:pPr>
      <w:r>
        <w:rPr>
          <w:rFonts w:ascii="David" w:hAnsi="David" w:hint="cs"/>
          <w:rtl/>
        </w:rPr>
        <w:t xml:space="preserve">הנאשם בדברו האחרון הביע צער על מעשיו, קיבל אחריות מלאה וציין כי האירוע אינו מאפיין את אורח חייו וביקש להתחשב במצבו. </w:t>
      </w:r>
    </w:p>
    <w:p w14:paraId="23E95664" w14:textId="77777777" w:rsidR="003C5E28" w:rsidRPr="00AD0448" w:rsidRDefault="003C5E28" w:rsidP="003C5E28">
      <w:pPr>
        <w:pStyle w:val="a9"/>
        <w:ind w:left="0"/>
        <w:jc w:val="both"/>
        <w:rPr>
          <w:rFonts w:ascii="David" w:hAnsi="David"/>
          <w:rtl/>
        </w:rPr>
      </w:pPr>
    </w:p>
    <w:p w14:paraId="49A408DA" w14:textId="77777777" w:rsidR="003C5E28" w:rsidRDefault="003C5E28" w:rsidP="003C5E28">
      <w:pPr>
        <w:spacing w:line="360" w:lineRule="auto"/>
        <w:jc w:val="both"/>
        <w:rPr>
          <w:b/>
          <w:bCs/>
          <w:u w:val="single"/>
          <w:rtl/>
        </w:rPr>
      </w:pPr>
      <w:r>
        <w:rPr>
          <w:b/>
          <w:bCs/>
          <w:u w:val="single"/>
          <w:rtl/>
        </w:rPr>
        <w:t>דיון והכרעה</w:t>
      </w:r>
    </w:p>
    <w:p w14:paraId="34F47AD2" w14:textId="77777777" w:rsidR="003C5E28" w:rsidRDefault="003C5E28" w:rsidP="003C5E28">
      <w:pPr>
        <w:spacing w:line="360" w:lineRule="auto"/>
        <w:jc w:val="both"/>
        <w:rPr>
          <w:rFonts w:ascii="David" w:hAnsi="David"/>
          <w:b/>
          <w:bCs/>
          <w:u w:val="single"/>
          <w:rtl/>
        </w:rPr>
      </w:pPr>
      <w:r>
        <w:rPr>
          <w:rFonts w:ascii="David" w:hAnsi="David"/>
          <w:b/>
          <w:bCs/>
          <w:u w:val="single"/>
          <w:rtl/>
        </w:rPr>
        <w:t>קביעת מתחם הענישה</w:t>
      </w:r>
    </w:p>
    <w:p w14:paraId="2218AC26" w14:textId="77777777" w:rsidR="003C5E28" w:rsidRDefault="003C5E28" w:rsidP="003C5E28">
      <w:pPr>
        <w:pStyle w:val="a9"/>
        <w:ind w:left="0"/>
        <w:jc w:val="both"/>
        <w:rPr>
          <w:rFonts w:ascii="David" w:hAnsi="David"/>
        </w:rPr>
      </w:pPr>
    </w:p>
    <w:p w14:paraId="2790E9D3" w14:textId="77777777" w:rsidR="003C5E28" w:rsidRDefault="003C5E28" w:rsidP="003C5E28">
      <w:pPr>
        <w:pStyle w:val="a9"/>
        <w:numPr>
          <w:ilvl w:val="0"/>
          <w:numId w:val="1"/>
        </w:numPr>
        <w:spacing w:line="360" w:lineRule="auto"/>
        <w:jc w:val="both"/>
        <w:rPr>
          <w:b/>
          <w:bCs/>
          <w:u w:val="single"/>
        </w:rPr>
      </w:pPr>
      <w:r>
        <w:rPr>
          <w:b/>
          <w:bCs/>
          <w:rtl/>
        </w:rPr>
        <w:t>הערכים המוגנים שנפגעו</w:t>
      </w:r>
      <w:r w:rsidRPr="00524F00">
        <w:rPr>
          <w:b/>
          <w:bCs/>
          <w:rtl/>
        </w:rPr>
        <w:t>:</w:t>
      </w:r>
      <w:r>
        <w:rPr>
          <w:rFonts w:ascii="David" w:hAnsi="David"/>
          <w:rtl/>
        </w:rPr>
        <w:t xml:space="preserve"> במעשיו פגע הנאשם בערכים של בטחון הציבור ושלומו. הסכנות הטמונות בהחזקת סם וגידולו ידועות ואין צורך להכביר מילים על הנזקים שעלולים להיגרם לחברה ולפרט ממעשים אלו. פעם אחר פעם נפסק שיש לראות בחומרה את עבירות הסמים אשר הפכו מכת מדינה וכי תוצאותיהן הישירות והעקיפות הרות אסון לשלומה של החברה, לבריאותה ולביטחונה.  </w:t>
      </w:r>
      <w:r w:rsidRPr="002E15E1">
        <w:rPr>
          <w:rFonts w:ascii="David" w:hAnsi="David"/>
          <w:rtl/>
        </w:rPr>
        <w:t>במקרה זה</w:t>
      </w:r>
      <w:r>
        <w:rPr>
          <w:rFonts w:ascii="David" w:hAnsi="David"/>
          <w:rtl/>
        </w:rPr>
        <w:t>,</w:t>
      </w:r>
      <w:r w:rsidRPr="002E15E1">
        <w:rPr>
          <w:rFonts w:ascii="David" w:hAnsi="David"/>
          <w:rtl/>
        </w:rPr>
        <w:t xml:space="preserve"> לאור </w:t>
      </w:r>
      <w:r>
        <w:rPr>
          <w:rFonts w:ascii="David" w:hAnsi="David" w:hint="cs"/>
          <w:rtl/>
        </w:rPr>
        <w:t>כך שמדובר בשתיל בודד</w:t>
      </w:r>
      <w:r>
        <w:rPr>
          <w:rFonts w:hint="cs"/>
          <w:rtl/>
        </w:rPr>
        <w:t xml:space="preserve">, ולאור כמות הסם שהוחזק לצריכה עצמית </w:t>
      </w:r>
      <w:r w:rsidRPr="002E15E1">
        <w:rPr>
          <w:rtl/>
        </w:rPr>
        <w:t>ויתר הנסיבות שיפ</w:t>
      </w:r>
      <w:r>
        <w:rPr>
          <w:rtl/>
        </w:rPr>
        <w:t>ו</w:t>
      </w:r>
      <w:r w:rsidRPr="002E15E1">
        <w:rPr>
          <w:rtl/>
        </w:rPr>
        <w:t>רטו בהמשך, מידת הפגיעה בערכים אינה גבוהה.</w:t>
      </w:r>
    </w:p>
    <w:p w14:paraId="7D670A15" w14:textId="77777777" w:rsidR="003C5E28" w:rsidRDefault="003C5E28" w:rsidP="003C5E28">
      <w:pPr>
        <w:pStyle w:val="a9"/>
        <w:ind w:left="0"/>
        <w:jc w:val="both"/>
        <w:rPr>
          <w:b/>
          <w:bCs/>
          <w:u w:val="single"/>
        </w:rPr>
      </w:pPr>
    </w:p>
    <w:p w14:paraId="74FABDF0" w14:textId="77777777" w:rsidR="003C5E28" w:rsidRPr="002E4880" w:rsidRDefault="003C5E28" w:rsidP="003C5E28">
      <w:pPr>
        <w:pStyle w:val="a9"/>
        <w:numPr>
          <w:ilvl w:val="0"/>
          <w:numId w:val="1"/>
        </w:numPr>
        <w:spacing w:line="360" w:lineRule="auto"/>
        <w:jc w:val="both"/>
        <w:rPr>
          <w:b/>
          <w:bCs/>
          <w:u w:val="single"/>
        </w:rPr>
      </w:pPr>
      <w:r w:rsidRPr="001565AD">
        <w:rPr>
          <w:b/>
          <w:bCs/>
          <w:rtl/>
        </w:rPr>
        <w:t>נסיבות הקשורות לביצוע העבירות:</w:t>
      </w:r>
    </w:p>
    <w:p w14:paraId="52559932" w14:textId="77777777" w:rsidR="003C5E28" w:rsidRDefault="003C5E28" w:rsidP="003C5E28">
      <w:pPr>
        <w:pStyle w:val="a9"/>
        <w:ind w:left="0"/>
        <w:jc w:val="both"/>
        <w:rPr>
          <w:b/>
          <w:bCs/>
          <w:u w:val="single"/>
          <w:rtl/>
        </w:rPr>
      </w:pPr>
    </w:p>
    <w:p w14:paraId="38E2FA7E" w14:textId="77777777" w:rsidR="003C5E28" w:rsidRDefault="003C5E28" w:rsidP="003C5E28">
      <w:pPr>
        <w:pStyle w:val="a9"/>
        <w:spacing w:line="360" w:lineRule="auto"/>
        <w:jc w:val="both"/>
        <w:rPr>
          <w:b/>
          <w:bCs/>
          <w:u w:val="single"/>
          <w:rtl/>
        </w:rPr>
      </w:pPr>
      <w:r>
        <w:rPr>
          <w:rFonts w:ascii="David" w:hAnsi="David"/>
          <w:rtl/>
        </w:rPr>
        <w:softHyphen/>
      </w:r>
      <w:r>
        <w:rPr>
          <w:rtl/>
        </w:rPr>
        <w:t>(-)</w:t>
      </w:r>
      <w:r>
        <w:rPr>
          <w:rtl/>
        </w:rPr>
        <w:tab/>
      </w:r>
      <w:r w:rsidRPr="00A06AE1">
        <w:rPr>
          <w:u w:val="single"/>
          <w:rtl/>
        </w:rPr>
        <w:t>תכנון</w:t>
      </w:r>
      <w:r w:rsidRPr="00A87349">
        <w:rPr>
          <w:u w:val="single"/>
          <w:rtl/>
        </w:rPr>
        <w:t xml:space="preserve"> והשקעה</w:t>
      </w:r>
      <w:r>
        <w:rPr>
          <w:rtl/>
        </w:rPr>
        <w:t>: ככלל, גידול סמים מחייב תכנון מוקדם, לימוד, רכישת ציוד, היערכות והתמדה. במקרה זה, ומבלי להקל ראש בחומרת המעשים,</w:t>
      </w:r>
      <w:r w:rsidRPr="001565AD">
        <w:rPr>
          <w:rFonts w:ascii="David" w:hAnsi="David"/>
          <w:rtl/>
        </w:rPr>
        <w:t xml:space="preserve"> לא מדובר </w:t>
      </w:r>
      <w:r>
        <w:rPr>
          <w:rFonts w:ascii="David" w:hAnsi="David"/>
          <w:rtl/>
        </w:rPr>
        <w:t xml:space="preserve">היה </w:t>
      </w:r>
      <w:r w:rsidRPr="001565AD">
        <w:rPr>
          <w:rFonts w:ascii="David" w:hAnsi="David"/>
          <w:rtl/>
        </w:rPr>
        <w:t>במעבדה מצוידת ומשוכללת</w:t>
      </w:r>
      <w:r>
        <w:rPr>
          <w:rFonts w:ascii="David" w:hAnsi="David"/>
          <w:rtl/>
        </w:rPr>
        <w:t xml:space="preserve"> (כמקובל "בתחום" בשנים האחרונות)</w:t>
      </w:r>
      <w:r w:rsidRPr="001565AD">
        <w:rPr>
          <w:rFonts w:ascii="David" w:hAnsi="David"/>
          <w:rtl/>
        </w:rPr>
        <w:t xml:space="preserve">, </w:t>
      </w:r>
      <w:r>
        <w:rPr>
          <w:rFonts w:ascii="David" w:hAnsi="David"/>
          <w:rtl/>
        </w:rPr>
        <w:t xml:space="preserve">אלא בשתיל בודד שגודל </w:t>
      </w:r>
      <w:r>
        <w:rPr>
          <w:rFonts w:ascii="David" w:hAnsi="David" w:hint="cs"/>
          <w:rtl/>
        </w:rPr>
        <w:t>במרפסת</w:t>
      </w:r>
      <w:r>
        <w:rPr>
          <w:rFonts w:ascii="David" w:hAnsi="David"/>
          <w:rtl/>
        </w:rPr>
        <w:t xml:space="preserve"> ביתו של הנאשם באמצעים טבעיים</w:t>
      </w:r>
      <w:r>
        <w:rPr>
          <w:rFonts w:ascii="David" w:hAnsi="David" w:hint="cs"/>
          <w:rtl/>
        </w:rPr>
        <w:t xml:space="preserve">. </w:t>
      </w:r>
      <w:r>
        <w:rPr>
          <w:rFonts w:ascii="David" w:hAnsi="David"/>
          <w:rtl/>
        </w:rPr>
        <w:t>אני ער לכך שעובד</w:t>
      </w:r>
      <w:r>
        <w:rPr>
          <w:rFonts w:ascii="David" w:hAnsi="David" w:hint="cs"/>
          <w:rtl/>
        </w:rPr>
        <w:t>ה</w:t>
      </w:r>
      <w:r>
        <w:rPr>
          <w:rFonts w:ascii="David" w:hAnsi="David"/>
          <w:rtl/>
        </w:rPr>
        <w:t xml:space="preserve"> </w:t>
      </w:r>
      <w:r>
        <w:rPr>
          <w:rFonts w:ascii="David" w:hAnsi="David" w:hint="cs"/>
          <w:rtl/>
        </w:rPr>
        <w:t>זו</w:t>
      </w:r>
      <w:r>
        <w:rPr>
          <w:rFonts w:ascii="David" w:hAnsi="David"/>
          <w:rtl/>
        </w:rPr>
        <w:t xml:space="preserve"> לא צוינ</w:t>
      </w:r>
      <w:r>
        <w:rPr>
          <w:rFonts w:ascii="David" w:hAnsi="David" w:hint="cs"/>
          <w:rtl/>
        </w:rPr>
        <w:t>ה</w:t>
      </w:r>
      <w:r>
        <w:rPr>
          <w:rFonts w:ascii="David" w:hAnsi="David"/>
          <w:rtl/>
        </w:rPr>
        <w:t xml:space="preserve"> במפורש בכתב האישום, אך המאשימה לא התנגדה לטיעון זה של הסנג</w:t>
      </w:r>
      <w:r>
        <w:rPr>
          <w:rFonts w:ascii="David" w:hAnsi="David" w:hint="cs"/>
          <w:rtl/>
        </w:rPr>
        <w:t>ורית</w:t>
      </w:r>
      <w:r>
        <w:rPr>
          <w:rFonts w:ascii="David" w:hAnsi="David"/>
          <w:rtl/>
        </w:rPr>
        <w:t xml:space="preserve"> </w:t>
      </w:r>
      <w:r>
        <w:rPr>
          <w:rFonts w:ascii="David" w:hAnsi="David" w:hint="cs"/>
          <w:rtl/>
        </w:rPr>
        <w:t xml:space="preserve">והדבר לא היה כלל במחלוקת. </w:t>
      </w:r>
      <w:r>
        <w:rPr>
          <w:rFonts w:ascii="David" w:hAnsi="David"/>
          <w:rtl/>
        </w:rPr>
        <w:t xml:space="preserve">זאת ועוד, בכתב האישום לא צוין (כמקובל) שהגידול בוצע באמצעות ציוד "מעבדתי" וניתן היה, אפוא, להגיע למסקנה זו אף באמצעות ייחוס המסקנה הנוחה יותר לנאשם. </w:t>
      </w:r>
    </w:p>
    <w:p w14:paraId="76B079C1" w14:textId="77777777" w:rsidR="003C5E28" w:rsidRDefault="003C5E28" w:rsidP="003C5E28">
      <w:pPr>
        <w:pStyle w:val="a9"/>
        <w:jc w:val="both"/>
        <w:rPr>
          <w:b/>
          <w:bCs/>
          <w:u w:val="single"/>
          <w:rtl/>
        </w:rPr>
      </w:pPr>
    </w:p>
    <w:p w14:paraId="6B3BD3FA" w14:textId="77777777" w:rsidR="003C5E28" w:rsidRDefault="003C5E28" w:rsidP="003C5E28">
      <w:pPr>
        <w:pStyle w:val="a9"/>
        <w:spacing w:line="360" w:lineRule="auto"/>
        <w:jc w:val="both"/>
        <w:rPr>
          <w:b/>
          <w:bCs/>
          <w:u w:val="single"/>
          <w:rtl/>
        </w:rPr>
      </w:pPr>
      <w:r w:rsidRPr="00D10264">
        <w:rPr>
          <w:rFonts w:ascii="David" w:hAnsi="David" w:hint="cs"/>
          <w:rtl/>
        </w:rPr>
        <w:t>(-)</w:t>
      </w:r>
      <w:r w:rsidRPr="00D10264">
        <w:rPr>
          <w:rFonts w:ascii="David" w:hAnsi="David"/>
          <w:rtl/>
        </w:rPr>
        <w:tab/>
      </w:r>
      <w:r w:rsidRPr="002E15E1">
        <w:rPr>
          <w:rFonts w:ascii="David" w:hAnsi="David"/>
          <w:u w:val="single"/>
          <w:rtl/>
        </w:rPr>
        <w:t>הסיבה בגינה בוצעו העבירות</w:t>
      </w:r>
      <w:r w:rsidRPr="002E15E1">
        <w:rPr>
          <w:rFonts w:ascii="David" w:hAnsi="David"/>
          <w:b/>
          <w:bCs/>
          <w:u w:val="single"/>
          <w:rtl/>
        </w:rPr>
        <w:t xml:space="preserve"> </w:t>
      </w:r>
      <w:r w:rsidRPr="002E15E1">
        <w:rPr>
          <w:rFonts w:ascii="David" w:hAnsi="David"/>
          <w:u w:val="single"/>
          <w:rtl/>
        </w:rPr>
        <w:t>ופוטנציאל</w:t>
      </w:r>
      <w:r w:rsidRPr="00A87349">
        <w:rPr>
          <w:rFonts w:ascii="David" w:hAnsi="David"/>
          <w:u w:val="single"/>
          <w:rtl/>
        </w:rPr>
        <w:t xml:space="preserve"> הנזק</w:t>
      </w:r>
      <w:r>
        <w:rPr>
          <w:rFonts w:ascii="David" w:hAnsi="David"/>
          <w:u w:val="single"/>
          <w:rtl/>
        </w:rPr>
        <w:t xml:space="preserve"> הצפוי</w:t>
      </w:r>
      <w:r w:rsidRPr="00C1699D">
        <w:rPr>
          <w:rFonts w:ascii="David" w:hAnsi="David"/>
          <w:rtl/>
        </w:rPr>
        <w:t xml:space="preserve">: </w:t>
      </w:r>
      <w:r>
        <w:rPr>
          <w:rFonts w:ascii="David" w:hAnsi="David"/>
          <w:rtl/>
        </w:rPr>
        <w:t>הסנגור</w:t>
      </w:r>
      <w:r>
        <w:rPr>
          <w:rFonts w:ascii="David" w:hAnsi="David" w:hint="cs"/>
          <w:rtl/>
        </w:rPr>
        <w:t>ית</w:t>
      </w:r>
      <w:r>
        <w:rPr>
          <w:rFonts w:ascii="David" w:hAnsi="David"/>
          <w:rtl/>
        </w:rPr>
        <w:t xml:space="preserve"> לא טע</w:t>
      </w:r>
      <w:r>
        <w:rPr>
          <w:rFonts w:ascii="David" w:hAnsi="David" w:hint="cs"/>
          <w:rtl/>
        </w:rPr>
        <w:t>נה</w:t>
      </w:r>
      <w:r>
        <w:rPr>
          <w:rFonts w:ascii="David" w:hAnsi="David"/>
          <w:rtl/>
        </w:rPr>
        <w:t xml:space="preserve"> במפורש שהגידול בוצע למטרת שימוש עצמי, אם כי הדבר היה מובלע בטיעוני</w:t>
      </w:r>
      <w:r>
        <w:rPr>
          <w:rFonts w:ascii="David" w:hAnsi="David" w:hint="cs"/>
          <w:rtl/>
        </w:rPr>
        <w:t>ה</w:t>
      </w:r>
      <w:r>
        <w:rPr>
          <w:rFonts w:ascii="David" w:hAnsi="David"/>
          <w:rtl/>
        </w:rPr>
        <w:t xml:space="preserve"> בדבר נסיבותיו האישיות של הנאשם</w:t>
      </w:r>
      <w:r>
        <w:rPr>
          <w:rFonts w:ascii="David" w:hAnsi="David" w:hint="cs"/>
          <w:rtl/>
        </w:rPr>
        <w:t xml:space="preserve"> והעובדה שקיבל זמן קצר לאחר מכן רישיון לצריכת קנבוס</w:t>
      </w:r>
      <w:r>
        <w:rPr>
          <w:rFonts w:ascii="David" w:hAnsi="David"/>
          <w:rtl/>
        </w:rPr>
        <w:t>. ואולם, בהיעדר טיעון מפורש</w:t>
      </w:r>
      <w:r>
        <w:rPr>
          <w:rFonts w:ascii="David" w:hAnsi="David" w:hint="cs"/>
          <w:rtl/>
        </w:rPr>
        <w:t xml:space="preserve"> (ובוודאי בהיעדר הוכחה)</w:t>
      </w:r>
      <w:r>
        <w:rPr>
          <w:rFonts w:ascii="David" w:hAnsi="David"/>
          <w:rtl/>
        </w:rPr>
        <w:t xml:space="preserve">, לא ראיתי לקבוע ממצאים בנושא. עם זאת, </w:t>
      </w:r>
      <w:r>
        <w:rPr>
          <w:rtl/>
        </w:rPr>
        <w:t>לצורך קביעת מתחם הענישה יש להביא בחשבון</w:t>
      </w:r>
      <w:r>
        <w:rPr>
          <w:rFonts w:hint="cs"/>
          <w:rtl/>
        </w:rPr>
        <w:t xml:space="preserve"> כי מדובר בגידול של שתיל אחד בלבד (מבלי להקל ראש)</w:t>
      </w:r>
      <w:r>
        <w:rPr>
          <w:rtl/>
        </w:rPr>
        <w:t xml:space="preserve">, אשר גודל </w:t>
      </w:r>
      <w:r>
        <w:rPr>
          <w:rFonts w:hint="cs"/>
          <w:rtl/>
        </w:rPr>
        <w:t>במרפסת הבית</w:t>
      </w:r>
      <w:r>
        <w:rPr>
          <w:rtl/>
        </w:rPr>
        <w:t>, ללא השקעה כספית או אחרת; את העובדה שלא נמצאו בבית הנאשם אמצעי גידול אחרים; שלא נמצאו כלים המתיישבים עם שימוש מסחרי כגון שקיות חלוקה או משקל מדויק; וכי לא נמצאה כמות משמעותית של תוצרת מוכנה. אדרבה – התוצרת שנמצאה הייתה בכמות נמוכה והמאשימה הסכימה שהיא לשימוש עצמי.</w:t>
      </w:r>
      <w:r>
        <w:rPr>
          <w:rFonts w:hint="cs"/>
          <w:rtl/>
        </w:rPr>
        <w:t xml:space="preserve"> מנגד יש להביא בחשבון כי נמצאו בביתו של הנאשם </w:t>
      </w:r>
      <w:r w:rsidRPr="001C17AF">
        <w:rPr>
          <w:rFonts w:hint="cs"/>
          <w:rtl/>
        </w:rPr>
        <w:t>סמים מסוגים שונים</w:t>
      </w:r>
      <w:r>
        <w:rPr>
          <w:rFonts w:hint="cs"/>
          <w:rtl/>
        </w:rPr>
        <w:t>, אם כי אף בעניין זה יש להדגיש שמדובר בהחזקה לשימוש עצמי.</w:t>
      </w:r>
      <w:r>
        <w:rPr>
          <w:rtl/>
        </w:rPr>
        <w:t xml:space="preserve"> כל אלו מלמדים, לכל הפחות, על כך שפוטנציאל הנזק במקרה זה לא היה גבוה.</w:t>
      </w:r>
    </w:p>
    <w:p w14:paraId="71400931" w14:textId="77777777" w:rsidR="003C5E28" w:rsidRDefault="003C5E28" w:rsidP="003C5E28">
      <w:pPr>
        <w:pStyle w:val="a9"/>
        <w:ind w:left="0"/>
        <w:jc w:val="both"/>
        <w:rPr>
          <w:b/>
          <w:bCs/>
          <w:u w:val="single"/>
        </w:rPr>
      </w:pPr>
    </w:p>
    <w:p w14:paraId="40AD81E1" w14:textId="77777777" w:rsidR="003C5E28" w:rsidRDefault="003C5E28" w:rsidP="003C5E28">
      <w:pPr>
        <w:pStyle w:val="a9"/>
        <w:numPr>
          <w:ilvl w:val="0"/>
          <w:numId w:val="1"/>
        </w:numPr>
        <w:spacing w:line="360" w:lineRule="auto"/>
        <w:jc w:val="both"/>
        <w:rPr>
          <w:b/>
          <w:bCs/>
          <w:u w:val="single"/>
        </w:rPr>
      </w:pPr>
      <w:r w:rsidRPr="002E4880">
        <w:rPr>
          <w:b/>
          <w:bCs/>
          <w:rtl/>
        </w:rPr>
        <w:t>מדיניות הענישה:</w:t>
      </w:r>
      <w:r w:rsidRPr="002E4880">
        <w:rPr>
          <w:rtl/>
        </w:rPr>
        <w:t xml:space="preserve"> מדיניות הענישה בעבירות של גידול וייצור סמים מסוכנים משתנה ממקרה למקרה ותלויה בין היתר בסוג הסם, כמותו ובנסיבותיו של הנאשם (עבר פלילי, שיקום, תסקיר חיובי וכיוצב'). עם זאת, נקבע לא אחת כי יש להחמיר עם אלו שמגדלים סמים (</w:t>
      </w:r>
      <w:hyperlink r:id="rId14" w:history="1">
        <w:r w:rsidR="00C4613D" w:rsidRPr="00C4613D">
          <w:rPr>
            <w:color w:val="0000FF"/>
            <w:u w:val="single"/>
            <w:rtl/>
          </w:rPr>
          <w:t>ע"פ 5807/17</w:t>
        </w:r>
      </w:hyperlink>
      <w:r w:rsidRPr="002E4880">
        <w:rPr>
          <w:rtl/>
        </w:rPr>
        <w:t xml:space="preserve"> </w:t>
      </w:r>
      <w:r w:rsidRPr="002E4880">
        <w:rPr>
          <w:b/>
          <w:bCs/>
          <w:rtl/>
        </w:rPr>
        <w:t>דרחי ואח' נ' מדינת ישרא</w:t>
      </w:r>
      <w:r w:rsidRPr="002E4880">
        <w:rPr>
          <w:rtl/>
        </w:rPr>
        <w:t xml:space="preserve">ל (18.6.2018); </w:t>
      </w:r>
      <w:hyperlink r:id="rId15" w:history="1">
        <w:r w:rsidR="00C4613D" w:rsidRPr="00C4613D">
          <w:rPr>
            <w:color w:val="0000FF"/>
            <w:u w:val="single"/>
            <w:rtl/>
          </w:rPr>
          <w:t>ע"פ 2596/18</w:t>
        </w:r>
      </w:hyperlink>
      <w:r w:rsidRPr="002E4880">
        <w:rPr>
          <w:rtl/>
        </w:rPr>
        <w:t xml:space="preserve"> </w:t>
      </w:r>
      <w:r w:rsidRPr="002E4880">
        <w:rPr>
          <w:b/>
          <w:bCs/>
          <w:rtl/>
        </w:rPr>
        <w:t>כפיר זנזורי נ' מדינת ישראל</w:t>
      </w:r>
      <w:r w:rsidRPr="002E4880">
        <w:rPr>
          <w:rtl/>
        </w:rPr>
        <w:t xml:space="preserve"> (12.8.2018)). במקרים בהם כמות הסם שגודלה הי</w:t>
      </w:r>
      <w:r>
        <w:rPr>
          <w:rFonts w:hint="cs"/>
          <w:rtl/>
        </w:rPr>
        <w:t>א</w:t>
      </w:r>
      <w:r w:rsidRPr="002E4880">
        <w:rPr>
          <w:rtl/>
        </w:rPr>
        <w:t xml:space="preserve"> ממשית </w:t>
      </w:r>
      <w:r>
        <w:rPr>
          <w:rFonts w:hint="cs"/>
          <w:rtl/>
        </w:rPr>
        <w:t xml:space="preserve">מוטלים </w:t>
      </w:r>
      <w:r w:rsidRPr="002E4880">
        <w:rPr>
          <w:rtl/>
        </w:rPr>
        <w:t xml:space="preserve">לרוב עונשי מאסר בפועל, ובמקרים רבים אף שלא בעבודות שירות (ראה למשל </w:t>
      </w:r>
      <w:hyperlink r:id="rId16" w:history="1">
        <w:r w:rsidR="00C4613D" w:rsidRPr="00C4613D">
          <w:rPr>
            <w:color w:val="0000FF"/>
            <w:u w:val="single"/>
            <w:rtl/>
          </w:rPr>
          <w:t>רע"פ 3841/16</w:t>
        </w:r>
      </w:hyperlink>
      <w:r w:rsidRPr="002E4880">
        <w:rPr>
          <w:rtl/>
        </w:rPr>
        <w:t xml:space="preserve"> </w:t>
      </w:r>
      <w:r w:rsidRPr="002E4880">
        <w:rPr>
          <w:b/>
          <w:bCs/>
          <w:rtl/>
        </w:rPr>
        <w:t>יעקב מזרחי נ' מדינת ישראל</w:t>
      </w:r>
      <w:r w:rsidRPr="002E4880">
        <w:rPr>
          <w:rtl/>
        </w:rPr>
        <w:t xml:space="preserve"> (16.5.2016); </w:t>
      </w:r>
      <w:hyperlink r:id="rId17" w:history="1">
        <w:r w:rsidR="00C4613D" w:rsidRPr="00C4613D">
          <w:rPr>
            <w:color w:val="0000FF"/>
            <w:u w:val="single"/>
            <w:rtl/>
          </w:rPr>
          <w:t>רע"פ 1787/15</w:t>
        </w:r>
      </w:hyperlink>
      <w:r w:rsidRPr="002E4880">
        <w:rPr>
          <w:rtl/>
        </w:rPr>
        <w:t xml:space="preserve"> </w:t>
      </w:r>
      <w:r w:rsidRPr="002E4880">
        <w:rPr>
          <w:b/>
          <w:bCs/>
          <w:rtl/>
        </w:rPr>
        <w:t>עמר נ' מדינת ישראל</w:t>
      </w:r>
      <w:r w:rsidRPr="002E4880">
        <w:rPr>
          <w:rtl/>
        </w:rPr>
        <w:t xml:space="preserve"> (24.3.2015); </w:t>
      </w:r>
      <w:hyperlink r:id="rId18" w:history="1">
        <w:r w:rsidR="00C4613D" w:rsidRPr="00C4613D">
          <w:rPr>
            <w:color w:val="0000FF"/>
            <w:u w:val="single"/>
            <w:rtl/>
          </w:rPr>
          <w:t>רע"פ 7005/14</w:t>
        </w:r>
      </w:hyperlink>
      <w:r w:rsidRPr="002E4880">
        <w:rPr>
          <w:rtl/>
        </w:rPr>
        <w:t xml:space="preserve"> </w:t>
      </w:r>
      <w:r w:rsidRPr="002E4880">
        <w:rPr>
          <w:b/>
          <w:bCs/>
          <w:rtl/>
        </w:rPr>
        <w:t>דגן נ' מדינת ישראל</w:t>
      </w:r>
      <w:r w:rsidRPr="002E4880">
        <w:rPr>
          <w:rtl/>
        </w:rPr>
        <w:t xml:space="preserve"> (30.11.2014)).</w:t>
      </w:r>
      <w:r w:rsidRPr="002E4880">
        <w:rPr>
          <w:b/>
          <w:bCs/>
          <w:u w:val="single"/>
          <w:rtl/>
        </w:rPr>
        <w:t xml:space="preserve">  </w:t>
      </w:r>
    </w:p>
    <w:p w14:paraId="5B5C6FED" w14:textId="77777777" w:rsidR="003C5E28" w:rsidRPr="002E4880" w:rsidRDefault="003C5E28" w:rsidP="003C5E28">
      <w:pPr>
        <w:pStyle w:val="a9"/>
        <w:spacing w:line="360" w:lineRule="auto"/>
        <w:ind w:left="0"/>
        <w:jc w:val="both"/>
        <w:rPr>
          <w:b/>
          <w:bCs/>
          <w:u w:val="single"/>
          <w:rtl/>
        </w:rPr>
      </w:pPr>
    </w:p>
    <w:p w14:paraId="043EB31D" w14:textId="77777777" w:rsidR="003C5E28" w:rsidRDefault="003C5E28" w:rsidP="003C5E28">
      <w:pPr>
        <w:pStyle w:val="a9"/>
        <w:numPr>
          <w:ilvl w:val="0"/>
          <w:numId w:val="1"/>
        </w:numPr>
        <w:spacing w:line="360" w:lineRule="auto"/>
        <w:jc w:val="both"/>
        <w:rPr>
          <w:rFonts w:ascii="David" w:hAnsi="David"/>
        </w:rPr>
      </w:pPr>
      <w:r>
        <w:rPr>
          <w:rtl/>
        </w:rPr>
        <w:t>לצורך בחינת מדיניות</w:t>
      </w:r>
      <w:r w:rsidRPr="003D66BF">
        <w:rPr>
          <w:rtl/>
        </w:rPr>
        <w:t xml:space="preserve"> הענישה הנוהגת ניתן להפנות לפסקי הדין הבאים</w:t>
      </w:r>
      <w:r>
        <w:rPr>
          <w:rtl/>
        </w:rPr>
        <w:t>, בשינויים המחויבים</w:t>
      </w:r>
      <w:r w:rsidRPr="003D66BF">
        <w:rPr>
          <w:rtl/>
        </w:rPr>
        <w:t>:</w:t>
      </w:r>
      <w:r w:rsidRPr="00E323AF">
        <w:rPr>
          <w:rFonts w:ascii="David" w:hAnsi="David"/>
          <w:rtl/>
        </w:rPr>
        <w:t xml:space="preserve"> </w:t>
      </w:r>
      <w:hyperlink r:id="rId19" w:history="1">
        <w:r w:rsidR="00C4613D" w:rsidRPr="00C4613D">
          <w:rPr>
            <w:rFonts w:ascii="David" w:hAnsi="David"/>
            <w:color w:val="0000FF"/>
            <w:u w:val="single"/>
            <w:rtl/>
          </w:rPr>
          <w:t>רע"פ 8458/18</w:t>
        </w:r>
      </w:hyperlink>
      <w:r w:rsidRPr="00E323AF">
        <w:rPr>
          <w:rFonts w:ascii="David" w:hAnsi="David"/>
          <w:rtl/>
        </w:rPr>
        <w:t xml:space="preserve"> </w:t>
      </w:r>
      <w:r w:rsidRPr="00E323AF">
        <w:rPr>
          <w:rFonts w:ascii="David" w:hAnsi="David"/>
          <w:b/>
          <w:bCs/>
          <w:rtl/>
        </w:rPr>
        <w:t>יונתן שטרר נ' מדינת ישראל</w:t>
      </w:r>
      <w:r w:rsidRPr="00E323AF">
        <w:rPr>
          <w:rFonts w:ascii="David" w:hAnsi="David"/>
          <w:rtl/>
        </w:rPr>
        <w:t xml:space="preserve"> (4.4.2019), בו נידון עניינו של נאשם שהורשע בגידול </w:t>
      </w:r>
      <w:r w:rsidRPr="00E323AF">
        <w:rPr>
          <w:rFonts w:ascii="David" w:hAnsi="David"/>
          <w:u w:val="single"/>
          <w:rtl/>
        </w:rPr>
        <w:t>שני</w:t>
      </w:r>
      <w:r w:rsidRPr="00E323AF">
        <w:rPr>
          <w:rFonts w:ascii="David" w:hAnsi="David"/>
          <w:rtl/>
        </w:rPr>
        <w:t xml:space="preserve"> שתילי קנבוס לצריכה עצמית והחזקת סמים לצריכה עצמית במשקל כולל של כ-2 גרם ונידון לצו של"צ, מאסרים מותנים, צו מבחן וקנס. ביחס למתחם העונש נקבע כי הוא נע בין מאסר מותנה ועד 12 חודשי מאסר בפועל ועתירת הנאשם להימנע מהרשעה נדחתה. ערעורו שהתמקד בסוגיית ההרשעה נדחה בבית המשפט המחוזי, וכך גם בקשת רשות ערעור שהגיש; רע"פ </w:t>
      </w:r>
      <w:hyperlink r:id="rId20" w:history="1">
        <w:r w:rsidR="009D6981" w:rsidRPr="009D6981">
          <w:rPr>
            <w:rFonts w:ascii="David" w:hAnsi="David"/>
            <w:color w:val="0000FF"/>
            <w:u w:val="single"/>
            <w:rtl/>
          </w:rPr>
          <w:t xml:space="preserve">4833/17‏ </w:t>
        </w:r>
      </w:hyperlink>
      <w:r w:rsidRPr="00E323AF">
        <w:rPr>
          <w:rFonts w:ascii="David" w:hAnsi="David"/>
          <w:rtl/>
        </w:rPr>
        <w:t xml:space="preserve"> </w:t>
      </w:r>
      <w:r w:rsidRPr="00E323AF">
        <w:rPr>
          <w:rFonts w:ascii="David" w:hAnsi="David"/>
          <w:b/>
          <w:bCs/>
          <w:rtl/>
        </w:rPr>
        <w:t>ישראל מאיר ששון בוקעי נ' מדינת ישראל</w:t>
      </w:r>
      <w:r w:rsidRPr="00E323AF">
        <w:rPr>
          <w:rFonts w:ascii="David" w:hAnsi="David"/>
          <w:rtl/>
        </w:rPr>
        <w:t xml:space="preserve"> (6.6.2019), בו נידון עניינו של נאשם שהורשע בגידול </w:t>
      </w:r>
      <w:r w:rsidRPr="00E323AF">
        <w:rPr>
          <w:rFonts w:ascii="David" w:hAnsi="David"/>
          <w:u w:val="single"/>
          <w:rtl/>
        </w:rPr>
        <w:t>שלושה</w:t>
      </w:r>
      <w:r w:rsidRPr="00E323AF">
        <w:rPr>
          <w:rFonts w:ascii="David" w:hAnsi="David"/>
          <w:rtl/>
        </w:rPr>
        <w:t xml:space="preserve"> שתילי קנבוס במשקל 1430 גרם, החזקת כלים </w:t>
      </w:r>
      <w:r w:rsidRPr="00E323AF">
        <w:rPr>
          <w:rFonts w:ascii="David" w:hAnsi="David"/>
          <w:u w:val="single"/>
          <w:rtl/>
        </w:rPr>
        <w:t>שלא</w:t>
      </w:r>
      <w:r w:rsidRPr="00E323AF">
        <w:rPr>
          <w:rFonts w:ascii="David" w:hAnsi="David"/>
          <w:rtl/>
        </w:rPr>
        <w:t xml:space="preserve"> לשימוש עצמי והחזקת סם לשימוש עצמי ועונשו הוקל בבית המשפט העליון לשלושה חודשי מאסר לריצוי בדרך של עבודות שירות. יצוין כי במקרה זה מדובר היה בגידול באמצעים משוכללים יחסית ויוחסה גם עבירה של החזקת כלים </w:t>
      </w:r>
      <w:r w:rsidRPr="00E323AF">
        <w:rPr>
          <w:rFonts w:ascii="David" w:hAnsi="David"/>
          <w:u w:val="single"/>
          <w:rtl/>
        </w:rPr>
        <w:t>שלא</w:t>
      </w:r>
      <w:r w:rsidRPr="00E323AF">
        <w:rPr>
          <w:rFonts w:ascii="David" w:hAnsi="David"/>
          <w:rtl/>
        </w:rPr>
        <w:t xml:space="preserve"> לשימוש עצמי בלבד; </w:t>
      </w:r>
      <w:hyperlink r:id="rId21" w:history="1">
        <w:r w:rsidR="00C4613D" w:rsidRPr="00C4613D">
          <w:rPr>
            <w:rFonts w:ascii="David" w:hAnsi="David"/>
            <w:color w:val="0000FF"/>
            <w:u w:val="single"/>
            <w:rtl/>
          </w:rPr>
          <w:t>רע"פ 2277/21</w:t>
        </w:r>
      </w:hyperlink>
      <w:r w:rsidRPr="00E323AF">
        <w:rPr>
          <w:rFonts w:ascii="David" w:hAnsi="David"/>
          <w:rtl/>
        </w:rPr>
        <w:t xml:space="preserve"> </w:t>
      </w:r>
      <w:r w:rsidRPr="00E323AF">
        <w:rPr>
          <w:rFonts w:ascii="David" w:hAnsi="David"/>
          <w:b/>
          <w:bCs/>
          <w:rtl/>
        </w:rPr>
        <w:t>אברהם יוחננוב נ' מדינת ישראל</w:t>
      </w:r>
      <w:r w:rsidRPr="00E323AF">
        <w:rPr>
          <w:rFonts w:ascii="David" w:hAnsi="David"/>
          <w:rtl/>
        </w:rPr>
        <w:t xml:space="preserve"> (8.4.2021), בו נידון עניינו של נאשם שהורשע בעבירות גידול סמים והחזקת סמים לצריכה עצמית ונידון לשישה חודשי מאסר לריצוי בדרך של עבודות שירות. הנאשם הקים מעבדה לגידול סמים ובה נתפס 1 ק"ג של קנבוס (לא צוינו מספר השתילים) וכן ציוד רב ו-42.89 גרם של קנבוס לצריכה עצמית. ערעור הנאשם נדחה וכך גם בקשת רשות ערעור שהגיש ובית המשפט העליון קבע כי "</w:t>
      </w:r>
      <w:r w:rsidRPr="00E323AF">
        <w:rPr>
          <w:rFonts w:ascii="David" w:hAnsi="David" w:cs="Miriam"/>
          <w:rtl/>
        </w:rPr>
        <w:t>העונש שהוטל על המבקש אינו סוטה ממדיניות הענישה הראויה והמקובלת</w:t>
      </w:r>
      <w:r w:rsidRPr="00E323AF">
        <w:rPr>
          <w:rFonts w:ascii="David" w:hAnsi="David"/>
          <w:rtl/>
        </w:rPr>
        <w:t xml:space="preserve">"; </w:t>
      </w:r>
      <w:hyperlink r:id="rId22" w:history="1">
        <w:r w:rsidR="00C4613D" w:rsidRPr="00C4613D">
          <w:rPr>
            <w:rFonts w:ascii="David" w:hAnsi="David"/>
            <w:color w:val="0000FF"/>
            <w:u w:val="single"/>
            <w:rtl/>
          </w:rPr>
          <w:t>רע"פ 513/21</w:t>
        </w:r>
      </w:hyperlink>
      <w:r w:rsidRPr="00E323AF">
        <w:rPr>
          <w:rFonts w:ascii="David" w:hAnsi="David"/>
          <w:rtl/>
        </w:rPr>
        <w:t xml:space="preserve"> </w:t>
      </w:r>
      <w:r w:rsidRPr="00E323AF">
        <w:rPr>
          <w:rFonts w:ascii="David" w:hAnsi="David"/>
          <w:b/>
          <w:bCs/>
          <w:rtl/>
        </w:rPr>
        <w:t>עידן יהושע נ' מדינת ישראל</w:t>
      </w:r>
      <w:r w:rsidRPr="00E323AF">
        <w:rPr>
          <w:rFonts w:ascii="David" w:hAnsi="David"/>
          <w:rtl/>
        </w:rPr>
        <w:t xml:space="preserve"> (4.3.2021), בו נידון עניינו של נאשם שהורשע בעבירת גידול סמים לאחר שבמחסנו נתפסו 60 שתילים במשקל כולל של 10 ק"ג. בית משפט השלום קיבל את טענת הנאשם וקבע כי הגידול היה למטרת שימוש עצמי, ונגזרו עליו צו של"צ, צו מבחן ועונשים נלווים. ערעור המדינה התקבל בבית המשפט המחוזי, נקבע כי האיסור לגדל סם מסוכן הוא מוחלט, ללא קשר למטרת הגידול, ועל אף שהנסיבות הצדיקו הקלה מסוימת, אין הצדקה להימנע מעונש מאסר כלל. הנאשם נידון לעשרה חודשי מאסר בפועל, ובקשת רשות ערעור שהגיש לעליון נדחתה; </w:t>
      </w:r>
      <w:hyperlink r:id="rId23" w:history="1">
        <w:r w:rsidR="00C4613D" w:rsidRPr="00C4613D">
          <w:rPr>
            <w:color w:val="0000FF"/>
            <w:u w:val="single"/>
            <w:rtl/>
          </w:rPr>
          <w:t>רע"פ 314/16</w:t>
        </w:r>
      </w:hyperlink>
      <w:r w:rsidRPr="00950E20">
        <w:rPr>
          <w:rtl/>
        </w:rPr>
        <w:t xml:space="preserve"> </w:t>
      </w:r>
      <w:r w:rsidRPr="00E323AF">
        <w:rPr>
          <w:b/>
          <w:bCs/>
          <w:rtl/>
        </w:rPr>
        <w:t>בן</w:t>
      </w:r>
      <w:r w:rsidRPr="00950E20">
        <w:rPr>
          <w:rtl/>
        </w:rPr>
        <w:t xml:space="preserve"> </w:t>
      </w:r>
      <w:r w:rsidRPr="00E323AF">
        <w:rPr>
          <w:b/>
          <w:bCs/>
          <w:rtl/>
        </w:rPr>
        <w:t>צבי נ' מדינת ישראל</w:t>
      </w:r>
      <w:r w:rsidRPr="00950E20">
        <w:rPr>
          <w:rtl/>
        </w:rPr>
        <w:t xml:space="preserve"> (22.2.</w:t>
      </w:r>
      <w:r>
        <w:rPr>
          <w:rtl/>
        </w:rPr>
        <w:t>2016</w:t>
      </w:r>
      <w:r w:rsidRPr="00950E20">
        <w:rPr>
          <w:rtl/>
        </w:rPr>
        <w:t xml:space="preserve">), בו הוחמר עונשו של נאשם ל-10 חודשי מאסר, בשל גידול </w:t>
      </w:r>
      <w:r w:rsidRPr="00E323AF">
        <w:rPr>
          <w:u w:val="single"/>
          <w:rtl/>
        </w:rPr>
        <w:t>תשעה</w:t>
      </w:r>
      <w:r w:rsidRPr="00950E20">
        <w:rPr>
          <w:rtl/>
        </w:rPr>
        <w:t xml:space="preserve"> שתילי קנבוס במשקל של 2.5 קילו</w:t>
      </w:r>
      <w:r>
        <w:rPr>
          <w:rtl/>
        </w:rPr>
        <w:t xml:space="preserve">. יצוין שבמקרה זה מדובר היה במעבדה משוכללת שבית המשפט המחוזי ציין לגביה כי </w:t>
      </w:r>
      <w:r w:rsidRPr="00E323AF">
        <w:rPr>
          <w:rFonts w:ascii="Miriam" w:hAnsi="Miriam" w:cs="Miriam"/>
          <w:rtl/>
        </w:rPr>
        <w:t>"</w:t>
      </w:r>
      <w:r w:rsidRPr="00E323AF">
        <w:rPr>
          <w:rFonts w:ascii="Miriam" w:hAnsi="Miriam" w:cs="Miriam" w:hint="eastAsia"/>
          <w:color w:val="000000"/>
          <w:rtl/>
        </w:rPr>
        <w:t>אין</w:t>
      </w:r>
      <w:r w:rsidRPr="00E323AF">
        <w:rPr>
          <w:rFonts w:ascii="Miriam" w:hAnsi="Miriam" w:cs="Miriam"/>
          <w:color w:val="000000"/>
          <w:rtl/>
        </w:rPr>
        <w:t xml:space="preserve"> </w:t>
      </w:r>
      <w:r w:rsidRPr="00E323AF">
        <w:rPr>
          <w:rFonts w:ascii="Miriam" w:hAnsi="Miriam" w:cs="Miriam" w:hint="eastAsia"/>
          <w:color w:val="000000"/>
          <w:rtl/>
        </w:rPr>
        <w:t>לך</w:t>
      </w:r>
      <w:r w:rsidRPr="00E323AF">
        <w:rPr>
          <w:rFonts w:ascii="Miriam" w:hAnsi="Miriam" w:cs="Miriam"/>
          <w:color w:val="000000"/>
          <w:rtl/>
        </w:rPr>
        <w:t xml:space="preserve"> </w:t>
      </w:r>
      <w:r w:rsidRPr="00E323AF">
        <w:rPr>
          <w:rFonts w:ascii="Miriam" w:hAnsi="Miriam" w:cs="Miriam" w:hint="eastAsia"/>
          <w:color w:val="000000"/>
          <w:rtl/>
        </w:rPr>
        <w:t>פריט</w:t>
      </w:r>
      <w:r w:rsidRPr="00E323AF">
        <w:rPr>
          <w:rFonts w:ascii="Miriam" w:hAnsi="Miriam" w:cs="Miriam"/>
          <w:color w:val="000000"/>
          <w:rtl/>
        </w:rPr>
        <w:t xml:space="preserve"> </w:t>
      </w:r>
      <w:r w:rsidRPr="00E323AF">
        <w:rPr>
          <w:rFonts w:ascii="Miriam" w:hAnsi="Miriam" w:cs="Miriam" w:hint="eastAsia"/>
          <w:color w:val="000000"/>
          <w:rtl/>
        </w:rPr>
        <w:t>הקשור</w:t>
      </w:r>
      <w:r w:rsidRPr="00E323AF">
        <w:rPr>
          <w:rFonts w:ascii="Miriam" w:hAnsi="Miriam" w:cs="Miriam"/>
          <w:color w:val="000000"/>
          <w:rtl/>
        </w:rPr>
        <w:t xml:space="preserve"> </w:t>
      </w:r>
      <w:r w:rsidRPr="00E323AF">
        <w:rPr>
          <w:rFonts w:ascii="Miriam" w:hAnsi="Miriam" w:cs="Miriam" w:hint="eastAsia"/>
          <w:color w:val="000000"/>
          <w:rtl/>
        </w:rPr>
        <w:t>לתחום</w:t>
      </w:r>
      <w:r w:rsidRPr="00E323AF">
        <w:rPr>
          <w:rFonts w:ascii="Miriam" w:hAnsi="Miriam" w:cs="Miriam"/>
          <w:color w:val="000000"/>
          <w:rtl/>
        </w:rPr>
        <w:t xml:space="preserve"> </w:t>
      </w:r>
      <w:r w:rsidRPr="00E323AF">
        <w:rPr>
          <w:rFonts w:ascii="Miriam" w:hAnsi="Miriam" w:cs="Miriam" w:hint="eastAsia"/>
          <w:color w:val="000000"/>
          <w:rtl/>
        </w:rPr>
        <w:t>זה</w:t>
      </w:r>
      <w:r w:rsidRPr="00E323AF">
        <w:rPr>
          <w:rFonts w:ascii="Miriam" w:hAnsi="Miriam" w:cs="Miriam"/>
          <w:color w:val="000000"/>
          <w:rtl/>
        </w:rPr>
        <w:t xml:space="preserve"> </w:t>
      </w:r>
      <w:r w:rsidRPr="00E323AF">
        <w:rPr>
          <w:rFonts w:ascii="Miriam" w:hAnsi="Miriam" w:cs="Miriam" w:hint="eastAsia"/>
          <w:color w:val="000000"/>
          <w:rtl/>
        </w:rPr>
        <w:t>שאינו</w:t>
      </w:r>
      <w:r w:rsidRPr="00E323AF">
        <w:rPr>
          <w:rFonts w:ascii="Miriam" w:hAnsi="Miriam" w:cs="Miriam"/>
          <w:color w:val="000000"/>
          <w:rtl/>
        </w:rPr>
        <w:t xml:space="preserve"> </w:t>
      </w:r>
      <w:r w:rsidRPr="00E323AF">
        <w:rPr>
          <w:rFonts w:ascii="Miriam" w:hAnsi="Miriam" w:cs="Miriam" w:hint="eastAsia"/>
          <w:color w:val="000000"/>
          <w:rtl/>
        </w:rPr>
        <w:t>מצוי</w:t>
      </w:r>
      <w:r w:rsidRPr="00E323AF">
        <w:rPr>
          <w:rFonts w:ascii="Miriam" w:hAnsi="Miriam" w:cs="Miriam"/>
          <w:color w:val="000000"/>
          <w:rtl/>
        </w:rPr>
        <w:t xml:space="preserve"> </w:t>
      </w:r>
      <w:r w:rsidRPr="00E323AF">
        <w:rPr>
          <w:rFonts w:ascii="Miriam" w:hAnsi="Miriam" w:cs="Miriam" w:hint="eastAsia"/>
          <w:color w:val="000000"/>
          <w:rtl/>
        </w:rPr>
        <w:t>באותה</w:t>
      </w:r>
      <w:r w:rsidRPr="00E323AF">
        <w:rPr>
          <w:rFonts w:ascii="Miriam" w:hAnsi="Miriam" w:cs="Miriam"/>
          <w:color w:val="000000"/>
          <w:rtl/>
        </w:rPr>
        <w:t xml:space="preserve"> </w:t>
      </w:r>
      <w:r w:rsidRPr="00E323AF">
        <w:rPr>
          <w:rFonts w:ascii="Miriam" w:hAnsi="Miriam" w:cs="Miriam" w:hint="eastAsia"/>
          <w:color w:val="000000"/>
          <w:rtl/>
        </w:rPr>
        <w:t>רשימת</w:t>
      </w:r>
      <w:r w:rsidRPr="00E323AF">
        <w:rPr>
          <w:rFonts w:ascii="Miriam" w:hAnsi="Miriam" w:cs="Miriam"/>
          <w:color w:val="000000"/>
          <w:rtl/>
        </w:rPr>
        <w:t xml:space="preserve"> </w:t>
      </w:r>
      <w:r w:rsidRPr="00E323AF">
        <w:rPr>
          <w:rFonts w:ascii="Miriam" w:hAnsi="Miriam" w:cs="Miriam" w:hint="eastAsia"/>
          <w:color w:val="000000"/>
          <w:rtl/>
        </w:rPr>
        <w:t>ציוד</w:t>
      </w:r>
      <w:r w:rsidRPr="00E323AF">
        <w:rPr>
          <w:rFonts w:ascii="Miriam" w:hAnsi="Miriam" w:cs="Miriam"/>
          <w:color w:val="000000"/>
          <w:rtl/>
        </w:rPr>
        <w:t>"</w:t>
      </w:r>
      <w:r>
        <w:rPr>
          <w:rtl/>
        </w:rPr>
        <w:t xml:space="preserve">; </w:t>
      </w:r>
      <w:hyperlink r:id="rId24" w:history="1">
        <w:r w:rsidR="00C4613D" w:rsidRPr="00C4613D">
          <w:rPr>
            <w:color w:val="0000FF"/>
            <w:u w:val="single"/>
            <w:rtl/>
          </w:rPr>
          <w:t>עפ"ג 62171-05-17</w:t>
        </w:r>
      </w:hyperlink>
      <w:r>
        <w:rPr>
          <w:rtl/>
        </w:rPr>
        <w:t xml:space="preserve"> </w:t>
      </w:r>
      <w:r w:rsidRPr="00E323AF">
        <w:rPr>
          <w:b/>
          <w:bCs/>
          <w:rtl/>
        </w:rPr>
        <w:t>אסי חן נ' מדינת ישראל</w:t>
      </w:r>
      <w:r>
        <w:rPr>
          <w:rtl/>
        </w:rPr>
        <w:t xml:space="preserve"> (10.7.2017), בו הוטלו על נאשם שגידל 19 שתילים במשקל 3.85 ק"ג, 12 חודשי מאסר. אציין כי בית המשפט המחוזי אישר במסגרת ערעור הנאשם את מתחם הענישה שקבע בית משפט השלום (8-20 חודשי מאסר). כן יצוין שהנאשם הורשע במקרה זה גם בעבירה של </w:t>
      </w:r>
      <w:r w:rsidRPr="00E323AF">
        <w:rPr>
          <w:rFonts w:ascii="David" w:hAnsi="David"/>
          <w:color w:val="000000"/>
          <w:rtl/>
        </w:rPr>
        <w:t xml:space="preserve">החזקת כלים להכנת סם </w:t>
      </w:r>
      <w:r w:rsidRPr="00E323AF">
        <w:rPr>
          <w:rFonts w:ascii="David" w:hAnsi="David"/>
          <w:color w:val="000000"/>
          <w:u w:val="single"/>
          <w:rtl/>
        </w:rPr>
        <w:t>שלא</w:t>
      </w:r>
      <w:r w:rsidRPr="00E323AF">
        <w:rPr>
          <w:rFonts w:ascii="David" w:hAnsi="David"/>
          <w:color w:val="000000"/>
          <w:rtl/>
        </w:rPr>
        <w:t xml:space="preserve"> לצריכה עצמית</w:t>
      </w:r>
      <w:r>
        <w:rPr>
          <w:rtl/>
        </w:rPr>
        <w:t>;</w:t>
      </w:r>
      <w:r w:rsidRPr="00FE4B51">
        <w:rPr>
          <w:rtl/>
        </w:rPr>
        <w:t xml:space="preserve"> </w:t>
      </w:r>
      <w:hyperlink r:id="rId25" w:history="1">
        <w:r w:rsidR="00C4613D" w:rsidRPr="00C4613D">
          <w:rPr>
            <w:rFonts w:ascii="David" w:hAnsi="David"/>
            <w:color w:val="0000FF"/>
            <w:u w:val="single"/>
            <w:rtl/>
          </w:rPr>
          <w:t>עפ"ג 28110-10-15</w:t>
        </w:r>
      </w:hyperlink>
      <w:r w:rsidRPr="00E323AF">
        <w:rPr>
          <w:rFonts w:ascii="David" w:hAnsi="David"/>
          <w:rtl/>
        </w:rPr>
        <w:t xml:space="preserve"> </w:t>
      </w:r>
      <w:r w:rsidRPr="00E323AF">
        <w:rPr>
          <w:rFonts w:ascii="David" w:hAnsi="David"/>
          <w:b/>
          <w:bCs/>
          <w:rtl/>
        </w:rPr>
        <w:t>מדינת ישראל נ' עידן דוד</w:t>
      </w:r>
      <w:r w:rsidRPr="00E323AF">
        <w:rPr>
          <w:rFonts w:ascii="David" w:hAnsi="David"/>
          <w:rtl/>
        </w:rPr>
        <w:t xml:space="preserve"> (17.12.2015), בו הסתיים בלא הרשעה עניינו של נאשם שגידל 21 שתילי קנבוס, ביחד עם אחר, ונידון לצו של"צ, צו מבחן, פיצוי ופסילה על תנאי; </w:t>
      </w:r>
      <w:hyperlink r:id="rId26" w:history="1">
        <w:r w:rsidR="00C4613D" w:rsidRPr="00C4613D">
          <w:rPr>
            <w:color w:val="0000FF"/>
            <w:u w:val="single"/>
            <w:rtl/>
          </w:rPr>
          <w:t>ת"פ 57043-06-16</w:t>
        </w:r>
      </w:hyperlink>
      <w:r w:rsidRPr="00197CB7">
        <w:rPr>
          <w:rtl/>
        </w:rPr>
        <w:t xml:space="preserve"> </w:t>
      </w:r>
      <w:r w:rsidRPr="00E323AF">
        <w:rPr>
          <w:b/>
          <w:bCs/>
          <w:rtl/>
        </w:rPr>
        <w:t>תביעות צפת נ' חבני</w:t>
      </w:r>
      <w:r>
        <w:rPr>
          <w:rtl/>
        </w:rPr>
        <w:t xml:space="preserve"> (17.7.2017), בו הורשע הנאשם בעבירות של גידול סמים והחזקת סמים </w:t>
      </w:r>
      <w:r w:rsidRPr="00E323AF">
        <w:rPr>
          <w:u w:val="single"/>
          <w:rtl/>
        </w:rPr>
        <w:t>שלא</w:t>
      </w:r>
      <w:r>
        <w:rPr>
          <w:rtl/>
        </w:rPr>
        <w:t xml:space="preserve"> לצריכה עצמית. הנאשם החזיק ב- </w:t>
      </w:r>
      <w:r w:rsidRPr="00F00E20">
        <w:rPr>
          <w:rtl/>
        </w:rPr>
        <w:t xml:space="preserve">154.08 גרם של </w:t>
      </w:r>
      <w:r>
        <w:rPr>
          <w:rtl/>
        </w:rPr>
        <w:t xml:space="preserve">סם </w:t>
      </w:r>
      <w:r w:rsidRPr="00F00E20">
        <w:rPr>
          <w:rtl/>
        </w:rPr>
        <w:t xml:space="preserve">מסוכן מסוג קנבוס ו- 0.79 גרם </w:t>
      </w:r>
      <w:r>
        <w:rPr>
          <w:rtl/>
        </w:rPr>
        <w:t xml:space="preserve">של </w:t>
      </w:r>
      <w:r w:rsidRPr="00F00E20">
        <w:rPr>
          <w:rtl/>
        </w:rPr>
        <w:t xml:space="preserve">סם מסוכן מסוג חשיש. בנוסף, גידל הנאשם על גג ביתו </w:t>
      </w:r>
      <w:r w:rsidRPr="00E323AF">
        <w:rPr>
          <w:u w:val="single"/>
          <w:rtl/>
        </w:rPr>
        <w:t>3</w:t>
      </w:r>
      <w:r w:rsidRPr="00F00E20">
        <w:rPr>
          <w:rtl/>
        </w:rPr>
        <w:t xml:space="preserve"> שתילי סם מסוג קנבוס במשקל 210 גרם</w:t>
      </w:r>
      <w:r>
        <w:rPr>
          <w:rtl/>
        </w:rPr>
        <w:t xml:space="preserve">. בית המשפט דחה את עתירת הנאשם לביטול הרשעתו והוא נידון למאסר על תנאי, קנס, התחייבות ופסילה על תנאי; </w:t>
      </w:r>
      <w:hyperlink r:id="rId27" w:history="1">
        <w:r w:rsidR="00C4613D" w:rsidRPr="00C4613D">
          <w:rPr>
            <w:color w:val="0000FF"/>
            <w:u w:val="single"/>
            <w:rtl/>
          </w:rPr>
          <w:t>ת"פ 62475-06-16</w:t>
        </w:r>
      </w:hyperlink>
      <w:r>
        <w:rPr>
          <w:rtl/>
        </w:rPr>
        <w:t xml:space="preserve"> </w:t>
      </w:r>
      <w:r w:rsidRPr="00E323AF">
        <w:rPr>
          <w:b/>
          <w:bCs/>
          <w:rtl/>
        </w:rPr>
        <w:t>מדינת ישראל נ' שי אדרי</w:t>
      </w:r>
      <w:r>
        <w:rPr>
          <w:rtl/>
        </w:rPr>
        <w:t xml:space="preserve"> (16.7.2018), בו בוטלה הרשעתו של נאשם שנקבע שגידל </w:t>
      </w:r>
      <w:r w:rsidRPr="00E323AF">
        <w:rPr>
          <w:u w:val="single"/>
          <w:rtl/>
        </w:rPr>
        <w:t>שני</w:t>
      </w:r>
      <w:r>
        <w:rPr>
          <w:rtl/>
        </w:rPr>
        <w:t xml:space="preserve"> שתילי קנבוס והוטל עליו צו של"צ ומבחן.</w:t>
      </w:r>
      <w:r>
        <w:rPr>
          <w:rFonts w:ascii="David" w:hAnsi="David" w:hint="cs"/>
          <w:rtl/>
        </w:rPr>
        <w:t xml:space="preserve"> </w:t>
      </w:r>
    </w:p>
    <w:p w14:paraId="746A151B" w14:textId="77777777" w:rsidR="003C5E28" w:rsidRPr="00E323AF" w:rsidRDefault="003C5E28" w:rsidP="003C5E28">
      <w:pPr>
        <w:pStyle w:val="a9"/>
        <w:ind w:left="0"/>
        <w:jc w:val="both"/>
        <w:rPr>
          <w:rFonts w:ascii="David" w:hAnsi="David"/>
        </w:rPr>
      </w:pPr>
    </w:p>
    <w:p w14:paraId="24B8A824" w14:textId="77777777" w:rsidR="003C5E28" w:rsidRDefault="003C5E28" w:rsidP="003C5E28">
      <w:pPr>
        <w:pStyle w:val="a9"/>
        <w:numPr>
          <w:ilvl w:val="0"/>
          <w:numId w:val="1"/>
        </w:numPr>
        <w:spacing w:line="360" w:lineRule="auto"/>
        <w:jc w:val="both"/>
        <w:rPr>
          <w:rFonts w:ascii="David" w:hAnsi="David"/>
        </w:rPr>
      </w:pPr>
      <w:r>
        <w:rPr>
          <w:rtl/>
        </w:rPr>
        <w:t>לאור כל זאת, אני בדעה כי מתחם העונש ההולם עבירות אלו בנסיבות</w:t>
      </w:r>
      <w:r>
        <w:rPr>
          <w:rFonts w:ascii="David" w:hAnsi="David"/>
          <w:rtl/>
        </w:rPr>
        <w:t xml:space="preserve"> ביצוען, נע בין מאסר מותנה ועד </w:t>
      </w:r>
      <w:r>
        <w:rPr>
          <w:rFonts w:ascii="David" w:hAnsi="David" w:hint="cs"/>
          <w:rtl/>
        </w:rPr>
        <w:t xml:space="preserve">מספר חודשי </w:t>
      </w:r>
      <w:r>
        <w:rPr>
          <w:rFonts w:ascii="David" w:hAnsi="David"/>
          <w:rtl/>
        </w:rPr>
        <w:t>מאסר בפועל שניתן לשאת בעבודות שירות וזאת בשילוב קנס.</w:t>
      </w:r>
    </w:p>
    <w:p w14:paraId="5B174651" w14:textId="77777777" w:rsidR="003C5E28" w:rsidRPr="00041126" w:rsidRDefault="003C5E28" w:rsidP="003C5E28">
      <w:pPr>
        <w:pStyle w:val="a9"/>
        <w:ind w:left="0"/>
        <w:jc w:val="both"/>
        <w:rPr>
          <w:rFonts w:ascii="David" w:hAnsi="David"/>
          <w:rtl/>
        </w:rPr>
      </w:pPr>
    </w:p>
    <w:p w14:paraId="26F17814" w14:textId="77777777" w:rsidR="003C5E28" w:rsidRDefault="003C5E28" w:rsidP="003C5E28">
      <w:pPr>
        <w:spacing w:line="360" w:lineRule="auto"/>
        <w:rPr>
          <w:b/>
          <w:bCs/>
          <w:u w:val="single"/>
          <w:rtl/>
        </w:rPr>
      </w:pPr>
      <w:r w:rsidRPr="00AB3758">
        <w:rPr>
          <w:b/>
          <w:bCs/>
          <w:u w:val="single"/>
          <w:rtl/>
        </w:rPr>
        <w:t>קביעת עונשו של הנאשם</w:t>
      </w:r>
    </w:p>
    <w:p w14:paraId="18986B43" w14:textId="77777777" w:rsidR="003C5E28" w:rsidRDefault="003C5E28" w:rsidP="003C5E28">
      <w:pPr>
        <w:pStyle w:val="a9"/>
        <w:ind w:left="0"/>
        <w:jc w:val="both"/>
        <w:rPr>
          <w:rFonts w:ascii="David" w:hAnsi="David"/>
        </w:rPr>
      </w:pPr>
    </w:p>
    <w:p w14:paraId="2A57B492" w14:textId="77777777" w:rsidR="003C5E28" w:rsidRDefault="003C5E28" w:rsidP="003C5E28">
      <w:pPr>
        <w:pStyle w:val="a9"/>
        <w:numPr>
          <w:ilvl w:val="0"/>
          <w:numId w:val="1"/>
        </w:numPr>
        <w:spacing w:line="360" w:lineRule="auto"/>
        <w:jc w:val="both"/>
        <w:rPr>
          <w:b/>
          <w:bCs/>
          <w:u w:val="single"/>
        </w:rPr>
      </w:pPr>
      <w:r>
        <w:rPr>
          <w:rtl/>
        </w:rPr>
        <w:t>הנאש</w:t>
      </w:r>
      <w:r>
        <w:rPr>
          <w:rFonts w:hint="cs"/>
          <w:rtl/>
        </w:rPr>
        <w:t>ם</w:t>
      </w:r>
      <w:r>
        <w:rPr>
          <w:rtl/>
        </w:rPr>
        <w:t xml:space="preserve"> לא ביקש להפנות</w:t>
      </w:r>
      <w:r>
        <w:rPr>
          <w:rFonts w:hint="cs"/>
          <w:rtl/>
        </w:rPr>
        <w:t>ו</w:t>
      </w:r>
      <w:r>
        <w:rPr>
          <w:rtl/>
        </w:rPr>
        <w:t xml:space="preserve"> לשירות המבחן ולא הובאו בפני נתונים כלשהם מהם ניתן להסיק קיומם של סיכויי שיקום ממשיים המצדיקים חריגה ממתחם הענישה, וההגנה אף לא ביקשה לעשות כן</w:t>
      </w:r>
      <w:r>
        <w:rPr>
          <w:rFonts w:hint="cs"/>
          <w:rtl/>
        </w:rPr>
        <w:t xml:space="preserve">. משכן ייגזר העונש בגדרי מתחם הענישה. </w:t>
      </w:r>
    </w:p>
    <w:p w14:paraId="01B7069B" w14:textId="77777777" w:rsidR="003C5E28" w:rsidRDefault="003C5E28" w:rsidP="003C5E28">
      <w:pPr>
        <w:pStyle w:val="a9"/>
        <w:ind w:left="0"/>
        <w:jc w:val="both"/>
        <w:rPr>
          <w:b/>
          <w:bCs/>
          <w:u w:val="single"/>
        </w:rPr>
      </w:pPr>
    </w:p>
    <w:p w14:paraId="6585194F" w14:textId="77777777" w:rsidR="003C5E28" w:rsidRDefault="003C5E28" w:rsidP="003C5E28">
      <w:pPr>
        <w:pStyle w:val="a9"/>
        <w:numPr>
          <w:ilvl w:val="0"/>
          <w:numId w:val="1"/>
        </w:numPr>
        <w:spacing w:line="360" w:lineRule="auto"/>
        <w:jc w:val="both"/>
        <w:rPr>
          <w:b/>
          <w:bCs/>
          <w:u w:val="single"/>
        </w:rPr>
      </w:pPr>
      <w:r w:rsidRPr="0046240E">
        <w:rPr>
          <w:rFonts w:ascii="David" w:hAnsi="David"/>
          <w:rtl/>
        </w:rPr>
        <w:t>לצורך קביעת עונשו של הנאשם הבאתי בחשבון את הודאתו בהזדמנות הראשונה אשר חסכה זמן שיפוטי. כן ראיתי בהודאה זו כביטוי של חרטה וקבלת אחריות. הבאתי עוד בחשבון את גיל</w:t>
      </w:r>
      <w:r w:rsidRPr="0046240E">
        <w:rPr>
          <w:rFonts w:ascii="David" w:hAnsi="David" w:hint="cs"/>
          <w:rtl/>
        </w:rPr>
        <w:t>ו (יליד 1984), עברו הפלילי הנקי ו</w:t>
      </w:r>
      <w:r>
        <w:rPr>
          <w:rFonts w:ascii="David" w:hAnsi="David" w:hint="cs"/>
          <w:rtl/>
        </w:rPr>
        <w:t xml:space="preserve">מצבו הרפואי בגינו </w:t>
      </w:r>
      <w:r w:rsidRPr="0046240E">
        <w:rPr>
          <w:rFonts w:ascii="David" w:hAnsi="David" w:hint="cs"/>
          <w:rtl/>
        </w:rPr>
        <w:t xml:space="preserve">ניתן לו רישיון לצריכת קנבוס רפואי. </w:t>
      </w:r>
      <w:r>
        <w:rPr>
          <w:rtl/>
        </w:rPr>
        <w:t>על חומרת העבירה</w:t>
      </w:r>
      <w:r w:rsidRPr="00AD0098">
        <w:rPr>
          <w:rtl/>
        </w:rPr>
        <w:t xml:space="preserve"> במקרה זה אין חולק ועמדתי לעיל על מדיניות הענישה הראויה בעבירות כגון אלו. עם זאת, במקרה זה </w:t>
      </w:r>
      <w:r>
        <w:rPr>
          <w:rtl/>
        </w:rPr>
        <w:t>ראיתי להימנע מהטלת ע</w:t>
      </w:r>
      <w:r w:rsidRPr="00AD0098">
        <w:rPr>
          <w:rtl/>
        </w:rPr>
        <w:t>ונש מאסר</w:t>
      </w:r>
      <w:r>
        <w:rPr>
          <w:rtl/>
        </w:rPr>
        <w:t xml:space="preserve"> </w:t>
      </w:r>
      <w:r w:rsidRPr="00AD0098">
        <w:rPr>
          <w:rtl/>
        </w:rPr>
        <w:t>ולו בעבודות שירות</w:t>
      </w:r>
      <w:r>
        <w:rPr>
          <w:rtl/>
        </w:rPr>
        <w:t xml:space="preserve"> כעתירת המאשימה</w:t>
      </w:r>
      <w:r w:rsidRPr="00AD0098">
        <w:rPr>
          <w:rtl/>
        </w:rPr>
        <w:t xml:space="preserve">. הנאשם אינו בעל דפוסי התנהגות </w:t>
      </w:r>
      <w:r>
        <w:rPr>
          <w:rtl/>
        </w:rPr>
        <w:t xml:space="preserve">עברייניים, עברו נקי וכאמור מצבו </w:t>
      </w:r>
      <w:r>
        <w:rPr>
          <w:rFonts w:hint="cs"/>
          <w:rtl/>
        </w:rPr>
        <w:t>הרפואי-נפשי</w:t>
      </w:r>
      <w:r>
        <w:rPr>
          <w:rtl/>
        </w:rPr>
        <w:t xml:space="preserve"> רעוע</w:t>
      </w:r>
      <w:r w:rsidRPr="0046240E">
        <w:rPr>
          <w:rFonts w:ascii="David" w:hAnsi="David"/>
          <w:rtl/>
        </w:rPr>
        <w:t xml:space="preserve">. </w:t>
      </w:r>
      <w:r>
        <w:rPr>
          <w:rFonts w:ascii="David" w:hAnsi="David" w:hint="cs"/>
          <w:rtl/>
        </w:rPr>
        <w:t xml:space="preserve">כן התרשמתי כי ההליך הפלילי יצר עבורו אפקט הרתעתי מפחית סיכון. </w:t>
      </w:r>
      <w:r>
        <w:rPr>
          <w:rtl/>
        </w:rPr>
        <w:t>על רקע נסיבות ביצוע העבירה</w:t>
      </w:r>
      <w:r>
        <w:rPr>
          <w:rFonts w:hint="cs"/>
          <w:rtl/>
        </w:rPr>
        <w:t xml:space="preserve"> ונסיבותיו של הנאשם </w:t>
      </w:r>
      <w:r>
        <w:rPr>
          <w:rtl/>
        </w:rPr>
        <w:t>הגעתי למסקנה לפיה עונש מאסר, אף בדרך של עבודות שירות, אינו הולם את נסיבות העניין הכוללות, הוא עלול לגרום להחמרה במצבו הנפשי של הנאשם וניתן במקרה זה להסתפק בענישה מותנית בשילוב קנס על מנת להשיג את תכלית הענישה - הלימה.</w:t>
      </w:r>
    </w:p>
    <w:p w14:paraId="3E28E3F6" w14:textId="77777777" w:rsidR="003C5E28" w:rsidRDefault="003C5E28" w:rsidP="003C5E28">
      <w:pPr>
        <w:pStyle w:val="a9"/>
        <w:spacing w:line="360" w:lineRule="auto"/>
        <w:ind w:left="0"/>
        <w:jc w:val="both"/>
        <w:rPr>
          <w:b/>
          <w:bCs/>
          <w:u w:val="single"/>
        </w:rPr>
      </w:pPr>
    </w:p>
    <w:p w14:paraId="41BE334D" w14:textId="77777777" w:rsidR="003C5E28" w:rsidRDefault="003C5E28" w:rsidP="003C5E28">
      <w:pPr>
        <w:numPr>
          <w:ilvl w:val="0"/>
          <w:numId w:val="1"/>
        </w:numPr>
        <w:spacing w:before="120" w:after="120" w:line="360" w:lineRule="auto"/>
        <w:contextualSpacing/>
        <w:jc w:val="both"/>
      </w:pPr>
      <w:r>
        <w:rPr>
          <w:rtl/>
        </w:rPr>
        <w:t>סיכומו של דבר, לאחר שבחנתי את מכלול השיקולים, הן לקולה והן לחומרה, אני מטיל על הנאשם את העונשים הבאים:</w:t>
      </w:r>
    </w:p>
    <w:p w14:paraId="38C2F022" w14:textId="77777777" w:rsidR="003C5E28" w:rsidRDefault="003C5E28" w:rsidP="003C5E28">
      <w:pPr>
        <w:pStyle w:val="a9"/>
        <w:numPr>
          <w:ilvl w:val="0"/>
          <w:numId w:val="2"/>
        </w:numPr>
        <w:spacing w:before="120" w:after="120" w:line="360" w:lineRule="auto"/>
        <w:jc w:val="both"/>
      </w:pPr>
      <w:r>
        <w:rPr>
          <w:rtl/>
        </w:rPr>
        <w:t>מאסר על תנאי לתקופה של 4 חודשים והתנאי הוא שהנאשם לא יעבור במשך שנתיים כל עבירה על פקודת הסמים שהיא פשע.</w:t>
      </w:r>
    </w:p>
    <w:p w14:paraId="2983160E" w14:textId="77777777" w:rsidR="003C5E28" w:rsidRPr="0046240E" w:rsidRDefault="003C5E28" w:rsidP="003C5E28">
      <w:pPr>
        <w:pStyle w:val="a9"/>
        <w:numPr>
          <w:ilvl w:val="0"/>
          <w:numId w:val="2"/>
        </w:numPr>
        <w:spacing w:before="120" w:after="120" w:line="360" w:lineRule="auto"/>
        <w:jc w:val="both"/>
      </w:pPr>
      <w:r>
        <w:rPr>
          <w:rtl/>
        </w:rPr>
        <w:t>קנס בסך 3,000 ₪. הקנס ישולם בחמישה תשלומים שווים ורצופים מיום 1.</w:t>
      </w:r>
      <w:r>
        <w:rPr>
          <w:rFonts w:hint="cs"/>
          <w:rtl/>
        </w:rPr>
        <w:t>8</w:t>
      </w:r>
      <w:r>
        <w:rPr>
          <w:rtl/>
        </w:rPr>
        <w:t>.22 ובכל -1 לחודש שלאחריו. לא ישולם אחד התשלומים או יותר במועדו, תעמוד היתרה לפירעון מידי.</w:t>
      </w:r>
      <w:r>
        <w:rPr>
          <w:rFonts w:hint="cs"/>
          <w:rtl/>
        </w:rPr>
        <w:t xml:space="preserve"> </w:t>
      </w:r>
      <w:r>
        <w:rPr>
          <w:rtl/>
        </w:rPr>
        <w:t>את הסכום יש לשלם ישירות למרכז לגביית אגרות וקנסות באחת הדרכים הבאות:</w:t>
      </w:r>
      <w:r w:rsidRPr="0046240E">
        <w:rPr>
          <w:rFonts w:ascii="David" w:hAnsi="David"/>
          <w:rtl/>
        </w:rPr>
        <w:t xml:space="preserve"> </w:t>
      </w:r>
    </w:p>
    <w:p w14:paraId="24F1D86D" w14:textId="77777777" w:rsidR="003C5E28" w:rsidRDefault="003C5E28" w:rsidP="003C5E28">
      <w:pPr>
        <w:pStyle w:val="a9"/>
        <w:numPr>
          <w:ilvl w:val="0"/>
          <w:numId w:val="3"/>
        </w:numPr>
        <w:contextualSpacing w:val="0"/>
        <w:rPr>
          <w:rFonts w:ascii="David" w:hAnsi="David"/>
          <w:b/>
          <w:bCs/>
        </w:rPr>
      </w:pPr>
      <w:r>
        <w:rPr>
          <w:rFonts w:ascii="David" w:hAnsi="David"/>
          <w:b/>
          <w:bCs/>
          <w:rtl/>
        </w:rPr>
        <w:t>בכרטיס אשראי</w:t>
      </w:r>
      <w:r>
        <w:rPr>
          <w:rFonts w:ascii="David" w:hAnsi="David"/>
          <w:rtl/>
        </w:rPr>
        <w:t xml:space="preserve"> – באתר המקוון של רשות האכיפה והגבייה, </w:t>
      </w:r>
      <w:hyperlink r:id="rId28" w:history="1">
        <w:r>
          <w:rPr>
            <w:rStyle w:val="Hyperlink"/>
            <w:rFonts w:ascii="David" w:hAnsi="David"/>
          </w:rPr>
          <w:t>www.eca.gov.il</w:t>
        </w:r>
      </w:hyperlink>
      <w:r>
        <w:rPr>
          <w:rFonts w:ascii="David" w:hAnsi="David"/>
        </w:rPr>
        <w:t xml:space="preserve"> </w:t>
      </w:r>
      <w:r w:rsidR="00C4613D">
        <w:rPr>
          <w:rFonts w:ascii="David" w:hAnsi="David"/>
          <w:rtl/>
        </w:rPr>
        <w:t xml:space="preserve"> </w:t>
      </w:r>
    </w:p>
    <w:p w14:paraId="6D08900E" w14:textId="77777777" w:rsidR="003C5E28" w:rsidRDefault="003C5E28" w:rsidP="003C5E28">
      <w:pPr>
        <w:pStyle w:val="a9"/>
        <w:numPr>
          <w:ilvl w:val="0"/>
          <w:numId w:val="3"/>
        </w:numPr>
        <w:contextualSpacing w:val="0"/>
        <w:rPr>
          <w:rFonts w:ascii="David" w:hAnsi="David"/>
          <w:b/>
          <w:bCs/>
        </w:rPr>
      </w:pPr>
      <w:r>
        <w:rPr>
          <w:rFonts w:ascii="David" w:hAnsi="David"/>
          <w:b/>
          <w:bCs/>
          <w:rtl/>
        </w:rPr>
        <w:t>מוקד שירות טלפוני בשרות עצמי (מרכז גבייה)</w:t>
      </w:r>
      <w:r w:rsidR="00C4613D">
        <w:rPr>
          <w:rFonts w:ascii="David" w:hAnsi="David"/>
          <w:b/>
          <w:bCs/>
          <w:rtl/>
        </w:rPr>
        <w:t xml:space="preserve"> </w:t>
      </w:r>
      <w:r>
        <w:rPr>
          <w:rFonts w:ascii="David" w:hAnsi="David"/>
          <w:b/>
          <w:bCs/>
          <w:rtl/>
        </w:rPr>
        <w:t xml:space="preserve"> – בטלפון 35592* או בטלפון 073-2055000</w:t>
      </w:r>
    </w:p>
    <w:p w14:paraId="7C8B6DB5" w14:textId="77777777" w:rsidR="003C5E28" w:rsidRDefault="003C5E28" w:rsidP="003C5E28">
      <w:pPr>
        <w:pStyle w:val="a9"/>
        <w:numPr>
          <w:ilvl w:val="0"/>
          <w:numId w:val="3"/>
        </w:numPr>
        <w:contextualSpacing w:val="0"/>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0BFCA614" w14:textId="77777777" w:rsidR="003C5E28" w:rsidRDefault="003C5E28" w:rsidP="003C5E28">
      <w:pPr>
        <w:spacing w:before="120" w:after="120"/>
        <w:jc w:val="both"/>
        <w:rPr>
          <w:b/>
          <w:bCs/>
          <w:u w:val="single"/>
          <w:rtl/>
        </w:rPr>
      </w:pPr>
    </w:p>
    <w:p w14:paraId="767C0156" w14:textId="77777777" w:rsidR="003C5E28" w:rsidRDefault="003C5E28" w:rsidP="003C5E28">
      <w:pPr>
        <w:spacing w:before="120" w:after="120" w:line="360" w:lineRule="auto"/>
        <w:jc w:val="both"/>
        <w:rPr>
          <w:b/>
          <w:bCs/>
          <w:u w:val="single"/>
          <w:rtl/>
        </w:rPr>
      </w:pPr>
      <w:r>
        <w:rPr>
          <w:b/>
          <w:bCs/>
          <w:u w:val="single"/>
          <w:rtl/>
        </w:rPr>
        <w:t>הודעה זכות ערעור לבית המשפט המחוזי בתוך 45 יום.</w:t>
      </w:r>
    </w:p>
    <w:p w14:paraId="0E4C49AA" w14:textId="77777777" w:rsidR="003C5E28" w:rsidRDefault="003C5E28" w:rsidP="003C5E28">
      <w:pPr>
        <w:spacing w:line="360" w:lineRule="auto"/>
        <w:rPr>
          <w:b/>
          <w:bCs/>
          <w:u w:val="single"/>
          <w:rtl/>
        </w:rPr>
      </w:pPr>
      <w:r>
        <w:rPr>
          <w:rFonts w:hint="cs"/>
          <w:b/>
          <w:bCs/>
          <w:u w:val="single"/>
          <w:rtl/>
        </w:rPr>
        <w:t xml:space="preserve">המוצג- סמים- להשמיד. </w:t>
      </w:r>
    </w:p>
    <w:p w14:paraId="1FB2B755" w14:textId="77777777" w:rsidR="003C5E28" w:rsidRPr="00C4613D" w:rsidRDefault="00C4613D" w:rsidP="003C5E28">
      <w:pPr>
        <w:rPr>
          <w:rFonts w:ascii="David" w:hAnsi="David"/>
          <w:color w:val="FFFFFF"/>
          <w:sz w:val="2"/>
          <w:szCs w:val="2"/>
          <w:rtl/>
        </w:rPr>
      </w:pPr>
      <w:r w:rsidRPr="00C4613D">
        <w:rPr>
          <w:rFonts w:ascii="David" w:hAnsi="David"/>
          <w:color w:val="FFFFFF"/>
          <w:sz w:val="2"/>
          <w:szCs w:val="2"/>
          <w:rtl/>
        </w:rPr>
        <w:t>5129371</w:t>
      </w:r>
    </w:p>
    <w:p w14:paraId="262FF0AD" w14:textId="77777777" w:rsidR="003C5E28" w:rsidRPr="00C4613D" w:rsidRDefault="00C4613D" w:rsidP="003C5E28">
      <w:pPr>
        <w:rPr>
          <w:rFonts w:ascii="David" w:hAnsi="David"/>
          <w:color w:val="FFFFFF"/>
          <w:sz w:val="2"/>
          <w:szCs w:val="2"/>
          <w:rtl/>
        </w:rPr>
      </w:pPr>
      <w:r w:rsidRPr="00C4613D">
        <w:rPr>
          <w:rFonts w:ascii="David" w:hAnsi="David"/>
          <w:color w:val="FFFFFF"/>
          <w:sz w:val="2"/>
          <w:szCs w:val="2"/>
          <w:rtl/>
        </w:rPr>
        <w:t>54678313</w:t>
      </w:r>
    </w:p>
    <w:p w14:paraId="1830EA8D" w14:textId="77777777" w:rsidR="003C5E28" w:rsidRPr="00EB1565" w:rsidRDefault="003C5E28" w:rsidP="003C5E28">
      <w:pPr>
        <w:rPr>
          <w:rFonts w:ascii="David" w:hAnsi="David"/>
          <w:rtl/>
        </w:rPr>
      </w:pPr>
    </w:p>
    <w:p w14:paraId="27A2E490" w14:textId="77777777" w:rsidR="003C5E28" w:rsidRPr="00EB1565" w:rsidRDefault="00C4613D" w:rsidP="003C5E28">
      <w:pPr>
        <w:rPr>
          <w:rFonts w:ascii="David" w:hAnsi="David"/>
          <w:rtl/>
        </w:rPr>
      </w:pPr>
      <w:bookmarkStart w:id="7" w:name="Nitan"/>
      <w:r>
        <w:rPr>
          <w:rFonts w:ascii="David" w:hAnsi="David"/>
          <w:rtl/>
        </w:rPr>
        <w:t xml:space="preserve">ניתן היום,  כ"ג סיוון תשפ"ב, 22 יוני 2022, במעמד הצדדים. </w:t>
      </w:r>
      <w:bookmarkEnd w:id="7"/>
    </w:p>
    <w:p w14:paraId="2F272AC6" w14:textId="77777777" w:rsidR="003C5E28" w:rsidRPr="00EB1565" w:rsidRDefault="003C5E28" w:rsidP="00C4613D">
      <w:pPr>
        <w:jc w:val="center"/>
      </w:pPr>
      <w:r w:rsidRPr="00EB1565">
        <w:rPr>
          <w:rFonts w:ascii="David" w:hAnsi="David"/>
          <w:rtl/>
        </w:rPr>
        <w:t xml:space="preserve">   </w:t>
      </w:r>
      <w:r w:rsidRPr="00EB1565">
        <w:rPr>
          <w:rFonts w:ascii="David" w:hAnsi="David"/>
          <w:rtl/>
        </w:rPr>
        <w:tab/>
      </w:r>
      <w:r w:rsidRPr="00EB1565">
        <w:rPr>
          <w:rFonts w:ascii="David" w:hAnsi="David"/>
          <w:rtl/>
        </w:rPr>
        <w:tab/>
      </w:r>
      <w:r w:rsidRPr="00EB1565">
        <w:rPr>
          <w:rFonts w:ascii="David" w:hAnsi="David"/>
          <w:rtl/>
        </w:rPr>
        <w:tab/>
      </w:r>
      <w:r w:rsidRPr="00EB1565">
        <w:rPr>
          <w:rFonts w:ascii="David" w:hAnsi="David"/>
          <w:rtl/>
        </w:rPr>
        <w:tab/>
      </w:r>
      <w:r w:rsidRPr="00EB1565">
        <w:rPr>
          <w:rFonts w:ascii="David" w:hAnsi="David"/>
          <w:rtl/>
        </w:rPr>
        <w:tab/>
      </w:r>
    </w:p>
    <w:p w14:paraId="0CA0CC31" w14:textId="77777777" w:rsidR="003C5E28" w:rsidRPr="00EB1565" w:rsidRDefault="003C5E28" w:rsidP="003C5E28">
      <w:pPr>
        <w:jc w:val="center"/>
        <w:rPr>
          <w:rFonts w:ascii="David" w:hAnsi="David"/>
          <w:rtl/>
        </w:rPr>
      </w:pPr>
    </w:p>
    <w:p w14:paraId="0FC63A9C" w14:textId="77777777" w:rsidR="00B71A20" w:rsidRPr="00C4613D" w:rsidRDefault="00B71A20" w:rsidP="00C4613D">
      <w:pPr>
        <w:keepNext/>
        <w:rPr>
          <w:rFonts w:ascii="David" w:hAnsi="David"/>
          <w:color w:val="000000"/>
          <w:sz w:val="22"/>
          <w:szCs w:val="22"/>
          <w:rtl/>
        </w:rPr>
      </w:pPr>
    </w:p>
    <w:p w14:paraId="42C33F19" w14:textId="77777777" w:rsidR="00C4613D" w:rsidRPr="00C4613D" w:rsidRDefault="00C4613D" w:rsidP="00C4613D">
      <w:pPr>
        <w:keepNext/>
        <w:rPr>
          <w:rFonts w:ascii="David" w:hAnsi="David"/>
          <w:color w:val="000000"/>
          <w:sz w:val="22"/>
          <w:szCs w:val="22"/>
          <w:rtl/>
        </w:rPr>
      </w:pPr>
      <w:r w:rsidRPr="00C4613D">
        <w:rPr>
          <w:rFonts w:ascii="David" w:hAnsi="David"/>
          <w:color w:val="000000"/>
          <w:sz w:val="22"/>
          <w:szCs w:val="22"/>
          <w:rtl/>
        </w:rPr>
        <w:t>יוסי טורס 54678313</w:t>
      </w:r>
    </w:p>
    <w:p w14:paraId="57588669" w14:textId="77777777" w:rsidR="00C4613D" w:rsidRDefault="00C4613D" w:rsidP="00C4613D">
      <w:r w:rsidRPr="00C4613D">
        <w:rPr>
          <w:color w:val="000000"/>
          <w:rtl/>
        </w:rPr>
        <w:t>נוסח מסמך זה כפוף לשינויי ניסוח ועריכה</w:t>
      </w:r>
    </w:p>
    <w:p w14:paraId="7A294C4C" w14:textId="77777777" w:rsidR="00C4613D" w:rsidRDefault="00C4613D" w:rsidP="00C4613D">
      <w:pPr>
        <w:rPr>
          <w:rtl/>
        </w:rPr>
      </w:pPr>
    </w:p>
    <w:p w14:paraId="1D60FDDE" w14:textId="77777777" w:rsidR="00C4613D" w:rsidRDefault="00C4613D" w:rsidP="00C4613D">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CF7E3AC" w14:textId="77777777" w:rsidR="00C4613D" w:rsidRPr="00C4613D" w:rsidRDefault="00C4613D" w:rsidP="00C4613D">
      <w:pPr>
        <w:jc w:val="center"/>
        <w:rPr>
          <w:color w:val="0000FF"/>
          <w:u w:val="single"/>
        </w:rPr>
      </w:pPr>
    </w:p>
    <w:sectPr w:rsidR="00C4613D" w:rsidRPr="00C4613D" w:rsidSect="00C4613D">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3899F" w14:textId="77777777" w:rsidR="001D2105" w:rsidRDefault="001D2105" w:rsidP="00B53A33">
      <w:r>
        <w:separator/>
      </w:r>
    </w:p>
  </w:endnote>
  <w:endnote w:type="continuationSeparator" w:id="0">
    <w:p w14:paraId="3C58DEAD" w14:textId="77777777" w:rsidR="001D2105" w:rsidRDefault="001D2105" w:rsidP="00B5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B96F6" w14:textId="77777777" w:rsidR="00C4613D" w:rsidRDefault="00C4613D" w:rsidP="00C461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0CB5EDF" w14:textId="77777777" w:rsidR="00C16B8C" w:rsidRPr="00C4613D" w:rsidRDefault="00C4613D" w:rsidP="00C461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54F92" w14:textId="77777777" w:rsidR="00C4613D" w:rsidRDefault="00C4613D" w:rsidP="00C461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2634">
      <w:rPr>
        <w:rFonts w:ascii="FrankRuehl" w:hAnsi="FrankRuehl" w:cs="FrankRuehl"/>
        <w:noProof/>
        <w:rtl/>
      </w:rPr>
      <w:t>1</w:t>
    </w:r>
    <w:r>
      <w:rPr>
        <w:rFonts w:ascii="FrankRuehl" w:hAnsi="FrankRuehl" w:cs="FrankRuehl"/>
        <w:rtl/>
      </w:rPr>
      <w:fldChar w:fldCharType="end"/>
    </w:r>
  </w:p>
  <w:p w14:paraId="0A6A53C5" w14:textId="77777777" w:rsidR="00C16B8C" w:rsidRPr="00C4613D" w:rsidRDefault="00C4613D" w:rsidP="00C461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4C2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2FF48" w14:textId="77777777" w:rsidR="001D2105" w:rsidRDefault="001D2105" w:rsidP="00B53A33">
      <w:r>
        <w:separator/>
      </w:r>
    </w:p>
  </w:footnote>
  <w:footnote w:type="continuationSeparator" w:id="0">
    <w:p w14:paraId="27A3945F" w14:textId="77777777" w:rsidR="001D2105" w:rsidRDefault="001D2105" w:rsidP="00B53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1D32B" w14:textId="77777777" w:rsidR="00C4613D" w:rsidRPr="00C4613D" w:rsidRDefault="00C4613D" w:rsidP="00C461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1297-03-22</w:t>
    </w:r>
    <w:r>
      <w:rPr>
        <w:rFonts w:ascii="David" w:hAnsi="David"/>
        <w:color w:val="000000"/>
        <w:sz w:val="22"/>
        <w:szCs w:val="22"/>
        <w:rtl/>
      </w:rPr>
      <w:tab/>
      <w:t xml:space="preserve"> מדינת ישראל נ' גד ליסר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66251" w14:textId="77777777" w:rsidR="00C4613D" w:rsidRPr="00C4613D" w:rsidRDefault="00C4613D" w:rsidP="00C461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1297-03-22</w:t>
    </w:r>
    <w:r>
      <w:rPr>
        <w:rFonts w:ascii="David" w:hAnsi="David"/>
        <w:color w:val="000000"/>
        <w:sz w:val="22"/>
        <w:szCs w:val="22"/>
        <w:rtl/>
      </w:rPr>
      <w:tab/>
      <w:t xml:space="preserve"> מדינת ישראל נ' גד ליסר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E009E"/>
    <w:multiLevelType w:val="hybridMultilevel"/>
    <w:tmpl w:val="C78262C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4C7B4DF2"/>
    <w:multiLevelType w:val="hybridMultilevel"/>
    <w:tmpl w:val="1F045AA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B1910"/>
    <w:multiLevelType w:val="hybridMultilevel"/>
    <w:tmpl w:val="8AAC4CAE"/>
    <w:lvl w:ilvl="0" w:tplc="0CFC5D2A">
      <w:start w:val="1"/>
      <w:numFmt w:val="decimal"/>
      <w:lvlText w:val="%1."/>
      <w:lvlJc w:val="left"/>
      <w:pPr>
        <w:tabs>
          <w:tab w:val="num" w:pos="567"/>
        </w:tabs>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4277787">
    <w:abstractNumId w:val="2"/>
  </w:num>
  <w:num w:numId="2" w16cid:durableId="56704975">
    <w:abstractNumId w:val="1"/>
  </w:num>
  <w:num w:numId="3" w16cid:durableId="45857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5E28"/>
    <w:rsid w:val="00175113"/>
    <w:rsid w:val="001B5A3B"/>
    <w:rsid w:val="001D2105"/>
    <w:rsid w:val="003A395B"/>
    <w:rsid w:val="003C5E28"/>
    <w:rsid w:val="00432634"/>
    <w:rsid w:val="00722965"/>
    <w:rsid w:val="008A1AD6"/>
    <w:rsid w:val="008F6383"/>
    <w:rsid w:val="009D6981"/>
    <w:rsid w:val="00B53A33"/>
    <w:rsid w:val="00B71A20"/>
    <w:rsid w:val="00C16B8C"/>
    <w:rsid w:val="00C4613D"/>
    <w:rsid w:val="00CB0223"/>
    <w:rsid w:val="00FF55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9D4118"/>
  <w15:chartTrackingRefBased/>
  <w15:docId w15:val="{56C4F440-64F0-4327-AEA4-BC8EAFDD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5E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C5E28"/>
    <w:pPr>
      <w:tabs>
        <w:tab w:val="center" w:pos="4153"/>
        <w:tab w:val="right" w:pos="8306"/>
      </w:tabs>
    </w:pPr>
  </w:style>
  <w:style w:type="character" w:customStyle="1" w:styleId="a4">
    <w:name w:val="כותרת עליונה תו"/>
    <w:link w:val="a3"/>
    <w:rsid w:val="003C5E28"/>
    <w:rPr>
      <w:rFonts w:ascii="Times New Roman" w:eastAsia="Times New Roman" w:hAnsi="Times New Roman" w:cs="David"/>
      <w:sz w:val="24"/>
      <w:szCs w:val="24"/>
    </w:rPr>
  </w:style>
  <w:style w:type="paragraph" w:styleId="a5">
    <w:name w:val="footer"/>
    <w:basedOn w:val="a"/>
    <w:link w:val="a6"/>
    <w:rsid w:val="003C5E28"/>
    <w:pPr>
      <w:tabs>
        <w:tab w:val="center" w:pos="4153"/>
        <w:tab w:val="right" w:pos="8306"/>
      </w:tabs>
    </w:pPr>
  </w:style>
  <w:style w:type="character" w:customStyle="1" w:styleId="a6">
    <w:name w:val="כותרת תחתונה תו"/>
    <w:link w:val="a5"/>
    <w:rsid w:val="003C5E28"/>
    <w:rPr>
      <w:rFonts w:ascii="Times New Roman" w:eastAsia="Times New Roman" w:hAnsi="Times New Roman" w:cs="David"/>
      <w:sz w:val="24"/>
      <w:szCs w:val="24"/>
    </w:rPr>
  </w:style>
  <w:style w:type="table" w:styleId="a7">
    <w:name w:val="Table Grid"/>
    <w:basedOn w:val="a1"/>
    <w:rsid w:val="003C5E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C5E28"/>
  </w:style>
  <w:style w:type="paragraph" w:styleId="a9">
    <w:name w:val="List Paragraph"/>
    <w:basedOn w:val="a"/>
    <w:qFormat/>
    <w:rsid w:val="003C5E28"/>
    <w:pPr>
      <w:ind w:left="720"/>
      <w:contextualSpacing/>
    </w:pPr>
  </w:style>
  <w:style w:type="character" w:styleId="Hyperlink">
    <w:name w:val="Hyperlink"/>
    <w:rsid w:val="003C5E2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18107527" TargetMode="External"/><Relationship Id="rId26" Type="http://schemas.openxmlformats.org/officeDocument/2006/relationships/hyperlink" Target="http://www.nevo.co.il/case/21888543" TargetMode="External"/><Relationship Id="rId3" Type="http://schemas.openxmlformats.org/officeDocument/2006/relationships/settings" Target="settings.xml"/><Relationship Id="rId21" Type="http://schemas.openxmlformats.org/officeDocument/2006/relationships/hyperlink" Target="http://www.nevo.co.il/case/27517511"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111708" TargetMode="External"/><Relationship Id="rId25" Type="http://schemas.openxmlformats.org/officeDocument/2006/relationships/hyperlink" Target="http://www.nevo.co.il/case/20632055"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1474175" TargetMode="External"/><Relationship Id="rId20" Type="http://schemas.openxmlformats.org/officeDocument/2006/relationships/hyperlink" Target="http://www.nevo.co.il/case/22790753"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2656269"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3827604" TargetMode="External"/><Relationship Id="rId23" Type="http://schemas.openxmlformats.org/officeDocument/2006/relationships/hyperlink" Target="http://www.nevo.co.il/case/20881083" TargetMode="External"/><Relationship Id="rId28" Type="http://schemas.openxmlformats.org/officeDocument/2006/relationships/hyperlink" Target="http://www.eca.gov.il"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5191250"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22841413" TargetMode="External"/><Relationship Id="rId22" Type="http://schemas.openxmlformats.org/officeDocument/2006/relationships/hyperlink" Target="http://www.nevo.co.il/case/27347635" TargetMode="External"/><Relationship Id="rId27" Type="http://schemas.openxmlformats.org/officeDocument/2006/relationships/hyperlink" Target="http://www.nevo.co.il/case/21896580"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1823</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10922</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7864368</vt:i4>
      </vt:variant>
      <vt:variant>
        <vt:i4>63</vt:i4>
      </vt:variant>
      <vt:variant>
        <vt:i4>0</vt:i4>
      </vt:variant>
      <vt:variant>
        <vt:i4>5</vt:i4>
      </vt:variant>
      <vt:variant>
        <vt:lpwstr>http://www.eca.gov.il/</vt:lpwstr>
      </vt:variant>
      <vt:variant>
        <vt:lpwstr/>
      </vt:variant>
      <vt:variant>
        <vt:i4>3407993</vt:i4>
      </vt:variant>
      <vt:variant>
        <vt:i4>60</vt:i4>
      </vt:variant>
      <vt:variant>
        <vt:i4>0</vt:i4>
      </vt:variant>
      <vt:variant>
        <vt:i4>5</vt:i4>
      </vt:variant>
      <vt:variant>
        <vt:lpwstr>http://www.nevo.co.il/case/21896580</vt:lpwstr>
      </vt:variant>
      <vt:variant>
        <vt:lpwstr/>
      </vt:variant>
      <vt:variant>
        <vt:i4>3539064</vt:i4>
      </vt:variant>
      <vt:variant>
        <vt:i4>57</vt:i4>
      </vt:variant>
      <vt:variant>
        <vt:i4>0</vt:i4>
      </vt:variant>
      <vt:variant>
        <vt:i4>5</vt:i4>
      </vt:variant>
      <vt:variant>
        <vt:lpwstr>http://www.nevo.co.il/case/21888543</vt:lpwstr>
      </vt:variant>
      <vt:variant>
        <vt:lpwstr/>
      </vt:variant>
      <vt:variant>
        <vt:i4>3342455</vt:i4>
      </vt:variant>
      <vt:variant>
        <vt:i4>54</vt:i4>
      </vt:variant>
      <vt:variant>
        <vt:i4>0</vt:i4>
      </vt:variant>
      <vt:variant>
        <vt:i4>5</vt:i4>
      </vt:variant>
      <vt:variant>
        <vt:lpwstr>http://www.nevo.co.il/case/20632055</vt:lpwstr>
      </vt:variant>
      <vt:variant>
        <vt:lpwstr/>
      </vt:variant>
      <vt:variant>
        <vt:i4>3407985</vt:i4>
      </vt:variant>
      <vt:variant>
        <vt:i4>51</vt:i4>
      </vt:variant>
      <vt:variant>
        <vt:i4>0</vt:i4>
      </vt:variant>
      <vt:variant>
        <vt:i4>5</vt:i4>
      </vt:variant>
      <vt:variant>
        <vt:lpwstr>http://www.nevo.co.il/case/22656269</vt:lpwstr>
      </vt:variant>
      <vt:variant>
        <vt:lpwstr/>
      </vt:variant>
      <vt:variant>
        <vt:i4>3342460</vt:i4>
      </vt:variant>
      <vt:variant>
        <vt:i4>48</vt:i4>
      </vt:variant>
      <vt:variant>
        <vt:i4>0</vt:i4>
      </vt:variant>
      <vt:variant>
        <vt:i4>5</vt:i4>
      </vt:variant>
      <vt:variant>
        <vt:lpwstr>http://www.nevo.co.il/case/20881083</vt:lpwstr>
      </vt:variant>
      <vt:variant>
        <vt:lpwstr/>
      </vt:variant>
      <vt:variant>
        <vt:i4>3473521</vt:i4>
      </vt:variant>
      <vt:variant>
        <vt:i4>45</vt:i4>
      </vt:variant>
      <vt:variant>
        <vt:i4>0</vt:i4>
      </vt:variant>
      <vt:variant>
        <vt:i4>5</vt:i4>
      </vt:variant>
      <vt:variant>
        <vt:lpwstr>http://www.nevo.co.il/case/27347635</vt:lpwstr>
      </vt:variant>
      <vt:variant>
        <vt:lpwstr/>
      </vt:variant>
      <vt:variant>
        <vt:i4>3211383</vt:i4>
      </vt:variant>
      <vt:variant>
        <vt:i4>42</vt:i4>
      </vt:variant>
      <vt:variant>
        <vt:i4>0</vt:i4>
      </vt:variant>
      <vt:variant>
        <vt:i4>5</vt:i4>
      </vt:variant>
      <vt:variant>
        <vt:lpwstr>http://www.nevo.co.il/case/27517511</vt:lpwstr>
      </vt:variant>
      <vt:variant>
        <vt:lpwstr/>
      </vt:variant>
      <vt:variant>
        <vt:i4>3145848</vt:i4>
      </vt:variant>
      <vt:variant>
        <vt:i4>39</vt:i4>
      </vt:variant>
      <vt:variant>
        <vt:i4>0</vt:i4>
      </vt:variant>
      <vt:variant>
        <vt:i4>5</vt:i4>
      </vt:variant>
      <vt:variant>
        <vt:lpwstr>http://www.nevo.co.il/case/22790753</vt:lpwstr>
      </vt:variant>
      <vt:variant>
        <vt:lpwstr/>
      </vt:variant>
      <vt:variant>
        <vt:i4>3604602</vt:i4>
      </vt:variant>
      <vt:variant>
        <vt:i4>36</vt:i4>
      </vt:variant>
      <vt:variant>
        <vt:i4>0</vt:i4>
      </vt:variant>
      <vt:variant>
        <vt:i4>5</vt:i4>
      </vt:variant>
      <vt:variant>
        <vt:lpwstr>http://www.nevo.co.il/case/25191250</vt:lpwstr>
      </vt:variant>
      <vt:variant>
        <vt:lpwstr/>
      </vt:variant>
      <vt:variant>
        <vt:i4>3473529</vt:i4>
      </vt:variant>
      <vt:variant>
        <vt:i4>33</vt:i4>
      </vt:variant>
      <vt:variant>
        <vt:i4>0</vt:i4>
      </vt:variant>
      <vt:variant>
        <vt:i4>5</vt:i4>
      </vt:variant>
      <vt:variant>
        <vt:lpwstr>http://www.nevo.co.il/case/18107527</vt:lpwstr>
      </vt:variant>
      <vt:variant>
        <vt:lpwstr/>
      </vt:variant>
      <vt:variant>
        <vt:i4>3276914</vt:i4>
      </vt:variant>
      <vt:variant>
        <vt:i4>30</vt:i4>
      </vt:variant>
      <vt:variant>
        <vt:i4>0</vt:i4>
      </vt:variant>
      <vt:variant>
        <vt:i4>5</vt:i4>
      </vt:variant>
      <vt:variant>
        <vt:lpwstr>http://www.nevo.co.il/case/20111708</vt:lpwstr>
      </vt:variant>
      <vt:variant>
        <vt:lpwstr/>
      </vt:variant>
      <vt:variant>
        <vt:i4>3473523</vt:i4>
      </vt:variant>
      <vt:variant>
        <vt:i4>27</vt:i4>
      </vt:variant>
      <vt:variant>
        <vt:i4>0</vt:i4>
      </vt:variant>
      <vt:variant>
        <vt:i4>5</vt:i4>
      </vt:variant>
      <vt:variant>
        <vt:lpwstr>http://www.nevo.co.il/case/21474175</vt:lpwstr>
      </vt:variant>
      <vt:variant>
        <vt:lpwstr/>
      </vt:variant>
      <vt:variant>
        <vt:i4>3997811</vt:i4>
      </vt:variant>
      <vt:variant>
        <vt:i4>24</vt:i4>
      </vt:variant>
      <vt:variant>
        <vt:i4>0</vt:i4>
      </vt:variant>
      <vt:variant>
        <vt:i4>5</vt:i4>
      </vt:variant>
      <vt:variant>
        <vt:lpwstr>http://www.nevo.co.il/case/23827604</vt:lpwstr>
      </vt:variant>
      <vt:variant>
        <vt:lpwstr/>
      </vt:variant>
      <vt:variant>
        <vt:i4>3801206</vt:i4>
      </vt:variant>
      <vt:variant>
        <vt:i4>21</vt:i4>
      </vt:variant>
      <vt:variant>
        <vt:i4>0</vt:i4>
      </vt:variant>
      <vt:variant>
        <vt:i4>5</vt:i4>
      </vt:variant>
      <vt:variant>
        <vt:lpwstr>http://www.nevo.co.il/case/22841413</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2025-04-23T01:23:00Z</dcterms:created>
  <dcterms:modified xsi:type="dcterms:W3CDTF">2025-04-23T01:23:00Z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1297</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גד ליסר</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20220622</vt:lpwstr>
  </property>
  <property fmtid="{D5CDD505-2E9C-101B-9397-08002B2CF9AE}" pid="13" name="TYPE_N_DATE">
    <vt:lpwstr>38020220622</vt:lpwstr>
  </property>
  <property fmtid="{D5CDD505-2E9C-101B-9397-08002B2CF9AE}" pid="14" name="WORDNUMPAGES">
    <vt:lpwstr>5</vt:lpwstr>
  </property>
  <property fmtid="{D5CDD505-2E9C-101B-9397-08002B2CF9AE}" pid="15" name="TYPE_ABS_DATE">
    <vt:lpwstr>380020220622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22841413;23827604;21474175;20111708;18107527;25191250;22790753;27517511;27347635;20881083;22656269;20632055;21888543;21896580</vt:lpwstr>
  </property>
  <property fmtid="{D5CDD505-2E9C-101B-9397-08002B2CF9AE}" pid="36" name="LAWLISTTMP1">
    <vt:lpwstr>4216/006;007.a;007.c</vt:lpwstr>
  </property>
</Properties>
</file>