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A79C0" w:rsidRPr="000A79C0" w14:paraId="1B346CEB" w14:textId="77777777" w:rsidTr="00D92DB4">
        <w:trPr>
          <w:trHeight w:hRule="exact" w:val="418"/>
          <w:jc w:val="center"/>
        </w:trPr>
        <w:tc>
          <w:tcPr>
            <w:tcW w:w="8721" w:type="dxa"/>
            <w:gridSpan w:val="2"/>
          </w:tcPr>
          <w:p w14:paraId="67D616C5" w14:textId="77777777" w:rsidR="000A79C0" w:rsidRPr="000A79C0" w:rsidRDefault="000A79C0" w:rsidP="00D92DB4">
            <w:pPr>
              <w:pStyle w:val="a5"/>
              <w:jc w:val="center"/>
              <w:rPr>
                <w:rFonts w:ascii="Tahoma" w:hAnsi="Tahoma" w:cs="Tahoma"/>
                <w:color w:val="000080"/>
                <w:rtl/>
              </w:rPr>
            </w:pPr>
            <w:bookmarkStart w:id="0" w:name="LastJudge"/>
            <w:r w:rsidRPr="000A79C0">
              <w:rPr>
                <w:rFonts w:ascii="Tahoma" w:hAnsi="Tahoma" w:cs="Tahoma"/>
                <w:b/>
                <w:bCs/>
                <w:color w:val="000080"/>
                <w:rtl/>
              </w:rPr>
              <w:t>בית משפט השלום בקריית גת</w:t>
            </w:r>
          </w:p>
        </w:tc>
      </w:tr>
      <w:tr w:rsidR="000A79C0" w:rsidRPr="000A79C0" w14:paraId="4E99289A" w14:textId="77777777" w:rsidTr="00D92DB4">
        <w:trPr>
          <w:trHeight w:val="337"/>
          <w:jc w:val="center"/>
        </w:trPr>
        <w:tc>
          <w:tcPr>
            <w:tcW w:w="5047" w:type="dxa"/>
          </w:tcPr>
          <w:p w14:paraId="454335AF" w14:textId="77777777" w:rsidR="000A79C0" w:rsidRPr="000A79C0" w:rsidRDefault="000A79C0" w:rsidP="00D92DB4">
            <w:pPr>
              <w:rPr>
                <w:b/>
                <w:bCs/>
                <w:sz w:val="26"/>
                <w:szCs w:val="26"/>
                <w:rtl/>
              </w:rPr>
            </w:pPr>
          </w:p>
        </w:tc>
        <w:tc>
          <w:tcPr>
            <w:tcW w:w="3674" w:type="dxa"/>
          </w:tcPr>
          <w:p w14:paraId="3E6F4AE6" w14:textId="77777777" w:rsidR="000A79C0" w:rsidRPr="000A79C0" w:rsidRDefault="000A79C0" w:rsidP="00D92DB4">
            <w:pPr>
              <w:pStyle w:val="a5"/>
              <w:jc w:val="right"/>
              <w:rPr>
                <w:b/>
                <w:bCs/>
                <w:sz w:val="26"/>
                <w:szCs w:val="26"/>
                <w:rtl/>
              </w:rPr>
            </w:pPr>
            <w:r w:rsidRPr="000A79C0">
              <w:rPr>
                <w:b/>
                <w:bCs/>
                <w:sz w:val="26"/>
                <w:szCs w:val="26"/>
                <w:rtl/>
              </w:rPr>
              <w:t>12 יולי 2023</w:t>
            </w:r>
          </w:p>
        </w:tc>
      </w:tr>
      <w:tr w:rsidR="000A79C0" w:rsidRPr="000A79C0" w14:paraId="4CA40760" w14:textId="77777777" w:rsidTr="00D92DB4">
        <w:trPr>
          <w:trHeight w:val="337"/>
          <w:jc w:val="center"/>
        </w:trPr>
        <w:tc>
          <w:tcPr>
            <w:tcW w:w="8721" w:type="dxa"/>
            <w:gridSpan w:val="2"/>
          </w:tcPr>
          <w:p w14:paraId="64B78DFC" w14:textId="77777777" w:rsidR="000A79C0" w:rsidRPr="000A79C0" w:rsidRDefault="000A79C0" w:rsidP="00D92DB4">
            <w:pPr>
              <w:rPr>
                <w:b/>
                <w:bCs/>
                <w:sz w:val="26"/>
                <w:szCs w:val="26"/>
                <w:rtl/>
              </w:rPr>
            </w:pPr>
            <w:r w:rsidRPr="000A79C0">
              <w:rPr>
                <w:b/>
                <w:bCs/>
                <w:sz w:val="26"/>
                <w:szCs w:val="26"/>
                <w:rtl/>
              </w:rPr>
              <w:t>ת"פ 17242-03-22 מדינת ישראל נ' אלול</w:t>
            </w:r>
          </w:p>
          <w:p w14:paraId="70CEE7EB" w14:textId="77777777" w:rsidR="000A79C0" w:rsidRPr="000A79C0" w:rsidRDefault="000A79C0" w:rsidP="00D92DB4">
            <w:pPr>
              <w:rPr>
                <w:rtl/>
              </w:rPr>
            </w:pPr>
          </w:p>
        </w:tc>
      </w:tr>
    </w:tbl>
    <w:p w14:paraId="4BBBC205" w14:textId="77777777" w:rsidR="000A79C0" w:rsidRPr="000A79C0" w:rsidRDefault="000A79C0" w:rsidP="000A79C0"/>
    <w:tbl>
      <w:tblPr>
        <w:bidiVisual/>
        <w:tblW w:w="0" w:type="auto"/>
        <w:jc w:val="center"/>
        <w:tblLook w:val="0000" w:firstRow="0" w:lastRow="0" w:firstColumn="0" w:lastColumn="0" w:noHBand="0" w:noVBand="0"/>
      </w:tblPr>
      <w:tblGrid>
        <w:gridCol w:w="873"/>
        <w:gridCol w:w="7848"/>
      </w:tblGrid>
      <w:tr w:rsidR="000A79C0" w:rsidRPr="000A79C0" w14:paraId="049FEBEE" w14:textId="77777777" w:rsidTr="00D92DB4">
        <w:trPr>
          <w:trHeight w:val="337"/>
          <w:jc w:val="center"/>
        </w:trPr>
        <w:tc>
          <w:tcPr>
            <w:tcW w:w="873" w:type="dxa"/>
          </w:tcPr>
          <w:p w14:paraId="7D0F12FA" w14:textId="77777777" w:rsidR="000A79C0" w:rsidRPr="000A79C0" w:rsidRDefault="000A79C0" w:rsidP="00D92DB4">
            <w:pPr>
              <w:tabs>
                <w:tab w:val="left" w:pos="1710"/>
              </w:tabs>
              <w:rPr>
                <w:b/>
                <w:bCs/>
                <w:sz w:val="28"/>
                <w:szCs w:val="28"/>
                <w:rtl/>
              </w:rPr>
            </w:pPr>
            <w:r w:rsidRPr="000A79C0">
              <w:rPr>
                <w:b/>
                <w:bCs/>
                <w:sz w:val="28"/>
                <w:szCs w:val="28"/>
                <w:rtl/>
              </w:rPr>
              <w:t>בפני</w:t>
            </w:r>
          </w:p>
        </w:tc>
        <w:tc>
          <w:tcPr>
            <w:tcW w:w="7848" w:type="dxa"/>
          </w:tcPr>
          <w:p w14:paraId="465806DE" w14:textId="77777777" w:rsidR="000A79C0" w:rsidRPr="000A79C0" w:rsidRDefault="000A79C0" w:rsidP="00D92DB4">
            <w:pPr>
              <w:rPr>
                <w:rFonts w:ascii="Arial" w:hAnsi="Arial"/>
                <w:b/>
                <w:bCs/>
                <w:sz w:val="28"/>
                <w:szCs w:val="28"/>
                <w:rtl/>
              </w:rPr>
            </w:pPr>
            <w:r w:rsidRPr="000A79C0">
              <w:rPr>
                <w:rFonts w:ascii="Arial" w:hAnsi="Arial"/>
                <w:b/>
                <w:bCs/>
                <w:sz w:val="28"/>
                <w:szCs w:val="28"/>
                <w:rtl/>
              </w:rPr>
              <w:t>כב' השופטת נגה שמואלי-מאייר</w:t>
            </w:r>
          </w:p>
          <w:p w14:paraId="3A0C4AD7" w14:textId="77777777" w:rsidR="000A79C0" w:rsidRPr="000A79C0" w:rsidRDefault="000A79C0" w:rsidP="00D92DB4">
            <w:pPr>
              <w:tabs>
                <w:tab w:val="left" w:pos="1710"/>
              </w:tabs>
              <w:rPr>
                <w:rtl/>
              </w:rPr>
            </w:pPr>
          </w:p>
        </w:tc>
      </w:tr>
    </w:tbl>
    <w:p w14:paraId="062ACA6D" w14:textId="77777777" w:rsidR="000A79C0" w:rsidRPr="000A79C0" w:rsidRDefault="000A79C0" w:rsidP="000A79C0">
      <w:pPr>
        <w:pStyle w:val="a5"/>
        <w:rPr>
          <w:rtl/>
        </w:rPr>
      </w:pPr>
      <w:r w:rsidRPr="000A79C0">
        <w:rPr>
          <w:rtl/>
        </w:rPr>
        <w:t xml:space="preserve"> </w:t>
      </w:r>
    </w:p>
    <w:p w14:paraId="32A47D95" w14:textId="77777777" w:rsidR="00E90E34" w:rsidRPr="000A79C0" w:rsidRDefault="00E90E34" w:rsidP="003F2D92">
      <w:pPr>
        <w:spacing w:line="360" w:lineRule="auto"/>
        <w:rPr>
          <w:rFonts w:ascii="David" w:hAnsi="David"/>
          <w:rtl/>
        </w:rPr>
      </w:pPr>
    </w:p>
    <w:tbl>
      <w:tblPr>
        <w:bidiVisual/>
        <w:tblW w:w="8820" w:type="dxa"/>
        <w:jc w:val="center"/>
        <w:tblLook w:val="01E0" w:firstRow="1" w:lastRow="1" w:firstColumn="1" w:lastColumn="1" w:noHBand="0" w:noVBand="0"/>
      </w:tblPr>
      <w:tblGrid>
        <w:gridCol w:w="6549"/>
        <w:gridCol w:w="2271"/>
      </w:tblGrid>
      <w:tr w:rsidR="000A79C0" w:rsidRPr="000A79C0" w14:paraId="72C9977C" w14:textId="77777777" w:rsidTr="00D92DB4">
        <w:trPr>
          <w:jc w:val="center"/>
        </w:trPr>
        <w:tc>
          <w:tcPr>
            <w:tcW w:w="6549" w:type="dxa"/>
          </w:tcPr>
          <w:p w14:paraId="6B7289A1" w14:textId="77777777" w:rsidR="000A79C0" w:rsidRPr="000A79C0" w:rsidRDefault="000A79C0" w:rsidP="00D92DB4">
            <w:pPr>
              <w:spacing w:line="360" w:lineRule="auto"/>
              <w:rPr>
                <w:rFonts w:ascii="David" w:hAnsi="David"/>
                <w:b/>
                <w:bCs/>
                <w:sz w:val="28"/>
                <w:szCs w:val="28"/>
                <w:rtl/>
              </w:rPr>
            </w:pPr>
            <w:bookmarkStart w:id="1" w:name="FirstAppellant"/>
            <w:bookmarkStart w:id="2" w:name="FirstLawyer"/>
            <w:r w:rsidRPr="000A79C0">
              <w:rPr>
                <w:rFonts w:ascii="David" w:hAnsi="David"/>
                <w:b/>
                <w:bCs/>
                <w:sz w:val="28"/>
                <w:szCs w:val="28"/>
                <w:rtl/>
              </w:rPr>
              <w:t>מדינת ישראל</w:t>
            </w:r>
          </w:p>
          <w:p w14:paraId="2416D0CA" w14:textId="77777777" w:rsidR="000A79C0" w:rsidRPr="000A79C0" w:rsidRDefault="000A79C0" w:rsidP="00D92DB4">
            <w:pPr>
              <w:spacing w:line="360" w:lineRule="auto"/>
              <w:rPr>
                <w:rFonts w:ascii="David" w:hAnsi="David"/>
                <w:b/>
                <w:bCs/>
                <w:sz w:val="28"/>
                <w:szCs w:val="28"/>
                <w:rtl/>
              </w:rPr>
            </w:pPr>
            <w:r w:rsidRPr="000A79C0">
              <w:rPr>
                <w:rFonts w:ascii="David" w:hAnsi="David"/>
                <w:b/>
                <w:bCs/>
                <w:sz w:val="28"/>
                <w:szCs w:val="28"/>
                <w:rtl/>
              </w:rPr>
              <w:t>ע"י ב"כ עו"ד אורטל ליברזון ואודליה מויאל – נוכחות</w:t>
            </w:r>
          </w:p>
        </w:tc>
        <w:tc>
          <w:tcPr>
            <w:tcW w:w="2271" w:type="dxa"/>
          </w:tcPr>
          <w:p w14:paraId="1A548D0F" w14:textId="77777777" w:rsidR="000A79C0" w:rsidRPr="000A79C0" w:rsidRDefault="000A79C0" w:rsidP="00D92DB4">
            <w:pPr>
              <w:bidi w:val="0"/>
              <w:spacing w:line="360" w:lineRule="auto"/>
              <w:jc w:val="right"/>
              <w:rPr>
                <w:rFonts w:ascii="David" w:hAnsi="David"/>
                <w:b/>
                <w:bCs/>
                <w:sz w:val="28"/>
                <w:szCs w:val="28"/>
                <w:rtl/>
              </w:rPr>
            </w:pPr>
            <w:r w:rsidRPr="000A79C0">
              <w:rPr>
                <w:rFonts w:ascii="David" w:hAnsi="David"/>
                <w:b/>
                <w:bCs/>
                <w:sz w:val="28"/>
                <w:szCs w:val="28"/>
                <w:rtl/>
              </w:rPr>
              <w:t>המאשימה</w:t>
            </w:r>
          </w:p>
          <w:p w14:paraId="38B42A5A" w14:textId="77777777" w:rsidR="000A79C0" w:rsidRPr="000A79C0" w:rsidRDefault="000A79C0" w:rsidP="00D92DB4">
            <w:pPr>
              <w:spacing w:line="360" w:lineRule="auto"/>
              <w:rPr>
                <w:rFonts w:ascii="David" w:hAnsi="David"/>
                <w:b/>
                <w:bCs/>
                <w:sz w:val="26"/>
                <w:szCs w:val="26"/>
                <w:rtl/>
              </w:rPr>
            </w:pPr>
          </w:p>
        </w:tc>
      </w:tr>
      <w:bookmarkEnd w:id="1"/>
      <w:bookmarkEnd w:id="2"/>
      <w:tr w:rsidR="000A79C0" w:rsidRPr="000A79C0" w14:paraId="441D2E61" w14:textId="77777777" w:rsidTr="00D92DB4">
        <w:trPr>
          <w:jc w:val="center"/>
        </w:trPr>
        <w:tc>
          <w:tcPr>
            <w:tcW w:w="8820" w:type="dxa"/>
            <w:gridSpan w:val="2"/>
          </w:tcPr>
          <w:p w14:paraId="3AC55341" w14:textId="77777777" w:rsidR="000A79C0" w:rsidRPr="000A79C0" w:rsidRDefault="000A79C0" w:rsidP="00D92DB4">
            <w:pPr>
              <w:spacing w:line="360" w:lineRule="auto"/>
              <w:rPr>
                <w:rFonts w:ascii="David" w:hAnsi="David"/>
                <w:b/>
                <w:bCs/>
                <w:sz w:val="26"/>
                <w:szCs w:val="26"/>
                <w:rtl/>
              </w:rPr>
            </w:pPr>
          </w:p>
          <w:p w14:paraId="3F17AAF9" w14:textId="77777777" w:rsidR="000A79C0" w:rsidRPr="000A79C0" w:rsidRDefault="000A79C0" w:rsidP="00D92DB4">
            <w:pPr>
              <w:spacing w:line="360" w:lineRule="auto"/>
              <w:jc w:val="center"/>
              <w:rPr>
                <w:rFonts w:ascii="David" w:hAnsi="David"/>
                <w:b/>
                <w:bCs/>
                <w:sz w:val="28"/>
                <w:szCs w:val="28"/>
                <w:rtl/>
              </w:rPr>
            </w:pPr>
            <w:r w:rsidRPr="000A79C0">
              <w:rPr>
                <w:rFonts w:ascii="David" w:hAnsi="David"/>
                <w:b/>
                <w:bCs/>
                <w:sz w:val="28"/>
                <w:szCs w:val="28"/>
                <w:rtl/>
              </w:rPr>
              <w:t>נ ג ד</w:t>
            </w:r>
          </w:p>
          <w:p w14:paraId="0A06DB71" w14:textId="77777777" w:rsidR="000A79C0" w:rsidRPr="000A79C0" w:rsidRDefault="000A79C0" w:rsidP="00D92DB4">
            <w:pPr>
              <w:spacing w:line="360" w:lineRule="auto"/>
              <w:rPr>
                <w:rFonts w:ascii="David" w:hAnsi="David"/>
                <w:b/>
                <w:bCs/>
                <w:sz w:val="26"/>
                <w:szCs w:val="26"/>
              </w:rPr>
            </w:pPr>
          </w:p>
        </w:tc>
      </w:tr>
      <w:tr w:rsidR="000A79C0" w:rsidRPr="000A79C0" w14:paraId="0113B96B" w14:textId="77777777" w:rsidTr="00D92DB4">
        <w:trPr>
          <w:jc w:val="center"/>
        </w:trPr>
        <w:tc>
          <w:tcPr>
            <w:tcW w:w="6549" w:type="dxa"/>
          </w:tcPr>
          <w:p w14:paraId="2E891F26" w14:textId="77777777" w:rsidR="000A79C0" w:rsidRPr="000A79C0" w:rsidRDefault="000A79C0" w:rsidP="00D92DB4">
            <w:pPr>
              <w:spacing w:line="360" w:lineRule="auto"/>
              <w:rPr>
                <w:rFonts w:ascii="David" w:hAnsi="David"/>
              </w:rPr>
            </w:pPr>
            <w:r w:rsidRPr="000A79C0">
              <w:rPr>
                <w:rFonts w:ascii="David" w:hAnsi="David"/>
                <w:b/>
                <w:bCs/>
                <w:sz w:val="28"/>
                <w:szCs w:val="28"/>
                <w:rtl/>
              </w:rPr>
              <w:t xml:space="preserve">משה אלול – נוכח </w:t>
            </w:r>
          </w:p>
          <w:p w14:paraId="5D7CBB76" w14:textId="77777777" w:rsidR="000A79C0" w:rsidRPr="000A79C0" w:rsidRDefault="000A79C0" w:rsidP="00D92DB4">
            <w:pPr>
              <w:spacing w:line="360" w:lineRule="auto"/>
              <w:rPr>
                <w:rFonts w:ascii="David" w:hAnsi="David"/>
                <w:b/>
                <w:bCs/>
                <w:sz w:val="28"/>
                <w:szCs w:val="28"/>
                <w:rtl/>
              </w:rPr>
            </w:pPr>
            <w:r w:rsidRPr="000A79C0">
              <w:rPr>
                <w:rFonts w:ascii="David" w:hAnsi="David"/>
                <w:b/>
                <w:bCs/>
                <w:sz w:val="28"/>
                <w:szCs w:val="28"/>
                <w:rtl/>
              </w:rPr>
              <w:t xml:space="preserve">ע"י ב"כ עו"ד יורם סגי-זקס – נוכח </w:t>
            </w:r>
          </w:p>
        </w:tc>
        <w:tc>
          <w:tcPr>
            <w:tcW w:w="2271" w:type="dxa"/>
          </w:tcPr>
          <w:p w14:paraId="153082B9" w14:textId="77777777" w:rsidR="000A79C0" w:rsidRPr="000A79C0" w:rsidRDefault="000A79C0" w:rsidP="00D92DB4">
            <w:pPr>
              <w:spacing w:line="360" w:lineRule="auto"/>
              <w:rPr>
                <w:rFonts w:ascii="David" w:hAnsi="David"/>
                <w:b/>
                <w:bCs/>
                <w:sz w:val="28"/>
                <w:szCs w:val="28"/>
                <w:rtl/>
              </w:rPr>
            </w:pPr>
            <w:r w:rsidRPr="000A79C0">
              <w:rPr>
                <w:rFonts w:ascii="David" w:hAnsi="David"/>
                <w:b/>
                <w:bCs/>
                <w:sz w:val="28"/>
                <w:szCs w:val="28"/>
                <w:rtl/>
              </w:rPr>
              <w:t>הנאשם</w:t>
            </w:r>
          </w:p>
        </w:tc>
      </w:tr>
    </w:tbl>
    <w:p w14:paraId="6CBCF8EA" w14:textId="77777777" w:rsidR="000A79C0" w:rsidRDefault="000A79C0" w:rsidP="003F2D92">
      <w:pPr>
        <w:spacing w:line="360" w:lineRule="auto"/>
        <w:rPr>
          <w:rFonts w:ascii="David" w:hAnsi="David"/>
        </w:rPr>
      </w:pPr>
    </w:p>
    <w:p w14:paraId="28A607F2" w14:textId="77777777" w:rsidR="00B15847" w:rsidRDefault="00B15847" w:rsidP="003F2D92">
      <w:pPr>
        <w:spacing w:line="360" w:lineRule="auto"/>
        <w:rPr>
          <w:rFonts w:ascii="David" w:hAnsi="David"/>
        </w:rPr>
      </w:pPr>
    </w:p>
    <w:p w14:paraId="048B9354" w14:textId="77777777" w:rsidR="00B15847" w:rsidRPr="00B15847" w:rsidRDefault="00B15847" w:rsidP="00B15847">
      <w:pPr>
        <w:spacing w:before="120" w:after="120" w:line="240" w:lineRule="exact"/>
        <w:ind w:left="283" w:hanging="283"/>
        <w:jc w:val="both"/>
        <w:rPr>
          <w:rFonts w:ascii="FrankRuehl" w:hAnsi="FrankRuehl" w:cs="FrankRuehl"/>
          <w:rtl/>
        </w:rPr>
      </w:pPr>
    </w:p>
    <w:p w14:paraId="799FAAC5" w14:textId="77777777" w:rsidR="00D621F3" w:rsidRPr="00D621F3" w:rsidRDefault="00D621F3" w:rsidP="00D621F3">
      <w:pPr>
        <w:spacing w:before="120" w:after="120" w:line="240" w:lineRule="exact"/>
        <w:ind w:left="283" w:hanging="283"/>
        <w:jc w:val="both"/>
        <w:rPr>
          <w:rFonts w:ascii="FrankRuehl" w:hAnsi="FrankRuehl" w:cs="FrankRuehl"/>
          <w:rtl/>
        </w:rPr>
      </w:pPr>
    </w:p>
    <w:p w14:paraId="7D673CAD" w14:textId="77777777" w:rsidR="003A720C" w:rsidRDefault="003A720C" w:rsidP="003A720C">
      <w:pPr>
        <w:spacing w:line="360" w:lineRule="auto"/>
        <w:rPr>
          <w:rFonts w:ascii="David" w:hAnsi="David"/>
          <w:rtl/>
        </w:rPr>
      </w:pPr>
      <w:bookmarkStart w:id="3" w:name="LawTable"/>
      <w:bookmarkEnd w:id="3"/>
    </w:p>
    <w:p w14:paraId="7C8FB573" w14:textId="77777777" w:rsidR="003A720C" w:rsidRPr="003A720C" w:rsidRDefault="003A720C" w:rsidP="003A720C">
      <w:pPr>
        <w:spacing w:before="120" w:after="120" w:line="240" w:lineRule="exact"/>
        <w:ind w:left="283" w:hanging="283"/>
        <w:jc w:val="both"/>
        <w:rPr>
          <w:rFonts w:ascii="FrankRuehl" w:hAnsi="FrankRuehl" w:cs="FrankRuehl"/>
          <w:rtl/>
        </w:rPr>
      </w:pPr>
    </w:p>
    <w:p w14:paraId="3030FFAE" w14:textId="77777777" w:rsidR="003A720C" w:rsidRPr="003A720C" w:rsidRDefault="003A720C" w:rsidP="003A720C">
      <w:pPr>
        <w:spacing w:before="120" w:after="120" w:line="240" w:lineRule="exact"/>
        <w:ind w:left="283" w:hanging="283"/>
        <w:jc w:val="both"/>
        <w:rPr>
          <w:rFonts w:ascii="FrankRuehl" w:hAnsi="FrankRuehl" w:cs="FrankRuehl"/>
          <w:rtl/>
        </w:rPr>
      </w:pPr>
    </w:p>
    <w:p w14:paraId="62CD7646" w14:textId="77777777" w:rsidR="003A720C" w:rsidRPr="003A720C" w:rsidRDefault="003A720C" w:rsidP="003A720C">
      <w:pPr>
        <w:spacing w:before="120" w:after="120" w:line="240" w:lineRule="exact"/>
        <w:ind w:left="283" w:hanging="283"/>
        <w:jc w:val="both"/>
        <w:rPr>
          <w:rFonts w:ascii="FrankRuehl" w:hAnsi="FrankRuehl" w:cs="FrankRuehl"/>
          <w:rtl/>
        </w:rPr>
      </w:pPr>
      <w:r w:rsidRPr="003A720C">
        <w:rPr>
          <w:rFonts w:ascii="FrankRuehl" w:hAnsi="FrankRuehl" w:cs="FrankRuehl"/>
          <w:rtl/>
        </w:rPr>
        <w:t xml:space="preserve">חקיקה שאוזכרה: </w:t>
      </w:r>
    </w:p>
    <w:p w14:paraId="7F3F40E1" w14:textId="77777777" w:rsidR="003A720C" w:rsidRPr="003A720C" w:rsidRDefault="003A720C" w:rsidP="003A720C">
      <w:pPr>
        <w:spacing w:before="120" w:after="120" w:line="240" w:lineRule="exact"/>
        <w:ind w:left="283" w:hanging="283"/>
        <w:jc w:val="both"/>
        <w:rPr>
          <w:rFonts w:ascii="FrankRuehl" w:hAnsi="FrankRuehl" w:cs="FrankRuehl"/>
          <w:rtl/>
        </w:rPr>
      </w:pPr>
      <w:hyperlink r:id="rId7" w:history="1">
        <w:r w:rsidRPr="003A720C">
          <w:rPr>
            <w:rFonts w:ascii="FrankRuehl" w:hAnsi="FrankRuehl" w:cs="FrankRuehl"/>
            <w:color w:val="0000FF"/>
            <w:rtl/>
          </w:rPr>
          <w:t>פקודת הסמים המסוכנים [נוסח חדש], תשל"ג-1973</w:t>
        </w:r>
      </w:hyperlink>
      <w:r w:rsidRPr="003A720C">
        <w:rPr>
          <w:rFonts w:ascii="FrankRuehl" w:hAnsi="FrankRuehl" w:cs="FrankRuehl"/>
          <w:rtl/>
        </w:rPr>
        <w:t xml:space="preserve">: סע'  </w:t>
      </w:r>
      <w:hyperlink r:id="rId8" w:history="1">
        <w:r w:rsidRPr="003A720C">
          <w:rPr>
            <w:rFonts w:ascii="FrankRuehl" w:hAnsi="FrankRuehl" w:cs="FrankRuehl"/>
            <w:color w:val="0000FF"/>
            <w:rtl/>
          </w:rPr>
          <w:t>7.א.</w:t>
        </w:r>
      </w:hyperlink>
      <w:r w:rsidRPr="003A720C">
        <w:rPr>
          <w:rFonts w:ascii="FrankRuehl" w:hAnsi="FrankRuehl" w:cs="FrankRuehl"/>
          <w:rtl/>
        </w:rPr>
        <w:t xml:space="preserve">, </w:t>
      </w:r>
      <w:hyperlink r:id="rId9" w:history="1">
        <w:r w:rsidRPr="003A720C">
          <w:rPr>
            <w:rFonts w:ascii="FrankRuehl" w:hAnsi="FrankRuehl" w:cs="FrankRuehl"/>
            <w:color w:val="0000FF"/>
            <w:rtl/>
          </w:rPr>
          <w:t>7.ג</w:t>
        </w:r>
      </w:hyperlink>
    </w:p>
    <w:p w14:paraId="38A8F5B2" w14:textId="77777777" w:rsidR="003A720C" w:rsidRPr="003A720C" w:rsidRDefault="003A720C" w:rsidP="003A720C">
      <w:pPr>
        <w:spacing w:before="120" w:after="120" w:line="240" w:lineRule="exact"/>
        <w:ind w:left="283" w:hanging="283"/>
        <w:jc w:val="both"/>
        <w:rPr>
          <w:rFonts w:ascii="FrankRuehl" w:hAnsi="FrankRuehl" w:cs="FrankRuehl"/>
          <w:rtl/>
        </w:rPr>
      </w:pPr>
      <w:hyperlink r:id="rId10" w:history="1">
        <w:r w:rsidRPr="003A720C">
          <w:rPr>
            <w:rFonts w:ascii="FrankRuehl" w:hAnsi="FrankRuehl" w:cs="FrankRuehl"/>
            <w:color w:val="0000FF"/>
            <w:rtl/>
          </w:rPr>
          <w:t>חוק העונשין, תשל"ז-1977</w:t>
        </w:r>
      </w:hyperlink>
      <w:r w:rsidRPr="003A720C">
        <w:rPr>
          <w:rFonts w:ascii="FrankRuehl" w:hAnsi="FrankRuehl" w:cs="FrankRuehl"/>
          <w:rtl/>
        </w:rPr>
        <w:t xml:space="preserve">: סע'  </w:t>
      </w:r>
      <w:hyperlink r:id="rId11" w:history="1">
        <w:r w:rsidRPr="003A720C">
          <w:rPr>
            <w:rFonts w:ascii="FrankRuehl" w:hAnsi="FrankRuehl" w:cs="FrankRuehl"/>
            <w:color w:val="0000FF"/>
            <w:rtl/>
          </w:rPr>
          <w:t>40ג(א)</w:t>
        </w:r>
      </w:hyperlink>
      <w:r w:rsidRPr="003A720C">
        <w:rPr>
          <w:rFonts w:ascii="FrankRuehl" w:hAnsi="FrankRuehl" w:cs="FrankRuehl"/>
          <w:rtl/>
        </w:rPr>
        <w:t xml:space="preserve">, </w:t>
      </w:r>
      <w:hyperlink r:id="rId12" w:history="1">
        <w:r w:rsidRPr="003A720C">
          <w:rPr>
            <w:rFonts w:ascii="FrankRuehl" w:hAnsi="FrankRuehl" w:cs="FrankRuehl"/>
            <w:color w:val="0000FF"/>
            <w:rtl/>
          </w:rPr>
          <w:t>40ד(א)</w:t>
        </w:r>
      </w:hyperlink>
      <w:r w:rsidRPr="003A720C">
        <w:rPr>
          <w:rFonts w:ascii="FrankRuehl" w:hAnsi="FrankRuehl" w:cs="FrankRuehl"/>
          <w:rtl/>
        </w:rPr>
        <w:t xml:space="preserve">, </w:t>
      </w:r>
      <w:hyperlink r:id="rId13" w:history="1">
        <w:r w:rsidRPr="003A720C">
          <w:rPr>
            <w:rFonts w:ascii="FrankRuehl" w:hAnsi="FrankRuehl" w:cs="FrankRuehl"/>
            <w:color w:val="0000FF"/>
            <w:rtl/>
          </w:rPr>
          <w:t>40יא</w:t>
        </w:r>
      </w:hyperlink>
    </w:p>
    <w:p w14:paraId="44E66E2D" w14:textId="77777777" w:rsidR="003A720C" w:rsidRPr="003A720C" w:rsidRDefault="003A720C" w:rsidP="003A720C">
      <w:pPr>
        <w:spacing w:line="360" w:lineRule="auto"/>
        <w:rPr>
          <w:rFonts w:ascii="David" w:hAnsi="David"/>
          <w:rtl/>
        </w:rPr>
      </w:pPr>
      <w:bookmarkStart w:id="4" w:name="LawTable_End"/>
      <w:bookmarkEnd w:id="4"/>
    </w:p>
    <w:p w14:paraId="571D9D3F" w14:textId="77777777" w:rsidR="00B15847" w:rsidRPr="00D621F3" w:rsidRDefault="00B15847" w:rsidP="00D621F3">
      <w:pPr>
        <w:spacing w:line="360" w:lineRule="auto"/>
        <w:rPr>
          <w:rFonts w:ascii="David" w:hAnsi="David"/>
        </w:rPr>
      </w:pPr>
    </w:p>
    <w:tbl>
      <w:tblPr>
        <w:bidiVisual/>
        <w:tblW w:w="8820" w:type="dxa"/>
        <w:jc w:val="center"/>
        <w:tblLook w:val="01E0" w:firstRow="1" w:lastRow="1" w:firstColumn="1" w:lastColumn="1" w:noHBand="0" w:noVBand="0"/>
      </w:tblPr>
      <w:tblGrid>
        <w:gridCol w:w="8820"/>
      </w:tblGrid>
      <w:tr w:rsidR="000A79C0" w:rsidRPr="00C23220" w14:paraId="291BC496" w14:textId="77777777" w:rsidTr="00D92DB4">
        <w:trPr>
          <w:jc w:val="center"/>
        </w:trPr>
        <w:tc>
          <w:tcPr>
            <w:tcW w:w="8820" w:type="dxa"/>
          </w:tcPr>
          <w:p w14:paraId="26265F1E" w14:textId="77777777" w:rsidR="000A79C0" w:rsidRPr="000A79C0" w:rsidRDefault="000A79C0" w:rsidP="000A79C0">
            <w:pPr>
              <w:bidi w:val="0"/>
              <w:spacing w:line="360" w:lineRule="auto"/>
              <w:jc w:val="center"/>
              <w:rPr>
                <w:rFonts w:ascii="David" w:hAnsi="David"/>
                <w:b/>
                <w:bCs/>
                <w:i/>
                <w:iCs/>
                <w:sz w:val="36"/>
                <w:szCs w:val="36"/>
                <w:u w:val="single"/>
              </w:rPr>
            </w:pPr>
            <w:bookmarkStart w:id="5" w:name="PsakDin" w:colFirst="0" w:colLast="0"/>
            <w:bookmarkEnd w:id="0"/>
            <w:r w:rsidRPr="000A79C0">
              <w:rPr>
                <w:rFonts w:ascii="David" w:hAnsi="David"/>
                <w:b/>
                <w:bCs/>
                <w:i/>
                <w:iCs/>
                <w:sz w:val="36"/>
                <w:szCs w:val="36"/>
                <w:u w:val="single"/>
                <w:rtl/>
              </w:rPr>
              <w:t>גזר דין</w:t>
            </w:r>
          </w:p>
        </w:tc>
      </w:tr>
    </w:tbl>
    <w:bookmarkEnd w:id="5"/>
    <w:p w14:paraId="29517B4C" w14:textId="77777777" w:rsidR="00E90E34" w:rsidRPr="00F44A24" w:rsidRDefault="00E90E34" w:rsidP="003F2D92">
      <w:pPr>
        <w:pStyle w:val="1"/>
        <w:numPr>
          <w:ilvl w:val="0"/>
          <w:numId w:val="11"/>
        </w:numPr>
        <w:spacing w:before="0" w:line="360" w:lineRule="auto"/>
        <w:ind w:left="425" w:hanging="425"/>
        <w:jc w:val="both"/>
        <w:rPr>
          <w:rFonts w:ascii="David" w:hAnsi="David" w:cs="David"/>
          <w:b/>
          <w:bCs/>
          <w:color w:val="auto"/>
          <w:sz w:val="28"/>
          <w:szCs w:val="24"/>
          <w:u w:val="single"/>
          <w:rtl/>
        </w:rPr>
      </w:pPr>
      <w:r w:rsidRPr="00F44A24">
        <w:rPr>
          <w:rFonts w:ascii="David" w:hAnsi="David" w:cs="David"/>
          <w:b/>
          <w:bCs/>
          <w:color w:val="auto"/>
          <w:sz w:val="28"/>
          <w:szCs w:val="28"/>
          <w:u w:val="single"/>
          <w:rtl/>
        </w:rPr>
        <w:t>רקע עובדתי</w:t>
      </w:r>
    </w:p>
    <w:p w14:paraId="35F3CD0E" w14:textId="77777777" w:rsidR="00E90E34" w:rsidRPr="00C23220" w:rsidRDefault="00E90E34" w:rsidP="003F2D92">
      <w:pPr>
        <w:pStyle w:val="af0"/>
        <w:numPr>
          <w:ilvl w:val="0"/>
          <w:numId w:val="12"/>
        </w:numPr>
        <w:spacing w:after="0"/>
        <w:ind w:left="-58" w:hanging="283"/>
        <w:rPr>
          <w:rtl/>
        </w:rPr>
      </w:pPr>
      <w:bookmarkStart w:id="6" w:name="ABSTRACT_START"/>
      <w:bookmarkEnd w:id="6"/>
      <w:r w:rsidRPr="00C23220">
        <w:rPr>
          <w:rtl/>
        </w:rPr>
        <w:t xml:space="preserve">כפי הנטען </w:t>
      </w:r>
      <w:r w:rsidRPr="00C23220">
        <w:rPr>
          <w:b/>
          <w:bCs/>
          <w:rtl/>
        </w:rPr>
        <w:t xml:space="preserve">בעובדות כתב האישום המתוקן, </w:t>
      </w:r>
      <w:r w:rsidRPr="00C23220">
        <w:rPr>
          <w:rtl/>
        </w:rPr>
        <w:t xml:space="preserve">ביום 02.11.2020 בסמוך לשעה 22:50, ברח' רש"י בקרית מלאכי, החזיק הנאשם ברכב שהיה בשימושו והחזקתו (ל"ז 39-856-80), בסם מסוכן מסוג קנבוס במשקל של 270 גר' וסם מסוכן מסוג חשיש במשקל של 70 גר'. </w:t>
      </w:r>
    </w:p>
    <w:p w14:paraId="650E5FA3" w14:textId="77777777" w:rsidR="00E90E34" w:rsidRPr="00C23220" w:rsidRDefault="00E90E34" w:rsidP="003F2D92">
      <w:pPr>
        <w:pStyle w:val="af0"/>
        <w:numPr>
          <w:ilvl w:val="0"/>
          <w:numId w:val="12"/>
        </w:numPr>
        <w:spacing w:after="0"/>
        <w:ind w:left="-58" w:hanging="283"/>
      </w:pPr>
      <w:r w:rsidRPr="00C23220">
        <w:rPr>
          <w:rtl/>
        </w:rPr>
        <w:t xml:space="preserve">במעשיו המתוארים לעיל, החזיק הנאשם בסם מסוכן במשקל כולל של 340 גר' שלא לצריכתו העצמית. </w:t>
      </w:r>
    </w:p>
    <w:p w14:paraId="7377C9FA" w14:textId="77777777" w:rsidR="00E90E34" w:rsidRPr="00C23220" w:rsidRDefault="00E90E34" w:rsidP="003F2D92">
      <w:pPr>
        <w:pStyle w:val="12"/>
        <w:numPr>
          <w:ilvl w:val="0"/>
          <w:numId w:val="12"/>
        </w:numPr>
        <w:spacing w:after="0"/>
        <w:ind w:left="-58" w:hanging="283"/>
      </w:pPr>
      <w:bookmarkStart w:id="7" w:name="ABSTRACT_END"/>
      <w:bookmarkEnd w:id="7"/>
      <w:r w:rsidRPr="00C23220">
        <w:rPr>
          <w:rtl/>
        </w:rPr>
        <w:t xml:space="preserve">הנאשם הודה במיוחס לו לעיל, ועל יסוד הודאתו זו הורשע בעבירת  </w:t>
      </w:r>
      <w:r w:rsidRPr="00C23220">
        <w:rPr>
          <w:b/>
          <w:bCs/>
          <w:rtl/>
        </w:rPr>
        <w:t>החזקת סם שלא לצריכה עצמית</w:t>
      </w:r>
      <w:r w:rsidRPr="00C23220">
        <w:rPr>
          <w:rtl/>
        </w:rPr>
        <w:t xml:space="preserve"> לפי </w:t>
      </w:r>
      <w:hyperlink r:id="rId14" w:history="1">
        <w:r w:rsidR="00B15847" w:rsidRPr="00B15847">
          <w:rPr>
            <w:rStyle w:val="Hyperlink"/>
            <w:rtl/>
          </w:rPr>
          <w:t>סעיפים 7(א)+7(ג)</w:t>
        </w:r>
      </w:hyperlink>
      <w:r w:rsidRPr="00C23220">
        <w:rPr>
          <w:rtl/>
        </w:rPr>
        <w:t xml:space="preserve"> רישא </w:t>
      </w:r>
      <w:r w:rsidRPr="00C23220">
        <w:rPr>
          <w:u w:val="single"/>
          <w:rtl/>
        </w:rPr>
        <w:t>ל</w:t>
      </w:r>
      <w:hyperlink r:id="rId15" w:history="1">
        <w:r w:rsidR="000A79C0" w:rsidRPr="000A79C0">
          <w:rPr>
            <w:color w:val="0000FF"/>
            <w:u w:val="single"/>
            <w:rtl/>
          </w:rPr>
          <w:t>פקודת הסמים המסוכנים</w:t>
        </w:r>
      </w:hyperlink>
      <w:r w:rsidRPr="00C23220">
        <w:rPr>
          <w:u w:val="single"/>
          <w:rtl/>
        </w:rPr>
        <w:t xml:space="preserve"> (נוסח חדש) התשל"ג – 1973</w:t>
      </w:r>
      <w:r w:rsidRPr="00C23220">
        <w:rPr>
          <w:rtl/>
        </w:rPr>
        <w:t xml:space="preserve"> (להלן: "</w:t>
      </w:r>
      <w:r w:rsidRPr="00C23220">
        <w:rPr>
          <w:b/>
          <w:bCs/>
          <w:rtl/>
        </w:rPr>
        <w:t>הפקודה"; "פקודת הסמים המסוכנים"</w:t>
      </w:r>
      <w:r w:rsidRPr="00C23220">
        <w:rPr>
          <w:rtl/>
        </w:rPr>
        <w:t xml:space="preserve">). </w:t>
      </w:r>
    </w:p>
    <w:p w14:paraId="558C6CE3" w14:textId="77777777" w:rsidR="00E90E34" w:rsidRPr="00C23220" w:rsidRDefault="00E90E34" w:rsidP="003F2D92">
      <w:pPr>
        <w:pStyle w:val="af0"/>
        <w:numPr>
          <w:ilvl w:val="0"/>
          <w:numId w:val="12"/>
        </w:numPr>
        <w:spacing w:after="0"/>
        <w:ind w:left="-58" w:hanging="283"/>
      </w:pPr>
      <w:r w:rsidRPr="00C23220">
        <w:rPr>
          <w:rtl/>
        </w:rPr>
        <w:lastRenderedPageBreak/>
        <w:t>הצדדים לא הגיעו להסכמות בעניין העונש, אך הוסכם כי הנאשם יישלח לשירות המבחן על מנת שיתקבל תסקיר בעניינו, תוך שהמאשימה הצהירה כי תגביל את עתירתה העונשית למאסר בן 4 חודשים שירוצו בעבודות שירות.</w:t>
      </w:r>
    </w:p>
    <w:p w14:paraId="073A1E0E" w14:textId="77777777" w:rsidR="00E90E34" w:rsidRDefault="00E90E34" w:rsidP="003F2D92">
      <w:pPr>
        <w:pStyle w:val="af0"/>
        <w:numPr>
          <w:ilvl w:val="0"/>
          <w:numId w:val="12"/>
        </w:numPr>
        <w:spacing w:after="0"/>
        <w:ind w:left="-58" w:hanging="283"/>
      </w:pPr>
      <w:r w:rsidRPr="00C23220">
        <w:rPr>
          <w:rtl/>
        </w:rPr>
        <w:t xml:space="preserve">בעניינו של </w:t>
      </w:r>
      <w:r w:rsidRPr="00C23220">
        <w:rPr>
          <w:b/>
          <w:bCs/>
          <w:rtl/>
        </w:rPr>
        <w:t>הנאשם התקבלו שני תסקירים מאת שירות המבחן</w:t>
      </w:r>
      <w:r w:rsidRPr="00C23220">
        <w:rPr>
          <w:rtl/>
        </w:rPr>
        <w:t xml:space="preserve">, ובסופם המליץ השירות על השתת ענישה בדמות של"צ בהיקף של 100 שעות. בתסקירים האמורים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w:t>
      </w:r>
    </w:p>
    <w:p w14:paraId="5B9FAD8A" w14:textId="77777777" w:rsidR="00E90E34" w:rsidRDefault="00E90E34" w:rsidP="003F2D92">
      <w:pPr>
        <w:pStyle w:val="af0"/>
        <w:spacing w:after="0"/>
        <w:ind w:left="-58" w:firstLine="0"/>
      </w:pPr>
    </w:p>
    <w:p w14:paraId="17D178A7" w14:textId="77777777" w:rsidR="00E90E34" w:rsidRDefault="00E90E34" w:rsidP="003F2D92">
      <w:pPr>
        <w:pStyle w:val="1"/>
        <w:numPr>
          <w:ilvl w:val="0"/>
          <w:numId w:val="11"/>
        </w:numPr>
        <w:spacing w:before="0" w:line="360" w:lineRule="auto"/>
        <w:ind w:left="360"/>
        <w:jc w:val="both"/>
        <w:rPr>
          <w:rFonts w:ascii="David" w:hAnsi="David" w:cs="David"/>
          <w:b/>
          <w:bCs/>
          <w:color w:val="auto"/>
          <w:sz w:val="28"/>
          <w:szCs w:val="28"/>
          <w:u w:val="single"/>
          <w:rtl/>
        </w:rPr>
      </w:pPr>
      <w:r w:rsidRPr="00C23220">
        <w:rPr>
          <w:rFonts w:ascii="David" w:hAnsi="David" w:cs="David"/>
          <w:b/>
          <w:bCs/>
          <w:color w:val="auto"/>
          <w:sz w:val="28"/>
          <w:szCs w:val="28"/>
          <w:u w:val="single"/>
          <w:rtl/>
        </w:rPr>
        <w:t>טיעוני הצדדים (עיקרי הדברים)</w:t>
      </w:r>
    </w:p>
    <w:p w14:paraId="5A0E5943" w14:textId="77777777" w:rsidR="00E90E34" w:rsidRDefault="00E90E34" w:rsidP="003F2D92">
      <w:pPr>
        <w:pStyle w:val="af0"/>
        <w:numPr>
          <w:ilvl w:val="0"/>
          <w:numId w:val="12"/>
        </w:numPr>
        <w:spacing w:after="0"/>
        <w:ind w:left="-58" w:hanging="283"/>
      </w:pPr>
      <w:r w:rsidRPr="00C23220">
        <w:rPr>
          <w:rtl/>
        </w:rPr>
        <w:t xml:space="preserve">המאשימה עמדה על הערכים המוגנים שנפגעו כתוצאה ממעשיו של הנאשם,  על חומרת מעשיו בדגש על כמות הסם שנתפסה בחזקתו, ועתרה לקבוע מתחם עונש הולם הנע בין 4 חודשים מאסר שיכול וירוצו בעבודות שירות לבין-12 חודשים מאסר בפועל. בתוך המתחם סברה המאשימה כי בהינתן לקיחת האחריות של הנאשם על מעשיו מצד אחד ועברו הפלילי והתעבורתי, ובהינתן האמור בתסקירים שהתקבלו בעניינו ושלילתו נזקקות טיפולית מצד שני –יש מקום להשית על הנאשם עונש המצוי ברף הנמוך למתחם בדמות מאסר בן 4 חודשים שיכול וירוצה בעבודות שירות וענישה נלוות בדמות פסילה בפועל, פסילה מותנית, מאסר מותנה, קנס והתחייבות.  </w:t>
      </w:r>
    </w:p>
    <w:p w14:paraId="73833AD3" w14:textId="77777777" w:rsidR="00E90E34" w:rsidRDefault="00E90E34" w:rsidP="003F2D92">
      <w:pPr>
        <w:pStyle w:val="af0"/>
        <w:numPr>
          <w:ilvl w:val="0"/>
          <w:numId w:val="12"/>
        </w:numPr>
        <w:spacing w:after="0"/>
        <w:ind w:left="-58" w:hanging="283"/>
      </w:pPr>
      <w:r w:rsidRPr="00C13E9A">
        <w:rPr>
          <w:b/>
          <w:bCs/>
          <w:rtl/>
        </w:rPr>
        <w:t>מנגד,</w:t>
      </w:r>
      <w:r w:rsidRPr="00C23220">
        <w:rPr>
          <w:rtl/>
        </w:rPr>
        <w:t xml:space="preserve"> בא כוח הנאשם חלק על מתחם העונש לו עתרה המאשימה וטען כי יש מקום לתת משקל לשינוי שחל ביחס לעבירה שבה הורשע הנאשם מצד המחוקק, ועתר לקבוע מתחם עונש הולם שתחילתו במאסר מותנה. כמו כן הפנה הסנגור לנסיבותיו האישיות של הנאשם, ובכלל זה להיותו של הנאשם אדם נורמטיבי ויצרני, לעברו הפלילי שאיננו מכביד, לחלוף הזמן, ולכך שהשתת ענישה בדמות מאסר שירוצה בעבודות שירות עבודות תפגע בפרנסתו של הנאשם. מכל האמור עתר הסנגור לאמץ את המלצות שירות המבחן לעניין העונש ולחילופין להשית על הנאשם היקף שעות של"צ גבוה מזה שהומלץ ע"י שירות המבחן. </w:t>
      </w:r>
    </w:p>
    <w:p w14:paraId="0C74A88B" w14:textId="77777777" w:rsidR="00E90E34" w:rsidRDefault="00E90E34" w:rsidP="003F2D92">
      <w:pPr>
        <w:pStyle w:val="af0"/>
        <w:numPr>
          <w:ilvl w:val="0"/>
          <w:numId w:val="12"/>
        </w:numPr>
        <w:spacing w:after="0"/>
        <w:ind w:left="-58" w:hanging="283"/>
      </w:pPr>
      <w:r w:rsidRPr="00C23220">
        <w:rPr>
          <w:rtl/>
        </w:rPr>
        <w:t xml:space="preserve">הנאשם אשר קיבל את "זכות המילה האחרונה", הביע חרטה על מעשיו וביקש כי בית המשפט יתחשב בו לעניין העונש. </w:t>
      </w:r>
    </w:p>
    <w:p w14:paraId="72728195" w14:textId="77777777" w:rsidR="00E90E34" w:rsidRDefault="00E90E34" w:rsidP="003F2D92">
      <w:pPr>
        <w:pStyle w:val="af0"/>
        <w:numPr>
          <w:ilvl w:val="0"/>
          <w:numId w:val="12"/>
        </w:numPr>
        <w:spacing w:after="0"/>
        <w:ind w:left="-58" w:hanging="283"/>
      </w:pPr>
      <w:r w:rsidRPr="00C23220">
        <w:rPr>
          <w:rtl/>
        </w:rPr>
        <w:t>לאור אלה, ובהתאם למתווה גזירת הדין שאומץ בתיקון 113 ל</w:t>
      </w:r>
      <w:hyperlink r:id="rId16" w:history="1">
        <w:r w:rsidR="000A79C0" w:rsidRPr="000A79C0">
          <w:rPr>
            <w:color w:val="0000FF"/>
            <w:u w:val="single"/>
            <w:rtl/>
          </w:rPr>
          <w:t>חוק העונשין</w:t>
        </w:r>
      </w:hyperlink>
      <w:r w:rsidRPr="00C23220">
        <w:rPr>
          <w:rtl/>
        </w:rPr>
        <w:t>, בית המשפט יקבע תחילה את מתחם העונש ההולם; ולאחר מכן יגזור את העונש המתאים לנאשם, תוך בחינה שמא יש מקום במקרה הנדון לסטות לקולה או לחומרה מהמתחם שייקבע.</w:t>
      </w:r>
    </w:p>
    <w:p w14:paraId="2DE22DF6" w14:textId="77777777" w:rsidR="00E90E34" w:rsidRDefault="00E90E34" w:rsidP="003F2D92">
      <w:pPr>
        <w:pStyle w:val="1"/>
        <w:spacing w:before="0" w:line="360" w:lineRule="auto"/>
        <w:jc w:val="center"/>
        <w:rPr>
          <w:rFonts w:ascii="David" w:hAnsi="David" w:cs="David"/>
          <w:b/>
          <w:bCs/>
          <w:color w:val="auto"/>
          <w:u w:val="single"/>
          <w:rtl/>
        </w:rPr>
      </w:pPr>
    </w:p>
    <w:p w14:paraId="590A0185" w14:textId="77777777" w:rsidR="00E90E34" w:rsidRPr="00C23220" w:rsidRDefault="00E90E34" w:rsidP="003F2D92">
      <w:pPr>
        <w:pStyle w:val="1"/>
        <w:spacing w:before="0" w:line="360" w:lineRule="auto"/>
        <w:jc w:val="center"/>
        <w:rPr>
          <w:rFonts w:ascii="David" w:hAnsi="David" w:cs="David"/>
          <w:b/>
          <w:bCs/>
          <w:color w:val="auto"/>
          <w:u w:val="single"/>
        </w:rPr>
      </w:pPr>
      <w:r w:rsidRPr="00C23220">
        <w:rPr>
          <w:rFonts w:ascii="David" w:hAnsi="David" w:cs="David"/>
          <w:b/>
          <w:bCs/>
          <w:color w:val="auto"/>
          <w:u w:val="single"/>
          <w:rtl/>
        </w:rPr>
        <w:t>דיון והכרעה</w:t>
      </w:r>
    </w:p>
    <w:p w14:paraId="6FE92C45" w14:textId="77777777" w:rsidR="00E90E34" w:rsidRPr="00C23220" w:rsidRDefault="00E90E34" w:rsidP="003F2D92">
      <w:pPr>
        <w:pStyle w:val="1"/>
        <w:spacing w:before="0" w:line="360" w:lineRule="auto"/>
        <w:ind w:left="283" w:hanging="283"/>
        <w:rPr>
          <w:rFonts w:ascii="David" w:hAnsi="David" w:cs="David"/>
          <w:b/>
          <w:bCs/>
          <w:color w:val="auto"/>
          <w:sz w:val="28"/>
          <w:szCs w:val="24"/>
          <w:u w:val="single"/>
          <w:rtl/>
        </w:rPr>
      </w:pPr>
      <w:r w:rsidRPr="00C23220">
        <w:rPr>
          <w:rFonts w:ascii="David" w:hAnsi="David" w:cs="David"/>
          <w:b/>
          <w:bCs/>
          <w:color w:val="auto"/>
          <w:sz w:val="28"/>
          <w:szCs w:val="28"/>
          <w:rtl/>
        </w:rPr>
        <w:t>ג.</w:t>
      </w:r>
      <w:r w:rsidRPr="00C23220">
        <w:rPr>
          <w:rFonts w:ascii="David" w:hAnsi="David" w:cs="David"/>
          <w:color w:val="auto"/>
          <w:rtl/>
        </w:rPr>
        <w:t xml:space="preserve"> </w:t>
      </w:r>
      <w:r w:rsidRPr="00C23220">
        <w:rPr>
          <w:rFonts w:ascii="David" w:hAnsi="David" w:cs="David"/>
          <w:b/>
          <w:bCs/>
          <w:color w:val="auto"/>
          <w:sz w:val="28"/>
          <w:szCs w:val="28"/>
          <w:u w:val="single"/>
          <w:rtl/>
        </w:rPr>
        <w:t>קביעת מתחם העונש ההולם</w:t>
      </w:r>
    </w:p>
    <w:p w14:paraId="5F5454EA" w14:textId="77777777" w:rsidR="00E90E34" w:rsidRDefault="00E90E34" w:rsidP="003F2D92">
      <w:pPr>
        <w:pStyle w:val="af0"/>
        <w:numPr>
          <w:ilvl w:val="0"/>
          <w:numId w:val="12"/>
        </w:numPr>
        <w:spacing w:after="0"/>
        <w:ind w:left="-58" w:hanging="283"/>
      </w:pPr>
      <w:r w:rsidRPr="00C23220">
        <w:rPr>
          <w:rtl/>
        </w:rPr>
        <w:t xml:space="preserve">כאמור </w:t>
      </w:r>
      <w:hyperlink r:id="rId17" w:history="1">
        <w:r w:rsidR="00B15847" w:rsidRPr="00B15847">
          <w:rPr>
            <w:rStyle w:val="Hyperlink"/>
            <w:rtl/>
          </w:rPr>
          <w:t>בסעיף 40ג(א)</w:t>
        </w:r>
      </w:hyperlink>
      <w:r w:rsidRPr="00C23220">
        <w:rPr>
          <w:rtl/>
        </w:rPr>
        <w:t xml:space="preserve"> </w:t>
      </w:r>
      <w:r w:rsidRPr="00C13E9A">
        <w:rPr>
          <w:u w:val="single"/>
          <w:rtl/>
        </w:rPr>
        <w:t>ל</w:t>
      </w:r>
      <w:hyperlink r:id="rId18" w:history="1">
        <w:r w:rsidR="000A79C0" w:rsidRPr="000A79C0">
          <w:rPr>
            <w:color w:val="0000FF"/>
            <w:u w:val="single"/>
            <w:rtl/>
          </w:rPr>
          <w:t>חוק העונשין</w:t>
        </w:r>
      </w:hyperlink>
      <w:r w:rsidRPr="00C13E9A">
        <w:rPr>
          <w:u w:val="single"/>
          <w:rtl/>
        </w:rPr>
        <w:t>,</w:t>
      </w:r>
      <w:r w:rsidRPr="00C23220">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414A8CF8" w14:textId="77777777" w:rsidR="00E90E34" w:rsidRDefault="00E90E34" w:rsidP="003F2D92">
      <w:pPr>
        <w:pStyle w:val="af0"/>
        <w:numPr>
          <w:ilvl w:val="0"/>
          <w:numId w:val="12"/>
        </w:numPr>
        <w:spacing w:after="0"/>
        <w:ind w:left="-58" w:hanging="283"/>
      </w:pPr>
      <w:r w:rsidRPr="00C23220">
        <w:rPr>
          <w:rtl/>
        </w:rPr>
        <w:t xml:space="preserve">בכל הנוגע לעבירת </w:t>
      </w:r>
      <w:r w:rsidRPr="00C13E9A">
        <w:rPr>
          <w:b/>
          <w:bCs/>
          <w:rtl/>
        </w:rPr>
        <w:t>החזקת הסם שלא לצריכה עצמית</w:t>
      </w:r>
      <w:r w:rsidRPr="00C23220">
        <w:rPr>
          <w:rtl/>
        </w:rPr>
        <w:t xml:space="preserve"> אותה עבר הנאשם, נדמה כי אין צורך להכביר מילים על אודות החומרה הרבה הכרוכה בעבירות אלה. </w:t>
      </w:r>
      <w:hyperlink r:id="rId19" w:history="1">
        <w:r w:rsidR="000A79C0" w:rsidRPr="000A79C0">
          <w:rPr>
            <w:color w:val="0000FF"/>
            <w:u w:val="single"/>
            <w:rtl/>
          </w:rPr>
          <w:t>פקודת הסמים המסוכנים</w:t>
        </w:r>
      </w:hyperlink>
      <w:r w:rsidRPr="00C23220">
        <w:rPr>
          <w:rtl/>
        </w:rPr>
        <w:t xml:space="preserve"> נחקקה על מנת </w:t>
      </w:r>
      <w:r w:rsidRPr="00C23220">
        <w:rPr>
          <w:rtl/>
        </w:rPr>
        <w:lastRenderedPageBreak/>
        <w:t xml:space="preserve">להגן על ערכים חברתיים מרכזיים ובראשם החובה להגן על שלומו של הציבור, בריאותו, על בטחונו האישי ועל רכושו. </w:t>
      </w:r>
    </w:p>
    <w:p w14:paraId="640ED883" w14:textId="77777777" w:rsidR="00E90E34" w:rsidRDefault="00E90E34" w:rsidP="003F2D92">
      <w:pPr>
        <w:pStyle w:val="af0"/>
        <w:numPr>
          <w:ilvl w:val="0"/>
          <w:numId w:val="12"/>
        </w:numPr>
        <w:spacing w:after="0"/>
        <w:ind w:left="-58" w:hanging="283"/>
      </w:pPr>
      <w:r w:rsidRPr="00C23220">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0" w:history="1">
        <w:r w:rsidR="000A79C0" w:rsidRPr="000A79C0">
          <w:rPr>
            <w:color w:val="0000FF"/>
            <w:u w:val="single"/>
            <w:rtl/>
          </w:rPr>
          <w:t>ע"פ 575/88</w:t>
        </w:r>
      </w:hyperlink>
      <w:r w:rsidRPr="00C23220">
        <w:rPr>
          <w:rtl/>
        </w:rPr>
        <w:t xml:space="preserve"> </w:t>
      </w:r>
      <w:r w:rsidRPr="00C13E9A">
        <w:rPr>
          <w:b/>
          <w:bCs/>
          <w:rtl/>
        </w:rPr>
        <w:t>עודה נגד מדינת ישראל</w:t>
      </w:r>
      <w:r w:rsidRPr="00C23220">
        <w:rPr>
          <w:rtl/>
        </w:rPr>
        <w:t xml:space="preserve"> [פורסם בנבו] (11.12.1988);</w:t>
      </w:r>
      <w:r w:rsidRPr="00C13E9A">
        <w:rPr>
          <w:u w:val="single"/>
          <w:rtl/>
        </w:rPr>
        <w:t xml:space="preserve"> </w:t>
      </w:r>
      <w:hyperlink r:id="rId21" w:history="1">
        <w:r w:rsidR="000A79C0" w:rsidRPr="000A79C0">
          <w:rPr>
            <w:color w:val="0000FF"/>
            <w:u w:val="single"/>
            <w:rtl/>
          </w:rPr>
          <w:t>ע"פ 972/11</w:t>
        </w:r>
      </w:hyperlink>
      <w:r w:rsidRPr="00C23220">
        <w:rPr>
          <w:rtl/>
        </w:rPr>
        <w:t xml:space="preserve"> </w:t>
      </w:r>
      <w:r w:rsidRPr="00C13E9A">
        <w:rPr>
          <w:b/>
          <w:bCs/>
          <w:rtl/>
        </w:rPr>
        <w:t>מדינת ישראל נגד יניב יונה</w:t>
      </w:r>
      <w:r w:rsidRPr="00C23220">
        <w:rPr>
          <w:rtl/>
        </w:rPr>
        <w:t xml:space="preserve"> [פורסם בנבו] (04.07.2012); </w:t>
      </w:r>
      <w:hyperlink r:id="rId22" w:history="1">
        <w:r w:rsidR="000A79C0" w:rsidRPr="000A79C0">
          <w:rPr>
            <w:color w:val="0000FF"/>
            <w:u w:val="single"/>
            <w:rtl/>
          </w:rPr>
          <w:t>ע"פ 3117/12</w:t>
        </w:r>
      </w:hyperlink>
      <w:r w:rsidRPr="00C13E9A">
        <w:rPr>
          <w:u w:val="single"/>
          <w:rtl/>
        </w:rPr>
        <w:t xml:space="preserve"> </w:t>
      </w:r>
      <w:r w:rsidRPr="00C13E9A">
        <w:rPr>
          <w:b/>
          <w:bCs/>
          <w:rtl/>
        </w:rPr>
        <w:t>ארביב נ' מדינת ישראל</w:t>
      </w:r>
      <w:r w:rsidRPr="00C23220">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2895124D" w14:textId="77777777" w:rsidR="00E90E34" w:rsidRDefault="00E90E34" w:rsidP="003F2D92">
      <w:pPr>
        <w:pStyle w:val="af0"/>
        <w:numPr>
          <w:ilvl w:val="0"/>
          <w:numId w:val="12"/>
        </w:numPr>
        <w:spacing w:after="0"/>
        <w:ind w:left="-58" w:hanging="283"/>
      </w:pPr>
      <w:r w:rsidRPr="00C23220">
        <w:rPr>
          <w:rtl/>
        </w:rPr>
        <w:t xml:space="preserve">אם לא די באלה, הרי שעל חומרתה היתרה של העבירה אותה עבר הנאשם, יכולה להעיד גם הענישה אשר נקבעה בצדה. וכך, העונש המרבי בגין ביצוע עבירת החזקת הסם שלא לצריכה עצמית הוא 20 שנות מאסר. </w:t>
      </w:r>
    </w:p>
    <w:p w14:paraId="79EBDF59" w14:textId="77777777" w:rsidR="00E90E34" w:rsidRDefault="00E90E34" w:rsidP="003F2D92">
      <w:pPr>
        <w:pStyle w:val="af0"/>
        <w:numPr>
          <w:ilvl w:val="0"/>
          <w:numId w:val="12"/>
        </w:numPr>
        <w:spacing w:after="0"/>
        <w:ind w:left="-58" w:hanging="283"/>
      </w:pPr>
      <w:r w:rsidRPr="00C23220">
        <w:rPr>
          <w:rtl/>
        </w:rPr>
        <w:t xml:space="preserve">בשים לב לכמות הסם אותה החזיק הנאשם שלא לצריכתו העצמית, ולאור יתר הנסיבות הקשורות בביצוע העבירה, כפי שיפורט בהמשך הדברים, נדמה כי </w:t>
      </w:r>
      <w:r w:rsidRPr="0080179A">
        <w:rPr>
          <w:b/>
          <w:bCs/>
          <w:rtl/>
        </w:rPr>
        <w:t>מידת הפגיעה בערכים המוגנים במקרה הנדון מצויה ברף שאיננו נמוך כלל ועיקר</w:t>
      </w:r>
      <w:r w:rsidRPr="00C23220">
        <w:rPr>
          <w:rtl/>
        </w:rPr>
        <w:t xml:space="preserve">. </w:t>
      </w:r>
    </w:p>
    <w:p w14:paraId="68E44F31" w14:textId="77777777" w:rsidR="00E90E34" w:rsidRDefault="00E90E34" w:rsidP="003F2D92">
      <w:pPr>
        <w:pStyle w:val="af0"/>
        <w:numPr>
          <w:ilvl w:val="0"/>
          <w:numId w:val="12"/>
        </w:numPr>
        <w:spacing w:after="0"/>
        <w:ind w:left="-58" w:hanging="283"/>
      </w:pPr>
      <w:r w:rsidRPr="00C23220">
        <w:rPr>
          <w:rtl/>
        </w:rPr>
        <w:t xml:space="preserve">בבחינת </w:t>
      </w:r>
      <w:r w:rsidRPr="0080179A">
        <w:rPr>
          <w:b/>
          <w:bCs/>
          <w:rtl/>
        </w:rPr>
        <w:t>הנסיבות הקשורות העבירה</w:t>
      </w:r>
      <w:r w:rsidRPr="00C23220">
        <w:rPr>
          <w:rtl/>
        </w:rPr>
        <w:t xml:space="preserve">, מבלי להתעלם מכך שעסקינן בסם ה'קנבוס' וה'חשיש' אשר נמנים עם הסמים "הקלים", ואינם מצויים במדרג חומרה גבוה מבין הסמים השונים (כמובן שהדברים נאמרים מבלי שבית המשפט מקל ראש ולו לרגע בנזקים שגם סמים 'קלים' אלה עלולים להסב לנאשם ולסביבתו), הרי שבשיקולים לחומרה, נתתי דעתי לכמות הסם במשקל כולל של 340 גר' מסוג קנבוס וחשיש אשר נתפסה ברשותו של הנאשם. ברי כי כמות זו אינה מבוטלת כלל ועיקר והגבוהה פי כמה וכמה מ"חזקת הצריכה העצמית" הקבועה בפקודה. </w:t>
      </w:r>
    </w:p>
    <w:p w14:paraId="19BF005E" w14:textId="77777777" w:rsidR="00E90E34" w:rsidRDefault="00E90E34" w:rsidP="003F2D92">
      <w:pPr>
        <w:pStyle w:val="af0"/>
        <w:numPr>
          <w:ilvl w:val="0"/>
          <w:numId w:val="12"/>
        </w:numPr>
        <w:spacing w:after="0"/>
        <w:ind w:left="-58" w:hanging="283"/>
      </w:pPr>
      <w:r w:rsidRPr="0080179A">
        <w:rPr>
          <w:b/>
          <w:bCs/>
          <w:rtl/>
        </w:rPr>
        <w:t>אשר לסיבות שהביאו את הנאשם לבצע את העבירה,</w:t>
      </w:r>
      <w:r w:rsidRPr="00C23220">
        <w:rPr>
          <w:rtl/>
        </w:rPr>
        <w:t xml:space="preserve"> כפי העולה מתסקירי שירות המבחן, הנאשם מסר כי החזקת הסמים נועדה לשימושו האישי וכי ביום האירוע הוא היה בבילוי חברתי ורכש כמות סמים לשימושו האישי שתספיק לו לתקופה ארוכה. כמובן שאין בכך כדי להצדיק במאומה את ביצוע העבירה, אך ברי כי אין דינו של אדם אשר מחזיק סמים כדי לסחור ולהפיץ אותם לציבור, כדין אדם אשר מחזיק סמים מסוג קנבוס וחשיש (בכמות גבוהה מזו הקבועה בחוק ככזו המיועדת לשימוש עצמי) אך כדי לספק את התמכרותו.</w:t>
      </w:r>
    </w:p>
    <w:p w14:paraId="4F7DC966" w14:textId="77777777" w:rsidR="00E90E34" w:rsidRPr="0080179A" w:rsidRDefault="00E90E34" w:rsidP="003F2D92">
      <w:pPr>
        <w:pStyle w:val="af0"/>
        <w:numPr>
          <w:ilvl w:val="0"/>
          <w:numId w:val="12"/>
        </w:numPr>
        <w:spacing w:after="0"/>
        <w:ind w:left="-58" w:hanging="283"/>
      </w:pPr>
      <w:r w:rsidRPr="00C23220">
        <w:rPr>
          <w:rtl/>
        </w:rPr>
        <w:t xml:space="preserve">ברוח הדברים האמורים יצוין, כי כמות הסם אותה החזיק הנאשם במקרה הנדון, מהווה חזקה לכך שהסמים לא הוחזקו לצריכתו העצמית של הנאשם גרידא. מה עוד, שחיזוק לכך ניתן למצוא בכך שהנאשם הודה בעבירה של החזקת סם </w:t>
      </w:r>
      <w:r w:rsidRPr="0080179A">
        <w:rPr>
          <w:b/>
          <w:bCs/>
          <w:rtl/>
        </w:rPr>
        <w:t xml:space="preserve">שלא </w:t>
      </w:r>
      <w:r w:rsidRPr="00C23220">
        <w:rPr>
          <w:rtl/>
        </w:rPr>
        <w:t>לצריכה עצמית. ואולם, ועל אף שהמחוקק קבע כי בכמות זו שהחזיק הנאשם יש לראות כהחזקה שלא לצריכה עצמית אזי, אין הדבר מצביע בהכרח כי המדובר בהחזקה שמטרתה הייתה להפיץ את הסם. ו</w:t>
      </w:r>
      <w:r w:rsidRPr="0080179A">
        <w:rPr>
          <w:rtl/>
        </w:rPr>
        <w:t>כך נוסח העניין בקפידה ב</w:t>
      </w:r>
      <w:hyperlink r:id="rId23" w:history="1">
        <w:r w:rsidR="000A79C0" w:rsidRPr="000A79C0">
          <w:rPr>
            <w:color w:val="0000FF"/>
            <w:u w:val="single"/>
            <w:rtl/>
          </w:rPr>
          <w:t>ת"פ (שלום י-ם) 7414-01-15</w:t>
        </w:r>
      </w:hyperlink>
      <w:r w:rsidRPr="00C23220">
        <w:rPr>
          <w:rtl/>
        </w:rPr>
        <w:t xml:space="preserve"> </w:t>
      </w:r>
      <w:r w:rsidRPr="0080179A">
        <w:rPr>
          <w:b/>
          <w:bCs/>
          <w:rtl/>
        </w:rPr>
        <w:t>מדינת ישראל נ' ניסים שגב</w:t>
      </w:r>
      <w:r w:rsidRPr="00C23220">
        <w:rPr>
          <w:rtl/>
        </w:rPr>
        <w:t xml:space="preserve"> [פורסם בנבו] (26.02.2017): </w:t>
      </w:r>
      <w:r w:rsidRPr="0080179A">
        <w:rPr>
          <w:rtl/>
        </w:rPr>
        <w:t xml:space="preserve">".... </w:t>
      </w:r>
      <w:r w:rsidRPr="0080179A">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80179A">
        <w:rPr>
          <w:rtl/>
        </w:rPr>
        <w:t>".</w:t>
      </w:r>
    </w:p>
    <w:p w14:paraId="27A43130" w14:textId="77777777" w:rsidR="00E90E34" w:rsidRDefault="00E90E34" w:rsidP="003F2D92">
      <w:pPr>
        <w:pStyle w:val="af0"/>
        <w:numPr>
          <w:ilvl w:val="0"/>
          <w:numId w:val="12"/>
        </w:numPr>
        <w:spacing w:after="0"/>
        <w:ind w:left="-58" w:hanging="283"/>
      </w:pPr>
      <w:r w:rsidRPr="00C23220">
        <w:rPr>
          <w:rtl/>
        </w:rPr>
        <w:t xml:space="preserve">בסיכומה של נקודה זה ייאמר, כי אין לו לדיין אלא מה שעיניו רואות </w:t>
      </w:r>
      <w:r w:rsidRPr="0080179A">
        <w:rPr>
          <w:b/>
          <w:bCs/>
          <w:rtl/>
        </w:rPr>
        <w:t xml:space="preserve">– </w:t>
      </w:r>
      <w:r w:rsidRPr="00C23220">
        <w:rPr>
          <w:rtl/>
        </w:rPr>
        <w:t xml:space="preserve">ומבלי להתעלם מהחזקה החוקית ומרמת האשמה ה'רישמית' שהיא יוצרת, הרי שיש להניח לטובתו של הנאשם כי רמת האשמה המוטלת לפתחו היא נמוכה, עת לא הוכח לפניי כי הלה החזיק את הסם במטרה להפיצו או לסחור בו. </w:t>
      </w:r>
    </w:p>
    <w:p w14:paraId="60FFBDD3" w14:textId="77777777" w:rsidR="00E90E34" w:rsidRDefault="00E90E34" w:rsidP="003F2D92">
      <w:pPr>
        <w:pStyle w:val="af0"/>
        <w:numPr>
          <w:ilvl w:val="0"/>
          <w:numId w:val="12"/>
        </w:numPr>
        <w:spacing w:after="0"/>
        <w:ind w:left="-58" w:hanging="283"/>
      </w:pPr>
      <w:r w:rsidRPr="00C23220">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4E223B1E" w14:textId="77777777" w:rsidR="00E90E34" w:rsidRDefault="00E90E34" w:rsidP="003F2D92">
      <w:pPr>
        <w:pStyle w:val="af0"/>
        <w:numPr>
          <w:ilvl w:val="0"/>
          <w:numId w:val="12"/>
        </w:numPr>
        <w:spacing w:after="0"/>
        <w:ind w:left="-58" w:hanging="283"/>
      </w:pPr>
      <w:r w:rsidRPr="00C23220">
        <w:rPr>
          <w:rtl/>
        </w:rPr>
        <w:t xml:space="preserve">אשר </w:t>
      </w:r>
      <w:r w:rsidRPr="0080179A">
        <w:rPr>
          <w:b/>
          <w:bCs/>
          <w:rtl/>
        </w:rPr>
        <w:t>למדיניות הענישה הנוהגת</w:t>
      </w:r>
      <w:r w:rsidRPr="00C23220">
        <w:rPr>
          <w:rtl/>
        </w:rPr>
        <w:t xml:space="preserve">, סקירת הפסיקה מלמדת כי בעבירה של החזקת סם הקנבוס (או החשיש), שלא לצריכה עצמית </w:t>
      </w:r>
      <w:r w:rsidRPr="0080179A">
        <w:rPr>
          <w:b/>
          <w:bCs/>
          <w:rtl/>
        </w:rPr>
        <w:t>בכמויות דומות לאלו שבעניינינו</w:t>
      </w:r>
      <w:r w:rsidRPr="00C23220">
        <w:rPr>
          <w:rtl/>
        </w:rPr>
        <w:t xml:space="preserve">, קיים מנעד רחב של עונשים, הכול בהתאם לכמות הסם ונסיבות החזקתו, ואולם, </w:t>
      </w:r>
      <w:r w:rsidRPr="0080179A">
        <w:rPr>
          <w:b/>
          <w:bCs/>
          <w:rtl/>
        </w:rPr>
        <w:t>בדרך כלל,</w:t>
      </w:r>
      <w:r w:rsidRPr="00C23220">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w:t>
      </w:r>
      <w:r w:rsidRPr="0080179A">
        <w:rPr>
          <w:shd w:val="clear" w:color="auto" w:fill="FAFAFA"/>
          <w:rtl/>
        </w:rPr>
        <w:t xml:space="preserve"> </w:t>
      </w:r>
      <w:hyperlink r:id="rId24" w:history="1">
        <w:r w:rsidR="000A79C0" w:rsidRPr="000A79C0">
          <w:rPr>
            <w:color w:val="0000FF"/>
            <w:u w:val="single"/>
            <w:rtl/>
          </w:rPr>
          <w:t>רע"פ 322/15</w:t>
        </w:r>
      </w:hyperlink>
      <w:r w:rsidRPr="0080179A">
        <w:rPr>
          <w:u w:val="single"/>
          <w:rtl/>
        </w:rPr>
        <w:t xml:space="preserve"> </w:t>
      </w:r>
      <w:r w:rsidRPr="0080179A">
        <w:rPr>
          <w:b/>
          <w:bCs/>
          <w:rtl/>
        </w:rPr>
        <w:t>חן ג'אנח נ' מדינת ישראל</w:t>
      </w:r>
      <w:r w:rsidRPr="00C23220">
        <w:rPr>
          <w:rtl/>
        </w:rPr>
        <w:t xml:space="preserve"> [פורסם בנבו] (22.01.2015); </w:t>
      </w:r>
      <w:r w:rsidRPr="0080179A">
        <w:rPr>
          <w:u w:val="single"/>
          <w:shd w:val="clear" w:color="auto" w:fill="FAFAFA"/>
          <w:rtl/>
        </w:rPr>
        <w:t xml:space="preserve"> </w:t>
      </w:r>
      <w:hyperlink r:id="rId25" w:history="1">
        <w:r w:rsidR="000A79C0" w:rsidRPr="000A79C0">
          <w:rPr>
            <w:color w:val="0000FF"/>
            <w:u w:val="single"/>
            <w:shd w:val="clear" w:color="auto" w:fill="FAFAFA"/>
            <w:rtl/>
          </w:rPr>
          <w:t>ע"פ (מחוזי ב"ש) 39557-01-14</w:t>
        </w:r>
      </w:hyperlink>
      <w:r w:rsidRPr="0080179A">
        <w:rPr>
          <w:shd w:val="clear" w:color="auto" w:fill="FAFAFA"/>
          <w:rtl/>
        </w:rPr>
        <w:t xml:space="preserve"> </w:t>
      </w:r>
      <w:r w:rsidRPr="0080179A">
        <w:rPr>
          <w:b/>
          <w:bCs/>
          <w:shd w:val="clear" w:color="auto" w:fill="FAFAFA"/>
          <w:rtl/>
        </w:rPr>
        <w:t>פרג דעיס ואח' נ' מדינת ישראל</w:t>
      </w:r>
      <w:r w:rsidRPr="0080179A">
        <w:rPr>
          <w:shd w:val="clear" w:color="auto" w:fill="FAFAFA"/>
          <w:rtl/>
        </w:rPr>
        <w:t xml:space="preserve"> [פורסם בנבו] (30.4.2014);</w:t>
      </w:r>
      <w:r w:rsidRPr="00C23220">
        <w:t xml:space="preserve"> </w:t>
      </w:r>
      <w:hyperlink r:id="rId26" w:history="1">
        <w:r w:rsidR="000A79C0" w:rsidRPr="000A79C0">
          <w:rPr>
            <w:color w:val="0000FF"/>
            <w:u w:val="single"/>
            <w:rtl/>
          </w:rPr>
          <w:t>ת"פ (טב') 51933-05-12</w:t>
        </w:r>
      </w:hyperlink>
      <w:r w:rsidRPr="00C23220">
        <w:rPr>
          <w:rtl/>
        </w:rPr>
        <w:t xml:space="preserve"> </w:t>
      </w:r>
      <w:r w:rsidRPr="0080179A">
        <w:rPr>
          <w:b/>
          <w:bCs/>
          <w:rtl/>
        </w:rPr>
        <w:t>מדינת ישראל נ' אלון בוטבול</w:t>
      </w:r>
      <w:r w:rsidRPr="00C23220">
        <w:rPr>
          <w:rtl/>
        </w:rPr>
        <w:t xml:space="preserve"> [פורסם בנבו] (27.03.2014); </w:t>
      </w:r>
      <w:r w:rsidRPr="0080179A">
        <w:rPr>
          <w:shd w:val="clear" w:color="auto" w:fill="FAFAFA"/>
          <w:rtl/>
        </w:rPr>
        <w:t xml:space="preserve"> </w:t>
      </w:r>
      <w:hyperlink r:id="rId27" w:history="1">
        <w:r w:rsidR="000A79C0" w:rsidRPr="000A79C0">
          <w:rPr>
            <w:color w:val="0000FF"/>
            <w:u w:val="single"/>
            <w:shd w:val="clear" w:color="auto" w:fill="FAFAFA"/>
            <w:rtl/>
          </w:rPr>
          <w:t>עפ"ג (מחוזי – מרכז) 61313-02-20</w:t>
        </w:r>
      </w:hyperlink>
      <w:r w:rsidRPr="0080179A">
        <w:rPr>
          <w:shd w:val="clear" w:color="auto" w:fill="FAFAFA"/>
          <w:rtl/>
        </w:rPr>
        <w:t xml:space="preserve"> </w:t>
      </w:r>
      <w:r w:rsidRPr="0080179A">
        <w:rPr>
          <w:b/>
          <w:bCs/>
          <w:shd w:val="clear" w:color="auto" w:fill="FAFAFA"/>
          <w:rtl/>
        </w:rPr>
        <w:t>פצו'לקין נגד מדינת ישראל</w:t>
      </w:r>
      <w:r w:rsidRPr="0080179A">
        <w:rPr>
          <w:shd w:val="clear" w:color="auto" w:fill="FAFAFA"/>
          <w:rtl/>
        </w:rPr>
        <w:t xml:space="preserve"> [לא פורסם] (08.09.2020);</w:t>
      </w:r>
      <w:r w:rsidRPr="00C23220">
        <w:rPr>
          <w:rtl/>
        </w:rPr>
        <w:t xml:space="preserve"> </w:t>
      </w:r>
      <w:hyperlink r:id="rId28" w:history="1">
        <w:r w:rsidR="000A79C0" w:rsidRPr="000A79C0">
          <w:rPr>
            <w:color w:val="0000FF"/>
            <w:u w:val="single"/>
            <w:rtl/>
          </w:rPr>
          <w:t>ת"פ (ב"ש) 14656-12-20</w:t>
        </w:r>
      </w:hyperlink>
      <w:r w:rsidRPr="00C23220">
        <w:rPr>
          <w:rtl/>
        </w:rPr>
        <w:t xml:space="preserve"> </w:t>
      </w:r>
      <w:r w:rsidRPr="0080179A">
        <w:rPr>
          <w:b/>
          <w:bCs/>
          <w:rtl/>
        </w:rPr>
        <w:t>מדינת ישראל נ' פאדי</w:t>
      </w:r>
      <w:r w:rsidRPr="00C23220">
        <w:rPr>
          <w:rtl/>
        </w:rPr>
        <w:t xml:space="preserve"> [פורסם בנבו] (10.3.2021); </w:t>
      </w:r>
      <w:r w:rsidR="000A79C0">
        <w:rPr>
          <w:rtl/>
        </w:rPr>
        <w:t xml:space="preserve"> </w:t>
      </w:r>
      <w:hyperlink r:id="rId29" w:history="1">
        <w:r w:rsidR="000A79C0" w:rsidRPr="000A79C0">
          <w:rPr>
            <w:color w:val="0000FF"/>
            <w:u w:val="single"/>
            <w:rtl/>
          </w:rPr>
          <w:t>ת"פ (ת"א) 55701-01-16</w:t>
        </w:r>
      </w:hyperlink>
      <w:r w:rsidRPr="00C23220">
        <w:rPr>
          <w:rtl/>
        </w:rPr>
        <w:t xml:space="preserve"> </w:t>
      </w:r>
      <w:r w:rsidRPr="0080179A">
        <w:rPr>
          <w:b/>
          <w:bCs/>
          <w:rtl/>
        </w:rPr>
        <w:t xml:space="preserve">מדינת ישראל נ' פטמה אבו רחימה </w:t>
      </w:r>
      <w:r w:rsidRPr="00C23220">
        <w:rPr>
          <w:rtl/>
        </w:rPr>
        <w:t xml:space="preserve">[פורסם בנבו] (13.06.2017); </w:t>
      </w:r>
      <w:hyperlink r:id="rId30" w:history="1">
        <w:r w:rsidR="000A79C0" w:rsidRPr="000A79C0">
          <w:rPr>
            <w:color w:val="0000FF"/>
            <w:u w:val="single"/>
            <w:rtl/>
          </w:rPr>
          <w:t>ת"פ (ק"ג) 15091-06-21</w:t>
        </w:r>
      </w:hyperlink>
      <w:r w:rsidRPr="00C23220">
        <w:rPr>
          <w:rtl/>
        </w:rPr>
        <w:t xml:space="preserve">  </w:t>
      </w:r>
      <w:r w:rsidRPr="0080179A">
        <w:rPr>
          <w:b/>
          <w:bCs/>
          <w:rtl/>
        </w:rPr>
        <w:t>מדינת ישראל נ' ליאל אידו</w:t>
      </w:r>
      <w:r w:rsidRPr="00C23220">
        <w:rPr>
          <w:rtl/>
        </w:rPr>
        <w:t xml:space="preserve"> [פורסם בנבו] (</w:t>
      </w:r>
      <w:r w:rsidRPr="00C23220">
        <w:t>11.04.2022</w:t>
      </w:r>
      <w:r w:rsidRPr="00C23220">
        <w:rPr>
          <w:rtl/>
        </w:rPr>
        <w:t>) (פסיקה אליה הפנתה המאשימה);</w:t>
      </w:r>
      <w:r w:rsidR="000A79C0">
        <w:rPr>
          <w:rtl/>
        </w:rPr>
        <w:t xml:space="preserve"> </w:t>
      </w:r>
      <w:r w:rsidRPr="00C23220">
        <w:rPr>
          <w:rtl/>
        </w:rPr>
        <w:t xml:space="preserve"> </w:t>
      </w:r>
      <w:hyperlink r:id="rId31" w:history="1">
        <w:r w:rsidR="000A79C0" w:rsidRPr="000A79C0">
          <w:rPr>
            <w:color w:val="0000FF"/>
            <w:u w:val="single"/>
            <w:rtl/>
          </w:rPr>
          <w:t>ת"פ (ק"ג) 19830-10-20</w:t>
        </w:r>
      </w:hyperlink>
      <w:r w:rsidRPr="00C23220">
        <w:rPr>
          <w:rtl/>
        </w:rPr>
        <w:t xml:space="preserve"> </w:t>
      </w:r>
      <w:r w:rsidRPr="0080179A">
        <w:rPr>
          <w:b/>
          <w:bCs/>
          <w:rtl/>
        </w:rPr>
        <w:t>מדינת ישראל נ' עזריה</w:t>
      </w:r>
      <w:r w:rsidRPr="00C23220">
        <w:rPr>
          <w:rtl/>
        </w:rPr>
        <w:t xml:space="preserve"> [פורסם בנבו] (14.12.2022)</w:t>
      </w:r>
      <w:r w:rsidRPr="0080179A">
        <w:rPr>
          <w:u w:val="single"/>
          <w:rtl/>
        </w:rPr>
        <w:t xml:space="preserve">; </w:t>
      </w:r>
      <w:hyperlink r:id="rId32" w:history="1">
        <w:r w:rsidR="000A79C0" w:rsidRPr="000A79C0">
          <w:rPr>
            <w:color w:val="0000FF"/>
            <w:u w:val="single"/>
            <w:rtl/>
          </w:rPr>
          <w:t>ת"פ (פ"ת) 11125-03-16</w:t>
        </w:r>
      </w:hyperlink>
      <w:r w:rsidRPr="00C23220">
        <w:rPr>
          <w:rtl/>
        </w:rPr>
        <w:t xml:space="preserve"> </w:t>
      </w:r>
      <w:r w:rsidRPr="0080179A">
        <w:rPr>
          <w:b/>
          <w:bCs/>
          <w:rtl/>
        </w:rPr>
        <w:t xml:space="preserve">מדינת ישראל נ' חרזי </w:t>
      </w:r>
      <w:r w:rsidRPr="00C23220">
        <w:rPr>
          <w:rtl/>
        </w:rPr>
        <w:t>(28.6.2017);</w:t>
      </w:r>
      <w:r w:rsidRPr="0080179A">
        <w:rPr>
          <w:shd w:val="clear" w:color="auto" w:fill="FAFAFA"/>
          <w:rtl/>
        </w:rPr>
        <w:t xml:space="preserve"> </w:t>
      </w:r>
      <w:hyperlink r:id="rId33" w:history="1">
        <w:r w:rsidR="000A79C0" w:rsidRPr="000A79C0">
          <w:rPr>
            <w:color w:val="0000FF"/>
            <w:u w:val="single"/>
            <w:shd w:val="clear" w:color="auto" w:fill="FAFAFA"/>
            <w:rtl/>
          </w:rPr>
          <w:t>ת"פ (שלום ק"ג) 10215-10-19</w:t>
        </w:r>
      </w:hyperlink>
      <w:r w:rsidR="000A79C0">
        <w:rPr>
          <w:shd w:val="clear" w:color="auto" w:fill="FAFAFA"/>
          <w:rtl/>
        </w:rPr>
        <w:t xml:space="preserve"> </w:t>
      </w:r>
      <w:r w:rsidRPr="0080179A">
        <w:rPr>
          <w:b/>
          <w:bCs/>
          <w:shd w:val="clear" w:color="auto" w:fill="FAFAFA"/>
          <w:rtl/>
        </w:rPr>
        <w:t>מדינת ישראל נ' דרור עמר</w:t>
      </w:r>
      <w:r w:rsidR="000A79C0">
        <w:rPr>
          <w:shd w:val="clear" w:color="auto" w:fill="FAFAFA"/>
          <w:rtl/>
        </w:rPr>
        <w:t xml:space="preserve"> </w:t>
      </w:r>
      <w:r w:rsidRPr="0080179A">
        <w:rPr>
          <w:shd w:val="clear" w:color="auto" w:fill="FAFAFA"/>
          <w:rtl/>
        </w:rPr>
        <w:t>[פורסם בנבו] (14.07.2021)</w:t>
      </w:r>
      <w:r w:rsidRPr="00C23220">
        <w:rPr>
          <w:rtl/>
        </w:rPr>
        <w:t xml:space="preserve"> – ויוער כי הערעור שהוגש על ידי הנאשם במסגרת </w:t>
      </w:r>
      <w:hyperlink r:id="rId34" w:history="1">
        <w:r w:rsidR="000A79C0" w:rsidRPr="000A79C0">
          <w:rPr>
            <w:color w:val="0000FF"/>
            <w:u w:val="single"/>
            <w:rtl/>
          </w:rPr>
          <w:t>עפ"ג (מחוזי ב"ש) 51992-08-21</w:t>
        </w:r>
      </w:hyperlink>
      <w:r w:rsidRPr="00C23220">
        <w:rPr>
          <w:rtl/>
        </w:rPr>
        <w:t xml:space="preserve"> </w:t>
      </w:r>
      <w:r w:rsidRPr="0080179A">
        <w:rPr>
          <w:b/>
          <w:bCs/>
          <w:rtl/>
        </w:rPr>
        <w:t>דרור עמר נגד מדינת ישראל</w:t>
      </w:r>
      <w:r w:rsidRPr="00C23220">
        <w:rPr>
          <w:rtl/>
        </w:rPr>
        <w:t xml:space="preserve"> [לא פורסם] (12.01.2022), נמחק בהסכמתו). </w:t>
      </w:r>
    </w:p>
    <w:p w14:paraId="1242C438" w14:textId="77777777" w:rsidR="00E90E34" w:rsidRPr="0080179A" w:rsidRDefault="00E90E34" w:rsidP="003F2D92">
      <w:pPr>
        <w:pStyle w:val="af0"/>
        <w:numPr>
          <w:ilvl w:val="0"/>
          <w:numId w:val="12"/>
        </w:numPr>
        <w:spacing w:after="0"/>
        <w:ind w:left="-58" w:hanging="283"/>
      </w:pPr>
      <w:r w:rsidRPr="00C23220">
        <w:rPr>
          <w:rtl/>
        </w:rPr>
        <w:t xml:space="preserve">כאן אציין, כי אף לא התעלמתי מהפסיקה אליה הפנו הצדדים, אולם הדבר נעשה תוך ביצוע האבחנות המתבקשות. כך </w:t>
      </w:r>
      <w:r w:rsidRPr="0080179A">
        <w:rPr>
          <w:shd w:val="clear" w:color="auto" w:fill="FAFAFA"/>
          <w:rtl/>
        </w:rPr>
        <w:t xml:space="preserve">למשל, </w:t>
      </w:r>
      <w:r w:rsidRPr="00C23220">
        <w:rPr>
          <w:rtl/>
        </w:rPr>
        <w:t xml:space="preserve">ובכל הנוגע לפסיקה שאליה הפנתה המאשימה, הרי </w:t>
      </w:r>
      <w:r w:rsidRPr="0080179A">
        <w:rPr>
          <w:u w:val="single"/>
          <w:rtl/>
        </w:rPr>
        <w:t>שב</w:t>
      </w:r>
      <w:hyperlink r:id="rId35" w:history="1">
        <w:r w:rsidR="000A79C0" w:rsidRPr="000A79C0">
          <w:rPr>
            <w:color w:val="0000FF"/>
            <w:u w:val="single"/>
            <w:rtl/>
          </w:rPr>
          <w:t>ת"פ (ק"ג) 15091-06-21</w:t>
        </w:r>
      </w:hyperlink>
      <w:r w:rsidRPr="0080179A">
        <w:rPr>
          <w:u w:val="single"/>
          <w:rtl/>
        </w:rPr>
        <w:t xml:space="preserve"> </w:t>
      </w:r>
      <w:r w:rsidRPr="0080179A">
        <w:rPr>
          <w:b/>
          <w:bCs/>
          <w:rtl/>
        </w:rPr>
        <w:t>מדינת ישראל נ' אידו</w:t>
      </w:r>
      <w:r w:rsidRPr="00C23220">
        <w:rPr>
          <w:rtl/>
        </w:rPr>
        <w:t xml:space="preserve"> [פורסם בנבו] (11.04.2022), המדובר בנאשם שהורשע בהחזקת סמים שלא לצריכה עצמית ובהחזקת כלים להכנת סם שלא לצריכה עצמית, בכך שהחזיק במספר מקומות בביתו בסם מסוג קנבוס, במשקל של כ-378 גר', כמו כן הלה החזיק שתיל עם זרעים וחמור מאלה,</w:t>
      </w:r>
      <w:r w:rsidRPr="0080179A">
        <w:rPr>
          <w:b/>
          <w:bCs/>
          <w:rtl/>
        </w:rPr>
        <w:t xml:space="preserve"> </w:t>
      </w:r>
      <w:r w:rsidRPr="00C23220">
        <w:rPr>
          <w:rtl/>
        </w:rPr>
        <w:t xml:space="preserve">הנאשם נתפס כשברשותו סם נוסף מסוג </w:t>
      </w:r>
      <w:r w:rsidRPr="00C23220">
        <w:t>MDMA</w:t>
      </w:r>
      <w:r w:rsidRPr="00C23220">
        <w:rPr>
          <w:rtl/>
        </w:rPr>
        <w:t xml:space="preserve"> במשקל של 0.0672 גר' נטו, סם הנמנה עם "הסמים הקשים", כל אלה לצד החזקת משקל דיגיטלי. ברי, כי אין המדובר בעבירות זהות לאלה שבעניינינו, שכן המדובר בסמים מסוגים שונים, כולל </w:t>
      </w:r>
      <w:r w:rsidRPr="00C23220">
        <w:t>MDMA</w:t>
      </w:r>
      <w:r w:rsidRPr="00C23220">
        <w:rPr>
          <w:rtl/>
        </w:rPr>
        <w:t>, הגם שכמות הסם מסוג קנבוס הינה דומה –</w:t>
      </w:r>
      <w:r w:rsidRPr="0080179A">
        <w:rPr>
          <w:b/>
          <w:bCs/>
          <w:rtl/>
        </w:rPr>
        <w:t xml:space="preserve"> </w:t>
      </w:r>
      <w:r w:rsidRPr="00C23220">
        <w:rPr>
          <w:rtl/>
        </w:rPr>
        <w:t xml:space="preserve"> כך שיקשה על בית המשפט לגזור תובנות מתיק זה לתיק שלפנינו.</w:t>
      </w:r>
      <w:r w:rsidRPr="0080179A">
        <w:rPr>
          <w:b/>
          <w:bCs/>
          <w:rtl/>
        </w:rPr>
        <w:t xml:space="preserve"> </w:t>
      </w:r>
    </w:p>
    <w:p w14:paraId="266E556A" w14:textId="77777777" w:rsidR="00E90E34" w:rsidRDefault="00E90E34" w:rsidP="003F2D92">
      <w:pPr>
        <w:pStyle w:val="af0"/>
        <w:numPr>
          <w:ilvl w:val="0"/>
          <w:numId w:val="12"/>
        </w:numPr>
        <w:spacing w:after="0"/>
        <w:ind w:left="-58" w:hanging="283"/>
      </w:pPr>
      <w:r w:rsidRPr="00C23220">
        <w:rPr>
          <w:rtl/>
        </w:rPr>
        <w:t>וכך, ובכל הנוגע לפסיקה שאליה הפנתה ההגנה התומכת לשיטתה במתחם העונש הראוי שהוצג על ידה, הרי ש</w:t>
      </w:r>
      <w:r w:rsidRPr="0080179A">
        <w:rPr>
          <w:u w:val="single"/>
          <w:rtl/>
        </w:rPr>
        <w:t>ב</w:t>
      </w:r>
      <w:hyperlink r:id="rId36" w:history="1">
        <w:r w:rsidR="000A79C0" w:rsidRPr="000A79C0">
          <w:rPr>
            <w:color w:val="0000FF"/>
            <w:u w:val="single"/>
            <w:rtl/>
          </w:rPr>
          <w:t>ת"פ (ק"ג) 42456-02-18</w:t>
        </w:r>
      </w:hyperlink>
      <w:r w:rsidRPr="0080179A">
        <w:rPr>
          <w:u w:val="single"/>
          <w:rtl/>
        </w:rPr>
        <w:t xml:space="preserve"> </w:t>
      </w:r>
      <w:r w:rsidRPr="0080179A">
        <w:rPr>
          <w:b/>
          <w:bCs/>
          <w:rtl/>
        </w:rPr>
        <w:t xml:space="preserve">מדינת ישראל נ' בנבניסטי </w:t>
      </w:r>
      <w:r w:rsidRPr="00C23220">
        <w:rPr>
          <w:rtl/>
        </w:rPr>
        <w:t xml:space="preserve">[פורסם בנבו] (16.07.2018), הנאשם הורשע בעבירה של החזקת סם שלא לצריכה עצמית בכך שהחזיק סם מסוכן מסוג קנבוס במשקלים ובמקומות שונים בדירתו וברכבו במשקל כולל של 1.243 גר'. בית המשפט קבע כי המדובר במקרה שבו ניתן לסטות ממתחם העונש הראוי הנע בין 6 ל 12 חודשים מאסר לריצוי בפועל (בשונה מהמתחם לו עתרה ההגנה בתיק שלפנינו) , וזאת בשל העובדה כי עסקינן בנאשם שעבר מהפך מוחלט בחייו, מאדם המכור לסמים – לאדם שאינו משתמש עוד בסמים, שומר חוק ומשולב בשוק התעסוקה; כך גם </w:t>
      </w:r>
      <w:r w:rsidRPr="0080179A">
        <w:rPr>
          <w:u w:val="single"/>
          <w:rtl/>
        </w:rPr>
        <w:t xml:space="preserve">בע"פ (מחוזי- חי') </w:t>
      </w:r>
      <w:hyperlink r:id="rId37" w:history="1">
        <w:r w:rsidR="00D621F3" w:rsidRPr="00D621F3">
          <w:rPr>
            <w:color w:val="0000FF"/>
            <w:u w:val="single"/>
            <w:rtl/>
          </w:rPr>
          <w:t xml:space="preserve">28110-10-15 </w:t>
        </w:r>
      </w:hyperlink>
      <w:r w:rsidRPr="0080179A">
        <w:rPr>
          <w:u w:val="single"/>
          <w:rtl/>
        </w:rPr>
        <w:t xml:space="preserve"> </w:t>
      </w:r>
      <w:r w:rsidRPr="0080179A">
        <w:rPr>
          <w:b/>
          <w:bCs/>
          <w:rtl/>
        </w:rPr>
        <w:t>מדינת ישראל נ' דוד עידן</w:t>
      </w:r>
      <w:r w:rsidRPr="00C23220">
        <w:rPr>
          <w:rtl/>
        </w:rPr>
        <w:t xml:space="preserve"> [פורסם בנבו] (17.12.2015), הנאשם הורשע יחד עם נאשם נוסף בבית משפט השלום בעבירה של גידול/ייצור/הכנת סמים מסוכנים, בכך שגידל במעבדה 21 שתילי קנבוס במשקל של 3,600 גר', עם ציוד נלווה. בית המשפט </w:t>
      </w:r>
      <w:r w:rsidRPr="00C23220">
        <w:rPr>
          <w:noProof/>
          <w:rtl/>
        </w:rPr>
        <w:t>קבע מתחם עונש הולם אשר נע בין 6 חודשים מאסר שיכול שירוצו בעבודות שירות ועד ל- 12 חודשים מאסר בפועל (בשונה מהמתחם לו עתרה ההגנה בתיק שלפנינו) ו</w:t>
      </w:r>
      <w:r w:rsidRPr="00C23220">
        <w:rPr>
          <w:rtl/>
        </w:rPr>
        <w:t xml:space="preserve">החליט באותו מקרה להימנע מהרשעתו של הנאשם. ערעור המדינה שהוגש לבית המשפט המחוזי נדחה והוחלט שלא להתערב בפסק-דינו של בית-משפט השלום, בהתחשב בהליך השיקומי שעבר הנאשם ומששוכנע בית-המשפט המחוזי כי הרשעת הנאשם תסכל את אפשרותו לחזור לעבודתו בנמל חיפה; כך גם </w:t>
      </w:r>
      <w:r w:rsidRPr="0080179A">
        <w:rPr>
          <w:u w:val="single"/>
          <w:rtl/>
        </w:rPr>
        <w:t>ב</w:t>
      </w:r>
      <w:hyperlink r:id="rId38" w:history="1">
        <w:r w:rsidR="000A79C0" w:rsidRPr="000A79C0">
          <w:rPr>
            <w:color w:val="0000FF"/>
            <w:u w:val="single"/>
            <w:rtl/>
          </w:rPr>
          <w:t>ת"פ (מחוזי ת"א) 63255-11-16</w:t>
        </w:r>
      </w:hyperlink>
      <w:r w:rsidRPr="0080179A">
        <w:rPr>
          <w:b/>
          <w:bCs/>
          <w:rtl/>
        </w:rPr>
        <w:t xml:space="preserve"> מדינת ישראל נ' איילת טורג'מן </w:t>
      </w:r>
      <w:r w:rsidRPr="00C23220">
        <w:rPr>
          <w:rtl/>
        </w:rPr>
        <w:t>[פורסם בנבו] (07.02.2018)</w:t>
      </w:r>
      <w:r w:rsidRPr="00C23220">
        <w:rPr>
          <w:noProof/>
          <w:rtl/>
        </w:rPr>
        <w:t xml:space="preserve">, </w:t>
      </w:r>
      <w:r w:rsidRPr="00C23220">
        <w:rPr>
          <w:rtl/>
        </w:rPr>
        <w:t xml:space="preserve">הנאשמת הורשעה בעבירות של קשירת קשר לביצוע פשע, החזקת סם שלא לצריכה עצמית, החזקת כלים, וסחר בסמים מסוכנים מסוג אקסטזי, קוקאין, </w:t>
      </w:r>
      <w:r w:rsidRPr="00C23220">
        <w:t>MDMA</w:t>
      </w:r>
      <w:r w:rsidRPr="00C23220">
        <w:rPr>
          <w:rtl/>
        </w:rPr>
        <w:t xml:space="preserve"> וקנבוס, ובהחזקת סמים מסוגים דומים ואחרים במשקלים לא מבוטלים. מעבר לעובדה כי מדובר בעבירות שונות מאלו שבעניינינו, הרי ש</w:t>
      </w:r>
      <w:r w:rsidRPr="00C23220">
        <w:rPr>
          <w:noProof/>
          <w:rtl/>
        </w:rPr>
        <w:t>בית המשפט המחוזי קבע כי על מתחם העונש ההולם בגין העבירות שבהן הורשעה הנאשמת לנוע בין 3 ל-6 שנות מאסר</w:t>
      </w:r>
      <w:r w:rsidRPr="00C23220">
        <w:rPr>
          <w:rtl/>
        </w:rPr>
        <w:t xml:space="preserve"> (בשונה תכלית השוני מהמתחם לו עתרה ההגנה בתיק שלפנינו),</w:t>
      </w:r>
      <w:r>
        <w:rPr>
          <w:rtl/>
        </w:rPr>
        <w:t xml:space="preserve"> </w:t>
      </w:r>
      <w:r w:rsidRPr="00C23220">
        <w:rPr>
          <w:rtl/>
        </w:rPr>
        <w:t>ואילו העונש הקל בדמות 400 של"צ, הושת על הנאשמת אך בשל הליך השיקום המשמעותי אותו היא עברה לאורך למעלה משנה, שהחל ביוזמתה וכלל טיפול גמילה מסמים במסגרת היחידה לטיפול בנפגעי סמים; בשל נסיבות חייה הקשות של הנאשמת; והעדר עבר פלילי</w:t>
      </w:r>
      <w:r w:rsidRPr="00C23220">
        <w:rPr>
          <w:noProof/>
          <w:rtl/>
        </w:rPr>
        <w:t xml:space="preserve">; </w:t>
      </w:r>
      <w:r w:rsidRPr="00C23220">
        <w:rPr>
          <w:rtl/>
        </w:rPr>
        <w:t>וב</w:t>
      </w:r>
      <w:hyperlink r:id="rId39" w:history="1">
        <w:r w:rsidR="000A79C0" w:rsidRPr="000A79C0">
          <w:rPr>
            <w:color w:val="0000FF"/>
            <w:u w:val="single"/>
            <w:rtl/>
          </w:rPr>
          <w:t>ת"פ (ק"ג) 2200-02-18</w:t>
        </w:r>
      </w:hyperlink>
      <w:r w:rsidRPr="00C23220">
        <w:rPr>
          <w:rtl/>
        </w:rPr>
        <w:t xml:space="preserve"> </w:t>
      </w:r>
      <w:r w:rsidRPr="0080179A">
        <w:rPr>
          <w:b/>
          <w:bCs/>
          <w:rtl/>
        </w:rPr>
        <w:t>מדינת ישראל נ' זינו</w:t>
      </w:r>
      <w:r w:rsidRPr="00C23220">
        <w:rPr>
          <w:rtl/>
        </w:rPr>
        <w:t xml:space="preserve"> [פורסם בנבו] (31.03.2019), הורשע הנאשם 1 בגידול 176 שתילים של סם מסוכן מסוג קנבוס במשקל כולל של 1.500 ק"ג. מעבר לעובדה כי המדובר בעבירה שונה מזו שלפנינו, הרי ששם נקבע מתחם עונש ראוי הנע בין 5 חודשים מאסר שיכול וירוצו בעבודות שירות לבין 20 חודשים מאסר בפועל (בשונה מהמתחם לו עתרה ההגנה בתיק שלפנינו). </w:t>
      </w:r>
    </w:p>
    <w:p w14:paraId="71CF7868" w14:textId="77777777" w:rsidR="00E90E34" w:rsidRDefault="00E90E34" w:rsidP="003F2D92">
      <w:pPr>
        <w:pStyle w:val="af0"/>
        <w:numPr>
          <w:ilvl w:val="0"/>
          <w:numId w:val="12"/>
        </w:numPr>
        <w:spacing w:after="0"/>
        <w:ind w:left="-58" w:hanging="283"/>
      </w:pPr>
      <w:r w:rsidRPr="00C23220">
        <w:rPr>
          <w:noProof/>
          <w:rtl/>
        </w:rPr>
        <w:t xml:space="preserve">בכל הנוגע למתחמי הענישה שאכן תחילתם במאסר מותנה, הרי </w:t>
      </w:r>
      <w:r w:rsidRPr="0080179A">
        <w:rPr>
          <w:noProof/>
          <w:u w:val="single"/>
          <w:rtl/>
        </w:rPr>
        <w:t>שב</w:t>
      </w:r>
      <w:hyperlink r:id="rId40" w:history="1">
        <w:r w:rsidR="000A79C0" w:rsidRPr="000A79C0">
          <w:rPr>
            <w:noProof/>
            <w:color w:val="0000FF"/>
            <w:u w:val="single"/>
            <w:rtl/>
          </w:rPr>
          <w:t>ת"פ (אי') 72806-02-19</w:t>
        </w:r>
      </w:hyperlink>
      <w:r w:rsidRPr="00C23220">
        <w:rPr>
          <w:noProof/>
          <w:rtl/>
        </w:rPr>
        <w:t xml:space="preserve"> </w:t>
      </w:r>
      <w:r w:rsidRPr="0080179A">
        <w:rPr>
          <w:b/>
          <w:bCs/>
          <w:noProof/>
          <w:rtl/>
        </w:rPr>
        <w:t xml:space="preserve">מדינת ישראל נ' דניאל טובול </w:t>
      </w:r>
      <w:r w:rsidRPr="00C23220">
        <w:rPr>
          <w:noProof/>
          <w:rtl/>
        </w:rPr>
        <w:t xml:space="preserve">[פורסם בנבו] (23.12.2021), החזיק הנאשם ב- 253 גר' סם מסוג קנבוס. הנאשם הודה במסגרת הסדר טיעון והמאשימה הגבילה את עתירתה העונשית ל- 4 חודשים מאסר שיכול וירוצו בעבודות שירות. בית המשפט קבע כי על מתחם העונש ההולם לנוע בין מאסר מותנה לבין כמה חודשים מאסר שיכול וירוצו בעבודות שירות, ומצא להשית על הנאשם ענישה בדמות צו של"צ בהיקף של 300 שעות בשל נסיבותיו האישיות הייחודיות, ובכלל זה היותו סטודנט </w:t>
      </w:r>
      <w:r w:rsidRPr="00C23220">
        <w:rPr>
          <w:rtl/>
        </w:rPr>
        <w:t xml:space="preserve">בשנה השנייה ללימודי הנדסת תעשיה וניהול; היותו משולב בשוק העבודה והתעסוקה במקביל ללימודיו; שאיפתו להשתלב בעתיד בתעסוקה כמהנדס ואף במתקנים ביטחוניים; היותו של עולם הסמים זר לו; בדיקות השתן שמסר שנמצאו נקיות משרידי סם; והמלצתו החיובית של שירות המבחן להימנע מהרשעתו; </w:t>
      </w:r>
      <w:r w:rsidRPr="0080179A">
        <w:rPr>
          <w:u w:val="single"/>
          <w:rtl/>
        </w:rPr>
        <w:t>וב</w:t>
      </w:r>
      <w:hyperlink r:id="rId41" w:history="1">
        <w:r w:rsidR="000A79C0" w:rsidRPr="000A79C0">
          <w:rPr>
            <w:color w:val="0000FF"/>
            <w:u w:val="single"/>
            <w:rtl/>
          </w:rPr>
          <w:t>עפ"ג (מחוזי –ב"ש) 7373-03-20</w:t>
        </w:r>
      </w:hyperlink>
      <w:r w:rsidRPr="0080179A">
        <w:rPr>
          <w:u w:val="single"/>
          <w:rtl/>
        </w:rPr>
        <w:t>23</w:t>
      </w:r>
      <w:r w:rsidRPr="0080179A">
        <w:rPr>
          <w:b/>
          <w:bCs/>
          <w:u w:val="single"/>
          <w:rtl/>
        </w:rPr>
        <w:t xml:space="preserve"> </w:t>
      </w:r>
      <w:r w:rsidRPr="0080179A">
        <w:rPr>
          <w:b/>
          <w:bCs/>
          <w:rtl/>
        </w:rPr>
        <w:t xml:space="preserve">גורליק נ' מדינת ישראל </w:t>
      </w:r>
      <w:r w:rsidRPr="00C23220">
        <w:rPr>
          <w:rtl/>
        </w:rPr>
        <w:t>[לא פורסם במאגרים המשפטיים] (03.05.2023), שם גידל הנאשם 3 שתילים מסוג קנבוס במשקל של  260 גר' והחזיק סם מסוג קנבוס במשקל של 20.86 גר', בית משפט השלום קבע כי על מתחם העונש ההולם לנוע בין מאסר מותנה לבין 8 חודשים מאסר בפועל, והשית על הנאשם עונש בדמות חודשיים מאסר שיכול שירוצו בעבודות שירות. ויוער כי הערעור שהוגש על ידי הנאשם התקבל, ותחת המאסר לריצוי בעבודות שירות, הושת על הנאשם עונש בדמות  200 שעות של"צ, תוך שבית המשפט הדגיש את נסיבותיו החריגות של הנאשם כפי שאלה הובאו בתסקיר שירות המבחן ושבגינן נמצא כי יש לבכר בעניינו את שיקולי השיקום. הנה כי כן, מעבר לעובדה כי המדובר בעבירות שאינן זהות לאלו שבעניינו, הרי שפסיקה זו, מלמדת, כי בהינתן צבר של נסיבות חריגות, יכול ובתי המשפט יקבעו מתחמי ענישה שתחילתם במאסר מותנה ויבכרו את שיקולי השיקום אף במקרים חמורים מאלו שלפנינו.</w:t>
      </w:r>
    </w:p>
    <w:p w14:paraId="3F4B10C3" w14:textId="77777777" w:rsidR="00E90E34" w:rsidRDefault="00E90E34" w:rsidP="003F2D92">
      <w:pPr>
        <w:pStyle w:val="af0"/>
        <w:numPr>
          <w:ilvl w:val="0"/>
          <w:numId w:val="12"/>
        </w:numPr>
        <w:spacing w:after="0"/>
        <w:ind w:left="-58" w:hanging="283"/>
      </w:pPr>
      <w:r w:rsidRPr="00C23220">
        <w:rPr>
          <w:rtl/>
        </w:rPr>
        <w:t xml:space="preserve">כפי שנאמר זה מכבר , </w:t>
      </w:r>
      <w:r w:rsidRPr="0080179A">
        <w:rPr>
          <w:b/>
          <w:bCs/>
          <w:rtl/>
        </w:rPr>
        <w:t>בדרך כלל,</w:t>
      </w:r>
      <w:r w:rsidRPr="00C23220">
        <w:rPr>
          <w:rtl/>
        </w:rPr>
        <w:t xml:space="preserve"> בעניינים דומים לזה שלפנינו נקבע מתחם עונש ראוי הנע בין </w:t>
      </w:r>
      <w:r w:rsidRPr="0080179A">
        <w:rPr>
          <w:b/>
          <w:bCs/>
          <w:rtl/>
        </w:rPr>
        <w:t>כמה חודשים מאסר שיכול להיות מרוצה בעבודות שירות ועד לתקופה ארוכה יותר המרוצה מאחורי סורג ובריח</w:t>
      </w:r>
      <w:r w:rsidRPr="00C23220">
        <w:rPr>
          <w:rtl/>
        </w:rPr>
        <w:t xml:space="preserve">. ואולם,  חשוב להדגיש, נהיר לבית המשפט כי יכול וימצאו חריגים שבהם יקבע מתחם עונש הולם שתחילתו במאסר מותנה. ברוח זו, ברי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80179A">
        <w:rPr>
          <w:b/>
          <w:bCs/>
          <w:rtl/>
        </w:rPr>
        <w:t>ו"אין עסקינן בשיטת ניקוד, או באריתמטיקה. ענישה היא מלאכת מחשבת – ולא מלאכת מחשב"</w:t>
      </w:r>
      <w:r w:rsidRPr="00C23220">
        <w:rPr>
          <w:rtl/>
        </w:rPr>
        <w:t xml:space="preserve"> (ראו לעניין זה, </w:t>
      </w:r>
      <w:hyperlink r:id="rId42" w:history="1">
        <w:r w:rsidR="000A79C0" w:rsidRPr="000A79C0">
          <w:rPr>
            <w:color w:val="0000FF"/>
            <w:u w:val="single"/>
            <w:rtl/>
          </w:rPr>
          <w:t>ע"פ 5768/10</w:t>
        </w:r>
      </w:hyperlink>
      <w:r w:rsidRPr="00C23220">
        <w:rPr>
          <w:rtl/>
        </w:rPr>
        <w:t xml:space="preserve"> </w:t>
      </w:r>
      <w:r w:rsidRPr="0080179A">
        <w:rPr>
          <w:b/>
          <w:bCs/>
          <w:rtl/>
        </w:rPr>
        <w:t>פלוני נ' מדינת ישראל</w:t>
      </w:r>
      <w:r w:rsidRPr="00C23220">
        <w:rPr>
          <w:rtl/>
        </w:rPr>
        <w:t xml:space="preserve">, </w:t>
      </w:r>
      <w:r w:rsidRPr="0080179A">
        <w:rPr>
          <w:shd w:val="clear" w:color="auto" w:fill="FAFAFA"/>
          <w:rtl/>
        </w:rPr>
        <w:t>[פורסם בנבו] (</w:t>
      </w:r>
      <w:r w:rsidRPr="00C23220">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43" w:history="1">
        <w:r w:rsidR="000A79C0" w:rsidRPr="000A79C0">
          <w:rPr>
            <w:color w:val="0000FF"/>
            <w:u w:val="single"/>
            <w:rtl/>
          </w:rPr>
          <w:t>ע"פ 433/89</w:t>
        </w:r>
      </w:hyperlink>
      <w:r w:rsidRPr="00C23220">
        <w:rPr>
          <w:rtl/>
        </w:rPr>
        <w:t xml:space="preserve"> </w:t>
      </w:r>
      <w:r w:rsidRPr="0080179A">
        <w:rPr>
          <w:b/>
          <w:bCs/>
          <w:rtl/>
        </w:rPr>
        <w:t>ג'ורג' אטיאס נ' מדינת ישראל</w:t>
      </w:r>
      <w:r w:rsidRPr="00C23220">
        <w:rPr>
          <w:rtl/>
        </w:rPr>
        <w:t xml:space="preserve">, פ"ד מג(4) 170, (1989); </w:t>
      </w:r>
      <w:r w:rsidRPr="0080179A">
        <w:rPr>
          <w:u w:val="single"/>
          <w:rtl/>
        </w:rPr>
        <w:t>ו</w:t>
      </w:r>
      <w:hyperlink r:id="rId44" w:history="1">
        <w:r w:rsidR="000A79C0" w:rsidRPr="000A79C0">
          <w:rPr>
            <w:color w:val="0000FF"/>
            <w:u w:val="single"/>
            <w:rtl/>
          </w:rPr>
          <w:t>רע"פ 3173/09</w:t>
        </w:r>
      </w:hyperlink>
      <w:r w:rsidRPr="00C23220">
        <w:rPr>
          <w:rtl/>
        </w:rPr>
        <w:t xml:space="preserve"> </w:t>
      </w:r>
      <w:r w:rsidRPr="0080179A">
        <w:rPr>
          <w:b/>
          <w:bCs/>
          <w:rtl/>
        </w:rPr>
        <w:t>פראגין נ' מדינת ישראל</w:t>
      </w:r>
      <w:r w:rsidRPr="00C23220">
        <w:rPr>
          <w:rtl/>
        </w:rPr>
        <w:t xml:space="preserve">, </w:t>
      </w:r>
      <w:r w:rsidRPr="0080179A">
        <w:rPr>
          <w:shd w:val="clear" w:color="auto" w:fill="FAFAFA"/>
          <w:rtl/>
        </w:rPr>
        <w:t>[פורסם בנבו] (</w:t>
      </w:r>
      <w:r w:rsidRPr="00C23220">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5" w:history="1">
        <w:r w:rsidR="000A79C0" w:rsidRPr="000A79C0">
          <w:rPr>
            <w:color w:val="0000FF"/>
            <w:u w:val="single"/>
            <w:rtl/>
          </w:rPr>
          <w:t>ע"פ 1903/13</w:t>
        </w:r>
      </w:hyperlink>
      <w:r w:rsidRPr="00C23220">
        <w:rPr>
          <w:rtl/>
        </w:rPr>
        <w:t xml:space="preserve"> </w:t>
      </w:r>
      <w:r w:rsidRPr="0080179A">
        <w:rPr>
          <w:b/>
          <w:bCs/>
          <w:rtl/>
        </w:rPr>
        <w:t>חמודה עיאשה נ' מדינת ישראל</w:t>
      </w:r>
      <w:r w:rsidRPr="00C23220">
        <w:rPr>
          <w:rtl/>
        </w:rPr>
        <w:t xml:space="preserve">, </w:t>
      </w:r>
      <w:r w:rsidRPr="0080179A">
        <w:rPr>
          <w:shd w:val="clear" w:color="auto" w:fill="FAFAFA"/>
          <w:rtl/>
        </w:rPr>
        <w:t>[פורסם בנבו] (</w:t>
      </w:r>
      <w:r w:rsidRPr="00C23220">
        <w:rPr>
          <w:rtl/>
        </w:rPr>
        <w:t>25.06.2013)).</w:t>
      </w:r>
    </w:p>
    <w:p w14:paraId="3DCEE0BB" w14:textId="77777777" w:rsidR="00E90E34" w:rsidRPr="0080179A" w:rsidRDefault="00E90E34" w:rsidP="003F2D92">
      <w:pPr>
        <w:pStyle w:val="af0"/>
        <w:numPr>
          <w:ilvl w:val="0"/>
          <w:numId w:val="12"/>
        </w:numPr>
        <w:spacing w:after="0"/>
        <w:ind w:left="-58" w:hanging="283"/>
      </w:pPr>
      <w:r w:rsidRPr="00C23220">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ובשים לב לסוגם של הסמים, כמותם ונסיבות החזקתם, הריני לקבוע כי </w:t>
      </w:r>
      <w:r w:rsidRPr="0080179A">
        <w:rPr>
          <w:b/>
          <w:bCs/>
          <w:rtl/>
        </w:rPr>
        <w:t>על מתחם העונש ההולם במקרה הנדון לנוע בין מאסר קצר (שניתן לרצותו בעבודות שירות) לבין 12 חודשים מאסר בפועל.</w:t>
      </w:r>
    </w:p>
    <w:p w14:paraId="4490423F" w14:textId="77777777" w:rsidR="00E90E34" w:rsidRDefault="00E90E34" w:rsidP="003F2D92">
      <w:pPr>
        <w:spacing w:line="360" w:lineRule="auto"/>
        <w:ind w:left="-341"/>
        <w:rPr>
          <w:rtl/>
        </w:rPr>
      </w:pPr>
    </w:p>
    <w:p w14:paraId="6D4A3C55" w14:textId="77777777" w:rsidR="00E90E34" w:rsidRDefault="00E90E34" w:rsidP="003F2D92">
      <w:pPr>
        <w:spacing w:line="360" w:lineRule="auto"/>
        <w:ind w:left="-341"/>
        <w:rPr>
          <w:rtl/>
        </w:rPr>
      </w:pPr>
    </w:p>
    <w:p w14:paraId="53F973BA" w14:textId="77777777" w:rsidR="00E90E34" w:rsidRDefault="00E90E34" w:rsidP="003F2D92">
      <w:pPr>
        <w:spacing w:line="360" w:lineRule="auto"/>
        <w:ind w:left="-341"/>
        <w:rPr>
          <w:rtl/>
        </w:rPr>
      </w:pPr>
    </w:p>
    <w:p w14:paraId="23D9814F" w14:textId="77777777" w:rsidR="00E90E34" w:rsidRDefault="00E90E34" w:rsidP="003F2D92">
      <w:pPr>
        <w:spacing w:line="360" w:lineRule="auto"/>
        <w:ind w:left="-341"/>
        <w:rPr>
          <w:rtl/>
        </w:rPr>
      </w:pPr>
    </w:p>
    <w:p w14:paraId="6A428C43" w14:textId="77777777" w:rsidR="00E90E34" w:rsidRDefault="00E90E34" w:rsidP="003F2D92">
      <w:pPr>
        <w:spacing w:line="360" w:lineRule="auto"/>
        <w:ind w:left="-341"/>
        <w:rPr>
          <w:rtl/>
        </w:rPr>
      </w:pPr>
    </w:p>
    <w:p w14:paraId="160BDB02" w14:textId="77777777" w:rsidR="00E90E34" w:rsidRPr="00C23220" w:rsidRDefault="00E90E34" w:rsidP="003F2D92">
      <w:pPr>
        <w:keepNext/>
        <w:keepLines/>
        <w:tabs>
          <w:tab w:val="right" w:pos="7371"/>
        </w:tabs>
        <w:spacing w:line="360" w:lineRule="auto"/>
        <w:ind w:right="-625"/>
        <w:jc w:val="center"/>
        <w:outlineLvl w:val="0"/>
        <w:rPr>
          <w:rFonts w:ascii="David" w:hAnsi="David"/>
          <w:b/>
          <w:bCs/>
          <w:sz w:val="32"/>
          <w:szCs w:val="32"/>
          <w:u w:val="single"/>
        </w:rPr>
      </w:pPr>
      <w:r w:rsidRPr="00C23220">
        <w:rPr>
          <w:rFonts w:ascii="David" w:hAnsi="David"/>
          <w:b/>
          <w:bCs/>
          <w:sz w:val="32"/>
          <w:szCs w:val="32"/>
          <w:u w:val="single"/>
          <w:rtl/>
        </w:rPr>
        <w:t>גזירת הדין</w:t>
      </w:r>
    </w:p>
    <w:p w14:paraId="5FDD8815" w14:textId="77777777" w:rsidR="00E90E34" w:rsidRPr="00C23220" w:rsidRDefault="00E90E34" w:rsidP="003F2D92">
      <w:pPr>
        <w:keepNext/>
        <w:keepLines/>
        <w:spacing w:line="360" w:lineRule="auto"/>
        <w:ind w:left="559" w:hanging="559"/>
        <w:outlineLvl w:val="0"/>
        <w:rPr>
          <w:rFonts w:ascii="David" w:hAnsi="David"/>
          <w:b/>
          <w:bCs/>
          <w:sz w:val="28"/>
          <w:szCs w:val="28"/>
          <w:u w:val="single"/>
          <w:rtl/>
        </w:rPr>
      </w:pPr>
      <w:r w:rsidRPr="00C23220">
        <w:rPr>
          <w:rFonts w:ascii="David" w:hAnsi="David"/>
          <w:b/>
          <w:bCs/>
          <w:sz w:val="28"/>
          <w:szCs w:val="28"/>
          <w:rtl/>
        </w:rPr>
        <w:t>ה.</w:t>
      </w:r>
      <w:r w:rsidRPr="00C23220">
        <w:rPr>
          <w:rFonts w:ascii="David" w:hAnsi="David"/>
          <w:sz w:val="28"/>
          <w:szCs w:val="28"/>
          <w:rtl/>
        </w:rPr>
        <w:t xml:space="preserve"> </w:t>
      </w:r>
      <w:r w:rsidRPr="00C23220">
        <w:rPr>
          <w:rFonts w:ascii="David" w:hAnsi="David"/>
          <w:b/>
          <w:bCs/>
          <w:sz w:val="28"/>
          <w:szCs w:val="28"/>
          <w:u w:val="single"/>
          <w:rtl/>
        </w:rPr>
        <w:t>גזירת העונש המתאים לנאשם</w:t>
      </w:r>
    </w:p>
    <w:p w14:paraId="50BA7BD9" w14:textId="77777777" w:rsidR="00E90E34" w:rsidRDefault="00E90E34" w:rsidP="003F2D92">
      <w:pPr>
        <w:pStyle w:val="af0"/>
        <w:numPr>
          <w:ilvl w:val="0"/>
          <w:numId w:val="12"/>
        </w:numPr>
        <w:spacing w:after="0"/>
        <w:ind w:left="-58" w:hanging="283"/>
      </w:pPr>
      <w:r w:rsidRPr="00C23220">
        <w:rPr>
          <w:rtl/>
        </w:rPr>
        <w:t xml:space="preserve">כעת נותר לגזור את עונשו של הנאשם, ולצורך כך, כמצוות המחוקק </w:t>
      </w:r>
      <w:hyperlink r:id="rId46" w:history="1">
        <w:r w:rsidR="00B15847" w:rsidRPr="00B15847">
          <w:rPr>
            <w:rStyle w:val="Hyperlink"/>
            <w:rtl/>
          </w:rPr>
          <w:t>בסעיף 40יא</w:t>
        </w:r>
      </w:hyperlink>
      <w:r w:rsidRPr="00C23220">
        <w:rPr>
          <w:rtl/>
        </w:rPr>
        <w:t xml:space="preserve"> ל</w:t>
      </w:r>
      <w:hyperlink r:id="rId47" w:history="1">
        <w:r w:rsidR="000A79C0" w:rsidRPr="000A79C0">
          <w:rPr>
            <w:color w:val="0000FF"/>
            <w:u w:val="single"/>
            <w:rtl/>
          </w:rPr>
          <w:t>חוק העונשין</w:t>
        </w:r>
      </w:hyperlink>
      <w:r w:rsidRPr="00C23220">
        <w:rPr>
          <w:rtl/>
        </w:rPr>
        <w:t xml:space="preserve">, יש להתחשב בנסיבות שאינן קשורות בביצוע העבירה. </w:t>
      </w:r>
    </w:p>
    <w:p w14:paraId="1D2E1517" w14:textId="77777777" w:rsidR="00E90E34" w:rsidRDefault="00E90E34" w:rsidP="003F2D92">
      <w:pPr>
        <w:pStyle w:val="af0"/>
        <w:numPr>
          <w:ilvl w:val="0"/>
          <w:numId w:val="12"/>
        </w:numPr>
        <w:spacing w:after="0"/>
        <w:ind w:left="-58" w:hanging="283"/>
      </w:pPr>
      <w:r w:rsidRPr="0080179A">
        <w:rPr>
          <w:rtl/>
        </w:rPr>
        <w:t xml:space="preserve">בעניין זה, בראש ובראשונה נתתי דעתי </w:t>
      </w:r>
      <w:r w:rsidRPr="0080179A">
        <w:rPr>
          <w:b/>
          <w:bCs/>
          <w:rtl/>
        </w:rPr>
        <w:t xml:space="preserve">לעברו הפלילי </w:t>
      </w:r>
      <w:r w:rsidRPr="0080179A">
        <w:rPr>
          <w:rtl/>
        </w:rPr>
        <w:t>של הנאשם (</w:t>
      </w:r>
      <w:r w:rsidRPr="0080179A">
        <w:rPr>
          <w:b/>
          <w:bCs/>
          <w:rtl/>
        </w:rPr>
        <w:t>ת/2</w:t>
      </w:r>
      <w:r w:rsidRPr="0080179A">
        <w:rPr>
          <w:rtl/>
        </w:rPr>
        <w:t xml:space="preserve">), הכולל 4 הרשעות קודמות בין השנים 2017-2008, כששלוש מתוכן התיישנו אך לא נמחקו (כשההרשעה משנת 2008 הינה מבית המשפט לנוער ואילו ההרשעה משנת 2009 הינה מבית דין צבאי) בעבירות של חבלה במזיד ברכב, נהיגה פוחזת של רכב, הפרעה לשוטר במילוי תפקידו, שבל"ר ונטישה במקום אחר; העדר מן השירות; החזקת נכס חשוד כגנוב; סיוע למוכר, משכיר, מפיץ טובין לשם מסחר, ומחזיק טובין מפרים לשם מסחר – בגינן הושתו על הנאשם עונשים מגוונים בדמות מאסר בפועל, מאסרים מותנים, קנס, התחייבות, פסילת רישיון נהיגה בפועל ומותנית. כמו כן, נתתי דעתי </w:t>
      </w:r>
      <w:r w:rsidRPr="0080179A">
        <w:rPr>
          <w:b/>
          <w:bCs/>
          <w:rtl/>
        </w:rPr>
        <w:t>לעברו התעבורתי</w:t>
      </w:r>
      <w:r w:rsidRPr="0080179A">
        <w:rPr>
          <w:rtl/>
        </w:rPr>
        <w:t xml:space="preserve"> של הנאשם (</w:t>
      </w:r>
      <w:r w:rsidRPr="0080179A">
        <w:rPr>
          <w:b/>
          <w:bCs/>
          <w:rtl/>
        </w:rPr>
        <w:t>ת/3</w:t>
      </w:r>
      <w:r w:rsidRPr="0080179A">
        <w:rPr>
          <w:rtl/>
        </w:rPr>
        <w:t xml:space="preserve">), הכולל הרשעה משנת 2021 בעבירה של נהיגה תחת השפעת סמים בגינה הושתו על הנאשם עונשים בדמות קנס ופסילת רישיון נהיגה בפועל.  </w:t>
      </w:r>
    </w:p>
    <w:p w14:paraId="0BEBE45B" w14:textId="77777777" w:rsidR="00E90E34" w:rsidRDefault="00E90E34" w:rsidP="003F2D92">
      <w:pPr>
        <w:pStyle w:val="af0"/>
        <w:numPr>
          <w:ilvl w:val="0"/>
          <w:numId w:val="12"/>
        </w:numPr>
        <w:spacing w:after="0"/>
        <w:ind w:left="-58" w:hanging="283"/>
      </w:pPr>
      <w:r w:rsidRPr="0080179A">
        <w:rPr>
          <w:rtl/>
        </w:rPr>
        <w:t xml:space="preserve">כן נתתי דעתי לפגיעה שעלולה להיגרם לנאשם ככל ויושת עליו עונש מאסר, וזאת בשים לב לפגיעה הכלכלית הטמונה בכך ומבלי להתעלם מכך כי הלה הספיק לרצות עונש מאסר בעברו. </w:t>
      </w:r>
    </w:p>
    <w:p w14:paraId="73A43818" w14:textId="77777777" w:rsidR="00E90E34" w:rsidRDefault="00E90E34" w:rsidP="003F2D92">
      <w:pPr>
        <w:pStyle w:val="af0"/>
        <w:numPr>
          <w:ilvl w:val="0"/>
          <w:numId w:val="12"/>
        </w:numPr>
        <w:spacing w:after="0"/>
        <w:ind w:left="-58" w:hanging="283"/>
      </w:pPr>
      <w:r w:rsidRPr="0080179A">
        <w:rPr>
          <w:rtl/>
        </w:rPr>
        <w:t>בנוסף לאלה, בית המשפט זוקף לזכותו של הנאשם את העובדה שהוא הביע חרטה על מעשיו והודה במיוחס לו, מה שהביא לחיסכון בזמן שיפוטי יקר ואף ייתר את הצורך בשמיעת העדים. ודוק, התרשמתי באופן בלתי אמצעי מדבריו של הנאשם בשלב הטיעונים לעונש ושוכנעתי כי במקרה הנדון אין המדובר בקבלת אחריות מהשפה אל החוץ בלבד, כי אם בהכאה על חטא וצער וחרטה על המעשים.</w:t>
      </w:r>
    </w:p>
    <w:p w14:paraId="7E08E408" w14:textId="77777777" w:rsidR="00E90E34" w:rsidRDefault="00E90E34" w:rsidP="003F2D92">
      <w:pPr>
        <w:pStyle w:val="af0"/>
        <w:numPr>
          <w:ilvl w:val="0"/>
          <w:numId w:val="12"/>
        </w:numPr>
        <w:spacing w:after="0"/>
        <w:ind w:left="-58" w:hanging="283"/>
      </w:pPr>
      <w:r w:rsidRPr="0080179A">
        <w:rPr>
          <w:rtl/>
        </w:rPr>
        <w:t xml:space="preserve">כן נתתי דעתי לנסיבותיו האישיות של הנאשם כפי שפורטו בתסקירי שירות המבחן ועל ידי בא כוח הנאשם במעמד הטיעונים לעונש. </w:t>
      </w:r>
    </w:p>
    <w:p w14:paraId="3620F5BA" w14:textId="77777777" w:rsidR="00E90E34" w:rsidRDefault="00E90E34" w:rsidP="003F2D92">
      <w:pPr>
        <w:pStyle w:val="af0"/>
        <w:numPr>
          <w:ilvl w:val="0"/>
          <w:numId w:val="12"/>
        </w:numPr>
        <w:spacing w:after="0"/>
        <w:ind w:left="-58" w:hanging="283"/>
      </w:pPr>
      <w:r w:rsidRPr="0080179A">
        <w:rPr>
          <w:rtl/>
        </w:rPr>
        <w:t xml:space="preserve">כל אלה, על פניו, היו צריכים להביא את בית המשפט למסקנה כי יש לגזור את עונשו של הנאשם ברף הנמוך של מתחם העונש ההולם שנקבע על ידי. אולם, בשים לב לאמור </w:t>
      </w:r>
      <w:hyperlink r:id="rId48" w:history="1">
        <w:r w:rsidR="00B15847" w:rsidRPr="00B15847">
          <w:rPr>
            <w:rStyle w:val="Hyperlink"/>
            <w:rtl/>
          </w:rPr>
          <w:t>בסעיף 40ד(א)</w:t>
        </w:r>
      </w:hyperlink>
      <w:r w:rsidRPr="0080179A">
        <w:rPr>
          <w:rtl/>
        </w:rPr>
        <w:t xml:space="preserve"> </w:t>
      </w:r>
      <w:r w:rsidRPr="0080179A">
        <w:rPr>
          <w:u w:val="single"/>
          <w:rtl/>
        </w:rPr>
        <w:t>ל</w:t>
      </w:r>
      <w:hyperlink r:id="rId49" w:history="1">
        <w:r w:rsidR="000A79C0" w:rsidRPr="000A79C0">
          <w:rPr>
            <w:color w:val="0000FF"/>
            <w:u w:val="single"/>
            <w:rtl/>
          </w:rPr>
          <w:t>חוק העונשין</w:t>
        </w:r>
      </w:hyperlink>
      <w:r w:rsidRPr="0080179A">
        <w:rPr>
          <w:u w:val="single"/>
          <w:rtl/>
        </w:rPr>
        <w:t xml:space="preserve">, </w:t>
      </w:r>
      <w:r w:rsidRPr="0080179A">
        <w:rPr>
          <w:rtl/>
        </w:rPr>
        <w:t xml:space="preserve">שוכנעתי כי יש מקום במקרה הנדון לסטות לקולה מהמתחם האמור משיקולי שיקום, וזאת לנוכח העובדה שהעבירה שבמוקד כתב האישום המתוקן בוצעה לפני למעלה משנתיים וחצי, כשאת מירב המשקל בנקודה זו יש להעניק לא לאותה ספירת זמן "טכנית" – אלא לכך שבפרק הזמן שחלף מאז, הנאשם נמנע מלהסתבך עוד בפלילים וחדל לעשות שימוש בסמים.  </w:t>
      </w:r>
    </w:p>
    <w:p w14:paraId="297FACED" w14:textId="77777777" w:rsidR="00E90E34" w:rsidRDefault="00E90E34" w:rsidP="003F2D92">
      <w:pPr>
        <w:pStyle w:val="af0"/>
        <w:numPr>
          <w:ilvl w:val="0"/>
          <w:numId w:val="12"/>
        </w:numPr>
        <w:spacing w:after="0"/>
        <w:ind w:left="-58" w:hanging="283"/>
      </w:pPr>
      <w:r w:rsidRPr="00C23220">
        <w:rPr>
          <w:rtl/>
        </w:rPr>
        <w:t xml:space="preserve">למסקנתי האמורה אף הגעתי מבלי שהתעלמתי מהאמור </w:t>
      </w:r>
      <w:r w:rsidRPr="0080179A">
        <w:rPr>
          <w:b/>
          <w:bCs/>
          <w:rtl/>
        </w:rPr>
        <w:t>בתסקירי שירות המבחן שהוגשו בעניינו של הנאשם</w:t>
      </w:r>
      <w:r w:rsidRPr="00C23220">
        <w:rPr>
          <w:rtl/>
        </w:rPr>
        <w:t xml:space="preserve">. כך, כעולה מתסקיר שירות המבחן שהוגש בעניינו של הנאשם ביום 05.12.2022, התרשם שירות המבחן כי הנאשם הינו בעל יכולות וורבליות תקינות, בעל דפוסי חשיבה נוקשים וקשיים ניכרים בביטוי רגשי, המתפקד באופן תקין בדרך כלל בתחומי חייו השונים, העובד ומשקיע בפרנסת משפחתו, תוך שמעסיקו מביע שביעות רצון מתפקודו. לצד זאת ציין השירות כי במהלך האבחון, הנאשם התקשה לענות על השאלות שנשאל באשר לאירוע העבירה באופן מעמיק ומורחב, ביטא אי שביעות רצון להשיב על השאלות שנשאל והקשה על מלאכת האבחון בעניינו. עוד עלה מהתסקיר כי הנאשם לא הגיע לבדיקת השתן לאיתור שרידי סם שאליה זומן וכי בכל הנוגע לנזקקות הטיפולית הלה שלל קשיים בחייו ושלל נזקקות לטיפול בתחום הסמים או בכל תחום אחר. בסופו של יום, ולאור ההתרשמות, לפיה ההליכים המשפטיים בעניינו של הנאשם מהווים גורם מרתיע עבורו וכי הלה חרד מתוצאות ההליך המשפטי, וכי ברוב תחומי חייו הנאשם מנהל אורח חיים תקין לצד גורמי הסיכון הקמים בעניינו ובכלל זה אופי העבירה וחומרתה; מעורבותו הקודמת בפלילים; התייחסותו המצומצמת על אודות התנהלותו בעבירה שבמוקד כתב האישום; וההתרשמות, לפיה בתקופת ביצוע העבירה הנאשם השתמש בסמים וחלה התרופפות בגבולותיו הפנימיים – עתר השירות לדחייה על מנת לאפשר לנאשם לערוך בדיקת שתן נוספת ולבחון היתכנות שילובו במערך העבודות לתועלת הציבור. </w:t>
      </w:r>
    </w:p>
    <w:p w14:paraId="2219B719" w14:textId="77777777" w:rsidR="00E90E34" w:rsidRPr="0080179A" w:rsidRDefault="00E90E34" w:rsidP="003F2D92">
      <w:pPr>
        <w:pStyle w:val="af0"/>
        <w:numPr>
          <w:ilvl w:val="0"/>
          <w:numId w:val="12"/>
        </w:numPr>
        <w:spacing w:after="0"/>
        <w:ind w:left="-58" w:hanging="283"/>
      </w:pPr>
      <w:r w:rsidRPr="00C23220">
        <w:rPr>
          <w:rtl/>
        </w:rPr>
        <w:t xml:space="preserve">וכך, כעולה מתסקיר שירות המבחן שהוגש בעניינו של הנאשם ביום 02.01.2023, ציין שירות המבחן כי במהלך הדחייה </w:t>
      </w:r>
      <w:r w:rsidRPr="0080179A">
        <w:rPr>
          <w:b/>
          <w:bCs/>
          <w:rtl/>
        </w:rPr>
        <w:t>הנאשם ביצע בדיקת שתן לכל סוגי הסמים שנמצאה נקייה משרידי סם.</w:t>
      </w:r>
      <w:r w:rsidRPr="00C23220">
        <w:rPr>
          <w:rtl/>
        </w:rPr>
        <w:t xml:space="preserve"> לאור ההתרשמות, לפיה </w:t>
      </w:r>
      <w:r w:rsidRPr="0080179A">
        <w:rPr>
          <w:b/>
          <w:bCs/>
          <w:rtl/>
        </w:rPr>
        <w:t xml:space="preserve">הנאשם מנהל אורח חיים תקין ברוב תחומי חייו המליץ השירות על ענישה בדמות 100 שעות של"צ בהיותה מחד גיסא, ענישה המציבה גבולות ומאידך גיסא, תאפשר לנאשם המשך תפקוד תקין בחייו. בנוסף לאלה ציין השירות כי בשל העובדה כי הנאשם שלל קשיים בחייו וכל נזקקות טיפולית הן בתחום הסמים, או בכל תחום אחר, אזי השירות לא בא בהמלצה טיפולית בעניינו. </w:t>
      </w:r>
    </w:p>
    <w:p w14:paraId="4F91F9FF" w14:textId="77777777" w:rsidR="00E90E34" w:rsidRDefault="00E90E34" w:rsidP="003F2D92">
      <w:pPr>
        <w:pStyle w:val="af0"/>
        <w:numPr>
          <w:ilvl w:val="0"/>
          <w:numId w:val="12"/>
        </w:numPr>
        <w:spacing w:after="0"/>
        <w:ind w:left="-58" w:hanging="283"/>
      </w:pPr>
      <w:r w:rsidRPr="00C23220">
        <w:rPr>
          <w:rtl/>
        </w:rPr>
        <w:t>הנה כי כן, עסקינן בנאשם, שהינו אזרח יצרני המשולב בשוק העבודה והתעסוקה כמתקין מערכות מדיה כשלהערכת מעסיקו הלה הינו אמין, ישר, אחראי ומסודר ובעל תודעת שירות גבוהה (</w:t>
      </w:r>
      <w:r w:rsidRPr="0080179A">
        <w:rPr>
          <w:b/>
          <w:bCs/>
          <w:rtl/>
        </w:rPr>
        <w:t>נ/1)</w:t>
      </w:r>
      <w:r w:rsidRPr="00C23220">
        <w:rPr>
          <w:rtl/>
        </w:rPr>
        <w:t xml:space="preserve">, וכי מאז שביצע את העבירה שבגינה הוא נותן את הדין כעת, היטיב את דרכיו ונמנע מלשוב ולבצע עבירות נוספות תוך שבדיקת השתן שמסר נמצאה נקייה משרידי סם. </w:t>
      </w:r>
    </w:p>
    <w:p w14:paraId="2E308328" w14:textId="77777777" w:rsidR="00E90E34" w:rsidRDefault="00E90E34" w:rsidP="003F2D92">
      <w:pPr>
        <w:pStyle w:val="af0"/>
        <w:numPr>
          <w:ilvl w:val="0"/>
          <w:numId w:val="12"/>
        </w:numPr>
        <w:spacing w:after="0"/>
        <w:ind w:left="-58" w:hanging="283"/>
      </w:pPr>
      <w:r w:rsidRPr="00C23220">
        <w:rPr>
          <w:rtl/>
        </w:rPr>
        <w:t xml:space="preserve">יוצא אפוא, כי עסקינן בנאשם שעבר שינוי משמעותי בחייו, מאדם המוצא פתרונות למצוקותיו השונות בסמים – לאדם שאינו משתמש עוד בסמים, אדם שומר חוק המנהל את חייו באורח יצרני ומועיל. למעשה, הנאשם שם במרכז חייו את המטרה לנהל אורח חיים נורמטיבי, כשהוא נקי מסמים מזה כשנתיים וחצי ובמשך תקופה לא מבוטלת, הוא פועל ומקדיש ממרצו לשׁם הגשמתה של מטרה זו. והגם אם ייתכן כי עוד צפויה לנאשם דרך עד לשיקומו באופן מלא וסופי, כבר בשלב הזה בהחלט ניתן לומר כי אין עסקינן ב"ניצני שיקום" או בשיקום ראשוני בלבד, אלא שהנאשם עבר זה מכבר כברת דרך ארוכה באופן יחסי, ולדידי, בהחלט ניתן להסיק מהמלצת שירות המבחן כי במצב דברים זה, ועת המדובר במשבר נקודתי על ציר חייו של הנאשם שהובילוהו לביצוע העבירה, הרי שהסיכון להישנות התנהגות עוברת חוק מצדו הוא נמוך ולראייה, שאף השירות לא מצא צורך בהתערבות טיפולית ייעודית בתחום הסמים בעניינו. </w:t>
      </w:r>
    </w:p>
    <w:p w14:paraId="16244F01" w14:textId="77777777" w:rsidR="00E90E34" w:rsidRDefault="00E90E34" w:rsidP="003F2D92">
      <w:pPr>
        <w:pStyle w:val="af0"/>
        <w:numPr>
          <w:ilvl w:val="0"/>
          <w:numId w:val="12"/>
        </w:numPr>
        <w:spacing w:after="0"/>
        <w:ind w:left="-58" w:hanging="283"/>
      </w:pPr>
      <w:r w:rsidRPr="00C23220">
        <w:rPr>
          <w:rtl/>
        </w:rPr>
        <w:t>כמו כן, וחרף הדיפתו של הנאשם כל נזקקות טיפולית, הרי שכידוע,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50" w:history="1">
        <w:r w:rsidR="000A79C0" w:rsidRPr="000A79C0">
          <w:rPr>
            <w:color w:val="0000FF"/>
            <w:u w:val="single"/>
            <w:rtl/>
          </w:rPr>
          <w:t>ע"פ 1903/13</w:t>
        </w:r>
      </w:hyperlink>
      <w:r w:rsidRPr="00C23220">
        <w:rPr>
          <w:rtl/>
        </w:rPr>
        <w:t xml:space="preserve"> </w:t>
      </w:r>
      <w:r w:rsidRPr="0080179A">
        <w:rPr>
          <w:b/>
          <w:bCs/>
          <w:rtl/>
        </w:rPr>
        <w:t>חמודה עיאשה נ' מדינת ישראל</w:t>
      </w:r>
      <w:r w:rsidRPr="00C23220">
        <w:rPr>
          <w:rtl/>
        </w:rPr>
        <w:t xml:space="preserve">, (14.07.2013); </w:t>
      </w:r>
      <w:hyperlink r:id="rId51" w:history="1">
        <w:r w:rsidR="000A79C0" w:rsidRPr="000A79C0">
          <w:rPr>
            <w:color w:val="0000FF"/>
            <w:u w:val="single"/>
            <w:rtl/>
          </w:rPr>
          <w:t>רע"פ 7683/13</w:t>
        </w:r>
      </w:hyperlink>
      <w:r w:rsidRPr="00C23220">
        <w:rPr>
          <w:rtl/>
        </w:rPr>
        <w:t xml:space="preserve"> </w:t>
      </w:r>
      <w:r w:rsidRPr="0080179A">
        <w:rPr>
          <w:b/>
          <w:bCs/>
          <w:rtl/>
        </w:rPr>
        <w:t>דויד פרלמן נ' מדינת ישראל,</w:t>
      </w:r>
      <w:r w:rsidRPr="00C23220">
        <w:rPr>
          <w:rtl/>
        </w:rPr>
        <w:t xml:space="preserve"> (23.02.2014); </w:t>
      </w:r>
      <w:hyperlink r:id="rId52" w:history="1">
        <w:r w:rsidR="000A79C0" w:rsidRPr="000A79C0">
          <w:rPr>
            <w:color w:val="0000FF"/>
            <w:u w:val="single"/>
            <w:rtl/>
          </w:rPr>
          <w:t>רע"פ 1441/14</w:t>
        </w:r>
      </w:hyperlink>
      <w:r w:rsidRPr="00C23220">
        <w:rPr>
          <w:rtl/>
        </w:rPr>
        <w:t xml:space="preserve"> </w:t>
      </w:r>
      <w:r w:rsidRPr="0080179A">
        <w:rPr>
          <w:b/>
          <w:bCs/>
          <w:rtl/>
        </w:rPr>
        <w:t>חמיס נ' מדינת ישראל,</w:t>
      </w:r>
      <w:r w:rsidRPr="00C23220">
        <w:rPr>
          <w:rtl/>
        </w:rPr>
        <w:t xml:space="preserve"> (09.12.2014);</w:t>
      </w:r>
      <w:r w:rsidRPr="00C23220">
        <w:t xml:space="preserve"> </w:t>
      </w:r>
      <w:hyperlink r:id="rId53" w:history="1">
        <w:r w:rsidR="000A79C0" w:rsidRPr="000A79C0">
          <w:rPr>
            <w:color w:val="0000FF"/>
            <w:u w:val="single"/>
            <w:rtl/>
          </w:rPr>
          <w:t>ע"פ 5341/13</w:t>
        </w:r>
      </w:hyperlink>
      <w:r w:rsidRPr="00C23220">
        <w:rPr>
          <w:rtl/>
        </w:rPr>
        <w:t xml:space="preserve"> </w:t>
      </w:r>
      <w:r w:rsidRPr="0080179A">
        <w:rPr>
          <w:b/>
          <w:bCs/>
          <w:rtl/>
        </w:rPr>
        <w:t>מדינת ישראל נ' מוחמד אלקרעאן</w:t>
      </w:r>
      <w:r w:rsidRPr="00C23220">
        <w:rPr>
          <w:rtl/>
        </w:rPr>
        <w:t xml:space="preserve">, (08.12.2013); </w:t>
      </w:r>
      <w:r w:rsidRPr="0080179A">
        <w:rPr>
          <w:u w:val="single"/>
          <w:rtl/>
        </w:rPr>
        <w:t>ו</w:t>
      </w:r>
      <w:hyperlink r:id="rId54" w:history="1">
        <w:r w:rsidR="000A79C0" w:rsidRPr="000A79C0">
          <w:rPr>
            <w:color w:val="0000FF"/>
            <w:u w:val="single"/>
            <w:rtl/>
          </w:rPr>
          <w:t>עפ"ג (מחוזי באר שבע) 37682-03-13</w:t>
        </w:r>
      </w:hyperlink>
      <w:r w:rsidRPr="00C23220">
        <w:rPr>
          <w:rtl/>
        </w:rPr>
        <w:t xml:space="preserve"> </w:t>
      </w:r>
      <w:r w:rsidRPr="0080179A">
        <w:rPr>
          <w:b/>
          <w:bCs/>
          <w:rtl/>
        </w:rPr>
        <w:t>גרניק נ' מדינת ישראל</w:t>
      </w:r>
      <w:r w:rsidRPr="00C23220">
        <w:rPr>
          <w:rtl/>
        </w:rPr>
        <w:t xml:space="preserve">, (20.11.2013)). והרי שגם במקרה שלפניי, מאז שביצע את העבירה שבגינה הוא נותן את הדין כעת, היטיב הנאשם את דרכיו, המשיך להשתלב בשוק העבודה והתעסוקה ונמנע מלהשתמש בסמים ומלשוב ולבצע עבירות נוספות. לאור אלה, סבורתני שניתן לומר כבר עתה שהלה השתקם או למצער קיים סיכוי של ממש שהוא ישתקם בצורה מלאה בעתיד. </w:t>
      </w:r>
    </w:p>
    <w:p w14:paraId="09F7990E" w14:textId="77777777" w:rsidR="00E90E34" w:rsidRDefault="00E90E34" w:rsidP="003F2D92">
      <w:pPr>
        <w:pStyle w:val="af0"/>
        <w:numPr>
          <w:ilvl w:val="0"/>
          <w:numId w:val="12"/>
        </w:numPr>
        <w:spacing w:after="0"/>
        <w:ind w:left="-58" w:hanging="283"/>
      </w:pPr>
      <w:r w:rsidRPr="00C23220">
        <w:rPr>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עם זאת, בנסיבות המקרה המונח לפניי, ובהתחשב בעובדה כי עסקינן בנאשם צעיר, בעל עבר פלילי שאיננו מכביד, אשר לוקח אחריות על ביצוע העבירה, ולאור התסקיר החיובי אשר הוגש בעניינו והיותו נקי מסמים במשך תקופה ממושכת באופן יחסי– אני סבורה כי יש מקום בזו הפעם לתת לנאשם הזדמנות אמתית לחזור למוטב ולערוך שינוי בחייו לעבר שיקומו, וליתן לו כוח נוסף להמשיך בדרכו הנורמטיבית. בשקלולם של כל אלה, יש כדי להביא את בית המשפט למסקנה, לפיה יש לחרוג לקולה ממתחם העונש שנקבע על ידי בעניינו משיקולי שיקום. </w:t>
      </w:r>
    </w:p>
    <w:p w14:paraId="7AB770B2" w14:textId="77777777" w:rsidR="00E90E34" w:rsidRDefault="00E90E34" w:rsidP="003F2D92">
      <w:pPr>
        <w:pStyle w:val="af0"/>
        <w:numPr>
          <w:ilvl w:val="0"/>
          <w:numId w:val="12"/>
        </w:numPr>
        <w:spacing w:after="0"/>
        <w:ind w:left="-58" w:hanging="283"/>
      </w:pPr>
      <w:r w:rsidRPr="00C23220">
        <w:rPr>
          <w:rtl/>
        </w:rPr>
        <w:t xml:space="preserve">בהקשר זה יצוין כי על מנת שחומרת מעשיו של הנאשם ישתקפו בגזר הדין, לא מצאתי לאמץ במלואה את המלצתו של שירות המבחן לעניין היקף שעות השל"צ שיש להשית על הנאשם.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w:t>
      </w:r>
      <w:hyperlink r:id="rId55" w:history="1">
        <w:r w:rsidR="000A79C0" w:rsidRPr="000A79C0">
          <w:rPr>
            <w:color w:val="0000FF"/>
            <w:u w:val="single"/>
            <w:rtl/>
          </w:rPr>
          <w:t>ע"פ 344/81</w:t>
        </w:r>
      </w:hyperlink>
      <w:r w:rsidRPr="00C23220">
        <w:rPr>
          <w:rtl/>
        </w:rPr>
        <w:t xml:space="preserve"> </w:t>
      </w:r>
      <w:r w:rsidRPr="0080179A">
        <w:rPr>
          <w:b/>
          <w:bCs/>
          <w:rtl/>
        </w:rPr>
        <w:t>מדינת ישראל נ' שחר סגל</w:t>
      </w:r>
      <w:r w:rsidRPr="00C23220">
        <w:rPr>
          <w:rtl/>
        </w:rPr>
        <w:t xml:space="preserve">, פ"ד לה(4) 313, 318 (1981); </w:t>
      </w:r>
      <w:hyperlink r:id="rId56" w:history="1">
        <w:r w:rsidR="000A79C0" w:rsidRPr="000A79C0">
          <w:rPr>
            <w:color w:val="0000FF"/>
            <w:u w:val="single"/>
            <w:rtl/>
          </w:rPr>
          <w:t>ע"פ 1472/15</w:t>
        </w:r>
      </w:hyperlink>
      <w:r w:rsidRPr="00C23220">
        <w:rPr>
          <w:rtl/>
        </w:rPr>
        <w:t xml:space="preserve"> </w:t>
      </w:r>
      <w:r w:rsidRPr="0080179A">
        <w:rPr>
          <w:b/>
          <w:bCs/>
          <w:rtl/>
        </w:rPr>
        <w:t>שי שעשוע נ' מדינת ישראל</w:t>
      </w:r>
      <w:r w:rsidRPr="00C23220">
        <w:rPr>
          <w:rtl/>
        </w:rPr>
        <w:t xml:space="preserve">, [פורסם בנבו] (17.05.2015); </w:t>
      </w:r>
      <w:hyperlink r:id="rId57" w:history="1">
        <w:r w:rsidR="000A79C0" w:rsidRPr="000A79C0">
          <w:rPr>
            <w:color w:val="0000FF"/>
            <w:u w:val="single"/>
            <w:rtl/>
          </w:rPr>
          <w:t>רע"פ 7389/13</w:t>
        </w:r>
      </w:hyperlink>
      <w:r w:rsidRPr="00C23220">
        <w:rPr>
          <w:rtl/>
        </w:rPr>
        <w:t xml:space="preserve"> </w:t>
      </w:r>
      <w:r w:rsidRPr="0080179A">
        <w:rPr>
          <w:b/>
          <w:bCs/>
          <w:rtl/>
        </w:rPr>
        <w:t>נתן טייטלבאום נ' מדינת ישראל</w:t>
      </w:r>
      <w:r w:rsidRPr="00C23220">
        <w:rPr>
          <w:rtl/>
        </w:rPr>
        <w:t xml:space="preserve">, [פורסם בנבו] (17.12.2013); </w:t>
      </w:r>
      <w:r w:rsidRPr="0080179A">
        <w:rPr>
          <w:u w:val="single"/>
          <w:rtl/>
        </w:rPr>
        <w:t>ו</w:t>
      </w:r>
      <w:hyperlink r:id="rId58" w:history="1">
        <w:r w:rsidR="000A79C0" w:rsidRPr="000A79C0">
          <w:rPr>
            <w:color w:val="0000FF"/>
            <w:u w:val="single"/>
            <w:rtl/>
          </w:rPr>
          <w:t>רע"פ 5212/13</w:t>
        </w:r>
      </w:hyperlink>
      <w:r w:rsidRPr="00C23220">
        <w:rPr>
          <w:rtl/>
        </w:rPr>
        <w:t xml:space="preserve"> </w:t>
      </w:r>
      <w:r w:rsidRPr="0080179A">
        <w:rPr>
          <w:b/>
          <w:bCs/>
          <w:rtl/>
        </w:rPr>
        <w:t>שמעון נ' מדינת ישראל</w:t>
      </w:r>
      <w:r w:rsidRPr="00C23220">
        <w:rPr>
          <w:rtl/>
        </w:rPr>
        <w:t>, [פורסם בנבו] (29.08.2013)).</w:t>
      </w:r>
    </w:p>
    <w:p w14:paraId="6A6B48DC" w14:textId="77777777" w:rsidR="00E90E34" w:rsidRDefault="00E90E34" w:rsidP="003F2D92">
      <w:pPr>
        <w:pStyle w:val="af0"/>
        <w:numPr>
          <w:ilvl w:val="0"/>
          <w:numId w:val="12"/>
        </w:numPr>
        <w:spacing w:after="0"/>
        <w:ind w:left="-58" w:hanging="283"/>
      </w:pPr>
      <w:r w:rsidRPr="00C23220">
        <w:rPr>
          <w:rtl/>
        </w:rPr>
        <w:t xml:space="preserve">בכל הנוגע לרכיב פסילת רישיון הנהיגה של הנאשם, בשים לב לעובדה שהמדובר בנאשם, הנקי מסמים ושלא שב לבצע עבירות נוספות, מצאתי כי ניתן בזו הפעם ללכת לקראתו בפן הזה ולהסתפק בפסילת רישיון מותנית בלבד. בכל הנוגע לרכיב הכלכלי שבענישה, הרי שבית המשפט לא ימנע מלהשית על הנאשם קנס, אולם לצד חומרת העבירה, בקביעת גובהו יילקחו בחשבון גם מכלול מאפייניו החיוביים של הנאשם. </w:t>
      </w:r>
    </w:p>
    <w:p w14:paraId="30D704DA" w14:textId="77777777" w:rsidR="00E90E34" w:rsidRDefault="00E90E34" w:rsidP="003F2D92">
      <w:pPr>
        <w:pStyle w:val="af0"/>
        <w:numPr>
          <w:ilvl w:val="0"/>
          <w:numId w:val="12"/>
        </w:numPr>
        <w:spacing w:after="0"/>
        <w:ind w:left="-58" w:hanging="283"/>
      </w:pPr>
      <w:r w:rsidRPr="00C23220">
        <w:rPr>
          <w:rtl/>
        </w:rPr>
        <w:t>לאור כל האמור לעיל, הריני גוזרת עליו את העונשים הבאים:</w:t>
      </w:r>
    </w:p>
    <w:p w14:paraId="43E1EC5F" w14:textId="77777777" w:rsidR="00E90E34" w:rsidRPr="0080179A" w:rsidRDefault="00E90E34" w:rsidP="003F2D92">
      <w:pPr>
        <w:pStyle w:val="af0"/>
        <w:numPr>
          <w:ilvl w:val="0"/>
          <w:numId w:val="29"/>
        </w:numPr>
        <w:rPr>
          <w:rtl/>
        </w:rPr>
      </w:pPr>
      <w:r w:rsidRPr="0080179A">
        <w:rPr>
          <w:b/>
          <w:bCs/>
          <w:rtl/>
        </w:rPr>
        <w:t xml:space="preserve">צו של"צ בהיקף של 270 שעות. </w:t>
      </w:r>
    </w:p>
    <w:p w14:paraId="4D35D5CC" w14:textId="77777777" w:rsidR="00E90E34" w:rsidRDefault="00E90E34" w:rsidP="003F2D92">
      <w:pPr>
        <w:pStyle w:val="af0"/>
        <w:ind w:firstLine="0"/>
        <w:rPr>
          <w:rtl/>
        </w:rPr>
      </w:pPr>
      <w:r w:rsidRPr="0080179A">
        <w:rPr>
          <w:rtl/>
        </w:rPr>
        <w:t xml:space="preserve">תוקף צו השל"צ למשך </w:t>
      </w:r>
      <w:r w:rsidRPr="0080179A">
        <w:rPr>
          <w:u w:val="single"/>
          <w:rtl/>
        </w:rPr>
        <w:t>שנתיים מהיום.</w:t>
      </w:r>
      <w:r w:rsidRPr="0080179A">
        <w:rPr>
          <w:rtl/>
        </w:rPr>
        <w:t xml:space="preserve"> </w:t>
      </w:r>
    </w:p>
    <w:p w14:paraId="2557D26C" w14:textId="77777777" w:rsidR="00E90E34" w:rsidRPr="0080179A" w:rsidRDefault="00E90E34" w:rsidP="003F2D92">
      <w:pPr>
        <w:pStyle w:val="af0"/>
        <w:ind w:firstLine="0"/>
        <w:rPr>
          <w:rtl/>
        </w:rPr>
      </w:pPr>
      <w:r>
        <w:rPr>
          <w:rtl/>
        </w:rPr>
        <w:t>העבודות תבוצענה במסגרת "זק"א", ברחובות, בתפקיד של סיוע במחסן חירום.</w:t>
      </w:r>
    </w:p>
    <w:p w14:paraId="35302E82" w14:textId="77777777" w:rsidR="00E90E34" w:rsidRPr="0080179A" w:rsidRDefault="00E90E34" w:rsidP="003F2D92">
      <w:pPr>
        <w:pStyle w:val="af0"/>
        <w:ind w:firstLine="0"/>
        <w:rPr>
          <w:b/>
          <w:bCs/>
          <w:rtl/>
        </w:rPr>
      </w:pPr>
      <w:r w:rsidRPr="0080179A">
        <w:rPr>
          <w:rtl/>
        </w:rPr>
        <w:t xml:space="preserve">הובהרה לנאשם חשיבות שיתוף הפעולה עם שירות המבחן בביצוע צו השל"צ ומשמעות העדר שיתוף הפעולה. </w:t>
      </w:r>
    </w:p>
    <w:p w14:paraId="147510B0" w14:textId="77777777" w:rsidR="00E90E34" w:rsidRPr="0080179A" w:rsidRDefault="00E90E34" w:rsidP="003F2D92">
      <w:pPr>
        <w:pStyle w:val="af0"/>
        <w:numPr>
          <w:ilvl w:val="0"/>
          <w:numId w:val="29"/>
        </w:numPr>
        <w:rPr>
          <w:b/>
          <w:bCs/>
          <w:rtl/>
        </w:rPr>
      </w:pPr>
      <w:r w:rsidRPr="0080179A">
        <w:rPr>
          <w:b/>
          <w:bCs/>
          <w:rtl/>
        </w:rPr>
        <w:t xml:space="preserve">מאסר מותנה למשך 8 חודשים, אשר יופעל אם תוך תקופה של 3 שנים מהיום יעבור הנאשם עבירה בניגוד </w:t>
      </w:r>
      <w:r w:rsidRPr="0080179A">
        <w:rPr>
          <w:b/>
          <w:bCs/>
          <w:u w:val="single"/>
          <w:rtl/>
        </w:rPr>
        <w:t>ל</w:t>
      </w:r>
      <w:hyperlink r:id="rId59" w:history="1">
        <w:r w:rsidR="000A79C0" w:rsidRPr="000A79C0">
          <w:rPr>
            <w:b/>
            <w:bCs/>
            <w:color w:val="0000FF"/>
            <w:u w:val="single"/>
            <w:rtl/>
          </w:rPr>
          <w:t>פקודת הסמים המסוכנים</w:t>
        </w:r>
      </w:hyperlink>
      <w:r w:rsidRPr="0080179A">
        <w:rPr>
          <w:b/>
          <w:bCs/>
          <w:rtl/>
        </w:rPr>
        <w:t>, מסוג פשע.</w:t>
      </w:r>
    </w:p>
    <w:p w14:paraId="6A0DF325" w14:textId="77777777" w:rsidR="00E90E34" w:rsidRPr="0080179A" w:rsidRDefault="00E90E34" w:rsidP="003F2D92">
      <w:pPr>
        <w:pStyle w:val="af0"/>
        <w:numPr>
          <w:ilvl w:val="0"/>
          <w:numId w:val="29"/>
        </w:numPr>
        <w:rPr>
          <w:b/>
          <w:bCs/>
          <w:rtl/>
        </w:rPr>
      </w:pPr>
      <w:r w:rsidRPr="0080179A">
        <w:rPr>
          <w:b/>
          <w:bCs/>
          <w:rtl/>
        </w:rPr>
        <w:t xml:space="preserve">מאסר מותנה למשך 4 חודשים, אשר יופעל אם תוך תקופה של </w:t>
      </w:r>
      <w:r>
        <w:rPr>
          <w:b/>
          <w:bCs/>
          <w:rtl/>
        </w:rPr>
        <w:t>שנתיים</w:t>
      </w:r>
      <w:r w:rsidRPr="0080179A">
        <w:rPr>
          <w:b/>
          <w:bCs/>
          <w:rtl/>
        </w:rPr>
        <w:t xml:space="preserve"> מהיום יעבור הנאשם עבירה בניגוד </w:t>
      </w:r>
      <w:r w:rsidRPr="0080179A">
        <w:rPr>
          <w:b/>
          <w:bCs/>
          <w:u w:val="single"/>
          <w:rtl/>
        </w:rPr>
        <w:t>ל</w:t>
      </w:r>
      <w:hyperlink r:id="rId60" w:history="1">
        <w:r w:rsidR="000A79C0" w:rsidRPr="000A79C0">
          <w:rPr>
            <w:b/>
            <w:bCs/>
            <w:color w:val="0000FF"/>
            <w:u w:val="single"/>
            <w:rtl/>
          </w:rPr>
          <w:t>פקודת הסמים המסוכנים</w:t>
        </w:r>
      </w:hyperlink>
      <w:r w:rsidRPr="0080179A">
        <w:rPr>
          <w:b/>
          <w:bCs/>
          <w:rtl/>
        </w:rPr>
        <w:t>, מסוג עוון.</w:t>
      </w:r>
    </w:p>
    <w:p w14:paraId="3435D006" w14:textId="77777777" w:rsidR="00E90E34" w:rsidRPr="0080179A" w:rsidRDefault="00E90E34" w:rsidP="003F2D92">
      <w:pPr>
        <w:pStyle w:val="af0"/>
        <w:numPr>
          <w:ilvl w:val="0"/>
          <w:numId w:val="29"/>
        </w:numPr>
        <w:rPr>
          <w:rtl/>
        </w:rPr>
      </w:pPr>
      <w:r w:rsidRPr="0080179A">
        <w:rPr>
          <w:b/>
          <w:bCs/>
          <w:rtl/>
        </w:rPr>
        <w:t>קנס בסך 1,500 ₪ או 15 ימי מאסר תמורתו.</w:t>
      </w:r>
    </w:p>
    <w:p w14:paraId="0F7A3A25" w14:textId="77777777" w:rsidR="00E90E34" w:rsidRPr="0080179A" w:rsidRDefault="00E90E34" w:rsidP="003F2D92">
      <w:pPr>
        <w:pStyle w:val="af0"/>
        <w:ind w:firstLine="0"/>
        <w:rPr>
          <w:rtl/>
        </w:rPr>
      </w:pPr>
      <w:r>
        <w:rPr>
          <w:rtl/>
        </w:rPr>
        <w:t>הקנס ישולם ב- 3 תשלומים חודשיים שווים ורצופים כשהראשון שבהם בתוך 30 יום מהיום</w:t>
      </w:r>
      <w:r w:rsidRPr="0080179A">
        <w:rPr>
          <w:rtl/>
        </w:rPr>
        <w:t xml:space="preserve">. </w:t>
      </w:r>
    </w:p>
    <w:p w14:paraId="5F154740" w14:textId="77777777" w:rsidR="00E90E34" w:rsidRPr="0080179A" w:rsidRDefault="00E90E34" w:rsidP="003F2D92">
      <w:pPr>
        <w:pStyle w:val="af0"/>
        <w:ind w:firstLine="0"/>
        <w:rPr>
          <w:rtl/>
        </w:rPr>
      </w:pPr>
      <w:r w:rsidRPr="0080179A">
        <w:rPr>
          <w:rtl/>
        </w:rPr>
        <w:t>תשומת לב הנאשם כי החוב מועבר למרכז לגביית קנסות, אגרות והוצאות ברשות האכיפה והגבייה, בהתאם למועדים והתשלומים שנקבעו בגזר הדין.</w:t>
      </w:r>
    </w:p>
    <w:p w14:paraId="4E5B49BA" w14:textId="77777777" w:rsidR="00E90E34" w:rsidRPr="0080179A" w:rsidRDefault="00E90E34" w:rsidP="003F2D92">
      <w:pPr>
        <w:pStyle w:val="af0"/>
        <w:ind w:firstLine="0"/>
        <w:rPr>
          <w:szCs w:val="26"/>
        </w:rPr>
      </w:pPr>
      <w:r w:rsidRPr="0080179A">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1F28387E" w14:textId="77777777" w:rsidR="00E90E34" w:rsidRPr="0080179A" w:rsidRDefault="00E90E34" w:rsidP="003F2D92">
      <w:pPr>
        <w:pStyle w:val="af0"/>
        <w:spacing w:after="0"/>
        <w:ind w:firstLine="0"/>
        <w:rPr>
          <w:rFonts w:ascii="Times New Roman" w:hAnsi="Times New Roman"/>
          <w:sz w:val="22"/>
          <w:szCs w:val="22"/>
          <w:rtl/>
        </w:rPr>
      </w:pPr>
      <w:r w:rsidRPr="0080179A">
        <w:rPr>
          <w:sz w:val="22"/>
          <w:szCs w:val="22"/>
          <w:rtl/>
        </w:rPr>
        <w:t xml:space="preserve">בכרטיס אשראי – באתר המקוון של רשות האכיפה והגבייה, </w:t>
      </w:r>
      <w:hyperlink r:id="rId61" w:history="1">
        <w:r w:rsidRPr="0080179A">
          <w:rPr>
            <w:rStyle w:val="Hyperlink"/>
            <w:rFonts w:cs="Calibri"/>
            <w:color w:val="auto"/>
            <w:sz w:val="22"/>
            <w:szCs w:val="22"/>
          </w:rPr>
          <w:t>www.eca.gov.il</w:t>
        </w:r>
      </w:hyperlink>
      <w:r w:rsidRPr="0080179A">
        <w:rPr>
          <w:sz w:val="22"/>
          <w:szCs w:val="22"/>
        </w:rPr>
        <w:t xml:space="preserve"> </w:t>
      </w:r>
      <w:r w:rsidR="000A79C0">
        <w:rPr>
          <w:sz w:val="22"/>
          <w:szCs w:val="22"/>
          <w:rtl/>
        </w:rPr>
        <w:t xml:space="preserve"> </w:t>
      </w:r>
    </w:p>
    <w:p w14:paraId="650BFE08" w14:textId="77777777" w:rsidR="00E90E34" w:rsidRPr="0080179A" w:rsidRDefault="00E90E34" w:rsidP="003F2D92">
      <w:pPr>
        <w:pStyle w:val="af0"/>
        <w:spacing w:after="0"/>
        <w:ind w:firstLine="0"/>
        <w:rPr>
          <w:rFonts w:ascii="Times New Roman" w:hAnsi="Times New Roman"/>
          <w:sz w:val="22"/>
          <w:szCs w:val="22"/>
          <w:rtl/>
        </w:rPr>
      </w:pPr>
      <w:r w:rsidRPr="0080179A">
        <w:rPr>
          <w:sz w:val="22"/>
          <w:szCs w:val="22"/>
          <w:rtl/>
        </w:rPr>
        <w:t>במוקד שירות טלפוני בשרות עצמי (מרכז גבייה)</w:t>
      </w:r>
      <w:r w:rsidR="000A79C0">
        <w:rPr>
          <w:sz w:val="22"/>
          <w:szCs w:val="22"/>
          <w:rtl/>
        </w:rPr>
        <w:t xml:space="preserve"> </w:t>
      </w:r>
      <w:r w:rsidRPr="0080179A">
        <w:rPr>
          <w:sz w:val="22"/>
          <w:szCs w:val="22"/>
          <w:rtl/>
        </w:rPr>
        <w:t xml:space="preserve"> – בטלפון 35592* או בטלפון 073-2055000</w:t>
      </w:r>
    </w:p>
    <w:p w14:paraId="181D64F5" w14:textId="77777777" w:rsidR="00E90E34" w:rsidRPr="0080179A" w:rsidRDefault="00E90E34" w:rsidP="003F2D92">
      <w:pPr>
        <w:pStyle w:val="af0"/>
        <w:spacing w:after="0"/>
        <w:ind w:firstLine="0"/>
        <w:rPr>
          <w:rFonts w:ascii="Times New Roman" w:hAnsi="Times New Roman"/>
          <w:sz w:val="22"/>
          <w:szCs w:val="22"/>
        </w:rPr>
      </w:pPr>
      <w:r w:rsidRPr="0080179A">
        <w:rPr>
          <w:sz w:val="22"/>
          <w:szCs w:val="22"/>
          <w:rtl/>
        </w:rPr>
        <w:t>במזומן בכל סניף של בנק הדואר – בהצגת תעודת זהות בלבד (אין צורך בשוברי תשלום).</w:t>
      </w:r>
    </w:p>
    <w:p w14:paraId="3AB6BBA2" w14:textId="77777777" w:rsidR="00E90E34" w:rsidRPr="0080179A" w:rsidRDefault="00E90E34" w:rsidP="003F2D92">
      <w:pPr>
        <w:pStyle w:val="af0"/>
        <w:numPr>
          <w:ilvl w:val="0"/>
          <w:numId w:val="29"/>
        </w:numPr>
        <w:rPr>
          <w:b/>
          <w:bCs/>
          <w:rtl/>
        </w:rPr>
      </w:pPr>
      <w:r w:rsidRPr="0080179A">
        <w:rPr>
          <w:b/>
          <w:bCs/>
          <w:rtl/>
        </w:rPr>
        <w:t xml:space="preserve">הנאשם יצהיר על התחייבות כספית על סך 15,000 ₪ שלא לעבור כל עבירה בניגוד </w:t>
      </w:r>
      <w:r w:rsidRPr="0080179A">
        <w:rPr>
          <w:b/>
          <w:bCs/>
          <w:u w:val="single"/>
          <w:rtl/>
        </w:rPr>
        <w:t>ל</w:t>
      </w:r>
      <w:hyperlink r:id="rId62" w:history="1">
        <w:r w:rsidR="000A79C0" w:rsidRPr="000A79C0">
          <w:rPr>
            <w:b/>
            <w:bCs/>
            <w:color w:val="0000FF"/>
            <w:u w:val="single"/>
            <w:rtl/>
          </w:rPr>
          <w:t>פקודת הסמים המסוכנים</w:t>
        </w:r>
      </w:hyperlink>
      <w:r w:rsidRPr="0080179A">
        <w:rPr>
          <w:b/>
          <w:bCs/>
          <w:rtl/>
        </w:rPr>
        <w:t xml:space="preserve"> וזאת לתקופה של שנתיים מהיום. </w:t>
      </w:r>
    </w:p>
    <w:p w14:paraId="0F490B46" w14:textId="77777777" w:rsidR="00E90E34" w:rsidRPr="0080179A" w:rsidRDefault="00E90E34" w:rsidP="003F2D92">
      <w:pPr>
        <w:pStyle w:val="af0"/>
        <w:numPr>
          <w:ilvl w:val="0"/>
          <w:numId w:val="29"/>
        </w:numPr>
        <w:rPr>
          <w:b/>
          <w:bCs/>
        </w:rPr>
      </w:pPr>
      <w:r w:rsidRPr="0080179A">
        <w:rPr>
          <w:b/>
          <w:bCs/>
          <w:rtl/>
        </w:rPr>
        <w:t>אני פוסלת את הנאשם מלקבל או מלהחזיק רישיון נהיגה למשך 8 חודשים, וזאת על תנאי שלא  יעבור כל עבירה בניגוד ל</w:t>
      </w:r>
      <w:hyperlink r:id="rId63" w:history="1">
        <w:r w:rsidR="000A79C0" w:rsidRPr="000A79C0">
          <w:rPr>
            <w:b/>
            <w:bCs/>
            <w:color w:val="0000FF"/>
            <w:u w:val="single"/>
            <w:rtl/>
          </w:rPr>
          <w:t>פקודת הסמים המסוכנים</w:t>
        </w:r>
      </w:hyperlink>
      <w:r w:rsidRPr="0080179A">
        <w:rPr>
          <w:b/>
          <w:bCs/>
          <w:rtl/>
        </w:rPr>
        <w:t xml:space="preserve"> במשך שנתיים מהיום.</w:t>
      </w:r>
    </w:p>
    <w:p w14:paraId="0042329B" w14:textId="77777777" w:rsidR="00E90E34" w:rsidRDefault="00E90E34" w:rsidP="003F2D92">
      <w:pPr>
        <w:spacing w:line="360" w:lineRule="auto"/>
        <w:ind w:left="-908"/>
        <w:jc w:val="both"/>
        <w:rPr>
          <w:b/>
          <w:bCs/>
          <w:rtl/>
        </w:rPr>
      </w:pPr>
      <w:r w:rsidRPr="00C23220">
        <w:rPr>
          <w:rFonts w:ascii="David" w:hAnsi="David"/>
          <w:rtl/>
        </w:rPr>
        <w:t>הריני מורה על השמדת המוצגים בתיק – סמים,</w:t>
      </w:r>
      <w:r>
        <w:rPr>
          <w:rFonts w:ascii="David" w:hAnsi="David"/>
          <w:rtl/>
        </w:rPr>
        <w:t xml:space="preserve"> שקיות, ארגז כלים, גז מדמיע, משקל, </w:t>
      </w:r>
      <w:r w:rsidRPr="00C23220">
        <w:rPr>
          <w:rFonts w:ascii="David" w:hAnsi="David"/>
          <w:rtl/>
        </w:rPr>
        <w:t>בכפוף לחלוף תקופת הערעור.</w:t>
      </w:r>
    </w:p>
    <w:p w14:paraId="069C244D" w14:textId="77777777" w:rsidR="00E90E34" w:rsidRDefault="00E90E34" w:rsidP="003F2D92">
      <w:pPr>
        <w:spacing w:line="360" w:lineRule="auto"/>
        <w:ind w:left="-908"/>
        <w:jc w:val="both"/>
        <w:rPr>
          <w:rtl/>
        </w:rPr>
      </w:pPr>
    </w:p>
    <w:p w14:paraId="2F295619" w14:textId="77777777" w:rsidR="00E90E34" w:rsidRPr="008C0CC9" w:rsidRDefault="00E90E34" w:rsidP="003F2D92">
      <w:pPr>
        <w:spacing w:line="360" w:lineRule="auto"/>
        <w:ind w:left="-908"/>
        <w:jc w:val="both"/>
        <w:rPr>
          <w:rtl/>
        </w:rPr>
      </w:pPr>
      <w:r w:rsidRPr="008C0CC9">
        <w:rPr>
          <w:rtl/>
        </w:rPr>
        <w:t>בשל נסיבותיו האישיות של הנאשם ומצבו הכלכלי, הנני פוטרת אותו מתשלום אגרת הסנגוריה הציבורית.</w:t>
      </w:r>
    </w:p>
    <w:p w14:paraId="5FD8C0CD" w14:textId="77777777" w:rsidR="00E90E34" w:rsidRDefault="00E90E34" w:rsidP="003F2D92">
      <w:pPr>
        <w:spacing w:line="360" w:lineRule="auto"/>
        <w:ind w:left="-908"/>
        <w:jc w:val="both"/>
        <w:rPr>
          <w:rtl/>
        </w:rPr>
      </w:pPr>
    </w:p>
    <w:p w14:paraId="19696994" w14:textId="77777777" w:rsidR="00E90E34" w:rsidRPr="008C0CC9" w:rsidRDefault="00E90E34" w:rsidP="003F2D92">
      <w:pPr>
        <w:spacing w:line="360" w:lineRule="auto"/>
        <w:ind w:left="-908"/>
        <w:jc w:val="both"/>
        <w:rPr>
          <w:rtl/>
        </w:rPr>
      </w:pPr>
      <w:r w:rsidRPr="008C0CC9">
        <w:rPr>
          <w:rtl/>
        </w:rPr>
        <w:t>העתק הפר</w:t>
      </w:r>
      <w:r>
        <w:rPr>
          <w:rtl/>
        </w:rPr>
        <w:t xml:space="preserve">וטוקול יישלח לסנגוריה הציבורית ולממונה על עבודות בשירות במחוז מרכז. </w:t>
      </w:r>
    </w:p>
    <w:p w14:paraId="7C04208A" w14:textId="77777777" w:rsidR="00E90E34" w:rsidRPr="008C0CC9" w:rsidRDefault="00E90E34" w:rsidP="003F2D92">
      <w:pPr>
        <w:spacing w:line="360" w:lineRule="auto"/>
        <w:ind w:left="-908"/>
        <w:rPr>
          <w:rFonts w:ascii="David" w:hAnsi="David"/>
          <w:b/>
          <w:bCs/>
          <w:rtl/>
        </w:rPr>
      </w:pPr>
    </w:p>
    <w:p w14:paraId="45613CCD" w14:textId="77777777" w:rsidR="00E90E34" w:rsidRDefault="00E90E34" w:rsidP="003F2D92">
      <w:pPr>
        <w:spacing w:line="360" w:lineRule="auto"/>
        <w:ind w:left="-908"/>
        <w:rPr>
          <w:rFonts w:ascii="David" w:hAnsi="David"/>
          <w:b/>
          <w:bCs/>
          <w:rtl/>
        </w:rPr>
      </w:pPr>
      <w:r w:rsidRPr="00C23220">
        <w:rPr>
          <w:rFonts w:ascii="David" w:hAnsi="David"/>
          <w:b/>
          <w:bCs/>
          <w:rtl/>
        </w:rPr>
        <w:t>זכות ערעור כחוק</w:t>
      </w:r>
      <w:r w:rsidRPr="00C23220">
        <w:rPr>
          <w:rFonts w:ascii="David" w:hAnsi="David"/>
          <w:rtl/>
        </w:rPr>
        <w:t>.</w:t>
      </w:r>
    </w:p>
    <w:p w14:paraId="3E666940" w14:textId="77777777" w:rsidR="00E90E34" w:rsidRDefault="00E90E34" w:rsidP="003F2D92">
      <w:pPr>
        <w:spacing w:line="360" w:lineRule="auto"/>
        <w:ind w:left="-908"/>
        <w:rPr>
          <w:rFonts w:ascii="David" w:hAnsi="David"/>
          <w:b/>
          <w:bCs/>
          <w:rtl/>
        </w:rPr>
      </w:pPr>
    </w:p>
    <w:p w14:paraId="79E0A1D9" w14:textId="77777777" w:rsidR="00E90E34" w:rsidRPr="00C23220" w:rsidRDefault="00E90E34" w:rsidP="003F2D92">
      <w:pPr>
        <w:spacing w:line="360" w:lineRule="auto"/>
        <w:ind w:left="-908"/>
        <w:rPr>
          <w:rFonts w:ascii="David" w:hAnsi="David"/>
          <w:b/>
          <w:bCs/>
          <w:rtl/>
        </w:rPr>
      </w:pPr>
      <w:r w:rsidRPr="00C23220">
        <w:rPr>
          <w:rFonts w:ascii="David" w:hAnsi="David"/>
          <w:b/>
          <w:bCs/>
          <w:rtl/>
        </w:rPr>
        <w:t>נית</w:t>
      </w:r>
      <w:r>
        <w:rPr>
          <w:rFonts w:ascii="David" w:hAnsi="David"/>
          <w:b/>
          <w:bCs/>
          <w:rtl/>
        </w:rPr>
        <w:t>ן</w:t>
      </w:r>
      <w:r w:rsidRPr="00C23220">
        <w:rPr>
          <w:rFonts w:ascii="David" w:hAnsi="David"/>
          <w:b/>
          <w:bCs/>
          <w:rtl/>
        </w:rPr>
        <w:t xml:space="preserve"> היום,  </w:t>
      </w:r>
      <w:r>
        <w:rPr>
          <w:rFonts w:ascii="David" w:hAnsi="David"/>
          <w:b/>
          <w:bCs/>
          <w:rtl/>
        </w:rPr>
        <w:t>כ"ג תמוז תשפ"ג</w:t>
      </w:r>
      <w:r w:rsidRPr="00C23220">
        <w:rPr>
          <w:rFonts w:ascii="David" w:hAnsi="David"/>
          <w:b/>
          <w:bCs/>
          <w:rtl/>
        </w:rPr>
        <w:t xml:space="preserve">, </w:t>
      </w:r>
      <w:r>
        <w:rPr>
          <w:rFonts w:ascii="David" w:hAnsi="David"/>
          <w:b/>
          <w:bCs/>
          <w:rtl/>
        </w:rPr>
        <w:t>12 יולי 2023, במעמד</w:t>
      </w:r>
      <w:r w:rsidRPr="00C23220">
        <w:rPr>
          <w:rFonts w:ascii="David" w:hAnsi="David"/>
          <w:b/>
          <w:bCs/>
          <w:rtl/>
        </w:rPr>
        <w:t xml:space="preserve"> הצדדים.</w:t>
      </w:r>
    </w:p>
    <w:p w14:paraId="39AE0DB9" w14:textId="77777777" w:rsidR="00E90E34" w:rsidRPr="00C23220" w:rsidRDefault="00E90E34" w:rsidP="003F2D92">
      <w:pPr>
        <w:spacing w:line="360" w:lineRule="auto"/>
        <w:jc w:val="both"/>
        <w:rPr>
          <w:rFonts w:ascii="David" w:hAnsi="David"/>
          <w:rtl/>
        </w:rPr>
      </w:pPr>
    </w:p>
    <w:p w14:paraId="655150D7" w14:textId="77777777" w:rsidR="00E90E34" w:rsidRPr="00C23220" w:rsidRDefault="00E90E34" w:rsidP="003F2D92">
      <w:pPr>
        <w:spacing w:line="360" w:lineRule="auto"/>
        <w:ind w:left="3600" w:firstLine="720"/>
        <w:jc w:val="both"/>
      </w:pPr>
      <w:r w:rsidRPr="003A0A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4.75pt;height:62.25pt;visibility:visible">
            <v:imagedata r:id="rId64" o:title=""/>
          </v:shape>
        </w:pict>
      </w:r>
    </w:p>
    <w:p w14:paraId="7B9731C0" w14:textId="77777777" w:rsidR="00E90E34" w:rsidRPr="00C23220" w:rsidRDefault="00E90E34" w:rsidP="003F2D92">
      <w:pPr>
        <w:spacing w:line="360" w:lineRule="auto"/>
        <w:ind w:left="3600" w:firstLine="720"/>
        <w:jc w:val="both"/>
        <w:rPr>
          <w:rFonts w:ascii="David" w:hAnsi="David"/>
          <w:rtl/>
        </w:rPr>
      </w:pPr>
    </w:p>
    <w:p w14:paraId="725C974C" w14:textId="77777777" w:rsidR="00E90E34" w:rsidRPr="00C23220" w:rsidRDefault="00E90E34" w:rsidP="003F2D92">
      <w:pPr>
        <w:spacing w:line="360" w:lineRule="auto"/>
        <w:jc w:val="both"/>
        <w:rPr>
          <w:rFonts w:ascii="David" w:hAnsi="David"/>
          <w:rtl/>
        </w:rPr>
      </w:pPr>
    </w:p>
    <w:p w14:paraId="652524E2" w14:textId="77777777" w:rsidR="00E90E34" w:rsidRDefault="00E90E34" w:rsidP="003F2D92">
      <w:pPr>
        <w:spacing w:line="360" w:lineRule="auto"/>
        <w:ind w:left="-908"/>
        <w:rPr>
          <w:rFonts w:ascii="David" w:hAnsi="David"/>
          <w:b/>
          <w:bCs/>
          <w:u w:val="single"/>
          <w:rtl/>
        </w:rPr>
      </w:pPr>
    </w:p>
    <w:p w14:paraId="5D04F00E" w14:textId="77777777" w:rsidR="00E90E34" w:rsidRDefault="00E90E34" w:rsidP="003F2D92">
      <w:pPr>
        <w:spacing w:line="360" w:lineRule="auto"/>
        <w:ind w:left="-908"/>
        <w:rPr>
          <w:rFonts w:ascii="David" w:hAnsi="David"/>
          <w:rtl/>
        </w:rPr>
      </w:pPr>
      <w:r w:rsidRPr="00C23220">
        <w:rPr>
          <w:rFonts w:ascii="David" w:hAnsi="David"/>
          <w:b/>
          <w:bCs/>
          <w:u w:val="single"/>
          <w:rtl/>
        </w:rPr>
        <w:t>הנאשם:</w:t>
      </w:r>
    </w:p>
    <w:p w14:paraId="217A2FE4" w14:textId="77777777" w:rsidR="00E90E34" w:rsidRDefault="00E90E34" w:rsidP="003F2D92">
      <w:pPr>
        <w:spacing w:line="360" w:lineRule="auto"/>
        <w:ind w:left="-908"/>
        <w:jc w:val="both"/>
        <w:rPr>
          <w:rFonts w:ascii="David" w:hAnsi="David"/>
          <w:rtl/>
        </w:rPr>
      </w:pPr>
      <w:r w:rsidRPr="00C23220">
        <w:rPr>
          <w:rFonts w:ascii="David" w:hAnsi="David"/>
          <w:rtl/>
        </w:rPr>
        <w:t xml:space="preserve">כמפורט בגזר הדין, אני מתחייב להימנע במשך שנתיים מהיום מביצוע כל עבירה בניגוד </w:t>
      </w:r>
      <w:r w:rsidRPr="00C23220">
        <w:rPr>
          <w:rFonts w:ascii="David" w:hAnsi="David"/>
          <w:u w:val="single"/>
          <w:rtl/>
        </w:rPr>
        <w:t>ל</w:t>
      </w:r>
      <w:hyperlink r:id="rId65" w:history="1">
        <w:r w:rsidR="000A79C0" w:rsidRPr="000A79C0">
          <w:rPr>
            <w:rFonts w:ascii="David" w:hAnsi="David"/>
            <w:color w:val="0000FF"/>
            <w:u w:val="single"/>
            <w:rtl/>
          </w:rPr>
          <w:t>פקודת הסמים המסוכנים</w:t>
        </w:r>
      </w:hyperlink>
      <w:r w:rsidRPr="00C23220">
        <w:rPr>
          <w:rFonts w:ascii="David" w:hAnsi="David"/>
          <w:rtl/>
        </w:rPr>
        <w:t xml:space="preserve">. </w:t>
      </w:r>
    </w:p>
    <w:p w14:paraId="678BF965" w14:textId="77777777" w:rsidR="00E90E34" w:rsidRDefault="00E90E34" w:rsidP="003F2D92">
      <w:pPr>
        <w:spacing w:line="360" w:lineRule="auto"/>
        <w:ind w:left="-908"/>
        <w:jc w:val="both"/>
        <w:rPr>
          <w:rFonts w:ascii="David" w:hAnsi="David"/>
          <w:rtl/>
        </w:rPr>
      </w:pPr>
      <w:r w:rsidRPr="00C23220">
        <w:rPr>
          <w:rFonts w:ascii="David" w:hAnsi="David"/>
          <w:rtl/>
        </w:rPr>
        <w:t xml:space="preserve">הובהר לי כי ככל שאבצע כל עבירה בניגוד </w:t>
      </w:r>
      <w:r w:rsidRPr="00C23220">
        <w:rPr>
          <w:rFonts w:ascii="David" w:hAnsi="David"/>
          <w:u w:val="single"/>
          <w:rtl/>
        </w:rPr>
        <w:t>ל</w:t>
      </w:r>
      <w:hyperlink r:id="rId66" w:history="1">
        <w:r w:rsidR="000A79C0" w:rsidRPr="000A79C0">
          <w:rPr>
            <w:rFonts w:ascii="David" w:hAnsi="David"/>
            <w:color w:val="0000FF"/>
            <w:u w:val="single"/>
            <w:rtl/>
          </w:rPr>
          <w:t>פקודת הסמים המסוכנים</w:t>
        </w:r>
      </w:hyperlink>
      <w:r w:rsidRPr="00C23220">
        <w:rPr>
          <w:rFonts w:ascii="David" w:hAnsi="David"/>
          <w:rtl/>
        </w:rPr>
        <w:t xml:space="preserve">, במשך שנתיים מהיום, יושת עלי סך של 15,000 ₪ במזומן. </w:t>
      </w:r>
    </w:p>
    <w:p w14:paraId="7FEB8109" w14:textId="77777777" w:rsidR="00E90E34" w:rsidRDefault="00E90E34" w:rsidP="003F2D92">
      <w:pPr>
        <w:spacing w:line="360" w:lineRule="auto"/>
        <w:ind w:left="-908"/>
        <w:rPr>
          <w:rFonts w:ascii="David" w:hAnsi="David"/>
          <w:b/>
          <w:bCs/>
          <w:u w:val="single"/>
          <w:rtl/>
        </w:rPr>
      </w:pPr>
    </w:p>
    <w:p w14:paraId="08C24550" w14:textId="77777777" w:rsidR="00E90E34" w:rsidRDefault="00E90E34" w:rsidP="003F2D92">
      <w:pPr>
        <w:spacing w:line="360" w:lineRule="auto"/>
        <w:ind w:left="-908"/>
        <w:jc w:val="center"/>
        <w:rPr>
          <w:rFonts w:ascii="David" w:hAnsi="David"/>
          <w:rtl/>
        </w:rPr>
      </w:pPr>
      <w:r>
        <w:rPr>
          <w:rFonts w:ascii="David" w:hAnsi="David"/>
          <w:b/>
          <w:bCs/>
          <w:u w:val="single"/>
          <w:rtl/>
        </w:rPr>
        <w:t>ה</w:t>
      </w:r>
      <w:r w:rsidRPr="00C23220">
        <w:rPr>
          <w:rFonts w:ascii="David" w:hAnsi="David"/>
          <w:b/>
          <w:bCs/>
          <w:u w:val="single"/>
          <w:rtl/>
        </w:rPr>
        <w:t>חלטה</w:t>
      </w:r>
    </w:p>
    <w:p w14:paraId="1FE9B819" w14:textId="77777777" w:rsidR="00E90E34" w:rsidRDefault="00E90E34" w:rsidP="003F2D92">
      <w:pPr>
        <w:spacing w:line="360" w:lineRule="auto"/>
        <w:ind w:left="-908"/>
        <w:rPr>
          <w:rFonts w:ascii="David" w:hAnsi="David"/>
          <w:rtl/>
        </w:rPr>
      </w:pPr>
    </w:p>
    <w:p w14:paraId="64486D19" w14:textId="77777777" w:rsidR="00E90E34" w:rsidRDefault="00E90E34" w:rsidP="003F2D92">
      <w:pPr>
        <w:spacing w:line="360" w:lineRule="auto"/>
        <w:ind w:left="-908"/>
        <w:rPr>
          <w:sz w:val="6"/>
          <w:szCs w:val="6"/>
          <w:rtl/>
        </w:rPr>
      </w:pPr>
      <w:r w:rsidRPr="00C23220">
        <w:rPr>
          <w:rFonts w:ascii="David" w:hAnsi="David"/>
          <w:rtl/>
        </w:rPr>
        <w:t xml:space="preserve">רשמתי לפניי את התחייבות הנאשם להימנע מביצוע העבירות כמפורט בגזר הדין. </w:t>
      </w:r>
    </w:p>
    <w:p w14:paraId="498E4600" w14:textId="77777777" w:rsidR="00E90E34" w:rsidRDefault="00E90E34" w:rsidP="003F2D92">
      <w:pPr>
        <w:spacing w:line="360" w:lineRule="auto"/>
        <w:ind w:left="-908"/>
        <w:rPr>
          <w:b/>
          <w:bCs/>
          <w:rtl/>
        </w:rPr>
      </w:pPr>
      <w:r>
        <w:rPr>
          <w:sz w:val="6"/>
          <w:szCs w:val="6"/>
          <w:rtl/>
        </w:rPr>
        <w:t>&lt;#3#&gt;</w:t>
      </w:r>
    </w:p>
    <w:p w14:paraId="722059BF" w14:textId="77777777" w:rsidR="00E90E34" w:rsidRDefault="000A79C0" w:rsidP="003F2D92">
      <w:pPr>
        <w:spacing w:line="360" w:lineRule="auto"/>
        <w:ind w:left="4508"/>
        <w:jc w:val="center"/>
        <w:rPr>
          <w:rtl/>
        </w:rPr>
      </w:pPr>
      <w:bookmarkStart w:id="8" w:name="Nitan"/>
      <w:r w:rsidRPr="000A79C0">
        <w:rPr>
          <w:b/>
          <w:bCs/>
          <w:color w:val="FFFFFF"/>
          <w:sz w:val="2"/>
          <w:szCs w:val="2"/>
          <w:rtl/>
        </w:rPr>
        <w:t>5129371</w:t>
      </w:r>
      <w:r>
        <w:rPr>
          <w:b/>
          <w:bCs/>
          <w:rtl/>
        </w:rPr>
        <w:t xml:space="preserve">ניתנה והודעה היום כ"ג תמוז תשפ"ג, 12/07/2023 במעמד הנוכחים. </w:t>
      </w:r>
      <w:bookmarkEnd w:id="8"/>
    </w:p>
    <w:tbl>
      <w:tblPr>
        <w:bidiVisual/>
        <w:tblW w:w="0" w:type="auto"/>
        <w:tblInd w:w="4508" w:type="dxa"/>
        <w:tblBorders>
          <w:insideH w:val="single" w:sz="4" w:space="0" w:color="auto"/>
          <w:insideV w:val="single" w:sz="4" w:space="0" w:color="auto"/>
        </w:tblBorders>
        <w:tblLook w:val="01E0" w:firstRow="1" w:lastRow="1" w:firstColumn="1" w:lastColumn="1" w:noHBand="0" w:noVBand="0"/>
      </w:tblPr>
      <w:tblGrid>
        <w:gridCol w:w="3936"/>
      </w:tblGrid>
      <w:tr w:rsidR="00E90E34" w14:paraId="065C8BA1" w14:textId="77777777" w:rsidTr="00CA5902">
        <w:trPr>
          <w:trHeight w:val="316"/>
        </w:trPr>
        <w:tc>
          <w:tcPr>
            <w:tcW w:w="3936" w:type="dxa"/>
            <w:tcBorders>
              <w:top w:val="nil"/>
              <w:left w:val="nil"/>
              <w:right w:val="nil"/>
            </w:tcBorders>
          </w:tcPr>
          <w:p w14:paraId="5E1FD5DE" w14:textId="77777777" w:rsidR="00E90E34" w:rsidRPr="000A79C0" w:rsidRDefault="000A79C0" w:rsidP="00CA5902">
            <w:pPr>
              <w:spacing w:line="360" w:lineRule="auto"/>
              <w:jc w:val="center"/>
              <w:rPr>
                <w:rFonts w:hint="cs"/>
                <w:color w:val="FFFFFF"/>
                <w:sz w:val="2"/>
                <w:szCs w:val="2"/>
                <w:rtl/>
              </w:rPr>
            </w:pPr>
            <w:r w:rsidRPr="000A79C0">
              <w:rPr>
                <w:color w:val="FFFFFF"/>
                <w:sz w:val="2"/>
                <w:szCs w:val="2"/>
                <w:rtl/>
              </w:rPr>
              <w:t>54678313</w:t>
            </w:r>
          </w:p>
        </w:tc>
      </w:tr>
      <w:tr w:rsidR="00E90E34" w14:paraId="3FE721E4" w14:textId="77777777" w:rsidTr="00CA5902">
        <w:trPr>
          <w:trHeight w:val="361"/>
        </w:trPr>
        <w:tc>
          <w:tcPr>
            <w:tcW w:w="3936" w:type="dxa"/>
            <w:tcBorders>
              <w:left w:val="nil"/>
              <w:bottom w:val="nil"/>
              <w:right w:val="nil"/>
            </w:tcBorders>
          </w:tcPr>
          <w:p w14:paraId="27655B22" w14:textId="77777777" w:rsidR="00E90E34" w:rsidRPr="00CA5902" w:rsidRDefault="00E90E34" w:rsidP="00CA5902">
            <w:pPr>
              <w:spacing w:line="360" w:lineRule="auto"/>
              <w:jc w:val="center"/>
              <w:rPr>
                <w:b/>
                <w:bCs/>
                <w:rtl/>
              </w:rPr>
            </w:pPr>
            <w:r w:rsidRPr="00CA5902">
              <w:rPr>
                <w:b/>
                <w:bCs/>
                <w:rtl/>
              </w:rPr>
              <w:t xml:space="preserve">נגה שמואלי </w:t>
            </w:r>
            <w:r w:rsidRPr="00CA5902">
              <w:rPr>
                <w:b/>
                <w:bCs/>
                <w:vertAlign w:val="superscript"/>
                <w:rtl/>
              </w:rPr>
              <w:t>–</w:t>
            </w:r>
            <w:r w:rsidRPr="00CA5902">
              <w:rPr>
                <w:b/>
                <w:bCs/>
                <w:rtl/>
              </w:rPr>
              <w:t xml:space="preserve"> מאייר, שופטת </w:t>
            </w:r>
          </w:p>
          <w:p w14:paraId="7665F14E" w14:textId="77777777" w:rsidR="00E90E34" w:rsidRPr="00CA5902" w:rsidRDefault="00E90E34" w:rsidP="00CA5902">
            <w:pPr>
              <w:spacing w:line="360" w:lineRule="auto"/>
              <w:jc w:val="center"/>
              <w:rPr>
                <w:b/>
                <w:bCs/>
                <w:rtl/>
              </w:rPr>
            </w:pPr>
            <w:r w:rsidRPr="00CA5902">
              <w:rPr>
                <w:b/>
                <w:bCs/>
                <w:rtl/>
              </w:rPr>
              <w:t>סגנית נשיא</w:t>
            </w:r>
          </w:p>
        </w:tc>
      </w:tr>
    </w:tbl>
    <w:p w14:paraId="210BF8AE" w14:textId="77777777" w:rsidR="00E90E34" w:rsidRPr="000A79C0" w:rsidRDefault="00E90E34" w:rsidP="000A79C0">
      <w:pPr>
        <w:keepNext/>
        <w:spacing w:line="360" w:lineRule="auto"/>
        <w:rPr>
          <w:rFonts w:ascii="David" w:hAnsi="David" w:hint="cs"/>
          <w:color w:val="000000"/>
          <w:sz w:val="22"/>
          <w:szCs w:val="22"/>
          <w:rtl/>
        </w:rPr>
      </w:pPr>
      <w:r w:rsidRPr="00C13E9A">
        <w:rPr>
          <w:i/>
          <w:iCs/>
          <w:sz w:val="20"/>
          <w:szCs w:val="20"/>
          <w:rtl/>
        </w:rPr>
        <w:t>הוקלד ע"י לירז ביטון.</w:t>
      </w:r>
    </w:p>
    <w:p w14:paraId="634FDE4F" w14:textId="77777777" w:rsidR="000A79C0" w:rsidRPr="000A79C0" w:rsidRDefault="000A79C0" w:rsidP="000A79C0">
      <w:pPr>
        <w:keepNext/>
        <w:spacing w:line="360" w:lineRule="auto"/>
        <w:rPr>
          <w:rFonts w:ascii="David" w:hAnsi="David"/>
          <w:color w:val="000000"/>
          <w:sz w:val="22"/>
          <w:szCs w:val="22"/>
          <w:rtl/>
        </w:rPr>
      </w:pPr>
      <w:r w:rsidRPr="000A79C0">
        <w:rPr>
          <w:rFonts w:ascii="David" w:hAnsi="David"/>
          <w:color w:val="000000"/>
          <w:sz w:val="22"/>
          <w:szCs w:val="22"/>
          <w:rtl/>
        </w:rPr>
        <w:t>נגה שמואלי מאייר 54678313</w:t>
      </w:r>
    </w:p>
    <w:p w14:paraId="0A107842" w14:textId="77777777" w:rsidR="000A79C0" w:rsidRDefault="000A79C0" w:rsidP="000A79C0">
      <w:pPr>
        <w:spacing w:line="360" w:lineRule="auto"/>
        <w:rPr>
          <w:rFonts w:ascii="David" w:hAnsi="David"/>
          <w:rtl/>
        </w:rPr>
      </w:pPr>
      <w:r w:rsidRPr="000A79C0">
        <w:rPr>
          <w:rFonts w:ascii="David" w:hAnsi="David"/>
          <w:color w:val="000000"/>
          <w:rtl/>
        </w:rPr>
        <w:t>נוסח מסמך זה כפוף לשינויי ניסוח ועריכה</w:t>
      </w:r>
    </w:p>
    <w:p w14:paraId="34E2439C" w14:textId="77777777" w:rsidR="000A79C0" w:rsidRDefault="000A79C0" w:rsidP="000A79C0">
      <w:pPr>
        <w:spacing w:line="360" w:lineRule="auto"/>
        <w:rPr>
          <w:rFonts w:ascii="David" w:hAnsi="David"/>
          <w:rtl/>
        </w:rPr>
      </w:pPr>
    </w:p>
    <w:p w14:paraId="67488406" w14:textId="77777777" w:rsidR="000A79C0" w:rsidRDefault="000A79C0" w:rsidP="000A79C0">
      <w:pPr>
        <w:spacing w:line="360" w:lineRule="auto"/>
        <w:jc w:val="center"/>
        <w:rPr>
          <w:rFonts w:ascii="David" w:hAnsi="David"/>
          <w:color w:val="0000FF"/>
          <w:u w:val="single"/>
          <w:rtl/>
        </w:rPr>
      </w:pPr>
      <w:hyperlink r:id="rId67" w:history="1">
        <w:r>
          <w:rPr>
            <w:rFonts w:ascii="David" w:hAnsi="David"/>
            <w:color w:val="0000FF"/>
            <w:u w:val="single"/>
            <w:rtl/>
          </w:rPr>
          <w:t>בעניין עריכה ושינויים במסמכי פסיקה, חקיקה ועוד באתר נבו – הקש כאן</w:t>
        </w:r>
      </w:hyperlink>
    </w:p>
    <w:p w14:paraId="63FDB78A" w14:textId="77777777" w:rsidR="000A79C0" w:rsidRPr="000A79C0" w:rsidRDefault="000A79C0" w:rsidP="000A79C0">
      <w:pPr>
        <w:spacing w:line="360" w:lineRule="auto"/>
        <w:jc w:val="center"/>
        <w:rPr>
          <w:rFonts w:ascii="David" w:hAnsi="David" w:hint="cs"/>
          <w:color w:val="0000FF"/>
          <w:u w:val="single"/>
          <w:rtl/>
        </w:rPr>
      </w:pPr>
    </w:p>
    <w:sectPr w:rsidR="000A79C0" w:rsidRPr="000A79C0" w:rsidSect="000A79C0">
      <w:headerReference w:type="even" r:id="rId68"/>
      <w:headerReference w:type="default" r:id="rId69"/>
      <w:footerReference w:type="even" r:id="rId70"/>
      <w:footerReference w:type="default" r:id="rId7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5F3FF" w14:textId="77777777" w:rsidR="0026225B" w:rsidRDefault="0026225B">
      <w:r>
        <w:separator/>
      </w:r>
    </w:p>
  </w:endnote>
  <w:endnote w:type="continuationSeparator" w:id="0">
    <w:p w14:paraId="0A486412" w14:textId="77777777" w:rsidR="0026225B" w:rsidRDefault="0026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EA637" w14:textId="77777777" w:rsidR="000A79C0" w:rsidRDefault="000A79C0" w:rsidP="000A79C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FB7A33" w14:textId="77777777" w:rsidR="000A79C0" w:rsidRPr="000A79C0" w:rsidRDefault="000A79C0" w:rsidP="000A79C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EAE4" w14:textId="77777777" w:rsidR="000A79C0" w:rsidRDefault="000A79C0" w:rsidP="000A79C0">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 xml:space="preserve">PAGE </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D7704B">
      <w:rPr>
        <w:rStyle w:val="ae"/>
        <w:rFonts w:ascii="FrankRuehl" w:hAnsi="FrankRuehl" w:cs="FrankRuehl"/>
        <w:noProof/>
        <w:rtl/>
      </w:rPr>
      <w:t>1</w:t>
    </w:r>
    <w:r>
      <w:rPr>
        <w:rStyle w:val="ae"/>
        <w:rFonts w:ascii="FrankRuehl" w:hAnsi="FrankRuehl" w:cs="FrankRuehl"/>
        <w:rtl/>
      </w:rPr>
      <w:fldChar w:fldCharType="end"/>
    </w:r>
  </w:p>
  <w:p w14:paraId="4F13E9BF" w14:textId="77777777" w:rsidR="00E90E34" w:rsidRPr="000A79C0" w:rsidRDefault="000A79C0" w:rsidP="000A79C0">
    <w:pPr>
      <w:pStyle w:val="a6"/>
      <w:pBdr>
        <w:top w:val="single" w:sz="4" w:space="1" w:color="auto"/>
        <w:between w:val="single" w:sz="4" w:space="0" w:color="auto"/>
      </w:pBdr>
      <w:spacing w:after="60"/>
      <w:jc w:val="center"/>
      <w:rPr>
        <w:rStyle w:val="ae"/>
        <w:rFonts w:ascii="FrankRuehl" w:hAnsi="FrankRuehl" w:cs="FrankRuehl" w:hint="cs"/>
        <w:color w:val="000000"/>
        <w:rtl/>
      </w:rPr>
    </w:pPr>
    <w:r>
      <w:rPr>
        <w:rStyle w:val="ae"/>
        <w:rFonts w:ascii="FrankRuehl" w:hAnsi="FrankRuehl" w:cs="FrankRuehl" w:hint="cs"/>
        <w:color w:val="000000"/>
      </w:rPr>
      <w:pict w14:anchorId="10A706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706A9" w14:textId="77777777" w:rsidR="0026225B" w:rsidRDefault="0026225B">
      <w:r>
        <w:separator/>
      </w:r>
    </w:p>
  </w:footnote>
  <w:footnote w:type="continuationSeparator" w:id="0">
    <w:p w14:paraId="0889D420" w14:textId="77777777" w:rsidR="0026225B" w:rsidRDefault="00262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DF6EB" w14:textId="77777777" w:rsidR="000A79C0" w:rsidRPr="000A79C0" w:rsidRDefault="000A79C0" w:rsidP="000A79C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17242-03-22</w:t>
    </w:r>
    <w:r>
      <w:rPr>
        <w:rFonts w:ascii="David" w:hAnsi="David"/>
        <w:color w:val="000000"/>
        <w:sz w:val="22"/>
        <w:szCs w:val="22"/>
        <w:rtl/>
      </w:rPr>
      <w:tab/>
      <w:t xml:space="preserve"> מדינת ישראל נ' משה אלול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E0769" w14:textId="77777777" w:rsidR="00E90E34" w:rsidRPr="000A79C0" w:rsidRDefault="000A79C0" w:rsidP="000A79C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17242-03-22</w:t>
    </w:r>
    <w:r>
      <w:rPr>
        <w:rFonts w:ascii="David" w:hAnsi="David"/>
        <w:color w:val="000000"/>
        <w:sz w:val="22"/>
        <w:szCs w:val="22"/>
        <w:rtl/>
      </w:rPr>
      <w:tab/>
      <w:t xml:space="preserve"> מדינת ישראל נ' משה אלול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BC5D8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BA8A1A4"/>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6D407B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650007F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D612179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4C02A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52055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B663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AC964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2944A22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b w:val="0"/>
        <w:bCs/>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12" w15:restartNumberingAfterBreak="0">
    <w:nsid w:val="3A813572"/>
    <w:multiLevelType w:val="hybridMultilevel"/>
    <w:tmpl w:val="B80885EE"/>
    <w:lvl w:ilvl="0" w:tplc="A03C8530">
      <w:start w:val="1"/>
      <w:numFmt w:val="hebrew1"/>
      <w:lvlText w:val="%1."/>
      <w:lvlJc w:val="center"/>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BDD1C20"/>
    <w:multiLevelType w:val="hybridMultilevel"/>
    <w:tmpl w:val="3D8A63FC"/>
    <w:lvl w:ilvl="0" w:tplc="0409000F">
      <w:start w:val="1"/>
      <w:numFmt w:val="decimal"/>
      <w:lvlText w:val="%1."/>
      <w:lvlJc w:val="left"/>
      <w:pPr>
        <w:ind w:left="-46" w:hanging="360"/>
      </w:pPr>
      <w:rPr>
        <w:rFonts w:cs="Times New Roman"/>
      </w:rPr>
    </w:lvl>
    <w:lvl w:ilvl="1" w:tplc="CD3E47AC">
      <w:start w:val="1"/>
      <w:numFmt w:val="hebrew1"/>
      <w:lvlText w:val="%2."/>
      <w:lvlJc w:val="left"/>
      <w:pPr>
        <w:ind w:left="674" w:hanging="360"/>
      </w:pPr>
      <w:rPr>
        <w:rFonts w:cs="Times New Roman"/>
      </w:rPr>
    </w:lvl>
    <w:lvl w:ilvl="2" w:tplc="0409001B">
      <w:start w:val="1"/>
      <w:numFmt w:val="lowerRoman"/>
      <w:lvlText w:val="%3."/>
      <w:lvlJc w:val="right"/>
      <w:pPr>
        <w:ind w:left="1394" w:hanging="180"/>
      </w:pPr>
      <w:rPr>
        <w:rFonts w:cs="Times New Roman"/>
      </w:rPr>
    </w:lvl>
    <w:lvl w:ilvl="3" w:tplc="0409000F">
      <w:start w:val="1"/>
      <w:numFmt w:val="decimal"/>
      <w:lvlText w:val="%4."/>
      <w:lvlJc w:val="left"/>
      <w:pPr>
        <w:ind w:left="2114" w:hanging="360"/>
      </w:pPr>
      <w:rPr>
        <w:rFonts w:cs="Times New Roman"/>
      </w:rPr>
    </w:lvl>
    <w:lvl w:ilvl="4" w:tplc="04090019">
      <w:start w:val="1"/>
      <w:numFmt w:val="lowerLetter"/>
      <w:lvlText w:val="%5."/>
      <w:lvlJc w:val="left"/>
      <w:pPr>
        <w:ind w:left="2834" w:hanging="360"/>
      </w:pPr>
      <w:rPr>
        <w:rFonts w:cs="Times New Roman"/>
      </w:rPr>
    </w:lvl>
    <w:lvl w:ilvl="5" w:tplc="0409001B">
      <w:start w:val="1"/>
      <w:numFmt w:val="lowerRoman"/>
      <w:lvlText w:val="%6."/>
      <w:lvlJc w:val="right"/>
      <w:pPr>
        <w:ind w:left="3554" w:hanging="180"/>
      </w:pPr>
      <w:rPr>
        <w:rFonts w:cs="Times New Roman"/>
      </w:rPr>
    </w:lvl>
    <w:lvl w:ilvl="6" w:tplc="0409000F">
      <w:start w:val="1"/>
      <w:numFmt w:val="decimal"/>
      <w:lvlText w:val="%7."/>
      <w:lvlJc w:val="left"/>
      <w:pPr>
        <w:ind w:left="4274" w:hanging="360"/>
      </w:pPr>
      <w:rPr>
        <w:rFonts w:cs="Times New Roman"/>
      </w:rPr>
    </w:lvl>
    <w:lvl w:ilvl="7" w:tplc="04090019">
      <w:start w:val="1"/>
      <w:numFmt w:val="lowerLetter"/>
      <w:lvlText w:val="%8."/>
      <w:lvlJc w:val="left"/>
      <w:pPr>
        <w:ind w:left="4994" w:hanging="360"/>
      </w:pPr>
      <w:rPr>
        <w:rFonts w:cs="Times New Roman"/>
      </w:rPr>
    </w:lvl>
    <w:lvl w:ilvl="8" w:tplc="0409001B">
      <w:start w:val="1"/>
      <w:numFmt w:val="lowerRoman"/>
      <w:lvlText w:val="%9."/>
      <w:lvlJc w:val="right"/>
      <w:pPr>
        <w:ind w:left="5714" w:hanging="180"/>
      </w:pPr>
      <w:rPr>
        <w:rFonts w:cs="Times New Roman"/>
      </w:rPr>
    </w:lvl>
  </w:abstractNum>
  <w:abstractNum w:abstractNumId="14" w15:restartNumberingAfterBreak="0">
    <w:nsid w:val="60C2413E"/>
    <w:multiLevelType w:val="hybridMultilevel"/>
    <w:tmpl w:val="4ACE219C"/>
    <w:lvl w:ilvl="0" w:tplc="39F60BB0">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633E1DE5"/>
    <w:multiLevelType w:val="hybridMultilevel"/>
    <w:tmpl w:val="917E120C"/>
    <w:lvl w:ilvl="0" w:tplc="DAF80296">
      <w:start w:val="1"/>
      <w:numFmt w:val="hebrew1"/>
      <w:lvlText w:val="%1."/>
      <w:lvlJc w:val="center"/>
      <w:pPr>
        <w:ind w:left="720" w:hanging="360"/>
      </w:pPr>
      <w:rPr>
        <w:rFonts w:cs="Times New Roman"/>
        <w:sz w:val="32"/>
        <w:szCs w:val="28"/>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70A37DF8"/>
    <w:multiLevelType w:val="hybridMultilevel"/>
    <w:tmpl w:val="D1485296"/>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41763611">
    <w:abstractNumId w:val="8"/>
  </w:num>
  <w:num w:numId="2" w16cid:durableId="1845777025">
    <w:abstractNumId w:val="3"/>
  </w:num>
  <w:num w:numId="3" w16cid:durableId="1402601914">
    <w:abstractNumId w:val="2"/>
  </w:num>
  <w:num w:numId="4" w16cid:durableId="1791892676">
    <w:abstractNumId w:val="1"/>
  </w:num>
  <w:num w:numId="5" w16cid:durableId="976833037">
    <w:abstractNumId w:val="0"/>
  </w:num>
  <w:num w:numId="6" w16cid:durableId="694157825">
    <w:abstractNumId w:val="9"/>
  </w:num>
  <w:num w:numId="7" w16cid:durableId="204753443">
    <w:abstractNumId w:val="7"/>
  </w:num>
  <w:num w:numId="8" w16cid:durableId="1914044626">
    <w:abstractNumId w:val="6"/>
  </w:num>
  <w:num w:numId="9" w16cid:durableId="509760963">
    <w:abstractNumId w:val="5"/>
  </w:num>
  <w:num w:numId="10" w16cid:durableId="1887644603">
    <w:abstractNumId w:val="4"/>
  </w:num>
  <w:num w:numId="11" w16cid:durableId="16980003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29185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617654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673506">
    <w:abstractNumId w:val="11"/>
  </w:num>
  <w:num w:numId="15" w16cid:durableId="997658700">
    <w:abstractNumId w:val="16"/>
  </w:num>
  <w:num w:numId="16" w16cid:durableId="1450855282">
    <w:abstractNumId w:val="10"/>
  </w:num>
  <w:num w:numId="17" w16cid:durableId="207306797">
    <w:abstractNumId w:val="8"/>
  </w:num>
  <w:num w:numId="18" w16cid:durableId="1030228850">
    <w:abstractNumId w:val="3"/>
  </w:num>
  <w:num w:numId="19" w16cid:durableId="1057510472">
    <w:abstractNumId w:val="2"/>
  </w:num>
  <w:num w:numId="20" w16cid:durableId="217517100">
    <w:abstractNumId w:val="1"/>
  </w:num>
  <w:num w:numId="21" w16cid:durableId="779489511">
    <w:abstractNumId w:val="0"/>
  </w:num>
  <w:num w:numId="22" w16cid:durableId="611476988">
    <w:abstractNumId w:val="9"/>
  </w:num>
  <w:num w:numId="23" w16cid:durableId="1358040309">
    <w:abstractNumId w:val="7"/>
  </w:num>
  <w:num w:numId="24" w16cid:durableId="1472673067">
    <w:abstractNumId w:val="6"/>
  </w:num>
  <w:num w:numId="25" w16cid:durableId="1940290364">
    <w:abstractNumId w:val="5"/>
  </w:num>
  <w:num w:numId="26" w16cid:durableId="2123911381">
    <w:abstractNumId w:val="4"/>
  </w:num>
  <w:num w:numId="27" w16cid:durableId="996568706">
    <w:abstractNumId w:val="15"/>
  </w:num>
  <w:num w:numId="28" w16cid:durableId="1210067217">
    <w:abstractNumId w:val="14"/>
  </w:num>
  <w:num w:numId="29" w16cid:durableId="978341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9265E"/>
    <w:rsid w:val="00096AF7"/>
    <w:rsid w:val="000A79C0"/>
    <w:rsid w:val="000C3B0F"/>
    <w:rsid w:val="000F0BC8"/>
    <w:rsid w:val="00104B8B"/>
    <w:rsid w:val="00107E6D"/>
    <w:rsid w:val="00140153"/>
    <w:rsid w:val="00144D2A"/>
    <w:rsid w:val="00162E18"/>
    <w:rsid w:val="00180519"/>
    <w:rsid w:val="001C4003"/>
    <w:rsid w:val="002265FF"/>
    <w:rsid w:val="0026225B"/>
    <w:rsid w:val="002C0AB4"/>
    <w:rsid w:val="002F458E"/>
    <w:rsid w:val="00307A6A"/>
    <w:rsid w:val="00307C40"/>
    <w:rsid w:val="003176A8"/>
    <w:rsid w:val="00320433"/>
    <w:rsid w:val="0036743F"/>
    <w:rsid w:val="003A0AA0"/>
    <w:rsid w:val="003A720C"/>
    <w:rsid w:val="003F2D92"/>
    <w:rsid w:val="003F4CCE"/>
    <w:rsid w:val="0043125D"/>
    <w:rsid w:val="0043502B"/>
    <w:rsid w:val="004C4BDF"/>
    <w:rsid w:val="004D1187"/>
    <w:rsid w:val="004E6E3C"/>
    <w:rsid w:val="005268F6"/>
    <w:rsid w:val="00547DB7"/>
    <w:rsid w:val="005B6EE0"/>
    <w:rsid w:val="005E7FD3"/>
    <w:rsid w:val="006047AB"/>
    <w:rsid w:val="0061449A"/>
    <w:rsid w:val="00622BAA"/>
    <w:rsid w:val="00624909"/>
    <w:rsid w:val="00634B9D"/>
    <w:rsid w:val="00671BD5"/>
    <w:rsid w:val="006805C1"/>
    <w:rsid w:val="00694556"/>
    <w:rsid w:val="006E1A53"/>
    <w:rsid w:val="00724178"/>
    <w:rsid w:val="007468CF"/>
    <w:rsid w:val="00772B77"/>
    <w:rsid w:val="007E6115"/>
    <w:rsid w:val="0080179A"/>
    <w:rsid w:val="00820005"/>
    <w:rsid w:val="00877DAE"/>
    <w:rsid w:val="00896889"/>
    <w:rsid w:val="008C0CC9"/>
    <w:rsid w:val="008C5714"/>
    <w:rsid w:val="008F05BE"/>
    <w:rsid w:val="00903896"/>
    <w:rsid w:val="00906127"/>
    <w:rsid w:val="00906F3D"/>
    <w:rsid w:val="00A07C19"/>
    <w:rsid w:val="00A927FD"/>
    <w:rsid w:val="00A94B64"/>
    <w:rsid w:val="00AC5209"/>
    <w:rsid w:val="00B15847"/>
    <w:rsid w:val="00B16851"/>
    <w:rsid w:val="00B80CBD"/>
    <w:rsid w:val="00B86096"/>
    <w:rsid w:val="00BE790C"/>
    <w:rsid w:val="00BF1908"/>
    <w:rsid w:val="00C13E9A"/>
    <w:rsid w:val="00C219C8"/>
    <w:rsid w:val="00C22D93"/>
    <w:rsid w:val="00C23220"/>
    <w:rsid w:val="00C34482"/>
    <w:rsid w:val="00CA5902"/>
    <w:rsid w:val="00D33B86"/>
    <w:rsid w:val="00D53924"/>
    <w:rsid w:val="00D621F3"/>
    <w:rsid w:val="00D7704B"/>
    <w:rsid w:val="00D92DB4"/>
    <w:rsid w:val="00D96D8C"/>
    <w:rsid w:val="00DA6649"/>
    <w:rsid w:val="00E54642"/>
    <w:rsid w:val="00E74E0D"/>
    <w:rsid w:val="00E90E34"/>
    <w:rsid w:val="00EC37E9"/>
    <w:rsid w:val="00F44A24"/>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D4D36E"/>
  <w15:chartTrackingRefBased/>
  <w15:docId w15:val="{ADC4DDEA-59F8-48BF-93A9-D143FC6F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C23220"/>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C13E9A"/>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C13E9A"/>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C13E9A"/>
    <w:pPr>
      <w:keepNext/>
      <w:keepLines/>
      <w:spacing w:before="40"/>
      <w:outlineLvl w:val="4"/>
    </w:pPr>
    <w:rPr>
      <w:rFonts w:ascii="Cambria" w:hAnsi="Cambria" w:cs="Times New Roman"/>
      <w:color w:val="365F91"/>
    </w:rPr>
  </w:style>
  <w:style w:type="paragraph" w:styleId="6">
    <w:name w:val="heading 6"/>
    <w:basedOn w:val="a1"/>
    <w:next w:val="a1"/>
    <w:link w:val="60"/>
    <w:qFormat/>
    <w:rsid w:val="00C13E9A"/>
    <w:pPr>
      <w:keepNext/>
      <w:keepLines/>
      <w:spacing w:before="40"/>
      <w:outlineLvl w:val="5"/>
    </w:pPr>
    <w:rPr>
      <w:rFonts w:ascii="Cambria" w:hAnsi="Cambria" w:cs="Times New Roman"/>
      <w:color w:val="243F60"/>
    </w:rPr>
  </w:style>
  <w:style w:type="paragraph" w:styleId="7">
    <w:name w:val="heading 7"/>
    <w:basedOn w:val="a1"/>
    <w:next w:val="a1"/>
    <w:link w:val="70"/>
    <w:qFormat/>
    <w:rsid w:val="00C13E9A"/>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C13E9A"/>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C13E9A"/>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style>
  <w:style w:type="character" w:styleId="ae">
    <w:name w:val="page number"/>
    <w:basedOn w:val="a2"/>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C23220"/>
    <w:rPr>
      <w:rFonts w:ascii="Cambria" w:hAnsi="Cambria"/>
      <w:color w:val="365F91"/>
      <w:sz w:val="32"/>
    </w:rPr>
  </w:style>
  <w:style w:type="character" w:styleId="Hyperlink">
    <w:name w:val="Hyperlink"/>
    <w:semiHidden/>
    <w:rsid w:val="00C23220"/>
    <w:rPr>
      <w:color w:val="0000FF"/>
      <w:u w:val="single"/>
    </w:rPr>
  </w:style>
  <w:style w:type="character" w:customStyle="1" w:styleId="af">
    <w:name w:val="פיסקת רשימה תו"/>
    <w:link w:val="af0"/>
    <w:locked/>
    <w:rsid w:val="00C23220"/>
    <w:rPr>
      <w:rFonts w:ascii="David" w:hAnsi="David"/>
      <w:sz w:val="24"/>
    </w:rPr>
  </w:style>
  <w:style w:type="paragraph" w:styleId="af0">
    <w:name w:val="List Paragraph"/>
    <w:basedOn w:val="a1"/>
    <w:link w:val="af"/>
    <w:qFormat/>
    <w:rsid w:val="00C23220"/>
    <w:pPr>
      <w:spacing w:after="160" w:line="360" w:lineRule="auto"/>
      <w:ind w:left="720" w:hanging="357"/>
      <w:contextualSpacing/>
      <w:jc w:val="both"/>
    </w:pPr>
    <w:rPr>
      <w:rFonts w:ascii="David" w:hAnsi="David"/>
    </w:rPr>
  </w:style>
  <w:style w:type="character" w:customStyle="1" w:styleId="ListParagraphChar">
    <w:name w:val="List Paragraph Char"/>
    <w:link w:val="12"/>
    <w:locked/>
    <w:rsid w:val="00C23220"/>
    <w:rPr>
      <w:rFonts w:ascii="David" w:hAnsi="David"/>
      <w:sz w:val="24"/>
    </w:rPr>
  </w:style>
  <w:style w:type="paragraph" w:customStyle="1" w:styleId="12">
    <w:name w:val="פיסקת רשימה1"/>
    <w:basedOn w:val="a1"/>
    <w:link w:val="ListParagraphChar"/>
    <w:rsid w:val="00C23220"/>
    <w:pPr>
      <w:spacing w:after="160" w:line="360" w:lineRule="auto"/>
      <w:ind w:left="720" w:hanging="357"/>
      <w:contextualSpacing/>
      <w:jc w:val="both"/>
    </w:pPr>
    <w:rPr>
      <w:rFonts w:ascii="David" w:hAnsi="David"/>
    </w:rPr>
  </w:style>
  <w:style w:type="character" w:styleId="FollowedHyperlink">
    <w:name w:val="FollowedHyperlink"/>
    <w:semiHidden/>
    <w:rsid w:val="00C13E9A"/>
    <w:rPr>
      <w:color w:val="800080"/>
      <w:u w:val="single"/>
    </w:rPr>
  </w:style>
  <w:style w:type="character" w:styleId="HTMLCite">
    <w:name w:val="HTML Cite"/>
    <w:semiHidden/>
    <w:rsid w:val="00C13E9A"/>
    <w:rPr>
      <w:i/>
    </w:rPr>
  </w:style>
  <w:style w:type="character" w:styleId="HTMLCode">
    <w:name w:val="HTML Code"/>
    <w:semiHidden/>
    <w:rsid w:val="00C13E9A"/>
    <w:rPr>
      <w:rFonts w:ascii="Consolas" w:hAnsi="Consolas"/>
      <w:sz w:val="20"/>
    </w:rPr>
  </w:style>
  <w:style w:type="character" w:styleId="HTMLDefinition">
    <w:name w:val="HTML Definition"/>
    <w:semiHidden/>
    <w:rsid w:val="00C13E9A"/>
    <w:rPr>
      <w:i/>
    </w:rPr>
  </w:style>
  <w:style w:type="character" w:styleId="HTMLVariable">
    <w:name w:val="HTML Variable"/>
    <w:semiHidden/>
    <w:rsid w:val="00C13E9A"/>
    <w:rPr>
      <w:i/>
    </w:rPr>
  </w:style>
  <w:style w:type="paragraph" w:styleId="HTML">
    <w:name w:val="HTML Preformatted"/>
    <w:basedOn w:val="a1"/>
    <w:link w:val="HTML0"/>
    <w:semiHidden/>
    <w:rsid w:val="00C13E9A"/>
    <w:rPr>
      <w:rFonts w:ascii="Consolas" w:hAnsi="Consolas"/>
      <w:sz w:val="20"/>
      <w:szCs w:val="20"/>
    </w:rPr>
  </w:style>
  <w:style w:type="character" w:customStyle="1" w:styleId="HTML0">
    <w:name w:val="HTML מעוצב מראש תו"/>
    <w:link w:val="HTML"/>
    <w:semiHidden/>
    <w:locked/>
    <w:rsid w:val="00C13E9A"/>
    <w:rPr>
      <w:rFonts w:ascii="Consolas" w:hAnsi="Consolas"/>
    </w:rPr>
  </w:style>
  <w:style w:type="paragraph" w:styleId="Index1">
    <w:name w:val="index 1"/>
    <w:basedOn w:val="a1"/>
    <w:next w:val="a1"/>
    <w:autoRedefine/>
    <w:semiHidden/>
    <w:rsid w:val="00C13E9A"/>
    <w:pPr>
      <w:ind w:left="240" w:hanging="240"/>
    </w:pPr>
  </w:style>
  <w:style w:type="paragraph" w:styleId="Index2">
    <w:name w:val="index 2"/>
    <w:basedOn w:val="a1"/>
    <w:next w:val="a1"/>
    <w:autoRedefine/>
    <w:semiHidden/>
    <w:rsid w:val="00C13E9A"/>
    <w:pPr>
      <w:ind w:left="480" w:hanging="240"/>
    </w:pPr>
  </w:style>
  <w:style w:type="paragraph" w:styleId="Index3">
    <w:name w:val="index 3"/>
    <w:basedOn w:val="a1"/>
    <w:next w:val="a1"/>
    <w:autoRedefine/>
    <w:semiHidden/>
    <w:rsid w:val="00C13E9A"/>
    <w:pPr>
      <w:ind w:left="720" w:hanging="240"/>
    </w:pPr>
  </w:style>
  <w:style w:type="paragraph" w:styleId="Index4">
    <w:name w:val="index 4"/>
    <w:basedOn w:val="a1"/>
    <w:next w:val="a1"/>
    <w:autoRedefine/>
    <w:semiHidden/>
    <w:rsid w:val="00C13E9A"/>
    <w:pPr>
      <w:ind w:left="960" w:hanging="240"/>
    </w:pPr>
  </w:style>
  <w:style w:type="paragraph" w:styleId="Index5">
    <w:name w:val="index 5"/>
    <w:basedOn w:val="a1"/>
    <w:next w:val="a1"/>
    <w:autoRedefine/>
    <w:semiHidden/>
    <w:rsid w:val="00C13E9A"/>
    <w:pPr>
      <w:ind w:left="1200" w:hanging="240"/>
    </w:pPr>
  </w:style>
  <w:style w:type="paragraph" w:styleId="Index6">
    <w:name w:val="index 6"/>
    <w:basedOn w:val="a1"/>
    <w:next w:val="a1"/>
    <w:autoRedefine/>
    <w:semiHidden/>
    <w:rsid w:val="00C13E9A"/>
    <w:pPr>
      <w:ind w:left="1440" w:hanging="240"/>
    </w:pPr>
  </w:style>
  <w:style w:type="paragraph" w:styleId="Index7">
    <w:name w:val="index 7"/>
    <w:basedOn w:val="a1"/>
    <w:next w:val="a1"/>
    <w:autoRedefine/>
    <w:semiHidden/>
    <w:rsid w:val="00C13E9A"/>
    <w:pPr>
      <w:ind w:left="1680" w:hanging="240"/>
    </w:pPr>
  </w:style>
  <w:style w:type="paragraph" w:styleId="Index8">
    <w:name w:val="index 8"/>
    <w:basedOn w:val="a1"/>
    <w:next w:val="a1"/>
    <w:autoRedefine/>
    <w:semiHidden/>
    <w:rsid w:val="00C13E9A"/>
    <w:pPr>
      <w:ind w:left="1920" w:hanging="240"/>
    </w:pPr>
  </w:style>
  <w:style w:type="paragraph" w:styleId="Index9">
    <w:name w:val="index 9"/>
    <w:basedOn w:val="a1"/>
    <w:next w:val="a1"/>
    <w:autoRedefine/>
    <w:semiHidden/>
    <w:rsid w:val="00C13E9A"/>
    <w:pPr>
      <w:ind w:left="2160" w:hanging="240"/>
    </w:pPr>
  </w:style>
  <w:style w:type="paragraph" w:styleId="NormalWeb">
    <w:name w:val="Normal (Web)"/>
    <w:basedOn w:val="a1"/>
    <w:semiHidden/>
    <w:rsid w:val="00C13E9A"/>
    <w:rPr>
      <w:rFonts w:cs="Times New Roman"/>
    </w:rPr>
  </w:style>
  <w:style w:type="paragraph" w:styleId="TOC1">
    <w:name w:val="toc 1"/>
    <w:basedOn w:val="a1"/>
    <w:next w:val="a1"/>
    <w:autoRedefine/>
    <w:semiHidden/>
    <w:rsid w:val="00C13E9A"/>
    <w:pPr>
      <w:spacing w:after="100"/>
    </w:pPr>
  </w:style>
  <w:style w:type="paragraph" w:styleId="TOC2">
    <w:name w:val="toc 2"/>
    <w:basedOn w:val="a1"/>
    <w:next w:val="a1"/>
    <w:autoRedefine/>
    <w:semiHidden/>
    <w:rsid w:val="00C13E9A"/>
    <w:pPr>
      <w:spacing w:after="100"/>
      <w:ind w:left="240"/>
    </w:pPr>
  </w:style>
  <w:style w:type="paragraph" w:styleId="TOC3">
    <w:name w:val="toc 3"/>
    <w:basedOn w:val="a1"/>
    <w:next w:val="a1"/>
    <w:autoRedefine/>
    <w:semiHidden/>
    <w:rsid w:val="00C13E9A"/>
    <w:pPr>
      <w:spacing w:after="100"/>
      <w:ind w:left="480"/>
    </w:pPr>
  </w:style>
  <w:style w:type="paragraph" w:styleId="TOC4">
    <w:name w:val="toc 4"/>
    <w:basedOn w:val="a1"/>
    <w:next w:val="a1"/>
    <w:autoRedefine/>
    <w:semiHidden/>
    <w:rsid w:val="00C13E9A"/>
    <w:pPr>
      <w:spacing w:after="100"/>
      <w:ind w:left="720"/>
    </w:pPr>
  </w:style>
  <w:style w:type="paragraph" w:styleId="TOC5">
    <w:name w:val="toc 5"/>
    <w:basedOn w:val="a1"/>
    <w:next w:val="a1"/>
    <w:autoRedefine/>
    <w:semiHidden/>
    <w:rsid w:val="00C13E9A"/>
    <w:pPr>
      <w:spacing w:after="100"/>
      <w:ind w:left="960"/>
    </w:pPr>
  </w:style>
  <w:style w:type="paragraph" w:styleId="TOC6">
    <w:name w:val="toc 6"/>
    <w:basedOn w:val="a1"/>
    <w:next w:val="a1"/>
    <w:autoRedefine/>
    <w:semiHidden/>
    <w:rsid w:val="00C13E9A"/>
    <w:pPr>
      <w:spacing w:after="100"/>
      <w:ind w:left="1200"/>
    </w:pPr>
  </w:style>
  <w:style w:type="paragraph" w:styleId="TOC7">
    <w:name w:val="toc 7"/>
    <w:basedOn w:val="a1"/>
    <w:next w:val="a1"/>
    <w:autoRedefine/>
    <w:semiHidden/>
    <w:rsid w:val="00C13E9A"/>
    <w:pPr>
      <w:spacing w:after="100"/>
      <w:ind w:left="1440"/>
    </w:pPr>
  </w:style>
  <w:style w:type="paragraph" w:styleId="TOC8">
    <w:name w:val="toc 8"/>
    <w:basedOn w:val="a1"/>
    <w:next w:val="a1"/>
    <w:autoRedefine/>
    <w:semiHidden/>
    <w:rsid w:val="00C13E9A"/>
    <w:pPr>
      <w:spacing w:after="100"/>
      <w:ind w:left="1680"/>
    </w:pPr>
  </w:style>
  <w:style w:type="paragraph" w:styleId="TOC9">
    <w:name w:val="toc 9"/>
    <w:basedOn w:val="a1"/>
    <w:next w:val="a1"/>
    <w:autoRedefine/>
    <w:semiHidden/>
    <w:rsid w:val="00C13E9A"/>
    <w:pPr>
      <w:spacing w:after="100"/>
      <w:ind w:left="1920"/>
    </w:pPr>
  </w:style>
  <w:style w:type="table" w:styleId="-1">
    <w:name w:val="Table 3D effects 1"/>
    <w:basedOn w:val="a3"/>
    <w:semiHidden/>
    <w:rsid w:val="00C13E9A"/>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C13E9A"/>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C13E9A"/>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1">
    <w:name w:val="Bibliography"/>
    <w:basedOn w:val="a1"/>
    <w:next w:val="a1"/>
    <w:semiHidden/>
    <w:rsid w:val="00C13E9A"/>
  </w:style>
  <w:style w:type="paragraph" w:styleId="af2">
    <w:name w:val="Salutation"/>
    <w:basedOn w:val="a1"/>
    <w:next w:val="a1"/>
    <w:link w:val="af3"/>
    <w:rsid w:val="00C13E9A"/>
  </w:style>
  <w:style w:type="character" w:customStyle="1" w:styleId="af3">
    <w:name w:val="ברכה תו"/>
    <w:link w:val="af2"/>
    <w:locked/>
    <w:rsid w:val="00C13E9A"/>
    <w:rPr>
      <w:sz w:val="24"/>
    </w:rPr>
  </w:style>
  <w:style w:type="paragraph" w:styleId="af4">
    <w:name w:val="Body Text"/>
    <w:basedOn w:val="a1"/>
    <w:link w:val="af5"/>
    <w:semiHidden/>
    <w:rsid w:val="00C13E9A"/>
    <w:pPr>
      <w:spacing w:after="120"/>
    </w:pPr>
  </w:style>
  <w:style w:type="character" w:customStyle="1" w:styleId="af5">
    <w:name w:val="גוף טקסט תו"/>
    <w:link w:val="af4"/>
    <w:semiHidden/>
    <w:locked/>
    <w:rsid w:val="00C13E9A"/>
    <w:rPr>
      <w:sz w:val="24"/>
    </w:rPr>
  </w:style>
  <w:style w:type="paragraph" w:styleId="23">
    <w:name w:val="Body Text 2"/>
    <w:basedOn w:val="a1"/>
    <w:link w:val="24"/>
    <w:semiHidden/>
    <w:rsid w:val="00C13E9A"/>
    <w:pPr>
      <w:spacing w:after="120" w:line="480" w:lineRule="auto"/>
    </w:pPr>
  </w:style>
  <w:style w:type="character" w:customStyle="1" w:styleId="24">
    <w:name w:val="גוף טקסט 2 תו"/>
    <w:link w:val="23"/>
    <w:semiHidden/>
    <w:locked/>
    <w:rsid w:val="00C13E9A"/>
    <w:rPr>
      <w:sz w:val="24"/>
    </w:rPr>
  </w:style>
  <w:style w:type="paragraph" w:styleId="33">
    <w:name w:val="Body Text 3"/>
    <w:basedOn w:val="a1"/>
    <w:link w:val="34"/>
    <w:semiHidden/>
    <w:rsid w:val="00C13E9A"/>
    <w:pPr>
      <w:spacing w:after="120"/>
    </w:pPr>
    <w:rPr>
      <w:sz w:val="16"/>
      <w:szCs w:val="16"/>
    </w:rPr>
  </w:style>
  <w:style w:type="character" w:customStyle="1" w:styleId="34">
    <w:name w:val="גוף טקסט 3 תו"/>
    <w:link w:val="33"/>
    <w:semiHidden/>
    <w:locked/>
    <w:rsid w:val="00C13E9A"/>
    <w:rPr>
      <w:sz w:val="16"/>
    </w:rPr>
  </w:style>
  <w:style w:type="character" w:styleId="HTML1">
    <w:name w:val="HTML Sample"/>
    <w:semiHidden/>
    <w:rsid w:val="00C13E9A"/>
    <w:rPr>
      <w:rFonts w:ascii="Consolas" w:hAnsi="Consolas"/>
      <w:sz w:val="24"/>
    </w:rPr>
  </w:style>
  <w:style w:type="character" w:styleId="af6">
    <w:name w:val="Emphasis"/>
    <w:qFormat/>
    <w:rsid w:val="00C13E9A"/>
    <w:rPr>
      <w:i/>
    </w:rPr>
  </w:style>
  <w:style w:type="character" w:styleId="af7">
    <w:name w:val="Intense Emphasis"/>
    <w:qFormat/>
    <w:rsid w:val="00C13E9A"/>
    <w:rPr>
      <w:i/>
      <w:color w:val="4F81BD"/>
    </w:rPr>
  </w:style>
  <w:style w:type="character" w:styleId="af8">
    <w:name w:val="Subtle Emphasis"/>
    <w:qFormat/>
    <w:rsid w:val="00C13E9A"/>
    <w:rPr>
      <w:i/>
      <w:color w:val="404040"/>
    </w:rPr>
  </w:style>
  <w:style w:type="paragraph" w:styleId="af9">
    <w:name w:val="List Continue"/>
    <w:basedOn w:val="a1"/>
    <w:semiHidden/>
    <w:rsid w:val="00C13E9A"/>
    <w:pPr>
      <w:spacing w:after="120"/>
      <w:ind w:left="283"/>
      <w:contextualSpacing/>
    </w:pPr>
  </w:style>
  <w:style w:type="paragraph" w:styleId="25">
    <w:name w:val="List Continue 2"/>
    <w:basedOn w:val="a1"/>
    <w:semiHidden/>
    <w:rsid w:val="00C13E9A"/>
    <w:pPr>
      <w:spacing w:after="120"/>
      <w:ind w:left="566"/>
      <w:contextualSpacing/>
    </w:pPr>
  </w:style>
  <w:style w:type="paragraph" w:styleId="35">
    <w:name w:val="List Continue 3"/>
    <w:basedOn w:val="a1"/>
    <w:semiHidden/>
    <w:rsid w:val="00C13E9A"/>
    <w:pPr>
      <w:spacing w:after="120"/>
      <w:ind w:left="849"/>
      <w:contextualSpacing/>
    </w:pPr>
  </w:style>
  <w:style w:type="paragraph" w:styleId="42">
    <w:name w:val="List Continue 4"/>
    <w:basedOn w:val="a1"/>
    <w:semiHidden/>
    <w:rsid w:val="00C13E9A"/>
    <w:pPr>
      <w:spacing w:after="120"/>
      <w:ind w:left="1132"/>
      <w:contextualSpacing/>
    </w:pPr>
  </w:style>
  <w:style w:type="paragraph" w:styleId="53">
    <w:name w:val="List Continue 5"/>
    <w:basedOn w:val="a1"/>
    <w:semiHidden/>
    <w:rsid w:val="00C13E9A"/>
    <w:pPr>
      <w:spacing w:after="120"/>
      <w:ind w:left="1415"/>
      <w:contextualSpacing/>
    </w:pPr>
  </w:style>
  <w:style w:type="character" w:styleId="afa">
    <w:name w:val="Intense Reference"/>
    <w:qFormat/>
    <w:rsid w:val="00C13E9A"/>
    <w:rPr>
      <w:b/>
      <w:smallCaps/>
      <w:color w:val="4F81BD"/>
      <w:spacing w:val="5"/>
    </w:rPr>
  </w:style>
  <w:style w:type="character" w:styleId="afb">
    <w:name w:val="endnote reference"/>
    <w:semiHidden/>
    <w:rsid w:val="00C13E9A"/>
    <w:rPr>
      <w:vertAlign w:val="superscript"/>
    </w:rPr>
  </w:style>
  <w:style w:type="character" w:styleId="afc">
    <w:name w:val="footnote reference"/>
    <w:semiHidden/>
    <w:rsid w:val="00C13E9A"/>
    <w:rPr>
      <w:vertAlign w:val="superscript"/>
    </w:rPr>
  </w:style>
  <w:style w:type="character" w:styleId="afd">
    <w:name w:val="Subtle Reference"/>
    <w:qFormat/>
    <w:rsid w:val="00C13E9A"/>
    <w:rPr>
      <w:smallCaps/>
      <w:color w:val="5A5A5A"/>
    </w:rPr>
  </w:style>
  <w:style w:type="table" w:styleId="afe">
    <w:name w:val="Light Shading"/>
    <w:rsid w:val="00C13E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C13E9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C13E9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C13E9A"/>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C13E9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C13E9A"/>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C13E9A"/>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3">
    <w:name w:val="Medium Shading 1"/>
    <w:rsid w:val="00C13E9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C13E9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C13E9A"/>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C13E9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C13E9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C13E9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C13E9A"/>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6">
    <w:name w:val="Medium Shading 2"/>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C13E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C13E9A"/>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C13E9A"/>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C13E9A"/>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C13E9A"/>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C13E9A"/>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C13E9A"/>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C13E9A"/>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C13E9A"/>
    <w:rPr>
      <w:b/>
    </w:rPr>
  </w:style>
  <w:style w:type="paragraph" w:styleId="aff1">
    <w:name w:val="Signature"/>
    <w:basedOn w:val="a1"/>
    <w:link w:val="aff2"/>
    <w:semiHidden/>
    <w:rsid w:val="00C13E9A"/>
    <w:pPr>
      <w:ind w:left="4252"/>
    </w:pPr>
  </w:style>
  <w:style w:type="character" w:customStyle="1" w:styleId="aff2">
    <w:name w:val="חתימה תו"/>
    <w:link w:val="aff1"/>
    <w:semiHidden/>
    <w:locked/>
    <w:rsid w:val="00C13E9A"/>
    <w:rPr>
      <w:sz w:val="24"/>
    </w:rPr>
  </w:style>
  <w:style w:type="paragraph" w:styleId="aff3">
    <w:name w:val="E-mail Signature"/>
    <w:basedOn w:val="a1"/>
    <w:link w:val="aff4"/>
    <w:semiHidden/>
    <w:rsid w:val="00C13E9A"/>
  </w:style>
  <w:style w:type="character" w:customStyle="1" w:styleId="aff4">
    <w:name w:val="חתימת דואר אלקטרוני תו"/>
    <w:link w:val="aff3"/>
    <w:semiHidden/>
    <w:locked/>
    <w:rsid w:val="00C13E9A"/>
    <w:rPr>
      <w:sz w:val="24"/>
    </w:rPr>
  </w:style>
  <w:style w:type="table" w:styleId="aff5">
    <w:name w:val="Table Elegant"/>
    <w:basedOn w:val="a3"/>
    <w:semiHidden/>
    <w:rsid w:val="00C13E9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6">
    <w:name w:val="Table Professional"/>
    <w:basedOn w:val="a3"/>
    <w:semiHidden/>
    <w:rsid w:val="00C13E9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rsid w:val="00C13E9A"/>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7">
    <w:name w:val="Table Subtle 2"/>
    <w:basedOn w:val="a3"/>
    <w:semiHidden/>
    <w:rsid w:val="00C13E9A"/>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7">
    <w:name w:val="Table Contemporary"/>
    <w:basedOn w:val="a3"/>
    <w:semiHidden/>
    <w:rsid w:val="00C13E9A"/>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rsid w:val="00C13E9A"/>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8">
    <w:name w:val="Table Simple 2"/>
    <w:basedOn w:val="a3"/>
    <w:semiHidden/>
    <w:rsid w:val="00C13E9A"/>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C13E9A"/>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rsid w:val="00C13E9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9">
    <w:name w:val="Table Colorful 2"/>
    <w:basedOn w:val="a3"/>
    <w:semiHidden/>
    <w:rsid w:val="00C13E9A"/>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C13E9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rsid w:val="00C13E9A"/>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a">
    <w:name w:val="Table Classic 2"/>
    <w:basedOn w:val="a3"/>
    <w:semiHidden/>
    <w:rsid w:val="00C13E9A"/>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C13E9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C13E9A"/>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8">
    <w:name w:val="Plain Table 1"/>
    <w:rsid w:val="00C13E9A"/>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b">
    <w:name w:val="Plain Table 2"/>
    <w:rsid w:val="00C13E9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C13E9A"/>
    <w:tblPr>
      <w:tblStyleRowBandSize w:val="1"/>
      <w:tblStyleColBandSize w:val="1"/>
      <w:tblInd w:w="0" w:type="dxa"/>
      <w:tblCellMar>
        <w:top w:w="0" w:type="dxa"/>
        <w:left w:w="108" w:type="dxa"/>
        <w:bottom w:w="0" w:type="dxa"/>
        <w:right w:w="108" w:type="dxa"/>
      </w:tblCellMar>
    </w:tblPr>
  </w:style>
  <w:style w:type="table" w:styleId="44">
    <w:name w:val="Plain Table 4"/>
    <w:rsid w:val="00C13E9A"/>
    <w:tblPr>
      <w:tblStyleRowBandSize w:val="1"/>
      <w:tblStyleColBandSize w:val="1"/>
      <w:tblInd w:w="0" w:type="dxa"/>
      <w:tblCellMar>
        <w:top w:w="0" w:type="dxa"/>
        <w:left w:w="108" w:type="dxa"/>
        <w:bottom w:w="0" w:type="dxa"/>
        <w:right w:w="108" w:type="dxa"/>
      </w:tblCellMar>
    </w:tblPr>
  </w:style>
  <w:style w:type="table" w:styleId="54">
    <w:name w:val="Plain Table 5"/>
    <w:rsid w:val="00C13E9A"/>
    <w:tblPr>
      <w:tblStyleRowBandSize w:val="1"/>
      <w:tblStyleColBandSize w:val="1"/>
      <w:tblInd w:w="0" w:type="dxa"/>
      <w:tblCellMar>
        <w:top w:w="0" w:type="dxa"/>
        <w:left w:w="108" w:type="dxa"/>
        <w:bottom w:w="0" w:type="dxa"/>
        <w:right w:w="108" w:type="dxa"/>
      </w:tblCellMar>
    </w:tblPr>
  </w:style>
  <w:style w:type="table" w:styleId="19">
    <w:name w:val="Table Web 1"/>
    <w:basedOn w:val="a3"/>
    <w:semiHidden/>
    <w:rsid w:val="00C13E9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c">
    <w:name w:val="Table Web 2"/>
    <w:basedOn w:val="a3"/>
    <w:semiHidden/>
    <w:rsid w:val="00C13E9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C13E9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a">
    <w:name w:val="List Table 1 Light"/>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C13E9A"/>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C13E9A"/>
    <w:tblPr>
      <w:tblStyleRowBandSize w:val="1"/>
      <w:tblStyleColBandSize w:val="1"/>
      <w:tblInd w:w="0" w:type="dxa"/>
      <w:tblCellMar>
        <w:top w:w="0" w:type="dxa"/>
        <w:left w:w="108" w:type="dxa"/>
        <w:bottom w:w="0" w:type="dxa"/>
        <w:right w:w="108" w:type="dxa"/>
      </w:tblCellMar>
    </w:tblPr>
  </w:style>
  <w:style w:type="table" w:styleId="2d">
    <w:name w:val="List Table 2"/>
    <w:rsid w:val="00C13E9A"/>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C13E9A"/>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C13E9A"/>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C13E9A"/>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C13E9A"/>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C13E9A"/>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C13E9A"/>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C13E9A"/>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C13E9A"/>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C13E9A"/>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C13E9A"/>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C13E9A"/>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C13E9A"/>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C13E9A"/>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C13E9A"/>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C13E9A"/>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C13E9A"/>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C13E9A"/>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C13E9A"/>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C13E9A"/>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C13E9A"/>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C13E9A"/>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C13E9A"/>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C13E9A"/>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C13E9A"/>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C13E9A"/>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C13E9A"/>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C13E9A"/>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C13E9A"/>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C13E9A"/>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C13E9A"/>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C13E9A"/>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C13E9A"/>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C13E9A"/>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C13E9A"/>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C13E9A"/>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C13E9A"/>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C13E9A"/>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C13E9A"/>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C13E9A"/>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C13E9A"/>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C13E9A"/>
    <w:rPr>
      <w:color w:val="E36C0A"/>
    </w:rPr>
    <w:tblPr>
      <w:tblStyleRowBandSize w:val="1"/>
      <w:tblStyleColBandSize w:val="1"/>
      <w:tblInd w:w="0" w:type="dxa"/>
      <w:tblCellMar>
        <w:top w:w="0" w:type="dxa"/>
        <w:left w:w="108" w:type="dxa"/>
        <w:bottom w:w="0" w:type="dxa"/>
        <w:right w:w="108" w:type="dxa"/>
      </w:tblCellMar>
    </w:tblPr>
  </w:style>
  <w:style w:type="table" w:styleId="1b">
    <w:name w:val="Grid Table 1 Light"/>
    <w:rsid w:val="00C13E9A"/>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C13E9A"/>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C13E9A"/>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C13E9A"/>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C13E9A"/>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C13E9A"/>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C13E9A"/>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e">
    <w:name w:val="Grid Table 2"/>
    <w:rsid w:val="00C13E9A"/>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C13E9A"/>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C13E9A"/>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C13E9A"/>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C13E9A"/>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C13E9A"/>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C13E9A"/>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C13E9A"/>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C13E9A"/>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C13E9A"/>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C13E9A"/>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C13E9A"/>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C13E9A"/>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C13E9A"/>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C13E9A"/>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C13E9A"/>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C13E9A"/>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C13E9A"/>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C13E9A"/>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C13E9A"/>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C13E9A"/>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C13E9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C13E9A"/>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C13E9A"/>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C13E9A"/>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C13E9A"/>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C13E9A"/>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C13E9A"/>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C13E9A"/>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C13E9A"/>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C13E9A"/>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C13E9A"/>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C13E9A"/>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C13E9A"/>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C13E9A"/>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C13E9A"/>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C13E9A"/>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9">
    <w:name w:val="endnote text"/>
    <w:basedOn w:val="a1"/>
    <w:link w:val="affa"/>
    <w:semiHidden/>
    <w:rsid w:val="00C13E9A"/>
    <w:rPr>
      <w:sz w:val="20"/>
      <w:szCs w:val="20"/>
    </w:rPr>
  </w:style>
  <w:style w:type="character" w:customStyle="1" w:styleId="affa">
    <w:name w:val="טקסט הערת סיום תו"/>
    <w:link w:val="aff9"/>
    <w:semiHidden/>
    <w:locked/>
    <w:rsid w:val="00C13E9A"/>
  </w:style>
  <w:style w:type="paragraph" w:styleId="affb">
    <w:name w:val="footnote text"/>
    <w:basedOn w:val="a1"/>
    <w:link w:val="affc"/>
    <w:semiHidden/>
    <w:rsid w:val="00C13E9A"/>
    <w:rPr>
      <w:sz w:val="20"/>
      <w:szCs w:val="20"/>
    </w:rPr>
  </w:style>
  <w:style w:type="character" w:customStyle="1" w:styleId="affc">
    <w:name w:val="טקסט הערת שוליים תו"/>
    <w:link w:val="affb"/>
    <w:semiHidden/>
    <w:locked/>
    <w:rsid w:val="00C13E9A"/>
  </w:style>
  <w:style w:type="paragraph" w:styleId="affd">
    <w:name w:val="macro"/>
    <w:link w:val="affe"/>
    <w:semiHidden/>
    <w:rsid w:val="00C13E9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link w:val="affd"/>
    <w:semiHidden/>
    <w:locked/>
    <w:rsid w:val="00C13E9A"/>
    <w:rPr>
      <w:rFonts w:ascii="Consolas" w:hAnsi="Consolas"/>
    </w:rPr>
  </w:style>
  <w:style w:type="character" w:styleId="afff">
    <w:name w:val="Placeholder Text"/>
    <w:semiHidden/>
    <w:rsid w:val="00C13E9A"/>
    <w:rPr>
      <w:color w:val="808080"/>
    </w:rPr>
  </w:style>
  <w:style w:type="paragraph" w:styleId="afff0">
    <w:name w:val="Plain Text"/>
    <w:basedOn w:val="a1"/>
    <w:link w:val="afff1"/>
    <w:semiHidden/>
    <w:rsid w:val="00C13E9A"/>
    <w:rPr>
      <w:rFonts w:ascii="Consolas" w:hAnsi="Consolas"/>
      <w:sz w:val="21"/>
      <w:szCs w:val="21"/>
    </w:rPr>
  </w:style>
  <w:style w:type="character" w:customStyle="1" w:styleId="afff1">
    <w:name w:val="טקסט רגיל תו"/>
    <w:link w:val="afff0"/>
    <w:semiHidden/>
    <w:locked/>
    <w:rsid w:val="00C13E9A"/>
    <w:rPr>
      <w:rFonts w:ascii="Consolas" w:hAnsi="Consolas"/>
      <w:sz w:val="21"/>
    </w:rPr>
  </w:style>
  <w:style w:type="character" w:styleId="afff2">
    <w:name w:val="Book Title"/>
    <w:qFormat/>
    <w:rsid w:val="00C13E9A"/>
    <w:rPr>
      <w:b/>
      <w:i/>
      <w:spacing w:val="5"/>
    </w:rPr>
  </w:style>
  <w:style w:type="character" w:customStyle="1" w:styleId="22">
    <w:name w:val="כותרת 2 תו"/>
    <w:link w:val="21"/>
    <w:semiHidden/>
    <w:locked/>
    <w:rsid w:val="00C13E9A"/>
    <w:rPr>
      <w:rFonts w:ascii="Cambria" w:hAnsi="Cambria"/>
      <w:color w:val="365F91"/>
      <w:sz w:val="26"/>
    </w:rPr>
  </w:style>
  <w:style w:type="character" w:customStyle="1" w:styleId="32">
    <w:name w:val="כותרת 3 תו"/>
    <w:link w:val="31"/>
    <w:semiHidden/>
    <w:locked/>
    <w:rsid w:val="00C13E9A"/>
    <w:rPr>
      <w:rFonts w:ascii="Cambria" w:hAnsi="Cambria"/>
      <w:color w:val="243F60"/>
      <w:sz w:val="24"/>
    </w:rPr>
  </w:style>
  <w:style w:type="character" w:customStyle="1" w:styleId="52">
    <w:name w:val="כותרת 5 תו"/>
    <w:link w:val="51"/>
    <w:semiHidden/>
    <w:locked/>
    <w:rsid w:val="00C13E9A"/>
    <w:rPr>
      <w:rFonts w:ascii="Cambria" w:hAnsi="Cambria"/>
      <w:color w:val="365F91"/>
      <w:sz w:val="24"/>
    </w:rPr>
  </w:style>
  <w:style w:type="character" w:customStyle="1" w:styleId="60">
    <w:name w:val="כותרת 6 תו"/>
    <w:link w:val="6"/>
    <w:semiHidden/>
    <w:locked/>
    <w:rsid w:val="00C13E9A"/>
    <w:rPr>
      <w:rFonts w:ascii="Cambria" w:hAnsi="Cambria"/>
      <w:color w:val="243F60"/>
      <w:sz w:val="24"/>
    </w:rPr>
  </w:style>
  <w:style w:type="character" w:customStyle="1" w:styleId="70">
    <w:name w:val="כותרת 7 תו"/>
    <w:link w:val="7"/>
    <w:semiHidden/>
    <w:locked/>
    <w:rsid w:val="00C13E9A"/>
    <w:rPr>
      <w:rFonts w:ascii="Cambria" w:hAnsi="Cambria"/>
      <w:i/>
      <w:color w:val="243F60"/>
      <w:sz w:val="24"/>
    </w:rPr>
  </w:style>
  <w:style w:type="character" w:customStyle="1" w:styleId="80">
    <w:name w:val="כותרת 8 תו"/>
    <w:link w:val="8"/>
    <w:semiHidden/>
    <w:locked/>
    <w:rsid w:val="00C13E9A"/>
    <w:rPr>
      <w:rFonts w:ascii="Cambria" w:hAnsi="Cambria"/>
      <w:color w:val="272727"/>
      <w:sz w:val="21"/>
    </w:rPr>
  </w:style>
  <w:style w:type="character" w:customStyle="1" w:styleId="90">
    <w:name w:val="כותרת 9 תו"/>
    <w:link w:val="9"/>
    <w:semiHidden/>
    <w:locked/>
    <w:rsid w:val="00C13E9A"/>
    <w:rPr>
      <w:rFonts w:ascii="Cambria" w:hAnsi="Cambria"/>
      <w:i/>
      <w:color w:val="272727"/>
      <w:sz w:val="21"/>
    </w:rPr>
  </w:style>
  <w:style w:type="paragraph" w:styleId="afff3">
    <w:name w:val="index heading"/>
    <w:basedOn w:val="a1"/>
    <w:next w:val="Index1"/>
    <w:semiHidden/>
    <w:rsid w:val="00C13E9A"/>
    <w:rPr>
      <w:rFonts w:ascii="Cambria" w:hAnsi="Cambria" w:cs="Times New Roman"/>
      <w:b/>
      <w:bCs/>
    </w:rPr>
  </w:style>
  <w:style w:type="paragraph" w:styleId="afff4">
    <w:name w:val="Note Heading"/>
    <w:basedOn w:val="a1"/>
    <w:next w:val="a1"/>
    <w:link w:val="afff5"/>
    <w:semiHidden/>
    <w:rsid w:val="00C13E9A"/>
  </w:style>
  <w:style w:type="character" w:customStyle="1" w:styleId="afff5">
    <w:name w:val="כותרת הערות תו"/>
    <w:link w:val="afff4"/>
    <w:semiHidden/>
    <w:locked/>
    <w:rsid w:val="00C13E9A"/>
    <w:rPr>
      <w:sz w:val="24"/>
    </w:rPr>
  </w:style>
  <w:style w:type="paragraph" w:styleId="afff6">
    <w:name w:val="Title"/>
    <w:basedOn w:val="a1"/>
    <w:next w:val="a1"/>
    <w:link w:val="afff7"/>
    <w:qFormat/>
    <w:rsid w:val="00C13E9A"/>
    <w:pPr>
      <w:contextualSpacing/>
    </w:pPr>
    <w:rPr>
      <w:rFonts w:ascii="Cambria" w:hAnsi="Cambria" w:cs="Times New Roman"/>
      <w:spacing w:val="-10"/>
      <w:kern w:val="28"/>
      <w:sz w:val="56"/>
      <w:szCs w:val="56"/>
    </w:rPr>
  </w:style>
  <w:style w:type="character" w:customStyle="1" w:styleId="afff7">
    <w:name w:val="כותרת טקסט תו"/>
    <w:link w:val="afff6"/>
    <w:locked/>
    <w:rsid w:val="00C13E9A"/>
    <w:rPr>
      <w:rFonts w:ascii="Cambria" w:hAnsi="Cambria"/>
      <w:spacing w:val="-10"/>
      <w:kern w:val="28"/>
      <w:sz w:val="56"/>
    </w:rPr>
  </w:style>
  <w:style w:type="paragraph" w:styleId="afff8">
    <w:name w:val="Subtitle"/>
    <w:basedOn w:val="a1"/>
    <w:next w:val="a1"/>
    <w:link w:val="afff9"/>
    <w:qFormat/>
    <w:rsid w:val="00C13E9A"/>
    <w:pPr>
      <w:numPr>
        <w:ilvl w:val="1"/>
      </w:numPr>
      <w:spacing w:after="160"/>
    </w:pPr>
    <w:rPr>
      <w:rFonts w:ascii="Calibri" w:hAnsi="Calibri" w:cs="Arial"/>
      <w:color w:val="5A5A5A"/>
      <w:spacing w:val="15"/>
      <w:sz w:val="22"/>
      <w:szCs w:val="22"/>
    </w:rPr>
  </w:style>
  <w:style w:type="character" w:customStyle="1" w:styleId="afff9">
    <w:name w:val="כותרת משנה תו"/>
    <w:link w:val="afff8"/>
    <w:locked/>
    <w:rsid w:val="00C13E9A"/>
    <w:rPr>
      <w:rFonts w:ascii="Calibri" w:hAnsi="Calibri"/>
      <w:color w:val="5A5A5A"/>
      <w:spacing w:val="15"/>
      <w:sz w:val="22"/>
    </w:rPr>
  </w:style>
  <w:style w:type="paragraph" w:styleId="afffa">
    <w:name w:val="Message Header"/>
    <w:basedOn w:val="a1"/>
    <w:link w:val="afffb"/>
    <w:semiHidden/>
    <w:rsid w:val="00C13E9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b">
    <w:name w:val="כותרת עליונה של הודעה תו"/>
    <w:link w:val="afffa"/>
    <w:semiHidden/>
    <w:locked/>
    <w:rsid w:val="00C13E9A"/>
    <w:rPr>
      <w:rFonts w:ascii="Cambria" w:hAnsi="Cambria"/>
      <w:sz w:val="24"/>
      <w:shd w:val="pct20" w:color="auto" w:fill="auto"/>
    </w:rPr>
  </w:style>
  <w:style w:type="paragraph" w:styleId="afffc">
    <w:name w:val="toa heading"/>
    <w:basedOn w:val="a1"/>
    <w:next w:val="a1"/>
    <w:semiHidden/>
    <w:rsid w:val="00C13E9A"/>
    <w:pPr>
      <w:spacing w:before="120"/>
    </w:pPr>
    <w:rPr>
      <w:rFonts w:ascii="Cambria" w:hAnsi="Cambria" w:cs="Times New Roman"/>
      <w:b/>
      <w:bCs/>
    </w:rPr>
  </w:style>
  <w:style w:type="paragraph" w:styleId="afffd">
    <w:name w:val="TOC Heading"/>
    <w:basedOn w:val="1"/>
    <w:next w:val="a1"/>
    <w:qFormat/>
    <w:rsid w:val="00C13E9A"/>
    <w:pPr>
      <w:outlineLvl w:val="9"/>
    </w:pPr>
  </w:style>
  <w:style w:type="paragraph" w:styleId="afffe">
    <w:name w:val="caption"/>
    <w:basedOn w:val="a1"/>
    <w:next w:val="a1"/>
    <w:qFormat/>
    <w:rsid w:val="00C13E9A"/>
    <w:pPr>
      <w:spacing w:after="200"/>
    </w:pPr>
    <w:rPr>
      <w:i/>
      <w:iCs/>
      <w:color w:val="1F497D"/>
      <w:sz w:val="18"/>
      <w:szCs w:val="18"/>
    </w:rPr>
  </w:style>
  <w:style w:type="paragraph" w:styleId="affff">
    <w:name w:val="Body Text Indent"/>
    <w:basedOn w:val="a1"/>
    <w:link w:val="affff0"/>
    <w:semiHidden/>
    <w:rsid w:val="00C13E9A"/>
    <w:pPr>
      <w:spacing w:after="120"/>
      <w:ind w:left="283"/>
    </w:pPr>
  </w:style>
  <w:style w:type="character" w:customStyle="1" w:styleId="affff0">
    <w:name w:val="כניסה בגוף טקסט תו"/>
    <w:link w:val="affff"/>
    <w:semiHidden/>
    <w:locked/>
    <w:rsid w:val="00C13E9A"/>
    <w:rPr>
      <w:sz w:val="24"/>
    </w:rPr>
  </w:style>
  <w:style w:type="paragraph" w:styleId="2f">
    <w:name w:val="Body Text Indent 2"/>
    <w:basedOn w:val="a1"/>
    <w:link w:val="2f0"/>
    <w:semiHidden/>
    <w:rsid w:val="00C13E9A"/>
    <w:pPr>
      <w:spacing w:after="120" w:line="480" w:lineRule="auto"/>
      <w:ind w:left="283"/>
    </w:pPr>
  </w:style>
  <w:style w:type="character" w:customStyle="1" w:styleId="2f0">
    <w:name w:val="כניסה בגוף טקסט 2 תו"/>
    <w:link w:val="2f"/>
    <w:semiHidden/>
    <w:locked/>
    <w:rsid w:val="00C13E9A"/>
    <w:rPr>
      <w:sz w:val="24"/>
    </w:rPr>
  </w:style>
  <w:style w:type="paragraph" w:styleId="3d">
    <w:name w:val="Body Text Indent 3"/>
    <w:basedOn w:val="a1"/>
    <w:link w:val="3e"/>
    <w:semiHidden/>
    <w:rsid w:val="00C13E9A"/>
    <w:pPr>
      <w:spacing w:after="120"/>
      <w:ind w:left="283"/>
    </w:pPr>
    <w:rPr>
      <w:sz w:val="16"/>
      <w:szCs w:val="16"/>
    </w:rPr>
  </w:style>
  <w:style w:type="character" w:customStyle="1" w:styleId="3e">
    <w:name w:val="כניסה בגוף טקסט 3 תו"/>
    <w:link w:val="3d"/>
    <w:semiHidden/>
    <w:locked/>
    <w:rsid w:val="00C13E9A"/>
    <w:rPr>
      <w:sz w:val="16"/>
    </w:rPr>
  </w:style>
  <w:style w:type="paragraph" w:styleId="affff1">
    <w:name w:val="Normal Indent"/>
    <w:basedOn w:val="a1"/>
    <w:semiHidden/>
    <w:rsid w:val="00C13E9A"/>
    <w:pPr>
      <w:ind w:left="720"/>
    </w:pPr>
  </w:style>
  <w:style w:type="paragraph" w:styleId="affff2">
    <w:name w:val="Body Text First Indent"/>
    <w:basedOn w:val="af4"/>
    <w:link w:val="affff3"/>
    <w:rsid w:val="00C13E9A"/>
    <w:pPr>
      <w:spacing w:after="0"/>
      <w:ind w:firstLine="360"/>
    </w:pPr>
  </w:style>
  <w:style w:type="character" w:customStyle="1" w:styleId="affff3">
    <w:name w:val="כניסת שורה ראשונה בגוף טקסט תו"/>
    <w:link w:val="affff2"/>
    <w:locked/>
    <w:rsid w:val="00C13E9A"/>
    <w:rPr>
      <w:sz w:val="24"/>
    </w:rPr>
  </w:style>
  <w:style w:type="paragraph" w:styleId="2f1">
    <w:name w:val="Body Text First Indent 2"/>
    <w:basedOn w:val="affff"/>
    <w:link w:val="2f2"/>
    <w:semiHidden/>
    <w:rsid w:val="00C13E9A"/>
    <w:pPr>
      <w:spacing w:after="0"/>
      <w:ind w:left="360" w:firstLine="360"/>
    </w:pPr>
  </w:style>
  <w:style w:type="character" w:customStyle="1" w:styleId="2f2">
    <w:name w:val="כניסת שורה ראשונה בגוף טקסט 2 תו"/>
    <w:link w:val="2f1"/>
    <w:semiHidden/>
    <w:locked/>
    <w:rsid w:val="00C13E9A"/>
    <w:rPr>
      <w:sz w:val="24"/>
    </w:rPr>
  </w:style>
  <w:style w:type="paragraph" w:styleId="HTML2">
    <w:name w:val="HTML Address"/>
    <w:basedOn w:val="a1"/>
    <w:link w:val="HTML3"/>
    <w:semiHidden/>
    <w:rsid w:val="00C13E9A"/>
    <w:rPr>
      <w:i/>
      <w:iCs/>
    </w:rPr>
  </w:style>
  <w:style w:type="character" w:customStyle="1" w:styleId="HTML3">
    <w:name w:val="כתובת HTML תו"/>
    <w:link w:val="HTML2"/>
    <w:semiHidden/>
    <w:locked/>
    <w:rsid w:val="00C13E9A"/>
    <w:rPr>
      <w:i/>
      <w:sz w:val="24"/>
    </w:rPr>
  </w:style>
  <w:style w:type="paragraph" w:styleId="affff4">
    <w:name w:val="envelope address"/>
    <w:basedOn w:val="a1"/>
    <w:semiHidden/>
    <w:rsid w:val="00C13E9A"/>
    <w:pPr>
      <w:framePr w:w="7920" w:h="1980" w:hRule="exact" w:hSpace="180" w:wrap="auto" w:hAnchor="page" w:xAlign="center" w:yAlign="bottom"/>
      <w:ind w:left="2880"/>
    </w:pPr>
    <w:rPr>
      <w:rFonts w:ascii="Cambria" w:hAnsi="Cambria" w:cs="Times New Roman"/>
    </w:rPr>
  </w:style>
  <w:style w:type="paragraph" w:styleId="affff5">
    <w:name w:val="envelope return"/>
    <w:basedOn w:val="a1"/>
    <w:semiHidden/>
    <w:rsid w:val="00C13E9A"/>
    <w:rPr>
      <w:rFonts w:ascii="Cambria" w:hAnsi="Cambria" w:cs="Times New Roman"/>
      <w:sz w:val="20"/>
      <w:szCs w:val="20"/>
    </w:rPr>
  </w:style>
  <w:style w:type="paragraph" w:styleId="affff6">
    <w:name w:val="No Spacing"/>
    <w:qFormat/>
    <w:rsid w:val="00C13E9A"/>
    <w:pPr>
      <w:bidi/>
    </w:pPr>
    <w:rPr>
      <w:rFonts w:cs="David"/>
      <w:sz w:val="24"/>
      <w:szCs w:val="24"/>
    </w:rPr>
  </w:style>
  <w:style w:type="character" w:styleId="HTML4">
    <w:name w:val="HTML Typewriter"/>
    <w:semiHidden/>
    <w:rsid w:val="00C13E9A"/>
    <w:rPr>
      <w:rFonts w:ascii="Consolas" w:hAnsi="Consolas"/>
      <w:sz w:val="20"/>
    </w:rPr>
  </w:style>
  <w:style w:type="paragraph" w:styleId="affff7">
    <w:name w:val="Document Map"/>
    <w:basedOn w:val="a1"/>
    <w:link w:val="affff8"/>
    <w:semiHidden/>
    <w:rsid w:val="00C13E9A"/>
    <w:rPr>
      <w:rFonts w:ascii="Tahoma" w:hAnsi="Tahoma" w:cs="Tahoma"/>
      <w:sz w:val="16"/>
      <w:szCs w:val="16"/>
    </w:rPr>
  </w:style>
  <w:style w:type="character" w:customStyle="1" w:styleId="affff8">
    <w:name w:val="מפת מסמך תו"/>
    <w:link w:val="affff7"/>
    <w:semiHidden/>
    <w:locked/>
    <w:rsid w:val="00C13E9A"/>
    <w:rPr>
      <w:rFonts w:ascii="Tahoma" w:hAnsi="Tahoma"/>
      <w:sz w:val="16"/>
    </w:rPr>
  </w:style>
  <w:style w:type="character" w:styleId="HTML5">
    <w:name w:val="HTML Keyboard"/>
    <w:semiHidden/>
    <w:rsid w:val="00C13E9A"/>
    <w:rPr>
      <w:rFonts w:ascii="Consolas" w:hAnsi="Consolas"/>
      <w:sz w:val="20"/>
    </w:rPr>
  </w:style>
  <w:style w:type="paragraph" w:styleId="affff9">
    <w:name w:val="annotation subject"/>
    <w:basedOn w:val="a8"/>
    <w:next w:val="a8"/>
    <w:link w:val="affffa"/>
    <w:semiHidden/>
    <w:rsid w:val="00C13E9A"/>
    <w:rPr>
      <w:rFonts w:cs="David"/>
      <w:b/>
      <w:bCs/>
      <w:sz w:val="20"/>
      <w:szCs w:val="20"/>
    </w:rPr>
  </w:style>
  <w:style w:type="character" w:customStyle="1" w:styleId="a9">
    <w:name w:val="טקסט הערה תו"/>
    <w:link w:val="a8"/>
    <w:semiHidden/>
    <w:locked/>
    <w:rsid w:val="00C13E9A"/>
    <w:rPr>
      <w:sz w:val="24"/>
    </w:rPr>
  </w:style>
  <w:style w:type="character" w:customStyle="1" w:styleId="affffa">
    <w:name w:val="נושא הערה תו"/>
    <w:link w:val="affff9"/>
    <w:semiHidden/>
    <w:locked/>
    <w:rsid w:val="00C13E9A"/>
    <w:rPr>
      <w:b/>
      <w:sz w:val="24"/>
    </w:rPr>
  </w:style>
  <w:style w:type="table" w:styleId="affffb">
    <w:name w:val="Table Theme"/>
    <w:basedOn w:val="a3"/>
    <w:semiHidden/>
    <w:rsid w:val="00C13E9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rsid w:val="00C13E9A"/>
    <w:pPr>
      <w:ind w:left="4252"/>
    </w:pPr>
  </w:style>
  <w:style w:type="character" w:customStyle="1" w:styleId="affffd">
    <w:name w:val="סיום תו"/>
    <w:link w:val="affffc"/>
    <w:semiHidden/>
    <w:locked/>
    <w:rsid w:val="00C13E9A"/>
    <w:rPr>
      <w:sz w:val="24"/>
    </w:rPr>
  </w:style>
  <w:style w:type="table" w:styleId="1c">
    <w:name w:val="Table Columns 1"/>
    <w:basedOn w:val="a3"/>
    <w:semiHidden/>
    <w:rsid w:val="00C13E9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3">
    <w:name w:val="Table Columns 2"/>
    <w:basedOn w:val="a3"/>
    <w:semiHidden/>
    <w:rsid w:val="00C13E9A"/>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C13E9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C13E9A"/>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C13E9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e">
    <w:name w:val="Quote"/>
    <w:basedOn w:val="a1"/>
    <w:next w:val="a1"/>
    <w:link w:val="afffff"/>
    <w:qFormat/>
    <w:rsid w:val="00C13E9A"/>
    <w:pPr>
      <w:spacing w:before="200" w:after="160"/>
      <w:ind w:left="864" w:right="864"/>
      <w:jc w:val="center"/>
    </w:pPr>
    <w:rPr>
      <w:i/>
      <w:iCs/>
      <w:color w:val="404040"/>
    </w:rPr>
  </w:style>
  <w:style w:type="character" w:customStyle="1" w:styleId="afffff">
    <w:name w:val="ציטוט תו"/>
    <w:link w:val="affffe"/>
    <w:locked/>
    <w:rsid w:val="00C13E9A"/>
    <w:rPr>
      <w:i/>
      <w:color w:val="404040"/>
      <w:sz w:val="24"/>
    </w:rPr>
  </w:style>
  <w:style w:type="paragraph" w:styleId="afffff0">
    <w:name w:val="Intense Quote"/>
    <w:basedOn w:val="a1"/>
    <w:next w:val="a1"/>
    <w:link w:val="afffff1"/>
    <w:qFormat/>
    <w:rsid w:val="00C13E9A"/>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C13E9A"/>
    <w:rPr>
      <w:i/>
      <w:color w:val="4F81BD"/>
      <w:sz w:val="24"/>
    </w:rPr>
  </w:style>
  <w:style w:type="character" w:styleId="HTML6">
    <w:name w:val="HTML Acronym"/>
    <w:basedOn w:val="a2"/>
    <w:semiHidden/>
    <w:rsid w:val="00C13E9A"/>
  </w:style>
  <w:style w:type="paragraph" w:styleId="afffff2">
    <w:name w:val="List"/>
    <w:basedOn w:val="a1"/>
    <w:semiHidden/>
    <w:rsid w:val="00C13E9A"/>
    <w:pPr>
      <w:ind w:left="283" w:hanging="283"/>
      <w:contextualSpacing/>
    </w:pPr>
  </w:style>
  <w:style w:type="paragraph" w:styleId="2f4">
    <w:name w:val="List 2"/>
    <w:basedOn w:val="a1"/>
    <w:semiHidden/>
    <w:rsid w:val="00C13E9A"/>
    <w:pPr>
      <w:ind w:left="566" w:hanging="283"/>
      <w:contextualSpacing/>
    </w:pPr>
  </w:style>
  <w:style w:type="paragraph" w:styleId="3f0">
    <w:name w:val="List 3"/>
    <w:basedOn w:val="a1"/>
    <w:semiHidden/>
    <w:rsid w:val="00C13E9A"/>
    <w:pPr>
      <w:ind w:left="849" w:hanging="283"/>
      <w:contextualSpacing/>
    </w:pPr>
  </w:style>
  <w:style w:type="paragraph" w:styleId="48">
    <w:name w:val="List 4"/>
    <w:basedOn w:val="a1"/>
    <w:rsid w:val="00C13E9A"/>
    <w:pPr>
      <w:ind w:left="1132" w:hanging="283"/>
      <w:contextualSpacing/>
    </w:pPr>
  </w:style>
  <w:style w:type="paragraph" w:styleId="58">
    <w:name w:val="List 5"/>
    <w:basedOn w:val="a1"/>
    <w:rsid w:val="00C13E9A"/>
    <w:pPr>
      <w:ind w:left="1415" w:hanging="283"/>
      <w:contextualSpacing/>
    </w:pPr>
  </w:style>
  <w:style w:type="table" w:styleId="afffff3">
    <w:name w:val="Light List"/>
    <w:rsid w:val="00C13E9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C13E9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C13E9A"/>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C13E9A"/>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C13E9A"/>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C13E9A"/>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C13E9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d">
    <w:name w:val="Table List 1"/>
    <w:basedOn w:val="a3"/>
    <w:semiHidden/>
    <w:rsid w:val="00C13E9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5">
    <w:name w:val="Table List 2"/>
    <w:basedOn w:val="a3"/>
    <w:semiHidden/>
    <w:rsid w:val="00C13E9A"/>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C13E9A"/>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C13E9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C13E9A"/>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C13E9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C13E9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C13E9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e">
    <w:name w:val="Medium List 1"/>
    <w:semiHidden/>
    <w:rsid w:val="00C13E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C13E9A"/>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C13E9A"/>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C13E9A"/>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C13E9A"/>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C13E9A"/>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C13E9A"/>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6">
    <w:name w:val="Medium List 2"/>
    <w:semiHidden/>
    <w:rsid w:val="00C13E9A"/>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C13E9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C13E9A"/>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C13E9A"/>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C13E9A"/>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C13E9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C13E9A"/>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C13E9A"/>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C13E9A"/>
    <w:pPr>
      <w:numPr>
        <w:numId w:val="17"/>
      </w:numPr>
      <w:contextualSpacing/>
    </w:pPr>
  </w:style>
  <w:style w:type="paragraph" w:styleId="2">
    <w:name w:val="List Number 2"/>
    <w:basedOn w:val="a1"/>
    <w:semiHidden/>
    <w:rsid w:val="00C13E9A"/>
    <w:pPr>
      <w:numPr>
        <w:numId w:val="18"/>
      </w:numPr>
      <w:contextualSpacing/>
    </w:pPr>
  </w:style>
  <w:style w:type="paragraph" w:styleId="3">
    <w:name w:val="List Number 3"/>
    <w:basedOn w:val="a1"/>
    <w:semiHidden/>
    <w:rsid w:val="00C13E9A"/>
    <w:pPr>
      <w:numPr>
        <w:numId w:val="19"/>
      </w:numPr>
      <w:contextualSpacing/>
    </w:pPr>
  </w:style>
  <w:style w:type="paragraph" w:styleId="4">
    <w:name w:val="List Number 4"/>
    <w:basedOn w:val="a1"/>
    <w:semiHidden/>
    <w:rsid w:val="00C13E9A"/>
    <w:pPr>
      <w:numPr>
        <w:numId w:val="20"/>
      </w:numPr>
      <w:contextualSpacing/>
    </w:pPr>
  </w:style>
  <w:style w:type="paragraph" w:styleId="5">
    <w:name w:val="List Number 5"/>
    <w:basedOn w:val="a1"/>
    <w:semiHidden/>
    <w:rsid w:val="00C13E9A"/>
    <w:pPr>
      <w:numPr>
        <w:numId w:val="21"/>
      </w:numPr>
      <w:contextualSpacing/>
    </w:pPr>
  </w:style>
  <w:style w:type="paragraph" w:styleId="a0">
    <w:name w:val="List Bullet"/>
    <w:basedOn w:val="a1"/>
    <w:semiHidden/>
    <w:rsid w:val="00C13E9A"/>
    <w:pPr>
      <w:numPr>
        <w:numId w:val="22"/>
      </w:numPr>
      <w:contextualSpacing/>
    </w:pPr>
  </w:style>
  <w:style w:type="paragraph" w:styleId="20">
    <w:name w:val="List Bullet 2"/>
    <w:basedOn w:val="a1"/>
    <w:semiHidden/>
    <w:rsid w:val="00C13E9A"/>
    <w:pPr>
      <w:numPr>
        <w:numId w:val="23"/>
      </w:numPr>
      <w:contextualSpacing/>
    </w:pPr>
  </w:style>
  <w:style w:type="paragraph" w:styleId="30">
    <w:name w:val="List Bullet 3"/>
    <w:basedOn w:val="a1"/>
    <w:semiHidden/>
    <w:rsid w:val="00C13E9A"/>
    <w:pPr>
      <w:numPr>
        <w:numId w:val="24"/>
      </w:numPr>
      <w:contextualSpacing/>
    </w:pPr>
  </w:style>
  <w:style w:type="paragraph" w:styleId="40">
    <w:name w:val="List Bullet 4"/>
    <w:basedOn w:val="a1"/>
    <w:semiHidden/>
    <w:rsid w:val="00C13E9A"/>
    <w:pPr>
      <w:numPr>
        <w:numId w:val="25"/>
      </w:numPr>
      <w:contextualSpacing/>
    </w:pPr>
  </w:style>
  <w:style w:type="paragraph" w:styleId="50">
    <w:name w:val="List Bullet 5"/>
    <w:basedOn w:val="a1"/>
    <w:semiHidden/>
    <w:rsid w:val="00C13E9A"/>
    <w:pPr>
      <w:numPr>
        <w:numId w:val="26"/>
      </w:numPr>
      <w:contextualSpacing/>
    </w:pPr>
  </w:style>
  <w:style w:type="table" w:styleId="afffff5">
    <w:name w:val="Colorful List"/>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C13E9A"/>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C13E9A"/>
  </w:style>
  <w:style w:type="paragraph" w:styleId="afffff7">
    <w:name w:val="table of authorities"/>
    <w:basedOn w:val="a1"/>
    <w:next w:val="a1"/>
    <w:semiHidden/>
    <w:rsid w:val="00C13E9A"/>
    <w:pPr>
      <w:ind w:left="240" w:hanging="240"/>
    </w:pPr>
  </w:style>
  <w:style w:type="table" w:styleId="afffff8">
    <w:name w:val="Light Grid"/>
    <w:rsid w:val="00C13E9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C13E9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C13E9A"/>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C13E9A"/>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C13E9A"/>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C13E9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C13E9A"/>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C13E9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f">
    <w:name w:val="Medium Grid 1"/>
    <w:semiHidden/>
    <w:rsid w:val="00C13E9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C13E9A"/>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C13E9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C13E9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C13E9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C13E9A"/>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7">
    <w:name w:val="Medium Grid 2"/>
    <w:semiHidden/>
    <w:rsid w:val="00C13E9A"/>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C13E9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C13E9A"/>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C13E9A"/>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C13E9A"/>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C13E9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C13E9A"/>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C13E9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0">
    <w:name w:val="Table Grid 1"/>
    <w:basedOn w:val="a3"/>
    <w:semiHidden/>
    <w:rsid w:val="00C13E9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8">
    <w:name w:val="Table Grid 2"/>
    <w:basedOn w:val="a3"/>
    <w:semiHidden/>
    <w:rsid w:val="00C13E9A"/>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C13E9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C13E9A"/>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C13E9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C13E9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C13E9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C13E9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C13E9A"/>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C13E9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C13E9A"/>
  </w:style>
  <w:style w:type="character" w:customStyle="1" w:styleId="afffffb">
    <w:name w:val="תאריך תו"/>
    <w:link w:val="afffffa"/>
    <w:locked/>
    <w:rsid w:val="00C13E9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074126" TargetMode="External"/><Relationship Id="rId21" Type="http://schemas.openxmlformats.org/officeDocument/2006/relationships/hyperlink" Target="http://www.nevo.co.il/case/5738608" TargetMode="External"/><Relationship Id="rId42" Type="http://schemas.openxmlformats.org/officeDocument/2006/relationships/hyperlink" Target="http://www.nevo.co.il/case/6032057" TargetMode="External"/><Relationship Id="rId47" Type="http://schemas.openxmlformats.org/officeDocument/2006/relationships/hyperlink" Target="http://www.nevo.co.il/law/70301" TargetMode="External"/><Relationship Id="rId63" Type="http://schemas.openxmlformats.org/officeDocument/2006/relationships/hyperlink" Target="http://www.nevo.co.il/law/4216"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0916220"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9999565" TargetMode="External"/><Relationship Id="rId32" Type="http://schemas.openxmlformats.org/officeDocument/2006/relationships/hyperlink" Target="http://www.nevo.co.il/case/21013916"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case/25496997" TargetMode="External"/><Relationship Id="rId45" Type="http://schemas.openxmlformats.org/officeDocument/2006/relationships/hyperlink" Target="http://www.nevo.co.il/case/6824952" TargetMode="External"/><Relationship Id="rId53" Type="http://schemas.openxmlformats.org/officeDocument/2006/relationships/hyperlink" Target="http://www.nevo.co.il/case/7821838" TargetMode="External"/><Relationship Id="rId58" Type="http://schemas.openxmlformats.org/officeDocument/2006/relationships/hyperlink" Target="http://www.nevo.co.il/case/7807295"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eca.gov.il" TargetMode="External"/><Relationship Id="rId1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6490107" TargetMode="External"/><Relationship Id="rId30" Type="http://schemas.openxmlformats.org/officeDocument/2006/relationships/hyperlink" Target="http://www.nevo.co.il/case/27684323" TargetMode="External"/><Relationship Id="rId35" Type="http://schemas.openxmlformats.org/officeDocument/2006/relationships/hyperlink" Target="http://www.nevo.co.il/case/27684323"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case/20053795" TargetMode="External"/><Relationship Id="rId64" Type="http://schemas.openxmlformats.org/officeDocument/2006/relationships/image" Target="media/image1.jpeg"/><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10459128"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11259435" TargetMode="External"/><Relationship Id="rId33" Type="http://schemas.openxmlformats.org/officeDocument/2006/relationships/hyperlink" Target="http://www.nevo.co.il/case/26089042" TargetMode="External"/><Relationship Id="rId38" Type="http://schemas.openxmlformats.org/officeDocument/2006/relationships/hyperlink" Target="http://www.nevo.co.il/case/21694329" TargetMode="External"/><Relationship Id="rId46" Type="http://schemas.openxmlformats.org/officeDocument/2006/relationships/hyperlink" Target="http://www.nevo.co.il/law/70301/40ja" TargetMode="External"/><Relationship Id="rId59" Type="http://schemas.openxmlformats.org/officeDocument/2006/relationships/hyperlink" Target="http://www.nevo.co.il/law/4216"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17939812" TargetMode="External"/><Relationship Id="rId41" Type="http://schemas.openxmlformats.org/officeDocument/2006/relationships/hyperlink" Target="http://www.nevo.co.il/case/26511779" TargetMode="External"/><Relationship Id="rId54" Type="http://schemas.openxmlformats.org/officeDocument/2006/relationships/hyperlink" Target="http://www.nevo.co.il/case/6848505" TargetMode="External"/><Relationship Id="rId62" Type="http://schemas.openxmlformats.org/officeDocument/2006/relationships/hyperlink" Target="http://www.nevo.co.il/law/4216"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8791199" TargetMode="External"/><Relationship Id="rId28" Type="http://schemas.openxmlformats.org/officeDocument/2006/relationships/hyperlink" Target="http://www.nevo.co.il/case/27217205" TargetMode="External"/><Relationship Id="rId36" Type="http://schemas.openxmlformats.org/officeDocument/2006/relationships/hyperlink" Target="http://www.nevo.co.il/case/23652935"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0442894"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059542" TargetMode="External"/><Relationship Id="rId44" Type="http://schemas.openxmlformats.org/officeDocument/2006/relationships/hyperlink" Target="http://www.nevo.co.il/case/5880417" TargetMode="External"/><Relationship Id="rId52" Type="http://schemas.openxmlformats.org/officeDocument/2006/relationships/hyperlink" Target="http://www.nevo.co.il/case/12930657" TargetMode="External"/><Relationship Id="rId60" Type="http://schemas.openxmlformats.org/officeDocument/2006/relationships/hyperlink" Target="http://www.nevo.co.il/law/4216"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3600188" TargetMode="External"/><Relationship Id="rId34" Type="http://schemas.openxmlformats.org/officeDocument/2006/relationships/hyperlink" Target="http://www.nevo.co.il/case/27886851"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17939098"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4605</Words>
  <Characters>23030</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27580</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7864368</vt:i4>
      </vt:variant>
      <vt:variant>
        <vt:i4>162</vt:i4>
      </vt:variant>
      <vt:variant>
        <vt:i4>0</vt:i4>
      </vt:variant>
      <vt:variant>
        <vt:i4>5</vt:i4>
      </vt:variant>
      <vt:variant>
        <vt:lpwstr>http://www.eca.gov.il/</vt:lpwstr>
      </vt:variant>
      <vt:variant>
        <vt:lpwstr/>
      </vt:variant>
      <vt:variant>
        <vt:i4>8257637</vt:i4>
      </vt:variant>
      <vt:variant>
        <vt:i4>159</vt:i4>
      </vt:variant>
      <vt:variant>
        <vt:i4>0</vt:i4>
      </vt:variant>
      <vt:variant>
        <vt:i4>5</vt:i4>
      </vt:variant>
      <vt:variant>
        <vt:lpwstr>http://www.nevo.co.il/law/4216</vt:lpwstr>
      </vt:variant>
      <vt:variant>
        <vt:lpwstr/>
      </vt:variant>
      <vt:variant>
        <vt:i4>8257637</vt:i4>
      </vt:variant>
      <vt:variant>
        <vt:i4>156</vt:i4>
      </vt:variant>
      <vt:variant>
        <vt:i4>0</vt:i4>
      </vt:variant>
      <vt:variant>
        <vt:i4>5</vt:i4>
      </vt:variant>
      <vt:variant>
        <vt:lpwstr>http://www.nevo.co.il/law/4216</vt:lpwstr>
      </vt:variant>
      <vt:variant>
        <vt:lpwstr/>
      </vt:variant>
      <vt:variant>
        <vt:i4>3145842</vt:i4>
      </vt:variant>
      <vt:variant>
        <vt:i4>153</vt:i4>
      </vt:variant>
      <vt:variant>
        <vt:i4>0</vt:i4>
      </vt:variant>
      <vt:variant>
        <vt:i4>5</vt:i4>
      </vt:variant>
      <vt:variant>
        <vt:lpwstr>http://www.nevo.co.il/case/7807295</vt:lpwstr>
      </vt:variant>
      <vt:variant>
        <vt:lpwstr/>
      </vt:variant>
      <vt:variant>
        <vt:i4>4063352</vt:i4>
      </vt:variant>
      <vt:variant>
        <vt:i4>150</vt:i4>
      </vt:variant>
      <vt:variant>
        <vt:i4>0</vt:i4>
      </vt:variant>
      <vt:variant>
        <vt:i4>5</vt:i4>
      </vt:variant>
      <vt:variant>
        <vt:lpwstr>http://www.nevo.co.il/case/10442894</vt:lpwstr>
      </vt:variant>
      <vt:variant>
        <vt:lpwstr/>
      </vt:variant>
      <vt:variant>
        <vt:i4>3670134</vt:i4>
      </vt:variant>
      <vt:variant>
        <vt:i4>147</vt:i4>
      </vt:variant>
      <vt:variant>
        <vt:i4>0</vt:i4>
      </vt:variant>
      <vt:variant>
        <vt:i4>5</vt:i4>
      </vt:variant>
      <vt:variant>
        <vt:lpwstr>http://www.nevo.co.il/case/20053795</vt:lpwstr>
      </vt:variant>
      <vt:variant>
        <vt:lpwstr/>
      </vt:variant>
      <vt:variant>
        <vt:i4>3670128</vt:i4>
      </vt:variant>
      <vt:variant>
        <vt:i4>144</vt:i4>
      </vt:variant>
      <vt:variant>
        <vt:i4>0</vt:i4>
      </vt:variant>
      <vt:variant>
        <vt:i4>5</vt:i4>
      </vt:variant>
      <vt:variant>
        <vt:lpwstr>http://www.nevo.co.il/case/17939098</vt:lpwstr>
      </vt:variant>
      <vt:variant>
        <vt:lpwstr/>
      </vt:variant>
      <vt:variant>
        <vt:i4>3276916</vt:i4>
      </vt:variant>
      <vt:variant>
        <vt:i4>141</vt:i4>
      </vt:variant>
      <vt:variant>
        <vt:i4>0</vt:i4>
      </vt:variant>
      <vt:variant>
        <vt:i4>5</vt:i4>
      </vt:variant>
      <vt:variant>
        <vt:lpwstr>http://www.nevo.co.il/case/6848505</vt:lpwstr>
      </vt:variant>
      <vt:variant>
        <vt:lpwstr/>
      </vt:variant>
      <vt:variant>
        <vt:i4>3473534</vt:i4>
      </vt:variant>
      <vt:variant>
        <vt:i4>138</vt:i4>
      </vt:variant>
      <vt:variant>
        <vt:i4>0</vt:i4>
      </vt:variant>
      <vt:variant>
        <vt:i4>5</vt:i4>
      </vt:variant>
      <vt:variant>
        <vt:lpwstr>http://www.nevo.co.il/case/7821838</vt:lpwstr>
      </vt:variant>
      <vt:variant>
        <vt:lpwstr/>
      </vt:variant>
      <vt:variant>
        <vt:i4>3997811</vt:i4>
      </vt:variant>
      <vt:variant>
        <vt:i4>135</vt:i4>
      </vt:variant>
      <vt:variant>
        <vt:i4>0</vt:i4>
      </vt:variant>
      <vt:variant>
        <vt:i4>5</vt:i4>
      </vt:variant>
      <vt:variant>
        <vt:lpwstr>http://www.nevo.co.il/case/12930657</vt:lpwstr>
      </vt:variant>
      <vt:variant>
        <vt:lpwstr/>
      </vt:variant>
      <vt:variant>
        <vt:i4>4063344</vt:i4>
      </vt:variant>
      <vt:variant>
        <vt:i4>132</vt:i4>
      </vt:variant>
      <vt:variant>
        <vt:i4>0</vt:i4>
      </vt:variant>
      <vt:variant>
        <vt:i4>5</vt:i4>
      </vt:variant>
      <vt:variant>
        <vt:lpwstr>http://www.nevo.co.il/case/10459128</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4063357</vt:i4>
      </vt:variant>
      <vt:variant>
        <vt:i4>111</vt:i4>
      </vt:variant>
      <vt:variant>
        <vt:i4>0</vt:i4>
      </vt:variant>
      <vt:variant>
        <vt:i4>5</vt:i4>
      </vt:variant>
      <vt:variant>
        <vt:lpwstr>http://www.nevo.co.il/case/5880417</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3211380</vt:i4>
      </vt:variant>
      <vt:variant>
        <vt:i4>102</vt:i4>
      </vt:variant>
      <vt:variant>
        <vt:i4>0</vt:i4>
      </vt:variant>
      <vt:variant>
        <vt:i4>5</vt:i4>
      </vt:variant>
      <vt:variant>
        <vt:lpwstr>http://www.nevo.co.il/case/26511779</vt:lpwstr>
      </vt:variant>
      <vt:variant>
        <vt:lpwstr/>
      </vt:variant>
      <vt:variant>
        <vt:i4>3735665</vt:i4>
      </vt:variant>
      <vt:variant>
        <vt:i4>99</vt:i4>
      </vt:variant>
      <vt:variant>
        <vt:i4>0</vt:i4>
      </vt:variant>
      <vt:variant>
        <vt:i4>5</vt:i4>
      </vt:variant>
      <vt:variant>
        <vt:lpwstr>http://www.nevo.co.il/case/25496997</vt:lpwstr>
      </vt:variant>
      <vt:variant>
        <vt:lpwstr/>
      </vt:variant>
      <vt:variant>
        <vt:i4>3932278</vt:i4>
      </vt:variant>
      <vt:variant>
        <vt:i4>96</vt:i4>
      </vt:variant>
      <vt:variant>
        <vt:i4>0</vt:i4>
      </vt:variant>
      <vt:variant>
        <vt:i4>5</vt:i4>
      </vt:variant>
      <vt:variant>
        <vt:lpwstr>http://www.nevo.co.il/case/23600188</vt:lpwstr>
      </vt:variant>
      <vt:variant>
        <vt:lpwstr/>
      </vt:variant>
      <vt:variant>
        <vt:i4>3276927</vt:i4>
      </vt:variant>
      <vt:variant>
        <vt:i4>93</vt:i4>
      </vt:variant>
      <vt:variant>
        <vt:i4>0</vt:i4>
      </vt:variant>
      <vt:variant>
        <vt:i4>5</vt:i4>
      </vt:variant>
      <vt:variant>
        <vt:lpwstr>http://www.nevo.co.il/case/21694329</vt:lpwstr>
      </vt:variant>
      <vt:variant>
        <vt:lpwstr/>
      </vt:variant>
      <vt:variant>
        <vt:i4>3342455</vt:i4>
      </vt:variant>
      <vt:variant>
        <vt:i4>90</vt:i4>
      </vt:variant>
      <vt:variant>
        <vt:i4>0</vt:i4>
      </vt:variant>
      <vt:variant>
        <vt:i4>5</vt:i4>
      </vt:variant>
      <vt:variant>
        <vt:lpwstr>http://www.nevo.co.il/case/20632055</vt:lpwstr>
      </vt:variant>
      <vt:variant>
        <vt:lpwstr/>
      </vt:variant>
      <vt:variant>
        <vt:i4>3473531</vt:i4>
      </vt:variant>
      <vt:variant>
        <vt:i4>87</vt:i4>
      </vt:variant>
      <vt:variant>
        <vt:i4>0</vt:i4>
      </vt:variant>
      <vt:variant>
        <vt:i4>5</vt:i4>
      </vt:variant>
      <vt:variant>
        <vt:lpwstr>http://www.nevo.co.il/case/23652935</vt:lpwstr>
      </vt:variant>
      <vt:variant>
        <vt:lpwstr/>
      </vt:variant>
      <vt:variant>
        <vt:i4>3276920</vt:i4>
      </vt:variant>
      <vt:variant>
        <vt:i4>84</vt:i4>
      </vt:variant>
      <vt:variant>
        <vt:i4>0</vt:i4>
      </vt:variant>
      <vt:variant>
        <vt:i4>5</vt:i4>
      </vt:variant>
      <vt:variant>
        <vt:lpwstr>http://www.nevo.co.il/case/27684323</vt:lpwstr>
      </vt:variant>
      <vt:variant>
        <vt:lpwstr/>
      </vt:variant>
      <vt:variant>
        <vt:i4>3735667</vt:i4>
      </vt:variant>
      <vt:variant>
        <vt:i4>81</vt:i4>
      </vt:variant>
      <vt:variant>
        <vt:i4>0</vt:i4>
      </vt:variant>
      <vt:variant>
        <vt:i4>5</vt:i4>
      </vt:variant>
      <vt:variant>
        <vt:lpwstr>http://www.nevo.co.il/case/27886851</vt:lpwstr>
      </vt:variant>
      <vt:variant>
        <vt:lpwstr/>
      </vt:variant>
      <vt:variant>
        <vt:i4>4128890</vt:i4>
      </vt:variant>
      <vt:variant>
        <vt:i4>78</vt:i4>
      </vt:variant>
      <vt:variant>
        <vt:i4>0</vt:i4>
      </vt:variant>
      <vt:variant>
        <vt:i4>5</vt:i4>
      </vt:variant>
      <vt:variant>
        <vt:lpwstr>http://www.nevo.co.il/case/26089042</vt:lpwstr>
      </vt:variant>
      <vt:variant>
        <vt:lpwstr/>
      </vt:variant>
      <vt:variant>
        <vt:i4>3145853</vt:i4>
      </vt:variant>
      <vt:variant>
        <vt:i4>75</vt:i4>
      </vt:variant>
      <vt:variant>
        <vt:i4>0</vt:i4>
      </vt:variant>
      <vt:variant>
        <vt:i4>5</vt:i4>
      </vt:variant>
      <vt:variant>
        <vt:lpwstr>http://www.nevo.co.il/case/21013916</vt:lpwstr>
      </vt:variant>
      <vt:variant>
        <vt:lpwstr/>
      </vt:variant>
      <vt:variant>
        <vt:i4>4128883</vt:i4>
      </vt:variant>
      <vt:variant>
        <vt:i4>72</vt:i4>
      </vt:variant>
      <vt:variant>
        <vt:i4>0</vt:i4>
      </vt:variant>
      <vt:variant>
        <vt:i4>5</vt:i4>
      </vt:variant>
      <vt:variant>
        <vt:lpwstr>http://www.nevo.co.il/case/27059542</vt:lpwstr>
      </vt:variant>
      <vt:variant>
        <vt:lpwstr/>
      </vt:variant>
      <vt:variant>
        <vt:i4>3276920</vt:i4>
      </vt:variant>
      <vt:variant>
        <vt:i4>69</vt:i4>
      </vt:variant>
      <vt:variant>
        <vt:i4>0</vt:i4>
      </vt:variant>
      <vt:variant>
        <vt:i4>5</vt:i4>
      </vt:variant>
      <vt:variant>
        <vt:lpwstr>http://www.nevo.co.il/case/27684323</vt:lpwstr>
      </vt:variant>
      <vt:variant>
        <vt:lpwstr/>
      </vt:variant>
      <vt:variant>
        <vt:i4>4128887</vt:i4>
      </vt:variant>
      <vt:variant>
        <vt:i4>66</vt:i4>
      </vt:variant>
      <vt:variant>
        <vt:i4>0</vt:i4>
      </vt:variant>
      <vt:variant>
        <vt:i4>5</vt:i4>
      </vt:variant>
      <vt:variant>
        <vt:lpwstr>http://www.nevo.co.il/case/20916220</vt:lpwstr>
      </vt:variant>
      <vt:variant>
        <vt:lpwstr/>
      </vt:variant>
      <vt:variant>
        <vt:i4>3604592</vt:i4>
      </vt:variant>
      <vt:variant>
        <vt:i4>63</vt:i4>
      </vt:variant>
      <vt:variant>
        <vt:i4>0</vt:i4>
      </vt:variant>
      <vt:variant>
        <vt:i4>5</vt:i4>
      </vt:variant>
      <vt:variant>
        <vt:lpwstr>http://www.nevo.co.il/case/27217205</vt:lpwstr>
      </vt:variant>
      <vt:variant>
        <vt:lpwstr/>
      </vt:variant>
      <vt:variant>
        <vt:i4>3539066</vt:i4>
      </vt:variant>
      <vt:variant>
        <vt:i4>60</vt:i4>
      </vt:variant>
      <vt:variant>
        <vt:i4>0</vt:i4>
      </vt:variant>
      <vt:variant>
        <vt:i4>5</vt:i4>
      </vt:variant>
      <vt:variant>
        <vt:lpwstr>http://www.nevo.co.il/case/26490107</vt:lpwstr>
      </vt:variant>
      <vt:variant>
        <vt:lpwstr/>
      </vt:variant>
      <vt:variant>
        <vt:i4>3473522</vt:i4>
      </vt:variant>
      <vt:variant>
        <vt:i4>57</vt:i4>
      </vt:variant>
      <vt:variant>
        <vt:i4>0</vt:i4>
      </vt:variant>
      <vt:variant>
        <vt:i4>5</vt:i4>
      </vt:variant>
      <vt:variant>
        <vt:lpwstr>http://www.nevo.co.il/case/5074126</vt:lpwstr>
      </vt:variant>
      <vt:variant>
        <vt:lpwstr/>
      </vt:variant>
      <vt:variant>
        <vt:i4>3735668</vt:i4>
      </vt:variant>
      <vt:variant>
        <vt:i4>54</vt:i4>
      </vt:variant>
      <vt:variant>
        <vt:i4>0</vt:i4>
      </vt:variant>
      <vt:variant>
        <vt:i4>5</vt:i4>
      </vt:variant>
      <vt:variant>
        <vt:lpwstr>http://www.nevo.co.il/case/11259435</vt:lpwstr>
      </vt:variant>
      <vt:variant>
        <vt:lpwstr/>
      </vt:variant>
      <vt:variant>
        <vt:i4>3604593</vt:i4>
      </vt:variant>
      <vt:variant>
        <vt:i4>51</vt:i4>
      </vt:variant>
      <vt:variant>
        <vt:i4>0</vt:i4>
      </vt:variant>
      <vt:variant>
        <vt:i4>5</vt:i4>
      </vt:variant>
      <vt:variant>
        <vt:lpwstr>http://www.nevo.co.il/case/19999565</vt:lpwstr>
      </vt:variant>
      <vt:variant>
        <vt:lpwstr/>
      </vt:variant>
      <vt:variant>
        <vt:i4>4063348</vt:i4>
      </vt:variant>
      <vt:variant>
        <vt:i4>48</vt:i4>
      </vt:variant>
      <vt:variant>
        <vt:i4>0</vt:i4>
      </vt:variant>
      <vt:variant>
        <vt:i4>5</vt:i4>
      </vt:variant>
      <vt:variant>
        <vt:lpwstr>http://www.nevo.co.il/case/18791199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2023-07-12T07:18:00Z</cp:lastPrinted>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17242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משה אלול</vt:lpwstr>
  </property>
  <property fmtid="{D5CDD505-2E9C-101B-9397-08002B2CF9AE}" pid="10" name="LAWYER">
    <vt:lpwstr>אורטל ליברזון;אודליה מויאל;יורם סגי זקס</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20230712</vt:lpwstr>
  </property>
  <property fmtid="{D5CDD505-2E9C-101B-9397-08002B2CF9AE}" pid="14" name="TYPE_N_DATE">
    <vt:lpwstr>38020230712</vt:lpwstr>
  </property>
  <property fmtid="{D5CDD505-2E9C-101B-9397-08002B2CF9AE}" pid="15" name="WORDNUMPAGES">
    <vt:lpwstr>10</vt:lpwstr>
  </property>
  <property fmtid="{D5CDD505-2E9C-101B-9397-08002B2CF9AE}" pid="16" name="TYPE_ABS_DATE">
    <vt:lpwstr>380020230712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17939812;5583030;18791199;19999565;11259435;5074126;26490107;27217205;20916220;27684323:2;27059542;21013916;26089042;27886851;23652935;20632055;21694329;23600188;25496997;26511779;6032057;17941073;5880417;6824952:2;10459128;12930657;7821838;6848505</vt:lpwstr>
  </property>
  <property fmtid="{D5CDD505-2E9C-101B-9397-08002B2CF9AE}" pid="36" name="CASESLISTTMP2">
    <vt:lpwstr>17939098;20053795;10442894;7807295</vt:lpwstr>
  </property>
  <property fmtid="{D5CDD505-2E9C-101B-9397-08002B2CF9AE}" pid="37" name="LAWLISTTMP1">
    <vt:lpwstr>4216/007.a;007.c</vt:lpwstr>
  </property>
  <property fmtid="{D5CDD505-2E9C-101B-9397-08002B2CF9AE}" pid="38" name="LAWLISTTMP2">
    <vt:lpwstr>70301/040c.a;40ja;040d.a</vt:lpwstr>
  </property>
</Properties>
</file>