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4425BF" w:rsidRPr="00D42786" w14:paraId="26C219F0" w14:textId="77777777" w:rsidTr="009B3809">
        <w:trPr>
          <w:gridAfter w:val="1"/>
          <w:wAfter w:w="99" w:type="dxa"/>
          <w:trHeight w:hRule="exact" w:val="418"/>
          <w:jc w:val="center"/>
        </w:trPr>
        <w:tc>
          <w:tcPr>
            <w:tcW w:w="8721" w:type="dxa"/>
            <w:gridSpan w:val="4"/>
          </w:tcPr>
          <w:p w14:paraId="20A9A23F" w14:textId="77777777" w:rsidR="004425BF" w:rsidRPr="00D42786" w:rsidRDefault="004425BF" w:rsidP="00BD6B6A">
            <w:pPr>
              <w:pStyle w:val="a3"/>
              <w:jc w:val="center"/>
              <w:rPr>
                <w:rFonts w:ascii="Tahoma" w:hAnsi="Tahoma" w:cs="Tahoma"/>
                <w:color w:val="000080"/>
                <w:rtl/>
              </w:rPr>
            </w:pPr>
            <w:bookmarkStart w:id="0" w:name="LastJudge"/>
            <w:r w:rsidRPr="00D42786">
              <w:rPr>
                <w:rFonts w:ascii="Tahoma" w:hAnsi="Tahoma" w:cs="Tahoma"/>
                <w:b/>
                <w:bCs/>
                <w:color w:val="000080"/>
                <w:rtl/>
              </w:rPr>
              <w:t>בית משפט השלום בירושלים</w:t>
            </w:r>
          </w:p>
        </w:tc>
      </w:tr>
      <w:tr w:rsidR="004425BF" w:rsidRPr="00D42786" w14:paraId="0B64DB4A" w14:textId="77777777" w:rsidTr="009B3809">
        <w:trPr>
          <w:gridAfter w:val="1"/>
          <w:wAfter w:w="99" w:type="dxa"/>
          <w:trHeight w:val="337"/>
          <w:jc w:val="center"/>
        </w:trPr>
        <w:tc>
          <w:tcPr>
            <w:tcW w:w="5057" w:type="dxa"/>
            <w:gridSpan w:val="3"/>
          </w:tcPr>
          <w:p w14:paraId="7F69D7DD" w14:textId="77777777" w:rsidR="004425BF" w:rsidRPr="00D42786" w:rsidRDefault="004425BF" w:rsidP="00BD6B6A">
            <w:pPr>
              <w:rPr>
                <w:rFonts w:cs="FrankRuehl"/>
                <w:sz w:val="28"/>
                <w:szCs w:val="28"/>
                <w:rtl/>
              </w:rPr>
            </w:pPr>
            <w:r w:rsidRPr="00D42786">
              <w:rPr>
                <w:rFonts w:cs="FrankRuehl"/>
                <w:sz w:val="28"/>
                <w:szCs w:val="28"/>
                <w:rtl/>
              </w:rPr>
              <w:t>ת"פ</w:t>
            </w:r>
            <w:r w:rsidRPr="00D42786">
              <w:rPr>
                <w:rFonts w:cs="FrankRuehl" w:hint="cs"/>
                <w:sz w:val="28"/>
                <w:szCs w:val="28"/>
                <w:rtl/>
              </w:rPr>
              <w:t xml:space="preserve"> </w:t>
            </w:r>
            <w:r w:rsidRPr="00D42786">
              <w:rPr>
                <w:rFonts w:cs="FrankRuehl"/>
                <w:sz w:val="28"/>
                <w:szCs w:val="28"/>
                <w:rtl/>
              </w:rPr>
              <w:t>3952-03-22</w:t>
            </w:r>
            <w:r w:rsidRPr="00D42786">
              <w:rPr>
                <w:rFonts w:cs="FrankRuehl" w:hint="cs"/>
                <w:sz w:val="28"/>
                <w:szCs w:val="28"/>
                <w:rtl/>
              </w:rPr>
              <w:t xml:space="preserve"> </w:t>
            </w:r>
            <w:r w:rsidRPr="00D42786">
              <w:rPr>
                <w:rFonts w:cs="FrankRuehl"/>
                <w:sz w:val="28"/>
                <w:szCs w:val="28"/>
                <w:rtl/>
              </w:rPr>
              <w:t>מדינת ישראל נ' נגאר(עציר)</w:t>
            </w:r>
          </w:p>
          <w:p w14:paraId="1A8B24A9" w14:textId="77777777" w:rsidR="004425BF" w:rsidRPr="00D42786" w:rsidRDefault="004425BF" w:rsidP="00BD6B6A">
            <w:pPr>
              <w:pStyle w:val="a3"/>
              <w:rPr>
                <w:rFonts w:cs="FrankRuehl"/>
                <w:sz w:val="28"/>
                <w:szCs w:val="28"/>
                <w:rtl/>
              </w:rPr>
            </w:pPr>
          </w:p>
        </w:tc>
        <w:tc>
          <w:tcPr>
            <w:tcW w:w="3664" w:type="dxa"/>
          </w:tcPr>
          <w:p w14:paraId="670A261C" w14:textId="77777777" w:rsidR="004425BF" w:rsidRPr="00D42786" w:rsidRDefault="004425BF" w:rsidP="00BD6B6A">
            <w:pPr>
              <w:pStyle w:val="a3"/>
              <w:jc w:val="right"/>
              <w:rPr>
                <w:rFonts w:cs="FrankRuehl"/>
                <w:sz w:val="28"/>
                <w:szCs w:val="28"/>
                <w:rtl/>
              </w:rPr>
            </w:pPr>
          </w:p>
        </w:tc>
      </w:tr>
      <w:tr w:rsidR="004425BF" w:rsidRPr="00D42786" w14:paraId="39A86F31" w14:textId="77777777" w:rsidTr="009B3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73D5490" w14:textId="77777777" w:rsidR="004425BF" w:rsidRPr="00D42786" w:rsidRDefault="004425BF" w:rsidP="004425BF">
            <w:pPr>
              <w:jc w:val="both"/>
              <w:rPr>
                <w:rFonts w:ascii="David" w:hAnsi="David"/>
              </w:rPr>
            </w:pPr>
            <w:r w:rsidRPr="00D42786">
              <w:rPr>
                <w:rFonts w:hint="cs"/>
                <w:rtl/>
              </w:rPr>
              <w:t xml:space="preserve"> </w:t>
            </w:r>
            <w:r w:rsidRPr="00D42786">
              <w:rPr>
                <w:rFonts w:ascii="David" w:hAnsi="David"/>
                <w:rtl/>
              </w:rPr>
              <w:t xml:space="preserve">בפני </w:t>
            </w:r>
          </w:p>
        </w:tc>
        <w:tc>
          <w:tcPr>
            <w:tcW w:w="7897" w:type="dxa"/>
            <w:gridSpan w:val="4"/>
            <w:tcBorders>
              <w:top w:val="nil"/>
              <w:left w:val="nil"/>
              <w:bottom w:val="nil"/>
              <w:right w:val="nil"/>
            </w:tcBorders>
            <w:shd w:val="clear" w:color="auto" w:fill="auto"/>
          </w:tcPr>
          <w:p w14:paraId="46E1F85F" w14:textId="77777777" w:rsidR="004425BF" w:rsidRPr="00D42786" w:rsidRDefault="004425BF" w:rsidP="00BD6B6A">
            <w:pPr>
              <w:rPr>
                <w:rFonts w:ascii="David" w:hAnsi="David"/>
                <w:b/>
                <w:bCs/>
                <w:rtl/>
              </w:rPr>
            </w:pPr>
            <w:r w:rsidRPr="00D42786">
              <w:rPr>
                <w:rFonts w:ascii="David" w:hAnsi="David"/>
                <w:b/>
                <w:bCs/>
                <w:rtl/>
              </w:rPr>
              <w:t>כבוד השופט  ארנון איתן</w:t>
            </w:r>
          </w:p>
          <w:p w14:paraId="6602291B" w14:textId="77777777" w:rsidR="004425BF" w:rsidRPr="00D42786" w:rsidRDefault="004425BF" w:rsidP="00BD6B6A">
            <w:pPr>
              <w:rPr>
                <w:rFonts w:ascii="David" w:hAnsi="David"/>
                <w:rtl/>
              </w:rPr>
            </w:pPr>
          </w:p>
          <w:p w14:paraId="7BEFCD6B" w14:textId="77777777" w:rsidR="004425BF" w:rsidRPr="00D42786" w:rsidRDefault="004425BF" w:rsidP="004425BF">
            <w:pPr>
              <w:jc w:val="both"/>
              <w:rPr>
                <w:rFonts w:ascii="David" w:hAnsi="David"/>
              </w:rPr>
            </w:pPr>
          </w:p>
        </w:tc>
      </w:tr>
      <w:tr w:rsidR="004425BF" w:rsidRPr="00D42786" w14:paraId="0ECF4816" w14:textId="77777777" w:rsidTr="009B3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BE853E" w14:textId="77777777" w:rsidR="004425BF" w:rsidRPr="00D42786" w:rsidRDefault="004425BF" w:rsidP="004425BF">
            <w:pPr>
              <w:jc w:val="both"/>
              <w:rPr>
                <w:rFonts w:ascii="David" w:hAnsi="David"/>
              </w:rPr>
            </w:pPr>
            <w:bookmarkStart w:id="1" w:name="FirstAppellant"/>
            <w:r w:rsidRPr="00D42786">
              <w:rPr>
                <w:rFonts w:ascii="David" w:hAnsi="David"/>
                <w:rtl/>
              </w:rPr>
              <w:t>בעניין:</w:t>
            </w:r>
          </w:p>
        </w:tc>
        <w:tc>
          <w:tcPr>
            <w:tcW w:w="3219" w:type="dxa"/>
            <w:tcBorders>
              <w:top w:val="nil"/>
              <w:left w:val="nil"/>
              <w:bottom w:val="nil"/>
              <w:right w:val="nil"/>
            </w:tcBorders>
            <w:shd w:val="clear" w:color="auto" w:fill="auto"/>
          </w:tcPr>
          <w:p w14:paraId="610A5837" w14:textId="77777777" w:rsidR="004425BF" w:rsidRPr="00D42786" w:rsidRDefault="004425BF" w:rsidP="004425BF">
            <w:pPr>
              <w:suppressLineNumbers/>
            </w:pPr>
            <w:r w:rsidRPr="00D42786">
              <w:rPr>
                <w:rFonts w:ascii="Arial" w:hAnsi="Arial" w:hint="cs"/>
                <w:b/>
                <w:bCs/>
                <w:rtl/>
              </w:rPr>
              <w:t>ה</w:t>
            </w:r>
            <w:r w:rsidRPr="00D42786">
              <w:rPr>
                <w:rFonts w:ascii="Arial" w:hAnsi="Arial"/>
                <w:b/>
                <w:bCs/>
                <w:rtl/>
              </w:rPr>
              <w:t>מאשימה</w:t>
            </w:r>
          </w:p>
          <w:p w14:paraId="64E714C3" w14:textId="77777777" w:rsidR="004425BF" w:rsidRPr="00D42786" w:rsidRDefault="004425BF" w:rsidP="00BD6B6A">
            <w:pPr>
              <w:rPr>
                <w:rFonts w:ascii="David" w:hAnsi="David"/>
              </w:rPr>
            </w:pPr>
          </w:p>
        </w:tc>
        <w:tc>
          <w:tcPr>
            <w:tcW w:w="4678" w:type="dxa"/>
            <w:gridSpan w:val="3"/>
            <w:tcBorders>
              <w:top w:val="nil"/>
              <w:left w:val="nil"/>
              <w:bottom w:val="nil"/>
              <w:right w:val="nil"/>
            </w:tcBorders>
            <w:shd w:val="clear" w:color="auto" w:fill="auto"/>
            <w:vAlign w:val="center"/>
          </w:tcPr>
          <w:p w14:paraId="1014746E" w14:textId="77777777" w:rsidR="004425BF" w:rsidRPr="00D42786" w:rsidRDefault="004425BF" w:rsidP="004425BF">
            <w:pPr>
              <w:suppressLineNumbers/>
            </w:pPr>
            <w:r w:rsidRPr="00D42786">
              <w:rPr>
                <w:rFonts w:ascii="Arial" w:hAnsi="Arial"/>
                <w:b/>
                <w:bCs/>
                <w:rtl/>
              </w:rPr>
              <w:t>מדינת ישראל</w:t>
            </w:r>
            <w:r w:rsidRPr="00D42786">
              <w:rPr>
                <w:rFonts w:ascii="Arial" w:hAnsi="Arial" w:hint="cs"/>
                <w:b/>
                <w:bCs/>
                <w:rtl/>
              </w:rPr>
              <w:t xml:space="preserve"> </w:t>
            </w:r>
            <w:r w:rsidRPr="00D42786">
              <w:rPr>
                <w:rFonts w:ascii="Arial" w:hAnsi="Arial"/>
                <w:rtl/>
              </w:rPr>
              <w:t xml:space="preserve">ע"י </w:t>
            </w:r>
            <w:r w:rsidRPr="00D42786">
              <w:rPr>
                <w:rFonts w:ascii="Arial" w:hAnsi="Arial" w:hint="cs"/>
                <w:rtl/>
              </w:rPr>
              <w:t>יחידת תביעות מחוז ירושלים</w:t>
            </w:r>
          </w:p>
          <w:p w14:paraId="7BC34F89" w14:textId="77777777" w:rsidR="004425BF" w:rsidRPr="00D42786" w:rsidRDefault="004425BF" w:rsidP="00BD6B6A">
            <w:pPr>
              <w:rPr>
                <w:rFonts w:ascii="David" w:hAnsi="David"/>
              </w:rPr>
            </w:pPr>
          </w:p>
        </w:tc>
      </w:tr>
      <w:bookmarkEnd w:id="1"/>
      <w:tr w:rsidR="004425BF" w:rsidRPr="00D42786" w14:paraId="1BEBD4E4" w14:textId="77777777" w:rsidTr="009B3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0D3DA6" w14:textId="77777777" w:rsidR="004425BF" w:rsidRPr="00D42786" w:rsidRDefault="004425BF" w:rsidP="004425BF">
            <w:pPr>
              <w:jc w:val="both"/>
              <w:rPr>
                <w:rFonts w:ascii="David" w:hAnsi="David"/>
                <w:rtl/>
              </w:rPr>
            </w:pPr>
          </w:p>
        </w:tc>
        <w:tc>
          <w:tcPr>
            <w:tcW w:w="7897" w:type="dxa"/>
            <w:gridSpan w:val="4"/>
            <w:tcBorders>
              <w:top w:val="nil"/>
              <w:left w:val="nil"/>
              <w:bottom w:val="nil"/>
              <w:right w:val="nil"/>
            </w:tcBorders>
            <w:shd w:val="clear" w:color="auto" w:fill="auto"/>
          </w:tcPr>
          <w:p w14:paraId="3402D1FC" w14:textId="77777777" w:rsidR="004425BF" w:rsidRPr="00D42786" w:rsidRDefault="004425BF" w:rsidP="004425BF">
            <w:pPr>
              <w:jc w:val="center"/>
              <w:rPr>
                <w:rFonts w:ascii="David" w:hAnsi="David"/>
                <w:b/>
                <w:bCs/>
                <w:rtl/>
              </w:rPr>
            </w:pPr>
          </w:p>
          <w:p w14:paraId="6B3E91BA" w14:textId="77777777" w:rsidR="004425BF" w:rsidRPr="00D42786" w:rsidRDefault="004425BF" w:rsidP="004425BF">
            <w:pPr>
              <w:jc w:val="center"/>
              <w:rPr>
                <w:rFonts w:ascii="David" w:hAnsi="David"/>
                <w:b/>
                <w:bCs/>
                <w:rtl/>
              </w:rPr>
            </w:pPr>
            <w:r w:rsidRPr="00D42786">
              <w:rPr>
                <w:rFonts w:ascii="David" w:hAnsi="David"/>
                <w:b/>
                <w:bCs/>
                <w:rtl/>
              </w:rPr>
              <w:t>נגד</w:t>
            </w:r>
          </w:p>
          <w:p w14:paraId="5A697CF6" w14:textId="77777777" w:rsidR="004425BF" w:rsidRPr="00D42786" w:rsidRDefault="004425BF" w:rsidP="004425BF">
            <w:pPr>
              <w:jc w:val="both"/>
              <w:rPr>
                <w:rFonts w:ascii="David" w:hAnsi="David"/>
              </w:rPr>
            </w:pPr>
          </w:p>
        </w:tc>
      </w:tr>
      <w:tr w:rsidR="004425BF" w:rsidRPr="00D42786" w14:paraId="3B464711" w14:textId="77777777" w:rsidTr="009B3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52FB68" w14:textId="77777777" w:rsidR="004425BF" w:rsidRPr="00D42786" w:rsidRDefault="004425BF" w:rsidP="00BD6B6A">
            <w:pPr>
              <w:rPr>
                <w:rFonts w:ascii="David" w:hAnsi="David"/>
                <w:rtl/>
              </w:rPr>
            </w:pPr>
            <w:bookmarkStart w:id="2" w:name="FirstLawyer"/>
          </w:p>
        </w:tc>
        <w:tc>
          <w:tcPr>
            <w:tcW w:w="3219" w:type="dxa"/>
            <w:tcBorders>
              <w:top w:val="nil"/>
              <w:left w:val="nil"/>
              <w:bottom w:val="nil"/>
              <w:right w:val="nil"/>
            </w:tcBorders>
            <w:shd w:val="clear" w:color="auto" w:fill="auto"/>
          </w:tcPr>
          <w:p w14:paraId="278390AF" w14:textId="77777777" w:rsidR="004425BF" w:rsidRPr="00D42786" w:rsidRDefault="004425BF" w:rsidP="00BD6B6A">
            <w:pPr>
              <w:rPr>
                <w:rFonts w:ascii="Arial" w:hAnsi="Arial"/>
                <w:b/>
                <w:bCs/>
                <w:rtl/>
              </w:rPr>
            </w:pPr>
            <w:r w:rsidRPr="00D42786">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7D52637C" w14:textId="77777777" w:rsidR="004425BF" w:rsidRPr="00D42786" w:rsidRDefault="004425BF" w:rsidP="004425BF">
            <w:pPr>
              <w:suppressLineNumbers/>
            </w:pPr>
            <w:r w:rsidRPr="00D42786">
              <w:rPr>
                <w:rFonts w:ascii="Arial" w:hAnsi="Arial"/>
                <w:b/>
                <w:bCs/>
                <w:rtl/>
              </w:rPr>
              <w:t>מוחמד נגאר (עציר)</w:t>
            </w:r>
            <w:r w:rsidRPr="00D42786">
              <w:rPr>
                <w:rFonts w:ascii="Arial" w:hAnsi="Arial" w:hint="cs"/>
                <w:b/>
                <w:bCs/>
                <w:rtl/>
              </w:rPr>
              <w:t xml:space="preserve"> </w:t>
            </w:r>
            <w:r w:rsidRPr="00D42786">
              <w:rPr>
                <w:rFonts w:ascii="Arial" w:hAnsi="Arial"/>
                <w:rtl/>
              </w:rPr>
              <w:t>ע"י ב"כ עוה"ד</w:t>
            </w:r>
            <w:r w:rsidRPr="00D42786">
              <w:rPr>
                <w:rFonts w:ascii="Arial" w:hAnsi="Arial" w:hint="cs"/>
                <w:rtl/>
              </w:rPr>
              <w:t xml:space="preserve"> יחיא מוסטפה</w:t>
            </w:r>
          </w:p>
          <w:p w14:paraId="5CBF8B0D" w14:textId="77777777" w:rsidR="004425BF" w:rsidRPr="00D42786" w:rsidRDefault="004425BF" w:rsidP="00BD6B6A">
            <w:pPr>
              <w:rPr>
                <w:rFonts w:ascii="David" w:hAnsi="David"/>
              </w:rPr>
            </w:pPr>
          </w:p>
        </w:tc>
      </w:tr>
      <w:bookmarkEnd w:id="2"/>
    </w:tbl>
    <w:p w14:paraId="12212CBF" w14:textId="77777777" w:rsidR="009B3809" w:rsidRDefault="009B3809" w:rsidP="004425BF">
      <w:pPr>
        <w:rPr>
          <w:rtl/>
        </w:rPr>
      </w:pPr>
    </w:p>
    <w:p w14:paraId="1DBE5F80" w14:textId="77777777" w:rsidR="009B3809" w:rsidRPr="009B3809" w:rsidRDefault="009B3809" w:rsidP="009B3809">
      <w:pPr>
        <w:spacing w:after="120" w:line="240" w:lineRule="exact"/>
        <w:ind w:left="283" w:hanging="283"/>
        <w:jc w:val="both"/>
        <w:rPr>
          <w:rFonts w:ascii="FrankRuehl" w:hAnsi="FrankRuehl" w:cs="FrankRuehl"/>
          <w:rtl/>
        </w:rPr>
      </w:pPr>
    </w:p>
    <w:p w14:paraId="2B626940" w14:textId="77777777" w:rsidR="009C754B" w:rsidRPr="009C754B" w:rsidRDefault="009C754B" w:rsidP="009C754B">
      <w:pPr>
        <w:spacing w:before="120" w:after="120" w:line="240" w:lineRule="exact"/>
        <w:ind w:left="283" w:hanging="283"/>
        <w:jc w:val="both"/>
        <w:rPr>
          <w:rFonts w:ascii="FrankRuehl" w:hAnsi="FrankRuehl" w:cs="FrankRuehl"/>
          <w:rtl/>
        </w:rPr>
      </w:pPr>
    </w:p>
    <w:p w14:paraId="796C751E" w14:textId="77777777" w:rsidR="00660026" w:rsidRDefault="00660026" w:rsidP="00660026">
      <w:pPr>
        <w:rPr>
          <w:rtl/>
        </w:rPr>
      </w:pPr>
      <w:bookmarkStart w:id="3" w:name="LawTable"/>
      <w:bookmarkEnd w:id="3"/>
    </w:p>
    <w:p w14:paraId="50D5FAEE" w14:textId="77777777" w:rsidR="00660026" w:rsidRPr="00660026" w:rsidRDefault="00660026" w:rsidP="00660026">
      <w:pPr>
        <w:spacing w:before="120" w:after="120" w:line="240" w:lineRule="exact"/>
        <w:ind w:left="283" w:hanging="283"/>
        <w:jc w:val="both"/>
        <w:rPr>
          <w:rFonts w:ascii="FrankRuehl" w:hAnsi="FrankRuehl" w:cs="FrankRuehl"/>
          <w:rtl/>
        </w:rPr>
      </w:pPr>
    </w:p>
    <w:p w14:paraId="3C086031" w14:textId="77777777" w:rsidR="00660026" w:rsidRPr="00660026" w:rsidRDefault="00660026" w:rsidP="00660026">
      <w:pPr>
        <w:spacing w:before="120" w:after="120" w:line="240" w:lineRule="exact"/>
        <w:ind w:left="283" w:hanging="283"/>
        <w:jc w:val="both"/>
        <w:rPr>
          <w:rFonts w:ascii="FrankRuehl" w:hAnsi="FrankRuehl" w:cs="FrankRuehl"/>
          <w:rtl/>
        </w:rPr>
      </w:pPr>
    </w:p>
    <w:p w14:paraId="285F0893" w14:textId="77777777" w:rsidR="00660026" w:rsidRPr="00660026" w:rsidRDefault="00660026" w:rsidP="00660026">
      <w:pPr>
        <w:spacing w:before="120" w:after="120" w:line="240" w:lineRule="exact"/>
        <w:ind w:left="283" w:hanging="283"/>
        <w:jc w:val="both"/>
        <w:rPr>
          <w:rFonts w:ascii="FrankRuehl" w:hAnsi="FrankRuehl" w:cs="FrankRuehl"/>
          <w:rtl/>
        </w:rPr>
      </w:pPr>
      <w:r w:rsidRPr="00660026">
        <w:rPr>
          <w:rFonts w:ascii="FrankRuehl" w:hAnsi="FrankRuehl" w:cs="FrankRuehl"/>
          <w:rtl/>
        </w:rPr>
        <w:t xml:space="preserve">חקיקה שאוזכרה: </w:t>
      </w:r>
    </w:p>
    <w:p w14:paraId="60D8C1E6" w14:textId="77777777" w:rsidR="00660026" w:rsidRPr="00660026" w:rsidRDefault="00660026" w:rsidP="00660026">
      <w:pPr>
        <w:spacing w:before="120" w:after="120" w:line="240" w:lineRule="exact"/>
        <w:ind w:left="283" w:hanging="283"/>
        <w:jc w:val="both"/>
        <w:rPr>
          <w:rFonts w:ascii="FrankRuehl" w:hAnsi="FrankRuehl" w:cs="FrankRuehl"/>
          <w:rtl/>
        </w:rPr>
      </w:pPr>
      <w:hyperlink r:id="rId7" w:history="1">
        <w:r w:rsidRPr="00660026">
          <w:rPr>
            <w:rFonts w:ascii="FrankRuehl" w:hAnsi="FrankRuehl" w:cs="FrankRuehl"/>
            <w:color w:val="0000FF"/>
            <w:rtl/>
          </w:rPr>
          <w:t>חוק הכניסה לישראל, תשי"ב-1952</w:t>
        </w:r>
      </w:hyperlink>
      <w:r w:rsidRPr="00660026">
        <w:rPr>
          <w:rFonts w:ascii="FrankRuehl" w:hAnsi="FrankRuehl" w:cs="FrankRuehl"/>
          <w:rtl/>
        </w:rPr>
        <w:t xml:space="preserve">: סע'  </w:t>
      </w:r>
      <w:hyperlink r:id="rId8" w:history="1">
        <w:r w:rsidRPr="00660026">
          <w:rPr>
            <w:rFonts w:ascii="FrankRuehl" w:hAnsi="FrankRuehl" w:cs="FrankRuehl"/>
            <w:color w:val="0000FF"/>
            <w:rtl/>
          </w:rPr>
          <w:t>12(1)</w:t>
        </w:r>
      </w:hyperlink>
    </w:p>
    <w:p w14:paraId="76936DDE" w14:textId="77777777" w:rsidR="00660026" w:rsidRPr="00660026" w:rsidRDefault="00660026" w:rsidP="00660026">
      <w:pPr>
        <w:spacing w:before="120" w:after="120" w:line="240" w:lineRule="exact"/>
        <w:ind w:left="283" w:hanging="283"/>
        <w:jc w:val="both"/>
        <w:rPr>
          <w:rFonts w:ascii="FrankRuehl" w:hAnsi="FrankRuehl" w:cs="FrankRuehl"/>
          <w:rtl/>
        </w:rPr>
      </w:pPr>
      <w:hyperlink r:id="rId9" w:history="1">
        <w:r w:rsidRPr="00660026">
          <w:rPr>
            <w:rFonts w:ascii="FrankRuehl" w:hAnsi="FrankRuehl" w:cs="FrankRuehl"/>
            <w:color w:val="0000FF"/>
            <w:rtl/>
          </w:rPr>
          <w:t>חוק העונשין, תשל"ז-1977</w:t>
        </w:r>
      </w:hyperlink>
      <w:r w:rsidRPr="00660026">
        <w:rPr>
          <w:rFonts w:ascii="FrankRuehl" w:hAnsi="FrankRuehl" w:cs="FrankRuehl"/>
          <w:rtl/>
        </w:rPr>
        <w:t xml:space="preserve">: סע'  </w:t>
      </w:r>
      <w:hyperlink r:id="rId10" w:history="1">
        <w:r w:rsidRPr="00660026">
          <w:rPr>
            <w:rFonts w:ascii="FrankRuehl" w:hAnsi="FrankRuehl" w:cs="FrankRuehl"/>
            <w:color w:val="0000FF"/>
            <w:rtl/>
          </w:rPr>
          <w:t>275</w:t>
        </w:r>
      </w:hyperlink>
      <w:r w:rsidRPr="00660026">
        <w:rPr>
          <w:rFonts w:ascii="FrankRuehl" w:hAnsi="FrankRuehl" w:cs="FrankRuehl"/>
          <w:rtl/>
        </w:rPr>
        <w:t xml:space="preserve">, </w:t>
      </w:r>
      <w:hyperlink r:id="rId11" w:history="1">
        <w:r w:rsidRPr="00660026">
          <w:rPr>
            <w:rFonts w:ascii="FrankRuehl" w:hAnsi="FrankRuehl" w:cs="FrankRuehl"/>
            <w:color w:val="0000FF"/>
            <w:rtl/>
          </w:rPr>
          <w:t>338 (א)(1)</w:t>
        </w:r>
      </w:hyperlink>
      <w:r w:rsidRPr="00660026">
        <w:rPr>
          <w:rFonts w:ascii="FrankRuehl" w:hAnsi="FrankRuehl" w:cs="FrankRuehl"/>
          <w:rtl/>
        </w:rPr>
        <w:t xml:space="preserve">, </w:t>
      </w:r>
      <w:hyperlink r:id="rId12" w:history="1">
        <w:r w:rsidRPr="00660026">
          <w:rPr>
            <w:rFonts w:ascii="FrankRuehl" w:hAnsi="FrankRuehl" w:cs="FrankRuehl"/>
            <w:color w:val="0000FF"/>
            <w:rtl/>
          </w:rPr>
          <w:t>413</w:t>
        </w:r>
      </w:hyperlink>
      <w:r w:rsidRPr="00660026">
        <w:rPr>
          <w:rFonts w:ascii="FrankRuehl" w:hAnsi="FrankRuehl" w:cs="FrankRuehl"/>
          <w:rtl/>
        </w:rPr>
        <w:t xml:space="preserve">, </w:t>
      </w:r>
      <w:hyperlink r:id="rId13" w:history="1">
        <w:r w:rsidRPr="00660026">
          <w:rPr>
            <w:rFonts w:ascii="FrankRuehl" w:hAnsi="FrankRuehl" w:cs="FrankRuehl"/>
            <w:color w:val="0000FF"/>
            <w:rtl/>
          </w:rPr>
          <w:t>413 ה</w:t>
        </w:r>
      </w:hyperlink>
    </w:p>
    <w:p w14:paraId="10EACB46" w14:textId="77777777" w:rsidR="00660026" w:rsidRPr="00660026" w:rsidRDefault="00660026" w:rsidP="00660026">
      <w:pPr>
        <w:spacing w:before="120" w:after="120" w:line="240" w:lineRule="exact"/>
        <w:ind w:left="283" w:hanging="283"/>
        <w:jc w:val="both"/>
        <w:rPr>
          <w:rFonts w:ascii="FrankRuehl" w:hAnsi="FrankRuehl" w:cs="FrankRuehl"/>
          <w:rtl/>
        </w:rPr>
      </w:pPr>
      <w:hyperlink r:id="rId14" w:history="1">
        <w:r w:rsidRPr="00660026">
          <w:rPr>
            <w:rFonts w:ascii="FrankRuehl" w:hAnsi="FrankRuehl" w:cs="FrankRuehl"/>
            <w:color w:val="0000FF"/>
            <w:rtl/>
          </w:rPr>
          <w:t>פקודת התעבורה [נוסח חדש]</w:t>
        </w:r>
      </w:hyperlink>
      <w:r w:rsidRPr="00660026">
        <w:rPr>
          <w:rFonts w:ascii="FrankRuehl" w:hAnsi="FrankRuehl" w:cs="FrankRuehl"/>
          <w:rtl/>
        </w:rPr>
        <w:t xml:space="preserve">: סע'  </w:t>
      </w:r>
      <w:hyperlink r:id="rId15" w:history="1">
        <w:r w:rsidRPr="00660026">
          <w:rPr>
            <w:rFonts w:ascii="FrankRuehl" w:hAnsi="FrankRuehl" w:cs="FrankRuehl"/>
            <w:color w:val="0000FF"/>
            <w:rtl/>
          </w:rPr>
          <w:t>10(א)</w:t>
        </w:r>
      </w:hyperlink>
      <w:r w:rsidRPr="00660026">
        <w:rPr>
          <w:rFonts w:ascii="FrankRuehl" w:hAnsi="FrankRuehl" w:cs="FrankRuehl"/>
          <w:rtl/>
        </w:rPr>
        <w:t xml:space="preserve">, </w:t>
      </w:r>
      <w:hyperlink r:id="rId16" w:history="1">
        <w:r w:rsidRPr="00660026">
          <w:rPr>
            <w:rFonts w:ascii="FrankRuehl" w:hAnsi="FrankRuehl" w:cs="FrankRuehl"/>
            <w:color w:val="0000FF"/>
            <w:rtl/>
          </w:rPr>
          <w:t>67</w:t>
        </w:r>
      </w:hyperlink>
    </w:p>
    <w:p w14:paraId="1A84E604" w14:textId="77777777" w:rsidR="00660026" w:rsidRPr="00660026" w:rsidRDefault="00660026" w:rsidP="00660026">
      <w:pPr>
        <w:spacing w:before="120" w:after="120" w:line="240" w:lineRule="exact"/>
        <w:ind w:left="283" w:hanging="283"/>
        <w:jc w:val="both"/>
        <w:rPr>
          <w:rFonts w:ascii="FrankRuehl" w:hAnsi="FrankRuehl" w:cs="FrankRuehl"/>
          <w:rtl/>
        </w:rPr>
      </w:pPr>
      <w:hyperlink r:id="rId17" w:history="1">
        <w:r w:rsidRPr="00660026">
          <w:rPr>
            <w:rFonts w:ascii="FrankRuehl" w:hAnsi="FrankRuehl" w:cs="FrankRuehl"/>
            <w:color w:val="0000FF"/>
            <w:rtl/>
          </w:rPr>
          <w:t>פקודת ביטוח רכב מנועי [נוסח חדש], תש"ל-1970</w:t>
        </w:r>
      </w:hyperlink>
      <w:r w:rsidRPr="00660026">
        <w:rPr>
          <w:rFonts w:ascii="FrankRuehl" w:hAnsi="FrankRuehl" w:cs="FrankRuehl"/>
          <w:rtl/>
        </w:rPr>
        <w:t xml:space="preserve">: סע'  </w:t>
      </w:r>
      <w:hyperlink r:id="rId18" w:history="1">
        <w:r w:rsidRPr="00660026">
          <w:rPr>
            <w:rFonts w:ascii="FrankRuehl" w:hAnsi="FrankRuehl" w:cs="FrankRuehl"/>
            <w:color w:val="0000FF"/>
            <w:rtl/>
          </w:rPr>
          <w:t>2 א</w:t>
        </w:r>
      </w:hyperlink>
    </w:p>
    <w:p w14:paraId="7778FA05" w14:textId="77777777" w:rsidR="00660026" w:rsidRPr="00660026" w:rsidRDefault="00660026" w:rsidP="00660026">
      <w:pPr>
        <w:spacing w:before="120" w:after="120" w:line="240" w:lineRule="exact"/>
        <w:ind w:left="283" w:hanging="283"/>
        <w:jc w:val="both"/>
        <w:rPr>
          <w:rFonts w:ascii="FrankRuehl" w:hAnsi="FrankRuehl" w:cs="FrankRuehl"/>
          <w:rtl/>
        </w:rPr>
      </w:pPr>
      <w:hyperlink r:id="rId19" w:history="1">
        <w:r w:rsidRPr="00660026">
          <w:rPr>
            <w:rFonts w:ascii="FrankRuehl" w:hAnsi="FrankRuehl" w:cs="FrankRuehl"/>
            <w:color w:val="0000FF"/>
            <w:rtl/>
          </w:rPr>
          <w:t>פקודת הסמים המסוכנים [נוסח חדש], תשל"ג-1973</w:t>
        </w:r>
      </w:hyperlink>
      <w:r w:rsidRPr="00660026">
        <w:rPr>
          <w:rFonts w:ascii="FrankRuehl" w:hAnsi="FrankRuehl" w:cs="FrankRuehl"/>
          <w:rtl/>
        </w:rPr>
        <w:t xml:space="preserve">: סע'  </w:t>
      </w:r>
      <w:hyperlink r:id="rId20" w:history="1">
        <w:r w:rsidRPr="00660026">
          <w:rPr>
            <w:rFonts w:ascii="FrankRuehl" w:hAnsi="FrankRuehl" w:cs="FrankRuehl"/>
            <w:color w:val="0000FF"/>
            <w:rtl/>
          </w:rPr>
          <w:t>7(א)</w:t>
        </w:r>
      </w:hyperlink>
      <w:r w:rsidRPr="00660026">
        <w:rPr>
          <w:rFonts w:ascii="FrankRuehl" w:hAnsi="FrankRuehl" w:cs="FrankRuehl"/>
          <w:rtl/>
        </w:rPr>
        <w:t xml:space="preserve">, </w:t>
      </w:r>
      <w:hyperlink r:id="rId21" w:history="1">
        <w:r w:rsidRPr="00660026">
          <w:rPr>
            <w:rFonts w:ascii="FrankRuehl" w:hAnsi="FrankRuehl" w:cs="FrankRuehl"/>
            <w:color w:val="0000FF"/>
            <w:rtl/>
          </w:rPr>
          <w:t>7(ג)</w:t>
        </w:r>
      </w:hyperlink>
    </w:p>
    <w:p w14:paraId="771C9876" w14:textId="77777777" w:rsidR="00660026" w:rsidRPr="00660026" w:rsidRDefault="00660026" w:rsidP="00660026">
      <w:pPr>
        <w:rPr>
          <w:rtl/>
        </w:rPr>
      </w:pPr>
      <w:bookmarkStart w:id="4" w:name="LawTable_End"/>
      <w:bookmarkEnd w:id="4"/>
    </w:p>
    <w:p w14:paraId="1F11D072" w14:textId="77777777" w:rsidR="004425BF" w:rsidRPr="009C754B" w:rsidRDefault="004425BF" w:rsidP="009C754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25BF" w:rsidRPr="00926369" w14:paraId="44229B9B" w14:textId="77777777" w:rsidTr="004425BF">
        <w:trPr>
          <w:trHeight w:val="355"/>
          <w:jc w:val="center"/>
        </w:trPr>
        <w:tc>
          <w:tcPr>
            <w:tcW w:w="8820" w:type="dxa"/>
            <w:tcBorders>
              <w:top w:val="nil"/>
              <w:left w:val="nil"/>
              <w:bottom w:val="nil"/>
              <w:right w:val="nil"/>
            </w:tcBorders>
            <w:shd w:val="clear" w:color="auto" w:fill="auto"/>
          </w:tcPr>
          <w:p w14:paraId="09765659" w14:textId="77777777" w:rsidR="00D42786" w:rsidRPr="00D42786" w:rsidRDefault="00D42786" w:rsidP="00D42786">
            <w:pPr>
              <w:jc w:val="center"/>
              <w:rPr>
                <w:rFonts w:ascii="David" w:hAnsi="David"/>
                <w:b/>
                <w:bCs/>
                <w:u w:val="single"/>
                <w:rtl/>
              </w:rPr>
            </w:pPr>
            <w:bookmarkStart w:id="5" w:name="PsakDin" w:colFirst="0" w:colLast="0"/>
            <w:bookmarkEnd w:id="0"/>
            <w:r w:rsidRPr="00D42786">
              <w:rPr>
                <w:rFonts w:ascii="David" w:hAnsi="David"/>
                <w:b/>
                <w:bCs/>
                <w:u w:val="single"/>
                <w:rtl/>
              </w:rPr>
              <w:t>גזר דין</w:t>
            </w:r>
          </w:p>
          <w:p w14:paraId="1BDB38E6" w14:textId="77777777" w:rsidR="004425BF" w:rsidRPr="00D42786" w:rsidRDefault="004425BF" w:rsidP="00D42786">
            <w:pPr>
              <w:jc w:val="center"/>
              <w:rPr>
                <w:rFonts w:ascii="David" w:hAnsi="David"/>
                <w:bCs/>
                <w:u w:val="single"/>
                <w:rtl/>
              </w:rPr>
            </w:pPr>
          </w:p>
        </w:tc>
      </w:tr>
    </w:tbl>
    <w:bookmarkEnd w:id="5"/>
    <w:p w14:paraId="7EB87128" w14:textId="77777777" w:rsidR="004425BF" w:rsidRPr="00926369" w:rsidRDefault="004425BF" w:rsidP="004425BF">
      <w:pPr>
        <w:spacing w:line="360" w:lineRule="auto"/>
        <w:ind w:firstLine="720"/>
        <w:jc w:val="both"/>
        <w:rPr>
          <w:rFonts w:ascii="Arial" w:hAnsi="Arial"/>
          <w:b/>
          <w:bCs/>
        </w:rPr>
      </w:pPr>
      <w:r w:rsidRPr="00926369">
        <w:rPr>
          <w:rFonts w:ascii="Arial" w:hAnsi="Arial" w:hint="cs"/>
          <w:b/>
          <w:bCs/>
          <w:u w:val="single"/>
          <w:rtl/>
        </w:rPr>
        <w:t xml:space="preserve">כתבי </w:t>
      </w:r>
      <w:r>
        <w:rPr>
          <w:rFonts w:ascii="Arial" w:hAnsi="Arial" w:hint="cs"/>
          <w:b/>
          <w:bCs/>
          <w:u w:val="single"/>
          <w:rtl/>
        </w:rPr>
        <w:t>-</w:t>
      </w:r>
      <w:r w:rsidRPr="00926369">
        <w:rPr>
          <w:rFonts w:ascii="Arial" w:hAnsi="Arial" w:hint="cs"/>
          <w:b/>
          <w:bCs/>
          <w:u w:val="single"/>
          <w:rtl/>
        </w:rPr>
        <w:t>האישום</w:t>
      </w:r>
      <w:r w:rsidRPr="00926369">
        <w:rPr>
          <w:rFonts w:ascii="Arial" w:hAnsi="Arial" w:hint="cs"/>
          <w:b/>
          <w:bCs/>
          <w:rtl/>
        </w:rPr>
        <w:t>:</w:t>
      </w:r>
    </w:p>
    <w:p w14:paraId="04DA024C" w14:textId="77777777" w:rsidR="004425BF" w:rsidRPr="00926369" w:rsidRDefault="004425BF" w:rsidP="004425BF">
      <w:pPr>
        <w:pStyle w:val="a9"/>
        <w:numPr>
          <w:ilvl w:val="0"/>
          <w:numId w:val="1"/>
        </w:numPr>
        <w:spacing w:line="360" w:lineRule="auto"/>
        <w:jc w:val="both"/>
        <w:rPr>
          <w:rFonts w:ascii="Arial" w:hAnsi="Arial"/>
        </w:rPr>
      </w:pPr>
      <w:bookmarkStart w:id="6" w:name="ABSTRACT_START"/>
      <w:bookmarkEnd w:id="6"/>
      <w:r w:rsidRPr="00926369">
        <w:rPr>
          <w:rFonts w:ascii="Arial" w:hAnsi="Arial" w:hint="cs"/>
          <w:rtl/>
        </w:rPr>
        <w:t xml:space="preserve">הנאשם הורשע על פי הודאתו ובמסגרת הסדר טעון בעבירות של כניסה לישראל שלא כדין, לפי </w:t>
      </w:r>
      <w:hyperlink r:id="rId22" w:history="1">
        <w:r w:rsidR="009B3809" w:rsidRPr="009B3809">
          <w:rPr>
            <w:rStyle w:val="Hyperlink"/>
            <w:rFonts w:ascii="Arial" w:hAnsi="Arial" w:hint="eastAsia"/>
            <w:rtl/>
          </w:rPr>
          <w:t>סעיף</w:t>
        </w:r>
        <w:r w:rsidR="009B3809" w:rsidRPr="009B3809">
          <w:rPr>
            <w:rStyle w:val="Hyperlink"/>
            <w:rFonts w:ascii="Arial" w:hAnsi="Arial"/>
            <w:rtl/>
          </w:rPr>
          <w:t xml:space="preserve"> 12(1)</w:t>
        </w:r>
      </w:hyperlink>
      <w:r w:rsidRPr="00926369">
        <w:rPr>
          <w:rFonts w:ascii="Arial" w:hAnsi="Arial" w:hint="cs"/>
          <w:rtl/>
        </w:rPr>
        <w:t xml:space="preserve"> ל</w:t>
      </w:r>
      <w:hyperlink r:id="rId23" w:history="1">
        <w:r w:rsidR="00D42786" w:rsidRPr="00D42786">
          <w:rPr>
            <w:rFonts w:ascii="Arial" w:hAnsi="Arial"/>
            <w:color w:val="0000FF"/>
            <w:u w:val="single"/>
            <w:rtl/>
          </w:rPr>
          <w:t>חוק הכניסה לישראל</w:t>
        </w:r>
      </w:hyperlink>
      <w:r w:rsidRPr="00926369">
        <w:rPr>
          <w:rFonts w:ascii="Arial" w:hAnsi="Arial" w:hint="cs"/>
          <w:rtl/>
        </w:rPr>
        <w:t xml:space="preserve">, תשי"ב 1952, חבלה </w:t>
      </w:r>
      <w:r>
        <w:rPr>
          <w:rFonts w:ascii="Arial" w:hAnsi="Arial" w:hint="cs"/>
          <w:rtl/>
        </w:rPr>
        <w:t>ב</w:t>
      </w:r>
      <w:r w:rsidRPr="00926369">
        <w:rPr>
          <w:rFonts w:ascii="Arial" w:hAnsi="Arial" w:hint="cs"/>
          <w:rtl/>
        </w:rPr>
        <w:t xml:space="preserve">מזיד ברכב לפי סעיף </w:t>
      </w:r>
      <w:hyperlink r:id="rId24" w:history="1">
        <w:r w:rsidR="009B3809" w:rsidRPr="009B3809">
          <w:rPr>
            <w:rStyle w:val="Hyperlink"/>
            <w:rFonts w:ascii="Arial" w:hAnsi="Arial"/>
            <w:rtl/>
          </w:rPr>
          <w:t>413 ה</w:t>
        </w:r>
      </w:hyperlink>
      <w:r w:rsidRPr="00926369">
        <w:rPr>
          <w:rFonts w:ascii="Arial" w:hAnsi="Arial" w:hint="cs"/>
          <w:rtl/>
        </w:rPr>
        <w:t xml:space="preserve"> ל</w:t>
      </w:r>
      <w:hyperlink r:id="rId25" w:history="1">
        <w:r w:rsidR="00D42786" w:rsidRPr="00D42786">
          <w:rPr>
            <w:rFonts w:ascii="Arial" w:hAnsi="Arial"/>
            <w:color w:val="0000FF"/>
            <w:u w:val="single"/>
            <w:rtl/>
          </w:rPr>
          <w:t>חוק העונשין</w:t>
        </w:r>
      </w:hyperlink>
      <w:r w:rsidRPr="00926369">
        <w:rPr>
          <w:rFonts w:ascii="Arial" w:hAnsi="Arial" w:hint="cs"/>
          <w:rtl/>
        </w:rPr>
        <w:t xml:space="preserve">, תשל"ז 1977, (להלן: </w:t>
      </w:r>
      <w:r w:rsidRPr="00324519">
        <w:rPr>
          <w:rFonts w:ascii="Arial" w:hAnsi="Arial" w:hint="cs"/>
          <w:b/>
          <w:bCs/>
          <w:rtl/>
        </w:rPr>
        <w:t>"חוק העונשין"</w:t>
      </w:r>
      <w:r w:rsidRPr="00926369">
        <w:rPr>
          <w:rFonts w:ascii="Arial" w:hAnsi="Arial" w:hint="cs"/>
          <w:rtl/>
        </w:rPr>
        <w:t>), גניבת ר</w:t>
      </w:r>
      <w:r>
        <w:rPr>
          <w:rFonts w:ascii="Arial" w:hAnsi="Arial" w:hint="cs"/>
          <w:rtl/>
        </w:rPr>
        <w:t>כ</w:t>
      </w:r>
      <w:r w:rsidRPr="00926369">
        <w:rPr>
          <w:rFonts w:ascii="Arial" w:hAnsi="Arial" w:hint="cs"/>
          <w:rtl/>
        </w:rPr>
        <w:t xml:space="preserve">ב לפי </w:t>
      </w:r>
      <w:hyperlink r:id="rId26" w:history="1">
        <w:r w:rsidR="009B3809" w:rsidRPr="009B3809">
          <w:rPr>
            <w:rStyle w:val="Hyperlink"/>
            <w:rFonts w:ascii="Arial" w:hAnsi="Arial" w:hint="eastAsia"/>
            <w:rtl/>
          </w:rPr>
          <w:t>סעיף</w:t>
        </w:r>
        <w:r w:rsidR="009B3809" w:rsidRPr="009B3809">
          <w:rPr>
            <w:rStyle w:val="Hyperlink"/>
            <w:rFonts w:ascii="Arial" w:hAnsi="Arial"/>
            <w:rtl/>
          </w:rPr>
          <w:t xml:space="preserve"> 413</w:t>
        </w:r>
      </w:hyperlink>
      <w:r w:rsidRPr="00926369">
        <w:rPr>
          <w:rFonts w:ascii="Arial" w:hAnsi="Arial" w:hint="cs"/>
          <w:rtl/>
        </w:rPr>
        <w:t xml:space="preserve"> לחוק העונשין, נהיגה פוחזת של רכב לפי סעיף </w:t>
      </w:r>
      <w:hyperlink r:id="rId27" w:history="1">
        <w:r w:rsidR="009B3809" w:rsidRPr="009B3809">
          <w:rPr>
            <w:rStyle w:val="Hyperlink"/>
            <w:rFonts w:ascii="Arial" w:hAnsi="Arial"/>
            <w:rtl/>
          </w:rPr>
          <w:t>338 (א)(1)</w:t>
        </w:r>
      </w:hyperlink>
      <w:r w:rsidRPr="00926369">
        <w:rPr>
          <w:rFonts w:ascii="Arial" w:hAnsi="Arial" w:hint="cs"/>
          <w:rtl/>
        </w:rPr>
        <w:t xml:space="preserve">לחוק העונשין, נהיגה ללא רישיון, לפי </w:t>
      </w:r>
      <w:hyperlink r:id="rId28" w:history="1">
        <w:r w:rsidR="009B3809" w:rsidRPr="009B3809">
          <w:rPr>
            <w:rStyle w:val="Hyperlink"/>
            <w:rFonts w:ascii="Arial" w:hAnsi="Arial" w:hint="eastAsia"/>
            <w:rtl/>
          </w:rPr>
          <w:t>סעיף</w:t>
        </w:r>
        <w:r w:rsidR="009B3809" w:rsidRPr="009B3809">
          <w:rPr>
            <w:rStyle w:val="Hyperlink"/>
            <w:rFonts w:ascii="Arial" w:hAnsi="Arial"/>
            <w:rtl/>
          </w:rPr>
          <w:t xml:space="preserve"> 10(א)</w:t>
        </w:r>
      </w:hyperlink>
      <w:r w:rsidRPr="00926369">
        <w:rPr>
          <w:rFonts w:ascii="Arial" w:hAnsi="Arial" w:hint="cs"/>
          <w:rtl/>
        </w:rPr>
        <w:t xml:space="preserve"> ל</w:t>
      </w:r>
      <w:hyperlink r:id="rId29" w:history="1">
        <w:r w:rsidR="00D42786" w:rsidRPr="00D42786">
          <w:rPr>
            <w:rFonts w:ascii="Arial" w:hAnsi="Arial"/>
            <w:color w:val="0000FF"/>
            <w:u w:val="single"/>
            <w:rtl/>
          </w:rPr>
          <w:t>פקודת התעבורה</w:t>
        </w:r>
      </w:hyperlink>
      <w:r>
        <w:rPr>
          <w:rFonts w:ascii="Arial" w:hAnsi="Arial" w:hint="cs"/>
          <w:rtl/>
        </w:rPr>
        <w:t xml:space="preserve"> </w:t>
      </w:r>
      <w:r w:rsidRPr="00926369">
        <w:rPr>
          <w:rFonts w:ascii="Arial" w:hAnsi="Arial" w:hint="cs"/>
          <w:rtl/>
        </w:rPr>
        <w:t>(נ"ח) תשכ"א 1961, ונהיגה ברכב ללא ביט</w:t>
      </w:r>
      <w:r>
        <w:rPr>
          <w:rFonts w:ascii="Arial" w:hAnsi="Arial" w:hint="cs"/>
          <w:rtl/>
        </w:rPr>
        <w:t>וח</w:t>
      </w:r>
      <w:r w:rsidRPr="00926369">
        <w:rPr>
          <w:rFonts w:ascii="Arial" w:hAnsi="Arial" w:hint="cs"/>
          <w:rtl/>
        </w:rPr>
        <w:t xml:space="preserve"> לפי סעי</w:t>
      </w:r>
      <w:r>
        <w:rPr>
          <w:rFonts w:ascii="Arial" w:hAnsi="Arial" w:hint="cs"/>
          <w:rtl/>
        </w:rPr>
        <w:t>ף</w:t>
      </w:r>
      <w:r w:rsidRPr="00926369">
        <w:rPr>
          <w:rFonts w:ascii="Arial" w:hAnsi="Arial" w:hint="cs"/>
          <w:rtl/>
        </w:rPr>
        <w:t xml:space="preserve"> </w:t>
      </w:r>
      <w:hyperlink r:id="rId30" w:history="1">
        <w:r w:rsidR="009B3809" w:rsidRPr="009B3809">
          <w:rPr>
            <w:rStyle w:val="Hyperlink"/>
            <w:rFonts w:ascii="Arial" w:hAnsi="Arial"/>
            <w:rtl/>
          </w:rPr>
          <w:t>2 א</w:t>
        </w:r>
      </w:hyperlink>
      <w:r w:rsidRPr="00926369">
        <w:rPr>
          <w:rFonts w:ascii="Arial" w:hAnsi="Arial" w:hint="cs"/>
          <w:rtl/>
        </w:rPr>
        <w:t xml:space="preserve"> ל</w:t>
      </w:r>
      <w:hyperlink r:id="rId31" w:history="1">
        <w:r w:rsidR="00D42786" w:rsidRPr="00D42786">
          <w:rPr>
            <w:rFonts w:ascii="Arial" w:hAnsi="Arial"/>
            <w:color w:val="0000FF"/>
            <w:u w:val="single"/>
            <w:rtl/>
          </w:rPr>
          <w:t>פקודת ביטוח רכב מנועי</w:t>
        </w:r>
      </w:hyperlink>
      <w:r w:rsidRPr="00926369">
        <w:rPr>
          <w:rFonts w:ascii="Arial" w:hAnsi="Arial" w:hint="cs"/>
          <w:rtl/>
        </w:rPr>
        <w:t>.</w:t>
      </w:r>
    </w:p>
    <w:p w14:paraId="3A96CD57" w14:textId="77777777" w:rsidR="004425BF" w:rsidRPr="00926369" w:rsidRDefault="004425BF" w:rsidP="004425BF">
      <w:pPr>
        <w:pStyle w:val="a9"/>
        <w:numPr>
          <w:ilvl w:val="0"/>
          <w:numId w:val="1"/>
        </w:numPr>
        <w:spacing w:line="360" w:lineRule="auto"/>
        <w:jc w:val="both"/>
        <w:rPr>
          <w:rFonts w:ascii="Arial" w:hAnsi="Arial"/>
        </w:rPr>
      </w:pPr>
      <w:bookmarkStart w:id="7" w:name="ABSTRACT_END"/>
      <w:bookmarkEnd w:id="7"/>
      <w:r w:rsidRPr="00926369">
        <w:rPr>
          <w:rFonts w:ascii="Arial" w:hAnsi="Arial" w:hint="cs"/>
          <w:rtl/>
        </w:rPr>
        <w:t>על פי הנטען ב</w:t>
      </w:r>
      <w:r>
        <w:rPr>
          <w:rFonts w:ascii="Arial" w:hAnsi="Arial" w:hint="cs"/>
          <w:rtl/>
        </w:rPr>
        <w:t>כ</w:t>
      </w:r>
      <w:r w:rsidRPr="00926369">
        <w:rPr>
          <w:rFonts w:ascii="Arial" w:hAnsi="Arial" w:hint="cs"/>
          <w:rtl/>
        </w:rPr>
        <w:t xml:space="preserve">תב האישום, בתאריך 25.2.2022 בשעה 15:00 לערך, יוסף חטאב (להלן: </w:t>
      </w:r>
      <w:r w:rsidRPr="00324519">
        <w:rPr>
          <w:rFonts w:ascii="Arial" w:hAnsi="Arial" w:hint="cs"/>
          <w:b/>
          <w:bCs/>
          <w:rtl/>
        </w:rPr>
        <w:t>"המתלונן"</w:t>
      </w:r>
      <w:r w:rsidRPr="00926369">
        <w:rPr>
          <w:rFonts w:ascii="Arial" w:hAnsi="Arial" w:hint="cs"/>
          <w:rtl/>
        </w:rPr>
        <w:t xml:space="preserve">) החנה קטנוע מסוג </w:t>
      </w:r>
      <w:r w:rsidRPr="00926369">
        <w:rPr>
          <w:rFonts w:ascii="Arial" w:hAnsi="Arial" w:hint="cs"/>
        </w:rPr>
        <w:t>G-DINC</w:t>
      </w:r>
      <w:r w:rsidRPr="00926369">
        <w:rPr>
          <w:rFonts w:ascii="Arial" w:hAnsi="Arial" w:hint="cs"/>
          <w:rtl/>
        </w:rPr>
        <w:t xml:space="preserve"> בחניית הבנ</w:t>
      </w:r>
      <w:r>
        <w:rPr>
          <w:rFonts w:ascii="Arial" w:hAnsi="Arial" w:hint="cs"/>
          <w:rtl/>
        </w:rPr>
        <w:t>י</w:t>
      </w:r>
      <w:r w:rsidRPr="00926369">
        <w:rPr>
          <w:rFonts w:ascii="Arial" w:hAnsi="Arial" w:hint="cs"/>
          <w:rtl/>
        </w:rPr>
        <w:t>ין ברחוב ארדון 3 בתל-אביב.</w:t>
      </w:r>
    </w:p>
    <w:p w14:paraId="46505121" w14:textId="77777777" w:rsidR="004425BF" w:rsidRPr="00926369" w:rsidRDefault="004425BF" w:rsidP="004425BF">
      <w:pPr>
        <w:pStyle w:val="a9"/>
        <w:numPr>
          <w:ilvl w:val="0"/>
          <w:numId w:val="1"/>
        </w:numPr>
        <w:spacing w:line="360" w:lineRule="auto"/>
        <w:jc w:val="both"/>
        <w:rPr>
          <w:rFonts w:ascii="Arial" w:hAnsi="Arial"/>
        </w:rPr>
      </w:pPr>
      <w:r w:rsidRPr="00926369">
        <w:rPr>
          <w:rFonts w:ascii="Arial" w:hAnsi="Arial" w:hint="cs"/>
          <w:rtl/>
        </w:rPr>
        <w:t>בתא</w:t>
      </w:r>
      <w:r>
        <w:rPr>
          <w:rFonts w:ascii="Arial" w:hAnsi="Arial" w:hint="cs"/>
          <w:rtl/>
        </w:rPr>
        <w:t>רי</w:t>
      </w:r>
      <w:r w:rsidRPr="00926369">
        <w:rPr>
          <w:rFonts w:ascii="Arial" w:hAnsi="Arial" w:hint="cs"/>
          <w:rtl/>
        </w:rPr>
        <w:t>ך 26.2.2022 בשעה 20:45 לערך, עלה הנאשם שהינו תושב</w:t>
      </w:r>
      <w:r>
        <w:rPr>
          <w:rFonts w:ascii="Arial" w:hAnsi="Arial" w:hint="cs"/>
          <w:rtl/>
        </w:rPr>
        <w:t xml:space="preserve"> האזו</w:t>
      </w:r>
      <w:r w:rsidRPr="00926369">
        <w:rPr>
          <w:rFonts w:ascii="Arial" w:hAnsi="Arial" w:hint="cs"/>
          <w:rtl/>
        </w:rPr>
        <w:t>ר על הקטנוע, והניעו. הנאשם רכב על האופנוע לירו</w:t>
      </w:r>
      <w:r>
        <w:rPr>
          <w:rFonts w:ascii="Arial" w:hAnsi="Arial" w:hint="cs"/>
          <w:rtl/>
        </w:rPr>
        <w:t>ש</w:t>
      </w:r>
      <w:r w:rsidRPr="00926369">
        <w:rPr>
          <w:rFonts w:ascii="Arial" w:hAnsi="Arial" w:hint="cs"/>
          <w:rtl/>
        </w:rPr>
        <w:t>לים, כש</w:t>
      </w:r>
      <w:r>
        <w:rPr>
          <w:rFonts w:ascii="Arial" w:hAnsi="Arial" w:hint="cs"/>
          <w:rtl/>
        </w:rPr>
        <w:t>ל</w:t>
      </w:r>
      <w:r w:rsidRPr="00926369">
        <w:rPr>
          <w:rFonts w:ascii="Arial" w:hAnsi="Arial" w:hint="cs"/>
          <w:rtl/>
        </w:rPr>
        <w:t>ראשו קסדה בה ה</w:t>
      </w:r>
      <w:r>
        <w:rPr>
          <w:rFonts w:ascii="Arial" w:hAnsi="Arial" w:hint="cs"/>
          <w:rtl/>
        </w:rPr>
        <w:t>צטייד</w:t>
      </w:r>
      <w:r w:rsidRPr="00926369">
        <w:rPr>
          <w:rFonts w:ascii="Arial" w:hAnsi="Arial" w:hint="cs"/>
          <w:rtl/>
        </w:rPr>
        <w:t xml:space="preserve"> מבעוד מו</w:t>
      </w:r>
      <w:r>
        <w:rPr>
          <w:rFonts w:ascii="Arial" w:hAnsi="Arial" w:hint="cs"/>
          <w:rtl/>
        </w:rPr>
        <w:t>עד</w:t>
      </w:r>
      <w:r w:rsidRPr="00926369">
        <w:rPr>
          <w:rFonts w:ascii="Arial" w:hAnsi="Arial" w:hint="cs"/>
          <w:rtl/>
        </w:rPr>
        <w:t>.</w:t>
      </w:r>
    </w:p>
    <w:p w14:paraId="1245469E" w14:textId="77777777" w:rsidR="004425BF" w:rsidRPr="00926369" w:rsidRDefault="004425BF" w:rsidP="004425BF">
      <w:pPr>
        <w:pStyle w:val="a9"/>
        <w:numPr>
          <w:ilvl w:val="0"/>
          <w:numId w:val="1"/>
        </w:numPr>
        <w:spacing w:line="360" w:lineRule="auto"/>
        <w:jc w:val="both"/>
        <w:rPr>
          <w:rFonts w:ascii="Arial" w:hAnsi="Arial"/>
        </w:rPr>
      </w:pPr>
      <w:r w:rsidRPr="00926369">
        <w:rPr>
          <w:rFonts w:ascii="Arial" w:hAnsi="Arial" w:hint="cs"/>
          <w:rtl/>
        </w:rPr>
        <w:lastRenderedPageBreak/>
        <w:t>בשעה 23:19 רכב על דרך צה"ל ו</w:t>
      </w:r>
      <w:r>
        <w:rPr>
          <w:rFonts w:ascii="Arial" w:hAnsi="Arial" w:hint="cs"/>
          <w:rtl/>
        </w:rPr>
        <w:t>ב</w:t>
      </w:r>
      <w:r w:rsidRPr="00926369">
        <w:rPr>
          <w:rFonts w:ascii="Arial" w:hAnsi="Arial" w:hint="cs"/>
          <w:rtl/>
        </w:rPr>
        <w:t>דר</w:t>
      </w:r>
      <w:r>
        <w:rPr>
          <w:rFonts w:ascii="Arial" w:hAnsi="Arial" w:hint="cs"/>
          <w:rtl/>
        </w:rPr>
        <w:t>ך</w:t>
      </w:r>
      <w:r w:rsidRPr="00926369">
        <w:rPr>
          <w:rFonts w:ascii="Arial" w:hAnsi="Arial" w:hint="cs"/>
          <w:rtl/>
        </w:rPr>
        <w:t xml:space="preserve"> חברון הבחינו בו שוטרים, וכאשר ניגש אליו אחד מהם, עת עצר את </w:t>
      </w:r>
      <w:r>
        <w:rPr>
          <w:rFonts w:ascii="Arial" w:hAnsi="Arial" w:hint="cs"/>
          <w:rtl/>
        </w:rPr>
        <w:t>הקטנוע,</w:t>
      </w:r>
      <w:r w:rsidRPr="00926369">
        <w:rPr>
          <w:rFonts w:ascii="Arial" w:hAnsi="Arial" w:hint="cs"/>
          <w:rtl/>
        </w:rPr>
        <w:t xml:space="preserve"> פתח הנאשם בנסיעה מהירה תוך ש</w:t>
      </w:r>
      <w:r>
        <w:rPr>
          <w:rFonts w:ascii="Arial" w:hAnsi="Arial" w:hint="cs"/>
          <w:rtl/>
        </w:rPr>
        <w:t>ה</w:t>
      </w:r>
      <w:r w:rsidRPr="00926369">
        <w:rPr>
          <w:rFonts w:ascii="Arial" w:hAnsi="Arial" w:hint="cs"/>
          <w:rtl/>
        </w:rPr>
        <w:t>וא חוצה את הצומת, כאשר השוטרים דולקים אחריו. הנאשם המשיך בנהיגה נמהרת על דרך חברון, אשר הייתה באותה עת רוויה במשתמשי דרך, כאשר הוא מזגזג בין כלי הרכב, ובקרבת הרחובות דרך חברון ורבקה, החל</w:t>
      </w:r>
      <w:r>
        <w:rPr>
          <w:rFonts w:ascii="Arial" w:hAnsi="Arial" w:hint="cs"/>
          <w:rtl/>
        </w:rPr>
        <w:t>יק</w:t>
      </w:r>
      <w:r w:rsidRPr="00926369">
        <w:rPr>
          <w:rFonts w:ascii="Arial" w:hAnsi="Arial" w:hint="cs"/>
          <w:rtl/>
        </w:rPr>
        <w:t xml:space="preserve"> עם הקטנוע אשר נעצר ממנו מרחק של עשרות מטרים. הנאשם התרומם</w:t>
      </w:r>
      <w:r>
        <w:rPr>
          <w:rFonts w:ascii="Arial" w:hAnsi="Arial" w:hint="cs"/>
          <w:rtl/>
        </w:rPr>
        <w:t>,</w:t>
      </w:r>
      <w:r w:rsidRPr="00926369">
        <w:rPr>
          <w:rFonts w:ascii="Arial" w:hAnsi="Arial" w:hint="cs"/>
          <w:rtl/>
        </w:rPr>
        <w:t xml:space="preserve"> רץ לעבר הקטנוע והחל להימלט רגלית לרחוב רבקה בעוד השוטרים דולקים אח</w:t>
      </w:r>
      <w:r>
        <w:rPr>
          <w:rFonts w:ascii="Arial" w:hAnsi="Arial" w:hint="cs"/>
          <w:rtl/>
        </w:rPr>
        <w:t>ר</w:t>
      </w:r>
      <w:r w:rsidRPr="00926369">
        <w:rPr>
          <w:rFonts w:ascii="Arial" w:hAnsi="Arial" w:hint="cs"/>
          <w:rtl/>
        </w:rPr>
        <w:t>יו, בחלוף עשרות מטרים נע</w:t>
      </w:r>
      <w:r>
        <w:rPr>
          <w:rFonts w:ascii="Arial" w:hAnsi="Arial" w:hint="cs"/>
          <w:rtl/>
        </w:rPr>
        <w:t>צר</w:t>
      </w:r>
      <w:r w:rsidRPr="00926369">
        <w:rPr>
          <w:rFonts w:ascii="Arial" w:hAnsi="Arial" w:hint="cs"/>
          <w:rtl/>
        </w:rPr>
        <w:t xml:space="preserve"> בסמו</w:t>
      </w:r>
      <w:r>
        <w:rPr>
          <w:rFonts w:ascii="Arial" w:hAnsi="Arial" w:hint="cs"/>
          <w:rtl/>
        </w:rPr>
        <w:t>ך</w:t>
      </w:r>
      <w:r w:rsidRPr="00926369">
        <w:rPr>
          <w:rFonts w:ascii="Arial" w:hAnsi="Arial" w:hint="cs"/>
          <w:rtl/>
        </w:rPr>
        <w:t xml:space="preserve"> לצומת הרחובות רבקה ודרך בית לחם.</w:t>
      </w:r>
    </w:p>
    <w:p w14:paraId="06B2D6E5" w14:textId="77777777" w:rsidR="004425BF" w:rsidRPr="00926369" w:rsidRDefault="004425BF" w:rsidP="004425BF">
      <w:pPr>
        <w:pStyle w:val="a9"/>
        <w:numPr>
          <w:ilvl w:val="0"/>
          <w:numId w:val="1"/>
        </w:numPr>
        <w:spacing w:line="360" w:lineRule="auto"/>
        <w:jc w:val="both"/>
        <w:rPr>
          <w:rFonts w:ascii="Arial" w:hAnsi="Arial"/>
        </w:rPr>
      </w:pPr>
      <w:r w:rsidRPr="00926369">
        <w:rPr>
          <w:rFonts w:ascii="Arial" w:hAnsi="Arial" w:hint="cs"/>
          <w:rtl/>
        </w:rPr>
        <w:t>כתו</w:t>
      </w:r>
      <w:r>
        <w:rPr>
          <w:rFonts w:ascii="Arial" w:hAnsi="Arial" w:hint="cs"/>
          <w:rtl/>
        </w:rPr>
        <w:t>צ</w:t>
      </w:r>
      <w:r w:rsidRPr="00926369">
        <w:rPr>
          <w:rFonts w:ascii="Arial" w:hAnsi="Arial" w:hint="cs"/>
          <w:rtl/>
        </w:rPr>
        <w:t>אה ממעשיו נגרמו לניידת ולקטנוע נזקי פח.</w:t>
      </w:r>
    </w:p>
    <w:p w14:paraId="15EACB36" w14:textId="77777777" w:rsidR="004425BF" w:rsidRDefault="004425BF" w:rsidP="004425BF">
      <w:pPr>
        <w:pStyle w:val="a9"/>
        <w:numPr>
          <w:ilvl w:val="0"/>
          <w:numId w:val="1"/>
        </w:numPr>
        <w:spacing w:line="360" w:lineRule="auto"/>
        <w:jc w:val="both"/>
        <w:rPr>
          <w:rFonts w:ascii="Arial" w:hAnsi="Arial"/>
          <w:b/>
          <w:bCs/>
          <w:sz w:val="26"/>
          <w:szCs w:val="26"/>
        </w:rPr>
      </w:pPr>
      <w:r w:rsidRPr="00606152">
        <w:rPr>
          <w:rFonts w:ascii="Arial" w:hAnsi="Arial" w:hint="cs"/>
          <w:rtl/>
        </w:rPr>
        <w:t xml:space="preserve">במסגרת </w:t>
      </w:r>
      <w:hyperlink r:id="rId32" w:history="1">
        <w:r w:rsidR="00D42786" w:rsidRPr="00D42786">
          <w:rPr>
            <w:rFonts w:ascii="Arial" w:hAnsi="Arial"/>
            <w:color w:val="0000FF"/>
            <w:u w:val="single"/>
            <w:rtl/>
          </w:rPr>
          <w:t>ת"פ 3952-03-22</w:t>
        </w:r>
      </w:hyperlink>
      <w:r w:rsidRPr="00606152">
        <w:rPr>
          <w:rFonts w:ascii="Arial" w:hAnsi="Arial" w:hint="cs"/>
          <w:rtl/>
        </w:rPr>
        <w:t xml:space="preserve"> הורשע הנאשם על פי הודאתו, בעבירות של שב"ח לפי </w:t>
      </w:r>
      <w:hyperlink r:id="rId33" w:history="1">
        <w:r w:rsidR="009B3809" w:rsidRPr="009B3809">
          <w:rPr>
            <w:rStyle w:val="Hyperlink"/>
            <w:rFonts w:ascii="Arial" w:hAnsi="Arial" w:hint="eastAsia"/>
            <w:rtl/>
          </w:rPr>
          <w:t>סעיף</w:t>
        </w:r>
        <w:r w:rsidR="009B3809" w:rsidRPr="009B3809">
          <w:rPr>
            <w:rStyle w:val="Hyperlink"/>
            <w:rFonts w:ascii="Arial" w:hAnsi="Arial"/>
            <w:rtl/>
          </w:rPr>
          <w:t xml:space="preserve"> 12(1)</w:t>
        </w:r>
      </w:hyperlink>
      <w:r w:rsidRPr="00606152">
        <w:rPr>
          <w:rFonts w:ascii="Arial" w:hAnsi="Arial" w:hint="cs"/>
          <w:rtl/>
        </w:rPr>
        <w:t xml:space="preserve"> ל</w:t>
      </w:r>
      <w:hyperlink r:id="rId34" w:history="1">
        <w:r w:rsidR="00D42786" w:rsidRPr="00D42786">
          <w:rPr>
            <w:rFonts w:ascii="Arial" w:hAnsi="Arial"/>
            <w:color w:val="0000FF"/>
            <w:u w:val="single"/>
            <w:rtl/>
          </w:rPr>
          <w:t>חוק הכניסה לישראל</w:t>
        </w:r>
      </w:hyperlink>
      <w:r w:rsidRPr="00606152">
        <w:rPr>
          <w:rFonts w:ascii="Arial" w:hAnsi="Arial" w:hint="cs"/>
          <w:rtl/>
        </w:rPr>
        <w:t xml:space="preserve">, והפרעה לשוטר במילוי תפקידו, לפי </w:t>
      </w:r>
      <w:hyperlink r:id="rId35" w:history="1">
        <w:r w:rsidR="009B3809" w:rsidRPr="009B3809">
          <w:rPr>
            <w:rStyle w:val="Hyperlink"/>
            <w:rFonts w:ascii="Arial" w:hAnsi="Arial" w:hint="eastAsia"/>
            <w:rtl/>
          </w:rPr>
          <w:t>סעיף</w:t>
        </w:r>
        <w:r w:rsidR="009B3809" w:rsidRPr="009B3809">
          <w:rPr>
            <w:rStyle w:val="Hyperlink"/>
            <w:rFonts w:ascii="Arial" w:hAnsi="Arial"/>
            <w:rtl/>
          </w:rPr>
          <w:t xml:space="preserve"> 275</w:t>
        </w:r>
      </w:hyperlink>
      <w:r w:rsidRPr="00606152">
        <w:rPr>
          <w:rFonts w:ascii="Arial" w:hAnsi="Arial" w:hint="cs"/>
          <w:rtl/>
        </w:rPr>
        <w:t xml:space="preserve"> ל</w:t>
      </w:r>
      <w:hyperlink r:id="rId36" w:history="1">
        <w:r w:rsidR="00D42786" w:rsidRPr="00D42786">
          <w:rPr>
            <w:rFonts w:ascii="Arial" w:hAnsi="Arial"/>
            <w:color w:val="0000FF"/>
            <w:u w:val="single"/>
            <w:rtl/>
          </w:rPr>
          <w:t>חוק העונשין</w:t>
        </w:r>
      </w:hyperlink>
      <w:r w:rsidRPr="00606152">
        <w:rPr>
          <w:rFonts w:ascii="Arial" w:hAnsi="Arial" w:hint="cs"/>
          <w:rtl/>
        </w:rPr>
        <w:t>.</w:t>
      </w:r>
    </w:p>
    <w:p w14:paraId="6B829D0C" w14:textId="77777777" w:rsidR="004425BF" w:rsidRPr="0058174F" w:rsidRDefault="004425BF" w:rsidP="004425BF">
      <w:pPr>
        <w:pStyle w:val="a9"/>
        <w:numPr>
          <w:ilvl w:val="0"/>
          <w:numId w:val="1"/>
        </w:numPr>
        <w:spacing w:line="360" w:lineRule="auto"/>
        <w:jc w:val="both"/>
        <w:rPr>
          <w:rFonts w:ascii="Arial" w:hAnsi="Arial"/>
        </w:rPr>
      </w:pPr>
      <w:r w:rsidRPr="0058174F">
        <w:rPr>
          <w:rFonts w:ascii="Arial" w:hAnsi="Arial" w:hint="cs"/>
          <w:rtl/>
        </w:rPr>
        <w:t>על פי הנטען בכתב האישום, ביום 18.2.2021 בשעה 20:46 הוזעקו שוטרים לבית ברחוב ברל כצנלסון 1 בפתח תקווה. בהמשך למתואר, ביקשו שוטרים מהנאשם להזדהות, אך הוא סירב, ולאחר מכן, מסר פרטים שגויים. הנאשם עוכב על ידם, הוכנס לניידת משטרה, אז מסר כי הוא שוהה בישראל שלא כדין, ואת מספר תעודת הזהות שלו.</w:t>
      </w:r>
    </w:p>
    <w:p w14:paraId="0CCFCBAD" w14:textId="77777777" w:rsidR="004425BF" w:rsidRDefault="004425BF" w:rsidP="004425BF">
      <w:pPr>
        <w:pStyle w:val="a9"/>
        <w:numPr>
          <w:ilvl w:val="0"/>
          <w:numId w:val="1"/>
        </w:numPr>
        <w:spacing w:line="360" w:lineRule="auto"/>
        <w:jc w:val="both"/>
        <w:rPr>
          <w:rFonts w:ascii="Arial" w:hAnsi="Arial"/>
        </w:rPr>
      </w:pPr>
      <w:r w:rsidRPr="0058174F">
        <w:rPr>
          <w:rFonts w:ascii="Arial" w:hAnsi="Arial" w:hint="cs"/>
          <w:rtl/>
        </w:rPr>
        <w:t xml:space="preserve">במסגרת </w:t>
      </w:r>
      <w:hyperlink r:id="rId37" w:history="1">
        <w:r w:rsidR="00D42786" w:rsidRPr="00D42786">
          <w:rPr>
            <w:rFonts w:ascii="Arial" w:hAnsi="Arial"/>
            <w:color w:val="0000FF"/>
            <w:u w:val="single"/>
            <w:rtl/>
          </w:rPr>
          <w:t>ת"פ 24451-04-22</w:t>
        </w:r>
      </w:hyperlink>
      <w:r w:rsidRPr="0058174F">
        <w:rPr>
          <w:rFonts w:ascii="Arial" w:hAnsi="Arial" w:hint="cs"/>
          <w:rtl/>
        </w:rPr>
        <w:t xml:space="preserve"> הורשע הנאשם על פי הודאתו, בעבירות שב"ח, לפי </w:t>
      </w:r>
      <w:hyperlink r:id="rId38" w:history="1">
        <w:r w:rsidR="009B3809" w:rsidRPr="009B3809">
          <w:rPr>
            <w:rStyle w:val="Hyperlink"/>
            <w:rFonts w:ascii="Arial" w:hAnsi="Arial" w:hint="eastAsia"/>
            <w:rtl/>
          </w:rPr>
          <w:t>סעיף</w:t>
        </w:r>
        <w:r w:rsidR="009B3809" w:rsidRPr="009B3809">
          <w:rPr>
            <w:rStyle w:val="Hyperlink"/>
            <w:rFonts w:ascii="Arial" w:hAnsi="Arial"/>
            <w:rtl/>
          </w:rPr>
          <w:t xml:space="preserve"> 12(1)</w:t>
        </w:r>
      </w:hyperlink>
      <w:r w:rsidRPr="0058174F">
        <w:rPr>
          <w:rFonts w:ascii="Arial" w:hAnsi="Arial" w:hint="cs"/>
          <w:rtl/>
        </w:rPr>
        <w:t xml:space="preserve"> ל</w:t>
      </w:r>
      <w:hyperlink r:id="rId39" w:history="1">
        <w:r w:rsidR="00D42786" w:rsidRPr="00D42786">
          <w:rPr>
            <w:rFonts w:ascii="Arial" w:hAnsi="Arial"/>
            <w:color w:val="0000FF"/>
            <w:u w:val="single"/>
            <w:rtl/>
          </w:rPr>
          <w:t>חוק הכניסה לישראל</w:t>
        </w:r>
      </w:hyperlink>
      <w:r w:rsidRPr="0058174F">
        <w:rPr>
          <w:rFonts w:ascii="Arial" w:hAnsi="Arial" w:hint="cs"/>
          <w:rtl/>
        </w:rPr>
        <w:t xml:space="preserve">, והחזקת סם לצריכה עצמית, לפי </w:t>
      </w:r>
      <w:hyperlink r:id="rId40" w:history="1">
        <w:r w:rsidR="009B3809" w:rsidRPr="009B3809">
          <w:rPr>
            <w:rStyle w:val="Hyperlink"/>
            <w:rFonts w:ascii="Arial" w:hAnsi="Arial" w:hint="eastAsia"/>
            <w:rtl/>
          </w:rPr>
          <w:t>סעיף</w:t>
        </w:r>
        <w:r w:rsidR="009B3809" w:rsidRPr="009B3809">
          <w:rPr>
            <w:rStyle w:val="Hyperlink"/>
            <w:rFonts w:ascii="Arial" w:hAnsi="Arial"/>
            <w:rtl/>
          </w:rPr>
          <w:t xml:space="preserve"> 7(א)</w:t>
        </w:r>
      </w:hyperlink>
      <w:r w:rsidRPr="0058174F">
        <w:rPr>
          <w:rFonts w:ascii="Arial" w:hAnsi="Arial" w:hint="cs"/>
          <w:rtl/>
        </w:rPr>
        <w:t xml:space="preserve"> בצירוף </w:t>
      </w:r>
      <w:hyperlink r:id="rId41" w:history="1">
        <w:r w:rsidR="009B3809" w:rsidRPr="009B3809">
          <w:rPr>
            <w:rStyle w:val="Hyperlink"/>
            <w:rFonts w:ascii="Arial" w:hAnsi="Arial"/>
            <w:rtl/>
          </w:rPr>
          <w:t>7(ג)</w:t>
        </w:r>
      </w:hyperlink>
      <w:r w:rsidRPr="0058174F">
        <w:rPr>
          <w:rFonts w:ascii="Arial" w:hAnsi="Arial" w:hint="cs"/>
          <w:rtl/>
        </w:rPr>
        <w:t xml:space="preserve"> סיפא ל</w:t>
      </w:r>
      <w:hyperlink r:id="rId42" w:history="1">
        <w:r w:rsidR="00D42786" w:rsidRPr="00D42786">
          <w:rPr>
            <w:rFonts w:ascii="Arial" w:hAnsi="Arial"/>
            <w:color w:val="0000FF"/>
            <w:u w:val="single"/>
            <w:rtl/>
          </w:rPr>
          <w:t>פקודת הסמים המסוכנים</w:t>
        </w:r>
      </w:hyperlink>
      <w:r w:rsidRPr="0058174F">
        <w:rPr>
          <w:rFonts w:ascii="Arial" w:hAnsi="Arial" w:hint="cs"/>
          <w:rtl/>
        </w:rPr>
        <w:t xml:space="preserve"> (נוסח חדש) תשל"ג 1973.</w:t>
      </w:r>
    </w:p>
    <w:p w14:paraId="1AC55822"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על פי הנטען בכתב האישום, בתאריך 10.4.2021 בשעה 13:35 לערך, בסמוך למעבר רחל בירושלים, שהה הנאשם בתחומי ישראל מבלי שיש בידו אישור שהייה כדין. בעת שנעצר, החזיק בתיקו ובתחתוניו, סם מסוג קנבוס במשקל 17.04 גרם נטו.</w:t>
      </w:r>
    </w:p>
    <w:p w14:paraId="1FD2D13E" w14:textId="77777777" w:rsidR="004425BF" w:rsidRPr="00324519" w:rsidRDefault="004425BF" w:rsidP="004425BF">
      <w:pPr>
        <w:spacing w:line="360" w:lineRule="auto"/>
        <w:ind w:firstLine="720"/>
        <w:jc w:val="both"/>
        <w:rPr>
          <w:rFonts w:ascii="Arial" w:hAnsi="Arial"/>
          <w:b/>
          <w:bCs/>
        </w:rPr>
      </w:pPr>
      <w:r w:rsidRPr="00324519">
        <w:rPr>
          <w:rFonts w:ascii="Arial" w:hAnsi="Arial" w:hint="cs"/>
          <w:b/>
          <w:bCs/>
          <w:u w:val="single"/>
          <w:rtl/>
        </w:rPr>
        <w:t>תמצית טיעוני הצדדים</w:t>
      </w:r>
      <w:r w:rsidRPr="00324519">
        <w:rPr>
          <w:rFonts w:ascii="Arial" w:hAnsi="Arial" w:hint="cs"/>
          <w:b/>
          <w:bCs/>
          <w:rtl/>
        </w:rPr>
        <w:t>:</w:t>
      </w:r>
    </w:p>
    <w:p w14:paraId="75B1F689"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המאשימה הפנתה לערכים המוגנים בהם פגע הנאשם במעשיו, תוך שהדגישה כי במקרה דנן כוללות עבירות הרכוש גם הימלטות ומרדף, ובכך נוסף ממד של סיכון לשלום הציבור וביטחון משתמשי הדרך. צוין, כי לנאשם רישום פלילי הכולל ביצוע עבירות דומות והוא אף ריצה מאסרים ממושכים בגין ביצוען של העבירות, וכן תלויים ועומדים 4 מאסרים להפעלה למשך תקופה כוללת של 14 חודשים, אשר אף בהם לא היה כדי למתן את התנהגותו. לקולא ביקשה לקחת בחשבון את הודאתו וצירוף כלל תיקיו המתנהלים, וכן החיסכון בזמן שיפוטי.</w:t>
      </w:r>
    </w:p>
    <w:p w14:paraId="474BDCC1"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המאשימה ביקשה שלא ליתן משקל לטענה אודות "קרבה לסייג" שכן לדבריה אף אם הנאשם אובחן כסובל מהפרעה אנטי-סוציאלית, הרי שהרקע לה נוגע בצריכת סמים מוגברת.</w:t>
      </w:r>
    </w:p>
    <w:p w14:paraId="4460C309"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 xml:space="preserve">המאשימה ביקשה לקבוע ביחס לתיק המקור מתחם עונש הולם החל מ-12 חודשים ועד 24 חודשים, לצד פסילה משמעותית למשך 18 חודשים, וביחס לתיקים שצורפו עונשי מאסר </w:t>
      </w:r>
      <w:r>
        <w:rPr>
          <w:rFonts w:ascii="Arial" w:hAnsi="Arial" w:hint="cs"/>
          <w:rtl/>
        </w:rPr>
        <w:lastRenderedPageBreak/>
        <w:t>למשך מספר חודשים, וכן להפעיל את המאסרים על תנאי במצטבר, כך שסך הכול יוטלו עליו 60 חודשי מאסר, לצד ענישה נלווית ופיצוי לקורבן העבירה.</w:t>
      </w:r>
    </w:p>
    <w:p w14:paraId="4F2711D3"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 xml:space="preserve">הסנגור ביקש ליתן משקל להודאת הנאשם, וצירוף כלל תיקיו המתנהלים. על פיו, המדובר באדם חולה, כך בהתאם לחוות הדעת הפסיכיאטרית שהוגשה במסגרת הליך זה, ועל כן נכון יהיה לבחון את ביצוע העבירות החוזר, על רקע מצבו זה. </w:t>
      </w:r>
    </w:p>
    <w:p w14:paraId="28E3B886"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הסנגור הלין כנגד אופן גזירת עונשו של הנאשם בתיקיו הקודמים, מבלי שניתנה הדעת לכך שבין גזרי הדין בתיקי הסמים, מפרידים 4 ימים, כך שניתן היה לדון את הנאשם במאוחד ולמנוע מצב בו יוטלו עליו שני מאסרים על תנאי ביחס לאותה עבירה. עוד ציין הסנגור, שאף לאחר מכן נדון הנאשם לעונש סגור, במסגרת הסדר טעון, למשך 14 חודשים, בגין ביצוע עבירות רכוש, מבלי שבית המשפט התבקש להפעיל שני מאסרים על תנאי נוספים למשך תקופה כוללת של 10 חודשים.</w:t>
      </w:r>
    </w:p>
    <w:p w14:paraId="432AC399"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הסנגור הפנה לפסיקה בנסיבות דומות, בה קבעתי מתחם עונש הולם שבין 15 חודשים ועד 30 חודשים ביחס ל-3 גניבות של קטנועים, וביקש כי ייקבע מתחם עונש מופחת ביחס לגניבה בודדת של קטנוע.</w:t>
      </w:r>
    </w:p>
    <w:p w14:paraId="5A9E9308"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בהתייחס לתיקים שצורפו ביקש הסנגור להתאים את הענישה להלכת אל-הרוש, וביחס לתיק שצורף הכולל עבירה של החזקת סם, לקבוע מתחם החל ממאסר על תנאי ועד עונש מאסר קצר, כך שסך הכול יוטל על הנאשם מאסר שלא יעלה על 20 חודשים, ואת המאסרים על תנאי להפעיל במצטבר ובחופף, לתקופה של עד 25 חודשים.</w:t>
      </w:r>
    </w:p>
    <w:p w14:paraId="107B7A91"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הנאשם הביע צער וחרטה על המעשים, וציין כי הוא אדם חולה, אשר חווה אירועים קשים בחייו, והם  שהובילוהו לביצוע העבירות, אותם הוא כלל אינו זוכר לדבריו. הנאשם הוסיף כי בכוונתו היה להגיע לתחומי ישראל לצורכי עבודה בלבד, ולא לשם ביצוע עבירות.</w:t>
      </w:r>
    </w:p>
    <w:p w14:paraId="6C19CC4A" w14:textId="77777777" w:rsidR="004425BF" w:rsidRPr="00D34C76" w:rsidRDefault="004425BF" w:rsidP="004425BF">
      <w:pPr>
        <w:spacing w:line="360" w:lineRule="auto"/>
        <w:ind w:firstLine="720"/>
        <w:jc w:val="both"/>
        <w:rPr>
          <w:rFonts w:ascii="Arial" w:hAnsi="Arial"/>
          <w:b/>
          <w:bCs/>
        </w:rPr>
      </w:pPr>
      <w:r w:rsidRPr="00D34C76">
        <w:rPr>
          <w:rFonts w:ascii="Arial" w:hAnsi="Arial" w:hint="cs"/>
          <w:b/>
          <w:bCs/>
          <w:u w:val="single"/>
          <w:rtl/>
        </w:rPr>
        <w:t>דיון</w:t>
      </w:r>
      <w:r w:rsidRPr="00D34C76">
        <w:rPr>
          <w:rFonts w:ascii="Arial" w:hAnsi="Arial" w:hint="cs"/>
          <w:b/>
          <w:bCs/>
          <w:rtl/>
        </w:rPr>
        <w:t>:</w:t>
      </w:r>
    </w:p>
    <w:p w14:paraId="34BF14E4"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הערך המוגן בבסיס העבירות הקשורות ברכב, נועד להגן על קורבן העבירה הנפגע כלכלית מהמעשה ונפגעת תחושת ביטחונו האישי, וכן ההגנה על הציבור הרחב מפני השכלות המעשה כלפי מבוטחים הנאלצים לשלם פרמיות גבוהות בשל ריבוי עבירות מסוג זה. בנוסף פגע הנאשם בערך המוגן הנוגע בריבונות המדינה, וכן בביטחונם של שוטרים ומשתמשי הדרך.</w:t>
      </w:r>
    </w:p>
    <w:p w14:paraId="219138C9"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רף הסיכון במעשים הינו גבוה, שכן הנאשם נהג מת"א לירושלים כאשר הוא בלתי מורשה. בנוסף, ומעת שהבחינו בו השוטרים, ואחד מהם אף ניגש אליו, פתח הנאשם במנוסה תוך שהוא חוצה את הצומת, ונוהג בצורה מסוכנת על דרך חברון, אשר הייתה באותה עת רוויה במשתמשי דרך, כאשר הוא מזגזג בין כלי רכב, ואף שהחליק ונפל מהקטנוע, רץ לעבר הקטנוע וניסה לרכב עליו שוב, תוך שהוא פוגע בדופן הניידת, אז נפל, והמשיך במנוסה עד שנתפס.</w:t>
      </w:r>
    </w:p>
    <w:p w14:paraId="5B3C3535" w14:textId="77777777" w:rsidR="004425BF" w:rsidRPr="002051E5" w:rsidRDefault="004425BF" w:rsidP="004425BF">
      <w:pPr>
        <w:pStyle w:val="a9"/>
        <w:numPr>
          <w:ilvl w:val="0"/>
          <w:numId w:val="1"/>
        </w:numPr>
        <w:spacing w:line="360" w:lineRule="auto"/>
        <w:jc w:val="both"/>
        <w:rPr>
          <w:rFonts w:ascii="Arial" w:hAnsi="Arial"/>
        </w:rPr>
      </w:pPr>
      <w:r w:rsidRPr="002051E5">
        <w:rPr>
          <w:rFonts w:ascii="Arial" w:hAnsi="Arial" w:hint="cs"/>
          <w:rtl/>
        </w:rPr>
        <w:t>בנסיבות אלו סברתי, כי על מתחם העונש ההולם לשקף את מסכת הע</w:t>
      </w:r>
      <w:r>
        <w:rPr>
          <w:rFonts w:ascii="Arial" w:hAnsi="Arial" w:hint="cs"/>
          <w:rtl/>
        </w:rPr>
        <w:t>ובד</w:t>
      </w:r>
      <w:r w:rsidRPr="002051E5">
        <w:rPr>
          <w:rFonts w:ascii="Arial" w:hAnsi="Arial" w:hint="cs"/>
          <w:rtl/>
        </w:rPr>
        <w:t>ות המתוארת, בנסיבות בהן לעבירת השב"ח קשר הדוק לביצוע עבירות הקשורות ברכב, וכן את העובדה שהעבירה שעניינה מעשה פזיזות ורשלנות שלובה עם היות הנאשם בלתי מורשה לנהיגה (מעולם לא הוציא). בהתחשב בכל אלו ראיתי לק</w:t>
      </w:r>
      <w:r>
        <w:rPr>
          <w:rFonts w:ascii="Arial" w:hAnsi="Arial" w:hint="cs"/>
          <w:rtl/>
        </w:rPr>
        <w:t>בו</w:t>
      </w:r>
      <w:r w:rsidRPr="002051E5">
        <w:rPr>
          <w:rFonts w:ascii="Arial" w:hAnsi="Arial" w:hint="cs"/>
          <w:rtl/>
        </w:rPr>
        <w:t xml:space="preserve">ע את מתחם </w:t>
      </w:r>
      <w:r>
        <w:rPr>
          <w:rFonts w:ascii="Arial" w:hAnsi="Arial" w:hint="cs"/>
          <w:rtl/>
        </w:rPr>
        <w:t>ה</w:t>
      </w:r>
      <w:r w:rsidRPr="002051E5">
        <w:rPr>
          <w:rFonts w:ascii="Arial" w:hAnsi="Arial" w:hint="cs"/>
          <w:rtl/>
        </w:rPr>
        <w:t>עונש ההולם ביחס לתיק המקור החל מ-12 חודשים ועד 24 חודשים לצד ענישה נלווית, לרבות פיצוי לנפגע העבירה, וביחס לתיק</w:t>
      </w:r>
      <w:r>
        <w:rPr>
          <w:rFonts w:ascii="Arial" w:hAnsi="Arial" w:hint="cs"/>
          <w:rtl/>
        </w:rPr>
        <w:t>י</w:t>
      </w:r>
      <w:r w:rsidRPr="002051E5">
        <w:rPr>
          <w:rFonts w:ascii="Arial" w:hAnsi="Arial" w:hint="cs"/>
          <w:rtl/>
        </w:rPr>
        <w:t>ם שצורפו ייקבע מתחם שבין מאסר קצר ועד 8 חודשים, לצד ענישה נלווית.</w:t>
      </w:r>
    </w:p>
    <w:p w14:paraId="2FD22951" w14:textId="77777777" w:rsidR="004425BF" w:rsidRPr="002051E5" w:rsidRDefault="004425BF" w:rsidP="004425BF">
      <w:pPr>
        <w:spacing w:line="360" w:lineRule="auto"/>
        <w:ind w:firstLine="720"/>
        <w:jc w:val="both"/>
        <w:rPr>
          <w:rFonts w:ascii="Arial" w:hAnsi="Arial"/>
          <w:b/>
          <w:bCs/>
        </w:rPr>
      </w:pPr>
      <w:r w:rsidRPr="002051E5">
        <w:rPr>
          <w:rFonts w:ascii="Arial" w:hAnsi="Arial" w:hint="cs"/>
          <w:b/>
          <w:bCs/>
          <w:u w:val="single"/>
          <w:rtl/>
        </w:rPr>
        <w:t>העונש המתאים לנאשם</w:t>
      </w:r>
      <w:r w:rsidRPr="002051E5">
        <w:rPr>
          <w:rFonts w:ascii="Arial" w:hAnsi="Arial" w:hint="cs"/>
          <w:b/>
          <w:bCs/>
          <w:rtl/>
        </w:rPr>
        <w:t>:</w:t>
      </w:r>
    </w:p>
    <w:p w14:paraId="2C87D3F4" w14:textId="77777777" w:rsidR="004425BF" w:rsidRDefault="004425BF" w:rsidP="004425BF">
      <w:pPr>
        <w:pStyle w:val="a9"/>
        <w:numPr>
          <w:ilvl w:val="0"/>
          <w:numId w:val="1"/>
        </w:numPr>
        <w:spacing w:line="360" w:lineRule="auto"/>
        <w:jc w:val="both"/>
        <w:rPr>
          <w:rFonts w:ascii="Arial" w:hAnsi="Arial"/>
          <w:sz w:val="26"/>
          <w:szCs w:val="26"/>
        </w:rPr>
      </w:pPr>
      <w:r w:rsidRPr="002051E5">
        <w:rPr>
          <w:rFonts w:ascii="Arial" w:hAnsi="Arial" w:hint="cs"/>
          <w:rtl/>
        </w:rPr>
        <w:t>הנאשם כבן 33 נטל אח</w:t>
      </w:r>
      <w:r>
        <w:rPr>
          <w:rFonts w:ascii="Arial" w:hAnsi="Arial" w:hint="cs"/>
          <w:rtl/>
        </w:rPr>
        <w:t>ר</w:t>
      </w:r>
      <w:r w:rsidRPr="002051E5">
        <w:rPr>
          <w:rFonts w:ascii="Arial" w:hAnsi="Arial" w:hint="cs"/>
          <w:rtl/>
        </w:rPr>
        <w:t>יות בבית המשפט על העבירות אותן ביצע</w:t>
      </w:r>
      <w:r>
        <w:rPr>
          <w:rFonts w:ascii="Arial" w:hAnsi="Arial" w:hint="cs"/>
          <w:rtl/>
        </w:rPr>
        <w:t>, וכן צירף את כלל תיקיו המתנהלים גם בהם הודה. הבאתי בחשבון את משך התקופה בה הנאשם נתון במעצר</w:t>
      </w:r>
      <w:r>
        <w:rPr>
          <w:rFonts w:ascii="Arial" w:hAnsi="Arial" w:hint="cs"/>
          <w:sz w:val="26"/>
          <w:szCs w:val="26"/>
          <w:rtl/>
        </w:rPr>
        <w:t xml:space="preserve">. </w:t>
      </w:r>
    </w:p>
    <w:p w14:paraId="71DB1513" w14:textId="77777777" w:rsidR="004425BF" w:rsidRDefault="004425BF" w:rsidP="004425BF">
      <w:pPr>
        <w:pStyle w:val="a9"/>
        <w:numPr>
          <w:ilvl w:val="0"/>
          <w:numId w:val="1"/>
        </w:numPr>
        <w:spacing w:line="360" w:lineRule="auto"/>
        <w:jc w:val="both"/>
        <w:rPr>
          <w:rFonts w:ascii="Arial" w:hAnsi="Arial"/>
        </w:rPr>
      </w:pPr>
      <w:r w:rsidRPr="002839DC">
        <w:rPr>
          <w:rFonts w:ascii="Arial" w:hAnsi="Arial" w:hint="cs"/>
          <w:rtl/>
        </w:rPr>
        <w:t>לחובת הנאשם רישום פלילי הכולל 13 הרשעות קודמות בעבירות רכוש, ריבוי עבירות שב"ח, אלימות סמים ועוד. הנאשם ריצה מספר תקופות מאסר חלק</w:t>
      </w:r>
      <w:r>
        <w:rPr>
          <w:rFonts w:ascii="Arial" w:hAnsi="Arial" w:hint="cs"/>
          <w:rtl/>
        </w:rPr>
        <w:t>ן</w:t>
      </w:r>
      <w:r w:rsidRPr="002839DC">
        <w:rPr>
          <w:rFonts w:ascii="Arial" w:hAnsi="Arial" w:hint="cs"/>
          <w:rtl/>
        </w:rPr>
        <w:t xml:space="preserve"> לתקופות שאינן קצרות, כאשר האחרונה שבהן למשך 4 חודשים בגין עבירת איומים. כנגד הנאשם תלויים 4 מאסרים על תנאי להפעלה בעבירות רכוש וסמים לתקופה כוללת של 14 חודשים. משך תקופת המאסר </w:t>
      </w:r>
      <w:r>
        <w:rPr>
          <w:rFonts w:ascii="Arial" w:hAnsi="Arial" w:hint="cs"/>
          <w:rtl/>
        </w:rPr>
        <w:t xml:space="preserve">שהוטלה </w:t>
      </w:r>
      <w:r w:rsidRPr="002839DC">
        <w:rPr>
          <w:rFonts w:ascii="Arial" w:hAnsi="Arial" w:hint="cs"/>
          <w:rtl/>
        </w:rPr>
        <w:t>על הנאשם בתיק הקודם יכולה</w:t>
      </w:r>
      <w:r>
        <w:rPr>
          <w:rFonts w:ascii="Arial" w:hAnsi="Arial" w:hint="cs"/>
          <w:rtl/>
        </w:rPr>
        <w:t xml:space="preserve"> </w:t>
      </w:r>
      <w:r w:rsidRPr="002839DC">
        <w:rPr>
          <w:rFonts w:ascii="Arial" w:hAnsi="Arial" w:hint="cs"/>
          <w:rtl/>
        </w:rPr>
        <w:t xml:space="preserve">ללמד, כי בית המשפט בחר לכבד הסדר טעון המצוי על הצד המקל, ואולם </w:t>
      </w:r>
      <w:r>
        <w:rPr>
          <w:rFonts w:ascii="Arial" w:hAnsi="Arial" w:hint="cs"/>
          <w:rtl/>
        </w:rPr>
        <w:t xml:space="preserve">גם בכך, </w:t>
      </w:r>
      <w:r w:rsidRPr="002839DC">
        <w:rPr>
          <w:rFonts w:ascii="Arial" w:hAnsi="Arial" w:hint="cs"/>
          <w:rtl/>
        </w:rPr>
        <w:t xml:space="preserve">לא היה כדי למתן </w:t>
      </w:r>
      <w:r>
        <w:rPr>
          <w:rFonts w:ascii="Arial" w:hAnsi="Arial" w:hint="cs"/>
          <w:rtl/>
        </w:rPr>
        <w:t xml:space="preserve">ולרסן </w:t>
      </w:r>
      <w:r w:rsidRPr="002839DC">
        <w:rPr>
          <w:rFonts w:ascii="Arial" w:hAnsi="Arial" w:hint="cs"/>
          <w:rtl/>
        </w:rPr>
        <w:t xml:space="preserve">את התנהגותו </w:t>
      </w:r>
      <w:r>
        <w:rPr>
          <w:rFonts w:ascii="Arial" w:hAnsi="Arial" w:hint="cs"/>
          <w:rtl/>
        </w:rPr>
        <w:t xml:space="preserve">מביצוע </w:t>
      </w:r>
      <w:r w:rsidRPr="002839DC">
        <w:rPr>
          <w:rFonts w:ascii="Arial" w:hAnsi="Arial" w:hint="cs"/>
          <w:rtl/>
        </w:rPr>
        <w:t>עבירות נ</w:t>
      </w:r>
      <w:r>
        <w:rPr>
          <w:rFonts w:ascii="Arial" w:hAnsi="Arial" w:hint="cs"/>
          <w:rtl/>
        </w:rPr>
        <w:t>וס</w:t>
      </w:r>
      <w:r w:rsidRPr="002839DC">
        <w:rPr>
          <w:rFonts w:ascii="Arial" w:hAnsi="Arial" w:hint="cs"/>
          <w:rtl/>
        </w:rPr>
        <w:t>פות.</w:t>
      </w:r>
    </w:p>
    <w:p w14:paraId="7CC46725"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בין הצדדים קיימת מחלוקת האם לתת משקל לחוות הדעת הפסיכיאטרית שהוגשה במסגרת ההליך. לטענת המאשימה, הנאשם מאובחן כסובל מהפרעת אישיות שמקורה בצריכת סם מופרזת, ועל כן יש לדחות את הטענה בדבר "קרבה לסייג" או מתן משקל למצבו זה, בין שיקולי הענישה. ההגנה מציינת מנגד, כי ברקע לביצוען של העבירות מצבו הנפשי הרעוע של הנאשם כעולה מחוות הדעת, ואף אם הנאשם נמצא אחראי למעשיו וכשיר לעמוד לדין, יש לתת  לאבחנה הרפואית משקל (לקולא) בענישה.</w:t>
      </w:r>
    </w:p>
    <w:p w14:paraId="15B5F05A" w14:textId="77777777" w:rsidR="004425BF" w:rsidRDefault="004425BF" w:rsidP="004425BF">
      <w:pPr>
        <w:pStyle w:val="a9"/>
        <w:numPr>
          <w:ilvl w:val="0"/>
          <w:numId w:val="1"/>
        </w:numPr>
        <w:spacing w:line="360" w:lineRule="auto"/>
        <w:jc w:val="both"/>
        <w:rPr>
          <w:rFonts w:ascii="Arial" w:hAnsi="Arial"/>
        </w:rPr>
      </w:pPr>
      <w:r w:rsidRPr="00B24FF8">
        <w:rPr>
          <w:rFonts w:ascii="Arial" w:hAnsi="Arial" w:hint="cs"/>
          <w:rtl/>
        </w:rPr>
        <w:t>בהתאם לתוכנה של חו</w:t>
      </w:r>
      <w:r>
        <w:rPr>
          <w:rFonts w:ascii="Arial" w:hAnsi="Arial" w:hint="cs"/>
          <w:rtl/>
        </w:rPr>
        <w:t>ו</w:t>
      </w:r>
      <w:r w:rsidRPr="00B24FF8">
        <w:rPr>
          <w:rFonts w:ascii="Arial" w:hAnsi="Arial" w:hint="cs"/>
          <w:rtl/>
        </w:rPr>
        <w:t>ת הדעת  הרפואית</w:t>
      </w:r>
      <w:r>
        <w:rPr>
          <w:rFonts w:ascii="Arial" w:hAnsi="Arial" w:hint="cs"/>
          <w:rtl/>
        </w:rPr>
        <w:t>,</w:t>
      </w:r>
      <w:r w:rsidRPr="00B24FF8">
        <w:rPr>
          <w:rFonts w:ascii="Arial" w:hAnsi="Arial" w:hint="cs"/>
          <w:rtl/>
        </w:rPr>
        <w:t xml:space="preserve"> הנאשם לוקה בהפרעת אישיות ג</w:t>
      </w:r>
      <w:r>
        <w:rPr>
          <w:rFonts w:ascii="Arial" w:hAnsi="Arial" w:hint="cs"/>
          <w:rtl/>
        </w:rPr>
        <w:t>בו</w:t>
      </w:r>
      <w:r w:rsidRPr="00B24FF8">
        <w:rPr>
          <w:rFonts w:ascii="Arial" w:hAnsi="Arial" w:hint="cs"/>
          <w:rtl/>
        </w:rPr>
        <w:t>לית עם קווים אנטי סוציאליי</w:t>
      </w:r>
      <w:r w:rsidRPr="00B24FF8">
        <w:rPr>
          <w:rFonts w:ascii="Arial" w:hAnsi="Arial" w:hint="eastAsia"/>
          <w:rtl/>
        </w:rPr>
        <w:t>ם</w:t>
      </w:r>
      <w:r w:rsidRPr="00B24FF8">
        <w:rPr>
          <w:rFonts w:ascii="Arial" w:hAnsi="Arial" w:hint="cs"/>
          <w:rtl/>
        </w:rPr>
        <w:t xml:space="preserve">. צוין, כי הנאשם צורך סמים רבים ומסוגים שונים, ואין כל עדות לכך שהוא פעל באירוע על רקע מחלת </w:t>
      </w:r>
      <w:r>
        <w:rPr>
          <w:rFonts w:ascii="Arial" w:hAnsi="Arial" w:hint="cs"/>
          <w:rtl/>
        </w:rPr>
        <w:t>נ</w:t>
      </w:r>
      <w:r w:rsidRPr="00B24FF8">
        <w:rPr>
          <w:rFonts w:ascii="Arial" w:hAnsi="Arial" w:hint="cs"/>
          <w:rtl/>
        </w:rPr>
        <w:t>פש, והסבריו בהודע</w:t>
      </w:r>
      <w:r>
        <w:rPr>
          <w:rFonts w:ascii="Arial" w:hAnsi="Arial" w:hint="cs"/>
          <w:rtl/>
        </w:rPr>
        <w:t>ו</w:t>
      </w:r>
      <w:r w:rsidRPr="00B24FF8">
        <w:rPr>
          <w:rFonts w:ascii="Arial" w:hAnsi="Arial" w:hint="cs"/>
          <w:rtl/>
        </w:rPr>
        <w:t>תיו במ</w:t>
      </w:r>
      <w:r>
        <w:rPr>
          <w:rFonts w:ascii="Arial" w:hAnsi="Arial" w:hint="cs"/>
          <w:rtl/>
        </w:rPr>
        <w:t>ש</w:t>
      </w:r>
      <w:r w:rsidRPr="00B24FF8">
        <w:rPr>
          <w:rFonts w:ascii="Arial" w:hAnsi="Arial" w:hint="cs"/>
          <w:rtl/>
        </w:rPr>
        <w:t>טרה, בהן עיין עורך חוות הדעת, אף הם</w:t>
      </w:r>
      <w:r>
        <w:rPr>
          <w:rFonts w:ascii="Arial" w:hAnsi="Arial" w:hint="cs"/>
          <w:rtl/>
        </w:rPr>
        <w:t xml:space="preserve"> </w:t>
      </w:r>
      <w:r w:rsidRPr="00B24FF8">
        <w:rPr>
          <w:rFonts w:ascii="Arial" w:hAnsi="Arial" w:hint="cs"/>
          <w:rtl/>
        </w:rPr>
        <w:t>אינם מבססים מסקנה כי לכך קשר ל</w:t>
      </w:r>
      <w:r>
        <w:rPr>
          <w:rFonts w:ascii="Arial" w:hAnsi="Arial" w:hint="cs"/>
          <w:rtl/>
        </w:rPr>
        <w:t>ביצוע העבירות</w:t>
      </w:r>
      <w:r w:rsidRPr="00B24FF8">
        <w:rPr>
          <w:rFonts w:ascii="Arial" w:hAnsi="Arial" w:hint="cs"/>
          <w:rtl/>
        </w:rPr>
        <w:t>, אף לא בבדיקה ש</w:t>
      </w:r>
      <w:r>
        <w:rPr>
          <w:rFonts w:ascii="Arial" w:hAnsi="Arial" w:hint="cs"/>
          <w:rtl/>
        </w:rPr>
        <w:t>נ</w:t>
      </w:r>
      <w:r w:rsidRPr="00B24FF8">
        <w:rPr>
          <w:rFonts w:ascii="Arial" w:hAnsi="Arial" w:hint="cs"/>
          <w:rtl/>
        </w:rPr>
        <w:t xml:space="preserve">ערכה לנאשם. בהקשר זה ראיתי </w:t>
      </w:r>
      <w:r>
        <w:rPr>
          <w:rFonts w:ascii="Arial" w:hAnsi="Arial" w:hint="cs"/>
          <w:rtl/>
        </w:rPr>
        <w:t>להוסיף</w:t>
      </w:r>
      <w:r w:rsidRPr="00B24FF8">
        <w:rPr>
          <w:rFonts w:ascii="Arial" w:hAnsi="Arial" w:hint="cs"/>
          <w:rtl/>
        </w:rPr>
        <w:t xml:space="preserve">, כי מקריאת כתב האישום עולה תמונה סדורה של </w:t>
      </w:r>
      <w:r>
        <w:rPr>
          <w:rFonts w:ascii="Arial" w:hAnsi="Arial" w:hint="cs"/>
          <w:rtl/>
        </w:rPr>
        <w:t>מ</w:t>
      </w:r>
      <w:r w:rsidRPr="00B24FF8">
        <w:rPr>
          <w:rFonts w:ascii="Arial" w:hAnsi="Arial" w:hint="cs"/>
          <w:rtl/>
        </w:rPr>
        <w:t>עשים: מעבר משטחי האזור לשטחי מדינת ישראל, כאשר הנאשם מצטייד בקסדה מבעוד מועד, ומגיע לתל אביב לשם גניבת רכב דו</w:t>
      </w:r>
      <w:r>
        <w:rPr>
          <w:rFonts w:ascii="Arial" w:hAnsi="Arial" w:hint="cs"/>
          <w:rtl/>
        </w:rPr>
        <w:t>-</w:t>
      </w:r>
      <w:r w:rsidRPr="00B24FF8">
        <w:rPr>
          <w:rFonts w:ascii="Arial" w:hAnsi="Arial" w:hint="cs"/>
          <w:rtl/>
        </w:rPr>
        <w:t>גלגלי. בהמש</w:t>
      </w:r>
      <w:r>
        <w:rPr>
          <w:rFonts w:ascii="Arial" w:hAnsi="Arial" w:hint="cs"/>
          <w:rtl/>
        </w:rPr>
        <w:t>ך</w:t>
      </w:r>
      <w:r w:rsidRPr="00B24FF8">
        <w:rPr>
          <w:rFonts w:ascii="Arial" w:hAnsi="Arial" w:hint="cs"/>
          <w:rtl/>
        </w:rPr>
        <w:t>, רכב על הקטנוע מתל אביב ל</w:t>
      </w:r>
      <w:r>
        <w:rPr>
          <w:rFonts w:ascii="Arial" w:hAnsi="Arial" w:hint="cs"/>
          <w:rtl/>
        </w:rPr>
        <w:t>ירושלים</w:t>
      </w:r>
      <w:r w:rsidRPr="00B24FF8">
        <w:rPr>
          <w:rFonts w:ascii="Arial" w:hAnsi="Arial" w:hint="cs"/>
          <w:rtl/>
        </w:rPr>
        <w:t xml:space="preserve"> ונמלט מהשוטרים על דרך חברון כמתואר לעי</w:t>
      </w:r>
      <w:r>
        <w:rPr>
          <w:rFonts w:ascii="Arial" w:hAnsi="Arial" w:hint="cs"/>
          <w:rtl/>
        </w:rPr>
        <w:t>ל</w:t>
      </w:r>
      <w:r w:rsidRPr="00B24FF8">
        <w:rPr>
          <w:rFonts w:ascii="Arial" w:hAnsi="Arial" w:hint="cs"/>
          <w:rtl/>
        </w:rPr>
        <w:t xml:space="preserve">. </w:t>
      </w:r>
    </w:p>
    <w:p w14:paraId="7FD2748C" w14:textId="77777777" w:rsidR="004425BF" w:rsidRDefault="004425BF" w:rsidP="004425BF">
      <w:pPr>
        <w:pStyle w:val="a9"/>
        <w:numPr>
          <w:ilvl w:val="0"/>
          <w:numId w:val="1"/>
        </w:numPr>
        <w:spacing w:line="360" w:lineRule="auto"/>
        <w:jc w:val="both"/>
        <w:rPr>
          <w:rFonts w:ascii="Arial" w:hAnsi="Arial"/>
        </w:rPr>
      </w:pPr>
      <w:r w:rsidRPr="00B24FF8">
        <w:rPr>
          <w:rFonts w:ascii="Arial" w:hAnsi="Arial" w:hint="cs"/>
          <w:rtl/>
        </w:rPr>
        <w:t>בנסיבות אותן תיארתי לא סברתי כי זהו המקרה בו יש לתת משקל לאבחנה שבדוח הרפואי בין יתר שיקולי</w:t>
      </w:r>
      <w:r>
        <w:rPr>
          <w:rFonts w:ascii="Arial" w:hAnsi="Arial" w:hint="cs"/>
          <w:rtl/>
        </w:rPr>
        <w:t xml:space="preserve"> הענישה</w:t>
      </w:r>
      <w:r w:rsidRPr="00B24FF8">
        <w:rPr>
          <w:rFonts w:ascii="Arial" w:hAnsi="Arial" w:hint="cs"/>
          <w:rtl/>
        </w:rPr>
        <w:t>.</w:t>
      </w:r>
    </w:p>
    <w:p w14:paraId="47CE267B"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בכל הנוגע לטענת ההגנה אודות המאסרים על תנאי התלויים ועומדים כנגד הנאשם, ראיתי לקבל את עמדתה. עיון בשני התנאים עליהם נדון הנאשם בבית משפט השלום בנתניה, מלמד כי פרק זמן של 4 ימים מפריד ביניהם, כאשר ניתן היה לצרפם ולדון את הנאשם במאוחד, ודאי בנסיבות בהן מיוחסות לו עבירות של החזקת סם לצריכה עצמית. מטעם זה סברתי כי ישנו מקום להפעיל את המאסרים על תנאי בתיקים אלו בחופף ומצטבר לעונש המאסר שיוטל עליו.</w:t>
      </w:r>
    </w:p>
    <w:p w14:paraId="4AA70DD5"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בכל הנוגע לעבירות הרכוש, הרי שעיון באותם תיקים מלמד על אותה שיטת פעולה מצד הנאשם, ואולם היה מקום להפעילם במסגרת התיק הקודם, במסגרתו כיבד בית המשפט הסדר עונשי סגור, והטיל על הנאשם מאסר למשך 14 חודשים. מטעם זה סברתי כי ביחס לתיקים אלו יופעלו המאסרים גם כן במצטבר ובחופף לעונש המאסר שיוטל.</w:t>
      </w:r>
    </w:p>
    <w:p w14:paraId="05CA735B" w14:textId="77777777" w:rsidR="004425BF" w:rsidRDefault="004425BF" w:rsidP="004425BF">
      <w:pPr>
        <w:pStyle w:val="a9"/>
        <w:numPr>
          <w:ilvl w:val="0"/>
          <w:numId w:val="1"/>
        </w:numPr>
        <w:spacing w:line="360" w:lineRule="auto"/>
        <w:jc w:val="both"/>
        <w:rPr>
          <w:rFonts w:ascii="Arial" w:hAnsi="Arial"/>
        </w:rPr>
      </w:pPr>
      <w:r>
        <w:rPr>
          <w:rFonts w:ascii="Arial" w:hAnsi="Arial" w:hint="cs"/>
          <w:rtl/>
        </w:rPr>
        <w:t>במכלול הדברים ראיתי לקבוע את עונשו של הנאשם ביחס לתיק המקור בחלקו העליון של המתחם, ובחלקם האמצעי של מתחמי העונש ביחס לתיקים שצורפו, ולגזור על הנאשם את העונשים הבאים:</w:t>
      </w:r>
    </w:p>
    <w:p w14:paraId="42B82EC5" w14:textId="77777777" w:rsidR="004425BF" w:rsidRPr="00967FE2" w:rsidRDefault="004425BF" w:rsidP="004425BF">
      <w:pPr>
        <w:pStyle w:val="a9"/>
        <w:numPr>
          <w:ilvl w:val="0"/>
          <w:numId w:val="2"/>
        </w:numPr>
        <w:spacing w:line="360" w:lineRule="auto"/>
        <w:jc w:val="both"/>
        <w:rPr>
          <w:rFonts w:ascii="Arial" w:hAnsi="Arial"/>
        </w:rPr>
      </w:pPr>
      <w:r w:rsidRPr="00967FE2">
        <w:rPr>
          <w:rFonts w:ascii="Arial" w:hAnsi="Arial" w:hint="cs"/>
          <w:rtl/>
        </w:rPr>
        <w:t>23 חודשי מאסר בניכוי ימי המעצר בכלל תיקיו.</w:t>
      </w:r>
    </w:p>
    <w:p w14:paraId="2EE704B3" w14:textId="77777777" w:rsidR="004425BF" w:rsidRPr="00967FE2" w:rsidRDefault="004425BF" w:rsidP="004425BF">
      <w:pPr>
        <w:pStyle w:val="a9"/>
        <w:numPr>
          <w:ilvl w:val="0"/>
          <w:numId w:val="2"/>
        </w:numPr>
        <w:spacing w:line="360" w:lineRule="auto"/>
        <w:jc w:val="both"/>
        <w:rPr>
          <w:rFonts w:ascii="Arial" w:hAnsi="Arial"/>
        </w:rPr>
      </w:pPr>
      <w:r w:rsidRPr="00967FE2">
        <w:rPr>
          <w:rFonts w:ascii="Arial" w:hAnsi="Arial" w:hint="cs"/>
          <w:rtl/>
        </w:rPr>
        <w:t>הפעלת מאסר על תנאי למשך חודשיים מתיק מספר 9059-01-19 (שלום נתניה) מיום 22.10.2020 לריצוי באופן מצטבר.</w:t>
      </w:r>
    </w:p>
    <w:p w14:paraId="6FAC054A" w14:textId="77777777" w:rsidR="004425BF" w:rsidRPr="00967FE2" w:rsidRDefault="004425BF" w:rsidP="004425BF">
      <w:pPr>
        <w:pStyle w:val="a9"/>
        <w:numPr>
          <w:ilvl w:val="0"/>
          <w:numId w:val="2"/>
        </w:numPr>
        <w:spacing w:line="360" w:lineRule="auto"/>
        <w:jc w:val="both"/>
        <w:rPr>
          <w:rFonts w:ascii="Arial" w:hAnsi="Arial"/>
        </w:rPr>
      </w:pPr>
      <w:r w:rsidRPr="00967FE2">
        <w:rPr>
          <w:rFonts w:ascii="Arial" w:hAnsi="Arial" w:hint="cs"/>
          <w:rtl/>
        </w:rPr>
        <w:t>הפעלת מאסר על תנאי למשך חודשיים מתיק מספר 18806-01-2019 (שלום נתניה) מיום 26.10.2020 לריצוי באופן חופף.</w:t>
      </w:r>
    </w:p>
    <w:p w14:paraId="3553E5EA" w14:textId="77777777" w:rsidR="004425BF" w:rsidRPr="00967FE2" w:rsidRDefault="004425BF" w:rsidP="004425BF">
      <w:pPr>
        <w:pStyle w:val="a9"/>
        <w:numPr>
          <w:ilvl w:val="0"/>
          <w:numId w:val="2"/>
        </w:numPr>
        <w:spacing w:line="360" w:lineRule="auto"/>
        <w:jc w:val="both"/>
        <w:rPr>
          <w:rFonts w:ascii="Arial" w:hAnsi="Arial"/>
          <w:rtl/>
        </w:rPr>
      </w:pPr>
      <w:r w:rsidRPr="00967FE2">
        <w:rPr>
          <w:rFonts w:ascii="Arial" w:hAnsi="Arial"/>
          <w:rtl/>
        </w:rPr>
        <w:t xml:space="preserve">הפעלת מאסר על תנאי למשך </w:t>
      </w:r>
      <w:r w:rsidRPr="00967FE2">
        <w:rPr>
          <w:rFonts w:ascii="Arial" w:hAnsi="Arial" w:hint="cs"/>
          <w:rtl/>
        </w:rPr>
        <w:t>חמישה חודשים</w:t>
      </w:r>
      <w:r w:rsidRPr="00967FE2">
        <w:rPr>
          <w:rFonts w:ascii="Arial" w:hAnsi="Arial"/>
          <w:rtl/>
        </w:rPr>
        <w:t xml:space="preserve"> מתיק מספר </w:t>
      </w:r>
      <w:r w:rsidRPr="00967FE2">
        <w:rPr>
          <w:rFonts w:ascii="Arial" w:hAnsi="Arial" w:hint="cs"/>
          <w:rtl/>
        </w:rPr>
        <w:t>27373-10-19</w:t>
      </w:r>
      <w:r w:rsidRPr="00967FE2">
        <w:rPr>
          <w:rFonts w:ascii="Arial" w:hAnsi="Arial"/>
          <w:rtl/>
        </w:rPr>
        <w:t xml:space="preserve"> (שלום </w:t>
      </w:r>
      <w:r w:rsidRPr="00967FE2">
        <w:rPr>
          <w:rFonts w:ascii="Arial" w:hAnsi="Arial" w:hint="cs"/>
          <w:rtl/>
        </w:rPr>
        <w:t>ירושלים</w:t>
      </w:r>
      <w:r w:rsidRPr="00967FE2">
        <w:rPr>
          <w:rFonts w:ascii="Arial" w:hAnsi="Arial"/>
          <w:rtl/>
        </w:rPr>
        <w:t xml:space="preserve">) מיום </w:t>
      </w:r>
      <w:r w:rsidRPr="00967FE2">
        <w:rPr>
          <w:rFonts w:ascii="Arial" w:hAnsi="Arial" w:hint="cs"/>
          <w:rtl/>
        </w:rPr>
        <w:t>1</w:t>
      </w:r>
      <w:r w:rsidRPr="00967FE2">
        <w:rPr>
          <w:rFonts w:ascii="Arial" w:hAnsi="Arial"/>
          <w:rtl/>
        </w:rPr>
        <w:t>2.</w:t>
      </w:r>
      <w:r w:rsidRPr="00967FE2">
        <w:rPr>
          <w:rFonts w:ascii="Arial" w:hAnsi="Arial" w:hint="cs"/>
          <w:rtl/>
        </w:rPr>
        <w:t>1</w:t>
      </w:r>
      <w:r w:rsidRPr="00967FE2">
        <w:rPr>
          <w:rFonts w:ascii="Arial" w:hAnsi="Arial"/>
          <w:rtl/>
        </w:rPr>
        <w:t xml:space="preserve">.2020 לריצוי באופן </w:t>
      </w:r>
      <w:r w:rsidRPr="00967FE2">
        <w:rPr>
          <w:rFonts w:ascii="Arial" w:hAnsi="Arial" w:hint="cs"/>
          <w:rtl/>
        </w:rPr>
        <w:t>חופף</w:t>
      </w:r>
      <w:r w:rsidRPr="00967FE2">
        <w:rPr>
          <w:rFonts w:ascii="Arial" w:hAnsi="Arial"/>
          <w:rtl/>
        </w:rPr>
        <w:t>.</w:t>
      </w:r>
    </w:p>
    <w:p w14:paraId="6EA80990" w14:textId="77777777" w:rsidR="004425BF" w:rsidRPr="00937B54" w:rsidRDefault="004425BF" w:rsidP="004425BF">
      <w:pPr>
        <w:pStyle w:val="a9"/>
        <w:numPr>
          <w:ilvl w:val="0"/>
          <w:numId w:val="2"/>
        </w:numPr>
        <w:spacing w:line="360" w:lineRule="auto"/>
        <w:jc w:val="both"/>
        <w:rPr>
          <w:rFonts w:ascii="Arial" w:hAnsi="Arial"/>
          <w:b/>
          <w:bCs/>
        </w:rPr>
      </w:pPr>
      <w:r w:rsidRPr="00967FE2">
        <w:rPr>
          <w:rFonts w:ascii="Arial" w:hAnsi="Arial"/>
          <w:rtl/>
        </w:rPr>
        <w:t>הפעלת מאסר על תנאי למשך ח</w:t>
      </w:r>
      <w:r>
        <w:rPr>
          <w:rFonts w:ascii="Arial" w:hAnsi="Arial" w:hint="cs"/>
          <w:rtl/>
        </w:rPr>
        <w:t>מישה חודשים</w:t>
      </w:r>
      <w:r w:rsidRPr="00967FE2">
        <w:rPr>
          <w:rFonts w:ascii="Arial" w:hAnsi="Arial"/>
          <w:rtl/>
        </w:rPr>
        <w:t xml:space="preserve"> מתיק מספר </w:t>
      </w:r>
      <w:r>
        <w:rPr>
          <w:rFonts w:ascii="Arial" w:hAnsi="Arial" w:hint="cs"/>
          <w:rtl/>
        </w:rPr>
        <w:t>63245-12-18</w:t>
      </w:r>
      <w:r w:rsidRPr="00967FE2">
        <w:rPr>
          <w:rFonts w:ascii="Arial" w:hAnsi="Arial"/>
          <w:rtl/>
        </w:rPr>
        <w:t xml:space="preserve"> (שלום </w:t>
      </w:r>
      <w:r>
        <w:rPr>
          <w:rFonts w:ascii="Arial" w:hAnsi="Arial" w:hint="cs"/>
          <w:rtl/>
        </w:rPr>
        <w:t>תל אביב -יפו</w:t>
      </w:r>
      <w:r w:rsidRPr="00967FE2">
        <w:rPr>
          <w:rFonts w:ascii="Arial" w:hAnsi="Arial"/>
          <w:rtl/>
        </w:rPr>
        <w:t>) מיום 2</w:t>
      </w:r>
      <w:r w:rsidRPr="00967FE2">
        <w:rPr>
          <w:rFonts w:ascii="Arial" w:hAnsi="Arial" w:hint="cs"/>
          <w:rtl/>
        </w:rPr>
        <w:t>9</w:t>
      </w:r>
      <w:r w:rsidRPr="00967FE2">
        <w:rPr>
          <w:rFonts w:ascii="Arial" w:hAnsi="Arial"/>
          <w:rtl/>
        </w:rPr>
        <w:t>.10.20</w:t>
      </w:r>
      <w:r w:rsidRPr="00967FE2">
        <w:rPr>
          <w:rFonts w:ascii="Arial" w:hAnsi="Arial" w:hint="cs"/>
          <w:rtl/>
        </w:rPr>
        <w:t>18</w:t>
      </w:r>
      <w:r w:rsidRPr="00967FE2">
        <w:rPr>
          <w:rFonts w:ascii="Arial" w:hAnsi="Arial"/>
          <w:rtl/>
        </w:rPr>
        <w:t xml:space="preserve"> לריצוי באופן </w:t>
      </w:r>
      <w:r w:rsidRPr="00967FE2">
        <w:rPr>
          <w:rFonts w:ascii="Arial" w:hAnsi="Arial" w:hint="cs"/>
          <w:rtl/>
        </w:rPr>
        <w:t>מצטבר</w:t>
      </w:r>
      <w:r w:rsidRPr="00967FE2">
        <w:rPr>
          <w:rFonts w:ascii="Arial" w:hAnsi="Arial"/>
          <w:rtl/>
        </w:rPr>
        <w:t>.</w:t>
      </w:r>
      <w:r w:rsidRPr="00967FE2">
        <w:rPr>
          <w:rFonts w:ascii="Arial" w:hAnsi="Arial" w:hint="cs"/>
          <w:rtl/>
        </w:rPr>
        <w:t xml:space="preserve"> </w:t>
      </w:r>
      <w:r w:rsidRPr="00937B54">
        <w:rPr>
          <w:rFonts w:ascii="Arial" w:hAnsi="Arial" w:hint="cs"/>
          <w:b/>
          <w:bCs/>
          <w:u w:val="single"/>
          <w:rtl/>
        </w:rPr>
        <w:t>סה"כ ירצה הנאשם תקופת מאסר למשך 30 חודשים בניכוי ימי המעצר בכלל תיקיו.</w:t>
      </w:r>
    </w:p>
    <w:p w14:paraId="3F83C50F" w14:textId="77777777" w:rsidR="004425BF" w:rsidRPr="00967FE2" w:rsidRDefault="004425BF" w:rsidP="004425BF">
      <w:pPr>
        <w:pStyle w:val="a9"/>
        <w:numPr>
          <w:ilvl w:val="0"/>
          <w:numId w:val="2"/>
        </w:numPr>
        <w:spacing w:line="360" w:lineRule="auto"/>
        <w:jc w:val="both"/>
        <w:rPr>
          <w:rFonts w:ascii="Arial" w:hAnsi="Arial"/>
        </w:rPr>
      </w:pPr>
      <w:r w:rsidRPr="00967FE2">
        <w:rPr>
          <w:rFonts w:ascii="Arial" w:hAnsi="Arial" w:hint="cs"/>
          <w:rtl/>
        </w:rPr>
        <w:t>מאסר למשך 6 חודשים וזאת על תנאי למשך 3 שנים מיום שחרורו מהמאסר שלא יעבור כל עבירת רכוש.</w:t>
      </w:r>
    </w:p>
    <w:p w14:paraId="3D2BB215" w14:textId="77777777" w:rsidR="004425BF" w:rsidRPr="00967FE2" w:rsidRDefault="004425BF" w:rsidP="004425BF">
      <w:pPr>
        <w:pStyle w:val="a9"/>
        <w:numPr>
          <w:ilvl w:val="0"/>
          <w:numId w:val="2"/>
        </w:numPr>
        <w:spacing w:line="360" w:lineRule="auto"/>
        <w:jc w:val="both"/>
        <w:rPr>
          <w:rFonts w:ascii="Arial" w:hAnsi="Arial"/>
          <w:rtl/>
        </w:rPr>
      </w:pPr>
      <w:r w:rsidRPr="00967FE2">
        <w:rPr>
          <w:rFonts w:ascii="Arial" w:hAnsi="Arial"/>
          <w:rtl/>
        </w:rPr>
        <w:t xml:space="preserve">מאסר למשך </w:t>
      </w:r>
      <w:r w:rsidRPr="00967FE2">
        <w:rPr>
          <w:rFonts w:ascii="Arial" w:hAnsi="Arial" w:hint="cs"/>
          <w:rtl/>
        </w:rPr>
        <w:t>3</w:t>
      </w:r>
      <w:r w:rsidRPr="00967FE2">
        <w:rPr>
          <w:rFonts w:ascii="Arial" w:hAnsi="Arial"/>
          <w:rtl/>
        </w:rPr>
        <w:t xml:space="preserve"> חודשים וזאת על תנאי למשך 3 שנים מיום שחרורו מהמאסר שלא יעבור כל עביר</w:t>
      </w:r>
      <w:r w:rsidRPr="00967FE2">
        <w:rPr>
          <w:rFonts w:ascii="Arial" w:hAnsi="Arial" w:hint="cs"/>
          <w:rtl/>
        </w:rPr>
        <w:t xml:space="preserve">ה על </w:t>
      </w:r>
      <w:hyperlink r:id="rId43" w:history="1">
        <w:r w:rsidR="00D42786" w:rsidRPr="00D42786">
          <w:rPr>
            <w:rFonts w:ascii="Arial" w:hAnsi="Arial"/>
            <w:color w:val="0000FF"/>
            <w:u w:val="single"/>
            <w:rtl/>
          </w:rPr>
          <w:t>חוק הכניסה לישראל</w:t>
        </w:r>
      </w:hyperlink>
      <w:r w:rsidRPr="00967FE2">
        <w:rPr>
          <w:rFonts w:ascii="Arial" w:hAnsi="Arial" w:hint="cs"/>
          <w:rtl/>
        </w:rPr>
        <w:t xml:space="preserve"> ו/או עבירת עוון מ</w:t>
      </w:r>
      <w:hyperlink r:id="rId44" w:history="1">
        <w:r w:rsidR="00D42786" w:rsidRPr="00D42786">
          <w:rPr>
            <w:rFonts w:ascii="Arial" w:hAnsi="Arial"/>
            <w:color w:val="0000FF"/>
            <w:u w:val="single"/>
            <w:rtl/>
          </w:rPr>
          <w:t>פקודת הסמים המסוכנים</w:t>
        </w:r>
      </w:hyperlink>
      <w:r w:rsidRPr="00967FE2">
        <w:rPr>
          <w:rFonts w:ascii="Arial" w:hAnsi="Arial" w:hint="cs"/>
          <w:rtl/>
        </w:rPr>
        <w:t xml:space="preserve"> ו/או עבירה בניגוד לס</w:t>
      </w:r>
      <w:r>
        <w:rPr>
          <w:rFonts w:ascii="Arial" w:hAnsi="Arial" w:hint="cs"/>
          <w:rtl/>
        </w:rPr>
        <w:t>ע</w:t>
      </w:r>
      <w:r w:rsidRPr="00967FE2">
        <w:rPr>
          <w:rFonts w:ascii="Arial" w:hAnsi="Arial" w:hint="cs"/>
          <w:rtl/>
        </w:rPr>
        <w:t xml:space="preserve">יף </w:t>
      </w:r>
      <w:hyperlink r:id="rId45" w:history="1">
        <w:r w:rsidR="009B3809" w:rsidRPr="009B3809">
          <w:rPr>
            <w:rStyle w:val="Hyperlink"/>
            <w:rFonts w:ascii="Arial" w:hAnsi="Arial"/>
            <w:rtl/>
          </w:rPr>
          <w:t>10 (א)</w:t>
        </w:r>
      </w:hyperlink>
      <w:r w:rsidRPr="00967FE2">
        <w:rPr>
          <w:rFonts w:ascii="Arial" w:hAnsi="Arial" w:hint="cs"/>
          <w:rtl/>
        </w:rPr>
        <w:t xml:space="preserve"> ו/או </w:t>
      </w:r>
      <w:hyperlink r:id="rId46" w:history="1">
        <w:r w:rsidR="009B3809" w:rsidRPr="009B3809">
          <w:rPr>
            <w:rStyle w:val="Hyperlink"/>
            <w:rFonts w:ascii="Arial" w:hAnsi="Arial"/>
            <w:rtl/>
          </w:rPr>
          <w:t>67</w:t>
        </w:r>
      </w:hyperlink>
      <w:r w:rsidRPr="00967FE2">
        <w:rPr>
          <w:rFonts w:ascii="Arial" w:hAnsi="Arial" w:hint="cs"/>
          <w:rtl/>
        </w:rPr>
        <w:t xml:space="preserve"> ל</w:t>
      </w:r>
      <w:hyperlink r:id="rId47" w:history="1">
        <w:r w:rsidR="00D42786" w:rsidRPr="00D42786">
          <w:rPr>
            <w:rFonts w:ascii="Arial" w:hAnsi="Arial"/>
            <w:color w:val="0000FF"/>
            <w:u w:val="single"/>
            <w:rtl/>
          </w:rPr>
          <w:t>פקודת התעבורה</w:t>
        </w:r>
      </w:hyperlink>
      <w:r w:rsidRPr="00967FE2">
        <w:rPr>
          <w:rFonts w:ascii="Arial" w:hAnsi="Arial" w:hint="cs"/>
          <w:rtl/>
        </w:rPr>
        <w:t xml:space="preserve">. </w:t>
      </w:r>
    </w:p>
    <w:p w14:paraId="505B9D1B" w14:textId="77777777" w:rsidR="004425BF" w:rsidRPr="00967FE2" w:rsidRDefault="004425BF" w:rsidP="004425BF">
      <w:pPr>
        <w:pStyle w:val="a9"/>
        <w:numPr>
          <w:ilvl w:val="0"/>
          <w:numId w:val="2"/>
        </w:numPr>
        <w:spacing w:line="360" w:lineRule="auto"/>
        <w:jc w:val="both"/>
        <w:rPr>
          <w:rFonts w:ascii="Arial" w:hAnsi="Arial"/>
          <w:rtl/>
        </w:rPr>
      </w:pPr>
      <w:r w:rsidRPr="00967FE2">
        <w:rPr>
          <w:rFonts w:ascii="Arial" w:hAnsi="Arial" w:hint="cs"/>
          <w:rtl/>
        </w:rPr>
        <w:t>פסילה מלקבל או מלהחזיק ברישיון נהיגה למשך 12 חודשים. הפסילה תימנה מיום שחרורו של הנאשם מהמאסר</w:t>
      </w:r>
      <w:r>
        <w:rPr>
          <w:rFonts w:ascii="Arial" w:hAnsi="Arial" w:hint="cs"/>
          <w:rtl/>
        </w:rPr>
        <w:t xml:space="preserve">. </w:t>
      </w:r>
      <w:r w:rsidRPr="00967FE2">
        <w:rPr>
          <w:rFonts w:ascii="Arial" w:hAnsi="Arial" w:hint="cs"/>
          <w:rtl/>
        </w:rPr>
        <w:t>הנאשם פטור מהפקדת רישיון.</w:t>
      </w:r>
      <w:r w:rsidRPr="00967FE2">
        <w:rPr>
          <w:rFonts w:ascii="Arial" w:hAnsi="Arial"/>
          <w:rtl/>
        </w:rPr>
        <w:t xml:space="preserve"> </w:t>
      </w:r>
    </w:p>
    <w:p w14:paraId="65A6E79A" w14:textId="77777777" w:rsidR="004425BF" w:rsidRPr="00967FE2" w:rsidRDefault="004425BF" w:rsidP="004425BF">
      <w:pPr>
        <w:pStyle w:val="a9"/>
        <w:numPr>
          <w:ilvl w:val="0"/>
          <w:numId w:val="2"/>
        </w:numPr>
        <w:spacing w:line="360" w:lineRule="auto"/>
        <w:jc w:val="both"/>
        <w:rPr>
          <w:rFonts w:ascii="Arial" w:hAnsi="Arial"/>
          <w:rtl/>
        </w:rPr>
      </w:pPr>
      <w:r w:rsidRPr="00967FE2">
        <w:rPr>
          <w:rFonts w:ascii="Arial" w:hAnsi="Arial" w:hint="cs"/>
          <w:rtl/>
        </w:rPr>
        <w:t>פסילה למשך 3 חודשים וזאת על תנאי למשך 3 שנים.</w:t>
      </w:r>
    </w:p>
    <w:p w14:paraId="4F0FF422" w14:textId="77777777" w:rsidR="004425BF" w:rsidRPr="00967FE2" w:rsidRDefault="004425BF" w:rsidP="004425BF">
      <w:pPr>
        <w:pStyle w:val="a9"/>
        <w:numPr>
          <w:ilvl w:val="0"/>
          <w:numId w:val="2"/>
        </w:numPr>
        <w:spacing w:line="360" w:lineRule="auto"/>
        <w:jc w:val="both"/>
        <w:rPr>
          <w:rFonts w:ascii="Arial" w:hAnsi="Arial"/>
        </w:rPr>
      </w:pPr>
      <w:r w:rsidRPr="00967FE2">
        <w:rPr>
          <w:rFonts w:ascii="Arial" w:hAnsi="Arial" w:hint="cs"/>
          <w:rtl/>
        </w:rPr>
        <w:t>פיצוי לע"ת 1 בסך 1500 ₪ אשר ישולם עד ליום 3.9.2023.</w:t>
      </w:r>
    </w:p>
    <w:p w14:paraId="3215997D" w14:textId="77777777" w:rsidR="004425BF" w:rsidRPr="00967FE2" w:rsidRDefault="00D42786" w:rsidP="004425BF">
      <w:pPr>
        <w:pStyle w:val="a9"/>
        <w:numPr>
          <w:ilvl w:val="0"/>
          <w:numId w:val="2"/>
        </w:numPr>
        <w:spacing w:line="360" w:lineRule="auto"/>
        <w:jc w:val="both"/>
        <w:rPr>
          <w:rFonts w:ascii="Arial" w:hAnsi="Arial"/>
        </w:rPr>
      </w:pPr>
      <w:r w:rsidRPr="00D42786">
        <w:rPr>
          <w:rFonts w:ascii="Arial" w:hAnsi="Arial"/>
          <w:color w:val="FFFFFF"/>
          <w:sz w:val="2"/>
          <w:szCs w:val="2"/>
          <w:rtl/>
        </w:rPr>
        <w:t>5129371</w:t>
      </w:r>
      <w:r w:rsidR="004425BF" w:rsidRPr="00967FE2">
        <w:rPr>
          <w:rFonts w:ascii="Arial" w:hAnsi="Arial" w:hint="cs"/>
          <w:rtl/>
        </w:rPr>
        <w:t>הפעלת התחייבות בסך 3000 ₪ מהתיק שצוין בסעיף ד' לעיל. ההתחייבות תשולם עד ליום 3.9.2023.</w:t>
      </w:r>
    </w:p>
    <w:p w14:paraId="01AE21C9" w14:textId="77777777" w:rsidR="004425BF" w:rsidRPr="00967FE2" w:rsidRDefault="00D42786" w:rsidP="004425BF">
      <w:pPr>
        <w:spacing w:line="360" w:lineRule="auto"/>
        <w:ind w:firstLine="360"/>
        <w:jc w:val="both"/>
        <w:rPr>
          <w:rFonts w:ascii="Arial" w:hAnsi="Arial"/>
          <w:b/>
          <w:bCs/>
          <w:rtl/>
        </w:rPr>
      </w:pPr>
      <w:r w:rsidRPr="00D42786">
        <w:rPr>
          <w:rFonts w:ascii="Arial" w:hAnsi="Arial"/>
          <w:b/>
          <w:bCs/>
          <w:color w:val="FFFFFF"/>
          <w:sz w:val="2"/>
          <w:szCs w:val="2"/>
          <w:rtl/>
        </w:rPr>
        <w:t>54678313</w:t>
      </w:r>
      <w:r w:rsidR="004425BF" w:rsidRPr="00967FE2">
        <w:rPr>
          <w:rFonts w:ascii="Arial" w:hAnsi="Arial" w:hint="cs"/>
          <w:b/>
          <w:bCs/>
          <w:rtl/>
        </w:rPr>
        <w:t>זכות ערעור לבית משפט מחוזי בתוך 45 יום.</w:t>
      </w:r>
    </w:p>
    <w:p w14:paraId="1052D98A" w14:textId="77777777" w:rsidR="004425BF" w:rsidRPr="00967FE2" w:rsidRDefault="004425BF" w:rsidP="004425BF">
      <w:pPr>
        <w:spacing w:line="360" w:lineRule="auto"/>
        <w:jc w:val="both"/>
        <w:rPr>
          <w:rFonts w:ascii="Arial" w:hAnsi="Arial"/>
          <w:rtl/>
        </w:rPr>
      </w:pPr>
    </w:p>
    <w:p w14:paraId="55703B7B" w14:textId="77777777" w:rsidR="004425BF" w:rsidRPr="00967FE2" w:rsidRDefault="00D42786" w:rsidP="004425BF">
      <w:pPr>
        <w:spacing w:line="360" w:lineRule="auto"/>
        <w:jc w:val="both"/>
        <w:rPr>
          <w:rFonts w:ascii="Arial" w:hAnsi="Arial"/>
          <w:b/>
          <w:bCs/>
          <w:rtl/>
        </w:rPr>
      </w:pPr>
      <w:bookmarkStart w:id="8" w:name="Nitan"/>
      <w:r>
        <w:rPr>
          <w:rFonts w:ascii="Arial" w:hAnsi="Arial"/>
          <w:b/>
          <w:bCs/>
          <w:rtl/>
        </w:rPr>
        <w:t xml:space="preserve">נחתם היום,  י"ז ניסן תשפ"ג, 08 אפריל 2023. </w:t>
      </w:r>
      <w:bookmarkEnd w:id="8"/>
      <w:r w:rsidR="004425BF" w:rsidRPr="00967FE2">
        <w:rPr>
          <w:rFonts w:ascii="Arial" w:hAnsi="Arial"/>
          <w:b/>
          <w:bCs/>
          <w:rtl/>
        </w:rPr>
        <w:tab/>
      </w:r>
      <w:r w:rsidR="004425BF" w:rsidRPr="00967FE2">
        <w:rPr>
          <w:rFonts w:ascii="Arial" w:hAnsi="Arial"/>
          <w:b/>
          <w:bCs/>
          <w:rtl/>
        </w:rPr>
        <w:tab/>
      </w:r>
      <w:r w:rsidR="004425BF" w:rsidRPr="00967FE2">
        <w:rPr>
          <w:rFonts w:ascii="Arial" w:hAnsi="Arial"/>
          <w:b/>
          <w:bCs/>
          <w:rtl/>
        </w:rPr>
        <w:tab/>
      </w:r>
      <w:r w:rsidR="004425BF" w:rsidRPr="00967FE2">
        <w:rPr>
          <w:rFonts w:ascii="Arial" w:hAnsi="Arial"/>
          <w:b/>
          <w:bCs/>
          <w:rtl/>
        </w:rPr>
        <w:tab/>
      </w:r>
      <w:r w:rsidR="004425BF" w:rsidRPr="00967FE2">
        <w:rPr>
          <w:rFonts w:ascii="Arial" w:hAnsi="Arial"/>
          <w:b/>
          <w:bCs/>
          <w:rtl/>
        </w:rPr>
        <w:tab/>
      </w:r>
      <w:r w:rsidR="004425BF" w:rsidRPr="00967FE2">
        <w:rPr>
          <w:rFonts w:ascii="Arial" w:hAnsi="Arial"/>
          <w:b/>
          <w:bCs/>
          <w:rtl/>
        </w:rPr>
        <w:tab/>
      </w:r>
      <w:r w:rsidR="004425BF" w:rsidRPr="00967FE2">
        <w:rPr>
          <w:rFonts w:ascii="Arial" w:hAnsi="Arial"/>
          <w:b/>
          <w:bCs/>
          <w:rtl/>
        </w:rPr>
        <w:tab/>
      </w:r>
      <w:r w:rsidR="004425BF" w:rsidRPr="00967FE2">
        <w:rPr>
          <w:rFonts w:ascii="Arial" w:hAnsi="Arial" w:hint="cs"/>
          <w:b/>
          <w:bCs/>
          <w:rtl/>
        </w:rPr>
        <w:t xml:space="preserve">         </w:t>
      </w:r>
    </w:p>
    <w:p w14:paraId="4DA6BEF1" w14:textId="77777777" w:rsidR="00D42786" w:rsidRDefault="00D42786" w:rsidP="00D42786">
      <w:pPr>
        <w:rPr>
          <w:rtl/>
        </w:rPr>
      </w:pPr>
    </w:p>
    <w:p w14:paraId="10F7F48D" w14:textId="77777777" w:rsidR="00D42786" w:rsidRDefault="00D42786" w:rsidP="00D42786">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36D8643" w14:textId="77777777" w:rsidR="009B3809" w:rsidRPr="009B3809" w:rsidRDefault="009B3809" w:rsidP="009B3809">
      <w:pPr>
        <w:keepNext/>
        <w:rPr>
          <w:rFonts w:ascii="David" w:hAnsi="David"/>
          <w:color w:val="000000"/>
          <w:sz w:val="22"/>
          <w:szCs w:val="22"/>
          <w:rtl/>
        </w:rPr>
      </w:pPr>
    </w:p>
    <w:p w14:paraId="6BC4854A" w14:textId="77777777" w:rsidR="009B3809" w:rsidRPr="009B3809" w:rsidRDefault="009B3809" w:rsidP="009B3809">
      <w:pPr>
        <w:keepNext/>
        <w:rPr>
          <w:rFonts w:ascii="David" w:hAnsi="David"/>
          <w:color w:val="000000"/>
          <w:sz w:val="22"/>
          <w:szCs w:val="22"/>
          <w:rtl/>
        </w:rPr>
      </w:pPr>
      <w:r w:rsidRPr="009B3809">
        <w:rPr>
          <w:rFonts w:ascii="David" w:hAnsi="David"/>
          <w:color w:val="000000"/>
          <w:sz w:val="22"/>
          <w:szCs w:val="22"/>
          <w:rtl/>
        </w:rPr>
        <w:t>ארנון איתן 54678313-/</w:t>
      </w:r>
    </w:p>
    <w:p w14:paraId="6D3A56A0" w14:textId="77777777" w:rsidR="00D42786" w:rsidRPr="00D42786" w:rsidRDefault="009B3809" w:rsidP="009B3809">
      <w:pPr>
        <w:rPr>
          <w:color w:val="0000FF"/>
          <w:u w:val="single"/>
        </w:rPr>
      </w:pPr>
      <w:r w:rsidRPr="009B3809">
        <w:rPr>
          <w:color w:val="000000"/>
          <w:u w:val="single"/>
          <w:rtl/>
        </w:rPr>
        <w:t>נוסח מסמך זה כפוף לשינויי ניסוח ועריכה</w:t>
      </w:r>
    </w:p>
    <w:sectPr w:rsidR="00D42786" w:rsidRPr="00D42786" w:rsidSect="009B3809">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445AE" w14:textId="77777777" w:rsidR="00224A19" w:rsidRDefault="00224A19" w:rsidP="005A003B">
      <w:r>
        <w:separator/>
      </w:r>
    </w:p>
  </w:endnote>
  <w:endnote w:type="continuationSeparator" w:id="0">
    <w:p w14:paraId="74ECD7A4" w14:textId="77777777" w:rsidR="00224A19" w:rsidRDefault="00224A19" w:rsidP="005A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587EF" w14:textId="77777777" w:rsidR="009B3809" w:rsidRDefault="009B3809" w:rsidP="009B38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ECB1FD" w14:textId="77777777" w:rsidR="00BD6B6A" w:rsidRPr="009B3809" w:rsidRDefault="009B3809" w:rsidP="009B3809">
    <w:pPr>
      <w:pStyle w:val="a5"/>
      <w:pBdr>
        <w:top w:val="single" w:sz="4" w:space="1" w:color="auto"/>
        <w:between w:val="single" w:sz="4" w:space="0" w:color="auto"/>
      </w:pBdr>
      <w:spacing w:after="60"/>
      <w:jc w:val="center"/>
      <w:rPr>
        <w:rFonts w:ascii="FrankRuehl" w:hAnsi="FrankRuehl" w:cs="FrankRuehl"/>
        <w:color w:val="000000"/>
      </w:rPr>
    </w:pPr>
    <w:r w:rsidRPr="009B38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96CC9" w14:textId="77777777" w:rsidR="009B3809" w:rsidRDefault="009B3809" w:rsidP="009B38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15D5">
      <w:rPr>
        <w:rFonts w:ascii="FrankRuehl" w:hAnsi="FrankRuehl" w:cs="FrankRuehl"/>
        <w:noProof/>
        <w:rtl/>
      </w:rPr>
      <w:t>1</w:t>
    </w:r>
    <w:r>
      <w:rPr>
        <w:rFonts w:ascii="FrankRuehl" w:hAnsi="FrankRuehl" w:cs="FrankRuehl"/>
        <w:rtl/>
      </w:rPr>
      <w:fldChar w:fldCharType="end"/>
    </w:r>
  </w:p>
  <w:p w14:paraId="283F1DEF" w14:textId="77777777" w:rsidR="00BD6B6A" w:rsidRPr="009B3809" w:rsidRDefault="009B3809" w:rsidP="009B3809">
    <w:pPr>
      <w:pStyle w:val="a5"/>
      <w:pBdr>
        <w:top w:val="single" w:sz="4" w:space="1" w:color="auto"/>
        <w:between w:val="single" w:sz="4" w:space="0" w:color="auto"/>
      </w:pBdr>
      <w:spacing w:after="60"/>
      <w:jc w:val="center"/>
      <w:rPr>
        <w:rFonts w:ascii="FrankRuehl" w:hAnsi="FrankRuehl" w:cs="FrankRuehl"/>
        <w:color w:val="000000"/>
      </w:rPr>
    </w:pPr>
    <w:r w:rsidRPr="009B3809">
      <w:rPr>
        <w:rFonts w:ascii="FrankRuehl" w:hAnsi="FrankRuehl" w:cs="FrankRuehl"/>
        <w:color w:val="000000"/>
      </w:rPr>
      <w:pict w14:anchorId="70D14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1E370" w14:textId="77777777" w:rsidR="00224A19" w:rsidRDefault="00224A19" w:rsidP="005A003B">
      <w:r>
        <w:separator/>
      </w:r>
    </w:p>
  </w:footnote>
  <w:footnote w:type="continuationSeparator" w:id="0">
    <w:p w14:paraId="572207EC" w14:textId="77777777" w:rsidR="00224A19" w:rsidRDefault="00224A19" w:rsidP="005A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1C768" w14:textId="77777777" w:rsidR="00D42786" w:rsidRPr="009B3809" w:rsidRDefault="009B3809" w:rsidP="009B38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3952-03-22</w:t>
    </w:r>
    <w:r>
      <w:rPr>
        <w:rFonts w:ascii="David" w:hAnsi="David"/>
        <w:color w:val="000000"/>
        <w:sz w:val="22"/>
        <w:szCs w:val="22"/>
        <w:rtl/>
      </w:rPr>
      <w:tab/>
      <w:t xml:space="preserve"> מדינת ישראל נ' מוחמד נגאר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46C42" w14:textId="77777777" w:rsidR="00D42786" w:rsidRPr="009B3809" w:rsidRDefault="009B3809" w:rsidP="009B38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3952-03-22</w:t>
    </w:r>
    <w:r>
      <w:rPr>
        <w:rFonts w:ascii="David" w:hAnsi="David"/>
        <w:color w:val="000000"/>
        <w:sz w:val="22"/>
        <w:szCs w:val="22"/>
        <w:rtl/>
      </w:rPr>
      <w:tab/>
      <w:t xml:space="preserve"> מדינת ישראל נ' מוחמד נגאר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24608"/>
    <w:multiLevelType w:val="hybridMultilevel"/>
    <w:tmpl w:val="8BACEAFA"/>
    <w:lvl w:ilvl="0" w:tplc="1C928890">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B5289"/>
    <w:multiLevelType w:val="hybridMultilevel"/>
    <w:tmpl w:val="6F9E938A"/>
    <w:lvl w:ilvl="0" w:tplc="7B1676C2">
      <w:start w:val="1"/>
      <w:numFmt w:val="decimal"/>
      <w:lvlText w:val="%1."/>
      <w:lvlJc w:val="left"/>
      <w:pPr>
        <w:ind w:left="720" w:hanging="360"/>
      </w:pPr>
      <w:rPr>
        <w:b w:val="0"/>
        <w:bCs w:val="0"/>
        <w:sz w:val="24"/>
        <w:szCs w:val="24"/>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275179">
    <w:abstractNumId w:val="1"/>
  </w:num>
  <w:num w:numId="2" w16cid:durableId="3744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25BF"/>
    <w:rsid w:val="00065F57"/>
    <w:rsid w:val="00107DAF"/>
    <w:rsid w:val="001B5A3B"/>
    <w:rsid w:val="00224A19"/>
    <w:rsid w:val="004425BF"/>
    <w:rsid w:val="004E15D5"/>
    <w:rsid w:val="005A003B"/>
    <w:rsid w:val="00606CEF"/>
    <w:rsid w:val="00660026"/>
    <w:rsid w:val="009B3809"/>
    <w:rsid w:val="009C754B"/>
    <w:rsid w:val="00A96C0B"/>
    <w:rsid w:val="00AA00A8"/>
    <w:rsid w:val="00BD6B6A"/>
    <w:rsid w:val="00D42786"/>
    <w:rsid w:val="00E816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FD7B61"/>
  <w15:chartTrackingRefBased/>
  <w15:docId w15:val="{E5646B6B-8231-4AFF-961C-EF342D54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25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25BF"/>
    <w:pPr>
      <w:tabs>
        <w:tab w:val="center" w:pos="4153"/>
        <w:tab w:val="right" w:pos="8306"/>
      </w:tabs>
    </w:pPr>
  </w:style>
  <w:style w:type="character" w:customStyle="1" w:styleId="a4">
    <w:name w:val="כותרת עליונה תו"/>
    <w:link w:val="a3"/>
    <w:rsid w:val="004425BF"/>
    <w:rPr>
      <w:rFonts w:ascii="Times New Roman" w:eastAsia="Times New Roman" w:hAnsi="Times New Roman" w:cs="David"/>
      <w:sz w:val="24"/>
      <w:szCs w:val="24"/>
    </w:rPr>
  </w:style>
  <w:style w:type="paragraph" w:styleId="a5">
    <w:name w:val="footer"/>
    <w:basedOn w:val="a"/>
    <w:link w:val="a6"/>
    <w:rsid w:val="004425BF"/>
    <w:pPr>
      <w:tabs>
        <w:tab w:val="center" w:pos="4153"/>
        <w:tab w:val="right" w:pos="8306"/>
      </w:tabs>
    </w:pPr>
  </w:style>
  <w:style w:type="character" w:customStyle="1" w:styleId="a6">
    <w:name w:val="כותרת תחתונה תו"/>
    <w:link w:val="a5"/>
    <w:rsid w:val="004425BF"/>
    <w:rPr>
      <w:rFonts w:ascii="Times New Roman" w:eastAsia="Times New Roman" w:hAnsi="Times New Roman" w:cs="David"/>
      <w:sz w:val="24"/>
      <w:szCs w:val="24"/>
    </w:rPr>
  </w:style>
  <w:style w:type="table" w:styleId="a7">
    <w:name w:val="Table Grid"/>
    <w:basedOn w:val="a1"/>
    <w:rsid w:val="004425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25BF"/>
  </w:style>
  <w:style w:type="paragraph" w:styleId="a9">
    <w:name w:val="List Paragraph"/>
    <w:basedOn w:val="a"/>
    <w:qFormat/>
    <w:rsid w:val="004425BF"/>
    <w:pPr>
      <w:ind w:left="720"/>
      <w:contextualSpacing/>
    </w:pPr>
  </w:style>
  <w:style w:type="character" w:styleId="Hyperlink">
    <w:name w:val="Hyperlink"/>
    <w:rsid w:val="00D4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e"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70301/413" TargetMode="External"/><Relationship Id="rId39" Type="http://schemas.openxmlformats.org/officeDocument/2006/relationships/hyperlink" Target="http://www.nevo.co.il/law/90721"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90721" TargetMode="External"/><Relationship Id="rId42" Type="http://schemas.openxmlformats.org/officeDocument/2006/relationships/hyperlink" Target="http://www.nevo.co.il/law/4216" TargetMode="External"/><Relationship Id="rId47" Type="http://schemas.openxmlformats.org/officeDocument/2006/relationships/hyperlink" Target="http://www.nevo.co.il/law/5227" TargetMode="External"/><Relationship Id="rId50" Type="http://schemas.openxmlformats.org/officeDocument/2006/relationships/header" Target="header2.xm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9" Type="http://schemas.openxmlformats.org/officeDocument/2006/relationships/hyperlink" Target="http://www.nevo.co.il/law/5227" TargetMode="External"/><Relationship Id="rId11" Type="http://schemas.openxmlformats.org/officeDocument/2006/relationships/hyperlink" Target="http://www.nevo.co.il/law/70301/338.a.1" TargetMode="External"/><Relationship Id="rId24" Type="http://schemas.openxmlformats.org/officeDocument/2006/relationships/hyperlink" Target="http://www.nevo.co.il/law/70301/413e" TargetMode="External"/><Relationship Id="rId32" Type="http://schemas.openxmlformats.org/officeDocument/2006/relationships/hyperlink" Target="http://www.nevo.co.il/case/28367045" TargetMode="External"/><Relationship Id="rId37" Type="http://schemas.openxmlformats.org/officeDocument/2006/relationships/hyperlink" Target="http://www.nevo.co.il/case/28525763"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5227/10.a"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275" TargetMode="External"/><Relationship Id="rId19" Type="http://schemas.openxmlformats.org/officeDocument/2006/relationships/hyperlink" Target="http://www.nevo.co.il/law/4216" TargetMode="External"/><Relationship Id="rId31" Type="http://schemas.openxmlformats.org/officeDocument/2006/relationships/hyperlink" Target="http://www.nevo.co.il/law/74501" TargetMode="External"/><Relationship Id="rId44" Type="http://schemas.openxmlformats.org/officeDocument/2006/relationships/hyperlink" Target="http://www.nevo.co.il/law/421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5227" TargetMode="External"/><Relationship Id="rId22" Type="http://schemas.openxmlformats.org/officeDocument/2006/relationships/hyperlink" Target="http://www.nevo.co.il/law/90721/12.1" TargetMode="External"/><Relationship Id="rId27" Type="http://schemas.openxmlformats.org/officeDocument/2006/relationships/hyperlink" Target="http://www.nevo.co.il/law/70301/338.a.1" TargetMode="External"/><Relationship Id="rId30" Type="http://schemas.openxmlformats.org/officeDocument/2006/relationships/hyperlink" Target="http://www.nevo.co.il/law/74501/2a" TargetMode="External"/><Relationship Id="rId35" Type="http://schemas.openxmlformats.org/officeDocument/2006/relationships/hyperlink" Target="http://www.nevo.co.il/law/70301/275" TargetMode="External"/><Relationship Id="rId43" Type="http://schemas.openxmlformats.org/officeDocument/2006/relationships/hyperlink" Target="http://www.nevo.co.il/law/9072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90721/12.1"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13"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90721/12.1" TargetMode="External"/><Relationship Id="rId38" Type="http://schemas.openxmlformats.org/officeDocument/2006/relationships/hyperlink" Target="http://www.nevo.co.il/law/90721/12.1" TargetMode="External"/><Relationship Id="rId46" Type="http://schemas.openxmlformats.org/officeDocument/2006/relationships/hyperlink" Target="http://www.nevo.co.il/law/5227/67"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4216/7.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10.a" TargetMode="External"/><Relationship Id="rId23" Type="http://schemas.openxmlformats.org/officeDocument/2006/relationships/hyperlink" Target="http://www.nevo.co.il/law/90721" TargetMode="External"/><Relationship Id="rId28" Type="http://schemas.openxmlformats.org/officeDocument/2006/relationships/hyperlink" Target="http://www.nevo.co.il/law/5227/10.a" TargetMode="External"/><Relationship Id="rId36" Type="http://schemas.openxmlformats.org/officeDocument/2006/relationships/hyperlink" Target="http://www.nevo.co.il/law/7030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2028</Words>
  <Characters>10143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12147</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8323175</vt:i4>
      </vt:variant>
      <vt:variant>
        <vt:i4>120</vt:i4>
      </vt:variant>
      <vt:variant>
        <vt:i4>0</vt:i4>
      </vt:variant>
      <vt:variant>
        <vt:i4>5</vt:i4>
      </vt:variant>
      <vt:variant>
        <vt:lpwstr>http://www.nevo.co.il/law/5227</vt:lpwstr>
      </vt:variant>
      <vt:variant>
        <vt:lpwstr/>
      </vt:variant>
      <vt:variant>
        <vt:i4>4784200</vt:i4>
      </vt:variant>
      <vt:variant>
        <vt:i4>117</vt:i4>
      </vt:variant>
      <vt:variant>
        <vt:i4>0</vt:i4>
      </vt:variant>
      <vt:variant>
        <vt:i4>5</vt:i4>
      </vt:variant>
      <vt:variant>
        <vt:lpwstr>http://www.nevo.co.il/law/5227/67</vt:lpwstr>
      </vt:variant>
      <vt:variant>
        <vt:lpwstr/>
      </vt:variant>
      <vt:variant>
        <vt:i4>6291576</vt:i4>
      </vt:variant>
      <vt:variant>
        <vt:i4>114</vt:i4>
      </vt:variant>
      <vt:variant>
        <vt:i4>0</vt:i4>
      </vt:variant>
      <vt:variant>
        <vt:i4>5</vt:i4>
      </vt:variant>
      <vt:variant>
        <vt:lpwstr>http://www.nevo.co.il/law/5227/10.a</vt:lpwstr>
      </vt:variant>
      <vt:variant>
        <vt:lpwstr/>
      </vt:variant>
      <vt:variant>
        <vt:i4>8257637</vt:i4>
      </vt:variant>
      <vt:variant>
        <vt:i4>111</vt:i4>
      </vt:variant>
      <vt:variant>
        <vt:i4>0</vt:i4>
      </vt:variant>
      <vt:variant>
        <vt:i4>5</vt:i4>
      </vt:variant>
      <vt:variant>
        <vt:lpwstr>http://www.nevo.co.il/law/4216</vt:lpwstr>
      </vt:variant>
      <vt:variant>
        <vt:lpwstr/>
      </vt:variant>
      <vt:variant>
        <vt:i4>7864430</vt:i4>
      </vt:variant>
      <vt:variant>
        <vt:i4>108</vt:i4>
      </vt:variant>
      <vt:variant>
        <vt:i4>0</vt:i4>
      </vt:variant>
      <vt:variant>
        <vt:i4>5</vt:i4>
      </vt:variant>
      <vt:variant>
        <vt:lpwstr>http://www.nevo.co.il/law/90721</vt:lpwstr>
      </vt:variant>
      <vt:variant>
        <vt:lpwstr/>
      </vt:variant>
      <vt:variant>
        <vt:i4>8257637</vt:i4>
      </vt:variant>
      <vt:variant>
        <vt:i4>105</vt:i4>
      </vt:variant>
      <vt:variant>
        <vt:i4>0</vt:i4>
      </vt:variant>
      <vt:variant>
        <vt:i4>5</vt:i4>
      </vt:variant>
      <vt:variant>
        <vt:lpwstr>http://www.nevo.co.il/law/4216</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7864430</vt:i4>
      </vt:variant>
      <vt:variant>
        <vt:i4>96</vt:i4>
      </vt:variant>
      <vt:variant>
        <vt:i4>0</vt:i4>
      </vt:variant>
      <vt:variant>
        <vt:i4>5</vt:i4>
      </vt:variant>
      <vt:variant>
        <vt:lpwstr>http://www.nevo.co.il/law/90721</vt:lpwstr>
      </vt:variant>
      <vt:variant>
        <vt:lpwstr/>
      </vt:variant>
      <vt:variant>
        <vt:i4>5505088</vt:i4>
      </vt:variant>
      <vt:variant>
        <vt:i4>93</vt:i4>
      </vt:variant>
      <vt:variant>
        <vt:i4>0</vt:i4>
      </vt:variant>
      <vt:variant>
        <vt:i4>5</vt:i4>
      </vt:variant>
      <vt:variant>
        <vt:lpwstr>http://www.nevo.co.il/law/90721/12.1</vt:lpwstr>
      </vt:variant>
      <vt:variant>
        <vt:lpwstr/>
      </vt:variant>
      <vt:variant>
        <vt:i4>3407993</vt:i4>
      </vt:variant>
      <vt:variant>
        <vt:i4>90</vt:i4>
      </vt:variant>
      <vt:variant>
        <vt:i4>0</vt:i4>
      </vt:variant>
      <vt:variant>
        <vt:i4>5</vt:i4>
      </vt:variant>
      <vt:variant>
        <vt:lpwstr>http://www.nevo.co.il/case/28525763</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6422631</vt:i4>
      </vt:variant>
      <vt:variant>
        <vt:i4>84</vt:i4>
      </vt:variant>
      <vt:variant>
        <vt:i4>0</vt:i4>
      </vt:variant>
      <vt:variant>
        <vt:i4>5</vt:i4>
      </vt:variant>
      <vt:variant>
        <vt:lpwstr>http://www.nevo.co.il/law/70301/275</vt:lpwstr>
      </vt:variant>
      <vt:variant>
        <vt:lpwstr/>
      </vt:variant>
      <vt:variant>
        <vt:i4>7864430</vt:i4>
      </vt:variant>
      <vt:variant>
        <vt:i4>81</vt:i4>
      </vt:variant>
      <vt:variant>
        <vt:i4>0</vt:i4>
      </vt:variant>
      <vt:variant>
        <vt:i4>5</vt:i4>
      </vt:variant>
      <vt:variant>
        <vt:lpwstr>http://www.nevo.co.il/law/90721</vt:lpwstr>
      </vt:variant>
      <vt:variant>
        <vt:lpwstr/>
      </vt:variant>
      <vt:variant>
        <vt:i4>5505088</vt:i4>
      </vt:variant>
      <vt:variant>
        <vt:i4>78</vt:i4>
      </vt:variant>
      <vt:variant>
        <vt:i4>0</vt:i4>
      </vt:variant>
      <vt:variant>
        <vt:i4>5</vt:i4>
      </vt:variant>
      <vt:variant>
        <vt:lpwstr>http://www.nevo.co.il/law/90721/12.1</vt:lpwstr>
      </vt:variant>
      <vt:variant>
        <vt:lpwstr/>
      </vt:variant>
      <vt:variant>
        <vt:i4>3276922</vt:i4>
      </vt:variant>
      <vt:variant>
        <vt:i4>75</vt:i4>
      </vt:variant>
      <vt:variant>
        <vt:i4>0</vt:i4>
      </vt:variant>
      <vt:variant>
        <vt:i4>5</vt:i4>
      </vt:variant>
      <vt:variant>
        <vt:lpwstr>http://www.nevo.co.il/case/28367045</vt:lpwstr>
      </vt:variant>
      <vt:variant>
        <vt:lpwstr/>
      </vt:variant>
      <vt:variant>
        <vt:i4>8257634</vt:i4>
      </vt:variant>
      <vt:variant>
        <vt:i4>72</vt:i4>
      </vt:variant>
      <vt:variant>
        <vt:i4>0</vt:i4>
      </vt:variant>
      <vt:variant>
        <vt:i4>5</vt:i4>
      </vt:variant>
      <vt:variant>
        <vt:lpwstr>http://www.nevo.co.il/law/74501</vt:lpwstr>
      </vt:variant>
      <vt:variant>
        <vt:lpwstr/>
      </vt:variant>
      <vt:variant>
        <vt:i4>3145825</vt:i4>
      </vt:variant>
      <vt:variant>
        <vt:i4>69</vt:i4>
      </vt:variant>
      <vt:variant>
        <vt:i4>0</vt:i4>
      </vt:variant>
      <vt:variant>
        <vt:i4>5</vt:i4>
      </vt:variant>
      <vt:variant>
        <vt:lpwstr>http://www.nevo.co.il/law/74501/2a</vt:lpwstr>
      </vt:variant>
      <vt:variant>
        <vt:lpwstr/>
      </vt:variant>
      <vt:variant>
        <vt:i4>8323175</vt:i4>
      </vt:variant>
      <vt:variant>
        <vt:i4>66</vt:i4>
      </vt:variant>
      <vt:variant>
        <vt:i4>0</vt:i4>
      </vt:variant>
      <vt:variant>
        <vt:i4>5</vt:i4>
      </vt:variant>
      <vt:variant>
        <vt:lpwstr>http://www.nevo.co.il/law/5227</vt:lpwstr>
      </vt:variant>
      <vt:variant>
        <vt:lpwstr/>
      </vt:variant>
      <vt:variant>
        <vt:i4>6291576</vt:i4>
      </vt:variant>
      <vt:variant>
        <vt:i4>63</vt:i4>
      </vt:variant>
      <vt:variant>
        <vt:i4>0</vt:i4>
      </vt:variant>
      <vt:variant>
        <vt:i4>5</vt:i4>
      </vt:variant>
      <vt:variant>
        <vt:lpwstr>http://www.nevo.co.il/law/5227/10.a</vt:lpwstr>
      </vt:variant>
      <vt:variant>
        <vt:lpwstr/>
      </vt:variant>
      <vt:variant>
        <vt:i4>6684735</vt:i4>
      </vt:variant>
      <vt:variant>
        <vt:i4>60</vt:i4>
      </vt:variant>
      <vt:variant>
        <vt:i4>0</vt:i4>
      </vt:variant>
      <vt:variant>
        <vt:i4>5</vt:i4>
      </vt:variant>
      <vt:variant>
        <vt:lpwstr>http://www.nevo.co.il/law/70301/338.a.1</vt:lpwstr>
      </vt:variant>
      <vt:variant>
        <vt:lpwstr/>
      </vt:variant>
      <vt:variant>
        <vt:i4>6553697</vt:i4>
      </vt:variant>
      <vt:variant>
        <vt:i4>57</vt:i4>
      </vt:variant>
      <vt:variant>
        <vt:i4>0</vt:i4>
      </vt:variant>
      <vt:variant>
        <vt:i4>5</vt:i4>
      </vt:variant>
      <vt:variant>
        <vt:lpwstr>http://www.nevo.co.il/law/70301/413</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65618</vt:i4>
      </vt:variant>
      <vt:variant>
        <vt:i4>51</vt:i4>
      </vt:variant>
      <vt:variant>
        <vt:i4>0</vt:i4>
      </vt:variant>
      <vt:variant>
        <vt:i4>5</vt:i4>
      </vt:variant>
      <vt:variant>
        <vt:lpwstr>http://www.nevo.co.il/law/70301/413e</vt:lpwstr>
      </vt:variant>
      <vt:variant>
        <vt:lpwstr/>
      </vt:variant>
      <vt:variant>
        <vt:i4>7864430</vt:i4>
      </vt:variant>
      <vt:variant>
        <vt:i4>48</vt:i4>
      </vt:variant>
      <vt:variant>
        <vt:i4>0</vt:i4>
      </vt:variant>
      <vt:variant>
        <vt:i4>5</vt:i4>
      </vt:variant>
      <vt:variant>
        <vt:lpwstr>http://www.nevo.co.il/law/90721</vt:lpwstr>
      </vt:variant>
      <vt:variant>
        <vt:lpwstr/>
      </vt:variant>
      <vt:variant>
        <vt:i4>5505088</vt:i4>
      </vt:variant>
      <vt:variant>
        <vt:i4>45</vt:i4>
      </vt:variant>
      <vt:variant>
        <vt:i4>0</vt:i4>
      </vt:variant>
      <vt:variant>
        <vt:i4>5</vt:i4>
      </vt:variant>
      <vt:variant>
        <vt:lpwstr>http://www.nevo.co.il/law/90721/12.1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3145825</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4784200</vt:i4>
      </vt:variant>
      <vt:variant>
        <vt:i4>27</vt:i4>
      </vt:variant>
      <vt:variant>
        <vt:i4>0</vt:i4>
      </vt:variant>
      <vt:variant>
        <vt:i4>5</vt:i4>
      </vt:variant>
      <vt:variant>
        <vt:lpwstr>http://www.nevo.co.il/law/5227/67</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6684735</vt:i4>
      </vt:variant>
      <vt:variant>
        <vt:i4>12</vt:i4>
      </vt:variant>
      <vt:variant>
        <vt:i4>0</vt:i4>
      </vt:variant>
      <vt:variant>
        <vt:i4>5</vt:i4>
      </vt:variant>
      <vt:variant>
        <vt:lpwstr>http://www.nevo.co.il/law/70301/338.a.1</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7995492</vt:i4>
      </vt:variant>
      <vt:variant>
        <vt:i4>6</vt:i4>
      </vt:variant>
      <vt:variant>
        <vt:i4>0</vt:i4>
      </vt:variant>
      <vt:variant>
        <vt:i4>5</vt:i4>
      </vt:variant>
      <vt:variant>
        <vt:lpwstr>http://www.nevo.co.il/law/70301</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3952</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נגאר</vt:lpwstr>
  </property>
  <property fmtid="{D5CDD505-2E9C-101B-9397-08002B2CF9AE}" pid="10" name="LAWYER">
    <vt:lpwstr>יחיא מוסטפה</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20230408</vt:lpwstr>
  </property>
  <property fmtid="{D5CDD505-2E9C-101B-9397-08002B2CF9AE}" pid="14" name="TYPE_N_DATE">
    <vt:lpwstr>38020230408</vt:lpwstr>
  </property>
  <property fmtid="{D5CDD505-2E9C-101B-9397-08002B2CF9AE}" pid="15" name="WORDNUMPAGES">
    <vt:lpwstr>6</vt:lpwstr>
  </property>
  <property fmtid="{D5CDD505-2E9C-101B-9397-08002B2CF9AE}" pid="16" name="TYPE_ABS_DATE">
    <vt:lpwstr>380020230408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28367045;28525763</vt:lpwstr>
  </property>
  <property fmtid="{D5CDD505-2E9C-101B-9397-08002B2CF9AE}" pid="36" name="LAWLISTTMP1">
    <vt:lpwstr>90721/012.1:3</vt:lpwstr>
  </property>
  <property fmtid="{D5CDD505-2E9C-101B-9397-08002B2CF9AE}" pid="37" name="LAWLISTTMP2">
    <vt:lpwstr>70301/413e;413;338.a.1;275</vt:lpwstr>
  </property>
  <property fmtid="{D5CDD505-2E9C-101B-9397-08002B2CF9AE}" pid="38" name="LAWLISTTMP3">
    <vt:lpwstr>5227/010.a:2;067</vt:lpwstr>
  </property>
  <property fmtid="{D5CDD505-2E9C-101B-9397-08002B2CF9AE}" pid="39" name="LAWLISTTMP4">
    <vt:lpwstr>74501/002a</vt:lpwstr>
  </property>
  <property fmtid="{D5CDD505-2E9C-101B-9397-08002B2CF9AE}" pid="40" name="LAWLISTTMP5">
    <vt:lpwstr>4216/007.a;007.c</vt:lpwstr>
  </property>
</Properties>
</file>